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7B" w:rsidRPr="00AE07CE" w:rsidRDefault="0003717B" w:rsidP="0003717B">
      <w:pPr>
        <w:pStyle w:val="Title"/>
        <w:spacing w:before="120" w:after="160"/>
        <w:ind w:left="720" w:hanging="720"/>
        <w:rPr>
          <w:rFonts w:asciiTheme="minorHAnsi" w:hAnsiTheme="minorHAnsi"/>
          <w:sz w:val="36"/>
          <w:szCs w:val="36"/>
        </w:rPr>
      </w:pPr>
      <w:r w:rsidRPr="00AE07CE">
        <w:rPr>
          <w:rFonts w:asciiTheme="minorHAnsi" w:hAnsiTheme="minorHAnsi"/>
          <w:sz w:val="36"/>
          <w:szCs w:val="36"/>
        </w:rPr>
        <w:t>7.13</w:t>
      </w:r>
      <w:r w:rsidR="006D6493" w:rsidRPr="00AE07CE">
        <w:rPr>
          <w:rFonts w:asciiTheme="minorHAnsi" w:hAnsiTheme="minorHAnsi"/>
          <w:sz w:val="36"/>
          <w:szCs w:val="36"/>
        </w:rPr>
        <w:tab/>
      </w:r>
      <w:r w:rsidRPr="00AE07CE">
        <w:rPr>
          <w:rFonts w:asciiTheme="minorHAnsi" w:hAnsiTheme="minorHAnsi"/>
          <w:sz w:val="36"/>
          <w:szCs w:val="36"/>
        </w:rPr>
        <w:t xml:space="preserve">BEVACIZUMAB </w:t>
      </w:r>
      <w:r w:rsidR="006D6493" w:rsidRPr="00AE07CE">
        <w:rPr>
          <w:rFonts w:asciiTheme="minorHAnsi" w:hAnsiTheme="minorHAnsi"/>
          <w:sz w:val="36"/>
          <w:szCs w:val="36"/>
        </w:rPr>
        <w:br/>
      </w:r>
      <w:r w:rsidRPr="00AE07CE">
        <w:rPr>
          <w:rFonts w:asciiTheme="minorHAnsi" w:hAnsiTheme="minorHAnsi"/>
          <w:sz w:val="36"/>
          <w:szCs w:val="36"/>
        </w:rPr>
        <w:t xml:space="preserve">solution for intravenous infusion, 100 mg in 4 mL and 400 mg in 16 mL, </w:t>
      </w:r>
    </w:p>
    <w:p w:rsidR="006D6493" w:rsidRPr="00AE07CE" w:rsidRDefault="0003717B" w:rsidP="0003717B">
      <w:pPr>
        <w:pStyle w:val="Title"/>
        <w:spacing w:before="120" w:after="160"/>
        <w:ind w:left="1429" w:hanging="720"/>
        <w:rPr>
          <w:rFonts w:asciiTheme="minorHAnsi" w:hAnsiTheme="minorHAnsi"/>
          <w:sz w:val="36"/>
          <w:szCs w:val="36"/>
        </w:rPr>
      </w:pPr>
      <w:proofErr w:type="spellStart"/>
      <w:r w:rsidRPr="00AE07CE">
        <w:rPr>
          <w:rFonts w:asciiTheme="minorHAnsi" w:hAnsiTheme="minorHAnsi"/>
          <w:sz w:val="36"/>
          <w:szCs w:val="36"/>
        </w:rPr>
        <w:t>Avastin</w:t>
      </w:r>
      <w:proofErr w:type="spellEnd"/>
      <w:r w:rsidRPr="00AE07CE">
        <w:rPr>
          <w:rFonts w:asciiTheme="minorHAnsi" w:hAnsiTheme="minorHAnsi"/>
          <w:sz w:val="36"/>
          <w:szCs w:val="36"/>
        </w:rPr>
        <w:t>®</w:t>
      </w:r>
      <w:r w:rsidR="006D6493" w:rsidRPr="00AE07CE">
        <w:rPr>
          <w:rFonts w:asciiTheme="minorHAnsi" w:hAnsiTheme="minorHAnsi"/>
          <w:sz w:val="36"/>
          <w:szCs w:val="36"/>
        </w:rPr>
        <w:t xml:space="preserve">, </w:t>
      </w:r>
      <w:r w:rsidRPr="00AE07CE">
        <w:rPr>
          <w:rFonts w:asciiTheme="minorHAnsi" w:hAnsiTheme="minorHAnsi"/>
          <w:sz w:val="36"/>
          <w:szCs w:val="36"/>
        </w:rPr>
        <w:t>Roche Products Pty Limited</w:t>
      </w:r>
      <w:r w:rsidR="00760EB7" w:rsidRPr="00AE07CE">
        <w:rPr>
          <w:rFonts w:asciiTheme="minorHAnsi" w:hAnsiTheme="minorHAnsi"/>
          <w:sz w:val="36"/>
          <w:szCs w:val="36"/>
        </w:rPr>
        <w:t>.</w:t>
      </w:r>
    </w:p>
    <w:p w:rsidR="008A50F1" w:rsidRPr="00AE07CE" w:rsidRDefault="00CE10C4" w:rsidP="00A771EE">
      <w:pPr>
        <w:pStyle w:val="PBACHeading1"/>
        <w:spacing w:before="120" w:after="120"/>
        <w:ind w:left="709" w:hanging="709"/>
        <w:rPr>
          <w:rFonts w:asciiTheme="minorHAnsi" w:hAnsiTheme="minorHAnsi"/>
          <w:sz w:val="32"/>
          <w:szCs w:val="32"/>
        </w:rPr>
      </w:pPr>
      <w:r w:rsidRPr="00AE07CE">
        <w:rPr>
          <w:rFonts w:asciiTheme="minorHAnsi" w:hAnsiTheme="minorHAnsi"/>
          <w:sz w:val="32"/>
          <w:szCs w:val="32"/>
        </w:rPr>
        <w:t xml:space="preserve">Purpose of </w:t>
      </w:r>
      <w:r w:rsidR="0004240E" w:rsidRPr="00AE07CE">
        <w:rPr>
          <w:rFonts w:asciiTheme="minorHAnsi" w:hAnsiTheme="minorHAnsi"/>
          <w:sz w:val="32"/>
          <w:szCs w:val="32"/>
        </w:rPr>
        <w:t>Application</w:t>
      </w:r>
    </w:p>
    <w:p w:rsidR="006A12A5" w:rsidRPr="00AE07CE" w:rsidRDefault="00EF44A0" w:rsidP="00A771EE">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mi</w:t>
      </w:r>
      <w:r w:rsidR="00FF2801" w:rsidRPr="00AE07CE">
        <w:rPr>
          <w:rFonts w:asciiTheme="minorHAnsi" w:eastAsiaTheme="minorHAnsi" w:hAnsiTheme="minorHAnsi" w:cstheme="minorBidi"/>
          <w:snapToGrid/>
          <w:sz w:val="24"/>
          <w:szCs w:val="22"/>
        </w:rPr>
        <w:t xml:space="preserve">nor submission </w:t>
      </w:r>
      <w:r w:rsidR="0095040B" w:rsidRPr="00AE07CE">
        <w:rPr>
          <w:rFonts w:asciiTheme="minorHAnsi" w:eastAsiaTheme="minorHAnsi" w:hAnsiTheme="minorHAnsi" w:cstheme="minorBidi"/>
          <w:snapToGrid/>
          <w:sz w:val="24"/>
          <w:szCs w:val="22"/>
        </w:rPr>
        <w:t>requested the</w:t>
      </w:r>
      <w:r w:rsidR="0005381E" w:rsidRPr="00AE07CE">
        <w:rPr>
          <w:rFonts w:asciiTheme="minorHAnsi" w:eastAsiaTheme="minorHAnsi" w:hAnsiTheme="minorHAnsi" w:cstheme="minorBidi"/>
          <w:snapToGrid/>
          <w:sz w:val="24"/>
          <w:szCs w:val="22"/>
        </w:rPr>
        <w:t xml:space="preserve"> </w:t>
      </w:r>
      <w:r w:rsidR="0095040B" w:rsidRPr="00AE07CE">
        <w:rPr>
          <w:rFonts w:asciiTheme="minorHAnsi" w:eastAsiaTheme="minorHAnsi" w:hAnsiTheme="minorHAnsi" w:cstheme="minorBidi"/>
          <w:snapToGrid/>
          <w:sz w:val="24"/>
          <w:szCs w:val="22"/>
        </w:rPr>
        <w:t xml:space="preserve">Section 100 (Efficient Funding of Chemotherapy), Authority </w:t>
      </w:r>
      <w:proofErr w:type="gramStart"/>
      <w:r w:rsidR="0095040B" w:rsidRPr="00AE07CE">
        <w:rPr>
          <w:rFonts w:asciiTheme="minorHAnsi" w:eastAsiaTheme="minorHAnsi" w:hAnsiTheme="minorHAnsi" w:cstheme="minorBidi"/>
          <w:snapToGrid/>
          <w:sz w:val="24"/>
          <w:szCs w:val="22"/>
        </w:rPr>
        <w:t>Required</w:t>
      </w:r>
      <w:proofErr w:type="gramEnd"/>
      <w:r w:rsidR="0095040B" w:rsidRPr="00AE07CE">
        <w:rPr>
          <w:rFonts w:asciiTheme="minorHAnsi" w:eastAsiaTheme="minorHAnsi" w:hAnsiTheme="minorHAnsi" w:cstheme="minorBidi"/>
          <w:snapToGrid/>
          <w:sz w:val="24"/>
          <w:szCs w:val="22"/>
        </w:rPr>
        <w:t xml:space="preserve"> (</w:t>
      </w:r>
      <w:r w:rsidR="00CC6041" w:rsidRPr="00AE07CE">
        <w:rPr>
          <w:rFonts w:asciiTheme="minorHAnsi" w:eastAsiaTheme="minorHAnsi" w:hAnsiTheme="minorHAnsi" w:cstheme="minorBidi"/>
          <w:snapToGrid/>
          <w:sz w:val="24"/>
          <w:szCs w:val="22"/>
        </w:rPr>
        <w:t>in writing</w:t>
      </w:r>
      <w:r w:rsidR="0095040B" w:rsidRPr="00AE07CE">
        <w:rPr>
          <w:rFonts w:asciiTheme="minorHAnsi" w:eastAsiaTheme="minorHAnsi" w:hAnsiTheme="minorHAnsi" w:cstheme="minorBidi"/>
          <w:snapToGrid/>
          <w:sz w:val="24"/>
          <w:szCs w:val="22"/>
        </w:rPr>
        <w:t xml:space="preserve">) listing of bevacizumab </w:t>
      </w:r>
      <w:r w:rsidR="0005381E" w:rsidRPr="00AE07CE">
        <w:rPr>
          <w:rFonts w:asciiTheme="minorHAnsi" w:eastAsiaTheme="minorHAnsi" w:hAnsiTheme="minorHAnsi" w:cstheme="minorBidi"/>
          <w:snapToGrid/>
          <w:sz w:val="24"/>
          <w:szCs w:val="22"/>
        </w:rPr>
        <w:t>for the treatment of relapsed or refractory glioblastoma.</w:t>
      </w:r>
    </w:p>
    <w:p w:rsidR="005E28C6" w:rsidRPr="00AE07CE" w:rsidRDefault="001B740E" w:rsidP="00A771EE">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A</w:t>
      </w:r>
      <w:r w:rsidR="00F861B1" w:rsidRPr="00AE07CE">
        <w:rPr>
          <w:rFonts w:asciiTheme="minorHAnsi" w:eastAsiaTheme="minorHAnsi" w:hAnsiTheme="minorHAnsi" w:cstheme="minorBidi"/>
          <w:snapToGrid/>
          <w:sz w:val="24"/>
          <w:szCs w:val="22"/>
        </w:rPr>
        <w:t xml:space="preserve"> group of </w:t>
      </w:r>
      <w:r w:rsidR="00714B64" w:rsidRPr="00AE07CE">
        <w:rPr>
          <w:rFonts w:asciiTheme="minorHAnsi" w:eastAsiaTheme="minorHAnsi" w:hAnsiTheme="minorHAnsi" w:cstheme="minorBidi"/>
          <w:snapToGrid/>
          <w:sz w:val="24"/>
          <w:szCs w:val="22"/>
        </w:rPr>
        <w:t xml:space="preserve">seven </w:t>
      </w:r>
      <w:r w:rsidR="005E28C6" w:rsidRPr="00AE07CE">
        <w:rPr>
          <w:rFonts w:asciiTheme="minorHAnsi" w:eastAsiaTheme="minorHAnsi" w:hAnsiTheme="minorHAnsi" w:cstheme="minorBidi"/>
          <w:snapToGrid/>
          <w:sz w:val="24"/>
          <w:szCs w:val="22"/>
        </w:rPr>
        <w:t xml:space="preserve">Australian neuro-oncologists </w:t>
      </w:r>
      <w:r w:rsidRPr="00AE07CE">
        <w:rPr>
          <w:rFonts w:asciiTheme="minorHAnsi" w:eastAsiaTheme="minorHAnsi" w:hAnsiTheme="minorHAnsi" w:cstheme="minorBidi"/>
          <w:snapToGrid/>
          <w:sz w:val="24"/>
          <w:szCs w:val="22"/>
        </w:rPr>
        <w:t xml:space="preserve">wrote to the PBAC </w:t>
      </w:r>
      <w:r w:rsidR="005E28C6" w:rsidRPr="00AE07CE">
        <w:rPr>
          <w:rFonts w:asciiTheme="minorHAnsi" w:eastAsiaTheme="minorHAnsi" w:hAnsiTheme="minorHAnsi" w:cstheme="minorBidi"/>
          <w:snapToGrid/>
          <w:sz w:val="24"/>
          <w:szCs w:val="22"/>
        </w:rPr>
        <w:t xml:space="preserve">requesting </w:t>
      </w:r>
      <w:r w:rsidRPr="00AE07CE">
        <w:rPr>
          <w:rFonts w:asciiTheme="minorHAnsi" w:eastAsiaTheme="minorHAnsi" w:hAnsiTheme="minorHAnsi" w:cstheme="minorBidi"/>
          <w:snapToGrid/>
          <w:sz w:val="24"/>
          <w:szCs w:val="22"/>
        </w:rPr>
        <w:t>that the Committee consider</w:t>
      </w:r>
      <w:r w:rsidR="00062927" w:rsidRPr="00AE07CE">
        <w:rPr>
          <w:rFonts w:asciiTheme="minorHAnsi" w:eastAsiaTheme="minorHAnsi" w:hAnsiTheme="minorHAnsi" w:cstheme="minorBidi"/>
          <w:snapToGrid/>
          <w:sz w:val="24"/>
          <w:szCs w:val="22"/>
        </w:rPr>
        <w:t xml:space="preserve"> </w:t>
      </w:r>
      <w:r w:rsidR="005E28C6" w:rsidRPr="00AE07CE">
        <w:rPr>
          <w:rFonts w:asciiTheme="minorHAnsi" w:eastAsiaTheme="minorHAnsi" w:hAnsiTheme="minorHAnsi" w:cstheme="minorBidi"/>
          <w:snapToGrid/>
          <w:sz w:val="24"/>
          <w:szCs w:val="22"/>
        </w:rPr>
        <w:t xml:space="preserve">bevacizumab </w:t>
      </w:r>
      <w:r w:rsidR="00425680" w:rsidRPr="00AE07CE">
        <w:rPr>
          <w:rFonts w:asciiTheme="minorHAnsi" w:eastAsiaTheme="minorHAnsi" w:hAnsiTheme="minorHAnsi" w:cstheme="minorBidi"/>
          <w:snapToGrid/>
          <w:sz w:val="24"/>
          <w:szCs w:val="22"/>
        </w:rPr>
        <w:t>for</w:t>
      </w:r>
      <w:r w:rsidR="005E28C6" w:rsidRPr="00AE07CE">
        <w:rPr>
          <w:rFonts w:asciiTheme="minorHAnsi" w:eastAsiaTheme="minorHAnsi" w:hAnsiTheme="minorHAnsi" w:cstheme="minorBidi"/>
          <w:snapToGrid/>
          <w:sz w:val="24"/>
          <w:szCs w:val="22"/>
        </w:rPr>
        <w:t xml:space="preserve"> this indication</w:t>
      </w:r>
      <w:r w:rsidR="00425680" w:rsidRPr="00AE07CE">
        <w:rPr>
          <w:rFonts w:asciiTheme="minorHAnsi" w:eastAsiaTheme="minorHAnsi" w:hAnsiTheme="minorHAnsi" w:cstheme="minorBidi"/>
          <w:snapToGrid/>
          <w:sz w:val="24"/>
          <w:szCs w:val="22"/>
        </w:rPr>
        <w:t xml:space="preserve"> due to </w:t>
      </w:r>
      <w:r w:rsidR="00533E35" w:rsidRPr="00AE07CE">
        <w:rPr>
          <w:rFonts w:asciiTheme="minorHAnsi" w:eastAsiaTheme="minorHAnsi" w:hAnsiTheme="minorHAnsi" w:cstheme="minorBidi"/>
          <w:snapToGrid/>
          <w:sz w:val="24"/>
          <w:szCs w:val="22"/>
        </w:rPr>
        <w:t xml:space="preserve">the </w:t>
      </w:r>
      <w:proofErr w:type="gramStart"/>
      <w:r w:rsidR="00425680" w:rsidRPr="00AE07CE">
        <w:rPr>
          <w:rFonts w:asciiTheme="minorHAnsi" w:eastAsiaTheme="minorHAnsi" w:hAnsiTheme="minorHAnsi" w:cstheme="minorBidi"/>
          <w:snapToGrid/>
          <w:sz w:val="24"/>
          <w:szCs w:val="22"/>
        </w:rPr>
        <w:t xml:space="preserve">high </w:t>
      </w:r>
      <w:r w:rsidR="003C59A4" w:rsidRPr="00AE07CE">
        <w:rPr>
          <w:rFonts w:asciiTheme="minorHAnsi" w:eastAsiaTheme="minorHAnsi" w:hAnsiTheme="minorHAnsi" w:cstheme="minorBidi"/>
          <w:snapToGrid/>
          <w:sz w:val="24"/>
          <w:szCs w:val="22"/>
        </w:rPr>
        <w:t>unmet</w:t>
      </w:r>
      <w:proofErr w:type="gramEnd"/>
      <w:r w:rsidR="003C59A4" w:rsidRPr="00AE07CE">
        <w:rPr>
          <w:rFonts w:asciiTheme="minorHAnsi" w:eastAsiaTheme="minorHAnsi" w:hAnsiTheme="minorHAnsi" w:cstheme="minorBidi"/>
          <w:snapToGrid/>
          <w:sz w:val="24"/>
          <w:szCs w:val="22"/>
        </w:rPr>
        <w:t xml:space="preserve"> clinical </w:t>
      </w:r>
      <w:r w:rsidR="00425680" w:rsidRPr="00AE07CE">
        <w:rPr>
          <w:rFonts w:asciiTheme="minorHAnsi" w:eastAsiaTheme="minorHAnsi" w:hAnsiTheme="minorHAnsi" w:cstheme="minorBidi"/>
          <w:snapToGrid/>
          <w:sz w:val="24"/>
          <w:szCs w:val="22"/>
        </w:rPr>
        <w:t>need</w:t>
      </w:r>
      <w:r w:rsidR="005E28C6" w:rsidRPr="00AE07CE">
        <w:rPr>
          <w:rFonts w:asciiTheme="minorHAnsi" w:eastAsiaTheme="minorHAnsi" w:hAnsiTheme="minorHAnsi" w:cstheme="minorBidi"/>
          <w:snapToGrid/>
          <w:sz w:val="24"/>
          <w:szCs w:val="22"/>
        </w:rPr>
        <w:t xml:space="preserve">. </w:t>
      </w:r>
      <w:proofErr w:type="gramStart"/>
      <w:r w:rsidR="005E28C6" w:rsidRPr="00AE07CE">
        <w:rPr>
          <w:rFonts w:asciiTheme="minorHAnsi" w:eastAsiaTheme="minorHAnsi" w:hAnsiTheme="minorHAnsi" w:cstheme="minorBidi"/>
          <w:snapToGrid/>
          <w:sz w:val="24"/>
          <w:szCs w:val="22"/>
        </w:rPr>
        <w:t xml:space="preserve">This letter was supported by the Cure Brain Cancer Foundation and </w:t>
      </w:r>
      <w:r w:rsidR="007575AA" w:rsidRPr="00AE07CE">
        <w:rPr>
          <w:rFonts w:asciiTheme="minorHAnsi" w:eastAsiaTheme="minorHAnsi" w:hAnsiTheme="minorHAnsi" w:cstheme="minorBidi"/>
          <w:snapToGrid/>
          <w:sz w:val="24"/>
          <w:szCs w:val="22"/>
        </w:rPr>
        <w:t>The Brain Cancer Group</w:t>
      </w:r>
      <w:proofErr w:type="gramEnd"/>
      <w:r w:rsidR="007575AA" w:rsidRPr="00AE07CE">
        <w:rPr>
          <w:rFonts w:asciiTheme="minorHAnsi" w:eastAsiaTheme="minorHAnsi" w:hAnsiTheme="minorHAnsi" w:cstheme="minorBidi"/>
          <w:snapToGrid/>
          <w:sz w:val="24"/>
          <w:szCs w:val="22"/>
        </w:rPr>
        <w:t xml:space="preserve">. The sponsor </w:t>
      </w:r>
      <w:proofErr w:type="gramStart"/>
      <w:r w:rsidR="007575AA" w:rsidRPr="00AE07CE">
        <w:rPr>
          <w:rFonts w:asciiTheme="minorHAnsi" w:eastAsiaTheme="minorHAnsi" w:hAnsiTheme="minorHAnsi" w:cstheme="minorBidi"/>
          <w:snapToGrid/>
          <w:sz w:val="24"/>
          <w:szCs w:val="22"/>
        </w:rPr>
        <w:t>was informed</w:t>
      </w:r>
      <w:proofErr w:type="gramEnd"/>
      <w:r w:rsidR="007575AA" w:rsidRPr="00AE07CE">
        <w:rPr>
          <w:rFonts w:asciiTheme="minorHAnsi" w:eastAsiaTheme="minorHAnsi" w:hAnsiTheme="minorHAnsi" w:cstheme="minorBidi"/>
          <w:snapToGrid/>
          <w:sz w:val="24"/>
          <w:szCs w:val="22"/>
        </w:rPr>
        <w:t xml:space="preserve"> of the correspondence, and sub</w:t>
      </w:r>
      <w:r w:rsidR="00533E35" w:rsidRPr="00AE07CE">
        <w:rPr>
          <w:rFonts w:asciiTheme="minorHAnsi" w:eastAsiaTheme="minorHAnsi" w:hAnsiTheme="minorHAnsi" w:cstheme="minorBidi"/>
          <w:snapToGrid/>
          <w:sz w:val="24"/>
          <w:szCs w:val="22"/>
        </w:rPr>
        <w:t>sequently submitted a</w:t>
      </w:r>
      <w:r w:rsidR="00425680" w:rsidRPr="00AE07CE">
        <w:rPr>
          <w:rFonts w:asciiTheme="minorHAnsi" w:eastAsiaTheme="minorHAnsi" w:hAnsiTheme="minorHAnsi" w:cstheme="minorBidi"/>
          <w:snapToGrid/>
          <w:sz w:val="24"/>
          <w:szCs w:val="22"/>
        </w:rPr>
        <w:t xml:space="preserve"> minor </w:t>
      </w:r>
      <w:r w:rsidR="007575AA" w:rsidRPr="00AE07CE">
        <w:rPr>
          <w:rFonts w:asciiTheme="minorHAnsi" w:eastAsiaTheme="minorHAnsi" w:hAnsiTheme="minorHAnsi" w:cstheme="minorBidi"/>
          <w:snapToGrid/>
          <w:sz w:val="24"/>
          <w:szCs w:val="22"/>
        </w:rPr>
        <w:t>submission.</w:t>
      </w:r>
    </w:p>
    <w:p w:rsidR="00425680" w:rsidRPr="00AE07CE" w:rsidRDefault="00425680" w:rsidP="00A771EE">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Bevacizumab for relapsed or progressing glioblastoma </w:t>
      </w:r>
      <w:proofErr w:type="gramStart"/>
      <w:r w:rsidRPr="00AE07CE">
        <w:rPr>
          <w:rFonts w:asciiTheme="minorHAnsi" w:eastAsiaTheme="minorHAnsi" w:hAnsiTheme="minorHAnsi" w:cstheme="minorBidi"/>
          <w:snapToGrid/>
          <w:sz w:val="24"/>
          <w:szCs w:val="22"/>
        </w:rPr>
        <w:t>was rejected</w:t>
      </w:r>
      <w:proofErr w:type="gramEnd"/>
      <w:r w:rsidRPr="00AE07CE">
        <w:rPr>
          <w:rFonts w:asciiTheme="minorHAnsi" w:eastAsiaTheme="minorHAnsi" w:hAnsiTheme="minorHAnsi" w:cstheme="minorBidi"/>
          <w:snapToGrid/>
          <w:sz w:val="24"/>
          <w:szCs w:val="22"/>
        </w:rPr>
        <w:t xml:space="preserve"> by </w:t>
      </w:r>
      <w:r w:rsidR="00F861B1" w:rsidRPr="00AE07CE">
        <w:rPr>
          <w:rFonts w:asciiTheme="minorHAnsi" w:eastAsiaTheme="minorHAnsi" w:hAnsiTheme="minorHAnsi" w:cstheme="minorBidi"/>
          <w:snapToGrid/>
          <w:sz w:val="24"/>
          <w:szCs w:val="22"/>
        </w:rPr>
        <w:t xml:space="preserve">the </w:t>
      </w:r>
      <w:r w:rsidRPr="00AE07CE">
        <w:rPr>
          <w:rFonts w:asciiTheme="minorHAnsi" w:eastAsiaTheme="minorHAnsi" w:hAnsiTheme="minorHAnsi" w:cstheme="minorBidi"/>
          <w:snapToGrid/>
          <w:sz w:val="24"/>
          <w:szCs w:val="22"/>
        </w:rPr>
        <w:t xml:space="preserve">PBAC in November 2010 </w:t>
      </w:r>
      <w:r w:rsidR="00AE07CE" w:rsidRPr="00AE07CE">
        <w:rPr>
          <w:rFonts w:asciiTheme="minorHAnsi" w:eastAsiaTheme="minorHAnsi" w:hAnsiTheme="minorHAnsi" w:cstheme="minorBidi"/>
          <w:snapToGrid/>
          <w:sz w:val="24"/>
          <w:szCs w:val="22"/>
        </w:rPr>
        <w:t>based on</w:t>
      </w:r>
      <w:r w:rsidRPr="00AE07CE">
        <w:rPr>
          <w:rFonts w:asciiTheme="minorHAnsi" w:eastAsiaTheme="minorHAnsi" w:hAnsiTheme="minorHAnsi" w:cstheme="minorBidi"/>
          <w:snapToGrid/>
          <w:sz w:val="24"/>
          <w:szCs w:val="22"/>
        </w:rPr>
        <w:t xml:space="preserve"> </w:t>
      </w:r>
      <w:r w:rsidR="00533E35" w:rsidRPr="00AE07CE">
        <w:rPr>
          <w:rFonts w:asciiTheme="minorHAnsi" w:eastAsiaTheme="minorHAnsi" w:hAnsiTheme="minorHAnsi" w:cstheme="minorBidi"/>
          <w:snapToGrid/>
          <w:sz w:val="24"/>
          <w:szCs w:val="22"/>
        </w:rPr>
        <w:t xml:space="preserve">an </w:t>
      </w:r>
      <w:r w:rsidRPr="00AE07CE">
        <w:rPr>
          <w:rFonts w:asciiTheme="minorHAnsi" w:eastAsiaTheme="minorHAnsi" w:hAnsiTheme="minorHAnsi" w:cstheme="minorBidi"/>
          <w:snapToGrid/>
          <w:sz w:val="24"/>
          <w:szCs w:val="22"/>
        </w:rPr>
        <w:t xml:space="preserve">uncertain clinical benefit </w:t>
      </w:r>
      <w:r w:rsidRPr="00373B5B">
        <w:rPr>
          <w:rFonts w:asciiTheme="minorHAnsi" w:eastAsiaTheme="minorHAnsi" w:hAnsiTheme="minorHAnsi" w:cstheme="minorBidi"/>
          <w:snapToGrid/>
          <w:sz w:val="24"/>
          <w:szCs w:val="22"/>
        </w:rPr>
        <w:t>and an unacceptably high and uncertain cost-effectiveness ratio. The</w:t>
      </w:r>
      <w:r w:rsidR="004678DC" w:rsidRPr="00373B5B">
        <w:rPr>
          <w:rFonts w:asciiTheme="minorHAnsi" w:eastAsiaTheme="minorHAnsi" w:hAnsiTheme="minorHAnsi" w:cstheme="minorBidi"/>
          <w:snapToGrid/>
          <w:sz w:val="24"/>
          <w:szCs w:val="22"/>
        </w:rPr>
        <w:t xml:space="preserve"> current</w:t>
      </w:r>
      <w:r w:rsidRPr="00373B5B">
        <w:rPr>
          <w:rFonts w:asciiTheme="minorHAnsi" w:eastAsiaTheme="minorHAnsi" w:hAnsiTheme="minorHAnsi" w:cstheme="minorBidi"/>
          <w:snapToGrid/>
          <w:sz w:val="24"/>
          <w:szCs w:val="22"/>
        </w:rPr>
        <w:t xml:space="preserve"> minor submission proposed </w:t>
      </w:r>
      <w:r w:rsidR="0024460A" w:rsidRPr="00373B5B">
        <w:rPr>
          <w:rFonts w:asciiTheme="minorHAnsi" w:eastAsiaTheme="minorHAnsi" w:hAnsiTheme="minorHAnsi" w:cstheme="minorBidi"/>
          <w:snapToGrid/>
          <w:sz w:val="24"/>
          <w:szCs w:val="22"/>
        </w:rPr>
        <w:t>a</w:t>
      </w:r>
      <w:r w:rsidRPr="00373B5B">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w:t>
      </w:r>
      <w:proofErr w:type="gramStart"/>
      <w:r w:rsidR="00FE12FF" w:rsidRPr="00373B5B">
        <w:rPr>
          <w:rFonts w:asciiTheme="minorHAnsi" w:eastAsiaTheme="minorHAnsi" w:hAnsiTheme="minorHAnsi" w:cstheme="minorBidi"/>
          <w:snapToGrid/>
          <w:sz w:val="24"/>
          <w:szCs w:val="22"/>
        </w:rPr>
        <w:t xml:space="preserve">% </w:t>
      </w:r>
      <w:r w:rsidR="0024460A" w:rsidRPr="00373B5B">
        <w:rPr>
          <w:rFonts w:asciiTheme="minorHAnsi" w:eastAsiaTheme="minorHAnsi" w:hAnsiTheme="minorHAnsi" w:cstheme="minorBidi"/>
          <w:snapToGrid/>
          <w:sz w:val="24"/>
          <w:szCs w:val="22"/>
        </w:rPr>
        <w:t xml:space="preserve"> price</w:t>
      </w:r>
      <w:proofErr w:type="gramEnd"/>
      <w:r w:rsidR="0024460A" w:rsidRPr="00373B5B">
        <w:rPr>
          <w:rFonts w:asciiTheme="minorHAnsi" w:eastAsiaTheme="minorHAnsi" w:hAnsiTheme="minorHAnsi" w:cstheme="minorBidi"/>
          <w:snapToGrid/>
          <w:sz w:val="24"/>
          <w:szCs w:val="22"/>
        </w:rPr>
        <w:t xml:space="preserve"> reduction</w:t>
      </w:r>
      <w:r w:rsidR="0025063E" w:rsidRPr="00373B5B">
        <w:rPr>
          <w:rFonts w:asciiTheme="minorHAnsi" w:eastAsiaTheme="minorHAnsi" w:hAnsiTheme="minorHAnsi" w:cstheme="minorBidi"/>
          <w:snapToGrid/>
          <w:sz w:val="24"/>
          <w:szCs w:val="22"/>
        </w:rPr>
        <w:t xml:space="preserve"> on the ex-manufacturer price</w:t>
      </w:r>
      <w:r w:rsidR="00E06C3F" w:rsidRPr="00373B5B">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 '''''''' ''''''' ''''''''' '''' '''''''''''''''' ''''''''''''''</w:t>
      </w:r>
      <w:r w:rsidR="00E06C3F" w:rsidRPr="00373B5B">
        <w:rPr>
          <w:rFonts w:asciiTheme="minorHAnsi" w:eastAsiaTheme="minorHAnsi" w:hAnsiTheme="minorHAnsi" w:cstheme="minorBidi"/>
          <w:snapToGrid/>
          <w:sz w:val="24"/>
          <w:szCs w:val="22"/>
        </w:rPr>
        <w:t>)</w:t>
      </w:r>
      <w:r w:rsidR="00533E35" w:rsidRPr="00373B5B">
        <w:rPr>
          <w:rFonts w:asciiTheme="minorHAnsi" w:eastAsiaTheme="minorHAnsi" w:hAnsiTheme="minorHAnsi" w:cstheme="minorBidi"/>
          <w:snapToGrid/>
          <w:sz w:val="24"/>
          <w:szCs w:val="22"/>
        </w:rPr>
        <w:t xml:space="preserve">, </w:t>
      </w:r>
      <w:r w:rsidR="00CA4F6B" w:rsidRPr="00373B5B">
        <w:rPr>
          <w:rFonts w:asciiTheme="minorHAnsi" w:eastAsiaTheme="minorHAnsi" w:hAnsiTheme="minorHAnsi" w:cstheme="minorBidi"/>
          <w:snapToGrid/>
          <w:sz w:val="24"/>
          <w:szCs w:val="22"/>
        </w:rPr>
        <w:t xml:space="preserve">and </w:t>
      </w:r>
      <w:r w:rsidR="00533E35" w:rsidRPr="00373B5B">
        <w:rPr>
          <w:rFonts w:asciiTheme="minorHAnsi" w:eastAsiaTheme="minorHAnsi" w:hAnsiTheme="minorHAnsi" w:cstheme="minorBidi"/>
          <w:snapToGrid/>
          <w:sz w:val="24"/>
          <w:szCs w:val="22"/>
        </w:rPr>
        <w:t>provided updated clinical data</w:t>
      </w:r>
      <w:r w:rsidR="009F2E5B" w:rsidRPr="00373B5B">
        <w:rPr>
          <w:rFonts w:asciiTheme="minorHAnsi" w:eastAsiaTheme="minorHAnsi" w:hAnsiTheme="minorHAnsi" w:cstheme="minorBidi"/>
          <w:snapToGrid/>
          <w:sz w:val="24"/>
          <w:szCs w:val="22"/>
        </w:rPr>
        <w:t xml:space="preserve"> and information regarding </w:t>
      </w:r>
      <w:r w:rsidR="00992C08" w:rsidRPr="00373B5B">
        <w:rPr>
          <w:rFonts w:asciiTheme="minorHAnsi" w:eastAsiaTheme="minorHAnsi" w:hAnsiTheme="minorHAnsi" w:cstheme="minorBidi"/>
          <w:snapToGrid/>
          <w:sz w:val="24"/>
          <w:szCs w:val="22"/>
        </w:rPr>
        <w:t xml:space="preserve">utilisation </w:t>
      </w:r>
      <w:r w:rsidR="00FE12FF" w:rsidRPr="00373B5B">
        <w:rPr>
          <w:rFonts w:asciiTheme="minorHAnsi" w:eastAsiaTheme="minorHAnsi" w:hAnsiTheme="minorHAnsi" w:cstheme="minorBidi"/>
          <w:snapToGrid/>
          <w:sz w:val="24"/>
          <w:szCs w:val="22"/>
        </w:rPr>
        <w:t>through the sponsor’s Patient Access Program</w:t>
      </w:r>
      <w:r w:rsidR="0024460A" w:rsidRPr="00373B5B">
        <w:rPr>
          <w:rFonts w:asciiTheme="minorHAnsi" w:eastAsiaTheme="minorHAnsi" w:hAnsiTheme="minorHAnsi" w:cstheme="minorBidi"/>
          <w:snapToGrid/>
          <w:sz w:val="24"/>
          <w:szCs w:val="22"/>
        </w:rPr>
        <w:t>.</w:t>
      </w:r>
    </w:p>
    <w:p w:rsidR="006A12A5" w:rsidRPr="00AE07CE" w:rsidRDefault="006A12A5" w:rsidP="00A771EE">
      <w:pPr>
        <w:pStyle w:val="PBACHeading1"/>
        <w:spacing w:before="120" w:after="120"/>
        <w:ind w:left="709" w:hanging="709"/>
        <w:rPr>
          <w:rFonts w:asciiTheme="minorHAnsi" w:hAnsiTheme="minorHAnsi"/>
          <w:sz w:val="32"/>
          <w:szCs w:val="32"/>
        </w:rPr>
      </w:pPr>
      <w:r w:rsidRPr="00AE07CE">
        <w:rPr>
          <w:rFonts w:asciiTheme="minorHAnsi" w:hAnsiTheme="minorHAnsi"/>
          <w:sz w:val="32"/>
          <w:szCs w:val="32"/>
        </w:rPr>
        <w:t>Requested listing</w:t>
      </w:r>
    </w:p>
    <w:p w:rsidR="00F02271" w:rsidRPr="00F02271" w:rsidRDefault="00F861B1" w:rsidP="00A771EE">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F02271">
        <w:rPr>
          <w:rFonts w:asciiTheme="minorHAnsi" w:eastAsiaTheme="minorHAnsi" w:hAnsiTheme="minorHAnsi" w:cstheme="minorBidi"/>
          <w:snapToGrid/>
          <w:sz w:val="24"/>
          <w:szCs w:val="22"/>
        </w:rPr>
        <w:t xml:space="preserve">The </w:t>
      </w:r>
      <w:r w:rsidR="00FA5F36" w:rsidRPr="00F02271">
        <w:rPr>
          <w:rFonts w:asciiTheme="minorHAnsi" w:eastAsiaTheme="minorHAnsi" w:hAnsiTheme="minorHAnsi" w:cstheme="minorBidi"/>
          <w:snapToGrid/>
          <w:sz w:val="24"/>
          <w:szCs w:val="22"/>
        </w:rPr>
        <w:t xml:space="preserve">restriction </w:t>
      </w:r>
      <w:r w:rsidR="009508D8" w:rsidRPr="00F02271">
        <w:rPr>
          <w:rFonts w:asciiTheme="minorHAnsi" w:eastAsiaTheme="minorHAnsi" w:hAnsiTheme="minorHAnsi" w:cstheme="minorBidi"/>
          <w:snapToGrid/>
          <w:sz w:val="24"/>
          <w:szCs w:val="22"/>
        </w:rPr>
        <w:t>propos</w:t>
      </w:r>
      <w:r w:rsidR="00FA5F36" w:rsidRPr="00F02271">
        <w:rPr>
          <w:rFonts w:asciiTheme="minorHAnsi" w:eastAsiaTheme="minorHAnsi" w:hAnsiTheme="minorHAnsi" w:cstheme="minorBidi"/>
          <w:snapToGrid/>
          <w:sz w:val="24"/>
          <w:szCs w:val="22"/>
        </w:rPr>
        <w:t>ed in the pre-PB</w:t>
      </w:r>
      <w:r w:rsidR="009508D8" w:rsidRPr="00F02271">
        <w:rPr>
          <w:rFonts w:asciiTheme="minorHAnsi" w:eastAsiaTheme="minorHAnsi" w:hAnsiTheme="minorHAnsi" w:cstheme="minorBidi"/>
          <w:snapToGrid/>
          <w:sz w:val="24"/>
          <w:szCs w:val="22"/>
        </w:rPr>
        <w:t>A</w:t>
      </w:r>
      <w:r w:rsidR="00FA5F36" w:rsidRPr="00F02271">
        <w:rPr>
          <w:rFonts w:asciiTheme="minorHAnsi" w:eastAsiaTheme="minorHAnsi" w:hAnsiTheme="minorHAnsi" w:cstheme="minorBidi"/>
          <w:snapToGrid/>
          <w:sz w:val="24"/>
          <w:szCs w:val="22"/>
        </w:rPr>
        <w:t xml:space="preserve">C response </w:t>
      </w:r>
      <w:proofErr w:type="gramStart"/>
      <w:r w:rsidR="009508D8" w:rsidRPr="00F02271">
        <w:rPr>
          <w:rFonts w:asciiTheme="minorHAnsi" w:eastAsiaTheme="minorHAnsi" w:hAnsiTheme="minorHAnsi" w:cstheme="minorBidi"/>
          <w:snapToGrid/>
          <w:sz w:val="24"/>
          <w:szCs w:val="22"/>
        </w:rPr>
        <w:t>is outlined</w:t>
      </w:r>
      <w:proofErr w:type="gramEnd"/>
      <w:r w:rsidR="009508D8" w:rsidRPr="00F02271">
        <w:rPr>
          <w:rFonts w:asciiTheme="minorHAnsi" w:eastAsiaTheme="minorHAnsi" w:hAnsiTheme="minorHAnsi" w:cstheme="minorBidi"/>
          <w:snapToGrid/>
          <w:sz w:val="24"/>
          <w:szCs w:val="22"/>
        </w:rPr>
        <w:t xml:space="preserve"> below. </w:t>
      </w:r>
    </w:p>
    <w:tbl>
      <w:tblPr>
        <w:tblW w:w="4915" w:type="pct"/>
        <w:tblLook w:val="0000" w:firstRow="0" w:lastRow="0" w:firstColumn="0" w:lastColumn="0" w:noHBand="0" w:noVBand="0"/>
      </w:tblPr>
      <w:tblGrid>
        <w:gridCol w:w="1921"/>
        <w:gridCol w:w="1354"/>
        <w:gridCol w:w="733"/>
        <w:gridCol w:w="882"/>
        <w:gridCol w:w="1602"/>
        <w:gridCol w:w="834"/>
        <w:gridCol w:w="1547"/>
      </w:tblGrid>
      <w:tr w:rsidR="00F861B1" w:rsidRPr="00AE07CE" w:rsidTr="00B242D1">
        <w:trPr>
          <w:cantSplit/>
          <w:trHeight w:val="465"/>
        </w:trPr>
        <w:tc>
          <w:tcPr>
            <w:tcW w:w="1845" w:type="pct"/>
            <w:gridSpan w:val="2"/>
            <w:tcBorders>
              <w:bottom w:val="single" w:sz="4" w:space="0" w:color="auto"/>
            </w:tcBorders>
          </w:tcPr>
          <w:p w:rsidR="00F861B1" w:rsidRPr="00AE07CE" w:rsidRDefault="00F861B1" w:rsidP="00B242D1">
            <w:pPr>
              <w:keepNext/>
              <w:spacing w:before="40" w:after="40"/>
              <w:jc w:val="both"/>
              <w:rPr>
                <w:rFonts w:ascii="Arial Narrow" w:hAnsi="Arial Narrow" w:cs="Arial"/>
                <w:b/>
                <w:sz w:val="20"/>
                <w:szCs w:val="20"/>
              </w:rPr>
            </w:pPr>
            <w:r w:rsidRPr="00AE07CE">
              <w:rPr>
                <w:rFonts w:ascii="Arial Narrow" w:hAnsi="Arial Narrow" w:cs="Arial"/>
                <w:b/>
                <w:sz w:val="20"/>
                <w:szCs w:val="20"/>
              </w:rPr>
              <w:t>Name, Restriction,</w:t>
            </w:r>
          </w:p>
          <w:p w:rsidR="00F861B1" w:rsidRPr="00AE07CE" w:rsidRDefault="00F861B1" w:rsidP="00B242D1">
            <w:pPr>
              <w:keepNext/>
              <w:spacing w:before="40" w:after="40"/>
              <w:jc w:val="both"/>
              <w:rPr>
                <w:rFonts w:ascii="Arial Narrow" w:hAnsi="Arial Narrow" w:cs="Arial"/>
                <w:b/>
                <w:sz w:val="20"/>
                <w:szCs w:val="20"/>
              </w:rPr>
            </w:pPr>
            <w:r w:rsidRPr="00AE07CE">
              <w:rPr>
                <w:rFonts w:ascii="Arial Narrow" w:hAnsi="Arial Narrow" w:cs="Arial"/>
                <w:b/>
                <w:sz w:val="20"/>
                <w:szCs w:val="20"/>
              </w:rPr>
              <w:t>Manner of administration and form</w:t>
            </w:r>
          </w:p>
        </w:tc>
        <w:tc>
          <w:tcPr>
            <w:tcW w:w="413" w:type="pct"/>
            <w:tcBorders>
              <w:bottom w:val="single" w:sz="4" w:space="0" w:color="auto"/>
            </w:tcBorders>
          </w:tcPr>
          <w:p w:rsidR="00F861B1" w:rsidRPr="00AE07CE" w:rsidRDefault="00F861B1" w:rsidP="00B242D1">
            <w:pPr>
              <w:keepNext/>
              <w:spacing w:before="40" w:after="40"/>
              <w:jc w:val="both"/>
              <w:rPr>
                <w:rFonts w:ascii="Arial Narrow" w:hAnsi="Arial Narrow" w:cs="Arial"/>
                <w:b/>
                <w:sz w:val="20"/>
                <w:szCs w:val="20"/>
              </w:rPr>
            </w:pPr>
            <w:r w:rsidRPr="00AE07CE">
              <w:rPr>
                <w:rFonts w:ascii="Arial Narrow" w:hAnsi="Arial Narrow" w:cs="Arial"/>
                <w:b/>
                <w:sz w:val="20"/>
                <w:szCs w:val="20"/>
              </w:rPr>
              <w:t>Max.</w:t>
            </w:r>
          </w:p>
          <w:p w:rsidR="00F861B1" w:rsidRPr="00AE07CE" w:rsidRDefault="00F861B1" w:rsidP="00B242D1">
            <w:pPr>
              <w:keepNext/>
              <w:spacing w:before="40" w:after="40"/>
              <w:jc w:val="both"/>
              <w:rPr>
                <w:rFonts w:ascii="Arial Narrow" w:hAnsi="Arial Narrow" w:cs="Arial"/>
                <w:b/>
                <w:sz w:val="20"/>
                <w:szCs w:val="20"/>
              </w:rPr>
            </w:pPr>
            <w:proofErr w:type="spellStart"/>
            <w:r w:rsidRPr="00AE07CE">
              <w:rPr>
                <w:rFonts w:ascii="Arial Narrow" w:hAnsi="Arial Narrow" w:cs="Arial"/>
                <w:b/>
                <w:sz w:val="20"/>
                <w:szCs w:val="20"/>
              </w:rPr>
              <w:t>Qty</w:t>
            </w:r>
            <w:proofErr w:type="spellEnd"/>
          </w:p>
        </w:tc>
        <w:tc>
          <w:tcPr>
            <w:tcW w:w="497" w:type="pct"/>
            <w:tcBorders>
              <w:bottom w:val="single" w:sz="4" w:space="0" w:color="auto"/>
            </w:tcBorders>
          </w:tcPr>
          <w:p w:rsidR="00F861B1" w:rsidRPr="00AE07CE" w:rsidRDefault="00F870AB" w:rsidP="00B242D1">
            <w:pPr>
              <w:keepNext/>
              <w:spacing w:before="40" w:after="40"/>
              <w:jc w:val="both"/>
              <w:rPr>
                <w:rFonts w:ascii="Arial Narrow" w:hAnsi="Arial Narrow" w:cs="Arial"/>
                <w:b/>
                <w:sz w:val="20"/>
                <w:szCs w:val="20"/>
              </w:rPr>
            </w:pPr>
            <w:proofErr w:type="spellStart"/>
            <w:r>
              <w:rPr>
                <w:rFonts w:ascii="Arial Narrow" w:hAnsi="Arial Narrow" w:cs="Arial"/>
                <w:b/>
                <w:sz w:val="20"/>
                <w:szCs w:val="20"/>
              </w:rPr>
              <w:t>No</w:t>
            </w:r>
            <w:r w:rsidR="00F861B1" w:rsidRPr="00AE07CE">
              <w:rPr>
                <w:rFonts w:ascii="Arial Narrow" w:hAnsi="Arial Narrow" w:cs="Arial"/>
                <w:b/>
                <w:sz w:val="20"/>
                <w:szCs w:val="20"/>
              </w:rPr>
              <w:t>.of</w:t>
            </w:r>
            <w:proofErr w:type="spellEnd"/>
          </w:p>
          <w:p w:rsidR="00F861B1" w:rsidRPr="00AE07CE" w:rsidRDefault="00F861B1" w:rsidP="00B242D1">
            <w:pPr>
              <w:keepNext/>
              <w:spacing w:before="40" w:after="40"/>
              <w:jc w:val="both"/>
              <w:rPr>
                <w:rFonts w:ascii="Arial Narrow" w:hAnsi="Arial Narrow" w:cs="Arial"/>
                <w:b/>
                <w:sz w:val="20"/>
                <w:szCs w:val="20"/>
              </w:rPr>
            </w:pPr>
            <w:proofErr w:type="spellStart"/>
            <w:r w:rsidRPr="00AE07CE">
              <w:rPr>
                <w:rFonts w:ascii="Arial Narrow" w:hAnsi="Arial Narrow" w:cs="Arial"/>
                <w:b/>
                <w:sz w:val="20"/>
                <w:szCs w:val="20"/>
              </w:rPr>
              <w:t>Rpts</w:t>
            </w:r>
            <w:proofErr w:type="spellEnd"/>
          </w:p>
        </w:tc>
        <w:tc>
          <w:tcPr>
            <w:tcW w:w="903" w:type="pct"/>
            <w:tcBorders>
              <w:bottom w:val="single" w:sz="4" w:space="0" w:color="auto"/>
            </w:tcBorders>
          </w:tcPr>
          <w:p w:rsidR="00F861B1" w:rsidRPr="00AE07CE" w:rsidRDefault="00F861B1" w:rsidP="00B242D1">
            <w:pPr>
              <w:keepNext/>
              <w:spacing w:before="40" w:after="40"/>
              <w:jc w:val="both"/>
              <w:rPr>
                <w:rFonts w:ascii="Arial Narrow" w:hAnsi="Arial Narrow" w:cs="Arial"/>
                <w:b/>
                <w:sz w:val="20"/>
                <w:szCs w:val="20"/>
              </w:rPr>
            </w:pPr>
            <w:r w:rsidRPr="00AE07CE">
              <w:rPr>
                <w:rFonts w:ascii="Arial Narrow" w:hAnsi="Arial Narrow" w:cs="Arial"/>
                <w:b/>
                <w:sz w:val="20"/>
                <w:szCs w:val="20"/>
              </w:rPr>
              <w:t xml:space="preserve">Dispensed Price for Max. </w:t>
            </w:r>
            <w:proofErr w:type="spellStart"/>
            <w:r w:rsidRPr="00AE07CE">
              <w:rPr>
                <w:rFonts w:ascii="Arial Narrow" w:hAnsi="Arial Narrow" w:cs="Arial"/>
                <w:b/>
                <w:sz w:val="20"/>
                <w:szCs w:val="20"/>
              </w:rPr>
              <w:t>Qty</w:t>
            </w:r>
            <w:proofErr w:type="spellEnd"/>
          </w:p>
        </w:tc>
        <w:tc>
          <w:tcPr>
            <w:tcW w:w="1342" w:type="pct"/>
            <w:gridSpan w:val="2"/>
            <w:tcBorders>
              <w:bottom w:val="single" w:sz="4" w:space="0" w:color="auto"/>
            </w:tcBorders>
          </w:tcPr>
          <w:p w:rsidR="00F861B1" w:rsidRPr="007A086B" w:rsidRDefault="00F861B1" w:rsidP="00B242D1">
            <w:pPr>
              <w:keepNext/>
              <w:spacing w:before="40" w:after="40"/>
              <w:jc w:val="both"/>
              <w:rPr>
                <w:rFonts w:ascii="Arial Narrow" w:hAnsi="Arial Narrow" w:cs="Arial"/>
                <w:b/>
                <w:sz w:val="20"/>
                <w:szCs w:val="20"/>
              </w:rPr>
            </w:pPr>
            <w:r w:rsidRPr="00AE07CE">
              <w:rPr>
                <w:rFonts w:ascii="Arial Narrow" w:hAnsi="Arial Narrow" w:cs="Arial"/>
                <w:b/>
                <w:sz w:val="20"/>
                <w:szCs w:val="20"/>
              </w:rPr>
              <w:t>Proprietary Name and Manufacturer</w:t>
            </w:r>
          </w:p>
        </w:tc>
      </w:tr>
      <w:tr w:rsidR="00F861B1" w:rsidRPr="00AE07CE" w:rsidTr="00B242D1">
        <w:trPr>
          <w:cantSplit/>
          <w:trHeight w:val="567"/>
        </w:trPr>
        <w:tc>
          <w:tcPr>
            <w:tcW w:w="1845" w:type="pct"/>
            <w:gridSpan w:val="2"/>
          </w:tcPr>
          <w:p w:rsidR="00F861B1" w:rsidRPr="00AE07CE" w:rsidRDefault="00F861B1" w:rsidP="00B242D1">
            <w:pPr>
              <w:keepNext/>
              <w:spacing w:before="40" w:after="40"/>
              <w:jc w:val="both"/>
              <w:rPr>
                <w:rFonts w:ascii="Arial Narrow" w:hAnsi="Arial Narrow" w:cs="Arial"/>
                <w:smallCaps/>
                <w:sz w:val="20"/>
                <w:szCs w:val="20"/>
              </w:rPr>
            </w:pPr>
            <w:r w:rsidRPr="00AE07CE">
              <w:rPr>
                <w:rFonts w:ascii="Arial Narrow" w:hAnsi="Arial Narrow" w:cs="Arial"/>
                <w:smallCaps/>
                <w:sz w:val="20"/>
                <w:szCs w:val="20"/>
              </w:rPr>
              <w:t>BEVACIZUMAB</w:t>
            </w:r>
          </w:p>
          <w:p w:rsidR="00F861B1" w:rsidRPr="00AE07CE" w:rsidRDefault="00F861B1" w:rsidP="00B242D1">
            <w:pPr>
              <w:keepNext/>
              <w:spacing w:before="40" w:after="40"/>
              <w:jc w:val="both"/>
              <w:rPr>
                <w:rFonts w:ascii="Arial Narrow" w:hAnsi="Arial Narrow" w:cs="Arial"/>
                <w:sz w:val="20"/>
                <w:szCs w:val="20"/>
              </w:rPr>
            </w:pPr>
            <w:r w:rsidRPr="00AE07CE">
              <w:rPr>
                <w:rFonts w:ascii="Arial Narrow" w:hAnsi="Arial Narrow" w:cs="Arial"/>
                <w:sz w:val="20"/>
                <w:szCs w:val="20"/>
              </w:rPr>
              <w:t>Bevacizumab 400 mg/16 mL injection, 16 mL vial</w:t>
            </w:r>
          </w:p>
          <w:p w:rsidR="00F861B1" w:rsidRPr="00AE07CE" w:rsidRDefault="00F861B1" w:rsidP="00B242D1">
            <w:pPr>
              <w:keepNext/>
              <w:spacing w:before="40" w:after="40"/>
              <w:jc w:val="both"/>
              <w:rPr>
                <w:rFonts w:ascii="Arial Narrow" w:hAnsi="Arial Narrow" w:cs="Arial"/>
                <w:sz w:val="20"/>
                <w:szCs w:val="20"/>
              </w:rPr>
            </w:pPr>
          </w:p>
          <w:p w:rsidR="00F861B1" w:rsidRPr="00AE07CE" w:rsidRDefault="00F861B1" w:rsidP="00B242D1">
            <w:pPr>
              <w:keepNext/>
              <w:spacing w:before="40" w:after="40"/>
              <w:jc w:val="both"/>
              <w:rPr>
                <w:rFonts w:ascii="Arial Narrow" w:hAnsi="Arial Narrow" w:cs="Arial"/>
                <w:sz w:val="20"/>
                <w:szCs w:val="20"/>
              </w:rPr>
            </w:pPr>
            <w:r w:rsidRPr="00AE07CE">
              <w:rPr>
                <w:rFonts w:ascii="Arial Narrow" w:hAnsi="Arial Narrow" w:cs="Arial"/>
                <w:sz w:val="20"/>
                <w:szCs w:val="20"/>
              </w:rPr>
              <w:t>Bevacizumab 100 mg/4mL injection, 4 mL vial</w:t>
            </w:r>
          </w:p>
        </w:tc>
        <w:tc>
          <w:tcPr>
            <w:tcW w:w="413" w:type="pct"/>
          </w:tcPr>
          <w:p w:rsidR="00F861B1" w:rsidRPr="00AE07CE" w:rsidRDefault="00F861B1" w:rsidP="00B242D1">
            <w:pPr>
              <w:keepNext/>
              <w:spacing w:before="40" w:after="40"/>
              <w:jc w:val="both"/>
              <w:rPr>
                <w:rFonts w:ascii="Arial Narrow" w:hAnsi="Arial Narrow" w:cs="Arial"/>
                <w:sz w:val="20"/>
                <w:szCs w:val="20"/>
              </w:rPr>
            </w:pPr>
          </w:p>
          <w:p w:rsidR="00F861B1" w:rsidRPr="00AE07CE" w:rsidRDefault="00F861B1" w:rsidP="00B242D1">
            <w:pPr>
              <w:keepNext/>
              <w:spacing w:before="40" w:after="40"/>
              <w:jc w:val="both"/>
              <w:rPr>
                <w:rFonts w:ascii="Arial Narrow" w:hAnsi="Arial Narrow" w:cs="Arial"/>
                <w:sz w:val="20"/>
                <w:szCs w:val="20"/>
              </w:rPr>
            </w:pPr>
            <w:r w:rsidRPr="00AE07CE">
              <w:rPr>
                <w:rFonts w:ascii="Arial Narrow" w:hAnsi="Arial Narrow" w:cs="Arial"/>
                <w:sz w:val="20"/>
                <w:szCs w:val="20"/>
              </w:rPr>
              <w:t>1,800 mg</w:t>
            </w:r>
          </w:p>
        </w:tc>
        <w:tc>
          <w:tcPr>
            <w:tcW w:w="497" w:type="pct"/>
          </w:tcPr>
          <w:p w:rsidR="00F861B1" w:rsidRPr="00373B5B" w:rsidRDefault="00F861B1" w:rsidP="00B242D1">
            <w:pPr>
              <w:keepNext/>
              <w:spacing w:before="40" w:after="40"/>
              <w:jc w:val="both"/>
              <w:rPr>
                <w:rFonts w:ascii="Arial Narrow" w:hAnsi="Arial Narrow" w:cs="Arial"/>
                <w:sz w:val="20"/>
                <w:szCs w:val="20"/>
              </w:rPr>
            </w:pPr>
          </w:p>
          <w:p w:rsidR="00F861B1" w:rsidRPr="00373B5B" w:rsidRDefault="00F861B1" w:rsidP="00B242D1">
            <w:pPr>
              <w:keepNext/>
              <w:spacing w:before="40" w:after="40"/>
              <w:jc w:val="both"/>
              <w:rPr>
                <w:rFonts w:ascii="Arial Narrow" w:hAnsi="Arial Narrow" w:cs="Arial"/>
                <w:sz w:val="20"/>
                <w:szCs w:val="20"/>
              </w:rPr>
            </w:pPr>
            <w:r w:rsidRPr="00373B5B">
              <w:rPr>
                <w:rFonts w:ascii="Arial Narrow" w:hAnsi="Arial Narrow" w:cs="Arial"/>
                <w:sz w:val="20"/>
                <w:szCs w:val="20"/>
              </w:rPr>
              <w:t>5</w:t>
            </w:r>
          </w:p>
        </w:tc>
        <w:tc>
          <w:tcPr>
            <w:tcW w:w="903" w:type="pct"/>
          </w:tcPr>
          <w:p w:rsidR="00F861B1" w:rsidRPr="00373B5B" w:rsidRDefault="00F861B1" w:rsidP="00B242D1">
            <w:pPr>
              <w:keepNext/>
              <w:spacing w:before="40" w:after="40"/>
              <w:jc w:val="both"/>
              <w:rPr>
                <w:rFonts w:ascii="Arial Narrow" w:hAnsi="Arial Narrow" w:cs="Arial"/>
                <w:sz w:val="20"/>
                <w:szCs w:val="20"/>
              </w:rPr>
            </w:pPr>
            <w:r w:rsidRPr="00373B5B">
              <w:rPr>
                <w:rFonts w:ascii="Arial Narrow" w:hAnsi="Arial Narrow" w:cs="Arial"/>
                <w:sz w:val="20"/>
                <w:szCs w:val="20"/>
              </w:rPr>
              <w:t>Published</w:t>
            </w:r>
          </w:p>
          <w:p w:rsidR="00F861B1" w:rsidRPr="00373B5B" w:rsidRDefault="00F861B1" w:rsidP="00B242D1">
            <w:pPr>
              <w:keepNext/>
              <w:spacing w:before="40" w:after="40"/>
              <w:jc w:val="both"/>
              <w:rPr>
                <w:rFonts w:ascii="Arial Narrow" w:hAnsi="Arial Narrow" w:cs="Arial"/>
                <w:sz w:val="20"/>
                <w:szCs w:val="20"/>
              </w:rPr>
            </w:pPr>
            <w:r w:rsidRPr="00373B5B">
              <w:rPr>
                <w:rFonts w:ascii="Arial Narrow" w:hAnsi="Arial Narrow" w:cs="Arial"/>
                <w:sz w:val="20"/>
                <w:szCs w:val="20"/>
              </w:rPr>
              <w:t>Public: $7,437.44</w:t>
            </w:r>
          </w:p>
          <w:p w:rsidR="00F861B1" w:rsidRPr="00373B5B" w:rsidRDefault="00F861B1" w:rsidP="00B242D1">
            <w:pPr>
              <w:keepNext/>
              <w:spacing w:before="40" w:after="40"/>
              <w:jc w:val="both"/>
              <w:rPr>
                <w:rFonts w:ascii="Arial Narrow" w:hAnsi="Arial Narrow" w:cs="Arial"/>
                <w:sz w:val="20"/>
                <w:szCs w:val="20"/>
              </w:rPr>
            </w:pPr>
            <w:r w:rsidRPr="00373B5B">
              <w:rPr>
                <w:rFonts w:ascii="Arial Narrow" w:hAnsi="Arial Narrow" w:cs="Arial"/>
                <w:sz w:val="20"/>
                <w:szCs w:val="20"/>
              </w:rPr>
              <w:t>Private: $7,579.62</w:t>
            </w:r>
          </w:p>
          <w:p w:rsidR="00F861B1" w:rsidRPr="00373B5B" w:rsidRDefault="00F861B1" w:rsidP="00B242D1">
            <w:pPr>
              <w:keepNext/>
              <w:spacing w:before="40" w:after="40"/>
              <w:jc w:val="both"/>
              <w:rPr>
                <w:rFonts w:ascii="Arial Narrow" w:hAnsi="Arial Narrow" w:cs="Arial"/>
                <w:sz w:val="20"/>
                <w:szCs w:val="20"/>
              </w:rPr>
            </w:pPr>
            <w:r w:rsidRPr="00373B5B">
              <w:rPr>
                <w:rFonts w:ascii="Arial Narrow" w:hAnsi="Arial Narrow" w:cs="Arial"/>
                <w:sz w:val="20"/>
                <w:szCs w:val="20"/>
              </w:rPr>
              <w:t>Effective</w:t>
            </w:r>
          </w:p>
          <w:p w:rsidR="00FE12FF" w:rsidRPr="00373B5B" w:rsidRDefault="00F861B1" w:rsidP="00FE12FF">
            <w:pPr>
              <w:keepNext/>
              <w:spacing w:before="40" w:after="40"/>
              <w:jc w:val="both"/>
              <w:rPr>
                <w:rFonts w:ascii="Arial Narrow" w:hAnsi="Arial Narrow" w:cs="Arial"/>
                <w:sz w:val="20"/>
                <w:szCs w:val="20"/>
              </w:rPr>
            </w:pPr>
            <w:r w:rsidRPr="00373B5B">
              <w:rPr>
                <w:rFonts w:ascii="Arial Narrow" w:hAnsi="Arial Narrow" w:cs="Arial"/>
                <w:sz w:val="20"/>
                <w:szCs w:val="20"/>
              </w:rPr>
              <w:t>Public:</w:t>
            </w:r>
            <w:r w:rsidR="00992C08" w:rsidRPr="00373B5B">
              <w:rPr>
                <w:rFonts w:ascii="Arial Narrow" w:hAnsi="Arial Narrow" w:cs="Arial"/>
                <w:sz w:val="20"/>
                <w:szCs w:val="20"/>
              </w:rPr>
              <w:t xml:space="preserve"> </w:t>
            </w:r>
            <w:r w:rsidR="00FE12FF" w:rsidRPr="00373B5B">
              <w:rPr>
                <w:rFonts w:ascii="Arial Narrow" w:hAnsi="Arial Narrow" w:cs="Arial"/>
                <w:sz w:val="20"/>
                <w:szCs w:val="20"/>
              </w:rPr>
              <w:t>$</w:t>
            </w:r>
            <w:r w:rsidR="00E454F3">
              <w:rPr>
                <w:rFonts w:ascii="Arial Narrow" w:hAnsi="Arial Narrow" w:cs="Arial"/>
                <w:noProof/>
                <w:color w:val="000000"/>
                <w:sz w:val="20"/>
                <w:szCs w:val="20"/>
                <w:highlight w:val="black"/>
              </w:rPr>
              <w:t>'''''''''''''''''''''</w:t>
            </w:r>
          </w:p>
          <w:p w:rsidR="00F861B1" w:rsidRPr="00373B5B" w:rsidRDefault="00FE12FF" w:rsidP="00B242D1">
            <w:pPr>
              <w:keepNext/>
              <w:spacing w:before="40" w:after="40"/>
              <w:jc w:val="both"/>
              <w:rPr>
                <w:rFonts w:ascii="Arial Narrow" w:hAnsi="Arial Narrow" w:cs="Arial"/>
                <w:sz w:val="20"/>
                <w:szCs w:val="20"/>
              </w:rPr>
            </w:pPr>
            <w:r w:rsidRPr="00373B5B">
              <w:rPr>
                <w:rFonts w:ascii="Arial Narrow" w:hAnsi="Arial Narrow" w:cs="Arial"/>
                <w:sz w:val="20"/>
                <w:szCs w:val="20"/>
              </w:rPr>
              <w:t>Private: $</w:t>
            </w:r>
            <w:r w:rsidR="00E454F3">
              <w:rPr>
                <w:rFonts w:ascii="Arial Narrow" w:hAnsi="Arial Narrow" w:cs="Arial"/>
                <w:noProof/>
                <w:color w:val="000000"/>
                <w:sz w:val="20"/>
                <w:szCs w:val="20"/>
                <w:highlight w:val="black"/>
              </w:rPr>
              <w:t>'''''''''''''''''''''</w:t>
            </w:r>
          </w:p>
        </w:tc>
        <w:tc>
          <w:tcPr>
            <w:tcW w:w="470" w:type="pct"/>
          </w:tcPr>
          <w:p w:rsidR="00F861B1" w:rsidRPr="00373B5B" w:rsidRDefault="00F861B1" w:rsidP="00B242D1">
            <w:pPr>
              <w:keepNext/>
              <w:spacing w:before="40" w:after="40"/>
              <w:jc w:val="both"/>
              <w:rPr>
                <w:rFonts w:ascii="Arial Narrow" w:hAnsi="Arial Narrow" w:cs="Arial"/>
                <w:sz w:val="20"/>
                <w:szCs w:val="20"/>
              </w:rPr>
            </w:pPr>
          </w:p>
          <w:p w:rsidR="00F861B1" w:rsidRPr="00373B5B" w:rsidRDefault="00F861B1" w:rsidP="00B242D1">
            <w:pPr>
              <w:keepNext/>
              <w:spacing w:before="40" w:after="40"/>
              <w:jc w:val="both"/>
              <w:rPr>
                <w:rFonts w:ascii="Arial Narrow" w:hAnsi="Arial Narrow" w:cs="Arial"/>
                <w:sz w:val="20"/>
                <w:szCs w:val="20"/>
                <w:vertAlign w:val="superscript"/>
              </w:rPr>
            </w:pPr>
            <w:proofErr w:type="spellStart"/>
            <w:r w:rsidRPr="00373B5B">
              <w:rPr>
                <w:rFonts w:ascii="Arial Narrow" w:hAnsi="Arial Narrow" w:cs="Arial"/>
                <w:sz w:val="20"/>
                <w:szCs w:val="20"/>
              </w:rPr>
              <w:t>Avastin</w:t>
            </w:r>
            <w:proofErr w:type="spellEnd"/>
            <w:r w:rsidRPr="00373B5B">
              <w:rPr>
                <w:rFonts w:ascii="Arial Narrow" w:hAnsi="Arial Narrow" w:cs="Arial"/>
                <w:sz w:val="20"/>
                <w:szCs w:val="20"/>
                <w:vertAlign w:val="superscript"/>
              </w:rPr>
              <w:t>®</w:t>
            </w:r>
          </w:p>
        </w:tc>
        <w:tc>
          <w:tcPr>
            <w:tcW w:w="872" w:type="pct"/>
          </w:tcPr>
          <w:p w:rsidR="00F861B1" w:rsidRPr="00AE07CE" w:rsidRDefault="00F861B1" w:rsidP="00B242D1">
            <w:pPr>
              <w:keepNext/>
              <w:spacing w:before="40" w:after="40"/>
              <w:jc w:val="both"/>
              <w:rPr>
                <w:rFonts w:ascii="Arial Narrow" w:hAnsi="Arial Narrow" w:cs="Arial"/>
                <w:sz w:val="20"/>
                <w:szCs w:val="20"/>
              </w:rPr>
            </w:pPr>
          </w:p>
          <w:p w:rsidR="00F861B1" w:rsidRPr="00AE07CE" w:rsidRDefault="00F861B1" w:rsidP="00B242D1">
            <w:pPr>
              <w:keepNext/>
              <w:spacing w:before="40" w:after="40"/>
              <w:jc w:val="both"/>
              <w:rPr>
                <w:rFonts w:ascii="Arial Narrow" w:hAnsi="Arial Narrow" w:cs="Arial"/>
                <w:sz w:val="20"/>
                <w:szCs w:val="20"/>
              </w:rPr>
            </w:pPr>
            <w:r w:rsidRPr="00AE07CE">
              <w:rPr>
                <w:rFonts w:ascii="Arial Narrow" w:hAnsi="Arial Narrow" w:cs="Arial"/>
                <w:sz w:val="20"/>
                <w:szCs w:val="20"/>
              </w:rPr>
              <w:t>Roche</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E362E">
            <w:pPr>
              <w:spacing w:before="40" w:after="40"/>
              <w:jc w:val="both"/>
              <w:rPr>
                <w:rFonts w:ascii="Arial Narrow" w:hAnsi="Arial Narrow" w:cs="Arial"/>
                <w:b/>
                <w:sz w:val="20"/>
                <w:szCs w:val="20"/>
              </w:rPr>
            </w:pPr>
            <w:r w:rsidRPr="00AE07CE">
              <w:rPr>
                <w:rFonts w:ascii="Arial Narrow" w:hAnsi="Arial Narrow" w:cs="Arial"/>
                <w:b/>
                <w:sz w:val="20"/>
                <w:szCs w:val="20"/>
              </w:rPr>
              <w:t>Category / Program</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25063E">
            <w:pPr>
              <w:spacing w:before="40" w:after="40"/>
              <w:rPr>
                <w:rFonts w:ascii="Arial Narrow" w:hAnsi="Arial Narrow" w:cs="Arial"/>
                <w:sz w:val="20"/>
                <w:szCs w:val="20"/>
              </w:rPr>
            </w:pPr>
            <w:r w:rsidRPr="00AE07CE">
              <w:rPr>
                <w:rFonts w:ascii="Arial Narrow" w:hAnsi="Arial Narrow" w:cs="Arial"/>
                <w:sz w:val="20"/>
                <w:szCs w:val="20"/>
              </w:rPr>
              <w:t>Chemotherapy</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b/>
                <w:sz w:val="20"/>
                <w:szCs w:val="20"/>
              </w:rPr>
            </w:pPr>
            <w:r w:rsidRPr="00AE07CE">
              <w:rPr>
                <w:rFonts w:ascii="Arial Narrow" w:hAnsi="Arial Narrow" w:cs="Arial"/>
                <w:b/>
                <w:sz w:val="20"/>
                <w:szCs w:val="20"/>
              </w:rPr>
              <w:t>Prescriber type:</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25063E">
            <w:pPr>
              <w:rPr>
                <w:rFonts w:ascii="Arial Narrow" w:hAnsi="Arial Narrow" w:cs="Arial"/>
                <w:sz w:val="20"/>
                <w:szCs w:val="20"/>
              </w:rPr>
            </w:pPr>
            <w:r w:rsidRPr="00274711">
              <w:rPr>
                <w:rFonts w:ascii="Arial Narrow" w:hAnsi="Arial Narrow" w:cs="Arial"/>
                <w:sz w:val="20"/>
                <w:szCs w:val="20"/>
              </w:rPr>
              <w:fldChar w:fldCharType="begin">
                <w:ffData>
                  <w:name w:val=""/>
                  <w:enabled/>
                  <w:calcOnExit w:val="0"/>
                  <w:checkBox>
                    <w:sizeAuto/>
                    <w:default w:val="1"/>
                  </w:checkBox>
                </w:ffData>
              </w:fldChar>
            </w:r>
            <w:r w:rsidRPr="00AE07CE">
              <w:rPr>
                <w:rFonts w:ascii="Arial Narrow" w:hAnsi="Arial Narrow" w:cs="Arial"/>
                <w:sz w:val="20"/>
                <w:szCs w:val="20"/>
              </w:rPr>
              <w:instrText xml:space="preserve"> FORMCHECKBOX </w:instrText>
            </w:r>
            <w:r w:rsidR="001958BE">
              <w:rPr>
                <w:rFonts w:ascii="Arial Narrow" w:hAnsi="Arial Narrow" w:cs="Arial"/>
                <w:sz w:val="20"/>
                <w:szCs w:val="20"/>
              </w:rPr>
            </w:r>
            <w:r w:rsidR="001958BE">
              <w:rPr>
                <w:rFonts w:ascii="Arial Narrow" w:hAnsi="Arial Narrow" w:cs="Arial"/>
                <w:sz w:val="20"/>
                <w:szCs w:val="20"/>
              </w:rPr>
              <w:fldChar w:fldCharType="separate"/>
            </w:r>
            <w:r w:rsidRPr="00274711">
              <w:rPr>
                <w:rFonts w:ascii="Arial Narrow" w:hAnsi="Arial Narrow" w:cs="Arial"/>
                <w:sz w:val="20"/>
                <w:szCs w:val="20"/>
              </w:rPr>
              <w:fldChar w:fldCharType="end"/>
            </w:r>
            <w:r w:rsidRPr="00AE07CE">
              <w:rPr>
                <w:rFonts w:ascii="Arial Narrow" w:hAnsi="Arial Narrow" w:cs="Arial"/>
                <w:sz w:val="20"/>
                <w:szCs w:val="20"/>
              </w:rPr>
              <w:t xml:space="preserve">Medical Practitioners </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b/>
                <w:sz w:val="20"/>
                <w:szCs w:val="20"/>
              </w:rPr>
            </w:pPr>
            <w:r w:rsidRPr="00AE07CE">
              <w:rPr>
                <w:rFonts w:ascii="Arial Narrow" w:hAnsi="Arial Narrow" w:cs="Arial"/>
                <w:b/>
                <w:sz w:val="20"/>
                <w:szCs w:val="20"/>
              </w:rPr>
              <w:t>Condition:</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25063E">
            <w:pPr>
              <w:rPr>
                <w:rFonts w:ascii="Arial Narrow" w:hAnsi="Arial Narrow" w:cs="Arial"/>
                <w:sz w:val="20"/>
                <w:szCs w:val="20"/>
              </w:rPr>
            </w:pPr>
            <w:r w:rsidRPr="00AE07CE">
              <w:rPr>
                <w:rFonts w:ascii="Arial Narrow" w:hAnsi="Arial Narrow"/>
                <w:bCs/>
                <w:sz w:val="20"/>
                <w:szCs w:val="20"/>
              </w:rPr>
              <w:t>Glioblastoma</w:t>
            </w:r>
            <w:r w:rsidR="00CF77BB" w:rsidRPr="00AE07CE">
              <w:rPr>
                <w:rFonts w:ascii="Arial Narrow" w:hAnsi="Arial Narrow"/>
                <w:bCs/>
                <w:sz w:val="20"/>
                <w:szCs w:val="20"/>
              </w:rPr>
              <w:t xml:space="preserve"> </w:t>
            </w:r>
          </w:p>
        </w:tc>
      </w:tr>
      <w:tr w:rsidR="00F861B1" w:rsidRPr="00AE07CE" w:rsidTr="00A771EE">
        <w:trPr>
          <w:cantSplit/>
          <w:trHeight w:val="7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b/>
                <w:sz w:val="20"/>
                <w:szCs w:val="20"/>
              </w:rPr>
            </w:pPr>
            <w:r w:rsidRPr="00AE07CE">
              <w:rPr>
                <w:rFonts w:ascii="Arial Narrow" w:hAnsi="Arial Narrow" w:cs="Arial"/>
                <w:b/>
                <w:sz w:val="20"/>
                <w:szCs w:val="20"/>
              </w:rPr>
              <w:t>PBS Indication:</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cs="Arial"/>
                <w:sz w:val="20"/>
                <w:szCs w:val="20"/>
              </w:rPr>
            </w:pPr>
            <w:r w:rsidRPr="00AE07CE">
              <w:rPr>
                <w:rFonts w:ascii="Arial Narrow" w:hAnsi="Arial Narrow"/>
                <w:bCs/>
                <w:sz w:val="20"/>
                <w:szCs w:val="20"/>
              </w:rPr>
              <w:t xml:space="preserve">Relapsed or recurrent glioblastoma </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i/>
                <w:sz w:val="20"/>
                <w:szCs w:val="20"/>
              </w:rPr>
            </w:pPr>
            <w:r w:rsidRPr="00AE07CE">
              <w:rPr>
                <w:rFonts w:ascii="Arial Narrow" w:hAnsi="Arial Narrow" w:cs="Arial"/>
                <w:b/>
                <w:sz w:val="20"/>
                <w:szCs w:val="20"/>
              </w:rPr>
              <w:t>Treatment phase:</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cs="Arial"/>
                <w:b/>
                <w:sz w:val="20"/>
                <w:szCs w:val="20"/>
              </w:rPr>
            </w:pPr>
            <w:r w:rsidRPr="00AE07CE">
              <w:rPr>
                <w:rFonts w:ascii="Arial Narrow" w:hAnsi="Arial Narrow"/>
                <w:b/>
                <w:bCs/>
                <w:sz w:val="20"/>
                <w:szCs w:val="20"/>
              </w:rPr>
              <w:t xml:space="preserve">Initial </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sz w:val="20"/>
                <w:szCs w:val="20"/>
              </w:rPr>
            </w:pPr>
            <w:r w:rsidRPr="00AE07CE">
              <w:rPr>
                <w:rFonts w:ascii="Arial Narrow" w:hAnsi="Arial Narrow" w:cs="Arial"/>
                <w:b/>
                <w:sz w:val="20"/>
                <w:szCs w:val="20"/>
              </w:rPr>
              <w:t>Restriction Level / Method:</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cs="Arial"/>
                <w:sz w:val="20"/>
                <w:szCs w:val="20"/>
              </w:rPr>
            </w:pPr>
            <w:r w:rsidRPr="00AE07CE">
              <w:rPr>
                <w:rFonts w:ascii="Arial Narrow" w:hAnsi="Arial Narrow" w:cs="Arial"/>
                <w:sz w:val="20"/>
                <w:szCs w:val="20"/>
              </w:rPr>
              <w:t>Authority Required - In Writing</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sz w:val="20"/>
                <w:szCs w:val="20"/>
              </w:rPr>
            </w:pPr>
            <w:r w:rsidRPr="00AE07CE">
              <w:rPr>
                <w:rFonts w:ascii="Arial Narrow" w:hAnsi="Arial Narrow" w:cs="Arial"/>
                <w:b/>
                <w:sz w:val="20"/>
                <w:szCs w:val="20"/>
              </w:rPr>
              <w:lastRenderedPageBreak/>
              <w:t>Clinical criteria:</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B242D1">
            <w:pPr>
              <w:pStyle w:val="TableText1"/>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 xml:space="preserve">Patient must have confirmed glioblastoma, </w:t>
            </w:r>
          </w:p>
          <w:p w:rsidR="00F861B1" w:rsidRPr="00AE07CE" w:rsidRDefault="00F861B1" w:rsidP="00B242D1">
            <w:pPr>
              <w:pStyle w:val="TableText1"/>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B81A0A" w:rsidRPr="00AE07CE" w:rsidRDefault="00B81A0A" w:rsidP="00B81A0A">
            <w:pPr>
              <w:rPr>
                <w:rFonts w:ascii="Arial Narrow" w:hAnsi="Arial Narrow" w:cs="Arial"/>
                <w:color w:val="000000"/>
                <w:sz w:val="20"/>
                <w:szCs w:val="20"/>
              </w:rPr>
            </w:pPr>
            <w:r w:rsidRPr="00AE07CE">
              <w:rPr>
                <w:rFonts w:ascii="Arial Narrow" w:hAnsi="Arial Narrow" w:cs="Arial"/>
                <w:color w:val="000000"/>
                <w:sz w:val="20"/>
                <w:szCs w:val="20"/>
              </w:rPr>
              <w:t>Patient must have radiologic evidence of evaluable disease AND</w:t>
            </w:r>
          </w:p>
          <w:p w:rsidR="00B81A0A" w:rsidRPr="00AE07CE" w:rsidRDefault="00B81A0A" w:rsidP="00B81A0A">
            <w:pPr>
              <w:rPr>
                <w:rFonts w:ascii="Arial Narrow" w:hAnsi="Arial Narrow" w:cs="Arial"/>
                <w:color w:val="000000"/>
                <w:sz w:val="20"/>
                <w:szCs w:val="20"/>
              </w:rPr>
            </w:pPr>
            <w:r w:rsidRPr="00AE07CE">
              <w:rPr>
                <w:rFonts w:ascii="Arial Narrow" w:hAnsi="Arial Narrow" w:cs="Arial"/>
                <w:color w:val="000000"/>
                <w:sz w:val="20"/>
                <w:szCs w:val="20"/>
              </w:rPr>
              <w:t>Patient must have evidence of symptomatic progression,</w:t>
            </w:r>
          </w:p>
          <w:p w:rsidR="00B81A0A" w:rsidRPr="00AE07CE" w:rsidRDefault="00B81A0A" w:rsidP="00B242D1">
            <w:pPr>
              <w:pStyle w:val="TableText1"/>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F861B1" w:rsidRPr="00AE07CE" w:rsidRDefault="00F861B1" w:rsidP="00B242D1">
            <w:pPr>
              <w:pStyle w:val="TableText1"/>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 xml:space="preserve">Patient must have progressed on or be intolerant to </w:t>
            </w:r>
            <w:proofErr w:type="spellStart"/>
            <w:r w:rsidRPr="00AE07CE">
              <w:rPr>
                <w:rFonts w:ascii="Arial Narrow" w:eastAsia="Times New Roman" w:hAnsi="Arial Narrow" w:cs="Arial"/>
                <w:color w:val="000000"/>
                <w:szCs w:val="20"/>
                <w:lang w:eastAsia="en-AU"/>
              </w:rPr>
              <w:t>temozolomide</w:t>
            </w:r>
            <w:proofErr w:type="spellEnd"/>
            <w:r w:rsidRPr="00AE07CE">
              <w:rPr>
                <w:rFonts w:ascii="Arial Narrow" w:eastAsia="Times New Roman" w:hAnsi="Arial Narrow" w:cs="Arial"/>
                <w:color w:val="000000"/>
                <w:szCs w:val="20"/>
                <w:lang w:eastAsia="en-AU"/>
              </w:rPr>
              <w:t>,</w:t>
            </w:r>
          </w:p>
          <w:p w:rsidR="00F861B1" w:rsidRPr="00AE07CE" w:rsidRDefault="00F861B1" w:rsidP="00B242D1">
            <w:pPr>
              <w:pStyle w:val="TableText1"/>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F861B1" w:rsidRPr="00AE07CE" w:rsidRDefault="00F861B1" w:rsidP="00B242D1">
            <w:pPr>
              <w:spacing w:before="40" w:after="40"/>
              <w:jc w:val="both"/>
              <w:rPr>
                <w:rFonts w:ascii="Arial Narrow" w:hAnsi="Arial Narrow" w:cs="Arial"/>
                <w:color w:val="000000"/>
                <w:sz w:val="20"/>
                <w:szCs w:val="20"/>
              </w:rPr>
            </w:pPr>
            <w:r w:rsidRPr="00AE07CE">
              <w:rPr>
                <w:rFonts w:ascii="Arial Narrow" w:hAnsi="Arial Narrow" w:cs="Arial"/>
                <w:color w:val="000000"/>
                <w:sz w:val="20"/>
                <w:szCs w:val="20"/>
              </w:rPr>
              <w:t>Initial treatment must be limited to 12 weeks under this restriction,</w:t>
            </w:r>
          </w:p>
          <w:p w:rsidR="00F861B1" w:rsidRPr="00AE07CE" w:rsidRDefault="00F861B1" w:rsidP="00B242D1">
            <w:pPr>
              <w:pStyle w:val="Default"/>
              <w:rPr>
                <w:rFonts w:ascii="Arial Narrow" w:hAnsi="Arial Narrow"/>
                <w:sz w:val="20"/>
                <w:szCs w:val="20"/>
              </w:rPr>
            </w:pPr>
            <w:r w:rsidRPr="00AE07CE">
              <w:rPr>
                <w:rFonts w:ascii="Arial Narrow" w:hAnsi="Arial Narrow"/>
                <w:sz w:val="20"/>
                <w:szCs w:val="20"/>
              </w:rPr>
              <w:t>AND</w:t>
            </w:r>
          </w:p>
          <w:p w:rsidR="00A759D8" w:rsidRPr="00AE07CE" w:rsidRDefault="00F861B1" w:rsidP="00B242D1">
            <w:pPr>
              <w:pStyle w:val="Default"/>
              <w:rPr>
                <w:rFonts w:ascii="Arial Narrow" w:hAnsi="Arial Narrow"/>
                <w:sz w:val="20"/>
                <w:szCs w:val="20"/>
              </w:rPr>
            </w:pPr>
            <w:r w:rsidRPr="00AE07CE">
              <w:rPr>
                <w:rFonts w:ascii="Arial Narrow" w:hAnsi="Arial Narrow"/>
                <w:sz w:val="20"/>
                <w:szCs w:val="20"/>
              </w:rPr>
              <w:t>Patient must have an Eastern Cooperative Oncology Group (ECOG) perfor</w:t>
            </w:r>
            <w:r w:rsidR="00A759D8" w:rsidRPr="00AE07CE">
              <w:rPr>
                <w:rFonts w:ascii="Arial Narrow" w:hAnsi="Arial Narrow"/>
                <w:sz w:val="20"/>
                <w:szCs w:val="20"/>
              </w:rPr>
              <w:t xml:space="preserve">mance status score of 2 or less, </w:t>
            </w:r>
          </w:p>
          <w:p w:rsidR="00F861B1" w:rsidRPr="00AE07CE" w:rsidRDefault="00A759D8" w:rsidP="00B242D1">
            <w:pPr>
              <w:pStyle w:val="Default"/>
              <w:rPr>
                <w:rFonts w:ascii="Arial Narrow" w:hAnsi="Arial Narrow"/>
                <w:sz w:val="20"/>
                <w:szCs w:val="20"/>
              </w:rPr>
            </w:pPr>
            <w:r w:rsidRPr="00AE07CE">
              <w:rPr>
                <w:rFonts w:ascii="Arial Narrow" w:hAnsi="Arial Narrow"/>
                <w:sz w:val="20"/>
                <w:szCs w:val="20"/>
              </w:rPr>
              <w:t>AND</w:t>
            </w:r>
          </w:p>
          <w:p w:rsidR="00A759D8" w:rsidRPr="00AE07CE" w:rsidRDefault="00A759D8" w:rsidP="00B242D1">
            <w:pPr>
              <w:pStyle w:val="Default"/>
              <w:rPr>
                <w:rFonts w:ascii="Arial Narrow" w:hAnsi="Arial Narrow"/>
                <w:sz w:val="20"/>
                <w:szCs w:val="20"/>
              </w:rPr>
            </w:pPr>
            <w:r w:rsidRPr="00AE07CE">
              <w:rPr>
                <w:rFonts w:ascii="Arial Narrow" w:hAnsi="Arial Narrow"/>
                <w:sz w:val="20"/>
                <w:szCs w:val="20"/>
              </w:rPr>
              <w:t>The condition must be previously untreated with this drug</w:t>
            </w:r>
            <w:r w:rsidR="009508D8" w:rsidRPr="00AE07CE">
              <w:rPr>
                <w:rFonts w:ascii="Arial Narrow" w:hAnsi="Arial Narrow"/>
                <w:sz w:val="20"/>
                <w:szCs w:val="20"/>
              </w:rPr>
              <w:t>,</w:t>
            </w:r>
          </w:p>
          <w:p w:rsidR="00E23969" w:rsidRPr="00AE07CE" w:rsidRDefault="00E23969" w:rsidP="00B242D1">
            <w:pPr>
              <w:pStyle w:val="Default"/>
              <w:rPr>
                <w:rFonts w:ascii="Arial Narrow" w:hAnsi="Arial Narrow"/>
                <w:sz w:val="20"/>
                <w:szCs w:val="20"/>
              </w:rPr>
            </w:pPr>
            <w:r w:rsidRPr="00AE07CE">
              <w:rPr>
                <w:rFonts w:ascii="Arial Narrow" w:hAnsi="Arial Narrow"/>
                <w:sz w:val="20"/>
                <w:szCs w:val="20"/>
              </w:rPr>
              <w:t>AND</w:t>
            </w:r>
          </w:p>
          <w:p w:rsidR="00E23969" w:rsidRPr="00AE07CE" w:rsidRDefault="00E23969" w:rsidP="00E23969">
            <w:pPr>
              <w:pStyle w:val="Default"/>
              <w:rPr>
                <w:rFonts w:ascii="Arial Narrow" w:hAnsi="Arial Narrow"/>
                <w:sz w:val="20"/>
                <w:szCs w:val="20"/>
              </w:rPr>
            </w:pPr>
            <w:r w:rsidRPr="00AE07CE">
              <w:rPr>
                <w:rFonts w:ascii="Arial Narrow" w:hAnsi="Arial Narrow"/>
                <w:sz w:val="20"/>
                <w:szCs w:val="20"/>
              </w:rPr>
              <w:t>The treatment must not exceed a dose of 10 mg per kg every 2 weeks; OR</w:t>
            </w:r>
          </w:p>
          <w:p w:rsidR="00E23969" w:rsidRPr="00AE07CE" w:rsidRDefault="00E23969" w:rsidP="00E23969">
            <w:pPr>
              <w:pStyle w:val="Default"/>
              <w:rPr>
                <w:rFonts w:ascii="Arial Narrow" w:hAnsi="Arial Narrow"/>
                <w:sz w:val="20"/>
                <w:szCs w:val="20"/>
              </w:rPr>
            </w:pPr>
            <w:r w:rsidRPr="00AE07CE">
              <w:rPr>
                <w:rFonts w:ascii="Arial Narrow" w:hAnsi="Arial Narrow"/>
                <w:sz w:val="20"/>
                <w:szCs w:val="20"/>
              </w:rPr>
              <w:t>The treatment must not exceed a dose of 15 mg per kg every 3 weeks.</w:t>
            </w:r>
          </w:p>
        </w:tc>
      </w:tr>
      <w:tr w:rsidR="00F861B1"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i/>
                <w:sz w:val="20"/>
                <w:szCs w:val="20"/>
              </w:rPr>
            </w:pPr>
            <w:r w:rsidRPr="00AE07CE">
              <w:rPr>
                <w:rFonts w:ascii="Arial Narrow" w:hAnsi="Arial Narrow" w:cs="Arial"/>
                <w:b/>
                <w:sz w:val="20"/>
                <w:szCs w:val="20"/>
              </w:rPr>
              <w:t>Administrative Advice</w:t>
            </w:r>
          </w:p>
        </w:tc>
        <w:tc>
          <w:tcPr>
            <w:tcW w:w="3918" w:type="pct"/>
            <w:gridSpan w:val="6"/>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sz w:val="20"/>
                <w:szCs w:val="20"/>
              </w:rPr>
            </w:pPr>
            <w:r w:rsidRPr="00AE07CE">
              <w:rPr>
                <w:rFonts w:ascii="Arial Narrow" w:hAnsi="Arial Narrow"/>
                <w:sz w:val="20"/>
                <w:szCs w:val="20"/>
              </w:rPr>
              <w:t>The authority application must be made in writing and must include:</w:t>
            </w:r>
          </w:p>
          <w:p w:rsidR="00F861B1" w:rsidRPr="00AE07CE" w:rsidRDefault="00F861B1" w:rsidP="00B242D1">
            <w:pPr>
              <w:spacing w:before="40" w:after="40"/>
              <w:rPr>
                <w:rFonts w:ascii="Arial Narrow" w:hAnsi="Arial Narrow"/>
                <w:sz w:val="20"/>
                <w:szCs w:val="20"/>
              </w:rPr>
            </w:pPr>
            <w:r w:rsidRPr="00AE07CE">
              <w:rPr>
                <w:rFonts w:ascii="Arial Narrow" w:hAnsi="Arial Narrow"/>
                <w:sz w:val="20"/>
                <w:szCs w:val="20"/>
              </w:rPr>
              <w:t>(1) a completed authority prescription form;</w:t>
            </w:r>
          </w:p>
          <w:p w:rsidR="00F861B1" w:rsidRPr="00AE07CE" w:rsidRDefault="00F861B1" w:rsidP="00B242D1">
            <w:pPr>
              <w:spacing w:before="40" w:after="40"/>
              <w:rPr>
                <w:rFonts w:ascii="Arial Narrow" w:hAnsi="Arial Narrow"/>
                <w:sz w:val="20"/>
                <w:szCs w:val="20"/>
              </w:rPr>
            </w:pPr>
            <w:r w:rsidRPr="00AE07CE">
              <w:rPr>
                <w:rFonts w:ascii="Arial Narrow" w:hAnsi="Arial Narrow"/>
                <w:sz w:val="20"/>
                <w:szCs w:val="20"/>
              </w:rPr>
              <w:t xml:space="preserve">(2) a completed Glioblastoma PBS Authority Application - Supporting Information Form; </w:t>
            </w:r>
          </w:p>
          <w:p w:rsidR="00B5186F" w:rsidRPr="00AE07CE" w:rsidRDefault="00B5186F" w:rsidP="00B242D1">
            <w:pPr>
              <w:spacing w:before="40" w:after="40"/>
              <w:rPr>
                <w:rFonts w:ascii="Arial Narrow" w:hAnsi="Arial Narrow"/>
                <w:sz w:val="20"/>
                <w:szCs w:val="20"/>
              </w:rPr>
            </w:pPr>
            <w:r w:rsidRPr="00AE07CE">
              <w:rPr>
                <w:rFonts w:ascii="Arial Narrow" w:hAnsi="Arial Narrow"/>
                <w:sz w:val="20"/>
                <w:szCs w:val="20"/>
              </w:rPr>
              <w:t>(3) evidence of confirmed glioblastoma;</w:t>
            </w:r>
          </w:p>
          <w:p w:rsidR="00F861B1" w:rsidRPr="00AE07CE" w:rsidRDefault="00F861B1" w:rsidP="00B242D1">
            <w:pPr>
              <w:spacing w:before="40" w:after="40"/>
              <w:rPr>
                <w:rFonts w:ascii="Arial Narrow" w:hAnsi="Arial Narrow"/>
                <w:sz w:val="20"/>
                <w:szCs w:val="20"/>
              </w:rPr>
            </w:pPr>
            <w:r w:rsidRPr="00AE07CE">
              <w:rPr>
                <w:rFonts w:ascii="Arial Narrow" w:hAnsi="Arial Narrow"/>
                <w:sz w:val="20"/>
                <w:szCs w:val="20"/>
              </w:rPr>
              <w:t>(</w:t>
            </w:r>
            <w:r w:rsidR="00B5186F" w:rsidRPr="00AE07CE">
              <w:rPr>
                <w:rFonts w:ascii="Arial Narrow" w:hAnsi="Arial Narrow"/>
                <w:sz w:val="20"/>
                <w:szCs w:val="20"/>
              </w:rPr>
              <w:t>4</w:t>
            </w:r>
            <w:r w:rsidRPr="00AE07CE">
              <w:rPr>
                <w:rFonts w:ascii="Arial Narrow" w:hAnsi="Arial Narrow"/>
                <w:sz w:val="20"/>
                <w:szCs w:val="20"/>
              </w:rPr>
              <w:t xml:space="preserve">) </w:t>
            </w:r>
            <w:proofErr w:type="gramStart"/>
            <w:r w:rsidRPr="00AE07CE">
              <w:rPr>
                <w:rFonts w:ascii="Arial Narrow" w:hAnsi="Arial Narrow"/>
                <w:sz w:val="20"/>
                <w:szCs w:val="20"/>
              </w:rPr>
              <w:t>evidence</w:t>
            </w:r>
            <w:proofErr w:type="gramEnd"/>
            <w:r w:rsidRPr="00AE07CE">
              <w:rPr>
                <w:rFonts w:ascii="Arial Narrow" w:hAnsi="Arial Narrow"/>
                <w:sz w:val="20"/>
                <w:szCs w:val="20"/>
              </w:rPr>
              <w:t xml:space="preserve"> that the patient has either progressed on</w:t>
            </w:r>
            <w:r w:rsidR="00BE362E" w:rsidRPr="00AE07CE">
              <w:rPr>
                <w:rFonts w:ascii="Arial Narrow" w:hAnsi="Arial Narrow"/>
                <w:sz w:val="20"/>
                <w:szCs w:val="20"/>
              </w:rPr>
              <w:t>,</w:t>
            </w:r>
            <w:r w:rsidRPr="00AE07CE">
              <w:rPr>
                <w:rFonts w:ascii="Arial Narrow" w:hAnsi="Arial Narrow"/>
                <w:sz w:val="20"/>
                <w:szCs w:val="20"/>
              </w:rPr>
              <w:t xml:space="preserve"> or is intolerant to</w:t>
            </w:r>
            <w:r w:rsidR="00BE362E" w:rsidRPr="00AE07CE">
              <w:rPr>
                <w:rFonts w:ascii="Arial Narrow" w:hAnsi="Arial Narrow"/>
                <w:sz w:val="20"/>
                <w:szCs w:val="20"/>
              </w:rPr>
              <w:t>,</w:t>
            </w:r>
            <w:r w:rsidRPr="00AE07CE">
              <w:rPr>
                <w:rFonts w:ascii="Arial Narrow" w:hAnsi="Arial Narrow"/>
                <w:sz w:val="20"/>
                <w:szCs w:val="20"/>
              </w:rPr>
              <w:t xml:space="preserve"> </w:t>
            </w:r>
            <w:proofErr w:type="spellStart"/>
            <w:r w:rsidRPr="00AE07CE">
              <w:rPr>
                <w:rFonts w:ascii="Arial Narrow" w:hAnsi="Arial Narrow"/>
                <w:sz w:val="20"/>
                <w:szCs w:val="20"/>
              </w:rPr>
              <w:t>temozolomide</w:t>
            </w:r>
            <w:proofErr w:type="spellEnd"/>
            <w:r w:rsidRPr="00AE07CE">
              <w:rPr>
                <w:rFonts w:ascii="Arial Narrow" w:hAnsi="Arial Narrow"/>
                <w:sz w:val="20"/>
                <w:szCs w:val="20"/>
              </w:rPr>
              <w:t>.</w:t>
            </w:r>
          </w:p>
          <w:p w:rsidR="00F861B1" w:rsidRPr="00AE07CE" w:rsidRDefault="00F861B1" w:rsidP="00B242D1">
            <w:pPr>
              <w:spacing w:before="40" w:after="40"/>
              <w:rPr>
                <w:rFonts w:ascii="Arial Narrow" w:hAnsi="Arial Narrow"/>
                <w:sz w:val="20"/>
                <w:szCs w:val="20"/>
              </w:rPr>
            </w:pPr>
          </w:p>
          <w:p w:rsidR="00F861B1" w:rsidRPr="00AE07CE" w:rsidRDefault="00F861B1" w:rsidP="00B242D1">
            <w:pPr>
              <w:spacing w:before="40" w:after="40"/>
              <w:rPr>
                <w:rFonts w:ascii="Arial Narrow" w:hAnsi="Arial Narrow" w:cs="Arial"/>
                <w:sz w:val="20"/>
                <w:szCs w:val="20"/>
              </w:rPr>
            </w:pPr>
            <w:r w:rsidRPr="00AE07CE">
              <w:rPr>
                <w:rFonts w:ascii="Arial Narrow" w:hAnsi="Arial Narrow" w:cs="Arial"/>
                <w:sz w:val="20"/>
                <w:szCs w:val="20"/>
              </w:rPr>
              <w:t>NOTE: Special Pricing Arrangements apply.</w:t>
            </w:r>
          </w:p>
        </w:tc>
      </w:tr>
      <w:tr w:rsidR="00B81A0A" w:rsidRPr="00AE07CE" w:rsidTr="00A771EE">
        <w:trPr>
          <w:cantSplit/>
          <w:trHeight w:val="360"/>
        </w:trPr>
        <w:tc>
          <w:tcPr>
            <w:tcW w:w="1082" w:type="pct"/>
            <w:tcBorders>
              <w:top w:val="single" w:sz="4" w:space="0" w:color="auto"/>
              <w:left w:val="single" w:sz="4" w:space="0" w:color="auto"/>
              <w:bottom w:val="single" w:sz="4" w:space="0" w:color="auto"/>
              <w:right w:val="single" w:sz="4" w:space="0" w:color="auto"/>
            </w:tcBorders>
          </w:tcPr>
          <w:p w:rsidR="00B81A0A" w:rsidRPr="00E67106" w:rsidRDefault="00B81A0A" w:rsidP="00B81A0A">
            <w:pPr>
              <w:spacing w:before="40" w:after="40"/>
              <w:jc w:val="both"/>
              <w:rPr>
                <w:rFonts w:ascii="Arial Narrow" w:hAnsi="Arial Narrow" w:cs="Arial"/>
                <w:b/>
                <w:sz w:val="20"/>
                <w:szCs w:val="20"/>
              </w:rPr>
            </w:pPr>
            <w:r w:rsidRPr="00E67106">
              <w:rPr>
                <w:rFonts w:ascii="Arial Narrow" w:hAnsi="Arial Narrow" w:cs="Arial"/>
                <w:b/>
                <w:sz w:val="20"/>
                <w:szCs w:val="20"/>
              </w:rPr>
              <w:t>Prescriber instructions</w:t>
            </w:r>
          </w:p>
        </w:tc>
        <w:tc>
          <w:tcPr>
            <w:tcW w:w="3918" w:type="pct"/>
            <w:gridSpan w:val="6"/>
            <w:tcBorders>
              <w:top w:val="single" w:sz="4" w:space="0" w:color="auto"/>
              <w:left w:val="single" w:sz="4" w:space="0" w:color="auto"/>
              <w:bottom w:val="single" w:sz="4" w:space="0" w:color="auto"/>
              <w:right w:val="single" w:sz="4" w:space="0" w:color="auto"/>
            </w:tcBorders>
          </w:tcPr>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Symptomatic progression is defined as:</w:t>
            </w:r>
          </w:p>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Deterioration of neurologic function i.e. motor dysfunction, seizures, lack of co-ordination, changes to personality, reduced ability to communicate, neurocognitive decline</w:t>
            </w:r>
          </w:p>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A significant increase in corticosteroid dose for symptom control</w:t>
            </w:r>
          </w:p>
          <w:p w:rsidR="00B81A0A" w:rsidRPr="00AE07CE" w:rsidRDefault="00E67106" w:rsidP="00B81A0A">
            <w:pPr>
              <w:spacing w:before="40" w:after="40"/>
              <w:rPr>
                <w:rFonts w:ascii="Arial Narrow" w:hAnsi="Arial Narrow"/>
                <w:sz w:val="20"/>
                <w:szCs w:val="20"/>
              </w:rPr>
            </w:pPr>
            <w:r w:rsidRPr="00E67106">
              <w:rPr>
                <w:rFonts w:ascii="Arial Narrow" w:hAnsi="Arial Narrow"/>
                <w:sz w:val="20"/>
                <w:szCs w:val="20"/>
              </w:rPr>
              <w:t xml:space="preserve">Deterioration of general symptoms i.e. headache, nausea, vomiting or poorly controlled </w:t>
            </w:r>
            <w:proofErr w:type="spellStart"/>
            <w:r w:rsidRPr="00E67106">
              <w:rPr>
                <w:rFonts w:ascii="Arial Narrow" w:hAnsi="Arial Narrow"/>
                <w:sz w:val="20"/>
                <w:szCs w:val="20"/>
              </w:rPr>
              <w:t>vasogenic</w:t>
            </w:r>
            <w:proofErr w:type="spellEnd"/>
            <w:r w:rsidRPr="00E67106">
              <w:rPr>
                <w:rFonts w:ascii="Arial Narrow" w:hAnsi="Arial Narrow"/>
                <w:sz w:val="20"/>
                <w:szCs w:val="20"/>
              </w:rPr>
              <w:t xml:space="preserve"> oedema</w:t>
            </w:r>
            <w:r>
              <w:rPr>
                <w:rFonts w:ascii="Arial Narrow" w:hAnsi="Arial Narrow"/>
                <w:sz w:val="20"/>
                <w:szCs w:val="20"/>
              </w:rPr>
              <w:t>.</w:t>
            </w:r>
          </w:p>
        </w:tc>
      </w:tr>
    </w:tbl>
    <w:p w:rsidR="00F861B1" w:rsidRPr="00AE07CE" w:rsidRDefault="00F861B1" w:rsidP="00F861B1">
      <w:pPr>
        <w:rPr>
          <w:szCs w:val="22"/>
        </w:rPr>
      </w:pPr>
    </w:p>
    <w:tbl>
      <w:tblPr>
        <w:tblW w:w="4915" w:type="pct"/>
        <w:tblLook w:val="0000" w:firstRow="0" w:lastRow="0" w:firstColumn="0" w:lastColumn="0" w:noHBand="0" w:noVBand="0"/>
      </w:tblPr>
      <w:tblGrid>
        <w:gridCol w:w="1920"/>
        <w:gridCol w:w="6943"/>
      </w:tblGrid>
      <w:tr w:rsidR="00F861B1" w:rsidRPr="00AE07CE" w:rsidTr="00B242D1">
        <w:trPr>
          <w:cantSplit/>
          <w:trHeight w:val="360"/>
        </w:trPr>
        <w:tc>
          <w:tcPr>
            <w:tcW w:w="1083"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i/>
                <w:sz w:val="20"/>
                <w:szCs w:val="20"/>
              </w:rPr>
            </w:pPr>
            <w:r w:rsidRPr="00AE07CE">
              <w:rPr>
                <w:rFonts w:ascii="Arial Narrow" w:hAnsi="Arial Narrow" w:cs="Arial"/>
                <w:b/>
                <w:sz w:val="20"/>
                <w:szCs w:val="20"/>
              </w:rPr>
              <w:t>Treatment phase:</w:t>
            </w:r>
          </w:p>
        </w:tc>
        <w:tc>
          <w:tcPr>
            <w:tcW w:w="3917"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cs="Arial"/>
                <w:b/>
                <w:sz w:val="20"/>
                <w:szCs w:val="20"/>
              </w:rPr>
            </w:pPr>
            <w:r w:rsidRPr="00AE07CE">
              <w:rPr>
                <w:rFonts w:ascii="Arial Narrow" w:hAnsi="Arial Narrow"/>
                <w:b/>
                <w:bCs/>
                <w:sz w:val="20"/>
                <w:szCs w:val="20"/>
              </w:rPr>
              <w:t>Continuing</w:t>
            </w:r>
          </w:p>
        </w:tc>
      </w:tr>
      <w:tr w:rsidR="00F861B1" w:rsidRPr="00AE07CE" w:rsidTr="00B242D1">
        <w:trPr>
          <w:cantSplit/>
          <w:trHeight w:val="360"/>
        </w:trPr>
        <w:tc>
          <w:tcPr>
            <w:tcW w:w="1083"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sz w:val="20"/>
                <w:szCs w:val="20"/>
              </w:rPr>
            </w:pPr>
            <w:r w:rsidRPr="00AE07CE">
              <w:rPr>
                <w:rFonts w:ascii="Arial Narrow" w:hAnsi="Arial Narrow" w:cs="Arial"/>
                <w:b/>
                <w:sz w:val="20"/>
                <w:szCs w:val="20"/>
              </w:rPr>
              <w:t>Restriction Level / Method:</w:t>
            </w:r>
          </w:p>
        </w:tc>
        <w:tc>
          <w:tcPr>
            <w:tcW w:w="3917"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cs="Arial"/>
                <w:sz w:val="20"/>
                <w:szCs w:val="20"/>
              </w:rPr>
            </w:pPr>
            <w:r w:rsidRPr="00AE07CE">
              <w:rPr>
                <w:rFonts w:ascii="Arial Narrow" w:hAnsi="Arial Narrow" w:cs="Arial"/>
                <w:sz w:val="20"/>
                <w:szCs w:val="20"/>
              </w:rPr>
              <w:t>Authority Required - Telephone</w:t>
            </w:r>
          </w:p>
        </w:tc>
      </w:tr>
      <w:tr w:rsidR="00F861B1" w:rsidRPr="00AE07CE" w:rsidTr="00B242D1">
        <w:trPr>
          <w:cantSplit/>
          <w:trHeight w:val="360"/>
        </w:trPr>
        <w:tc>
          <w:tcPr>
            <w:tcW w:w="1083"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sz w:val="20"/>
                <w:szCs w:val="20"/>
              </w:rPr>
            </w:pPr>
            <w:r w:rsidRPr="00AE07CE">
              <w:rPr>
                <w:rFonts w:ascii="Arial Narrow" w:hAnsi="Arial Narrow" w:cs="Arial"/>
                <w:b/>
                <w:sz w:val="20"/>
                <w:szCs w:val="20"/>
              </w:rPr>
              <w:t>Clinical criteria:</w:t>
            </w:r>
          </w:p>
        </w:tc>
        <w:tc>
          <w:tcPr>
            <w:tcW w:w="3917"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pStyle w:val="TableText1"/>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Patient must have previously been issued with an authority prescription for this drug for this condition</w:t>
            </w:r>
            <w:r w:rsidR="009508D8" w:rsidRPr="00AE07CE">
              <w:rPr>
                <w:rFonts w:ascii="Arial Narrow" w:eastAsiaTheme="minorHAnsi" w:hAnsi="Arial Narrow"/>
                <w:bCs/>
                <w:szCs w:val="20"/>
                <w:lang w:eastAsia="en-US"/>
              </w:rPr>
              <w:t>,</w:t>
            </w:r>
            <w:r w:rsidRPr="00AE07CE">
              <w:rPr>
                <w:rFonts w:ascii="Arial Narrow" w:eastAsiaTheme="minorHAnsi" w:hAnsi="Arial Narrow"/>
                <w:bCs/>
                <w:szCs w:val="20"/>
                <w:lang w:eastAsia="en-US"/>
              </w:rPr>
              <w:t xml:space="preserve"> </w:t>
            </w:r>
          </w:p>
          <w:p w:rsidR="00F861B1" w:rsidRPr="00AE07CE" w:rsidRDefault="00F861B1" w:rsidP="00B242D1">
            <w:pPr>
              <w:pStyle w:val="TableText1"/>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AND</w:t>
            </w:r>
          </w:p>
          <w:p w:rsidR="00857204" w:rsidRPr="00E67106" w:rsidRDefault="00F861B1" w:rsidP="00B242D1">
            <w:pPr>
              <w:pStyle w:val="TableText1"/>
              <w:spacing w:before="20" w:after="20"/>
            </w:pPr>
            <w:r w:rsidRPr="00AE07CE">
              <w:rPr>
                <w:rFonts w:ascii="Arial Narrow" w:eastAsiaTheme="minorHAnsi" w:hAnsi="Arial Narrow"/>
                <w:bCs/>
                <w:szCs w:val="20"/>
                <w:lang w:eastAsia="en-US"/>
              </w:rPr>
              <w:t>Patient must not have evidence of symptomatic progression</w:t>
            </w:r>
            <w:r w:rsidRPr="00E67106">
              <w:rPr>
                <w:rFonts w:ascii="Arial Narrow" w:eastAsiaTheme="minorHAnsi" w:hAnsi="Arial Narrow"/>
                <w:bCs/>
                <w:szCs w:val="20"/>
                <w:lang w:eastAsia="en-US"/>
              </w:rPr>
              <w:t>,</w:t>
            </w:r>
            <w:r w:rsidR="00857204" w:rsidRPr="00E67106">
              <w:t xml:space="preserve"> </w:t>
            </w:r>
            <w:r w:rsidR="00857204" w:rsidRPr="00E67106">
              <w:rPr>
                <w:rFonts w:ascii="Arial Narrow" w:hAnsi="Arial Narrow"/>
              </w:rPr>
              <w:t>AND</w:t>
            </w:r>
          </w:p>
          <w:p w:rsidR="00857204" w:rsidRPr="00E67106" w:rsidRDefault="00857204" w:rsidP="00857204">
            <w:pPr>
              <w:pStyle w:val="TableText1"/>
              <w:spacing w:before="20" w:after="20"/>
              <w:rPr>
                <w:rFonts w:ascii="Arial Narrow" w:eastAsiaTheme="minorHAnsi" w:hAnsi="Arial Narrow"/>
                <w:bCs/>
                <w:szCs w:val="20"/>
                <w:lang w:eastAsia="en-US"/>
              </w:rPr>
            </w:pPr>
            <w:r w:rsidRPr="00E67106">
              <w:rPr>
                <w:rFonts w:ascii="Arial Narrow" w:eastAsiaTheme="minorHAnsi" w:hAnsi="Arial Narrow"/>
                <w:bCs/>
                <w:szCs w:val="20"/>
                <w:lang w:eastAsia="en-US"/>
              </w:rPr>
              <w:t>Patient must not have evidence of radiographic progression</w:t>
            </w:r>
          </w:p>
          <w:p w:rsidR="00F861B1" w:rsidRPr="00AE07CE" w:rsidRDefault="00F861B1" w:rsidP="00857204">
            <w:pPr>
              <w:pStyle w:val="TableText1"/>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AND</w:t>
            </w:r>
          </w:p>
          <w:p w:rsidR="00E23969" w:rsidRPr="00AE07CE" w:rsidRDefault="00E23969" w:rsidP="00E23969">
            <w:pPr>
              <w:pStyle w:val="Default"/>
              <w:rPr>
                <w:rFonts w:ascii="Arial Narrow" w:hAnsi="Arial Narrow"/>
                <w:sz w:val="20"/>
                <w:szCs w:val="20"/>
              </w:rPr>
            </w:pPr>
            <w:r w:rsidRPr="00AE07CE">
              <w:rPr>
                <w:rFonts w:ascii="Arial Narrow" w:hAnsi="Arial Narrow"/>
                <w:sz w:val="20"/>
                <w:szCs w:val="20"/>
              </w:rPr>
              <w:t>The treatment must not exceed a dose of 10 mg per kg every 2 weeks; OR</w:t>
            </w:r>
          </w:p>
          <w:p w:rsidR="00E23969" w:rsidRPr="00AE07CE" w:rsidRDefault="00E23969" w:rsidP="00E23969">
            <w:pPr>
              <w:pStyle w:val="Default"/>
              <w:rPr>
                <w:rFonts w:ascii="Arial Narrow" w:hAnsi="Arial Narrow"/>
                <w:szCs w:val="20"/>
              </w:rPr>
            </w:pPr>
            <w:r w:rsidRPr="00AE07CE">
              <w:rPr>
                <w:rFonts w:ascii="Arial Narrow" w:hAnsi="Arial Narrow"/>
                <w:sz w:val="20"/>
                <w:szCs w:val="20"/>
              </w:rPr>
              <w:t>The treatment must not exceed a dose of 15 mg per kg every 3 weeks.</w:t>
            </w:r>
          </w:p>
        </w:tc>
      </w:tr>
      <w:tr w:rsidR="00F861B1" w:rsidRPr="00AE07CE" w:rsidTr="00B242D1">
        <w:trPr>
          <w:cantSplit/>
          <w:trHeight w:val="360"/>
        </w:trPr>
        <w:tc>
          <w:tcPr>
            <w:tcW w:w="1083"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jc w:val="both"/>
              <w:rPr>
                <w:rFonts w:ascii="Arial Narrow" w:hAnsi="Arial Narrow" w:cs="Arial"/>
                <w:i/>
                <w:sz w:val="20"/>
                <w:szCs w:val="20"/>
              </w:rPr>
            </w:pPr>
            <w:r w:rsidRPr="00AE07CE">
              <w:rPr>
                <w:rFonts w:ascii="Arial Narrow" w:hAnsi="Arial Narrow" w:cs="Arial"/>
                <w:b/>
                <w:sz w:val="20"/>
                <w:szCs w:val="20"/>
              </w:rPr>
              <w:t>Administrative Advice</w:t>
            </w:r>
          </w:p>
        </w:tc>
        <w:tc>
          <w:tcPr>
            <w:tcW w:w="3917" w:type="pct"/>
            <w:tcBorders>
              <w:top w:val="single" w:sz="4" w:space="0" w:color="auto"/>
              <w:left w:val="single" w:sz="4" w:space="0" w:color="auto"/>
              <w:bottom w:val="single" w:sz="4" w:space="0" w:color="auto"/>
              <w:right w:val="single" w:sz="4" w:space="0" w:color="auto"/>
            </w:tcBorders>
          </w:tcPr>
          <w:p w:rsidR="00F861B1" w:rsidRPr="00AE07CE" w:rsidRDefault="00F861B1" w:rsidP="00B242D1">
            <w:pPr>
              <w:spacing w:before="40" w:after="40"/>
              <w:rPr>
                <w:rFonts w:ascii="Arial Narrow" w:hAnsi="Arial Narrow"/>
                <w:sz w:val="20"/>
                <w:szCs w:val="20"/>
              </w:rPr>
            </w:pPr>
            <w:r w:rsidRPr="00AE07CE">
              <w:rPr>
                <w:rFonts w:ascii="Arial Narrow" w:hAnsi="Arial Narrow"/>
                <w:sz w:val="20"/>
                <w:szCs w:val="20"/>
              </w:rPr>
              <w:t>Applications for authorisation under this criterion may be made by telephone by contacting the Department of Human Services on 1800 700 270 (hours of operation 8 a.m. to 5 p.m. EST Monday to Friday).</w:t>
            </w:r>
          </w:p>
          <w:p w:rsidR="00F861B1" w:rsidRPr="00AE07CE" w:rsidRDefault="00F861B1" w:rsidP="00B242D1">
            <w:pPr>
              <w:spacing w:before="40" w:after="40"/>
              <w:rPr>
                <w:rFonts w:ascii="Arial Narrow" w:hAnsi="Arial Narrow" w:cs="Arial"/>
                <w:sz w:val="20"/>
                <w:szCs w:val="20"/>
              </w:rPr>
            </w:pPr>
          </w:p>
          <w:p w:rsidR="00F861B1" w:rsidRPr="00AE07CE" w:rsidRDefault="00F861B1" w:rsidP="00B242D1">
            <w:pPr>
              <w:spacing w:before="40" w:after="40"/>
              <w:rPr>
                <w:rFonts w:ascii="Arial Narrow" w:hAnsi="Arial Narrow" w:cs="Arial"/>
                <w:sz w:val="20"/>
                <w:szCs w:val="20"/>
              </w:rPr>
            </w:pPr>
            <w:r w:rsidRPr="00AE07CE">
              <w:rPr>
                <w:rFonts w:ascii="Arial Narrow" w:hAnsi="Arial Narrow" w:cs="Arial"/>
                <w:sz w:val="20"/>
                <w:szCs w:val="20"/>
              </w:rPr>
              <w:t>NOTE: Special Pricing Arrangements apply</w:t>
            </w:r>
          </w:p>
        </w:tc>
      </w:tr>
      <w:tr w:rsidR="00F861B1" w:rsidRPr="00AE07CE" w:rsidTr="00CC6041">
        <w:trPr>
          <w:cantSplit/>
          <w:trHeight w:val="991"/>
        </w:trPr>
        <w:tc>
          <w:tcPr>
            <w:tcW w:w="1083" w:type="pct"/>
            <w:tcBorders>
              <w:top w:val="single" w:sz="4" w:space="0" w:color="auto"/>
              <w:left w:val="single" w:sz="4" w:space="0" w:color="auto"/>
              <w:bottom w:val="single" w:sz="4" w:space="0" w:color="auto"/>
              <w:right w:val="single" w:sz="4" w:space="0" w:color="auto"/>
            </w:tcBorders>
          </w:tcPr>
          <w:p w:rsidR="00FA4CB9" w:rsidRPr="00AE07CE" w:rsidRDefault="00FA4CB9" w:rsidP="00B242D1">
            <w:pPr>
              <w:spacing w:before="40" w:after="40"/>
              <w:jc w:val="both"/>
              <w:rPr>
                <w:rFonts w:ascii="Arial Narrow" w:hAnsi="Arial Narrow" w:cs="Arial"/>
                <w:b/>
                <w:sz w:val="20"/>
                <w:szCs w:val="20"/>
              </w:rPr>
            </w:pPr>
            <w:r w:rsidRPr="00AE07CE">
              <w:rPr>
                <w:rFonts w:ascii="Arial Narrow" w:hAnsi="Arial Narrow" w:cs="Arial"/>
                <w:b/>
                <w:sz w:val="20"/>
                <w:szCs w:val="20"/>
              </w:rPr>
              <w:lastRenderedPageBreak/>
              <w:t>Prescriber instructions</w:t>
            </w:r>
          </w:p>
        </w:tc>
        <w:tc>
          <w:tcPr>
            <w:tcW w:w="3917" w:type="pct"/>
            <w:tcBorders>
              <w:top w:val="single" w:sz="4" w:space="0" w:color="auto"/>
              <w:left w:val="single" w:sz="4" w:space="0" w:color="auto"/>
              <w:bottom w:val="single" w:sz="4" w:space="0" w:color="auto"/>
              <w:right w:val="single" w:sz="4" w:space="0" w:color="auto"/>
            </w:tcBorders>
          </w:tcPr>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Symptomatic progression is defined as:</w:t>
            </w:r>
          </w:p>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Deterioration of neurologic function i.e. motor dysfunction, seizures, lack of co-ordination, changes to personality, reduced ability to communicate, neurocognitive decline</w:t>
            </w:r>
          </w:p>
          <w:p w:rsidR="00E67106" w:rsidRPr="00E67106" w:rsidRDefault="00E67106" w:rsidP="00E67106">
            <w:pPr>
              <w:spacing w:before="40" w:after="40"/>
              <w:rPr>
                <w:rFonts w:ascii="Arial Narrow" w:hAnsi="Arial Narrow"/>
                <w:sz w:val="20"/>
                <w:szCs w:val="20"/>
              </w:rPr>
            </w:pPr>
            <w:r w:rsidRPr="00E67106">
              <w:rPr>
                <w:rFonts w:ascii="Arial Narrow" w:hAnsi="Arial Narrow"/>
                <w:sz w:val="20"/>
                <w:szCs w:val="20"/>
              </w:rPr>
              <w:t>A significant increase in corticosteroid dose for symptom control</w:t>
            </w:r>
          </w:p>
          <w:p w:rsidR="00230289" w:rsidRPr="00AE07CE" w:rsidRDefault="00E67106" w:rsidP="00230289">
            <w:pPr>
              <w:spacing w:before="40" w:after="40"/>
              <w:rPr>
                <w:rFonts w:ascii="Arial Narrow" w:hAnsi="Arial Narrow"/>
                <w:sz w:val="20"/>
                <w:szCs w:val="20"/>
              </w:rPr>
            </w:pPr>
            <w:r w:rsidRPr="00E67106">
              <w:rPr>
                <w:rFonts w:ascii="Arial Narrow" w:hAnsi="Arial Narrow"/>
                <w:sz w:val="20"/>
                <w:szCs w:val="20"/>
              </w:rPr>
              <w:t xml:space="preserve">Deterioration of general symptoms i.e. headache, nausea, vomiting or poorly controlled </w:t>
            </w:r>
            <w:proofErr w:type="spellStart"/>
            <w:r w:rsidRPr="00E67106">
              <w:rPr>
                <w:rFonts w:ascii="Arial Narrow" w:hAnsi="Arial Narrow"/>
                <w:sz w:val="20"/>
                <w:szCs w:val="20"/>
              </w:rPr>
              <w:t>vasogenic</w:t>
            </w:r>
            <w:proofErr w:type="spellEnd"/>
            <w:r w:rsidRPr="00E67106">
              <w:rPr>
                <w:rFonts w:ascii="Arial Narrow" w:hAnsi="Arial Narrow"/>
                <w:sz w:val="20"/>
                <w:szCs w:val="20"/>
              </w:rPr>
              <w:t xml:space="preserve"> oedema.</w:t>
            </w:r>
          </w:p>
        </w:tc>
      </w:tr>
    </w:tbl>
    <w:p w:rsidR="005D444F" w:rsidRPr="00AE07CE" w:rsidRDefault="005D444F"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restriction </w:t>
      </w:r>
      <w:r w:rsidR="00230289" w:rsidRPr="00AE07CE">
        <w:rPr>
          <w:rFonts w:asciiTheme="minorHAnsi" w:eastAsiaTheme="minorHAnsi" w:hAnsiTheme="minorHAnsi" w:cstheme="minorBidi"/>
          <w:snapToGrid/>
          <w:sz w:val="24"/>
          <w:szCs w:val="22"/>
        </w:rPr>
        <w:t xml:space="preserve">proposed in the resubmission </w:t>
      </w:r>
      <w:r w:rsidRPr="00AE07CE">
        <w:rPr>
          <w:rFonts w:asciiTheme="minorHAnsi" w:eastAsiaTheme="minorHAnsi" w:hAnsiTheme="minorHAnsi" w:cstheme="minorBidi"/>
          <w:snapToGrid/>
          <w:sz w:val="24"/>
          <w:szCs w:val="22"/>
        </w:rPr>
        <w:t>state</w:t>
      </w:r>
      <w:r w:rsidR="00230289" w:rsidRPr="00AE07CE">
        <w:rPr>
          <w:rFonts w:asciiTheme="minorHAnsi" w:eastAsiaTheme="minorHAnsi" w:hAnsiTheme="minorHAnsi" w:cstheme="minorBidi"/>
          <w:snapToGrid/>
          <w:sz w:val="24"/>
          <w:szCs w:val="22"/>
        </w:rPr>
        <w:t>d</w:t>
      </w:r>
      <w:r w:rsidRPr="00AE07CE">
        <w:rPr>
          <w:rFonts w:asciiTheme="minorHAnsi" w:eastAsiaTheme="minorHAnsi" w:hAnsiTheme="minorHAnsi" w:cstheme="minorBidi"/>
          <w:snapToGrid/>
          <w:sz w:val="24"/>
          <w:szCs w:val="22"/>
        </w:rPr>
        <w:t xml:space="preserve"> that the patient must have confirmed glioblastoma, but d</w:t>
      </w:r>
      <w:r w:rsidR="00230289" w:rsidRPr="00AE07CE">
        <w:rPr>
          <w:rFonts w:asciiTheme="minorHAnsi" w:eastAsiaTheme="minorHAnsi" w:hAnsiTheme="minorHAnsi" w:cstheme="minorBidi"/>
          <w:snapToGrid/>
          <w:sz w:val="24"/>
          <w:szCs w:val="22"/>
        </w:rPr>
        <w:t>id</w:t>
      </w:r>
      <w:r w:rsidRPr="00AE07CE">
        <w:rPr>
          <w:rFonts w:asciiTheme="minorHAnsi" w:eastAsiaTheme="minorHAnsi" w:hAnsiTheme="minorHAnsi" w:cstheme="minorBidi"/>
          <w:snapToGrid/>
          <w:sz w:val="24"/>
          <w:szCs w:val="22"/>
        </w:rPr>
        <w:t xml:space="preserve"> not specify how this </w:t>
      </w:r>
      <w:proofErr w:type="gramStart"/>
      <w:r w:rsidRPr="00AE07CE">
        <w:rPr>
          <w:rFonts w:asciiTheme="minorHAnsi" w:eastAsiaTheme="minorHAnsi" w:hAnsiTheme="minorHAnsi" w:cstheme="minorBidi"/>
          <w:snapToGrid/>
          <w:sz w:val="24"/>
          <w:szCs w:val="22"/>
        </w:rPr>
        <w:t>should be diagnosed or confirmed</w:t>
      </w:r>
      <w:proofErr w:type="gramEnd"/>
      <w:r w:rsidRPr="00AE07CE">
        <w:rPr>
          <w:rFonts w:asciiTheme="minorHAnsi" w:eastAsiaTheme="minorHAnsi" w:hAnsiTheme="minorHAnsi" w:cstheme="minorBidi"/>
          <w:snapToGrid/>
          <w:sz w:val="24"/>
          <w:szCs w:val="22"/>
        </w:rPr>
        <w:t>. T</w:t>
      </w:r>
      <w:r w:rsidR="00230289" w:rsidRPr="00AE07CE">
        <w:rPr>
          <w:rFonts w:asciiTheme="minorHAnsi" w:eastAsiaTheme="minorHAnsi" w:hAnsiTheme="minorHAnsi" w:cstheme="minorBidi"/>
          <w:snapToGrid/>
          <w:sz w:val="24"/>
          <w:szCs w:val="22"/>
        </w:rPr>
        <w:t>o address this, t</w:t>
      </w:r>
      <w:r w:rsidRPr="00AE07CE">
        <w:rPr>
          <w:rFonts w:asciiTheme="minorHAnsi" w:eastAsiaTheme="minorHAnsi" w:hAnsiTheme="minorHAnsi" w:cstheme="minorBidi"/>
          <w:snapToGrid/>
          <w:sz w:val="24"/>
          <w:szCs w:val="22"/>
        </w:rPr>
        <w:t>he pre-PBAC</w:t>
      </w:r>
      <w:r w:rsidRPr="00AE07CE">
        <w:rPr>
          <w:rFonts w:asciiTheme="minorHAnsi" w:eastAsiaTheme="minorHAnsi" w:hAnsiTheme="minorHAnsi" w:cstheme="minorBidi"/>
          <w:i/>
          <w:snapToGrid/>
          <w:sz w:val="24"/>
          <w:szCs w:val="22"/>
        </w:rPr>
        <w:t xml:space="preserve"> </w:t>
      </w:r>
      <w:r w:rsidRPr="00AE07CE">
        <w:rPr>
          <w:rFonts w:asciiTheme="minorHAnsi" w:eastAsiaTheme="minorHAnsi" w:hAnsiTheme="minorHAnsi" w:cstheme="minorBidi"/>
          <w:snapToGrid/>
          <w:sz w:val="24"/>
          <w:szCs w:val="22"/>
        </w:rPr>
        <w:t>response proposed the addition of criteria in the initial PBS-restriction specif</w:t>
      </w:r>
      <w:r w:rsidR="00230289" w:rsidRPr="00AE07CE">
        <w:rPr>
          <w:rFonts w:asciiTheme="minorHAnsi" w:eastAsiaTheme="minorHAnsi" w:hAnsiTheme="minorHAnsi" w:cstheme="minorBidi"/>
          <w:snapToGrid/>
          <w:sz w:val="24"/>
          <w:szCs w:val="22"/>
        </w:rPr>
        <w:t>ying</w:t>
      </w:r>
      <w:r w:rsidRPr="00AE07CE">
        <w:rPr>
          <w:rFonts w:asciiTheme="minorHAnsi" w:eastAsiaTheme="minorHAnsi" w:hAnsiTheme="minorHAnsi" w:cstheme="minorBidi"/>
          <w:snapToGrid/>
          <w:sz w:val="24"/>
          <w:szCs w:val="22"/>
        </w:rPr>
        <w:t xml:space="preserve"> that patients must have both radiologic evidence of evaluable disease and symptomatic progression</w:t>
      </w:r>
      <w:r w:rsidR="00A035B1">
        <w:rPr>
          <w:rFonts w:asciiTheme="minorHAnsi" w:eastAsiaTheme="minorHAnsi" w:hAnsiTheme="minorHAnsi" w:cstheme="minorBidi"/>
          <w:snapToGrid/>
          <w:sz w:val="24"/>
          <w:szCs w:val="22"/>
        </w:rPr>
        <w:t>, with a definition of symptomatic progression provided.</w:t>
      </w:r>
      <w:r w:rsidRPr="00AE07CE">
        <w:rPr>
          <w:rFonts w:asciiTheme="minorHAnsi" w:eastAsiaTheme="minorHAnsi" w:hAnsiTheme="minorHAnsi" w:cstheme="minorBidi"/>
          <w:snapToGrid/>
          <w:sz w:val="24"/>
          <w:szCs w:val="22"/>
        </w:rPr>
        <w:t xml:space="preserve"> </w:t>
      </w:r>
    </w:p>
    <w:p w:rsidR="00F861B1" w:rsidRPr="00373B5B" w:rsidRDefault="00F861B1"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submission stated that the initial restriction </w:t>
      </w:r>
      <w:proofErr w:type="gramStart"/>
      <w:r w:rsidRPr="00AE07CE">
        <w:rPr>
          <w:rFonts w:asciiTheme="minorHAnsi" w:eastAsiaTheme="minorHAnsi" w:hAnsiTheme="minorHAnsi" w:cstheme="minorBidi"/>
          <w:snapToGrid/>
          <w:sz w:val="24"/>
          <w:szCs w:val="22"/>
        </w:rPr>
        <w:t>was intended</w:t>
      </w:r>
      <w:proofErr w:type="gramEnd"/>
      <w:r w:rsidRPr="00AE07CE">
        <w:rPr>
          <w:rFonts w:asciiTheme="minorHAnsi" w:eastAsiaTheme="minorHAnsi" w:hAnsiTheme="minorHAnsi" w:cstheme="minorBidi"/>
          <w:snapToGrid/>
          <w:sz w:val="24"/>
          <w:szCs w:val="22"/>
        </w:rPr>
        <w:t xml:space="preserve"> to provide 12 weeks of therapy</w:t>
      </w:r>
      <w:r w:rsidR="00992C08"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 corresponding with clinician advice that symptomatic benefits become apparent after approximately three months in those patients who respond to treatment. This was broadly consistent with advice</w:t>
      </w:r>
      <w:r w:rsidRPr="00400B3F">
        <w:rPr>
          <w:rFonts w:asciiTheme="minorHAnsi" w:eastAsiaTheme="minorHAnsi" w:hAnsiTheme="minorHAnsi" w:cstheme="minorBidi"/>
          <w:snapToGrid/>
          <w:sz w:val="24"/>
          <w:szCs w:val="22"/>
        </w:rPr>
        <w:t xml:space="preserve"> provided in correspondence (from </w:t>
      </w:r>
      <w:r w:rsidR="009A22F3" w:rsidRPr="00AE07CE">
        <w:rPr>
          <w:rFonts w:asciiTheme="minorHAnsi" w:eastAsiaTheme="minorHAnsi" w:hAnsiTheme="minorHAnsi" w:cstheme="minorBidi"/>
          <w:snapToGrid/>
          <w:sz w:val="24"/>
          <w:szCs w:val="22"/>
        </w:rPr>
        <w:t>seven</w:t>
      </w:r>
      <w:r w:rsidRPr="00AE07CE">
        <w:rPr>
          <w:rFonts w:asciiTheme="minorHAnsi" w:eastAsiaTheme="minorHAnsi" w:hAnsiTheme="minorHAnsi" w:cstheme="minorBidi"/>
          <w:snapToGrid/>
          <w:sz w:val="24"/>
          <w:szCs w:val="22"/>
        </w:rPr>
        <w:t xml:space="preserve"> neuro-oncologists), </w:t>
      </w:r>
      <w:r w:rsidR="009A22F3" w:rsidRPr="00AE07CE">
        <w:rPr>
          <w:rFonts w:asciiTheme="minorHAnsi" w:eastAsiaTheme="minorHAnsi" w:hAnsiTheme="minorHAnsi" w:cstheme="minorBidi"/>
          <w:snapToGrid/>
          <w:sz w:val="24"/>
          <w:szCs w:val="22"/>
        </w:rPr>
        <w:t xml:space="preserve">that </w:t>
      </w:r>
      <w:proofErr w:type="gramStart"/>
      <w:r w:rsidR="00AE07CE" w:rsidRPr="00AE07CE">
        <w:rPr>
          <w:rFonts w:asciiTheme="minorHAnsi" w:eastAsiaTheme="minorHAnsi" w:hAnsiTheme="minorHAnsi" w:cstheme="minorBidi"/>
          <w:snapToGrid/>
          <w:sz w:val="24"/>
          <w:szCs w:val="22"/>
        </w:rPr>
        <w:t>stated</w:t>
      </w:r>
      <w:proofErr w:type="gramEnd"/>
      <w:r w:rsidRPr="00AE07CE">
        <w:rPr>
          <w:rFonts w:asciiTheme="minorHAnsi" w:eastAsiaTheme="minorHAnsi" w:hAnsiTheme="minorHAnsi" w:cstheme="minorBidi"/>
          <w:snapToGrid/>
          <w:sz w:val="24"/>
          <w:szCs w:val="22"/>
        </w:rPr>
        <w:t xml:space="preserve"> “patients who respond to treatment with bevacizumab generally respond rapidly, with symptomatic improvement evident within two to four doses of treatment (4-8 weeks). If a patient is not benefiting from treatment at this point, bevacizumab is typically discontinued”. </w:t>
      </w:r>
      <w:r w:rsidR="003D7548" w:rsidRPr="00AE07CE">
        <w:rPr>
          <w:rFonts w:asciiTheme="minorHAnsi" w:eastAsiaTheme="minorHAnsi" w:hAnsiTheme="minorHAnsi" w:cstheme="minorBidi"/>
          <w:snapToGrid/>
          <w:sz w:val="24"/>
          <w:szCs w:val="22"/>
        </w:rPr>
        <w:t>In addition</w:t>
      </w:r>
      <w:r w:rsidRPr="00AE07CE">
        <w:rPr>
          <w:rFonts w:asciiTheme="minorHAnsi" w:eastAsiaTheme="minorHAnsi" w:hAnsiTheme="minorHAnsi" w:cstheme="minorBidi"/>
          <w:snapToGrid/>
          <w:sz w:val="24"/>
          <w:szCs w:val="22"/>
        </w:rPr>
        <w:t xml:space="preserve">, </w:t>
      </w:r>
      <w:r w:rsidRPr="00373B5B">
        <w:rPr>
          <w:rFonts w:asciiTheme="minorHAnsi" w:eastAsiaTheme="minorHAnsi" w:hAnsiTheme="minorHAnsi" w:cstheme="minorBidi"/>
          <w:snapToGrid/>
          <w:sz w:val="24"/>
          <w:szCs w:val="22"/>
        </w:rPr>
        <w:t xml:space="preserve">data from the Patient Access Program indicated that the median duration of therapy was </w:t>
      </w:r>
      <w:r w:rsidR="00E454F3">
        <w:rPr>
          <w:rFonts w:asciiTheme="minorHAnsi" w:eastAsiaTheme="minorHAnsi" w:hAnsiTheme="minorHAnsi" w:cstheme="minorBidi"/>
          <w:noProof/>
          <w:snapToGrid/>
          <w:color w:val="000000"/>
          <w:sz w:val="24"/>
          <w:szCs w:val="22"/>
          <w:highlight w:val="black"/>
        </w:rPr>
        <w:t>''''''</w:t>
      </w:r>
      <w:r w:rsidR="00236382" w:rsidRPr="00373B5B">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w:t>
      </w:r>
      <w:r w:rsidRPr="00373B5B">
        <w:rPr>
          <w:rFonts w:asciiTheme="minorHAnsi" w:eastAsiaTheme="minorHAnsi" w:hAnsiTheme="minorHAnsi" w:cstheme="minorBidi"/>
          <w:snapToGrid/>
          <w:sz w:val="24"/>
          <w:szCs w:val="22"/>
        </w:rPr>
        <w:t xml:space="preserve">. </w:t>
      </w:r>
    </w:p>
    <w:p w:rsidR="00A035B1" w:rsidRPr="00A035B1" w:rsidRDefault="00BE2059"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4"/>
        </w:rPr>
        <w:t xml:space="preserve">The </w:t>
      </w:r>
      <w:r w:rsidR="00A035B1" w:rsidRPr="00A035B1">
        <w:rPr>
          <w:rFonts w:asciiTheme="minorHAnsi" w:eastAsiaTheme="minorHAnsi" w:hAnsiTheme="minorHAnsi" w:cstheme="minorBidi"/>
          <w:snapToGrid/>
          <w:sz w:val="24"/>
          <w:szCs w:val="24"/>
        </w:rPr>
        <w:t xml:space="preserve">restriction proposed that for </w:t>
      </w:r>
      <w:r w:rsidR="00A759D8" w:rsidRPr="00A035B1">
        <w:rPr>
          <w:rFonts w:asciiTheme="minorHAnsi" w:eastAsiaTheme="minorHAnsi" w:hAnsiTheme="minorHAnsi" w:cstheme="minorBidi"/>
          <w:snapToGrid/>
          <w:sz w:val="24"/>
          <w:szCs w:val="24"/>
        </w:rPr>
        <w:t xml:space="preserve">continuing access beyond the initial 12 weeks, patients must </w:t>
      </w:r>
      <w:r w:rsidR="009508D8" w:rsidRPr="00A035B1">
        <w:rPr>
          <w:rFonts w:asciiTheme="minorHAnsi" w:eastAsiaTheme="minorHAnsi" w:hAnsiTheme="minorHAnsi" w:cstheme="minorBidi"/>
          <w:snapToGrid/>
          <w:sz w:val="24"/>
          <w:szCs w:val="24"/>
        </w:rPr>
        <w:t>n</w:t>
      </w:r>
      <w:r w:rsidR="005D444F" w:rsidRPr="00A035B1">
        <w:rPr>
          <w:rFonts w:asciiTheme="minorHAnsi" w:eastAsiaTheme="minorHAnsi" w:hAnsiTheme="minorHAnsi" w:cstheme="minorBidi"/>
          <w:snapToGrid/>
          <w:sz w:val="24"/>
          <w:szCs w:val="24"/>
        </w:rPr>
        <w:t xml:space="preserve">ot </w:t>
      </w:r>
      <w:r w:rsidR="00A759D8" w:rsidRPr="00A035B1">
        <w:rPr>
          <w:rFonts w:asciiTheme="minorHAnsi" w:eastAsiaTheme="minorHAnsi" w:hAnsiTheme="minorHAnsi" w:cstheme="minorBidi"/>
          <w:snapToGrid/>
          <w:sz w:val="24"/>
          <w:szCs w:val="24"/>
        </w:rPr>
        <w:t xml:space="preserve">have evidence of </w:t>
      </w:r>
      <w:r w:rsidR="005D444F" w:rsidRPr="00A035B1">
        <w:rPr>
          <w:rFonts w:asciiTheme="minorHAnsi" w:eastAsiaTheme="minorHAnsi" w:hAnsiTheme="minorHAnsi" w:cstheme="minorBidi"/>
          <w:snapToGrid/>
          <w:sz w:val="24"/>
          <w:szCs w:val="24"/>
        </w:rPr>
        <w:t xml:space="preserve">worsening </w:t>
      </w:r>
      <w:r w:rsidR="00A759D8" w:rsidRPr="00A035B1">
        <w:rPr>
          <w:rFonts w:asciiTheme="minorHAnsi" w:eastAsiaTheme="minorHAnsi" w:hAnsiTheme="minorHAnsi" w:cstheme="minorBidi"/>
          <w:snapToGrid/>
          <w:sz w:val="24"/>
          <w:szCs w:val="24"/>
        </w:rPr>
        <w:t>symptomatic</w:t>
      </w:r>
      <w:r w:rsidR="00FB1569" w:rsidRPr="00A035B1">
        <w:rPr>
          <w:rFonts w:asciiTheme="minorHAnsi" w:eastAsiaTheme="minorHAnsi" w:hAnsiTheme="minorHAnsi" w:cstheme="minorBidi"/>
          <w:snapToGrid/>
          <w:sz w:val="24"/>
          <w:szCs w:val="24"/>
        </w:rPr>
        <w:t xml:space="preserve"> </w:t>
      </w:r>
      <w:r w:rsidR="00A035B1" w:rsidRPr="00A035B1">
        <w:rPr>
          <w:rFonts w:asciiTheme="minorHAnsi" w:eastAsiaTheme="minorHAnsi" w:hAnsiTheme="minorHAnsi" w:cstheme="minorBidi"/>
          <w:snapToGrid/>
          <w:sz w:val="24"/>
          <w:szCs w:val="24"/>
        </w:rPr>
        <w:t xml:space="preserve">and radiographic </w:t>
      </w:r>
      <w:r w:rsidR="00FB1569" w:rsidRPr="00A035B1">
        <w:rPr>
          <w:rFonts w:asciiTheme="minorHAnsi" w:eastAsiaTheme="minorHAnsi" w:hAnsiTheme="minorHAnsi" w:cstheme="minorBidi"/>
          <w:snapToGrid/>
          <w:sz w:val="24"/>
          <w:szCs w:val="24"/>
        </w:rPr>
        <w:t>progression</w:t>
      </w:r>
      <w:r w:rsidR="00A035B1" w:rsidRPr="00A035B1">
        <w:rPr>
          <w:rFonts w:asciiTheme="minorHAnsi" w:eastAsiaTheme="minorHAnsi" w:hAnsiTheme="minorHAnsi" w:cstheme="minorBidi"/>
          <w:snapToGrid/>
          <w:sz w:val="24"/>
          <w:szCs w:val="24"/>
        </w:rPr>
        <w:t>, with symptomatic progression defined as deterioration of neurologic function, a significant increase in corticosteroid</w:t>
      </w:r>
      <w:r w:rsidR="00A035B1">
        <w:rPr>
          <w:rFonts w:asciiTheme="minorHAnsi" w:eastAsiaTheme="minorHAnsi" w:hAnsiTheme="minorHAnsi" w:cstheme="minorBidi"/>
          <w:snapToGrid/>
          <w:sz w:val="24"/>
          <w:szCs w:val="22"/>
        </w:rPr>
        <w:t xml:space="preserve"> dose, or </w:t>
      </w:r>
      <w:r w:rsidR="00A035B1" w:rsidRPr="00A035B1">
        <w:rPr>
          <w:rFonts w:asciiTheme="minorHAnsi" w:eastAsiaTheme="minorHAnsi" w:hAnsiTheme="minorHAnsi" w:cstheme="minorBidi"/>
          <w:snapToGrid/>
          <w:sz w:val="24"/>
          <w:szCs w:val="22"/>
        </w:rPr>
        <w:t>deterioration of general symptoms. The Secretariat noted that these continuation criteria are potentially subjective and that several definitions of progression exist in this setting including the Response Assessment in Neurology (RANO) criteria and the Neurologic Assessment in Neuro-Oncology (NANO) criteria. The pre-PBAC response stated that, given the limitations and subjectivity associated with these measures, their inclusion in the continuation criteria w</w:t>
      </w:r>
      <w:r w:rsidR="00A035B1">
        <w:rPr>
          <w:rFonts w:asciiTheme="minorHAnsi" w:eastAsiaTheme="minorHAnsi" w:hAnsiTheme="minorHAnsi" w:cstheme="minorBidi"/>
          <w:snapToGrid/>
          <w:sz w:val="24"/>
          <w:szCs w:val="22"/>
        </w:rPr>
        <w:t>ould</w:t>
      </w:r>
      <w:r w:rsidR="00A035B1" w:rsidRPr="00A035B1">
        <w:rPr>
          <w:rFonts w:asciiTheme="minorHAnsi" w:eastAsiaTheme="minorHAnsi" w:hAnsiTheme="minorHAnsi" w:cstheme="minorBidi"/>
          <w:snapToGrid/>
          <w:sz w:val="24"/>
          <w:szCs w:val="22"/>
        </w:rPr>
        <w:t xml:space="preserve"> not add substantively to an objective assessment of progression</w:t>
      </w:r>
      <w:r w:rsidR="00A035B1">
        <w:rPr>
          <w:rFonts w:asciiTheme="minorHAnsi" w:eastAsiaTheme="minorHAnsi" w:hAnsiTheme="minorHAnsi" w:cstheme="minorBidi"/>
          <w:snapToGrid/>
          <w:sz w:val="24"/>
          <w:szCs w:val="22"/>
        </w:rPr>
        <w:t>.</w:t>
      </w:r>
      <w:r w:rsidR="00A035B1" w:rsidRPr="00A035B1">
        <w:rPr>
          <w:rFonts w:asciiTheme="minorHAnsi" w:eastAsiaTheme="minorHAnsi" w:hAnsiTheme="minorHAnsi" w:cstheme="minorBidi"/>
          <w:snapToGrid/>
          <w:sz w:val="24"/>
          <w:szCs w:val="22"/>
        </w:rPr>
        <w:t xml:space="preserve">  </w:t>
      </w:r>
    </w:p>
    <w:p w:rsidR="00A52A1C" w:rsidRPr="00AE07CE" w:rsidRDefault="00AA6706"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4"/>
        </w:rPr>
        <w:t>The</w:t>
      </w:r>
      <w:r w:rsidRPr="00AE07CE">
        <w:rPr>
          <w:rFonts w:asciiTheme="minorHAnsi" w:eastAsiaTheme="minorHAnsi" w:hAnsiTheme="minorHAnsi" w:cstheme="minorBidi"/>
          <w:sz w:val="24"/>
          <w:szCs w:val="24"/>
        </w:rPr>
        <w:t xml:space="preserve"> proposed restriction requires patients to have progressed on or be intolerant to </w:t>
      </w:r>
      <w:proofErr w:type="spellStart"/>
      <w:r w:rsidRPr="00AE07CE">
        <w:rPr>
          <w:rFonts w:asciiTheme="minorHAnsi" w:eastAsiaTheme="minorHAnsi" w:hAnsiTheme="minorHAnsi" w:cstheme="minorBidi"/>
          <w:sz w:val="24"/>
          <w:szCs w:val="24"/>
        </w:rPr>
        <w:t>temozolomide</w:t>
      </w:r>
      <w:proofErr w:type="spellEnd"/>
      <w:r w:rsidR="0085518A" w:rsidRPr="00AE07CE">
        <w:rPr>
          <w:rFonts w:asciiTheme="minorHAnsi" w:eastAsiaTheme="minorHAnsi" w:hAnsiTheme="minorHAnsi" w:cstheme="minorBidi"/>
          <w:sz w:val="24"/>
          <w:szCs w:val="24"/>
        </w:rPr>
        <w:t xml:space="preserve">, without providing specific definitions around </w:t>
      </w:r>
      <w:proofErr w:type="spellStart"/>
      <w:r w:rsidR="0085518A" w:rsidRPr="00AE07CE">
        <w:rPr>
          <w:rFonts w:asciiTheme="minorHAnsi" w:eastAsiaTheme="minorHAnsi" w:hAnsiTheme="minorHAnsi" w:cstheme="minorBidi"/>
          <w:sz w:val="24"/>
          <w:szCs w:val="24"/>
        </w:rPr>
        <w:t>temozolomide</w:t>
      </w:r>
      <w:proofErr w:type="spellEnd"/>
      <w:r w:rsidR="0085518A" w:rsidRPr="00AE07CE">
        <w:rPr>
          <w:rFonts w:asciiTheme="minorHAnsi" w:eastAsiaTheme="minorHAnsi" w:hAnsiTheme="minorHAnsi" w:cstheme="minorBidi"/>
          <w:sz w:val="24"/>
          <w:szCs w:val="24"/>
        </w:rPr>
        <w:t xml:space="preserve"> intolerance</w:t>
      </w:r>
      <w:r w:rsidRPr="00AE07CE">
        <w:rPr>
          <w:rFonts w:asciiTheme="minorHAnsi" w:eastAsiaTheme="minorHAnsi" w:hAnsiTheme="minorHAnsi" w:cstheme="minorBidi"/>
          <w:sz w:val="24"/>
          <w:szCs w:val="24"/>
        </w:rPr>
        <w:t xml:space="preserve">. </w:t>
      </w:r>
      <w:r w:rsidR="00140C45" w:rsidRPr="00AE07CE">
        <w:rPr>
          <w:rFonts w:asciiTheme="minorHAnsi" w:eastAsiaTheme="minorHAnsi" w:hAnsiTheme="minorHAnsi" w:cstheme="minorBidi"/>
          <w:sz w:val="24"/>
          <w:szCs w:val="24"/>
        </w:rPr>
        <w:t xml:space="preserve">The pre-PBAC response </w:t>
      </w:r>
      <w:proofErr w:type="gramStart"/>
      <w:r w:rsidR="007A086B">
        <w:rPr>
          <w:rFonts w:asciiTheme="minorHAnsi" w:eastAsiaTheme="minorHAnsi" w:hAnsiTheme="minorHAnsi" w:cstheme="minorBidi"/>
          <w:sz w:val="24"/>
          <w:szCs w:val="24"/>
        </w:rPr>
        <w:t>stated</w:t>
      </w:r>
      <w:proofErr w:type="gramEnd"/>
      <w:r w:rsidR="00140C45" w:rsidRPr="00AE07CE">
        <w:rPr>
          <w:rFonts w:asciiTheme="minorHAnsi" w:eastAsiaTheme="minorHAnsi" w:hAnsiTheme="minorHAnsi" w:cstheme="minorBidi"/>
          <w:sz w:val="24"/>
          <w:szCs w:val="24"/>
        </w:rPr>
        <w:t xml:space="preserve"> “i</w:t>
      </w:r>
      <w:r w:rsidR="00140C45" w:rsidRPr="00400B3F">
        <w:rPr>
          <w:rFonts w:asciiTheme="minorHAnsi" w:eastAsiaTheme="minorHAnsi" w:hAnsiTheme="minorHAnsi" w:cstheme="minorBidi"/>
          <w:snapToGrid/>
          <w:sz w:val="24"/>
          <w:szCs w:val="24"/>
        </w:rPr>
        <w:t>n</w:t>
      </w:r>
      <w:r w:rsidR="00140C45" w:rsidRPr="00400B3F">
        <w:rPr>
          <w:rFonts w:asciiTheme="minorHAnsi" w:eastAsiaTheme="minorHAnsi" w:hAnsiTheme="minorHAnsi" w:cstheme="minorBidi"/>
          <w:sz w:val="24"/>
          <w:szCs w:val="24"/>
        </w:rPr>
        <w:t xml:space="preserve"> the first-line setting, </w:t>
      </w:r>
      <w:proofErr w:type="spellStart"/>
      <w:r w:rsidR="00140C45" w:rsidRPr="00400B3F">
        <w:rPr>
          <w:rFonts w:asciiTheme="minorHAnsi" w:eastAsiaTheme="minorHAnsi" w:hAnsiTheme="minorHAnsi" w:cstheme="minorBidi"/>
          <w:sz w:val="24"/>
          <w:szCs w:val="24"/>
        </w:rPr>
        <w:t>temozolomide</w:t>
      </w:r>
      <w:proofErr w:type="spellEnd"/>
      <w:r w:rsidR="00140C45" w:rsidRPr="00400B3F">
        <w:rPr>
          <w:rFonts w:asciiTheme="minorHAnsi" w:eastAsiaTheme="minorHAnsi" w:hAnsiTheme="minorHAnsi" w:cstheme="minorBidi"/>
          <w:sz w:val="24"/>
          <w:szCs w:val="24"/>
        </w:rPr>
        <w:t xml:space="preserve"> is the only therapeutic</w:t>
      </w:r>
      <w:r w:rsidR="00140C45" w:rsidRPr="00AE07CE">
        <w:rPr>
          <w:rFonts w:asciiTheme="minorHAnsi" w:eastAsiaTheme="minorHAnsi" w:hAnsiTheme="minorHAnsi" w:cstheme="minorBidi"/>
          <w:sz w:val="24"/>
          <w:szCs w:val="24"/>
        </w:rPr>
        <w:t xml:space="preserve"> option for glioblastoma that has a proven overall survival advantage versus best supportive care and is well tolerated. Bevacizumab, while improving symptoms in those who respond, has yet to demonstrate a survival gain for this indication. Given this, it would be inappropriate for a prescriber to treat </w:t>
      </w:r>
      <w:r w:rsidR="0085518A" w:rsidRPr="00AE07CE">
        <w:rPr>
          <w:rFonts w:asciiTheme="minorHAnsi" w:eastAsiaTheme="minorHAnsi" w:hAnsiTheme="minorHAnsi" w:cstheme="minorBidi"/>
          <w:sz w:val="24"/>
          <w:szCs w:val="24"/>
        </w:rPr>
        <w:t>glioblastoma</w:t>
      </w:r>
      <w:r w:rsidR="00140C45" w:rsidRPr="00AE07CE">
        <w:rPr>
          <w:rFonts w:asciiTheme="minorHAnsi" w:eastAsiaTheme="minorHAnsi" w:hAnsiTheme="minorHAnsi" w:cstheme="minorBidi"/>
          <w:sz w:val="24"/>
          <w:szCs w:val="24"/>
        </w:rPr>
        <w:t xml:space="preserve"> with bevacizumab earlier in the treatment algorithm than clinically appropriate.” </w:t>
      </w:r>
      <w:r w:rsidR="00C26960" w:rsidRPr="00AE07CE">
        <w:rPr>
          <w:rFonts w:asciiTheme="minorHAnsi" w:eastAsiaTheme="minorHAnsi" w:hAnsiTheme="minorHAnsi" w:cstheme="minorBidi"/>
          <w:sz w:val="24"/>
          <w:szCs w:val="24"/>
        </w:rPr>
        <w:t xml:space="preserve">The PBAC </w:t>
      </w:r>
      <w:r w:rsidR="00140C45" w:rsidRPr="00AE07CE">
        <w:rPr>
          <w:rFonts w:asciiTheme="minorHAnsi" w:eastAsiaTheme="minorHAnsi" w:hAnsiTheme="minorHAnsi" w:cstheme="minorBidi"/>
          <w:sz w:val="24"/>
          <w:szCs w:val="24"/>
        </w:rPr>
        <w:t xml:space="preserve">agreed with the pre-PBAC response and </w:t>
      </w:r>
      <w:r w:rsidR="00C26960" w:rsidRPr="00AE07CE">
        <w:rPr>
          <w:rFonts w:asciiTheme="minorHAnsi" w:eastAsiaTheme="minorHAnsi" w:hAnsiTheme="minorHAnsi" w:cstheme="minorBidi"/>
          <w:sz w:val="24"/>
          <w:szCs w:val="24"/>
        </w:rPr>
        <w:t xml:space="preserve">considered that </w:t>
      </w:r>
      <w:r w:rsidR="004A28A5" w:rsidRPr="00AE07CE">
        <w:rPr>
          <w:rFonts w:asciiTheme="minorHAnsi" w:eastAsiaTheme="minorHAnsi" w:hAnsiTheme="minorHAnsi" w:cstheme="minorBidi"/>
          <w:sz w:val="24"/>
          <w:szCs w:val="24"/>
        </w:rPr>
        <w:lastRenderedPageBreak/>
        <w:t xml:space="preserve">clinicians would use </w:t>
      </w:r>
      <w:proofErr w:type="spellStart"/>
      <w:r w:rsidR="004A28A5" w:rsidRPr="00AE07CE">
        <w:rPr>
          <w:rFonts w:asciiTheme="minorHAnsi" w:eastAsiaTheme="minorHAnsi" w:hAnsiTheme="minorHAnsi" w:cstheme="minorBidi"/>
          <w:sz w:val="24"/>
          <w:szCs w:val="24"/>
        </w:rPr>
        <w:t>temozolomide</w:t>
      </w:r>
      <w:proofErr w:type="spellEnd"/>
      <w:r w:rsidR="004A28A5" w:rsidRPr="00AE07CE">
        <w:rPr>
          <w:rFonts w:asciiTheme="minorHAnsi" w:eastAsiaTheme="minorHAnsi" w:hAnsiTheme="minorHAnsi" w:cstheme="minorBidi"/>
          <w:sz w:val="24"/>
          <w:szCs w:val="24"/>
        </w:rPr>
        <w:t xml:space="preserve"> if clinically feasible and that leakage of bevacizumab into first-line glioblastoma in patients able to tolerate </w:t>
      </w:r>
      <w:proofErr w:type="spellStart"/>
      <w:r w:rsidR="004A28A5" w:rsidRPr="00AE07CE">
        <w:rPr>
          <w:rFonts w:asciiTheme="minorHAnsi" w:eastAsiaTheme="minorHAnsi" w:hAnsiTheme="minorHAnsi" w:cstheme="minorBidi"/>
          <w:sz w:val="24"/>
          <w:szCs w:val="24"/>
        </w:rPr>
        <w:t>temozolomide</w:t>
      </w:r>
      <w:proofErr w:type="spellEnd"/>
      <w:r w:rsidR="004A28A5" w:rsidRPr="00AE07CE">
        <w:rPr>
          <w:rFonts w:asciiTheme="minorHAnsi" w:eastAsiaTheme="minorHAnsi" w:hAnsiTheme="minorHAnsi" w:cstheme="minorBidi"/>
          <w:sz w:val="24"/>
          <w:szCs w:val="24"/>
        </w:rPr>
        <w:t xml:space="preserve"> was unlikely. Thus, the PBAC advised that this criterion did not require further definition. </w:t>
      </w:r>
    </w:p>
    <w:p w:rsidR="00643380" w:rsidRPr="00AE07CE" w:rsidRDefault="00F861B1"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restriction require</w:t>
      </w:r>
      <w:r w:rsidR="00FE0039">
        <w:rPr>
          <w:rFonts w:asciiTheme="minorHAnsi" w:eastAsiaTheme="minorHAnsi" w:hAnsiTheme="minorHAnsi" w:cstheme="minorBidi"/>
          <w:snapToGrid/>
          <w:sz w:val="24"/>
          <w:szCs w:val="22"/>
        </w:rPr>
        <w:t>s</w:t>
      </w:r>
      <w:r w:rsidRPr="00AE07CE">
        <w:rPr>
          <w:rFonts w:asciiTheme="minorHAnsi" w:eastAsiaTheme="minorHAnsi" w:hAnsiTheme="minorHAnsi" w:cstheme="minorBidi"/>
          <w:snapToGrid/>
          <w:sz w:val="24"/>
          <w:szCs w:val="22"/>
        </w:rPr>
        <w:t xml:space="preserve"> patients to have an Eastern Cooperative Oncology Group (ECOG) performance status ≤</w:t>
      </w:r>
      <w:r w:rsidR="006C49DF" w:rsidRPr="00AE07CE">
        <w:rPr>
          <w:rFonts w:asciiTheme="minorHAnsi" w:eastAsiaTheme="minorHAnsi" w:hAnsiTheme="minorHAnsi" w:cstheme="minorBidi"/>
          <w:snapToGrid/>
          <w:sz w:val="24"/>
          <w:szCs w:val="22"/>
        </w:rPr>
        <w:t> </w:t>
      </w:r>
      <w:r w:rsidRPr="00AE07CE">
        <w:rPr>
          <w:rFonts w:asciiTheme="minorHAnsi" w:eastAsiaTheme="minorHAnsi" w:hAnsiTheme="minorHAnsi" w:cstheme="minorBidi"/>
          <w:snapToGrid/>
          <w:sz w:val="24"/>
          <w:szCs w:val="22"/>
        </w:rPr>
        <w:t xml:space="preserve">2 prior to commencing bevacizumab. </w:t>
      </w:r>
      <w:r w:rsidR="00643380" w:rsidRPr="00AE07CE">
        <w:rPr>
          <w:rFonts w:asciiTheme="minorHAnsi" w:eastAsiaTheme="minorHAnsi" w:hAnsiTheme="minorHAnsi" w:cstheme="minorBidi"/>
          <w:snapToGrid/>
          <w:sz w:val="24"/>
          <w:szCs w:val="22"/>
        </w:rPr>
        <w:t>This align</w:t>
      </w:r>
      <w:r w:rsidR="00C26960" w:rsidRPr="00AE07CE">
        <w:rPr>
          <w:rFonts w:asciiTheme="minorHAnsi" w:eastAsiaTheme="minorHAnsi" w:hAnsiTheme="minorHAnsi" w:cstheme="minorBidi"/>
          <w:snapToGrid/>
          <w:sz w:val="24"/>
          <w:szCs w:val="22"/>
        </w:rPr>
        <w:t>s</w:t>
      </w:r>
      <w:r w:rsidR="00643380" w:rsidRPr="00AE07CE">
        <w:rPr>
          <w:rFonts w:asciiTheme="minorHAnsi" w:eastAsiaTheme="minorHAnsi" w:hAnsiTheme="minorHAnsi" w:cstheme="minorBidi"/>
          <w:snapToGrid/>
          <w:sz w:val="24"/>
          <w:szCs w:val="22"/>
        </w:rPr>
        <w:t xml:space="preserve"> with the inclusion criteria of </w:t>
      </w:r>
      <w:r w:rsidR="00AA6706" w:rsidRPr="00AE07CE">
        <w:rPr>
          <w:rFonts w:asciiTheme="minorHAnsi" w:eastAsiaTheme="minorHAnsi" w:hAnsiTheme="minorHAnsi" w:cstheme="minorBidi"/>
          <w:snapToGrid/>
          <w:sz w:val="24"/>
          <w:szCs w:val="22"/>
        </w:rPr>
        <w:t xml:space="preserve">various studies of bevacizumab in this setting, including </w:t>
      </w:r>
      <w:r w:rsidR="003D7548" w:rsidRPr="00AE07CE">
        <w:rPr>
          <w:rFonts w:asciiTheme="minorHAnsi" w:eastAsiaTheme="minorHAnsi" w:hAnsiTheme="minorHAnsi" w:cstheme="minorBidi"/>
          <w:snapToGrid/>
          <w:sz w:val="24"/>
          <w:szCs w:val="22"/>
        </w:rPr>
        <w:t xml:space="preserve">the </w:t>
      </w:r>
      <w:r w:rsidR="00643380" w:rsidRPr="00AE07CE">
        <w:rPr>
          <w:rFonts w:asciiTheme="minorHAnsi" w:eastAsiaTheme="minorHAnsi" w:hAnsiTheme="minorHAnsi" w:cstheme="minorBidi"/>
          <w:snapToGrid/>
          <w:sz w:val="24"/>
          <w:szCs w:val="22"/>
        </w:rPr>
        <w:t>CABARET study,</w:t>
      </w:r>
      <w:r w:rsidR="006C49DF" w:rsidRPr="00AE07CE">
        <w:rPr>
          <w:rFonts w:asciiTheme="minorHAnsi" w:eastAsiaTheme="minorHAnsi" w:hAnsiTheme="minorHAnsi" w:cstheme="minorBidi"/>
          <w:snapToGrid/>
          <w:sz w:val="24"/>
          <w:szCs w:val="22"/>
        </w:rPr>
        <w:t xml:space="preserve"> Taal 2014 and Wick 2017.</w:t>
      </w:r>
    </w:p>
    <w:p w:rsidR="00F861B1" w:rsidRPr="00AE07CE" w:rsidRDefault="00165EB5"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w:t>
      </w:r>
      <w:r w:rsidR="00F861B1" w:rsidRPr="00AE07CE">
        <w:rPr>
          <w:rFonts w:asciiTheme="minorHAnsi" w:eastAsiaTheme="minorHAnsi" w:hAnsiTheme="minorHAnsi" w:cstheme="minorBidi"/>
          <w:snapToGrid/>
          <w:sz w:val="24"/>
          <w:szCs w:val="22"/>
        </w:rPr>
        <w:t xml:space="preserve"> PBAC consider</w:t>
      </w:r>
      <w:r w:rsidRPr="00AE07CE">
        <w:rPr>
          <w:rFonts w:asciiTheme="minorHAnsi" w:eastAsiaTheme="minorHAnsi" w:hAnsiTheme="minorHAnsi" w:cstheme="minorBidi"/>
          <w:snapToGrid/>
          <w:sz w:val="24"/>
          <w:szCs w:val="22"/>
        </w:rPr>
        <w:t>ed</w:t>
      </w:r>
      <w:r w:rsidR="00F861B1" w:rsidRPr="00AE07CE">
        <w:rPr>
          <w:rFonts w:asciiTheme="minorHAnsi" w:eastAsiaTheme="minorHAnsi" w:hAnsiTheme="minorHAnsi" w:cstheme="minorBidi"/>
          <w:snapToGrid/>
          <w:sz w:val="24"/>
          <w:szCs w:val="22"/>
        </w:rPr>
        <w:t xml:space="preserve"> </w:t>
      </w:r>
      <w:r w:rsidRPr="00AE07CE">
        <w:rPr>
          <w:rFonts w:asciiTheme="minorHAnsi" w:eastAsiaTheme="minorHAnsi" w:hAnsiTheme="minorHAnsi" w:cstheme="minorBidi"/>
          <w:snapToGrid/>
          <w:sz w:val="24"/>
          <w:szCs w:val="22"/>
        </w:rPr>
        <w:t xml:space="preserve">that </w:t>
      </w:r>
      <w:r w:rsidR="00F861B1" w:rsidRPr="00AE07CE">
        <w:rPr>
          <w:rFonts w:asciiTheme="minorHAnsi" w:eastAsiaTheme="minorHAnsi" w:hAnsiTheme="minorHAnsi" w:cstheme="minorBidi"/>
          <w:snapToGrid/>
          <w:sz w:val="24"/>
          <w:szCs w:val="22"/>
        </w:rPr>
        <w:t>the restriction should specify that bevacizumab must be the sole PBS-subsidised therapy for this condition. This</w:t>
      </w:r>
      <w:r w:rsidRPr="00AE07CE">
        <w:rPr>
          <w:rFonts w:asciiTheme="minorHAnsi" w:eastAsiaTheme="minorHAnsi" w:hAnsiTheme="minorHAnsi" w:cstheme="minorBidi"/>
          <w:snapToGrid/>
          <w:sz w:val="24"/>
          <w:szCs w:val="22"/>
        </w:rPr>
        <w:t xml:space="preserve"> is</w:t>
      </w:r>
      <w:r w:rsidR="00F861B1" w:rsidRPr="00AE07CE">
        <w:rPr>
          <w:rFonts w:asciiTheme="minorHAnsi" w:eastAsiaTheme="minorHAnsi" w:hAnsiTheme="minorHAnsi" w:cstheme="minorBidi"/>
          <w:snapToGrid/>
          <w:sz w:val="24"/>
          <w:szCs w:val="22"/>
        </w:rPr>
        <w:t xml:space="preserve"> consistent with the TGA approved indication for bevacizumab</w:t>
      </w:r>
      <w:r w:rsidR="00F9226E" w:rsidRPr="00AE07CE">
        <w:rPr>
          <w:rFonts w:asciiTheme="minorHAnsi" w:eastAsiaTheme="minorHAnsi" w:hAnsiTheme="minorHAnsi" w:cstheme="minorBidi"/>
          <w:snapToGrid/>
          <w:sz w:val="24"/>
          <w:szCs w:val="22"/>
        </w:rPr>
        <w:t>,</w:t>
      </w:r>
      <w:r w:rsidR="00F861B1" w:rsidRPr="00AE07CE">
        <w:rPr>
          <w:rFonts w:asciiTheme="minorHAnsi" w:eastAsiaTheme="minorHAnsi" w:hAnsiTheme="minorHAnsi" w:cstheme="minorBidi"/>
          <w:snapToGrid/>
          <w:sz w:val="24"/>
          <w:szCs w:val="22"/>
        </w:rPr>
        <w:t xml:space="preserve"> which states it </w:t>
      </w:r>
      <w:proofErr w:type="gramStart"/>
      <w:r w:rsidR="00F861B1" w:rsidRPr="00AE07CE">
        <w:rPr>
          <w:rFonts w:asciiTheme="minorHAnsi" w:eastAsiaTheme="minorHAnsi" w:hAnsiTheme="minorHAnsi" w:cstheme="minorBidi"/>
          <w:snapToGrid/>
          <w:sz w:val="24"/>
          <w:szCs w:val="22"/>
        </w:rPr>
        <w:t>is indicated</w:t>
      </w:r>
      <w:proofErr w:type="gramEnd"/>
      <w:r w:rsidR="00F861B1" w:rsidRPr="00AE07CE">
        <w:rPr>
          <w:rFonts w:asciiTheme="minorHAnsi" w:eastAsiaTheme="minorHAnsi" w:hAnsiTheme="minorHAnsi" w:cstheme="minorBidi"/>
          <w:snapToGrid/>
          <w:sz w:val="24"/>
          <w:szCs w:val="22"/>
        </w:rPr>
        <w:t xml:space="preserve"> for use as a single agent in this condition.</w:t>
      </w:r>
      <w:r w:rsidR="00F9226E" w:rsidRPr="00AE07CE">
        <w:rPr>
          <w:rFonts w:asciiTheme="minorHAnsi" w:eastAsiaTheme="minorHAnsi" w:hAnsiTheme="minorHAnsi" w:cstheme="minorBidi"/>
          <w:snapToGrid/>
          <w:sz w:val="24"/>
          <w:szCs w:val="22"/>
        </w:rPr>
        <w:t xml:space="preserve"> </w:t>
      </w:r>
    </w:p>
    <w:p w:rsidR="00935C2B" w:rsidRPr="00400B3F" w:rsidRDefault="00605066"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w:t>
      </w:r>
      <w:r w:rsidR="00BD6CF8" w:rsidRPr="00AE07CE">
        <w:rPr>
          <w:rFonts w:asciiTheme="minorHAnsi" w:eastAsiaTheme="minorHAnsi" w:hAnsiTheme="minorHAnsi" w:cstheme="minorBidi"/>
          <w:snapToGrid/>
          <w:sz w:val="24"/>
          <w:szCs w:val="22"/>
        </w:rPr>
        <w:t xml:space="preserve">he PBAC considered there was a </w:t>
      </w:r>
      <w:r w:rsidRPr="00AE07CE">
        <w:rPr>
          <w:rFonts w:asciiTheme="minorHAnsi" w:eastAsiaTheme="minorHAnsi" w:hAnsiTheme="minorHAnsi" w:cstheme="minorBidi"/>
          <w:snapToGrid/>
          <w:sz w:val="24"/>
          <w:szCs w:val="22"/>
        </w:rPr>
        <w:t xml:space="preserve">potential </w:t>
      </w:r>
      <w:r w:rsidR="00BD6CF8" w:rsidRPr="00AE07CE">
        <w:rPr>
          <w:rFonts w:asciiTheme="minorHAnsi" w:eastAsiaTheme="minorHAnsi" w:hAnsiTheme="minorHAnsi" w:cstheme="minorBidi"/>
          <w:snapToGrid/>
          <w:sz w:val="24"/>
          <w:szCs w:val="22"/>
        </w:rPr>
        <w:t xml:space="preserve">risk of leakage </w:t>
      </w:r>
      <w:r w:rsidRPr="00AE07CE">
        <w:rPr>
          <w:rFonts w:asciiTheme="minorHAnsi" w:eastAsiaTheme="minorHAnsi" w:hAnsiTheme="minorHAnsi" w:cstheme="minorBidi"/>
          <w:snapToGrid/>
          <w:sz w:val="24"/>
          <w:szCs w:val="22"/>
        </w:rPr>
        <w:t xml:space="preserve">outside the requested PBS listing, such as use in patients with </w:t>
      </w:r>
      <w:r w:rsidR="00BD6CF8" w:rsidRPr="00400B3F">
        <w:rPr>
          <w:rFonts w:asciiTheme="minorHAnsi" w:eastAsiaTheme="minorHAnsi" w:hAnsiTheme="minorHAnsi" w:cstheme="minorBidi"/>
          <w:snapToGrid/>
          <w:sz w:val="24"/>
          <w:szCs w:val="22"/>
        </w:rPr>
        <w:t>lower grade tumours and spinal tumours.</w:t>
      </w:r>
    </w:p>
    <w:p w:rsidR="00AA6706" w:rsidRPr="00AE07CE" w:rsidRDefault="00AA6706"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Product Information states that the recommended dose of bevacizumab for Grade IV glioma (glioblastoma) is either: 10 mg/kg every two weeks</w:t>
      </w:r>
      <w:proofErr w:type="gramStart"/>
      <w:r w:rsidRPr="00AE07CE">
        <w:rPr>
          <w:rFonts w:asciiTheme="minorHAnsi" w:eastAsiaTheme="minorHAnsi" w:hAnsiTheme="minorHAnsi" w:cstheme="minorBidi"/>
          <w:snapToGrid/>
          <w:sz w:val="24"/>
          <w:szCs w:val="22"/>
        </w:rPr>
        <w:t>;</w:t>
      </w:r>
      <w:proofErr w:type="gramEnd"/>
      <w:r w:rsidRPr="00AE07CE">
        <w:rPr>
          <w:rFonts w:asciiTheme="minorHAnsi" w:eastAsiaTheme="minorHAnsi" w:hAnsiTheme="minorHAnsi" w:cstheme="minorBidi"/>
          <w:snapToGrid/>
          <w:sz w:val="24"/>
          <w:szCs w:val="22"/>
        </w:rPr>
        <w:t xml:space="preserve"> or 15 mg/kg every three weeks. </w:t>
      </w:r>
      <w:proofErr w:type="gramStart"/>
      <w:r w:rsidRPr="00AE07CE">
        <w:rPr>
          <w:rFonts w:asciiTheme="minorHAnsi" w:eastAsiaTheme="minorHAnsi" w:hAnsiTheme="minorHAnsi" w:cstheme="minorBidi"/>
          <w:snapToGrid/>
          <w:sz w:val="24"/>
          <w:szCs w:val="22"/>
        </w:rPr>
        <w:t>The proposed maximum amount and repeats would allow either regimen to be used: the proposed maximum amount of 1,800 mg corresponds with a dosage of 15 mg/kg in a 120 kg patient (three repeats would be required); while the maximum of five repeats corresponds with a fortnightly dosing regimen (a maximum amount of 1,200 mg would be required for this regimen).</w:t>
      </w:r>
      <w:proofErr w:type="gramEnd"/>
      <w:r w:rsidRPr="00AE07CE">
        <w:rPr>
          <w:rFonts w:asciiTheme="minorHAnsi" w:eastAsiaTheme="minorHAnsi" w:hAnsiTheme="minorHAnsi" w:cstheme="minorBidi"/>
          <w:snapToGrid/>
          <w:sz w:val="24"/>
          <w:szCs w:val="22"/>
        </w:rPr>
        <w:t xml:space="preserve"> </w:t>
      </w:r>
      <w:r w:rsidR="00BD6CF8" w:rsidRPr="00AE07CE">
        <w:rPr>
          <w:rFonts w:asciiTheme="minorHAnsi" w:eastAsiaTheme="minorHAnsi" w:hAnsiTheme="minorHAnsi" w:cstheme="minorBidi"/>
          <w:snapToGrid/>
          <w:sz w:val="24"/>
          <w:szCs w:val="22"/>
        </w:rPr>
        <w:t xml:space="preserve">The PBAC considered that </w:t>
      </w:r>
      <w:r w:rsidRPr="00AE07CE">
        <w:rPr>
          <w:rFonts w:asciiTheme="minorHAnsi" w:eastAsiaTheme="minorHAnsi" w:hAnsiTheme="minorHAnsi" w:cstheme="minorBidi"/>
          <w:snapToGrid/>
          <w:sz w:val="24"/>
          <w:szCs w:val="22"/>
        </w:rPr>
        <w:t xml:space="preserve">the restriction </w:t>
      </w:r>
      <w:r w:rsidR="00BD6CF8" w:rsidRPr="00AE07CE">
        <w:rPr>
          <w:rFonts w:asciiTheme="minorHAnsi" w:eastAsiaTheme="minorHAnsi" w:hAnsiTheme="minorHAnsi" w:cstheme="minorBidi"/>
          <w:snapToGrid/>
          <w:sz w:val="24"/>
          <w:szCs w:val="22"/>
        </w:rPr>
        <w:t xml:space="preserve">should </w:t>
      </w:r>
      <w:r w:rsidRPr="00AE07CE">
        <w:rPr>
          <w:rFonts w:asciiTheme="minorHAnsi" w:eastAsiaTheme="minorHAnsi" w:hAnsiTheme="minorHAnsi" w:cstheme="minorBidi"/>
          <w:snapToGrid/>
          <w:sz w:val="24"/>
          <w:szCs w:val="22"/>
        </w:rPr>
        <w:t>include a note indicating that doses over 10 mg/kg every two weeks or 15 mg/kg every three</w:t>
      </w:r>
      <w:r w:rsidRPr="00AE07CE">
        <w:rPr>
          <w:rFonts w:asciiTheme="minorHAnsi" w:hAnsiTheme="minorHAnsi" w:cstheme="minorHAnsi"/>
          <w:sz w:val="24"/>
          <w:szCs w:val="24"/>
        </w:rPr>
        <w:t xml:space="preserve"> weeks </w:t>
      </w:r>
      <w:proofErr w:type="gramStart"/>
      <w:r w:rsidRPr="00AE07CE">
        <w:rPr>
          <w:rFonts w:asciiTheme="minorHAnsi" w:hAnsiTheme="minorHAnsi" w:cstheme="minorHAnsi"/>
          <w:sz w:val="24"/>
          <w:szCs w:val="24"/>
        </w:rPr>
        <w:t>will not be approved</w:t>
      </w:r>
      <w:proofErr w:type="gramEnd"/>
      <w:r w:rsidRPr="00AE07CE">
        <w:rPr>
          <w:rFonts w:asciiTheme="minorHAnsi" w:hAnsiTheme="minorHAnsi" w:cstheme="minorHAnsi"/>
          <w:sz w:val="24"/>
          <w:szCs w:val="24"/>
        </w:rPr>
        <w:t>, consistent with inclusion of the dosage regimen in the current PBS-listing for bevacizumab in metastatic colorectal cancer.</w:t>
      </w:r>
    </w:p>
    <w:p w:rsidR="004F01A2" w:rsidRPr="00AE07CE" w:rsidRDefault="004F01A2" w:rsidP="00DC7C24">
      <w:pPr>
        <w:pStyle w:val="ListParagraph"/>
        <w:keepNext/>
        <w:keepLines/>
        <w:spacing w:before="120" w:after="120"/>
        <w:ind w:left="1287" w:hanging="1287"/>
        <w:contextualSpacing w:val="0"/>
        <w:rPr>
          <w:rFonts w:asciiTheme="minorHAnsi" w:eastAsiaTheme="minorHAnsi" w:hAnsiTheme="minorHAnsi" w:cstheme="minorBidi"/>
          <w:snapToGrid/>
          <w:sz w:val="24"/>
          <w:szCs w:val="22"/>
          <w:u w:val="single"/>
        </w:rPr>
      </w:pPr>
      <w:r w:rsidRPr="00AE07CE">
        <w:rPr>
          <w:rFonts w:asciiTheme="minorHAnsi" w:eastAsiaTheme="minorHAnsi" w:hAnsiTheme="minorHAnsi" w:cstheme="minorBidi"/>
          <w:snapToGrid/>
          <w:sz w:val="24"/>
          <w:szCs w:val="22"/>
          <w:u w:val="single"/>
        </w:rPr>
        <w:t>Patient Access Program</w:t>
      </w:r>
    </w:p>
    <w:p w:rsidR="008C34FA" w:rsidRPr="00AE07CE" w:rsidRDefault="004F01A2"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submission </w:t>
      </w:r>
      <w:r w:rsidR="00B87E01" w:rsidRPr="00AE07CE">
        <w:rPr>
          <w:rFonts w:asciiTheme="minorHAnsi" w:eastAsiaTheme="minorHAnsi" w:hAnsiTheme="minorHAnsi" w:cstheme="minorBidi"/>
          <w:snapToGrid/>
          <w:sz w:val="24"/>
          <w:szCs w:val="22"/>
        </w:rPr>
        <w:t xml:space="preserve">and pre-PBAC response </w:t>
      </w:r>
      <w:r w:rsidRPr="00AE07CE">
        <w:rPr>
          <w:rFonts w:asciiTheme="minorHAnsi" w:eastAsiaTheme="minorHAnsi" w:hAnsiTheme="minorHAnsi" w:cstheme="minorBidi"/>
          <w:snapToGrid/>
          <w:sz w:val="24"/>
          <w:szCs w:val="22"/>
        </w:rPr>
        <w:t xml:space="preserve">stated that patients </w:t>
      </w:r>
      <w:r w:rsidR="00AE07CE" w:rsidRPr="00AE07CE">
        <w:rPr>
          <w:rFonts w:asciiTheme="minorHAnsi" w:eastAsiaTheme="minorHAnsi" w:hAnsiTheme="minorHAnsi" w:cstheme="minorBidi"/>
          <w:snapToGrid/>
          <w:sz w:val="24"/>
          <w:szCs w:val="22"/>
        </w:rPr>
        <w:t>could</w:t>
      </w:r>
      <w:r w:rsidRPr="00AE07CE">
        <w:rPr>
          <w:rFonts w:asciiTheme="minorHAnsi" w:eastAsiaTheme="minorHAnsi" w:hAnsiTheme="minorHAnsi" w:cstheme="minorBidi"/>
          <w:snapToGrid/>
          <w:sz w:val="24"/>
          <w:szCs w:val="22"/>
        </w:rPr>
        <w:t xml:space="preserve"> receive bevacizumab through a Patient Access Program</w:t>
      </w:r>
      <w:r w:rsidR="00B87E01"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 </w:t>
      </w:r>
      <w:r w:rsidR="00B87E01" w:rsidRPr="00AE07CE">
        <w:rPr>
          <w:rFonts w:asciiTheme="minorHAnsi" w:eastAsiaTheme="minorHAnsi" w:hAnsiTheme="minorHAnsi" w:cstheme="minorBidi"/>
          <w:snapToGrid/>
          <w:sz w:val="24"/>
          <w:szCs w:val="22"/>
        </w:rPr>
        <w:t xml:space="preserve">whereby </w:t>
      </w:r>
      <w:r w:rsidR="00637804" w:rsidRPr="00AE07CE">
        <w:rPr>
          <w:rFonts w:asciiTheme="minorHAnsi" w:eastAsiaTheme="minorHAnsi" w:hAnsiTheme="minorHAnsi" w:cstheme="minorBidi"/>
          <w:snapToGrid/>
          <w:sz w:val="24"/>
          <w:szCs w:val="22"/>
        </w:rPr>
        <w:t xml:space="preserve">patients make a payment per cycle, with the patient cost capped at </w:t>
      </w:r>
      <w:r w:rsidR="00637804" w:rsidRPr="00373B5B">
        <w:rPr>
          <w:rFonts w:asciiTheme="minorHAnsi" w:eastAsiaTheme="minorHAnsi" w:hAnsiTheme="minorHAnsi" w:cstheme="minorBidi"/>
          <w:snapToGrid/>
          <w:sz w:val="24"/>
          <w:szCs w:val="22"/>
        </w:rPr>
        <w:t xml:space="preserve">approximately </w:t>
      </w:r>
      <w:r w:rsidRPr="00373B5B">
        <w:rPr>
          <w:rFonts w:asciiTheme="minorHAnsi" w:eastAsiaTheme="minorHAnsi" w:hAnsiTheme="minorHAnsi" w:cstheme="minorBidi"/>
          <w:snapToGrid/>
          <w:sz w:val="24"/>
          <w:szCs w:val="22"/>
        </w:rPr>
        <w:t>$</w:t>
      </w:r>
      <w:r w:rsidR="00E454F3">
        <w:rPr>
          <w:rFonts w:asciiTheme="minorHAnsi" w:eastAsiaTheme="minorHAnsi" w:hAnsiTheme="minorHAnsi" w:cstheme="minorBidi"/>
          <w:noProof/>
          <w:snapToGrid/>
          <w:color w:val="000000"/>
          <w:sz w:val="24"/>
          <w:szCs w:val="22"/>
          <w:highlight w:val="black"/>
        </w:rPr>
        <w:t>''''''''''''</w:t>
      </w:r>
      <w:r w:rsidRPr="00373B5B">
        <w:rPr>
          <w:rFonts w:asciiTheme="minorHAnsi" w:eastAsiaTheme="minorHAnsi" w:hAnsiTheme="minorHAnsi" w:cstheme="minorBidi"/>
          <w:snapToGrid/>
          <w:sz w:val="24"/>
          <w:szCs w:val="22"/>
        </w:rPr>
        <w:t xml:space="preserve"> for an</w:t>
      </w:r>
      <w:r w:rsidRPr="00AE07CE">
        <w:rPr>
          <w:rFonts w:asciiTheme="minorHAnsi" w:eastAsiaTheme="minorHAnsi" w:hAnsiTheme="minorHAnsi" w:cstheme="minorBidi"/>
          <w:snapToGrid/>
          <w:sz w:val="24"/>
          <w:szCs w:val="22"/>
        </w:rPr>
        <w:t xml:space="preserve"> on-going supply. </w:t>
      </w:r>
      <w:r w:rsidR="00E83F16" w:rsidRPr="00AE07CE">
        <w:rPr>
          <w:rFonts w:asciiTheme="minorHAnsi" w:eastAsiaTheme="minorHAnsi" w:hAnsiTheme="minorHAnsi" w:cstheme="minorBidi"/>
          <w:snapToGrid/>
          <w:sz w:val="24"/>
          <w:szCs w:val="22"/>
        </w:rPr>
        <w:t>However, the substantial cost to access treatment though this program results in inequitable access</w:t>
      </w:r>
      <w:r w:rsidR="00BE2059">
        <w:rPr>
          <w:rFonts w:asciiTheme="minorHAnsi" w:eastAsiaTheme="minorHAnsi" w:hAnsiTheme="minorHAnsi" w:cstheme="minorBidi"/>
          <w:snapToGrid/>
          <w:sz w:val="24"/>
          <w:szCs w:val="22"/>
        </w:rPr>
        <w:t>,</w:t>
      </w:r>
      <w:r w:rsidR="00063EFE">
        <w:rPr>
          <w:rFonts w:asciiTheme="minorHAnsi" w:eastAsiaTheme="minorHAnsi" w:hAnsiTheme="minorHAnsi" w:cstheme="minorBidi"/>
          <w:snapToGrid/>
          <w:sz w:val="24"/>
          <w:szCs w:val="22"/>
        </w:rPr>
        <w:t xml:space="preserve"> and</w:t>
      </w:r>
      <w:r w:rsidR="00BE2059">
        <w:rPr>
          <w:rFonts w:asciiTheme="minorHAnsi" w:eastAsiaTheme="minorHAnsi" w:hAnsiTheme="minorHAnsi" w:cstheme="minorBidi"/>
          <w:snapToGrid/>
          <w:sz w:val="24"/>
          <w:szCs w:val="22"/>
        </w:rPr>
        <w:t xml:space="preserve"> </w:t>
      </w:r>
      <w:proofErr w:type="gramStart"/>
      <w:r w:rsidR="00BE2059">
        <w:rPr>
          <w:rFonts w:asciiTheme="minorHAnsi" w:eastAsiaTheme="minorHAnsi" w:hAnsiTheme="minorHAnsi" w:cstheme="minorBidi"/>
          <w:snapToGrid/>
          <w:sz w:val="24"/>
          <w:szCs w:val="22"/>
        </w:rPr>
        <w:t>was noted</w:t>
      </w:r>
      <w:proofErr w:type="gramEnd"/>
      <w:r w:rsidR="00BE2059">
        <w:rPr>
          <w:rFonts w:asciiTheme="minorHAnsi" w:eastAsiaTheme="minorHAnsi" w:hAnsiTheme="minorHAnsi" w:cstheme="minorBidi"/>
          <w:snapToGrid/>
          <w:sz w:val="24"/>
          <w:szCs w:val="22"/>
        </w:rPr>
        <w:t xml:space="preserve"> as a burden in </w:t>
      </w:r>
      <w:r w:rsidR="00063EFE">
        <w:rPr>
          <w:rFonts w:asciiTheme="minorHAnsi" w:eastAsiaTheme="minorHAnsi" w:hAnsiTheme="minorHAnsi" w:cstheme="minorBidi"/>
          <w:snapToGrid/>
          <w:sz w:val="24"/>
          <w:szCs w:val="22"/>
        </w:rPr>
        <w:t xml:space="preserve">some of the </w:t>
      </w:r>
      <w:r w:rsidR="00BE2059">
        <w:rPr>
          <w:rFonts w:asciiTheme="minorHAnsi" w:eastAsiaTheme="minorHAnsi" w:hAnsiTheme="minorHAnsi" w:cstheme="minorBidi"/>
          <w:snapToGrid/>
          <w:sz w:val="24"/>
          <w:szCs w:val="22"/>
        </w:rPr>
        <w:t>consumer comments</w:t>
      </w:r>
      <w:r w:rsidR="00E83F16" w:rsidRPr="00AE07CE">
        <w:rPr>
          <w:rFonts w:asciiTheme="minorHAnsi" w:eastAsiaTheme="minorHAnsi" w:hAnsiTheme="minorHAnsi" w:cstheme="minorBidi"/>
          <w:snapToGrid/>
          <w:sz w:val="24"/>
          <w:szCs w:val="22"/>
        </w:rPr>
        <w:t>.</w:t>
      </w:r>
    </w:p>
    <w:p w:rsidR="004F01A2" w:rsidRPr="00AE07CE" w:rsidRDefault="004F01A2"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submission stated that an </w:t>
      </w:r>
      <w:r w:rsidRPr="00373B5B">
        <w:rPr>
          <w:rFonts w:asciiTheme="minorHAnsi" w:eastAsiaTheme="minorHAnsi" w:hAnsiTheme="minorHAnsi" w:cstheme="minorBidi"/>
          <w:snapToGrid/>
          <w:sz w:val="24"/>
          <w:szCs w:val="22"/>
        </w:rPr>
        <w:t xml:space="preserve">average of </w:t>
      </w:r>
      <w:r w:rsidR="00E454F3">
        <w:rPr>
          <w:rFonts w:asciiTheme="minorHAnsi" w:eastAsiaTheme="minorHAnsi" w:hAnsiTheme="minorHAnsi" w:cstheme="minorBidi"/>
          <w:noProof/>
          <w:snapToGrid/>
          <w:color w:val="000000"/>
          <w:sz w:val="24"/>
          <w:szCs w:val="22"/>
          <w:highlight w:val="black"/>
        </w:rPr>
        <w:t>'''''''</w:t>
      </w:r>
      <w:r w:rsidR="007C5FBF" w:rsidRPr="00373B5B">
        <w:rPr>
          <w:rFonts w:asciiTheme="minorHAnsi" w:eastAsiaTheme="minorHAnsi" w:hAnsiTheme="minorHAnsi" w:cstheme="minorBidi"/>
          <w:snapToGrid/>
          <w:sz w:val="24"/>
          <w:szCs w:val="22"/>
        </w:rPr>
        <w:t xml:space="preserve"> patients </w:t>
      </w:r>
      <w:r w:rsidRPr="00373B5B">
        <w:rPr>
          <w:rFonts w:asciiTheme="minorHAnsi" w:eastAsiaTheme="minorHAnsi" w:hAnsiTheme="minorHAnsi" w:cstheme="minorBidi"/>
          <w:snapToGrid/>
          <w:sz w:val="24"/>
          <w:szCs w:val="22"/>
        </w:rPr>
        <w:t>have been</w:t>
      </w:r>
      <w:r w:rsidRPr="00AE07CE">
        <w:rPr>
          <w:rFonts w:asciiTheme="minorHAnsi" w:eastAsiaTheme="minorHAnsi" w:hAnsiTheme="minorHAnsi" w:cstheme="minorBidi"/>
          <w:snapToGrid/>
          <w:sz w:val="24"/>
          <w:szCs w:val="22"/>
        </w:rPr>
        <w:t xml:space="preserve"> treated with bevacizumab for relapsed glioblastoma annually over the last six years (2013-2018), as discussed further in </w:t>
      </w:r>
      <w:r w:rsidRPr="00AE07CE">
        <w:rPr>
          <w:rFonts w:asciiTheme="minorHAnsi" w:eastAsiaTheme="minorHAnsi" w:hAnsiTheme="minorHAnsi" w:cstheme="minorBidi"/>
          <w:i/>
          <w:snapToGrid/>
          <w:sz w:val="24"/>
          <w:szCs w:val="22"/>
        </w:rPr>
        <w:t>‘Estimated PBS usage and financial implications’</w:t>
      </w:r>
      <w:r w:rsidRPr="00AE07CE">
        <w:rPr>
          <w:rFonts w:asciiTheme="minorHAnsi" w:eastAsiaTheme="minorHAnsi" w:hAnsiTheme="minorHAnsi" w:cstheme="minorBidi"/>
          <w:snapToGrid/>
          <w:sz w:val="24"/>
          <w:szCs w:val="22"/>
        </w:rPr>
        <w:t>.</w:t>
      </w:r>
    </w:p>
    <w:p w:rsidR="004F01A2" w:rsidRPr="00AE07CE" w:rsidRDefault="00AD6A42" w:rsidP="00DC7C24">
      <w:pPr>
        <w:pStyle w:val="ListParagraph"/>
        <w:widowControl/>
        <w:numPr>
          <w:ilvl w:val="1"/>
          <w:numId w:val="5"/>
        </w:numPr>
        <w:spacing w:before="120" w:after="120"/>
        <w:ind w:left="720"/>
        <w:contextualSpacing w:val="0"/>
        <w:rPr>
          <w:rFonts w:asciiTheme="minorHAnsi" w:eastAsiaTheme="minorHAnsi" w:hAnsiTheme="minorHAnsi" w:cstheme="minorBidi"/>
          <w:i/>
          <w:snapToGrid/>
          <w:sz w:val="24"/>
          <w:szCs w:val="22"/>
        </w:rPr>
      </w:pPr>
      <w:r w:rsidRPr="00AE07CE">
        <w:rPr>
          <w:rFonts w:asciiTheme="minorHAnsi" w:eastAsiaTheme="minorHAnsi" w:hAnsiTheme="minorHAnsi" w:cstheme="minorBidi"/>
          <w:snapToGrid/>
          <w:sz w:val="24"/>
          <w:szCs w:val="22"/>
        </w:rPr>
        <w:t xml:space="preserve">The financial estimates assumed </w:t>
      </w:r>
      <w:r w:rsidRPr="00373B5B">
        <w:rPr>
          <w:rFonts w:asciiTheme="minorHAnsi" w:eastAsiaTheme="minorHAnsi" w:hAnsiTheme="minorHAnsi" w:cstheme="minorBidi"/>
          <w:snapToGrid/>
          <w:sz w:val="24"/>
          <w:szCs w:val="22"/>
        </w:rPr>
        <w:t xml:space="preserve">that </w:t>
      </w:r>
      <w:r w:rsidR="00E454F3">
        <w:rPr>
          <w:rFonts w:asciiTheme="minorHAnsi" w:eastAsiaTheme="minorHAnsi" w:hAnsiTheme="minorHAnsi" w:cstheme="minorBidi"/>
          <w:noProof/>
          <w:snapToGrid/>
          <w:color w:val="000000"/>
          <w:sz w:val="24"/>
          <w:szCs w:val="22"/>
          <w:highlight w:val="black"/>
        </w:rPr>
        <w:t>'''''</w:t>
      </w:r>
      <w:r w:rsidRPr="00373B5B">
        <w:rPr>
          <w:rFonts w:asciiTheme="minorHAnsi" w:eastAsiaTheme="minorHAnsi" w:hAnsiTheme="minorHAnsi" w:cstheme="minorBidi"/>
          <w:snapToGrid/>
          <w:sz w:val="24"/>
          <w:szCs w:val="22"/>
        </w:rPr>
        <w:t xml:space="preserve"> patients would be</w:t>
      </w:r>
      <w:r w:rsidRPr="00AE07CE">
        <w:rPr>
          <w:rFonts w:asciiTheme="minorHAnsi" w:eastAsiaTheme="minorHAnsi" w:hAnsiTheme="minorHAnsi" w:cstheme="minorBidi"/>
          <w:snapToGrid/>
          <w:sz w:val="24"/>
          <w:szCs w:val="22"/>
        </w:rPr>
        <w:t xml:space="preserve"> grandfathered onto the PBS</w:t>
      </w:r>
      <w:r w:rsidR="00140C45" w:rsidRPr="00AE07CE">
        <w:rPr>
          <w:rFonts w:asciiTheme="minorHAnsi" w:eastAsiaTheme="minorHAnsi" w:hAnsiTheme="minorHAnsi" w:cstheme="minorBidi"/>
          <w:snapToGrid/>
          <w:sz w:val="24"/>
          <w:szCs w:val="22"/>
        </w:rPr>
        <w:t xml:space="preserve">, </w:t>
      </w:r>
      <w:r w:rsidR="0085518A" w:rsidRPr="00AE07CE">
        <w:rPr>
          <w:rFonts w:asciiTheme="minorHAnsi" w:eastAsiaTheme="minorHAnsi" w:hAnsiTheme="minorHAnsi" w:cstheme="minorBidi"/>
          <w:snapToGrid/>
          <w:sz w:val="24"/>
          <w:szCs w:val="22"/>
        </w:rPr>
        <w:t xml:space="preserve">which </w:t>
      </w:r>
      <w:r w:rsidR="0085518A" w:rsidRPr="00373B5B">
        <w:rPr>
          <w:rFonts w:asciiTheme="minorHAnsi" w:eastAsiaTheme="minorHAnsi" w:hAnsiTheme="minorHAnsi" w:cstheme="minorBidi"/>
          <w:snapToGrid/>
          <w:sz w:val="24"/>
          <w:szCs w:val="22"/>
        </w:rPr>
        <w:t xml:space="preserve">was </w:t>
      </w:r>
      <w:r w:rsidR="00140C45" w:rsidRPr="00373B5B">
        <w:rPr>
          <w:rFonts w:asciiTheme="minorHAnsi" w:eastAsiaTheme="minorHAnsi" w:hAnsiTheme="minorHAnsi" w:cstheme="minorBidi"/>
          <w:snapToGrid/>
          <w:sz w:val="24"/>
          <w:szCs w:val="22"/>
        </w:rPr>
        <w:t xml:space="preserve">revised to </w:t>
      </w:r>
      <w:r w:rsidR="00E454F3">
        <w:rPr>
          <w:rFonts w:asciiTheme="minorHAnsi" w:eastAsiaTheme="minorHAnsi" w:hAnsiTheme="minorHAnsi" w:cstheme="minorBidi"/>
          <w:noProof/>
          <w:snapToGrid/>
          <w:color w:val="000000"/>
          <w:sz w:val="24"/>
          <w:szCs w:val="22"/>
          <w:highlight w:val="black"/>
        </w:rPr>
        <w:t>'''''</w:t>
      </w:r>
      <w:r w:rsidR="00140C45" w:rsidRPr="00373B5B">
        <w:rPr>
          <w:rFonts w:asciiTheme="minorHAnsi" w:eastAsiaTheme="minorHAnsi" w:hAnsiTheme="minorHAnsi" w:cstheme="minorBidi"/>
          <w:snapToGrid/>
          <w:sz w:val="24"/>
          <w:szCs w:val="22"/>
        </w:rPr>
        <w:t xml:space="preserve"> </w:t>
      </w:r>
      <w:r w:rsidR="0085518A" w:rsidRPr="00373B5B">
        <w:rPr>
          <w:rFonts w:asciiTheme="minorHAnsi" w:eastAsiaTheme="minorHAnsi" w:hAnsiTheme="minorHAnsi" w:cstheme="minorBidi"/>
          <w:snapToGrid/>
          <w:sz w:val="24"/>
          <w:szCs w:val="22"/>
        </w:rPr>
        <w:t xml:space="preserve">patients </w:t>
      </w:r>
      <w:r w:rsidR="00140C45" w:rsidRPr="00373B5B">
        <w:rPr>
          <w:rFonts w:asciiTheme="minorHAnsi" w:eastAsiaTheme="minorHAnsi" w:hAnsiTheme="minorHAnsi" w:cstheme="minorBidi"/>
          <w:snapToGrid/>
          <w:sz w:val="24"/>
          <w:szCs w:val="22"/>
        </w:rPr>
        <w:t>in the</w:t>
      </w:r>
      <w:r w:rsidR="00140C45" w:rsidRPr="00AE07CE">
        <w:rPr>
          <w:rFonts w:asciiTheme="minorHAnsi" w:eastAsiaTheme="minorHAnsi" w:hAnsiTheme="minorHAnsi" w:cstheme="minorBidi"/>
          <w:snapToGrid/>
          <w:sz w:val="24"/>
          <w:szCs w:val="22"/>
        </w:rPr>
        <w:t xml:space="preserve"> pre-PBAC response</w:t>
      </w:r>
      <w:r w:rsidRPr="00AE07CE">
        <w:rPr>
          <w:rFonts w:asciiTheme="minorHAnsi" w:eastAsiaTheme="minorHAnsi" w:hAnsiTheme="minorHAnsi" w:cstheme="minorBidi"/>
          <w:snapToGrid/>
          <w:sz w:val="24"/>
          <w:szCs w:val="22"/>
        </w:rPr>
        <w:t xml:space="preserve">. </w:t>
      </w:r>
      <w:r w:rsidR="004F01A2" w:rsidRPr="00AE07CE">
        <w:rPr>
          <w:rFonts w:asciiTheme="minorHAnsi" w:eastAsiaTheme="minorHAnsi" w:hAnsiTheme="minorHAnsi" w:cstheme="minorBidi"/>
          <w:snapToGrid/>
          <w:sz w:val="24"/>
          <w:szCs w:val="22"/>
        </w:rPr>
        <w:t>The submission did not propose a Grandfather restriction,</w:t>
      </w:r>
      <w:r w:rsidRPr="00AE07CE">
        <w:rPr>
          <w:rFonts w:asciiTheme="minorHAnsi" w:eastAsiaTheme="minorHAnsi" w:hAnsiTheme="minorHAnsi" w:cstheme="minorBidi"/>
          <w:snapToGrid/>
          <w:sz w:val="24"/>
          <w:szCs w:val="22"/>
        </w:rPr>
        <w:t xml:space="preserve"> </w:t>
      </w:r>
      <w:r w:rsidR="0085518A" w:rsidRPr="00AE07CE">
        <w:rPr>
          <w:rFonts w:asciiTheme="minorHAnsi" w:eastAsiaTheme="minorHAnsi" w:hAnsiTheme="minorHAnsi" w:cstheme="minorBidi"/>
          <w:snapToGrid/>
          <w:sz w:val="24"/>
          <w:szCs w:val="22"/>
        </w:rPr>
        <w:t>though t</w:t>
      </w:r>
      <w:r w:rsidR="00051DAD" w:rsidRPr="00AE07CE">
        <w:rPr>
          <w:rFonts w:asciiTheme="minorHAnsi" w:eastAsiaTheme="minorHAnsi" w:hAnsiTheme="minorHAnsi" w:cstheme="minorBidi"/>
          <w:snapToGrid/>
          <w:sz w:val="24"/>
          <w:szCs w:val="22"/>
        </w:rPr>
        <w:t xml:space="preserve">he pre-PBAC response stated that </w:t>
      </w:r>
      <w:r w:rsidR="00140C45" w:rsidRPr="00AE07CE">
        <w:rPr>
          <w:rFonts w:asciiTheme="minorHAnsi" w:eastAsiaTheme="minorHAnsi" w:hAnsiTheme="minorHAnsi" w:cstheme="minorBidi"/>
          <w:snapToGrid/>
          <w:sz w:val="24"/>
          <w:szCs w:val="22"/>
        </w:rPr>
        <w:t xml:space="preserve">the sponsor is </w:t>
      </w:r>
      <w:r w:rsidR="00140C45" w:rsidRPr="00AE07CE">
        <w:rPr>
          <w:rFonts w:asciiTheme="minorHAnsi" w:eastAsiaTheme="minorHAnsi" w:hAnsiTheme="minorHAnsi" w:cstheme="minorBidi"/>
          <w:sz w:val="24"/>
          <w:szCs w:val="22"/>
        </w:rPr>
        <w:t>willing to work with PBAC to develop an appropriate grandfathering restriction</w:t>
      </w:r>
      <w:r w:rsidR="0085518A" w:rsidRPr="00AE07CE">
        <w:rPr>
          <w:rFonts w:asciiTheme="minorHAnsi" w:eastAsiaTheme="minorHAnsi" w:hAnsiTheme="minorHAnsi" w:cstheme="minorBidi"/>
          <w:sz w:val="24"/>
          <w:szCs w:val="22"/>
        </w:rPr>
        <w:t>. The pre-PBAC response stated</w:t>
      </w:r>
      <w:r w:rsidR="00140C45" w:rsidRPr="00AE07CE">
        <w:rPr>
          <w:rFonts w:asciiTheme="minorHAnsi" w:eastAsiaTheme="minorHAnsi" w:hAnsiTheme="minorHAnsi" w:cstheme="minorBidi"/>
          <w:sz w:val="24"/>
          <w:szCs w:val="22"/>
        </w:rPr>
        <w:t xml:space="preserve"> that</w:t>
      </w:r>
      <w:r w:rsidR="00140C45" w:rsidRPr="00AE07CE">
        <w:rPr>
          <w:rFonts w:asciiTheme="minorHAnsi" w:eastAsiaTheme="minorHAnsi" w:hAnsiTheme="minorHAnsi" w:cstheme="minorBidi"/>
          <w:snapToGrid/>
          <w:sz w:val="24"/>
          <w:szCs w:val="22"/>
        </w:rPr>
        <w:t xml:space="preserve"> </w:t>
      </w:r>
      <w:r w:rsidR="00051DAD" w:rsidRPr="00AE07CE">
        <w:rPr>
          <w:rFonts w:asciiTheme="minorHAnsi" w:eastAsiaTheme="minorHAnsi" w:hAnsiTheme="minorHAnsi" w:cstheme="minorBidi"/>
          <w:snapToGrid/>
          <w:sz w:val="24"/>
          <w:szCs w:val="22"/>
        </w:rPr>
        <w:t xml:space="preserve">“upon PBS-listing of bevacizumab, it is anticipated that if a patient is continuing to respond to bevacizumab and have yet to </w:t>
      </w:r>
      <w:r w:rsidR="00051DAD" w:rsidRPr="00AE07CE">
        <w:rPr>
          <w:rFonts w:asciiTheme="minorHAnsi" w:eastAsiaTheme="minorHAnsi" w:hAnsiTheme="minorHAnsi" w:cstheme="minorBidi"/>
          <w:snapToGrid/>
          <w:sz w:val="24"/>
          <w:szCs w:val="22"/>
        </w:rPr>
        <w:lastRenderedPageBreak/>
        <w:t xml:space="preserve">reach the </w:t>
      </w:r>
      <w:r w:rsidR="00051DAD" w:rsidRPr="00373B5B">
        <w:rPr>
          <w:rFonts w:asciiTheme="minorHAnsi" w:eastAsiaTheme="minorHAnsi" w:hAnsiTheme="minorHAnsi" w:cstheme="minorBidi"/>
          <w:snapToGrid/>
          <w:sz w:val="24"/>
          <w:szCs w:val="22"/>
        </w:rPr>
        <w:t>expenditure cap of approximately $</w:t>
      </w:r>
      <w:r w:rsidR="00E454F3">
        <w:rPr>
          <w:rFonts w:asciiTheme="minorHAnsi" w:eastAsiaTheme="minorHAnsi" w:hAnsiTheme="minorHAnsi" w:cstheme="minorBidi"/>
          <w:noProof/>
          <w:snapToGrid/>
          <w:color w:val="000000"/>
          <w:sz w:val="24"/>
          <w:szCs w:val="22"/>
          <w:highlight w:val="black"/>
        </w:rPr>
        <w:t>''''''''''''''</w:t>
      </w:r>
      <w:r w:rsidR="00051DAD" w:rsidRPr="00373B5B">
        <w:rPr>
          <w:rFonts w:asciiTheme="minorHAnsi" w:eastAsiaTheme="minorHAnsi" w:hAnsiTheme="minorHAnsi" w:cstheme="minorBidi"/>
          <w:snapToGrid/>
          <w:sz w:val="24"/>
          <w:szCs w:val="22"/>
        </w:rPr>
        <w:t>, they would cease</w:t>
      </w:r>
      <w:r w:rsidR="00051DAD" w:rsidRPr="00AE07CE">
        <w:rPr>
          <w:rFonts w:asciiTheme="minorHAnsi" w:eastAsiaTheme="minorHAnsi" w:hAnsiTheme="minorHAnsi" w:cstheme="minorBidi"/>
          <w:snapToGrid/>
          <w:sz w:val="24"/>
          <w:szCs w:val="22"/>
        </w:rPr>
        <w:t xml:space="preserve"> out-of-pocket payment and move onto PBS-subsidised stock via a grandfathering restriction.”</w:t>
      </w:r>
      <w:r w:rsidR="0085518A" w:rsidRPr="00AE07CE">
        <w:rPr>
          <w:rFonts w:asciiTheme="minorHAnsi" w:eastAsiaTheme="minorHAnsi" w:hAnsiTheme="minorHAnsi" w:cstheme="minorBidi"/>
          <w:snapToGrid/>
          <w:sz w:val="24"/>
          <w:szCs w:val="22"/>
        </w:rPr>
        <w:t xml:space="preserve"> T</w:t>
      </w:r>
      <w:r w:rsidR="00B66320" w:rsidRPr="00AE07CE">
        <w:rPr>
          <w:rFonts w:asciiTheme="minorHAnsi" w:eastAsiaTheme="minorHAnsi" w:hAnsiTheme="minorHAnsi" w:cstheme="minorBidi"/>
          <w:snapToGrid/>
          <w:sz w:val="24"/>
          <w:szCs w:val="22"/>
        </w:rPr>
        <w:t>he PBAC considered that g</w:t>
      </w:r>
      <w:r w:rsidR="004F01A2" w:rsidRPr="00AE07CE">
        <w:rPr>
          <w:rFonts w:asciiTheme="minorHAnsi" w:eastAsiaTheme="minorHAnsi" w:hAnsiTheme="minorHAnsi" w:cstheme="minorBidi"/>
          <w:snapToGrid/>
          <w:sz w:val="24"/>
          <w:szCs w:val="22"/>
        </w:rPr>
        <w:t>randfather</w:t>
      </w:r>
      <w:r w:rsidR="00A759D8" w:rsidRPr="00AE07CE">
        <w:rPr>
          <w:rFonts w:asciiTheme="minorHAnsi" w:eastAsiaTheme="minorHAnsi" w:hAnsiTheme="minorHAnsi" w:cstheme="minorBidi"/>
          <w:snapToGrid/>
          <w:sz w:val="24"/>
          <w:szCs w:val="22"/>
        </w:rPr>
        <w:t>ed access</w:t>
      </w:r>
      <w:r w:rsidR="004F01A2" w:rsidRPr="00AE07CE">
        <w:rPr>
          <w:rFonts w:asciiTheme="minorHAnsi" w:eastAsiaTheme="minorHAnsi" w:hAnsiTheme="minorHAnsi" w:cstheme="minorBidi"/>
          <w:snapToGrid/>
          <w:sz w:val="24"/>
          <w:szCs w:val="22"/>
        </w:rPr>
        <w:t xml:space="preserve"> </w:t>
      </w:r>
      <w:r w:rsidR="00BD6CF8" w:rsidRPr="00AE07CE">
        <w:rPr>
          <w:rFonts w:asciiTheme="minorHAnsi" w:eastAsiaTheme="minorHAnsi" w:hAnsiTheme="minorHAnsi" w:cstheme="minorBidi"/>
          <w:snapToGrid/>
          <w:sz w:val="24"/>
          <w:szCs w:val="22"/>
        </w:rPr>
        <w:t xml:space="preserve">is </w:t>
      </w:r>
      <w:r w:rsidR="004F01A2" w:rsidRPr="00AE07CE">
        <w:rPr>
          <w:rFonts w:asciiTheme="minorHAnsi" w:eastAsiaTheme="minorHAnsi" w:hAnsiTheme="minorHAnsi" w:cstheme="minorBidi"/>
          <w:snapToGrid/>
          <w:sz w:val="24"/>
          <w:szCs w:val="22"/>
        </w:rPr>
        <w:t xml:space="preserve">not appropriate </w:t>
      </w:r>
      <w:r w:rsidR="008C34FA" w:rsidRPr="00AE07CE">
        <w:rPr>
          <w:rFonts w:asciiTheme="minorHAnsi" w:eastAsiaTheme="minorHAnsi" w:hAnsiTheme="minorHAnsi" w:cstheme="minorBidi"/>
          <w:snapToGrid/>
          <w:sz w:val="24"/>
          <w:szCs w:val="22"/>
        </w:rPr>
        <w:t xml:space="preserve">for </w:t>
      </w:r>
      <w:r w:rsidR="004F01A2" w:rsidRPr="00AE07CE">
        <w:rPr>
          <w:rFonts w:asciiTheme="minorHAnsi" w:eastAsiaTheme="minorHAnsi" w:hAnsiTheme="minorHAnsi" w:cstheme="minorBidi"/>
          <w:snapToGrid/>
          <w:sz w:val="24"/>
          <w:szCs w:val="22"/>
        </w:rPr>
        <w:t>patients w</w:t>
      </w:r>
      <w:r w:rsidR="008C34FA" w:rsidRPr="00AE07CE">
        <w:rPr>
          <w:rFonts w:asciiTheme="minorHAnsi" w:eastAsiaTheme="minorHAnsi" w:hAnsiTheme="minorHAnsi" w:cstheme="minorBidi"/>
          <w:snapToGrid/>
          <w:sz w:val="24"/>
          <w:szCs w:val="22"/>
        </w:rPr>
        <w:t xml:space="preserve">ho </w:t>
      </w:r>
      <w:r w:rsidR="004F01A2" w:rsidRPr="00AE07CE">
        <w:rPr>
          <w:rFonts w:asciiTheme="minorHAnsi" w:eastAsiaTheme="minorHAnsi" w:hAnsiTheme="minorHAnsi" w:cstheme="minorBidi"/>
          <w:snapToGrid/>
          <w:sz w:val="24"/>
          <w:szCs w:val="22"/>
        </w:rPr>
        <w:t xml:space="preserve">have already paid to access bevacizumab through the Patient Access Program, </w:t>
      </w:r>
      <w:r w:rsidR="00140C45" w:rsidRPr="00AE07CE">
        <w:rPr>
          <w:rFonts w:asciiTheme="minorHAnsi" w:eastAsiaTheme="minorHAnsi" w:hAnsiTheme="minorHAnsi" w:cstheme="minorBidi"/>
          <w:snapToGrid/>
          <w:sz w:val="24"/>
          <w:szCs w:val="22"/>
        </w:rPr>
        <w:t>and that</w:t>
      </w:r>
      <w:r w:rsidR="008C34FA" w:rsidRPr="00AE07CE">
        <w:rPr>
          <w:rFonts w:asciiTheme="minorHAnsi" w:eastAsiaTheme="minorHAnsi" w:hAnsiTheme="minorHAnsi" w:cstheme="minorBidi"/>
          <w:snapToGrid/>
          <w:sz w:val="24"/>
          <w:szCs w:val="22"/>
        </w:rPr>
        <w:t xml:space="preserve"> </w:t>
      </w:r>
      <w:r w:rsidR="00AE07CE" w:rsidRPr="00AE07CE">
        <w:rPr>
          <w:rFonts w:asciiTheme="minorHAnsi" w:eastAsiaTheme="minorHAnsi" w:hAnsiTheme="minorHAnsi" w:cstheme="minorBidi"/>
          <w:snapToGrid/>
          <w:sz w:val="24"/>
          <w:szCs w:val="22"/>
        </w:rPr>
        <w:t>the sponsor should provide on-going supply</w:t>
      </w:r>
      <w:r w:rsidR="008C34FA" w:rsidRPr="00AE07CE">
        <w:rPr>
          <w:rFonts w:asciiTheme="minorHAnsi" w:eastAsiaTheme="minorHAnsi" w:hAnsiTheme="minorHAnsi" w:cstheme="minorBidi"/>
          <w:snapToGrid/>
          <w:sz w:val="24"/>
          <w:szCs w:val="22"/>
        </w:rPr>
        <w:t xml:space="preserve"> (i.e. </w:t>
      </w:r>
      <w:r w:rsidR="004F01A2" w:rsidRPr="00AE07CE">
        <w:rPr>
          <w:rFonts w:asciiTheme="minorHAnsi" w:eastAsiaTheme="minorHAnsi" w:hAnsiTheme="minorHAnsi" w:cstheme="minorBidi"/>
          <w:snapToGrid/>
          <w:sz w:val="24"/>
          <w:szCs w:val="22"/>
        </w:rPr>
        <w:t>it would not be appropriate to subsidise these doses through the PBS</w:t>
      </w:r>
      <w:r w:rsidR="008C34FA" w:rsidRPr="00AE07CE">
        <w:rPr>
          <w:rFonts w:asciiTheme="minorHAnsi" w:eastAsiaTheme="minorHAnsi" w:hAnsiTheme="minorHAnsi" w:cstheme="minorBidi"/>
          <w:snapToGrid/>
          <w:sz w:val="24"/>
          <w:szCs w:val="22"/>
        </w:rPr>
        <w:t>)</w:t>
      </w:r>
      <w:r w:rsidR="004F01A2" w:rsidRPr="00AE07CE">
        <w:rPr>
          <w:rFonts w:asciiTheme="minorHAnsi" w:eastAsiaTheme="minorHAnsi" w:hAnsiTheme="minorHAnsi" w:cstheme="minorBidi"/>
          <w:snapToGrid/>
          <w:sz w:val="24"/>
          <w:szCs w:val="22"/>
        </w:rPr>
        <w:t xml:space="preserve">. </w:t>
      </w:r>
      <w:r w:rsidR="002C34EA" w:rsidRPr="00AE07CE">
        <w:rPr>
          <w:rFonts w:asciiTheme="minorHAnsi" w:eastAsiaTheme="minorHAnsi" w:hAnsiTheme="minorHAnsi" w:cstheme="minorBidi"/>
          <w:snapToGrid/>
          <w:sz w:val="24"/>
          <w:szCs w:val="22"/>
        </w:rPr>
        <w:t xml:space="preserve">An alternative option may be for </w:t>
      </w:r>
      <w:r w:rsidR="00FB4655" w:rsidRPr="00AE07CE">
        <w:rPr>
          <w:rFonts w:asciiTheme="minorHAnsi" w:eastAsiaTheme="minorHAnsi" w:hAnsiTheme="minorHAnsi" w:cstheme="minorBidi"/>
          <w:snapToGrid/>
          <w:sz w:val="24"/>
          <w:szCs w:val="22"/>
        </w:rPr>
        <w:t xml:space="preserve">the </w:t>
      </w:r>
      <w:r w:rsidR="00A015EA" w:rsidRPr="00AE07CE">
        <w:rPr>
          <w:rFonts w:asciiTheme="minorHAnsi" w:eastAsiaTheme="minorHAnsi" w:hAnsiTheme="minorHAnsi" w:cstheme="minorBidi"/>
          <w:snapToGrid/>
          <w:sz w:val="24"/>
          <w:szCs w:val="22"/>
        </w:rPr>
        <w:t xml:space="preserve">sponsor </w:t>
      </w:r>
      <w:r w:rsidR="002C34EA" w:rsidRPr="00AE07CE">
        <w:rPr>
          <w:rFonts w:asciiTheme="minorHAnsi" w:eastAsiaTheme="minorHAnsi" w:hAnsiTheme="minorHAnsi" w:cstheme="minorBidi"/>
          <w:snapToGrid/>
          <w:sz w:val="24"/>
          <w:szCs w:val="22"/>
        </w:rPr>
        <w:t>to</w:t>
      </w:r>
      <w:r w:rsidR="00A015EA" w:rsidRPr="00AE07CE">
        <w:rPr>
          <w:rFonts w:asciiTheme="minorHAnsi" w:eastAsiaTheme="minorHAnsi" w:hAnsiTheme="minorHAnsi" w:cstheme="minorBidi"/>
          <w:snapToGrid/>
          <w:sz w:val="24"/>
          <w:szCs w:val="22"/>
        </w:rPr>
        <w:t xml:space="preserve"> establish</w:t>
      </w:r>
      <w:r w:rsidR="002C34EA" w:rsidRPr="00AE07CE">
        <w:rPr>
          <w:rFonts w:asciiTheme="minorHAnsi" w:eastAsiaTheme="minorHAnsi" w:hAnsiTheme="minorHAnsi" w:cstheme="minorBidi"/>
          <w:snapToGrid/>
          <w:sz w:val="24"/>
          <w:szCs w:val="22"/>
        </w:rPr>
        <w:t xml:space="preserve"> </w:t>
      </w:r>
      <w:r w:rsidR="00A015EA" w:rsidRPr="00AE07CE">
        <w:rPr>
          <w:rFonts w:asciiTheme="minorHAnsi" w:eastAsiaTheme="minorHAnsi" w:hAnsiTheme="minorHAnsi" w:cstheme="minorBidi"/>
          <w:snapToGrid/>
          <w:sz w:val="24"/>
          <w:szCs w:val="22"/>
        </w:rPr>
        <w:t xml:space="preserve">a </w:t>
      </w:r>
      <w:r w:rsidR="006E0A18" w:rsidRPr="00AE07CE">
        <w:rPr>
          <w:rFonts w:asciiTheme="minorHAnsi" w:eastAsiaTheme="minorHAnsi" w:hAnsiTheme="minorHAnsi" w:cstheme="minorBidi"/>
          <w:snapToGrid/>
          <w:sz w:val="24"/>
          <w:szCs w:val="22"/>
        </w:rPr>
        <w:t>c</w:t>
      </w:r>
      <w:r w:rsidR="00A015EA" w:rsidRPr="00AE07CE">
        <w:rPr>
          <w:rFonts w:asciiTheme="minorHAnsi" w:eastAsiaTheme="minorHAnsi" w:hAnsiTheme="minorHAnsi" w:cstheme="minorBidi"/>
          <w:snapToGrid/>
          <w:sz w:val="24"/>
          <w:szCs w:val="22"/>
        </w:rPr>
        <w:t xml:space="preserve">ompassionate </w:t>
      </w:r>
      <w:r w:rsidR="006E0A18" w:rsidRPr="00AE07CE">
        <w:rPr>
          <w:rFonts w:asciiTheme="minorHAnsi" w:eastAsiaTheme="minorHAnsi" w:hAnsiTheme="minorHAnsi" w:cstheme="minorBidi"/>
          <w:snapToGrid/>
          <w:sz w:val="24"/>
          <w:szCs w:val="22"/>
        </w:rPr>
        <w:t>access p</w:t>
      </w:r>
      <w:r w:rsidR="00A015EA" w:rsidRPr="00AE07CE">
        <w:rPr>
          <w:rFonts w:asciiTheme="minorHAnsi" w:eastAsiaTheme="minorHAnsi" w:hAnsiTheme="minorHAnsi" w:cstheme="minorBidi"/>
          <w:snapToGrid/>
          <w:sz w:val="24"/>
          <w:szCs w:val="22"/>
        </w:rPr>
        <w:t xml:space="preserve">rogram following a positive PBAC recommendation until the date of PBS listing wherein patients </w:t>
      </w:r>
      <w:proofErr w:type="gramStart"/>
      <w:r w:rsidR="00A015EA" w:rsidRPr="00AE07CE">
        <w:rPr>
          <w:rFonts w:asciiTheme="minorHAnsi" w:eastAsiaTheme="minorHAnsi" w:hAnsiTheme="minorHAnsi" w:cstheme="minorBidi"/>
          <w:snapToGrid/>
          <w:sz w:val="24"/>
          <w:szCs w:val="22"/>
        </w:rPr>
        <w:t>are not charged</w:t>
      </w:r>
      <w:proofErr w:type="gramEnd"/>
      <w:r w:rsidR="00A015EA" w:rsidRPr="00AE07CE">
        <w:rPr>
          <w:rFonts w:asciiTheme="minorHAnsi" w:eastAsiaTheme="minorHAnsi" w:hAnsiTheme="minorHAnsi" w:cstheme="minorBidi"/>
          <w:snapToGrid/>
          <w:sz w:val="24"/>
          <w:szCs w:val="22"/>
        </w:rPr>
        <w:t xml:space="preserve"> for</w:t>
      </w:r>
      <w:r w:rsidR="00FB4655" w:rsidRPr="00AE07CE">
        <w:rPr>
          <w:rFonts w:asciiTheme="minorHAnsi" w:eastAsiaTheme="minorHAnsi" w:hAnsiTheme="minorHAnsi" w:cstheme="minorBidi"/>
          <w:snapToGrid/>
          <w:sz w:val="24"/>
          <w:szCs w:val="22"/>
        </w:rPr>
        <w:t xml:space="preserve"> access.</w:t>
      </w:r>
    </w:p>
    <w:p w:rsidR="00F07CBB" w:rsidRPr="00373B5B" w:rsidRDefault="00F07CBB" w:rsidP="00DC7C24">
      <w:pPr>
        <w:spacing w:before="120" w:after="120"/>
        <w:rPr>
          <w:rFonts w:asciiTheme="minorHAnsi" w:hAnsiTheme="minorHAnsi"/>
          <w:i/>
        </w:rPr>
      </w:pPr>
      <w:r w:rsidRPr="00AE07CE">
        <w:rPr>
          <w:rFonts w:asciiTheme="minorHAnsi" w:hAnsiTheme="minorHAnsi"/>
          <w:i/>
        </w:rPr>
        <w:t>For more detail on PBAC’s view, see section 7 PBAC outcome.</w:t>
      </w:r>
    </w:p>
    <w:p w:rsidR="00C603D4" w:rsidRPr="00AE07CE" w:rsidRDefault="00CE10C4" w:rsidP="00DC7C24">
      <w:pPr>
        <w:pStyle w:val="PBACHeading1"/>
        <w:spacing w:before="120" w:after="120"/>
        <w:ind w:left="709" w:hanging="709"/>
        <w:rPr>
          <w:rFonts w:asciiTheme="minorHAnsi" w:hAnsiTheme="minorHAnsi"/>
          <w:sz w:val="32"/>
          <w:szCs w:val="32"/>
        </w:rPr>
      </w:pPr>
      <w:r w:rsidRPr="00AE07CE">
        <w:rPr>
          <w:rFonts w:asciiTheme="minorHAnsi" w:hAnsiTheme="minorHAnsi"/>
          <w:sz w:val="32"/>
          <w:szCs w:val="32"/>
        </w:rPr>
        <w:t>Background</w:t>
      </w:r>
    </w:p>
    <w:p w:rsidR="006B0D94" w:rsidRPr="00AE07CE" w:rsidRDefault="003C59A4" w:rsidP="00DC7C24">
      <w:pPr>
        <w:pStyle w:val="ListParagraph"/>
        <w:widowControl/>
        <w:numPr>
          <w:ilvl w:val="1"/>
          <w:numId w:val="5"/>
        </w:numPr>
        <w:spacing w:before="120" w:after="120"/>
        <w:ind w:left="7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2"/>
        </w:rPr>
        <w:t>Bevacizumab</w:t>
      </w:r>
      <w:r w:rsidR="00476245" w:rsidRPr="00AE07CE">
        <w:rPr>
          <w:rFonts w:asciiTheme="minorHAnsi" w:eastAsiaTheme="minorHAnsi" w:hAnsiTheme="minorHAnsi" w:cstheme="minorBidi"/>
          <w:snapToGrid/>
          <w:sz w:val="24"/>
          <w:szCs w:val="22"/>
        </w:rPr>
        <w:t xml:space="preserve"> is TGA registered</w:t>
      </w:r>
      <w:r w:rsidR="00094A12" w:rsidRPr="00AE07CE">
        <w:rPr>
          <w:rFonts w:asciiTheme="minorHAnsi" w:eastAsiaTheme="minorHAnsi" w:hAnsiTheme="minorHAnsi" w:cstheme="minorBidi"/>
          <w:snapToGrid/>
          <w:sz w:val="24"/>
          <w:szCs w:val="22"/>
        </w:rPr>
        <w:t xml:space="preserve"> for</w:t>
      </w:r>
      <w:r w:rsidRPr="00AE07CE">
        <w:rPr>
          <w:rFonts w:asciiTheme="minorHAnsi" w:eastAsiaTheme="minorHAnsi" w:hAnsiTheme="minorHAnsi" w:cstheme="minorBidi"/>
          <w:snapToGrid/>
          <w:sz w:val="24"/>
          <w:szCs w:val="22"/>
        </w:rPr>
        <w:t>: “</w:t>
      </w:r>
      <w:r w:rsidR="00263D0E" w:rsidRPr="00AE07CE">
        <w:rPr>
          <w:rFonts w:asciiTheme="minorHAnsi" w:eastAsiaTheme="minorHAnsi" w:hAnsiTheme="minorHAnsi" w:cstheme="minorBidi"/>
          <w:snapToGrid/>
          <w:sz w:val="24"/>
          <w:szCs w:val="22"/>
        </w:rPr>
        <w:t>as a single agent, is indicated for the treatment of patients with Grade IV glioma after relapse or disease progression after standard therapy, including chemotherapy</w:t>
      </w:r>
      <w:r w:rsidR="009A22F3" w:rsidRPr="00AE07CE">
        <w:rPr>
          <w:rFonts w:asciiTheme="minorHAnsi" w:eastAsiaTheme="minorHAnsi" w:hAnsiTheme="minorHAnsi" w:cstheme="minorBidi"/>
          <w:snapToGrid/>
          <w:sz w:val="24"/>
          <w:szCs w:val="22"/>
        </w:rPr>
        <w:t>”</w:t>
      </w:r>
      <w:r w:rsidR="00263D0E" w:rsidRPr="00AE07CE">
        <w:rPr>
          <w:rFonts w:asciiTheme="minorHAnsi" w:eastAsiaTheme="minorHAnsi" w:hAnsiTheme="minorHAnsi" w:cstheme="minorBidi"/>
          <w:snapToGrid/>
          <w:sz w:val="24"/>
          <w:szCs w:val="22"/>
        </w:rPr>
        <w:t>.</w:t>
      </w:r>
    </w:p>
    <w:p w:rsidR="00E61873" w:rsidRPr="00AE07CE" w:rsidRDefault="009A22F3"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In November 2010, t</w:t>
      </w:r>
      <w:r w:rsidR="00425680" w:rsidRPr="00AE07CE">
        <w:rPr>
          <w:rFonts w:asciiTheme="minorHAnsi" w:eastAsiaTheme="minorHAnsi" w:hAnsiTheme="minorHAnsi" w:cstheme="minorBidi"/>
          <w:snapToGrid/>
          <w:sz w:val="24"/>
          <w:szCs w:val="22"/>
        </w:rPr>
        <w:t xml:space="preserve">he PBAC </w:t>
      </w:r>
      <w:r w:rsidR="00E61873" w:rsidRPr="00AE07CE">
        <w:rPr>
          <w:rFonts w:asciiTheme="minorHAnsi" w:eastAsiaTheme="minorHAnsi" w:hAnsiTheme="minorHAnsi" w:cstheme="minorBidi"/>
          <w:snapToGrid/>
          <w:sz w:val="24"/>
          <w:szCs w:val="22"/>
        </w:rPr>
        <w:t xml:space="preserve">considered bevacizumab </w:t>
      </w:r>
      <w:r w:rsidRPr="00AE07CE">
        <w:rPr>
          <w:rFonts w:asciiTheme="minorHAnsi" w:eastAsiaTheme="minorHAnsi" w:hAnsiTheme="minorHAnsi" w:cstheme="minorBidi"/>
          <w:snapToGrid/>
          <w:sz w:val="24"/>
          <w:szCs w:val="22"/>
        </w:rPr>
        <w:t>for the same indication as requested</w:t>
      </w:r>
      <w:r w:rsidR="009D4DC5" w:rsidRPr="00AE07CE">
        <w:rPr>
          <w:rFonts w:asciiTheme="minorHAnsi" w:eastAsiaTheme="minorHAnsi" w:hAnsiTheme="minorHAnsi" w:cstheme="minorBidi"/>
          <w:snapToGrid/>
          <w:sz w:val="24"/>
          <w:szCs w:val="22"/>
        </w:rPr>
        <w:t xml:space="preserve"> (i.e. </w:t>
      </w:r>
      <w:r w:rsidR="00E61873" w:rsidRPr="00AE07CE">
        <w:rPr>
          <w:rFonts w:asciiTheme="minorHAnsi" w:eastAsiaTheme="minorHAnsi" w:hAnsiTheme="minorHAnsi" w:cstheme="minorBidi"/>
          <w:snapToGrid/>
          <w:sz w:val="24"/>
          <w:szCs w:val="22"/>
        </w:rPr>
        <w:t>as monotherapy, for the treatment of patients with relapsed or progressing glioblastoma</w:t>
      </w:r>
      <w:r w:rsidR="009D4DC5" w:rsidRPr="00AE07CE">
        <w:rPr>
          <w:rFonts w:asciiTheme="minorHAnsi" w:eastAsiaTheme="minorHAnsi" w:hAnsiTheme="minorHAnsi" w:cstheme="minorBidi"/>
          <w:snapToGrid/>
          <w:sz w:val="24"/>
          <w:szCs w:val="22"/>
        </w:rPr>
        <w:t>)</w:t>
      </w:r>
      <w:r w:rsidR="00E61873" w:rsidRPr="00AE07CE">
        <w:rPr>
          <w:rFonts w:asciiTheme="minorHAnsi" w:eastAsiaTheme="minorHAnsi" w:hAnsiTheme="minorHAnsi" w:cstheme="minorBidi"/>
          <w:snapToGrid/>
          <w:sz w:val="24"/>
          <w:szCs w:val="22"/>
        </w:rPr>
        <w:t xml:space="preserve">. The submission </w:t>
      </w:r>
      <w:r w:rsidR="00425680" w:rsidRPr="00AE07CE">
        <w:rPr>
          <w:rFonts w:asciiTheme="minorHAnsi" w:eastAsiaTheme="minorHAnsi" w:hAnsiTheme="minorHAnsi" w:cstheme="minorBidi"/>
          <w:snapToGrid/>
          <w:sz w:val="24"/>
          <w:szCs w:val="22"/>
        </w:rPr>
        <w:t xml:space="preserve">was rejected </w:t>
      </w:r>
      <w:r w:rsidR="00AE07CE" w:rsidRPr="00AE07CE">
        <w:rPr>
          <w:rFonts w:asciiTheme="minorHAnsi" w:eastAsiaTheme="minorHAnsi" w:hAnsiTheme="minorHAnsi" w:cstheme="minorBidi"/>
          <w:snapToGrid/>
          <w:sz w:val="24"/>
          <w:szCs w:val="22"/>
        </w:rPr>
        <w:t>based on</w:t>
      </w:r>
      <w:r w:rsidR="00425680" w:rsidRPr="00AE07CE">
        <w:rPr>
          <w:rFonts w:asciiTheme="minorHAnsi" w:eastAsiaTheme="minorHAnsi" w:hAnsiTheme="minorHAnsi" w:cstheme="minorBidi"/>
          <w:snapToGrid/>
          <w:sz w:val="24"/>
          <w:szCs w:val="22"/>
        </w:rPr>
        <w:t xml:space="preserve"> uncertain clinical benefit and an unacceptably high and uncertain cost-effectiveness ratio</w:t>
      </w:r>
      <w:r w:rsidR="004678DC" w:rsidRPr="00AE07CE">
        <w:rPr>
          <w:rFonts w:asciiTheme="minorHAnsi" w:eastAsiaTheme="minorHAnsi" w:hAnsiTheme="minorHAnsi" w:cstheme="minorBidi"/>
          <w:snapToGrid/>
          <w:sz w:val="24"/>
          <w:szCs w:val="22"/>
        </w:rPr>
        <w:t xml:space="preserve"> (</w:t>
      </w:r>
      <w:r w:rsidR="00F636CA" w:rsidRPr="00AE07CE">
        <w:rPr>
          <w:rFonts w:asciiTheme="minorHAnsi" w:eastAsiaTheme="minorHAnsi" w:hAnsiTheme="minorHAnsi" w:cstheme="minorBidi"/>
          <w:snapToGrid/>
          <w:sz w:val="24"/>
          <w:szCs w:val="22"/>
        </w:rPr>
        <w:t xml:space="preserve">Section 12, </w:t>
      </w:r>
      <w:r w:rsidR="004678DC" w:rsidRPr="00AE07CE">
        <w:rPr>
          <w:rFonts w:asciiTheme="minorHAnsi" w:eastAsiaTheme="minorHAnsi" w:hAnsiTheme="minorHAnsi" w:cstheme="minorBidi"/>
          <w:snapToGrid/>
          <w:sz w:val="24"/>
          <w:szCs w:val="22"/>
        </w:rPr>
        <w:t xml:space="preserve">Bevacizumab Public Summary Document, </w:t>
      </w:r>
      <w:proofErr w:type="gramStart"/>
      <w:r w:rsidR="004678DC" w:rsidRPr="00AE07CE">
        <w:rPr>
          <w:rFonts w:asciiTheme="minorHAnsi" w:eastAsiaTheme="minorHAnsi" w:hAnsiTheme="minorHAnsi" w:cstheme="minorBidi"/>
          <w:snapToGrid/>
          <w:sz w:val="24"/>
          <w:szCs w:val="22"/>
        </w:rPr>
        <w:t>November</w:t>
      </w:r>
      <w:proofErr w:type="gramEnd"/>
      <w:r w:rsidR="004678DC" w:rsidRPr="00AE07CE">
        <w:rPr>
          <w:rFonts w:asciiTheme="minorHAnsi" w:eastAsiaTheme="minorHAnsi" w:hAnsiTheme="minorHAnsi" w:cstheme="minorBidi"/>
          <w:snapToGrid/>
          <w:sz w:val="24"/>
          <w:szCs w:val="22"/>
        </w:rPr>
        <w:t xml:space="preserve"> 2010)</w:t>
      </w:r>
      <w:r w:rsidR="00425680" w:rsidRPr="00AE07CE">
        <w:rPr>
          <w:rFonts w:asciiTheme="minorHAnsi" w:eastAsiaTheme="minorHAnsi" w:hAnsiTheme="minorHAnsi" w:cstheme="minorBidi"/>
          <w:snapToGrid/>
          <w:sz w:val="24"/>
          <w:szCs w:val="22"/>
        </w:rPr>
        <w:t xml:space="preserve">. </w:t>
      </w:r>
    </w:p>
    <w:p w:rsidR="0038095E" w:rsidRPr="00AE07CE" w:rsidRDefault="0038095E"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Specific issues of concern</w:t>
      </w:r>
      <w:r w:rsidR="00A673DE" w:rsidRPr="00AE07CE">
        <w:rPr>
          <w:rFonts w:asciiTheme="minorHAnsi" w:eastAsiaTheme="minorHAnsi" w:hAnsiTheme="minorHAnsi" w:cstheme="minorBidi"/>
          <w:snapToGrid/>
          <w:sz w:val="24"/>
          <w:szCs w:val="22"/>
        </w:rPr>
        <w:t xml:space="preserve"> raised at the November 2010 meeting</w:t>
      </w:r>
      <w:r w:rsidR="00F636CA" w:rsidRPr="00AE07CE">
        <w:rPr>
          <w:rFonts w:asciiTheme="minorHAnsi" w:eastAsiaTheme="minorHAnsi" w:hAnsiTheme="minorHAnsi" w:cstheme="minorBidi"/>
          <w:snapToGrid/>
          <w:sz w:val="24"/>
          <w:szCs w:val="22"/>
        </w:rPr>
        <w:t xml:space="preserve"> included that the </w:t>
      </w:r>
      <w:r w:rsidRPr="00AE07CE">
        <w:rPr>
          <w:rFonts w:asciiTheme="minorHAnsi" w:eastAsiaTheme="minorHAnsi" w:hAnsiTheme="minorHAnsi" w:cstheme="minorBidi"/>
          <w:snapToGrid/>
          <w:sz w:val="24"/>
          <w:szCs w:val="22"/>
        </w:rPr>
        <w:t xml:space="preserve">PBAC </w:t>
      </w:r>
      <w:r w:rsidR="00F636CA" w:rsidRPr="00AE07CE">
        <w:rPr>
          <w:rFonts w:asciiTheme="minorHAnsi" w:eastAsiaTheme="minorHAnsi" w:hAnsiTheme="minorHAnsi" w:cstheme="minorBidi"/>
          <w:snapToGrid/>
          <w:sz w:val="24"/>
          <w:szCs w:val="22"/>
        </w:rPr>
        <w:t>considered</w:t>
      </w:r>
      <w:r w:rsidRPr="00AE07CE">
        <w:rPr>
          <w:rFonts w:asciiTheme="minorHAnsi" w:eastAsiaTheme="minorHAnsi" w:hAnsiTheme="minorHAnsi" w:cstheme="minorBidi"/>
          <w:snapToGrid/>
          <w:sz w:val="24"/>
          <w:szCs w:val="22"/>
        </w:rPr>
        <w:t>:</w:t>
      </w:r>
    </w:p>
    <w:p w:rsidR="0038095E" w:rsidRPr="00AE07CE" w:rsidRDefault="00F636CA" w:rsidP="00DC7C24">
      <w:pPr>
        <w:pStyle w:val="ListParagraph"/>
        <w:widowControl/>
        <w:numPr>
          <w:ilvl w:val="2"/>
          <w:numId w:val="14"/>
        </w:numPr>
        <w:spacing w:before="120" w:after="120"/>
        <w:ind w:left="1134" w:hanging="283"/>
        <w:contextualSpacing w:val="0"/>
        <w:rPr>
          <w:rFonts w:asciiTheme="minorHAnsi" w:eastAsiaTheme="minorHAnsi" w:hAnsiTheme="minorHAnsi" w:cstheme="minorBidi"/>
          <w:snapToGrid/>
          <w:sz w:val="24"/>
          <w:szCs w:val="22"/>
        </w:rPr>
      </w:pPr>
      <w:proofErr w:type="gramStart"/>
      <w:r w:rsidRPr="00AE07CE">
        <w:rPr>
          <w:rFonts w:asciiTheme="minorHAnsi" w:eastAsiaTheme="minorHAnsi" w:hAnsiTheme="minorHAnsi" w:cstheme="minorBidi"/>
          <w:snapToGrid/>
          <w:sz w:val="24"/>
          <w:szCs w:val="22"/>
        </w:rPr>
        <w:t>that</w:t>
      </w:r>
      <w:proofErr w:type="gramEnd"/>
      <w:r w:rsidRPr="00AE07CE">
        <w:rPr>
          <w:rFonts w:asciiTheme="minorHAnsi" w:eastAsiaTheme="minorHAnsi" w:hAnsiTheme="minorHAnsi" w:cstheme="minorBidi"/>
          <w:snapToGrid/>
          <w:sz w:val="24"/>
          <w:szCs w:val="22"/>
        </w:rPr>
        <w:t xml:space="preserve"> there were no studies providing direct comparisons of bevacizumab with the chosen comparators, </w:t>
      </w:r>
      <w:proofErr w:type="spellStart"/>
      <w:r w:rsidRPr="00AE07CE">
        <w:rPr>
          <w:rFonts w:asciiTheme="minorHAnsi" w:eastAsiaTheme="minorHAnsi" w:hAnsiTheme="minorHAnsi" w:cstheme="minorBidi"/>
          <w:snapToGrid/>
          <w:sz w:val="24"/>
          <w:szCs w:val="22"/>
        </w:rPr>
        <w:t>temozolomide</w:t>
      </w:r>
      <w:proofErr w:type="spellEnd"/>
      <w:r w:rsidRPr="00AE07CE">
        <w:rPr>
          <w:rFonts w:asciiTheme="minorHAnsi" w:eastAsiaTheme="minorHAnsi" w:hAnsiTheme="minorHAnsi" w:cstheme="minorBidi"/>
          <w:snapToGrid/>
          <w:sz w:val="24"/>
          <w:szCs w:val="22"/>
        </w:rPr>
        <w:t>, best supportive care and salvage chemotherapy. The PBAC considered there were significant comparability issues with the trials presented;</w:t>
      </w:r>
    </w:p>
    <w:p w:rsidR="00F636CA" w:rsidRPr="00AE07CE" w:rsidRDefault="00F636CA" w:rsidP="00DC7C24">
      <w:pPr>
        <w:pStyle w:val="ListParagraph"/>
        <w:widowControl/>
        <w:numPr>
          <w:ilvl w:val="2"/>
          <w:numId w:val="14"/>
        </w:numPr>
        <w:spacing w:before="120" w:after="120"/>
        <w:ind w:left="1134" w:hanging="283"/>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there were limitations to the use of progression free survival (PFS) and response rates </w:t>
      </w:r>
      <w:r w:rsidR="00A673DE" w:rsidRPr="00AE07CE">
        <w:rPr>
          <w:rFonts w:asciiTheme="minorHAnsi" w:eastAsiaTheme="minorHAnsi" w:hAnsiTheme="minorHAnsi" w:cstheme="minorBidi"/>
          <w:snapToGrid/>
          <w:sz w:val="24"/>
          <w:szCs w:val="22"/>
        </w:rPr>
        <w:t>as outcomes</w:t>
      </w:r>
      <w:r w:rsidRPr="00AE07CE">
        <w:rPr>
          <w:rFonts w:asciiTheme="minorHAnsi" w:eastAsiaTheme="minorHAnsi" w:hAnsiTheme="minorHAnsi" w:cstheme="minorBidi"/>
          <w:snapToGrid/>
          <w:sz w:val="24"/>
          <w:szCs w:val="22"/>
        </w:rPr>
        <w:t xml:space="preserve"> in brain cancer, particularly in relation to the vascular endothelial growth factor (VEGF) inhibitors, which includes bevacizumab;</w:t>
      </w:r>
    </w:p>
    <w:p w:rsidR="00F636CA" w:rsidRPr="00AE07CE" w:rsidRDefault="00F636CA" w:rsidP="00DC7C24">
      <w:pPr>
        <w:pStyle w:val="ListParagraph"/>
        <w:widowControl/>
        <w:numPr>
          <w:ilvl w:val="2"/>
          <w:numId w:val="14"/>
        </w:numPr>
        <w:spacing w:before="120" w:after="120"/>
        <w:ind w:left="1134" w:hanging="283"/>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that bevacizumab possibly has efficacy in </w:t>
      </w:r>
      <w:r w:rsidR="00E1407B">
        <w:rPr>
          <w:rFonts w:asciiTheme="minorHAnsi" w:eastAsiaTheme="minorHAnsi" w:hAnsiTheme="minorHAnsi" w:cstheme="minorBidi"/>
          <w:snapToGrid/>
          <w:sz w:val="24"/>
          <w:szCs w:val="22"/>
        </w:rPr>
        <w:t>overall survival (</w:t>
      </w:r>
      <w:r w:rsidRPr="00AE07CE">
        <w:rPr>
          <w:rFonts w:asciiTheme="minorHAnsi" w:eastAsiaTheme="minorHAnsi" w:hAnsiTheme="minorHAnsi" w:cstheme="minorBidi"/>
          <w:snapToGrid/>
          <w:sz w:val="24"/>
          <w:szCs w:val="22"/>
        </w:rPr>
        <w:t>OS</w:t>
      </w:r>
      <w:r w:rsidR="00E1407B">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 but the extent of benefit had not been quantified;</w:t>
      </w:r>
      <w:r w:rsidR="009F2E5B" w:rsidRPr="00AE07CE">
        <w:rPr>
          <w:rFonts w:asciiTheme="minorHAnsi" w:eastAsiaTheme="minorHAnsi" w:hAnsiTheme="minorHAnsi" w:cstheme="minorBidi"/>
          <w:snapToGrid/>
          <w:sz w:val="24"/>
          <w:szCs w:val="22"/>
        </w:rPr>
        <w:t xml:space="preserve"> and</w:t>
      </w:r>
    </w:p>
    <w:p w:rsidR="00457897" w:rsidRPr="00AE07CE" w:rsidRDefault="00F636CA" w:rsidP="00DC7C24">
      <w:pPr>
        <w:pStyle w:val="ListParagraph"/>
        <w:widowControl/>
        <w:numPr>
          <w:ilvl w:val="2"/>
          <w:numId w:val="14"/>
        </w:numPr>
        <w:spacing w:before="120" w:after="120"/>
        <w:ind w:left="1134" w:hanging="283"/>
        <w:contextualSpacing w:val="0"/>
        <w:rPr>
          <w:rFonts w:asciiTheme="minorHAnsi" w:eastAsiaTheme="minorHAnsi" w:hAnsiTheme="minorHAnsi" w:cstheme="minorBidi"/>
          <w:snapToGrid/>
          <w:sz w:val="24"/>
          <w:szCs w:val="22"/>
        </w:rPr>
      </w:pPr>
      <w:proofErr w:type="gramStart"/>
      <w:r w:rsidRPr="00AE07CE">
        <w:rPr>
          <w:rFonts w:asciiTheme="minorHAnsi" w:eastAsiaTheme="minorHAnsi" w:hAnsiTheme="minorHAnsi" w:cstheme="minorBidi"/>
          <w:snapToGrid/>
          <w:sz w:val="24"/>
          <w:szCs w:val="22"/>
        </w:rPr>
        <w:t>there</w:t>
      </w:r>
      <w:proofErr w:type="gramEnd"/>
      <w:r w:rsidRPr="00AE07CE">
        <w:rPr>
          <w:rFonts w:asciiTheme="minorHAnsi" w:eastAsiaTheme="minorHAnsi" w:hAnsiTheme="minorHAnsi" w:cstheme="minorBidi"/>
          <w:snapToGrid/>
          <w:sz w:val="24"/>
          <w:szCs w:val="22"/>
        </w:rPr>
        <w:t xml:space="preserve"> were further randomised controlled trials underway in the first-line treatment setting</w:t>
      </w:r>
      <w:r w:rsidR="00457897" w:rsidRPr="00AE07CE">
        <w:rPr>
          <w:rFonts w:asciiTheme="minorHAnsi" w:eastAsiaTheme="minorHAnsi" w:hAnsiTheme="minorHAnsi" w:cstheme="minorBidi"/>
          <w:snapToGrid/>
          <w:sz w:val="24"/>
          <w:szCs w:val="22"/>
        </w:rPr>
        <w:t xml:space="preserve"> (Section 12, Bevacizumab Public Summary Document, November 2010). </w:t>
      </w:r>
    </w:p>
    <w:p w:rsidR="009D4DC5" w:rsidRPr="00AE07CE" w:rsidRDefault="009D4DC5"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Compared with the previous submission, the current minor submission: </w:t>
      </w:r>
    </w:p>
    <w:p w:rsidR="009A22F3" w:rsidRPr="00AE07CE" w:rsidRDefault="00457897" w:rsidP="00DC7C24">
      <w:pPr>
        <w:pStyle w:val="ListParagraph"/>
        <w:widowControl/>
        <w:numPr>
          <w:ilvl w:val="2"/>
          <w:numId w:val="14"/>
        </w:numPr>
        <w:spacing w:before="120" w:after="120"/>
        <w:ind w:left="1134" w:hanging="283"/>
        <w:contextualSpacing w:val="0"/>
        <w:rPr>
          <w:rFonts w:asciiTheme="minorHAnsi" w:hAnsiTheme="minorHAnsi" w:cstheme="minorHAnsi"/>
          <w:sz w:val="24"/>
          <w:szCs w:val="24"/>
        </w:rPr>
      </w:pPr>
      <w:r w:rsidRPr="00AE07CE">
        <w:rPr>
          <w:rFonts w:asciiTheme="minorHAnsi" w:hAnsiTheme="minorHAnsi" w:cstheme="minorHAnsi"/>
          <w:sz w:val="24"/>
          <w:szCs w:val="24"/>
        </w:rPr>
        <w:t>s</w:t>
      </w:r>
      <w:r w:rsidR="009D4DC5" w:rsidRPr="00AE07CE">
        <w:rPr>
          <w:rFonts w:asciiTheme="minorHAnsi" w:hAnsiTheme="minorHAnsi" w:cstheme="minorHAnsi"/>
          <w:sz w:val="24"/>
          <w:szCs w:val="24"/>
        </w:rPr>
        <w:t xml:space="preserve">tates that current treatment options upon relapse are older chemotherapy options such as </w:t>
      </w:r>
      <w:proofErr w:type="spellStart"/>
      <w:r w:rsidR="009D4DC5" w:rsidRPr="00AE07CE">
        <w:rPr>
          <w:rFonts w:asciiTheme="minorHAnsi" w:hAnsiTheme="minorHAnsi" w:cstheme="minorHAnsi"/>
          <w:sz w:val="24"/>
          <w:szCs w:val="24"/>
        </w:rPr>
        <w:t>lomustine</w:t>
      </w:r>
      <w:proofErr w:type="spellEnd"/>
      <w:r w:rsidR="009D4DC5" w:rsidRPr="00AE07CE">
        <w:rPr>
          <w:rFonts w:asciiTheme="minorHAnsi" w:hAnsiTheme="minorHAnsi" w:cstheme="minorHAnsi"/>
          <w:sz w:val="24"/>
          <w:szCs w:val="24"/>
        </w:rPr>
        <w:t xml:space="preserve"> or carboplatin</w:t>
      </w:r>
      <w:r w:rsidR="009F2E5B" w:rsidRPr="00AE07CE">
        <w:rPr>
          <w:rFonts w:asciiTheme="minorHAnsi" w:hAnsiTheme="minorHAnsi" w:cstheme="minorHAnsi"/>
          <w:sz w:val="24"/>
          <w:szCs w:val="24"/>
        </w:rPr>
        <w:t xml:space="preserve"> and does not discuss the role of rechallenge with </w:t>
      </w:r>
      <w:proofErr w:type="spellStart"/>
      <w:r w:rsidR="009F2E5B" w:rsidRPr="00AE07CE">
        <w:rPr>
          <w:rFonts w:asciiTheme="minorHAnsi" w:hAnsiTheme="minorHAnsi" w:cstheme="minorHAnsi"/>
          <w:sz w:val="24"/>
          <w:szCs w:val="24"/>
        </w:rPr>
        <w:t>temozolomide</w:t>
      </w:r>
      <w:proofErr w:type="spellEnd"/>
      <w:r w:rsidR="009D4DC5" w:rsidRPr="00AE07CE">
        <w:rPr>
          <w:rFonts w:asciiTheme="minorHAnsi" w:hAnsiTheme="minorHAnsi" w:cstheme="minorHAnsi"/>
          <w:sz w:val="24"/>
          <w:szCs w:val="24"/>
        </w:rPr>
        <w:t xml:space="preserve">, while the previous submission nominated a mixture of </w:t>
      </w:r>
      <w:proofErr w:type="spellStart"/>
      <w:r w:rsidR="009D4DC5" w:rsidRPr="00AE07CE">
        <w:rPr>
          <w:rFonts w:asciiTheme="minorHAnsi" w:hAnsiTheme="minorHAnsi" w:cstheme="minorHAnsi"/>
          <w:sz w:val="24"/>
          <w:szCs w:val="24"/>
        </w:rPr>
        <w:t>temozolomide</w:t>
      </w:r>
      <w:proofErr w:type="spellEnd"/>
      <w:r w:rsidR="009D4DC5" w:rsidRPr="00AE07CE">
        <w:rPr>
          <w:rFonts w:asciiTheme="minorHAnsi" w:hAnsiTheme="minorHAnsi" w:cstheme="minorHAnsi"/>
          <w:sz w:val="24"/>
          <w:szCs w:val="24"/>
        </w:rPr>
        <w:t>, best supportive care and salvage chemotherapy as the comparator</w:t>
      </w:r>
      <w:r w:rsidRPr="00AE07CE">
        <w:rPr>
          <w:rFonts w:asciiTheme="minorHAnsi" w:hAnsiTheme="minorHAnsi" w:cstheme="minorHAnsi"/>
          <w:sz w:val="24"/>
          <w:szCs w:val="24"/>
        </w:rPr>
        <w:t>;</w:t>
      </w:r>
      <w:r w:rsidR="009D4DC5" w:rsidRPr="00AE07CE">
        <w:rPr>
          <w:rFonts w:asciiTheme="minorHAnsi" w:hAnsiTheme="minorHAnsi" w:cstheme="minorHAnsi"/>
          <w:sz w:val="24"/>
          <w:szCs w:val="24"/>
        </w:rPr>
        <w:t xml:space="preserve"> </w:t>
      </w:r>
    </w:p>
    <w:p w:rsidR="00457897" w:rsidRPr="00373B5B" w:rsidRDefault="00457897" w:rsidP="00DC7C24">
      <w:pPr>
        <w:pStyle w:val="ListParagraph"/>
        <w:widowControl/>
        <w:numPr>
          <w:ilvl w:val="2"/>
          <w:numId w:val="14"/>
        </w:numPr>
        <w:spacing w:before="120" w:after="120"/>
        <w:ind w:left="1134" w:hanging="283"/>
        <w:contextualSpacing w:val="0"/>
        <w:rPr>
          <w:rFonts w:asciiTheme="minorHAnsi" w:hAnsiTheme="minorHAnsi" w:cstheme="minorHAnsi"/>
          <w:sz w:val="24"/>
          <w:szCs w:val="24"/>
        </w:rPr>
      </w:pPr>
      <w:r w:rsidRPr="00AE07CE">
        <w:rPr>
          <w:rFonts w:asciiTheme="minorHAnsi" w:hAnsiTheme="minorHAnsi" w:cstheme="minorHAnsi"/>
          <w:sz w:val="24"/>
          <w:szCs w:val="24"/>
        </w:rPr>
        <w:lastRenderedPageBreak/>
        <w:t xml:space="preserve">states that it is now “standard practice for appropriate patients to be offered treatment with bevacizumab upon relapse”, with bevacizumab being widely used </w:t>
      </w:r>
      <w:r w:rsidRPr="00373B5B">
        <w:rPr>
          <w:rFonts w:asciiTheme="minorHAnsi" w:hAnsiTheme="minorHAnsi" w:cstheme="minorHAnsi"/>
          <w:sz w:val="24"/>
          <w:szCs w:val="24"/>
        </w:rPr>
        <w:t>through a Patient Access Program</w:t>
      </w:r>
      <w:r w:rsidR="009F2E5B" w:rsidRPr="00373B5B">
        <w:rPr>
          <w:rFonts w:asciiTheme="minorHAnsi" w:hAnsiTheme="minorHAnsi" w:cstheme="minorHAnsi"/>
          <w:sz w:val="24"/>
          <w:szCs w:val="24"/>
        </w:rPr>
        <w:t>; and</w:t>
      </w:r>
    </w:p>
    <w:p w:rsidR="002C34EA" w:rsidRPr="00373B5B" w:rsidRDefault="00457897" w:rsidP="00DC7C24">
      <w:pPr>
        <w:pStyle w:val="ListParagraph"/>
        <w:widowControl/>
        <w:numPr>
          <w:ilvl w:val="2"/>
          <w:numId w:val="14"/>
        </w:numPr>
        <w:spacing w:before="120" w:after="120"/>
        <w:ind w:left="1134" w:hanging="283"/>
        <w:contextualSpacing w:val="0"/>
        <w:rPr>
          <w:rFonts w:asciiTheme="minorHAnsi" w:hAnsiTheme="minorHAnsi" w:cstheme="minorHAnsi"/>
          <w:sz w:val="24"/>
          <w:szCs w:val="24"/>
        </w:rPr>
      </w:pPr>
      <w:r w:rsidRPr="00373B5B">
        <w:rPr>
          <w:rFonts w:asciiTheme="minorHAnsi" w:hAnsiTheme="minorHAnsi" w:cstheme="minorHAnsi"/>
          <w:sz w:val="24"/>
          <w:szCs w:val="24"/>
        </w:rPr>
        <w:t xml:space="preserve">proposes a </w:t>
      </w:r>
      <w:r w:rsidR="00E454F3">
        <w:rPr>
          <w:rFonts w:asciiTheme="minorHAnsi" w:hAnsiTheme="minorHAnsi" w:cstheme="minorHAnsi"/>
          <w:noProof/>
          <w:color w:val="000000"/>
          <w:sz w:val="24"/>
          <w:szCs w:val="24"/>
          <w:highlight w:val="black"/>
        </w:rPr>
        <w:t>'''''</w:t>
      </w:r>
      <w:r w:rsidR="00F95F7F" w:rsidRPr="00373B5B">
        <w:rPr>
          <w:rFonts w:asciiTheme="minorHAnsi" w:hAnsiTheme="minorHAnsi" w:cstheme="minorHAnsi"/>
          <w:sz w:val="24"/>
          <w:szCs w:val="24"/>
        </w:rPr>
        <w:t>%</w:t>
      </w:r>
      <w:r w:rsidRPr="00373B5B">
        <w:rPr>
          <w:rFonts w:asciiTheme="minorHAnsi" w:hAnsiTheme="minorHAnsi" w:cstheme="minorHAnsi"/>
          <w:sz w:val="24"/>
          <w:szCs w:val="24"/>
        </w:rPr>
        <w:t xml:space="preserve"> price reduction on the ex-manufacturer price of bevacizumab, </w:t>
      </w:r>
      <w:r w:rsidR="00E454F3">
        <w:rPr>
          <w:rFonts w:asciiTheme="minorHAnsi" w:hAnsiTheme="minorHAnsi" w:cstheme="minorHAnsi"/>
          <w:noProof/>
          <w:color w:val="000000"/>
          <w:sz w:val="24"/>
          <w:szCs w:val="24"/>
          <w:highlight w:val="black"/>
        </w:rPr>
        <w:t>'''''''''''''''''''' ''''''''' ''''''' '''''''''' '''''' ''''''''''''''''''' '''''''''''''' ''''''''''''</w:t>
      </w:r>
      <w:r w:rsidR="0086255C" w:rsidRPr="00373B5B">
        <w:rPr>
          <w:rFonts w:asciiTheme="minorHAnsi" w:hAnsiTheme="minorHAnsi" w:cstheme="minorHAnsi"/>
          <w:sz w:val="24"/>
          <w:szCs w:val="24"/>
        </w:rPr>
        <w:t>.</w:t>
      </w:r>
    </w:p>
    <w:p w:rsidR="00CE10C4" w:rsidRPr="00AE07CE" w:rsidRDefault="006436CD" w:rsidP="00DC7C24">
      <w:pPr>
        <w:pStyle w:val="PBACHeading1"/>
        <w:spacing w:before="120" w:after="120"/>
        <w:ind w:left="709" w:hanging="709"/>
        <w:rPr>
          <w:rFonts w:asciiTheme="minorHAnsi" w:hAnsiTheme="minorHAnsi"/>
          <w:sz w:val="32"/>
          <w:szCs w:val="32"/>
        </w:rPr>
      </w:pPr>
      <w:r w:rsidRPr="00AE07CE">
        <w:rPr>
          <w:rFonts w:asciiTheme="minorHAnsi" w:hAnsiTheme="minorHAnsi"/>
          <w:sz w:val="32"/>
          <w:szCs w:val="32"/>
        </w:rPr>
        <w:t xml:space="preserve">Population and disease </w:t>
      </w:r>
    </w:p>
    <w:p w:rsidR="000A79E8" w:rsidRPr="00AE07CE" w:rsidRDefault="000A79E8"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Glioblastoma </w:t>
      </w:r>
      <w:r w:rsidR="0031691A" w:rsidRPr="00AE07CE">
        <w:rPr>
          <w:rFonts w:asciiTheme="minorHAnsi" w:eastAsiaTheme="minorHAnsi" w:hAnsiTheme="minorHAnsi" w:cstheme="minorBidi"/>
          <w:snapToGrid/>
          <w:sz w:val="24"/>
          <w:szCs w:val="22"/>
        </w:rPr>
        <w:t xml:space="preserve">(also known as Grade IV glioma) </w:t>
      </w:r>
      <w:r w:rsidRPr="00AE07CE">
        <w:rPr>
          <w:rFonts w:asciiTheme="minorHAnsi" w:eastAsiaTheme="minorHAnsi" w:hAnsiTheme="minorHAnsi" w:cstheme="minorBidi"/>
          <w:snapToGrid/>
          <w:sz w:val="24"/>
          <w:szCs w:val="22"/>
        </w:rPr>
        <w:t>is the most aggressive malignant primary brain tumour in adults and is nearly always fatal</w:t>
      </w:r>
      <w:r w:rsidR="0031691A" w:rsidRPr="00AE07CE">
        <w:rPr>
          <w:rFonts w:asciiTheme="minorHAnsi" w:eastAsiaTheme="minorHAnsi" w:hAnsiTheme="minorHAnsi" w:cstheme="minorBidi"/>
          <w:snapToGrid/>
          <w:sz w:val="24"/>
          <w:szCs w:val="22"/>
        </w:rPr>
        <w:t>, with a median overall survival</w:t>
      </w:r>
      <w:r w:rsidR="00231373" w:rsidRPr="00AE07CE">
        <w:rPr>
          <w:rFonts w:asciiTheme="minorHAnsi" w:eastAsiaTheme="minorHAnsi" w:hAnsiTheme="minorHAnsi" w:cstheme="minorBidi"/>
          <w:snapToGrid/>
          <w:sz w:val="24"/>
          <w:szCs w:val="22"/>
        </w:rPr>
        <w:t xml:space="preserve"> from initial diagnosis </w:t>
      </w:r>
      <w:r w:rsidR="0031691A" w:rsidRPr="00AE07CE">
        <w:rPr>
          <w:rFonts w:asciiTheme="minorHAnsi" w:eastAsiaTheme="minorHAnsi" w:hAnsiTheme="minorHAnsi" w:cstheme="minorBidi"/>
          <w:snapToGrid/>
          <w:sz w:val="24"/>
          <w:szCs w:val="22"/>
        </w:rPr>
        <w:t xml:space="preserve">of about </w:t>
      </w:r>
      <w:r w:rsidR="00231373" w:rsidRPr="00AE07CE">
        <w:rPr>
          <w:rFonts w:asciiTheme="minorHAnsi" w:eastAsiaTheme="minorHAnsi" w:hAnsiTheme="minorHAnsi" w:cstheme="minorBidi"/>
          <w:snapToGrid/>
          <w:sz w:val="24"/>
          <w:szCs w:val="22"/>
        </w:rPr>
        <w:t>12-</w:t>
      </w:r>
      <w:r w:rsidR="0031691A" w:rsidRPr="00AE07CE">
        <w:rPr>
          <w:rFonts w:asciiTheme="minorHAnsi" w:eastAsiaTheme="minorHAnsi" w:hAnsiTheme="minorHAnsi" w:cstheme="minorBidi"/>
          <w:snapToGrid/>
          <w:sz w:val="24"/>
          <w:szCs w:val="22"/>
        </w:rPr>
        <w:t>15 months</w:t>
      </w:r>
      <w:r w:rsidRPr="00AE07CE">
        <w:rPr>
          <w:rFonts w:asciiTheme="minorHAnsi" w:eastAsiaTheme="minorHAnsi" w:hAnsiTheme="minorHAnsi" w:cstheme="minorBidi"/>
          <w:snapToGrid/>
          <w:sz w:val="24"/>
          <w:szCs w:val="22"/>
        </w:rPr>
        <w:t xml:space="preserve">. </w:t>
      </w:r>
      <w:r w:rsidR="00B82455" w:rsidRPr="00AE07CE">
        <w:rPr>
          <w:rFonts w:asciiTheme="minorHAnsi" w:eastAsiaTheme="minorHAnsi" w:hAnsiTheme="minorHAnsi" w:cstheme="minorBidi"/>
          <w:snapToGrid/>
          <w:sz w:val="24"/>
          <w:szCs w:val="22"/>
        </w:rPr>
        <w:t xml:space="preserve">Despite aggressive first-line treatment, tumours invariably recur. </w:t>
      </w:r>
      <w:r w:rsidRPr="00AE07CE">
        <w:rPr>
          <w:rFonts w:asciiTheme="minorHAnsi" w:eastAsiaTheme="minorHAnsi" w:hAnsiTheme="minorHAnsi" w:cstheme="minorBidi"/>
          <w:snapToGrid/>
          <w:sz w:val="24"/>
          <w:szCs w:val="22"/>
        </w:rPr>
        <w:t>In the absence of cure, the aim of therapy is to slow progression of the cancer and reduce symptoms associated with the disease</w:t>
      </w:r>
      <w:r w:rsidR="00062927"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 which include headache, nausea, vomiting, seizures, behavioural changes and focal neurological deficits</w:t>
      </w:r>
      <w:r w:rsidR="00285036" w:rsidRPr="00AE07CE">
        <w:rPr>
          <w:rStyle w:val="FootnoteReference"/>
          <w:rFonts w:asciiTheme="minorHAnsi" w:eastAsiaTheme="minorHAnsi" w:hAnsiTheme="minorHAnsi" w:cstheme="minorBidi"/>
          <w:snapToGrid/>
          <w:sz w:val="24"/>
          <w:szCs w:val="22"/>
        </w:rPr>
        <w:footnoteReference w:id="2"/>
      </w:r>
      <w:r w:rsidRPr="00AE07CE">
        <w:rPr>
          <w:rFonts w:asciiTheme="minorHAnsi" w:eastAsiaTheme="minorHAnsi" w:hAnsiTheme="minorHAnsi" w:cstheme="minorBidi"/>
          <w:snapToGrid/>
          <w:sz w:val="24"/>
          <w:szCs w:val="22"/>
        </w:rPr>
        <w:t>.</w:t>
      </w:r>
    </w:p>
    <w:p w:rsidR="00441A01" w:rsidRPr="00AE07CE" w:rsidRDefault="00B82455"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S</w:t>
      </w:r>
      <w:r w:rsidR="009E6AF2" w:rsidRPr="00AE07CE">
        <w:rPr>
          <w:rFonts w:asciiTheme="minorHAnsi" w:eastAsiaTheme="minorHAnsi" w:hAnsiTheme="minorHAnsi" w:cstheme="minorBidi"/>
          <w:snapToGrid/>
          <w:sz w:val="24"/>
          <w:szCs w:val="22"/>
        </w:rPr>
        <w:t>tandard of care</w:t>
      </w:r>
      <w:r w:rsidR="0003717B" w:rsidRPr="00AE07CE">
        <w:rPr>
          <w:rFonts w:asciiTheme="minorHAnsi" w:eastAsiaTheme="minorHAnsi" w:hAnsiTheme="minorHAnsi" w:cstheme="minorBidi"/>
          <w:snapToGrid/>
          <w:sz w:val="24"/>
          <w:szCs w:val="22"/>
        </w:rPr>
        <w:t xml:space="preserve"> treatment of newly diagnosed glioblastoma is maximal surgical resection, chem</w:t>
      </w:r>
      <w:r w:rsidR="0003717B" w:rsidRPr="00400B3F">
        <w:rPr>
          <w:rFonts w:asciiTheme="minorHAnsi" w:eastAsiaTheme="minorHAnsi" w:hAnsiTheme="minorHAnsi" w:cstheme="minorBidi"/>
          <w:snapToGrid/>
          <w:sz w:val="24"/>
          <w:szCs w:val="22"/>
        </w:rPr>
        <w:t>o</w:t>
      </w:r>
      <w:r w:rsidR="00AA2C31" w:rsidRPr="00400B3F">
        <w:rPr>
          <w:rFonts w:asciiTheme="minorHAnsi" w:eastAsiaTheme="minorHAnsi" w:hAnsiTheme="minorHAnsi" w:cstheme="minorBidi"/>
          <w:snapToGrid/>
          <w:sz w:val="24"/>
          <w:szCs w:val="22"/>
        </w:rPr>
        <w:t>-</w:t>
      </w:r>
      <w:r w:rsidR="0003717B" w:rsidRPr="00AE07CE">
        <w:rPr>
          <w:rFonts w:asciiTheme="minorHAnsi" w:eastAsiaTheme="minorHAnsi" w:hAnsiTheme="minorHAnsi" w:cstheme="minorBidi"/>
          <w:snapToGrid/>
          <w:sz w:val="24"/>
          <w:szCs w:val="22"/>
        </w:rPr>
        <w:t xml:space="preserve">radiotherapy with </w:t>
      </w:r>
      <w:proofErr w:type="spellStart"/>
      <w:r w:rsidR="00760EB7" w:rsidRPr="00AE07CE">
        <w:rPr>
          <w:rFonts w:asciiTheme="minorHAnsi" w:eastAsiaTheme="minorHAnsi" w:hAnsiTheme="minorHAnsi" w:cstheme="minorBidi"/>
          <w:snapToGrid/>
          <w:sz w:val="24"/>
          <w:szCs w:val="22"/>
        </w:rPr>
        <w:t>temozolomide</w:t>
      </w:r>
      <w:proofErr w:type="spellEnd"/>
      <w:r w:rsidR="0003717B" w:rsidRPr="00AE07CE">
        <w:rPr>
          <w:rFonts w:asciiTheme="minorHAnsi" w:eastAsiaTheme="minorHAnsi" w:hAnsiTheme="minorHAnsi" w:cstheme="minorBidi"/>
          <w:snapToGrid/>
          <w:sz w:val="24"/>
          <w:szCs w:val="22"/>
        </w:rPr>
        <w:t xml:space="preserve"> followed by adjuvant </w:t>
      </w:r>
      <w:proofErr w:type="spellStart"/>
      <w:r w:rsidR="00760EB7" w:rsidRPr="00AE07CE">
        <w:rPr>
          <w:rFonts w:asciiTheme="minorHAnsi" w:eastAsiaTheme="minorHAnsi" w:hAnsiTheme="minorHAnsi" w:cstheme="minorBidi"/>
          <w:snapToGrid/>
          <w:sz w:val="24"/>
          <w:szCs w:val="22"/>
        </w:rPr>
        <w:t>temozolomide</w:t>
      </w:r>
      <w:proofErr w:type="spellEnd"/>
      <w:r w:rsidR="00094A12" w:rsidRPr="00AE07CE">
        <w:rPr>
          <w:rFonts w:asciiTheme="minorHAnsi" w:eastAsiaTheme="minorHAnsi" w:hAnsiTheme="minorHAnsi" w:cstheme="minorBidi"/>
          <w:snapToGrid/>
          <w:sz w:val="24"/>
          <w:szCs w:val="22"/>
        </w:rPr>
        <w:t xml:space="preserve">. </w:t>
      </w:r>
      <w:r w:rsidR="009F2E5B" w:rsidRPr="00AE07CE">
        <w:rPr>
          <w:rFonts w:asciiTheme="minorHAnsi" w:eastAsiaTheme="minorHAnsi" w:hAnsiTheme="minorHAnsi" w:cstheme="minorBidi"/>
          <w:snapToGrid/>
          <w:sz w:val="24"/>
          <w:szCs w:val="22"/>
        </w:rPr>
        <w:t>The submission stated that c</w:t>
      </w:r>
      <w:r w:rsidR="00760EB7" w:rsidRPr="00AE07CE">
        <w:rPr>
          <w:rFonts w:asciiTheme="minorHAnsi" w:eastAsiaTheme="minorHAnsi" w:hAnsiTheme="minorHAnsi" w:cstheme="minorBidi"/>
          <w:snapToGrid/>
          <w:sz w:val="24"/>
          <w:szCs w:val="22"/>
        </w:rPr>
        <w:t>urrent treatment upon relapse typically involves chemotherap</w:t>
      </w:r>
      <w:r w:rsidR="00231373" w:rsidRPr="00AE07CE">
        <w:rPr>
          <w:rFonts w:asciiTheme="minorHAnsi" w:eastAsiaTheme="minorHAnsi" w:hAnsiTheme="minorHAnsi" w:cstheme="minorBidi"/>
          <w:snapToGrid/>
          <w:sz w:val="24"/>
          <w:szCs w:val="22"/>
        </w:rPr>
        <w:t>ies</w:t>
      </w:r>
      <w:r w:rsidR="00760EB7" w:rsidRPr="00AE07CE">
        <w:rPr>
          <w:rFonts w:asciiTheme="minorHAnsi" w:eastAsiaTheme="minorHAnsi" w:hAnsiTheme="minorHAnsi" w:cstheme="minorBidi"/>
          <w:snapToGrid/>
          <w:sz w:val="24"/>
          <w:szCs w:val="22"/>
        </w:rPr>
        <w:t xml:space="preserve"> such as </w:t>
      </w:r>
      <w:proofErr w:type="spellStart"/>
      <w:r w:rsidR="00760EB7" w:rsidRPr="00AE07CE">
        <w:rPr>
          <w:rFonts w:asciiTheme="minorHAnsi" w:eastAsiaTheme="minorHAnsi" w:hAnsiTheme="minorHAnsi" w:cstheme="minorBidi"/>
          <w:snapToGrid/>
          <w:sz w:val="24"/>
          <w:szCs w:val="22"/>
        </w:rPr>
        <w:t>lomustine</w:t>
      </w:r>
      <w:proofErr w:type="spellEnd"/>
      <w:r w:rsidR="00231373" w:rsidRPr="00AE07CE">
        <w:rPr>
          <w:rFonts w:asciiTheme="minorHAnsi" w:eastAsiaTheme="minorHAnsi" w:hAnsiTheme="minorHAnsi" w:cstheme="minorBidi"/>
          <w:snapToGrid/>
          <w:sz w:val="24"/>
          <w:szCs w:val="22"/>
        </w:rPr>
        <w:t xml:space="preserve"> or</w:t>
      </w:r>
      <w:r w:rsidR="00760EB7" w:rsidRPr="00AE07CE">
        <w:rPr>
          <w:rFonts w:asciiTheme="minorHAnsi" w:eastAsiaTheme="minorHAnsi" w:hAnsiTheme="minorHAnsi" w:cstheme="minorBidi"/>
          <w:snapToGrid/>
          <w:sz w:val="24"/>
          <w:szCs w:val="22"/>
        </w:rPr>
        <w:t xml:space="preserve"> carboplatin.</w:t>
      </w:r>
      <w:r w:rsidR="000A79E8" w:rsidRPr="00AE07CE">
        <w:rPr>
          <w:rFonts w:asciiTheme="minorHAnsi" w:eastAsiaTheme="minorHAnsi" w:hAnsiTheme="minorHAnsi" w:cstheme="minorBidi"/>
          <w:snapToGrid/>
          <w:sz w:val="24"/>
          <w:szCs w:val="22"/>
        </w:rPr>
        <w:t xml:space="preserve"> </w:t>
      </w:r>
      <w:r w:rsidR="009F2E5B" w:rsidRPr="00AE07CE">
        <w:rPr>
          <w:rFonts w:asciiTheme="minorHAnsi" w:eastAsiaTheme="minorHAnsi" w:hAnsiTheme="minorHAnsi" w:cstheme="minorBidi"/>
          <w:snapToGrid/>
          <w:sz w:val="24"/>
          <w:szCs w:val="22"/>
        </w:rPr>
        <w:t>M</w:t>
      </w:r>
      <w:r w:rsidR="00231373" w:rsidRPr="00AE07CE">
        <w:rPr>
          <w:rFonts w:asciiTheme="minorHAnsi" w:eastAsiaTheme="minorHAnsi" w:hAnsiTheme="minorHAnsi" w:cstheme="minorBidi"/>
          <w:snapToGrid/>
          <w:sz w:val="24"/>
          <w:szCs w:val="22"/>
        </w:rPr>
        <w:t xml:space="preserve">edian </w:t>
      </w:r>
      <w:r w:rsidR="009F2E5B" w:rsidRPr="00AE07CE">
        <w:rPr>
          <w:rFonts w:asciiTheme="minorHAnsi" w:eastAsiaTheme="minorHAnsi" w:hAnsiTheme="minorHAnsi" w:cstheme="minorBidi"/>
          <w:snapToGrid/>
          <w:sz w:val="24"/>
          <w:szCs w:val="22"/>
        </w:rPr>
        <w:t>overall survival (</w:t>
      </w:r>
      <w:r w:rsidR="00231373" w:rsidRPr="00AE07CE">
        <w:rPr>
          <w:rFonts w:asciiTheme="minorHAnsi" w:eastAsiaTheme="minorHAnsi" w:hAnsiTheme="minorHAnsi" w:cstheme="minorBidi"/>
          <w:snapToGrid/>
          <w:sz w:val="24"/>
          <w:szCs w:val="22"/>
        </w:rPr>
        <w:t>OS</w:t>
      </w:r>
      <w:r w:rsidR="009F2E5B" w:rsidRPr="00AE07CE">
        <w:rPr>
          <w:rFonts w:asciiTheme="minorHAnsi" w:eastAsiaTheme="minorHAnsi" w:hAnsiTheme="minorHAnsi" w:cstheme="minorBidi"/>
          <w:snapToGrid/>
          <w:sz w:val="24"/>
          <w:szCs w:val="22"/>
        </w:rPr>
        <w:t>)</w:t>
      </w:r>
      <w:r w:rsidR="00231373" w:rsidRPr="00AE07CE">
        <w:rPr>
          <w:rFonts w:asciiTheme="minorHAnsi" w:eastAsiaTheme="minorHAnsi" w:hAnsiTheme="minorHAnsi" w:cstheme="minorBidi"/>
          <w:snapToGrid/>
          <w:sz w:val="24"/>
          <w:szCs w:val="22"/>
        </w:rPr>
        <w:t xml:space="preserve"> </w:t>
      </w:r>
      <w:r w:rsidR="000A79E8" w:rsidRPr="00AE07CE">
        <w:rPr>
          <w:rFonts w:asciiTheme="minorHAnsi" w:eastAsiaTheme="minorHAnsi" w:hAnsiTheme="minorHAnsi" w:cstheme="minorBidi"/>
          <w:snapToGrid/>
          <w:sz w:val="24"/>
          <w:szCs w:val="22"/>
        </w:rPr>
        <w:t xml:space="preserve">for patients with recurrent </w:t>
      </w:r>
      <w:r w:rsidR="009F2E5B" w:rsidRPr="00AE07CE">
        <w:rPr>
          <w:rFonts w:asciiTheme="minorHAnsi" w:eastAsiaTheme="minorHAnsi" w:hAnsiTheme="minorHAnsi" w:cstheme="minorBidi"/>
          <w:snapToGrid/>
          <w:sz w:val="24"/>
          <w:szCs w:val="22"/>
        </w:rPr>
        <w:t>glioblastoma</w:t>
      </w:r>
      <w:r w:rsidR="000A79E8" w:rsidRPr="00AE07CE">
        <w:rPr>
          <w:rFonts w:asciiTheme="minorHAnsi" w:eastAsiaTheme="minorHAnsi" w:hAnsiTheme="minorHAnsi" w:cstheme="minorBidi"/>
          <w:snapToGrid/>
          <w:sz w:val="24"/>
          <w:szCs w:val="22"/>
        </w:rPr>
        <w:t xml:space="preserve"> is approximately 6-8 months</w:t>
      </w:r>
      <w:r w:rsidR="00285036" w:rsidRPr="00AE07CE">
        <w:rPr>
          <w:rStyle w:val="FootnoteReference"/>
          <w:rFonts w:asciiTheme="minorHAnsi" w:eastAsiaTheme="minorHAnsi" w:hAnsiTheme="minorHAnsi" w:cstheme="minorBidi"/>
          <w:snapToGrid/>
          <w:sz w:val="24"/>
          <w:szCs w:val="22"/>
        </w:rPr>
        <w:footnoteReference w:id="3"/>
      </w:r>
      <w:proofErr w:type="gramStart"/>
      <w:r w:rsidR="00AD0574" w:rsidRPr="00AE07CE">
        <w:rPr>
          <w:rFonts w:asciiTheme="minorHAnsi" w:eastAsiaTheme="minorHAnsi" w:hAnsiTheme="minorHAnsi" w:cstheme="minorBidi"/>
          <w:snapToGrid/>
          <w:sz w:val="24"/>
          <w:szCs w:val="22"/>
          <w:vertAlign w:val="superscript"/>
        </w:rPr>
        <w:t>,</w:t>
      </w:r>
      <w:r w:rsidR="00285036" w:rsidRPr="00AE07CE">
        <w:rPr>
          <w:rStyle w:val="FootnoteReference"/>
          <w:rFonts w:asciiTheme="minorHAnsi" w:eastAsiaTheme="minorHAnsi" w:hAnsiTheme="minorHAnsi" w:cstheme="minorBidi"/>
          <w:snapToGrid/>
          <w:sz w:val="24"/>
          <w:szCs w:val="22"/>
        </w:rPr>
        <w:footnoteReference w:id="4"/>
      </w:r>
      <w:r w:rsidR="00285036" w:rsidRPr="00AE07CE">
        <w:rPr>
          <w:rFonts w:asciiTheme="minorHAnsi" w:eastAsiaTheme="minorHAnsi" w:hAnsiTheme="minorHAnsi" w:cstheme="minorBidi"/>
          <w:snapToGrid/>
          <w:sz w:val="24"/>
          <w:szCs w:val="22"/>
        </w:rPr>
        <w:t>.</w:t>
      </w:r>
      <w:proofErr w:type="gramEnd"/>
    </w:p>
    <w:p w:rsidR="000A79E8" w:rsidRPr="00400B3F" w:rsidRDefault="00441A01"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w:t>
      </w:r>
      <w:r w:rsidR="00231373" w:rsidRPr="00AE07CE">
        <w:rPr>
          <w:rFonts w:asciiTheme="minorHAnsi" w:eastAsiaTheme="minorHAnsi" w:hAnsiTheme="minorHAnsi" w:cstheme="minorBidi"/>
          <w:snapToGrid/>
          <w:sz w:val="24"/>
          <w:szCs w:val="22"/>
        </w:rPr>
        <w:t>submission stated</w:t>
      </w:r>
      <w:r w:rsidRPr="00AE07CE">
        <w:rPr>
          <w:rFonts w:asciiTheme="minorHAnsi" w:eastAsiaTheme="minorHAnsi" w:hAnsiTheme="minorHAnsi" w:cstheme="minorBidi"/>
          <w:snapToGrid/>
          <w:sz w:val="24"/>
          <w:szCs w:val="22"/>
        </w:rPr>
        <w:t xml:space="preserve"> that there are no therapies </w:t>
      </w:r>
      <w:proofErr w:type="gramStart"/>
      <w:r w:rsidRPr="00AE07CE">
        <w:rPr>
          <w:rFonts w:asciiTheme="minorHAnsi" w:eastAsiaTheme="minorHAnsi" w:hAnsiTheme="minorHAnsi" w:cstheme="minorBidi"/>
          <w:snapToGrid/>
          <w:sz w:val="24"/>
          <w:szCs w:val="22"/>
        </w:rPr>
        <w:t xml:space="preserve">in late stage (Phase III) clinical development for the treatment for patients with relapsed or refractory </w:t>
      </w:r>
      <w:r w:rsidR="009F2E5B" w:rsidRPr="00400B3F">
        <w:rPr>
          <w:rFonts w:asciiTheme="minorHAnsi" w:eastAsiaTheme="minorHAnsi" w:hAnsiTheme="minorHAnsi" w:cstheme="minorBidi"/>
          <w:snapToGrid/>
          <w:sz w:val="24"/>
          <w:szCs w:val="22"/>
        </w:rPr>
        <w:t>glioblastoma</w:t>
      </w:r>
      <w:proofErr w:type="gramEnd"/>
      <w:r w:rsidR="009F2E5B" w:rsidRPr="00400B3F">
        <w:rPr>
          <w:rFonts w:asciiTheme="minorHAnsi" w:eastAsiaTheme="minorHAnsi" w:hAnsiTheme="minorHAnsi" w:cstheme="minorBidi"/>
          <w:snapToGrid/>
          <w:sz w:val="24"/>
          <w:szCs w:val="22"/>
        </w:rPr>
        <w:t>.</w:t>
      </w:r>
    </w:p>
    <w:p w:rsidR="0031691A" w:rsidRPr="00AE07CE" w:rsidRDefault="0031691A" w:rsidP="00DC7C24">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Glioblastomas are rich in blood vessels (i.e. highly vascular) and also rich in vascular endothelial growth factor (VEGF) that promotes new blood vessel formation (the process of angiogenesis). Anti‐angiogenic agents (such as bevacizumab) inhibit the process of new blood vessel formation and promote regression of existing vessels.</w:t>
      </w:r>
    </w:p>
    <w:p w:rsidR="0085518A" w:rsidRPr="007A086B" w:rsidRDefault="0085518A" w:rsidP="00DC7C24">
      <w:pPr>
        <w:widowControl w:val="0"/>
        <w:numPr>
          <w:ilvl w:val="1"/>
          <w:numId w:val="5"/>
        </w:numPr>
        <w:spacing w:before="120" w:after="120"/>
        <w:ind w:left="720"/>
        <w:jc w:val="both"/>
        <w:rPr>
          <w:rFonts w:asciiTheme="minorHAnsi" w:hAnsiTheme="minorHAnsi"/>
          <w:bCs/>
          <w:snapToGrid w:val="0"/>
        </w:rPr>
      </w:pPr>
      <w:r w:rsidRPr="007A086B">
        <w:rPr>
          <w:rFonts w:asciiTheme="minorHAnsi" w:hAnsiTheme="minorHAnsi" w:cs="Arial"/>
          <w:bCs/>
          <w:snapToGrid w:val="0"/>
        </w:rPr>
        <w:t xml:space="preserve">The PBAC </w:t>
      </w:r>
      <w:r w:rsidR="009B25A6" w:rsidRPr="007A086B">
        <w:rPr>
          <w:rFonts w:asciiTheme="minorHAnsi" w:hAnsiTheme="minorHAnsi" w:cs="Arial"/>
          <w:bCs/>
          <w:snapToGrid w:val="0"/>
        </w:rPr>
        <w:t>consider</w:t>
      </w:r>
      <w:r w:rsidRPr="007A086B">
        <w:rPr>
          <w:rFonts w:asciiTheme="minorHAnsi" w:hAnsiTheme="minorHAnsi" w:cs="Arial"/>
          <w:bCs/>
          <w:snapToGrid w:val="0"/>
        </w:rPr>
        <w:t xml:space="preserve">ed that the proposed place in therapy - in relapsed or refractory glioblastoma, after a patient has progressed on (or is intolerant to) </w:t>
      </w:r>
      <w:proofErr w:type="spellStart"/>
      <w:r w:rsidRPr="007A086B">
        <w:rPr>
          <w:rFonts w:asciiTheme="minorHAnsi" w:hAnsiTheme="minorHAnsi" w:cs="Arial"/>
          <w:bCs/>
          <w:snapToGrid w:val="0"/>
        </w:rPr>
        <w:t>temozolomide</w:t>
      </w:r>
      <w:proofErr w:type="spellEnd"/>
      <w:r w:rsidRPr="007A086B">
        <w:rPr>
          <w:rFonts w:asciiTheme="minorHAnsi" w:hAnsiTheme="minorHAnsi" w:cs="Arial"/>
          <w:bCs/>
          <w:snapToGrid w:val="0"/>
        </w:rPr>
        <w:t xml:space="preserve"> – was appropriate. </w:t>
      </w:r>
    </w:p>
    <w:p w:rsidR="0032794B" w:rsidRPr="00AE07CE" w:rsidRDefault="005A3173" w:rsidP="00DC7C24">
      <w:pPr>
        <w:pStyle w:val="PBACHeading1"/>
        <w:keepNext/>
        <w:keepLines/>
        <w:spacing w:before="120" w:after="120"/>
        <w:ind w:left="709" w:hanging="709"/>
        <w:rPr>
          <w:rFonts w:asciiTheme="minorHAnsi" w:hAnsiTheme="minorHAnsi"/>
          <w:sz w:val="32"/>
          <w:szCs w:val="32"/>
        </w:rPr>
      </w:pPr>
      <w:r w:rsidRPr="00AE07CE">
        <w:rPr>
          <w:rFonts w:asciiTheme="minorHAnsi" w:hAnsiTheme="minorHAnsi"/>
          <w:sz w:val="32"/>
          <w:szCs w:val="32"/>
        </w:rPr>
        <w:lastRenderedPageBreak/>
        <w:t>Comparator</w:t>
      </w:r>
    </w:p>
    <w:p w:rsidR="00062927" w:rsidRPr="00AE07CE" w:rsidRDefault="00135226" w:rsidP="00DC7C24">
      <w:pPr>
        <w:pStyle w:val="ListParagraph"/>
        <w:keepNext/>
        <w:keepLines/>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minor resubmission did not nominate a comparator. </w:t>
      </w:r>
      <w:r w:rsidR="00062927" w:rsidRPr="00AE07CE">
        <w:rPr>
          <w:rFonts w:asciiTheme="minorHAnsi" w:eastAsiaTheme="minorHAnsi" w:hAnsiTheme="minorHAnsi" w:cstheme="minorBidi"/>
          <w:snapToGrid/>
          <w:sz w:val="24"/>
          <w:szCs w:val="22"/>
        </w:rPr>
        <w:t xml:space="preserve">The previous submission </w:t>
      </w:r>
      <w:r w:rsidRPr="00AE07CE">
        <w:rPr>
          <w:rFonts w:asciiTheme="minorHAnsi" w:eastAsiaTheme="minorHAnsi" w:hAnsiTheme="minorHAnsi" w:cstheme="minorBidi"/>
          <w:snapToGrid/>
          <w:sz w:val="24"/>
          <w:szCs w:val="22"/>
        </w:rPr>
        <w:t>nominated</w:t>
      </w:r>
      <w:r w:rsidR="00062927" w:rsidRPr="00AE07CE">
        <w:rPr>
          <w:rFonts w:asciiTheme="minorHAnsi" w:eastAsiaTheme="minorHAnsi" w:hAnsiTheme="minorHAnsi" w:cstheme="minorBidi"/>
          <w:snapToGrid/>
          <w:sz w:val="24"/>
          <w:szCs w:val="22"/>
        </w:rPr>
        <w:t xml:space="preserve"> </w:t>
      </w:r>
      <w:proofErr w:type="spellStart"/>
      <w:r w:rsidR="00062927" w:rsidRPr="00AE07CE">
        <w:rPr>
          <w:rFonts w:asciiTheme="minorHAnsi" w:eastAsiaTheme="minorHAnsi" w:hAnsiTheme="minorHAnsi" w:cstheme="minorBidi"/>
          <w:snapToGrid/>
          <w:sz w:val="24"/>
          <w:szCs w:val="22"/>
        </w:rPr>
        <w:t>temozolomide</w:t>
      </w:r>
      <w:proofErr w:type="spellEnd"/>
      <w:r w:rsidR="00062927" w:rsidRPr="00AE07CE">
        <w:rPr>
          <w:rFonts w:asciiTheme="minorHAnsi" w:eastAsiaTheme="minorHAnsi" w:hAnsiTheme="minorHAnsi" w:cstheme="minorBidi"/>
          <w:snapToGrid/>
          <w:sz w:val="24"/>
          <w:szCs w:val="22"/>
        </w:rPr>
        <w:t xml:space="preserve">, salvage chemotherapy and best supportive care </w:t>
      </w:r>
      <w:r w:rsidRPr="00AE07CE">
        <w:rPr>
          <w:rFonts w:asciiTheme="minorHAnsi" w:eastAsiaTheme="minorHAnsi" w:hAnsiTheme="minorHAnsi" w:cstheme="minorBidi"/>
          <w:snapToGrid/>
          <w:sz w:val="24"/>
          <w:szCs w:val="22"/>
        </w:rPr>
        <w:t xml:space="preserve">as the treatments </w:t>
      </w:r>
      <w:r w:rsidRPr="00400B3F">
        <w:rPr>
          <w:rFonts w:asciiTheme="minorHAnsi" w:eastAsiaTheme="minorHAnsi" w:hAnsiTheme="minorHAnsi" w:cstheme="minorBidi"/>
          <w:snapToGrid/>
          <w:sz w:val="24"/>
          <w:szCs w:val="22"/>
        </w:rPr>
        <w:t xml:space="preserve">that would be substituted by bevacizumab, with </w:t>
      </w:r>
      <w:proofErr w:type="spellStart"/>
      <w:r w:rsidRPr="00400B3F">
        <w:rPr>
          <w:rFonts w:asciiTheme="minorHAnsi" w:eastAsiaTheme="minorHAnsi" w:hAnsiTheme="minorHAnsi" w:cstheme="minorBidi"/>
          <w:snapToGrid/>
          <w:sz w:val="24"/>
          <w:szCs w:val="22"/>
        </w:rPr>
        <w:t>procarbazine</w:t>
      </w:r>
      <w:proofErr w:type="spellEnd"/>
      <w:r w:rsidRPr="00400B3F">
        <w:rPr>
          <w:rFonts w:asciiTheme="minorHAnsi" w:eastAsiaTheme="minorHAnsi" w:hAnsiTheme="minorHAnsi" w:cstheme="minorBidi"/>
          <w:snapToGrid/>
          <w:sz w:val="24"/>
          <w:szCs w:val="22"/>
        </w:rPr>
        <w:t xml:space="preserve"> being used to estima</w:t>
      </w:r>
      <w:r w:rsidRPr="00AE07CE">
        <w:rPr>
          <w:rFonts w:asciiTheme="minorHAnsi" w:eastAsiaTheme="minorHAnsi" w:hAnsiTheme="minorHAnsi" w:cstheme="minorBidi"/>
          <w:snapToGrid/>
          <w:sz w:val="24"/>
          <w:szCs w:val="22"/>
        </w:rPr>
        <w:t xml:space="preserve">te the effectiveness of salvage chemotherapy and best supportive care </w:t>
      </w:r>
      <w:r w:rsidR="00062927"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Section 12 </w:t>
      </w:r>
      <w:r w:rsidR="00062927" w:rsidRPr="00AE07CE">
        <w:rPr>
          <w:rFonts w:asciiTheme="minorHAnsi" w:eastAsiaTheme="minorHAnsi" w:hAnsiTheme="minorHAnsi" w:cstheme="minorBidi"/>
          <w:snapToGrid/>
          <w:sz w:val="24"/>
          <w:szCs w:val="22"/>
        </w:rPr>
        <w:t>Bevacizumab Public Summary Document, November 2010).</w:t>
      </w:r>
    </w:p>
    <w:p w:rsidR="009B25A6" w:rsidRPr="007A086B" w:rsidRDefault="00062927" w:rsidP="00DC7C24">
      <w:pPr>
        <w:pStyle w:val="ListParagraph"/>
        <w:numPr>
          <w:ilvl w:val="1"/>
          <w:numId w:val="5"/>
        </w:numPr>
        <w:spacing w:before="120" w:after="120"/>
        <w:ind w:left="720"/>
        <w:contextualSpacing w:val="0"/>
        <w:rPr>
          <w:rFonts w:asciiTheme="minorHAnsi" w:hAnsiTheme="minorHAnsi"/>
          <w:bCs/>
        </w:rPr>
      </w:pPr>
      <w:r w:rsidRPr="00AE07CE">
        <w:rPr>
          <w:rFonts w:asciiTheme="minorHAnsi" w:eastAsiaTheme="minorHAnsi" w:hAnsiTheme="minorHAnsi" w:cstheme="minorBidi"/>
          <w:snapToGrid/>
          <w:sz w:val="24"/>
          <w:szCs w:val="22"/>
        </w:rPr>
        <w:t xml:space="preserve">This minor </w:t>
      </w:r>
      <w:r w:rsidR="009D4DC5" w:rsidRPr="00AE07CE">
        <w:rPr>
          <w:rFonts w:asciiTheme="minorHAnsi" w:eastAsiaTheme="minorHAnsi" w:hAnsiTheme="minorHAnsi" w:cstheme="minorBidi"/>
          <w:snapToGrid/>
          <w:sz w:val="24"/>
          <w:szCs w:val="22"/>
        </w:rPr>
        <w:t>re</w:t>
      </w:r>
      <w:r w:rsidRPr="00AE07CE">
        <w:rPr>
          <w:rFonts w:asciiTheme="minorHAnsi" w:eastAsiaTheme="minorHAnsi" w:hAnsiTheme="minorHAnsi" w:cstheme="minorBidi"/>
          <w:snapToGrid/>
          <w:sz w:val="24"/>
          <w:szCs w:val="22"/>
        </w:rPr>
        <w:t xml:space="preserve">submission </w:t>
      </w:r>
      <w:r w:rsidR="009B25A6" w:rsidRPr="00AE07CE">
        <w:rPr>
          <w:rFonts w:asciiTheme="minorHAnsi" w:eastAsiaTheme="minorHAnsi" w:hAnsiTheme="minorHAnsi" w:cstheme="minorBidi"/>
          <w:snapToGrid/>
          <w:sz w:val="24"/>
          <w:szCs w:val="22"/>
        </w:rPr>
        <w:t xml:space="preserve">requested listing in the same place in therapy as the previous submission (i.e. </w:t>
      </w:r>
      <w:r w:rsidRPr="00AE07CE">
        <w:rPr>
          <w:rFonts w:asciiTheme="minorHAnsi" w:eastAsiaTheme="minorHAnsi" w:hAnsiTheme="minorHAnsi" w:cstheme="minorBidi"/>
          <w:snapToGrid/>
          <w:sz w:val="24"/>
          <w:szCs w:val="22"/>
        </w:rPr>
        <w:t xml:space="preserve">in </w:t>
      </w:r>
      <w:r w:rsidR="0086255C" w:rsidRPr="00AE07CE">
        <w:rPr>
          <w:rFonts w:asciiTheme="minorHAnsi" w:eastAsiaTheme="minorHAnsi" w:hAnsiTheme="minorHAnsi" w:cstheme="minorBidi"/>
          <w:snapToGrid/>
          <w:sz w:val="24"/>
          <w:szCs w:val="22"/>
        </w:rPr>
        <w:t>patients who have progressed on</w:t>
      </w:r>
      <w:r w:rsidR="009B25A6" w:rsidRPr="00AE07CE">
        <w:rPr>
          <w:rFonts w:asciiTheme="minorHAnsi" w:eastAsiaTheme="minorHAnsi" w:hAnsiTheme="minorHAnsi" w:cstheme="minorBidi"/>
          <w:snapToGrid/>
          <w:sz w:val="24"/>
          <w:szCs w:val="22"/>
        </w:rPr>
        <w:t>,</w:t>
      </w:r>
      <w:r w:rsidR="0086255C" w:rsidRPr="00AE07CE">
        <w:rPr>
          <w:rFonts w:asciiTheme="minorHAnsi" w:eastAsiaTheme="minorHAnsi" w:hAnsiTheme="minorHAnsi" w:cstheme="minorBidi"/>
          <w:snapToGrid/>
          <w:sz w:val="24"/>
          <w:szCs w:val="22"/>
        </w:rPr>
        <w:t xml:space="preserve"> or </w:t>
      </w:r>
      <w:r w:rsidR="002C34EA" w:rsidRPr="00AE07CE">
        <w:rPr>
          <w:rFonts w:asciiTheme="minorHAnsi" w:eastAsiaTheme="minorHAnsi" w:hAnsiTheme="minorHAnsi" w:cstheme="minorBidi"/>
          <w:snapToGrid/>
          <w:sz w:val="24"/>
          <w:szCs w:val="22"/>
        </w:rPr>
        <w:t xml:space="preserve">who are </w:t>
      </w:r>
      <w:r w:rsidR="0086255C" w:rsidRPr="00AE07CE">
        <w:rPr>
          <w:rFonts w:asciiTheme="minorHAnsi" w:eastAsiaTheme="minorHAnsi" w:hAnsiTheme="minorHAnsi" w:cstheme="minorBidi"/>
          <w:snapToGrid/>
          <w:sz w:val="24"/>
          <w:szCs w:val="22"/>
        </w:rPr>
        <w:t>intolerant to</w:t>
      </w:r>
      <w:r w:rsidR="009B25A6" w:rsidRPr="00AE07CE">
        <w:rPr>
          <w:rFonts w:asciiTheme="minorHAnsi" w:eastAsiaTheme="minorHAnsi" w:hAnsiTheme="minorHAnsi" w:cstheme="minorBidi"/>
          <w:snapToGrid/>
          <w:sz w:val="24"/>
          <w:szCs w:val="22"/>
        </w:rPr>
        <w:t xml:space="preserve">, prior </w:t>
      </w:r>
      <w:proofErr w:type="spellStart"/>
      <w:r w:rsidR="009B25A6" w:rsidRPr="00AE07CE">
        <w:rPr>
          <w:rFonts w:asciiTheme="minorHAnsi" w:eastAsiaTheme="minorHAnsi" w:hAnsiTheme="minorHAnsi" w:cstheme="minorBidi"/>
          <w:snapToGrid/>
          <w:sz w:val="24"/>
          <w:szCs w:val="22"/>
        </w:rPr>
        <w:t>temozolomide</w:t>
      </w:r>
      <w:proofErr w:type="spellEnd"/>
      <w:r w:rsidR="009B25A6"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However</w:t>
      </w:r>
      <w:r w:rsidR="0086255C"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 the </w:t>
      </w:r>
      <w:r w:rsidR="0086255C" w:rsidRPr="00AE07CE">
        <w:rPr>
          <w:rFonts w:asciiTheme="minorHAnsi" w:eastAsiaTheme="minorHAnsi" w:hAnsiTheme="minorHAnsi" w:cstheme="minorBidi"/>
          <w:snapToGrid/>
          <w:sz w:val="24"/>
          <w:szCs w:val="22"/>
        </w:rPr>
        <w:t>minor re</w:t>
      </w:r>
      <w:r w:rsidRPr="00AE07CE">
        <w:rPr>
          <w:rFonts w:asciiTheme="minorHAnsi" w:eastAsiaTheme="minorHAnsi" w:hAnsiTheme="minorHAnsi" w:cstheme="minorBidi"/>
          <w:snapToGrid/>
          <w:sz w:val="24"/>
          <w:szCs w:val="22"/>
        </w:rPr>
        <w:t>submission</w:t>
      </w:r>
      <w:r w:rsidR="009D4DC5" w:rsidRPr="00AE07CE">
        <w:rPr>
          <w:rFonts w:asciiTheme="minorHAnsi" w:eastAsiaTheme="minorHAnsi" w:hAnsiTheme="minorHAnsi" w:cstheme="minorBidi"/>
          <w:snapToGrid/>
          <w:sz w:val="24"/>
          <w:szCs w:val="22"/>
        </w:rPr>
        <w:t xml:space="preserve"> s</w:t>
      </w:r>
      <w:r w:rsidR="009D4DC5" w:rsidRPr="00AE07CE">
        <w:rPr>
          <w:rFonts w:asciiTheme="minorHAnsi" w:eastAsiaTheme="minorHAnsi" w:hAnsiTheme="minorHAnsi" w:cstheme="minorBidi"/>
          <w:sz w:val="24"/>
          <w:szCs w:val="22"/>
        </w:rPr>
        <w:t>tated that current treatment options upon relapse are older chemotherap</w:t>
      </w:r>
      <w:r w:rsidR="009B25A6" w:rsidRPr="00AE07CE">
        <w:rPr>
          <w:rFonts w:asciiTheme="minorHAnsi" w:eastAsiaTheme="minorHAnsi" w:hAnsiTheme="minorHAnsi" w:cstheme="minorBidi"/>
          <w:sz w:val="24"/>
          <w:szCs w:val="22"/>
        </w:rPr>
        <w:t>ies</w:t>
      </w:r>
      <w:r w:rsidR="009D4DC5" w:rsidRPr="00AE07CE">
        <w:rPr>
          <w:rFonts w:asciiTheme="minorHAnsi" w:eastAsiaTheme="minorHAnsi" w:hAnsiTheme="minorHAnsi" w:cstheme="minorBidi"/>
          <w:sz w:val="24"/>
          <w:szCs w:val="22"/>
        </w:rPr>
        <w:t xml:space="preserve"> </w:t>
      </w:r>
      <w:r w:rsidR="009D4DC5" w:rsidRPr="00AE07CE">
        <w:rPr>
          <w:rFonts w:asciiTheme="minorHAnsi" w:eastAsiaTheme="minorHAnsi" w:hAnsiTheme="minorHAnsi" w:cstheme="minorBidi"/>
          <w:snapToGrid/>
          <w:sz w:val="24"/>
          <w:szCs w:val="22"/>
        </w:rPr>
        <w:t xml:space="preserve">such as </w:t>
      </w:r>
      <w:proofErr w:type="spellStart"/>
      <w:r w:rsidR="009D4DC5" w:rsidRPr="00AE07CE">
        <w:rPr>
          <w:rFonts w:asciiTheme="minorHAnsi" w:eastAsiaTheme="minorHAnsi" w:hAnsiTheme="minorHAnsi" w:cstheme="minorBidi"/>
          <w:snapToGrid/>
          <w:sz w:val="24"/>
          <w:szCs w:val="22"/>
        </w:rPr>
        <w:t>lomustine</w:t>
      </w:r>
      <w:proofErr w:type="spellEnd"/>
      <w:r w:rsidR="009D4DC5" w:rsidRPr="00AE07CE">
        <w:rPr>
          <w:rFonts w:asciiTheme="minorHAnsi" w:eastAsiaTheme="minorHAnsi" w:hAnsiTheme="minorHAnsi" w:cstheme="minorBidi"/>
          <w:snapToGrid/>
          <w:sz w:val="24"/>
          <w:szCs w:val="22"/>
        </w:rPr>
        <w:t xml:space="preserve"> or carboplatin, and d</w:t>
      </w:r>
      <w:r w:rsidR="009B25A6" w:rsidRPr="00AE07CE">
        <w:rPr>
          <w:rFonts w:asciiTheme="minorHAnsi" w:eastAsiaTheme="minorHAnsi" w:hAnsiTheme="minorHAnsi" w:cstheme="minorBidi"/>
          <w:snapToGrid/>
          <w:sz w:val="24"/>
          <w:szCs w:val="22"/>
        </w:rPr>
        <w:t>id</w:t>
      </w:r>
      <w:r w:rsidR="009D4DC5" w:rsidRPr="00AE07CE">
        <w:rPr>
          <w:rFonts w:asciiTheme="minorHAnsi" w:eastAsiaTheme="minorHAnsi" w:hAnsiTheme="minorHAnsi" w:cstheme="minorBidi"/>
          <w:snapToGrid/>
          <w:sz w:val="24"/>
          <w:szCs w:val="22"/>
        </w:rPr>
        <w:t xml:space="preserve"> not discuss the role of rechallenge with </w:t>
      </w:r>
      <w:proofErr w:type="spellStart"/>
      <w:r w:rsidR="009D4DC5" w:rsidRPr="00AE07CE">
        <w:rPr>
          <w:rFonts w:asciiTheme="minorHAnsi" w:eastAsiaTheme="minorHAnsi" w:hAnsiTheme="minorHAnsi" w:cstheme="minorBidi"/>
          <w:snapToGrid/>
          <w:sz w:val="24"/>
          <w:szCs w:val="22"/>
        </w:rPr>
        <w:t>temozolomide</w:t>
      </w:r>
      <w:proofErr w:type="spellEnd"/>
      <w:r w:rsidR="009D4DC5" w:rsidRPr="00AE07CE">
        <w:rPr>
          <w:rFonts w:asciiTheme="minorHAnsi" w:eastAsiaTheme="minorHAnsi" w:hAnsiTheme="minorHAnsi" w:cstheme="minorBidi"/>
          <w:snapToGrid/>
          <w:sz w:val="24"/>
          <w:szCs w:val="22"/>
        </w:rPr>
        <w:t xml:space="preserve">. </w:t>
      </w:r>
    </w:p>
    <w:p w:rsidR="00B66320" w:rsidRPr="007A086B" w:rsidRDefault="00B66320" w:rsidP="00DC7C24">
      <w:pPr>
        <w:pStyle w:val="ListParagraph"/>
        <w:numPr>
          <w:ilvl w:val="1"/>
          <w:numId w:val="5"/>
        </w:numPr>
        <w:spacing w:before="120" w:after="120"/>
        <w:ind w:left="720"/>
        <w:contextualSpacing w:val="0"/>
        <w:rPr>
          <w:rFonts w:asciiTheme="minorHAnsi" w:hAnsiTheme="minorHAnsi"/>
          <w:bCs/>
        </w:rPr>
      </w:pPr>
      <w:r w:rsidRPr="00AE07CE">
        <w:rPr>
          <w:rFonts w:asciiTheme="minorHAnsi" w:eastAsiaTheme="minorHAnsi" w:hAnsiTheme="minorHAnsi" w:cstheme="minorBidi"/>
          <w:snapToGrid/>
          <w:sz w:val="24"/>
          <w:szCs w:val="22"/>
        </w:rPr>
        <w:t xml:space="preserve">The PBAC </w:t>
      </w:r>
      <w:r w:rsidR="002C34EA" w:rsidRPr="00AE07CE">
        <w:rPr>
          <w:rFonts w:asciiTheme="minorHAnsi" w:eastAsiaTheme="minorHAnsi" w:hAnsiTheme="minorHAnsi" w:cstheme="minorBidi"/>
          <w:snapToGrid/>
          <w:sz w:val="24"/>
          <w:szCs w:val="22"/>
        </w:rPr>
        <w:t xml:space="preserve">considered </w:t>
      </w:r>
      <w:r w:rsidR="00262081" w:rsidRPr="00AE07CE">
        <w:rPr>
          <w:rFonts w:asciiTheme="minorHAnsi" w:eastAsiaTheme="minorHAnsi" w:hAnsiTheme="minorHAnsi" w:cstheme="minorBidi"/>
          <w:snapToGrid/>
          <w:sz w:val="24"/>
          <w:szCs w:val="22"/>
        </w:rPr>
        <w:t>th</w:t>
      </w:r>
      <w:r w:rsidR="002C34EA" w:rsidRPr="00AE07CE">
        <w:rPr>
          <w:rFonts w:asciiTheme="minorHAnsi" w:eastAsiaTheme="minorHAnsi" w:hAnsiTheme="minorHAnsi" w:cstheme="minorBidi"/>
          <w:snapToGrid/>
          <w:sz w:val="24"/>
          <w:szCs w:val="22"/>
        </w:rPr>
        <w:t>at</w:t>
      </w:r>
      <w:r w:rsidR="00262081" w:rsidRPr="00AE07CE">
        <w:rPr>
          <w:rFonts w:asciiTheme="minorHAnsi" w:eastAsiaTheme="minorHAnsi" w:hAnsiTheme="minorHAnsi" w:cstheme="minorBidi"/>
          <w:snapToGrid/>
          <w:sz w:val="24"/>
          <w:szCs w:val="22"/>
        </w:rPr>
        <w:t xml:space="preserve"> </w:t>
      </w:r>
      <w:r w:rsidR="002C34EA" w:rsidRPr="00AE07CE">
        <w:rPr>
          <w:rFonts w:asciiTheme="minorHAnsi" w:eastAsiaTheme="minorHAnsi" w:hAnsiTheme="minorHAnsi" w:cstheme="minorBidi"/>
          <w:snapToGrid/>
          <w:sz w:val="24"/>
          <w:szCs w:val="22"/>
        </w:rPr>
        <w:t xml:space="preserve">standard care </w:t>
      </w:r>
      <w:r w:rsidR="00063EFE" w:rsidRPr="00063EFE">
        <w:rPr>
          <w:rFonts w:asciiTheme="minorHAnsi" w:eastAsiaTheme="minorHAnsi" w:hAnsiTheme="minorHAnsi" w:cstheme="minorBidi"/>
          <w:snapToGrid/>
          <w:sz w:val="24"/>
          <w:szCs w:val="22"/>
        </w:rPr>
        <w:t xml:space="preserve">(salvage chemotherapy, best supportive care) is the </w:t>
      </w:r>
      <w:r w:rsidR="00262081" w:rsidRPr="00AE07CE">
        <w:rPr>
          <w:rFonts w:asciiTheme="minorHAnsi" w:eastAsiaTheme="minorHAnsi" w:hAnsiTheme="minorHAnsi" w:cstheme="minorBidi"/>
          <w:snapToGrid/>
          <w:sz w:val="24"/>
          <w:szCs w:val="22"/>
        </w:rPr>
        <w:t>appropriate comparator</w:t>
      </w:r>
      <w:r w:rsidR="002C34EA" w:rsidRPr="00AE07CE">
        <w:rPr>
          <w:rFonts w:asciiTheme="minorHAnsi" w:eastAsiaTheme="minorHAnsi" w:hAnsiTheme="minorHAnsi" w:cstheme="minorBidi"/>
          <w:snapToGrid/>
          <w:sz w:val="24"/>
          <w:szCs w:val="22"/>
        </w:rPr>
        <w:t>.</w:t>
      </w:r>
    </w:p>
    <w:p w:rsidR="000B558D" w:rsidRPr="00AE07CE" w:rsidRDefault="008D7A41" w:rsidP="00DC7C24">
      <w:pPr>
        <w:pStyle w:val="PBACHeading1"/>
        <w:keepNext/>
        <w:keepLines/>
        <w:spacing w:before="120" w:after="120"/>
        <w:ind w:left="709" w:hanging="709"/>
        <w:rPr>
          <w:rFonts w:asciiTheme="minorHAnsi" w:hAnsiTheme="minorHAnsi"/>
          <w:sz w:val="32"/>
          <w:szCs w:val="32"/>
        </w:rPr>
      </w:pPr>
      <w:r w:rsidRPr="00AE07CE">
        <w:rPr>
          <w:rFonts w:asciiTheme="minorHAnsi" w:hAnsiTheme="minorHAnsi"/>
          <w:sz w:val="32"/>
          <w:szCs w:val="32"/>
        </w:rPr>
        <w:t>C</w:t>
      </w:r>
      <w:r w:rsidR="00D84934" w:rsidRPr="00AE07CE">
        <w:rPr>
          <w:rFonts w:asciiTheme="minorHAnsi" w:hAnsiTheme="minorHAnsi"/>
          <w:sz w:val="32"/>
          <w:szCs w:val="32"/>
        </w:rPr>
        <w:t>onsideration of the evidence</w:t>
      </w:r>
    </w:p>
    <w:p w:rsidR="00947BDC" w:rsidRPr="00AE07CE" w:rsidRDefault="00947BDC" w:rsidP="00DC7C24">
      <w:pPr>
        <w:pStyle w:val="Heading2"/>
        <w:keepLines/>
        <w:spacing w:before="120" w:after="120"/>
        <w:rPr>
          <w:rFonts w:asciiTheme="minorHAnsi" w:eastAsiaTheme="majorEastAsia" w:hAnsiTheme="minorHAnsi" w:cstheme="majorBidi"/>
          <w:sz w:val="28"/>
          <w:szCs w:val="28"/>
          <w:lang w:eastAsia="en-US"/>
        </w:rPr>
      </w:pPr>
      <w:r w:rsidRPr="00AE07CE">
        <w:rPr>
          <w:rFonts w:asciiTheme="minorHAnsi" w:eastAsiaTheme="majorEastAsia" w:hAnsiTheme="minorHAnsi" w:cstheme="majorBidi"/>
          <w:sz w:val="28"/>
          <w:szCs w:val="28"/>
          <w:lang w:eastAsia="en-US"/>
        </w:rPr>
        <w:t>Sponsor hearing</w:t>
      </w:r>
    </w:p>
    <w:p w:rsidR="00947BDC" w:rsidRPr="00400B3F" w:rsidRDefault="00947BDC" w:rsidP="00DC7C24">
      <w:pPr>
        <w:widowControl w:val="0"/>
        <w:numPr>
          <w:ilvl w:val="1"/>
          <w:numId w:val="5"/>
        </w:numPr>
        <w:spacing w:before="120" w:after="120"/>
        <w:ind w:left="720"/>
        <w:jc w:val="both"/>
        <w:rPr>
          <w:rFonts w:asciiTheme="minorHAnsi" w:hAnsiTheme="minorHAnsi" w:cs="Arial"/>
          <w:bCs/>
          <w:snapToGrid w:val="0"/>
          <w:lang w:eastAsia="en-US"/>
        </w:rPr>
      </w:pPr>
      <w:r w:rsidRPr="00400B3F">
        <w:rPr>
          <w:rFonts w:asciiTheme="minorHAnsi" w:hAnsiTheme="minorHAnsi" w:cs="Arial"/>
          <w:bCs/>
          <w:snapToGrid w:val="0"/>
          <w:lang w:eastAsia="en-US"/>
        </w:rPr>
        <w:t>There was no hearing for this item as it was a minor submission.</w:t>
      </w:r>
    </w:p>
    <w:p w:rsidR="00947BDC" w:rsidRPr="00AE07CE" w:rsidRDefault="00947BDC" w:rsidP="00DC7C24">
      <w:pPr>
        <w:widowControl w:val="0"/>
        <w:spacing w:before="120" w:after="120"/>
        <w:jc w:val="both"/>
        <w:outlineLvl w:val="1"/>
        <w:rPr>
          <w:rFonts w:asciiTheme="minorHAnsi" w:hAnsiTheme="minorHAnsi" w:cs="Arial"/>
          <w:b/>
          <w:bCs/>
          <w:i/>
          <w:snapToGrid w:val="0"/>
          <w:sz w:val="28"/>
          <w:szCs w:val="28"/>
        </w:rPr>
      </w:pPr>
      <w:r w:rsidRPr="00AE07CE">
        <w:rPr>
          <w:rFonts w:asciiTheme="minorHAnsi" w:hAnsiTheme="minorHAnsi" w:cs="Arial"/>
          <w:b/>
          <w:bCs/>
          <w:i/>
          <w:snapToGrid w:val="0"/>
          <w:sz w:val="28"/>
          <w:szCs w:val="28"/>
        </w:rPr>
        <w:t>Consumer comments</w:t>
      </w:r>
    </w:p>
    <w:p w:rsidR="00947BDC" w:rsidRPr="00AE07CE" w:rsidRDefault="00947BDC" w:rsidP="00DC7C24">
      <w:pPr>
        <w:widowControl w:val="0"/>
        <w:numPr>
          <w:ilvl w:val="1"/>
          <w:numId w:val="5"/>
        </w:numPr>
        <w:spacing w:before="120" w:after="120"/>
        <w:ind w:left="720"/>
        <w:jc w:val="both"/>
        <w:rPr>
          <w:rFonts w:asciiTheme="minorHAnsi" w:hAnsiTheme="minorHAnsi" w:cs="Arial"/>
          <w:bCs/>
          <w:snapToGrid w:val="0"/>
        </w:rPr>
      </w:pPr>
      <w:r w:rsidRPr="00AE07CE">
        <w:rPr>
          <w:rFonts w:asciiTheme="minorHAnsi" w:hAnsiTheme="minorHAnsi" w:cs="Arial"/>
          <w:bCs/>
          <w:snapToGrid w:val="0"/>
        </w:rPr>
        <w:t>The PBAC noted and welcomed the input from individuals (</w:t>
      </w:r>
      <w:r w:rsidR="009108B1" w:rsidRPr="00AE07CE">
        <w:rPr>
          <w:rFonts w:asciiTheme="minorHAnsi" w:hAnsiTheme="minorHAnsi" w:cs="Arial"/>
          <w:bCs/>
          <w:snapToGrid w:val="0"/>
        </w:rPr>
        <w:t>783</w:t>
      </w:r>
      <w:r w:rsidRPr="00AE07CE">
        <w:rPr>
          <w:rFonts w:asciiTheme="minorHAnsi" w:hAnsiTheme="minorHAnsi" w:cs="Arial"/>
          <w:bCs/>
          <w:snapToGrid w:val="0"/>
        </w:rPr>
        <w:t>), health care professionals (</w:t>
      </w:r>
      <w:r w:rsidR="009108B1" w:rsidRPr="00AE07CE">
        <w:rPr>
          <w:rFonts w:asciiTheme="minorHAnsi" w:hAnsiTheme="minorHAnsi" w:cs="Arial"/>
          <w:bCs/>
          <w:snapToGrid w:val="0"/>
        </w:rPr>
        <w:t>27</w:t>
      </w:r>
      <w:r w:rsidRPr="00AE07CE">
        <w:rPr>
          <w:rFonts w:asciiTheme="minorHAnsi" w:hAnsiTheme="minorHAnsi" w:cs="Arial"/>
          <w:bCs/>
          <w:snapToGrid w:val="0"/>
        </w:rPr>
        <w:t>) and organisations (</w:t>
      </w:r>
      <w:r w:rsidR="009108B1" w:rsidRPr="00AE07CE">
        <w:rPr>
          <w:rFonts w:asciiTheme="minorHAnsi" w:hAnsiTheme="minorHAnsi" w:cs="Arial"/>
          <w:bCs/>
          <w:snapToGrid w:val="0"/>
        </w:rPr>
        <w:t>5</w:t>
      </w:r>
      <w:r w:rsidRPr="00AE07CE">
        <w:rPr>
          <w:rFonts w:asciiTheme="minorHAnsi" w:hAnsiTheme="minorHAnsi" w:cs="Arial"/>
          <w:bCs/>
          <w:snapToGrid w:val="0"/>
        </w:rPr>
        <w:t xml:space="preserve">) via the Consumer Comments facility on the PBS website. The comments described a range of benefits of treatment with </w:t>
      </w:r>
      <w:r w:rsidR="009108B1" w:rsidRPr="00AE07CE">
        <w:rPr>
          <w:rFonts w:asciiTheme="minorHAnsi" w:hAnsiTheme="minorHAnsi" w:cs="Arial"/>
          <w:bCs/>
          <w:snapToGrid w:val="0"/>
        </w:rPr>
        <w:t>bevacizumab</w:t>
      </w:r>
      <w:r w:rsidRPr="00AE07CE">
        <w:rPr>
          <w:rFonts w:asciiTheme="minorHAnsi" w:hAnsiTheme="minorHAnsi" w:cs="Arial"/>
          <w:bCs/>
          <w:snapToGrid w:val="0"/>
        </w:rPr>
        <w:t xml:space="preserve"> including </w:t>
      </w:r>
      <w:r w:rsidR="009108B1" w:rsidRPr="00AE07CE">
        <w:rPr>
          <w:rFonts w:asciiTheme="minorHAnsi" w:hAnsiTheme="minorHAnsi" w:cs="Arial"/>
          <w:bCs/>
          <w:snapToGrid w:val="0"/>
        </w:rPr>
        <w:t>improved quality of life</w:t>
      </w:r>
      <w:r w:rsidR="007C4147" w:rsidRPr="00AE07CE">
        <w:rPr>
          <w:rFonts w:asciiTheme="minorHAnsi" w:hAnsiTheme="minorHAnsi" w:cs="Arial"/>
          <w:bCs/>
          <w:snapToGrid w:val="0"/>
        </w:rPr>
        <w:t xml:space="preserve"> and</w:t>
      </w:r>
      <w:r w:rsidR="009108B1" w:rsidRPr="00AE07CE">
        <w:rPr>
          <w:rFonts w:asciiTheme="minorHAnsi" w:hAnsiTheme="minorHAnsi" w:cs="Arial"/>
          <w:bCs/>
          <w:snapToGrid w:val="0"/>
        </w:rPr>
        <w:t xml:space="preserve"> symptomatic improvement</w:t>
      </w:r>
      <w:r w:rsidR="007C4147" w:rsidRPr="00AE07CE">
        <w:rPr>
          <w:rFonts w:asciiTheme="minorHAnsi" w:hAnsiTheme="minorHAnsi" w:cs="Arial"/>
          <w:bCs/>
          <w:snapToGrid w:val="0"/>
        </w:rPr>
        <w:t>. Benefits included</w:t>
      </w:r>
      <w:r w:rsidR="009108B1" w:rsidRPr="00AE07CE">
        <w:rPr>
          <w:rFonts w:asciiTheme="minorHAnsi" w:hAnsiTheme="minorHAnsi" w:cs="Arial"/>
          <w:bCs/>
          <w:snapToGrid w:val="0"/>
        </w:rPr>
        <w:t xml:space="preserve"> improved</w:t>
      </w:r>
      <w:r w:rsidR="003325EE" w:rsidRPr="00AE07CE">
        <w:rPr>
          <w:rFonts w:asciiTheme="minorHAnsi" w:hAnsiTheme="minorHAnsi" w:cs="Arial"/>
          <w:bCs/>
          <w:snapToGrid w:val="0"/>
        </w:rPr>
        <w:t xml:space="preserve"> function and well-being, improved</w:t>
      </w:r>
      <w:r w:rsidR="009108B1" w:rsidRPr="00AE07CE">
        <w:rPr>
          <w:rFonts w:asciiTheme="minorHAnsi" w:hAnsiTheme="minorHAnsi" w:cs="Arial"/>
          <w:bCs/>
          <w:snapToGrid w:val="0"/>
        </w:rPr>
        <w:t xml:space="preserve"> </w:t>
      </w:r>
      <w:r w:rsidR="007C4147" w:rsidRPr="00AE07CE">
        <w:rPr>
          <w:rFonts w:asciiTheme="minorHAnsi" w:hAnsiTheme="minorHAnsi" w:cs="Arial"/>
          <w:bCs/>
          <w:snapToGrid w:val="0"/>
        </w:rPr>
        <w:t xml:space="preserve">mobility, </w:t>
      </w:r>
      <w:r w:rsidR="00895702" w:rsidRPr="00AE07CE">
        <w:rPr>
          <w:rFonts w:asciiTheme="minorHAnsi" w:hAnsiTheme="minorHAnsi" w:cs="Arial"/>
          <w:bCs/>
          <w:snapToGrid w:val="0"/>
        </w:rPr>
        <w:t xml:space="preserve">improved cognition, </w:t>
      </w:r>
      <w:r w:rsidR="007C4147" w:rsidRPr="00AE07CE">
        <w:rPr>
          <w:rFonts w:asciiTheme="minorHAnsi" w:hAnsiTheme="minorHAnsi" w:cs="Arial"/>
          <w:bCs/>
          <w:snapToGrid w:val="0"/>
        </w:rPr>
        <w:t xml:space="preserve">improved swallowing and </w:t>
      </w:r>
      <w:r w:rsidR="009108B1" w:rsidRPr="00AE07CE">
        <w:rPr>
          <w:rFonts w:asciiTheme="minorHAnsi" w:hAnsiTheme="minorHAnsi" w:cs="Arial"/>
          <w:bCs/>
          <w:snapToGrid w:val="0"/>
        </w:rPr>
        <w:t>ability to communicate,</w:t>
      </w:r>
      <w:r w:rsidR="00501E4D" w:rsidRPr="00AE07CE">
        <w:rPr>
          <w:rFonts w:asciiTheme="minorHAnsi" w:hAnsiTheme="minorHAnsi" w:cs="Arial"/>
          <w:bCs/>
          <w:snapToGrid w:val="0"/>
        </w:rPr>
        <w:t xml:space="preserve"> decrease</w:t>
      </w:r>
      <w:r w:rsidR="009B25A6" w:rsidRPr="00AE07CE">
        <w:rPr>
          <w:rFonts w:asciiTheme="minorHAnsi" w:hAnsiTheme="minorHAnsi" w:cs="Arial"/>
          <w:bCs/>
          <w:snapToGrid w:val="0"/>
        </w:rPr>
        <w:t>d</w:t>
      </w:r>
      <w:r w:rsidR="00501E4D" w:rsidRPr="00AE07CE">
        <w:rPr>
          <w:rFonts w:asciiTheme="minorHAnsi" w:hAnsiTheme="minorHAnsi" w:cs="Arial"/>
          <w:bCs/>
          <w:snapToGrid w:val="0"/>
        </w:rPr>
        <w:t xml:space="preserve"> tumour size, </w:t>
      </w:r>
      <w:r w:rsidR="005B4AF8">
        <w:rPr>
          <w:rFonts w:asciiTheme="minorHAnsi" w:hAnsiTheme="minorHAnsi" w:cs="Arial"/>
          <w:bCs/>
          <w:snapToGrid w:val="0"/>
        </w:rPr>
        <w:t xml:space="preserve">management of </w:t>
      </w:r>
      <w:proofErr w:type="spellStart"/>
      <w:r w:rsidR="005B4AF8">
        <w:rPr>
          <w:rFonts w:asciiTheme="minorHAnsi" w:hAnsiTheme="minorHAnsi" w:cs="Arial"/>
          <w:bCs/>
          <w:snapToGrid w:val="0"/>
        </w:rPr>
        <w:t>radionecrosis</w:t>
      </w:r>
      <w:proofErr w:type="spellEnd"/>
      <w:r w:rsidR="005B4AF8">
        <w:rPr>
          <w:rFonts w:asciiTheme="minorHAnsi" w:hAnsiTheme="minorHAnsi" w:cs="Arial"/>
          <w:bCs/>
          <w:snapToGrid w:val="0"/>
        </w:rPr>
        <w:t xml:space="preserve">, </w:t>
      </w:r>
      <w:r w:rsidR="00501E4D" w:rsidRPr="00AE07CE">
        <w:rPr>
          <w:rFonts w:asciiTheme="minorHAnsi" w:hAnsiTheme="minorHAnsi" w:cs="Arial"/>
          <w:bCs/>
          <w:snapToGrid w:val="0"/>
        </w:rPr>
        <w:t>continued functioning at home</w:t>
      </w:r>
      <w:r w:rsidR="00597E9E" w:rsidRPr="00AE07CE">
        <w:rPr>
          <w:rFonts w:asciiTheme="minorHAnsi" w:hAnsiTheme="minorHAnsi" w:cs="Arial"/>
          <w:bCs/>
          <w:snapToGrid w:val="0"/>
        </w:rPr>
        <w:t xml:space="preserve"> and a</w:t>
      </w:r>
      <w:r w:rsidR="009108B1" w:rsidRPr="00AE07CE">
        <w:rPr>
          <w:rFonts w:asciiTheme="minorHAnsi" w:hAnsiTheme="minorHAnsi" w:cs="Arial"/>
          <w:bCs/>
          <w:snapToGrid w:val="0"/>
        </w:rPr>
        <w:t xml:space="preserve"> reduction in steroid dose and steroid related </w:t>
      </w:r>
      <w:r w:rsidR="00AE07CE" w:rsidRPr="00AE07CE">
        <w:rPr>
          <w:rFonts w:asciiTheme="minorHAnsi" w:hAnsiTheme="minorHAnsi" w:cs="Arial"/>
          <w:bCs/>
          <w:snapToGrid w:val="0"/>
        </w:rPr>
        <w:t>side effects</w:t>
      </w:r>
      <w:r w:rsidR="00597E9E" w:rsidRPr="00AE07CE">
        <w:rPr>
          <w:rFonts w:asciiTheme="minorHAnsi" w:hAnsiTheme="minorHAnsi" w:cs="Arial"/>
          <w:bCs/>
          <w:snapToGrid w:val="0"/>
        </w:rPr>
        <w:t>.</w:t>
      </w:r>
      <w:r w:rsidR="007C4147" w:rsidRPr="00AE07CE">
        <w:rPr>
          <w:rFonts w:asciiTheme="minorHAnsi" w:hAnsiTheme="minorHAnsi" w:cs="Arial"/>
          <w:bCs/>
          <w:snapToGrid w:val="0"/>
        </w:rPr>
        <w:t xml:space="preserve"> </w:t>
      </w:r>
      <w:r w:rsidR="00C02C9B" w:rsidRPr="00AE07CE">
        <w:rPr>
          <w:rFonts w:asciiTheme="minorHAnsi" w:hAnsiTheme="minorHAnsi" w:cs="Arial"/>
          <w:bCs/>
          <w:snapToGrid w:val="0"/>
        </w:rPr>
        <w:t>The comments described</w:t>
      </w:r>
      <w:r w:rsidR="007C4147" w:rsidRPr="00AE07CE">
        <w:rPr>
          <w:rFonts w:asciiTheme="minorHAnsi" w:hAnsiTheme="minorHAnsi" w:cs="Arial"/>
          <w:bCs/>
          <w:snapToGrid w:val="0"/>
        </w:rPr>
        <w:t xml:space="preserve"> bevacizumab </w:t>
      </w:r>
      <w:r w:rsidR="00C02C9B" w:rsidRPr="00AE07CE">
        <w:rPr>
          <w:rFonts w:asciiTheme="minorHAnsi" w:hAnsiTheme="minorHAnsi" w:cs="Arial"/>
          <w:bCs/>
          <w:snapToGrid w:val="0"/>
        </w:rPr>
        <w:t>a</w:t>
      </w:r>
      <w:r w:rsidR="007C4147" w:rsidRPr="00AE07CE">
        <w:rPr>
          <w:rFonts w:asciiTheme="minorHAnsi" w:hAnsiTheme="minorHAnsi" w:cs="Arial"/>
          <w:bCs/>
          <w:snapToGrid w:val="0"/>
        </w:rPr>
        <w:t xml:space="preserve">s generally </w:t>
      </w:r>
      <w:proofErr w:type="gramStart"/>
      <w:r w:rsidR="00C02C9B" w:rsidRPr="00AE07CE">
        <w:rPr>
          <w:rFonts w:asciiTheme="minorHAnsi" w:hAnsiTheme="minorHAnsi" w:cs="Arial"/>
          <w:bCs/>
          <w:snapToGrid w:val="0"/>
        </w:rPr>
        <w:t xml:space="preserve">being </w:t>
      </w:r>
      <w:r w:rsidR="00AE07CE" w:rsidRPr="00AE07CE">
        <w:rPr>
          <w:rFonts w:asciiTheme="minorHAnsi" w:hAnsiTheme="minorHAnsi" w:cs="Arial"/>
          <w:bCs/>
          <w:snapToGrid w:val="0"/>
        </w:rPr>
        <w:t>well tolerated</w:t>
      </w:r>
      <w:proofErr w:type="gramEnd"/>
      <w:r w:rsidR="007C4147" w:rsidRPr="00AE07CE">
        <w:rPr>
          <w:rFonts w:asciiTheme="minorHAnsi" w:hAnsiTheme="minorHAnsi" w:cs="Arial"/>
          <w:bCs/>
          <w:snapToGrid w:val="0"/>
        </w:rPr>
        <w:t>.</w:t>
      </w:r>
      <w:r w:rsidR="00597E9E" w:rsidRPr="00AE07CE">
        <w:rPr>
          <w:rFonts w:asciiTheme="minorHAnsi" w:hAnsiTheme="minorHAnsi" w:cs="Arial"/>
          <w:bCs/>
          <w:snapToGrid w:val="0"/>
        </w:rPr>
        <w:t xml:space="preserve"> The </w:t>
      </w:r>
      <w:r w:rsidR="00C02C9B" w:rsidRPr="00AE07CE">
        <w:rPr>
          <w:rFonts w:asciiTheme="minorHAnsi" w:hAnsiTheme="minorHAnsi" w:cs="Arial"/>
          <w:bCs/>
          <w:snapToGrid w:val="0"/>
        </w:rPr>
        <w:t>comments also described the social inequity and fina</w:t>
      </w:r>
      <w:r w:rsidR="00597E9E" w:rsidRPr="00AE07CE">
        <w:rPr>
          <w:rFonts w:asciiTheme="minorHAnsi" w:hAnsiTheme="minorHAnsi" w:cs="Arial"/>
          <w:bCs/>
          <w:snapToGrid w:val="0"/>
        </w:rPr>
        <w:t>ncial hardship experienced by patients a</w:t>
      </w:r>
      <w:r w:rsidR="00C02C9B" w:rsidRPr="00AE07CE">
        <w:rPr>
          <w:rFonts w:asciiTheme="minorHAnsi" w:hAnsiTheme="minorHAnsi" w:cs="Arial"/>
          <w:bCs/>
          <w:snapToGrid w:val="0"/>
        </w:rPr>
        <w:t>ccessing bevacizumab through the Patient Access Program</w:t>
      </w:r>
      <w:r w:rsidR="00597E9E" w:rsidRPr="00AE07CE">
        <w:rPr>
          <w:rFonts w:asciiTheme="minorHAnsi" w:hAnsiTheme="minorHAnsi" w:cs="Arial"/>
          <w:bCs/>
          <w:snapToGrid w:val="0"/>
        </w:rPr>
        <w:t>.</w:t>
      </w:r>
    </w:p>
    <w:p w:rsidR="00947BDC" w:rsidRPr="00AE07CE" w:rsidRDefault="00947BDC" w:rsidP="00DC7C24">
      <w:pPr>
        <w:widowControl w:val="0"/>
        <w:numPr>
          <w:ilvl w:val="1"/>
          <w:numId w:val="5"/>
        </w:numPr>
        <w:spacing w:before="120" w:after="120"/>
        <w:ind w:left="720"/>
        <w:jc w:val="both"/>
        <w:rPr>
          <w:rFonts w:asciiTheme="minorHAnsi" w:hAnsiTheme="minorHAnsi" w:cs="Arial"/>
          <w:bCs/>
          <w:snapToGrid w:val="0"/>
        </w:rPr>
      </w:pPr>
      <w:r w:rsidRPr="00AE07CE">
        <w:rPr>
          <w:rFonts w:asciiTheme="minorHAnsi" w:hAnsiTheme="minorHAnsi" w:cs="Arial"/>
          <w:bCs/>
          <w:snapToGrid w:val="0"/>
        </w:rPr>
        <w:t xml:space="preserve">The PBAC noted the </w:t>
      </w:r>
      <w:r w:rsidR="00F61275" w:rsidRPr="00AE07CE">
        <w:rPr>
          <w:rFonts w:asciiTheme="minorHAnsi" w:hAnsiTheme="minorHAnsi" w:cs="Arial"/>
          <w:bCs/>
          <w:snapToGrid w:val="0"/>
        </w:rPr>
        <w:t>correspondence</w:t>
      </w:r>
      <w:r w:rsidRPr="00AE07CE">
        <w:rPr>
          <w:rFonts w:asciiTheme="minorHAnsi" w:hAnsiTheme="minorHAnsi" w:cs="Arial"/>
          <w:bCs/>
          <w:snapToGrid w:val="0"/>
        </w:rPr>
        <w:t xml:space="preserve"> received from</w:t>
      </w:r>
      <w:r w:rsidR="00597E9E" w:rsidRPr="007A086B">
        <w:rPr>
          <w:rFonts w:asciiTheme="minorHAnsi" w:hAnsiTheme="minorHAnsi" w:cs="Arial"/>
          <w:bCs/>
          <w:snapToGrid w:val="0"/>
        </w:rPr>
        <w:t xml:space="preserve"> the Cure Brain Cancer Foundation, the Brain Cancer Group, the Brain Tumour Alliance Australia, </w:t>
      </w:r>
      <w:proofErr w:type="gramStart"/>
      <w:r w:rsidR="00597E9E" w:rsidRPr="007A086B">
        <w:rPr>
          <w:rFonts w:asciiTheme="minorHAnsi" w:hAnsiTheme="minorHAnsi" w:cs="Arial"/>
          <w:bCs/>
          <w:snapToGrid w:val="0"/>
        </w:rPr>
        <w:t>the</w:t>
      </w:r>
      <w:proofErr w:type="gramEnd"/>
      <w:r w:rsidR="00597E9E" w:rsidRPr="007A086B">
        <w:rPr>
          <w:rFonts w:asciiTheme="minorHAnsi" w:hAnsiTheme="minorHAnsi" w:cs="Arial"/>
          <w:bCs/>
          <w:snapToGrid w:val="0"/>
        </w:rPr>
        <w:t xml:space="preserve"> Co-operative Trials Group for Neuro-Oncology, the Clinical Oncology Society of Australia Neuro-oncology group</w:t>
      </w:r>
      <w:r w:rsidRPr="00AE07CE">
        <w:rPr>
          <w:rFonts w:asciiTheme="minorHAnsi" w:hAnsiTheme="minorHAnsi" w:cs="Arial"/>
          <w:bCs/>
          <w:snapToGrid w:val="0"/>
        </w:rPr>
        <w:t>. The PBAC noted that th</w:t>
      </w:r>
      <w:r w:rsidR="00285CA7" w:rsidRPr="00AE07CE">
        <w:rPr>
          <w:rFonts w:asciiTheme="minorHAnsi" w:hAnsiTheme="minorHAnsi" w:cs="Arial"/>
          <w:bCs/>
          <w:snapToGrid w:val="0"/>
        </w:rPr>
        <w:t xml:space="preserve">ese organisations were </w:t>
      </w:r>
      <w:proofErr w:type="gramStart"/>
      <w:r w:rsidR="00285CA7" w:rsidRPr="00AE07CE">
        <w:rPr>
          <w:rFonts w:asciiTheme="minorHAnsi" w:hAnsiTheme="minorHAnsi" w:cs="Arial"/>
          <w:bCs/>
          <w:snapToGrid w:val="0"/>
        </w:rPr>
        <w:t>strongly supportive</w:t>
      </w:r>
      <w:proofErr w:type="gramEnd"/>
      <w:r w:rsidR="00285CA7" w:rsidRPr="00AE07CE">
        <w:rPr>
          <w:rFonts w:asciiTheme="minorHAnsi" w:hAnsiTheme="minorHAnsi" w:cs="Arial"/>
          <w:bCs/>
          <w:snapToGrid w:val="0"/>
        </w:rPr>
        <w:t xml:space="preserve"> of PBS-listing bevacizumab in this population</w:t>
      </w:r>
      <w:r w:rsidRPr="00AE07CE">
        <w:rPr>
          <w:rFonts w:asciiTheme="minorHAnsi" w:hAnsiTheme="minorHAnsi" w:cs="Arial"/>
          <w:bCs/>
          <w:snapToGrid w:val="0"/>
        </w:rPr>
        <w:t>.</w:t>
      </w:r>
    </w:p>
    <w:p w:rsidR="00947BDC" w:rsidRPr="00AE07CE" w:rsidRDefault="00947BDC" w:rsidP="00DC7C24">
      <w:pPr>
        <w:widowControl w:val="0"/>
        <w:numPr>
          <w:ilvl w:val="1"/>
          <w:numId w:val="5"/>
        </w:numPr>
        <w:spacing w:before="120" w:after="120"/>
        <w:ind w:left="720"/>
        <w:jc w:val="both"/>
        <w:rPr>
          <w:rFonts w:asciiTheme="minorHAnsi" w:hAnsiTheme="minorHAnsi" w:cs="Arial"/>
          <w:bCs/>
          <w:snapToGrid w:val="0"/>
        </w:rPr>
      </w:pPr>
      <w:r w:rsidRPr="00AE07CE">
        <w:rPr>
          <w:rFonts w:asciiTheme="minorHAnsi" w:hAnsiTheme="minorHAnsi" w:cs="Arial"/>
          <w:bCs/>
          <w:snapToGrid w:val="0"/>
        </w:rPr>
        <w:t xml:space="preserve">The Medical Oncology Group of Australia (MOGA) also expressed its support for the </w:t>
      </w:r>
      <w:r w:rsidR="00597E9E" w:rsidRPr="00AE07CE">
        <w:rPr>
          <w:rFonts w:asciiTheme="minorHAnsi" w:hAnsiTheme="minorHAnsi" w:cs="Arial"/>
          <w:bCs/>
          <w:snapToGrid w:val="0"/>
        </w:rPr>
        <w:t xml:space="preserve">bevacizumab </w:t>
      </w:r>
      <w:r w:rsidRPr="00AE07CE">
        <w:rPr>
          <w:rFonts w:asciiTheme="minorHAnsi" w:hAnsiTheme="minorHAnsi" w:cs="Arial"/>
          <w:bCs/>
          <w:snapToGrid w:val="0"/>
        </w:rPr>
        <w:t>submission</w:t>
      </w:r>
      <w:r w:rsidR="004F25DC" w:rsidRPr="00AE07CE">
        <w:rPr>
          <w:rFonts w:ascii="Calibri" w:hAnsi="Calibri" w:cs="Calibri"/>
          <w:color w:val="000000"/>
        </w:rPr>
        <w:t xml:space="preserve"> </w:t>
      </w:r>
      <w:r w:rsidR="004F25DC" w:rsidRPr="00400B3F">
        <w:rPr>
          <w:rFonts w:asciiTheme="minorHAnsi" w:hAnsiTheme="minorHAnsi" w:cs="Arial"/>
          <w:bCs/>
          <w:snapToGrid w:val="0"/>
        </w:rPr>
        <w:t xml:space="preserve">categorising it as </w:t>
      </w:r>
      <w:r w:rsidR="009572C1" w:rsidRPr="00400B3F">
        <w:rPr>
          <w:rFonts w:asciiTheme="minorHAnsi" w:hAnsiTheme="minorHAnsi" w:cs="Arial"/>
          <w:bCs/>
          <w:snapToGrid w:val="0"/>
        </w:rPr>
        <w:t>an</w:t>
      </w:r>
      <w:r w:rsidR="004F25DC" w:rsidRPr="00AE07CE">
        <w:rPr>
          <w:rFonts w:asciiTheme="minorHAnsi" w:hAnsiTheme="minorHAnsi" w:cs="Arial"/>
          <w:bCs/>
          <w:snapToGrid w:val="0"/>
        </w:rPr>
        <w:t xml:space="preserve"> “other supported application” </w:t>
      </w:r>
      <w:r w:rsidR="00AE07CE" w:rsidRPr="00AE07CE">
        <w:rPr>
          <w:rFonts w:asciiTheme="minorHAnsi" w:hAnsiTheme="minorHAnsi" w:cs="Arial"/>
          <w:bCs/>
          <w:snapToGrid w:val="0"/>
        </w:rPr>
        <w:t>based on</w:t>
      </w:r>
      <w:r w:rsidR="004F25DC" w:rsidRPr="00AE07CE">
        <w:rPr>
          <w:rFonts w:asciiTheme="minorHAnsi" w:hAnsiTheme="minorHAnsi" w:cs="Arial"/>
          <w:bCs/>
          <w:snapToGrid w:val="0"/>
        </w:rPr>
        <w:t xml:space="preserve"> the Friedman et al</w:t>
      </w:r>
      <w:r w:rsidR="00BC7B95" w:rsidRPr="00AE07CE">
        <w:rPr>
          <w:rFonts w:asciiTheme="minorHAnsi" w:hAnsiTheme="minorHAnsi" w:cs="Arial"/>
          <w:bCs/>
          <w:snapToGrid w:val="0"/>
        </w:rPr>
        <w:t>, BELOB,</w:t>
      </w:r>
      <w:r w:rsidR="004F25DC" w:rsidRPr="00AE07CE">
        <w:rPr>
          <w:rFonts w:asciiTheme="minorHAnsi" w:hAnsiTheme="minorHAnsi" w:cs="Arial"/>
          <w:bCs/>
          <w:snapToGrid w:val="0"/>
        </w:rPr>
        <w:t xml:space="preserve"> CABERET and AVEREG trials</w:t>
      </w:r>
      <w:r w:rsidRPr="00AE07CE">
        <w:rPr>
          <w:rFonts w:asciiTheme="minorHAnsi" w:hAnsiTheme="minorHAnsi" w:cs="Arial"/>
          <w:bCs/>
          <w:snapToGrid w:val="0"/>
        </w:rPr>
        <w:t xml:space="preserve">. The PBAC noted that the MOGA presented the European Society for Medical Oncology Magnitude of Clinical Benefit Scale (ESMO-MCBS) for </w:t>
      </w:r>
      <w:r w:rsidR="00597E9E" w:rsidRPr="00AE07CE">
        <w:rPr>
          <w:rFonts w:asciiTheme="minorHAnsi" w:hAnsiTheme="minorHAnsi" w:cs="Arial"/>
          <w:bCs/>
          <w:snapToGrid w:val="0"/>
        </w:rPr>
        <w:t>bevacizumab</w:t>
      </w:r>
      <w:r w:rsidRPr="00AE07CE">
        <w:rPr>
          <w:rFonts w:asciiTheme="minorHAnsi" w:hAnsiTheme="minorHAnsi" w:cs="Arial"/>
          <w:bCs/>
          <w:snapToGrid w:val="0"/>
        </w:rPr>
        <w:t xml:space="preserve">, which was limited to </w:t>
      </w:r>
      <w:proofErr w:type="gramStart"/>
      <w:r w:rsidR="00597E9E" w:rsidRPr="00AE07CE">
        <w:rPr>
          <w:rFonts w:asciiTheme="minorHAnsi" w:hAnsiTheme="minorHAnsi" w:cs="Arial"/>
          <w:bCs/>
          <w:snapToGrid w:val="0"/>
        </w:rPr>
        <w:t>2</w:t>
      </w:r>
      <w:proofErr w:type="gramEnd"/>
      <w:r w:rsidRPr="00AE07CE">
        <w:rPr>
          <w:rFonts w:asciiTheme="minorHAnsi" w:hAnsiTheme="minorHAnsi" w:cs="Arial"/>
          <w:bCs/>
          <w:snapToGrid w:val="0"/>
        </w:rPr>
        <w:t xml:space="preserve"> (out of a </w:t>
      </w:r>
      <w:r w:rsidRPr="00AE07CE">
        <w:rPr>
          <w:rFonts w:asciiTheme="minorHAnsi" w:hAnsiTheme="minorHAnsi" w:cs="Arial"/>
          <w:bCs/>
          <w:snapToGrid w:val="0"/>
        </w:rPr>
        <w:lastRenderedPageBreak/>
        <w:t>maximum of 5, where 5 and 4 represent the grades with substantial improvement)</w:t>
      </w:r>
      <w:r w:rsidR="00597E9E" w:rsidRPr="00AE07CE">
        <w:rPr>
          <w:rStyle w:val="FootnoteReference"/>
          <w:rFonts w:asciiTheme="minorHAnsi" w:hAnsiTheme="minorHAnsi" w:cs="Arial"/>
          <w:bCs/>
          <w:snapToGrid w:val="0"/>
        </w:rPr>
        <w:footnoteReference w:id="5"/>
      </w:r>
      <w:r w:rsidR="00AE07CE">
        <w:rPr>
          <w:rFonts w:asciiTheme="minorHAnsi" w:hAnsiTheme="minorHAnsi" w:cs="Arial"/>
          <w:bCs/>
          <w:snapToGrid w:val="0"/>
        </w:rPr>
        <w:t xml:space="preserve">. </w:t>
      </w:r>
    </w:p>
    <w:p w:rsidR="00A03F9D" w:rsidRPr="00373B5B" w:rsidRDefault="00D84934" w:rsidP="00DC7C24">
      <w:pPr>
        <w:pStyle w:val="Heading2"/>
        <w:keepLines/>
        <w:spacing w:before="120" w:after="120"/>
        <w:rPr>
          <w:rFonts w:asciiTheme="minorHAnsi" w:eastAsiaTheme="majorEastAsia" w:hAnsiTheme="minorHAnsi" w:cstheme="majorBidi"/>
          <w:sz w:val="28"/>
          <w:szCs w:val="28"/>
          <w:lang w:eastAsia="en-US"/>
        </w:rPr>
      </w:pPr>
      <w:r w:rsidRPr="00AE07CE">
        <w:rPr>
          <w:rFonts w:asciiTheme="minorHAnsi" w:eastAsiaTheme="majorEastAsia" w:hAnsiTheme="minorHAnsi" w:cstheme="majorBidi"/>
          <w:sz w:val="28"/>
          <w:szCs w:val="28"/>
          <w:lang w:eastAsia="en-US"/>
        </w:rPr>
        <w:t xml:space="preserve">Clinical </w:t>
      </w:r>
      <w:r w:rsidR="00C70C8F" w:rsidRPr="00AE07CE">
        <w:rPr>
          <w:rFonts w:asciiTheme="minorHAnsi" w:eastAsiaTheme="majorEastAsia" w:hAnsiTheme="minorHAnsi" w:cstheme="majorBidi"/>
          <w:sz w:val="28"/>
          <w:szCs w:val="28"/>
          <w:lang w:eastAsia="en-US"/>
        </w:rPr>
        <w:t>evidence</w:t>
      </w:r>
    </w:p>
    <w:p w:rsidR="009572C1" w:rsidRPr="00373B5B" w:rsidRDefault="00A03F9D" w:rsidP="00DC7C24">
      <w:pPr>
        <w:widowControl w:val="0"/>
        <w:numPr>
          <w:ilvl w:val="1"/>
          <w:numId w:val="5"/>
        </w:numPr>
        <w:spacing w:before="120" w:after="120"/>
        <w:ind w:left="720"/>
        <w:jc w:val="both"/>
        <w:rPr>
          <w:rFonts w:asciiTheme="minorHAnsi" w:hAnsiTheme="minorHAnsi"/>
          <w:bCs/>
        </w:rPr>
      </w:pPr>
      <w:r w:rsidRPr="00AE07CE">
        <w:rPr>
          <w:rFonts w:asciiTheme="minorHAnsi" w:hAnsiTheme="minorHAnsi" w:cs="Arial"/>
          <w:bCs/>
          <w:snapToGrid w:val="0"/>
        </w:rPr>
        <w:t>Details of the trials presented in the submission are in the table below.</w:t>
      </w:r>
    </w:p>
    <w:p w:rsidR="00A03F9D" w:rsidRPr="00AE07CE" w:rsidRDefault="003D29B7" w:rsidP="00FE0039">
      <w:pPr>
        <w:pStyle w:val="PBACHeading1"/>
        <w:keepNext/>
        <w:keepLines/>
        <w:numPr>
          <w:ilvl w:val="0"/>
          <w:numId w:val="0"/>
        </w:numPr>
        <w:ind w:left="720" w:hanging="720"/>
        <w:outlineLvl w:val="9"/>
        <w:rPr>
          <w:rFonts w:ascii="Arial Narrow" w:hAnsi="Arial Narrow" w:cs="Times New Roman"/>
          <w:snapToGrid/>
          <w:sz w:val="20"/>
          <w:szCs w:val="24"/>
          <w:lang w:eastAsia="en-AU"/>
        </w:rPr>
      </w:pPr>
      <w:r w:rsidRPr="00AE07CE">
        <w:rPr>
          <w:rFonts w:ascii="Arial Narrow" w:hAnsi="Arial Narrow" w:cs="Times New Roman"/>
          <w:snapToGrid/>
          <w:sz w:val="20"/>
          <w:szCs w:val="24"/>
          <w:lang w:eastAsia="en-AU"/>
        </w:rPr>
        <w:t>Table 1: Trials and associated reports presented in the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resubmission"/>
      </w:tblPr>
      <w:tblGrid>
        <w:gridCol w:w="1707"/>
        <w:gridCol w:w="4774"/>
        <w:gridCol w:w="2404"/>
      </w:tblGrid>
      <w:tr w:rsidR="00A03F9D" w:rsidRPr="00AE07CE" w:rsidTr="00FB1569">
        <w:tc>
          <w:tcPr>
            <w:tcW w:w="1707" w:type="dxa"/>
          </w:tcPr>
          <w:p w:rsidR="00A03F9D" w:rsidRPr="00AE07CE" w:rsidRDefault="00A03F9D" w:rsidP="00FE0039">
            <w:pPr>
              <w:keepNext/>
              <w:keepLines/>
              <w:rPr>
                <w:rFonts w:ascii="Arial Narrow" w:hAnsi="Arial Narrow" w:cs="Arial"/>
                <w:b/>
                <w:sz w:val="20"/>
                <w:szCs w:val="20"/>
              </w:rPr>
            </w:pPr>
            <w:r w:rsidRPr="00AE07CE">
              <w:rPr>
                <w:rFonts w:ascii="Arial Narrow" w:hAnsi="Arial Narrow" w:cs="Arial"/>
                <w:b/>
                <w:sz w:val="20"/>
                <w:szCs w:val="20"/>
              </w:rPr>
              <w:t>Trial ID / First author</w:t>
            </w:r>
          </w:p>
        </w:tc>
        <w:tc>
          <w:tcPr>
            <w:tcW w:w="4774" w:type="dxa"/>
          </w:tcPr>
          <w:p w:rsidR="00A03F9D" w:rsidRPr="00AE07CE" w:rsidRDefault="00A03F9D" w:rsidP="00FE0039">
            <w:pPr>
              <w:keepNext/>
              <w:keepLines/>
              <w:rPr>
                <w:rFonts w:ascii="Arial Narrow" w:hAnsi="Arial Narrow" w:cs="Arial"/>
                <w:b/>
                <w:sz w:val="20"/>
                <w:szCs w:val="20"/>
              </w:rPr>
            </w:pPr>
            <w:r w:rsidRPr="00AE07CE">
              <w:rPr>
                <w:rFonts w:ascii="Arial Narrow" w:hAnsi="Arial Narrow" w:cs="Arial"/>
                <w:b/>
                <w:sz w:val="20"/>
                <w:szCs w:val="20"/>
              </w:rPr>
              <w:t>Protocol title / Publication title</w:t>
            </w:r>
          </w:p>
        </w:tc>
        <w:tc>
          <w:tcPr>
            <w:tcW w:w="2404" w:type="dxa"/>
          </w:tcPr>
          <w:p w:rsidR="00A03F9D" w:rsidRPr="00AE07CE" w:rsidRDefault="00A03F9D" w:rsidP="00FE0039">
            <w:pPr>
              <w:keepNext/>
              <w:keepLines/>
              <w:rPr>
                <w:rFonts w:ascii="Arial Narrow" w:hAnsi="Arial Narrow" w:cs="Arial"/>
                <w:b/>
                <w:sz w:val="20"/>
                <w:szCs w:val="20"/>
              </w:rPr>
            </w:pPr>
            <w:r w:rsidRPr="00AE07CE">
              <w:rPr>
                <w:rFonts w:ascii="Arial Narrow" w:hAnsi="Arial Narrow" w:cs="Arial"/>
                <w:b/>
                <w:sz w:val="20"/>
                <w:szCs w:val="20"/>
              </w:rPr>
              <w:t>Publication citation</w:t>
            </w:r>
          </w:p>
        </w:tc>
      </w:tr>
      <w:tr w:rsidR="00A03F9D" w:rsidRPr="00AE07CE" w:rsidTr="00FB1569">
        <w:tc>
          <w:tcPr>
            <w:tcW w:w="1707" w:type="dxa"/>
          </w:tcPr>
          <w:p w:rsidR="00A03F9D" w:rsidRPr="00AE07CE" w:rsidRDefault="00A03F9D" w:rsidP="001958BE">
            <w:pPr>
              <w:keepNext/>
              <w:keepLines/>
              <w:spacing w:after="720"/>
              <w:rPr>
                <w:rFonts w:ascii="Arial Narrow" w:hAnsi="Arial Narrow" w:cs="Arial"/>
                <w:sz w:val="20"/>
                <w:szCs w:val="20"/>
              </w:rPr>
            </w:pPr>
            <w:r w:rsidRPr="00AE07CE">
              <w:rPr>
                <w:rFonts w:ascii="Arial Narrow" w:hAnsi="Arial Narrow" w:cs="Arial"/>
                <w:sz w:val="20"/>
                <w:szCs w:val="20"/>
              </w:rPr>
              <w:t>AVF3708g</w:t>
            </w:r>
          </w:p>
          <w:p w:rsidR="00A03F9D" w:rsidRPr="00AE07CE" w:rsidRDefault="00A03F9D" w:rsidP="00FE0039">
            <w:pPr>
              <w:keepNext/>
              <w:keepLines/>
              <w:rPr>
                <w:rFonts w:ascii="Arial Narrow" w:hAnsi="Arial Narrow" w:cs="Arial"/>
                <w:sz w:val="20"/>
                <w:szCs w:val="20"/>
              </w:rPr>
            </w:pPr>
          </w:p>
          <w:p w:rsidR="00A03F9D" w:rsidRPr="00AE07CE" w:rsidRDefault="00A03F9D" w:rsidP="00FE0039">
            <w:pPr>
              <w:keepNext/>
              <w:keepLines/>
              <w:rPr>
                <w:rFonts w:ascii="Arial Narrow" w:hAnsi="Arial Narrow" w:cs="Arial"/>
                <w:sz w:val="20"/>
                <w:szCs w:val="20"/>
              </w:rPr>
            </w:pPr>
            <w:r w:rsidRPr="00AE07CE">
              <w:rPr>
                <w:rFonts w:ascii="Arial Narrow" w:hAnsi="Arial Narrow" w:cs="Arial"/>
                <w:sz w:val="20"/>
                <w:szCs w:val="20"/>
              </w:rPr>
              <w:t>Friedman et al (2009)</w:t>
            </w:r>
          </w:p>
        </w:tc>
        <w:tc>
          <w:tcPr>
            <w:tcW w:w="4774" w:type="dxa"/>
          </w:tcPr>
          <w:p w:rsidR="00A03F9D" w:rsidRPr="00AE07CE" w:rsidRDefault="00A03F9D" w:rsidP="00FE0039">
            <w:pPr>
              <w:keepNext/>
              <w:keepLines/>
              <w:rPr>
                <w:rFonts w:ascii="Arial Narrow" w:hAnsi="Arial Narrow" w:cs="Arial"/>
                <w:sz w:val="20"/>
                <w:szCs w:val="20"/>
              </w:rPr>
            </w:pPr>
            <w:r w:rsidRPr="00AE07CE">
              <w:rPr>
                <w:rFonts w:ascii="Arial Narrow" w:hAnsi="Arial Narrow" w:cs="Arial"/>
                <w:sz w:val="20"/>
                <w:szCs w:val="20"/>
              </w:rPr>
              <w:t xml:space="preserve">A Phase II, multicentre, randomized, </w:t>
            </w:r>
            <w:proofErr w:type="spellStart"/>
            <w:r w:rsidRPr="00AE07CE">
              <w:rPr>
                <w:rFonts w:ascii="Arial Narrow" w:hAnsi="Arial Narrow" w:cs="Arial"/>
                <w:sz w:val="20"/>
                <w:szCs w:val="20"/>
              </w:rPr>
              <w:t>noncomparative</w:t>
            </w:r>
            <w:proofErr w:type="spellEnd"/>
            <w:r w:rsidRPr="00AE07CE">
              <w:rPr>
                <w:rFonts w:ascii="Arial Narrow" w:hAnsi="Arial Narrow" w:cs="Arial"/>
                <w:sz w:val="20"/>
                <w:szCs w:val="20"/>
              </w:rPr>
              <w:t xml:space="preserve"> clinical trial to evaluate the efficacy and safety of bevacizumab alone or in combination with </w:t>
            </w:r>
            <w:proofErr w:type="spellStart"/>
            <w:r w:rsidRPr="00AE07CE">
              <w:rPr>
                <w:rFonts w:ascii="Arial Narrow" w:hAnsi="Arial Narrow" w:cs="Arial"/>
                <w:sz w:val="20"/>
                <w:szCs w:val="20"/>
              </w:rPr>
              <w:t>irinotecan</w:t>
            </w:r>
            <w:proofErr w:type="spellEnd"/>
            <w:r w:rsidRPr="00AE07CE">
              <w:rPr>
                <w:rFonts w:ascii="Arial Narrow" w:hAnsi="Arial Narrow" w:cs="Arial"/>
                <w:sz w:val="20"/>
                <w:szCs w:val="20"/>
              </w:rPr>
              <w:t xml:space="preserve"> for the treatment of glioblastoma </w:t>
            </w:r>
            <w:proofErr w:type="spellStart"/>
            <w:r w:rsidRPr="00AE07CE">
              <w:rPr>
                <w:rFonts w:ascii="Arial Narrow" w:hAnsi="Arial Narrow" w:cs="Arial"/>
                <w:sz w:val="20"/>
                <w:szCs w:val="20"/>
              </w:rPr>
              <w:t>multiforme</w:t>
            </w:r>
            <w:proofErr w:type="spellEnd"/>
            <w:r w:rsidRPr="00AE07CE">
              <w:rPr>
                <w:rFonts w:ascii="Arial Narrow" w:hAnsi="Arial Narrow" w:cs="Arial"/>
                <w:sz w:val="20"/>
                <w:szCs w:val="20"/>
              </w:rPr>
              <w:t xml:space="preserve"> in first and second relapse</w:t>
            </w:r>
            <w:r w:rsidR="00AE07CE">
              <w:rPr>
                <w:rFonts w:ascii="Arial Narrow" w:hAnsi="Arial Narrow" w:cs="Arial"/>
                <w:sz w:val="20"/>
                <w:szCs w:val="20"/>
              </w:rPr>
              <w:t xml:space="preserve">. </w:t>
            </w:r>
            <w:r w:rsidRPr="00AE07CE">
              <w:rPr>
                <w:rFonts w:ascii="Arial Narrow" w:hAnsi="Arial Narrow" w:cs="Arial"/>
                <w:sz w:val="20"/>
                <w:szCs w:val="20"/>
              </w:rPr>
              <w:t>Research Report No. CSR AVF3708g.</w:t>
            </w:r>
          </w:p>
          <w:p w:rsidR="00A03F9D" w:rsidRPr="00AE07CE" w:rsidRDefault="00A03F9D" w:rsidP="00FE0039">
            <w:pPr>
              <w:keepNext/>
              <w:keepLines/>
              <w:rPr>
                <w:rFonts w:ascii="Arial Narrow" w:hAnsi="Arial Narrow" w:cs="Arial"/>
                <w:sz w:val="20"/>
                <w:szCs w:val="20"/>
              </w:rPr>
            </w:pPr>
          </w:p>
          <w:p w:rsidR="00A03F9D" w:rsidRPr="00400B3F" w:rsidRDefault="00A03F9D" w:rsidP="00FE0039">
            <w:pPr>
              <w:keepNext/>
              <w:keepLines/>
              <w:rPr>
                <w:rFonts w:ascii="Arial Narrow" w:hAnsi="Arial Narrow" w:cs="Arial"/>
                <w:sz w:val="20"/>
                <w:szCs w:val="20"/>
              </w:rPr>
            </w:pPr>
            <w:r w:rsidRPr="00400B3F">
              <w:rPr>
                <w:rFonts w:ascii="Arial Narrow" w:hAnsi="Arial Narrow" w:cs="Arial"/>
                <w:sz w:val="20"/>
                <w:szCs w:val="20"/>
              </w:rPr>
              <w:t xml:space="preserve">Bevacizumab alone and in combination with </w:t>
            </w:r>
            <w:proofErr w:type="spellStart"/>
            <w:r w:rsidRPr="00400B3F">
              <w:rPr>
                <w:rFonts w:ascii="Arial Narrow" w:hAnsi="Arial Narrow" w:cs="Arial"/>
                <w:sz w:val="20"/>
                <w:szCs w:val="20"/>
              </w:rPr>
              <w:t>irinotecan</w:t>
            </w:r>
            <w:proofErr w:type="spellEnd"/>
            <w:r w:rsidRPr="00400B3F">
              <w:rPr>
                <w:rFonts w:ascii="Arial Narrow" w:hAnsi="Arial Narrow" w:cs="Arial"/>
                <w:sz w:val="20"/>
                <w:szCs w:val="20"/>
              </w:rPr>
              <w:t xml:space="preserve"> in recurrent glioblastoma.</w:t>
            </w:r>
          </w:p>
        </w:tc>
        <w:tc>
          <w:tcPr>
            <w:tcW w:w="2404" w:type="dxa"/>
          </w:tcPr>
          <w:p w:rsidR="00A03F9D" w:rsidRPr="00AE07CE" w:rsidRDefault="00A03F9D" w:rsidP="001958BE">
            <w:pPr>
              <w:keepNext/>
              <w:keepLines/>
              <w:spacing w:after="360"/>
              <w:rPr>
                <w:rFonts w:ascii="Arial Narrow" w:hAnsi="Arial Narrow" w:cs="Arial"/>
                <w:sz w:val="20"/>
                <w:szCs w:val="20"/>
              </w:rPr>
            </w:pPr>
            <w:r w:rsidRPr="00AE07CE">
              <w:rPr>
                <w:rFonts w:ascii="Arial Narrow" w:hAnsi="Arial Narrow" w:cs="Arial"/>
                <w:sz w:val="20"/>
                <w:szCs w:val="20"/>
              </w:rPr>
              <w:t>31 October 2008.</w:t>
            </w:r>
          </w:p>
          <w:p w:rsidR="00A03F9D" w:rsidRPr="00AE07CE" w:rsidRDefault="00A03F9D" w:rsidP="001958BE">
            <w:pPr>
              <w:keepNext/>
              <w:keepLines/>
              <w:spacing w:after="360"/>
              <w:rPr>
                <w:rFonts w:ascii="Arial Narrow" w:hAnsi="Arial Narrow" w:cs="Arial"/>
                <w:sz w:val="20"/>
                <w:szCs w:val="20"/>
              </w:rPr>
            </w:pPr>
          </w:p>
          <w:p w:rsidR="00A03F9D" w:rsidRPr="00AE07CE" w:rsidRDefault="00A03F9D" w:rsidP="00FE0039">
            <w:pPr>
              <w:keepNext/>
              <w:keepLines/>
              <w:rPr>
                <w:rFonts w:ascii="Arial Narrow" w:hAnsi="Arial Narrow" w:cs="Arial"/>
                <w:sz w:val="20"/>
                <w:szCs w:val="20"/>
              </w:rPr>
            </w:pPr>
            <w:r w:rsidRPr="00AE07CE">
              <w:rPr>
                <w:rFonts w:ascii="Arial Narrow" w:hAnsi="Arial Narrow" w:cs="Arial"/>
                <w:i/>
                <w:sz w:val="20"/>
                <w:szCs w:val="20"/>
              </w:rPr>
              <w:t xml:space="preserve">J </w:t>
            </w:r>
            <w:proofErr w:type="spellStart"/>
            <w:r w:rsidRPr="00AE07CE">
              <w:rPr>
                <w:rFonts w:ascii="Arial Narrow" w:hAnsi="Arial Narrow" w:cs="Arial"/>
                <w:i/>
                <w:sz w:val="20"/>
                <w:szCs w:val="20"/>
              </w:rPr>
              <w:t>Clin</w:t>
            </w:r>
            <w:proofErr w:type="spellEnd"/>
            <w:r w:rsidRPr="00AE07CE">
              <w:rPr>
                <w:rFonts w:ascii="Arial Narrow" w:hAnsi="Arial Narrow" w:cs="Arial"/>
                <w:i/>
                <w:sz w:val="20"/>
                <w:szCs w:val="20"/>
              </w:rPr>
              <w:t xml:space="preserve"> </w:t>
            </w:r>
            <w:proofErr w:type="spellStart"/>
            <w:r w:rsidRPr="00AE07CE">
              <w:rPr>
                <w:rFonts w:ascii="Arial Narrow" w:hAnsi="Arial Narrow" w:cs="Arial"/>
                <w:i/>
                <w:sz w:val="20"/>
                <w:szCs w:val="20"/>
              </w:rPr>
              <w:t>Oncol</w:t>
            </w:r>
            <w:proofErr w:type="spellEnd"/>
            <w:r w:rsidRPr="00AE07CE">
              <w:rPr>
                <w:rFonts w:ascii="Arial Narrow" w:hAnsi="Arial Narrow" w:cs="Arial"/>
                <w:sz w:val="20"/>
                <w:szCs w:val="20"/>
              </w:rPr>
              <w:t xml:space="preserve"> 2009; 27(28): 4733-4740</w:t>
            </w:r>
          </w:p>
        </w:tc>
      </w:tr>
      <w:tr w:rsidR="003417FD" w:rsidRPr="00AE07CE" w:rsidTr="00FB1569">
        <w:tc>
          <w:tcPr>
            <w:tcW w:w="1707" w:type="dxa"/>
          </w:tcPr>
          <w:p w:rsidR="003417FD" w:rsidRPr="00AE07CE" w:rsidRDefault="003417FD" w:rsidP="00FE0039">
            <w:pPr>
              <w:keepNext/>
              <w:keepLines/>
              <w:rPr>
                <w:rFonts w:ascii="Arial Narrow" w:hAnsi="Arial Narrow" w:cs="Arial"/>
                <w:sz w:val="20"/>
                <w:szCs w:val="20"/>
              </w:rPr>
            </w:pPr>
            <w:r w:rsidRPr="00AE07CE">
              <w:rPr>
                <w:rFonts w:ascii="Arial Narrow" w:hAnsi="Arial Narrow" w:cs="Arial"/>
                <w:sz w:val="20"/>
                <w:szCs w:val="20"/>
              </w:rPr>
              <w:t>BELOB</w:t>
            </w:r>
          </w:p>
          <w:p w:rsidR="00246AE2" w:rsidRPr="00AE07CE" w:rsidRDefault="00246AE2" w:rsidP="00FE0039">
            <w:pPr>
              <w:keepNext/>
              <w:keepLines/>
              <w:rPr>
                <w:rFonts w:ascii="Arial Narrow" w:hAnsi="Arial Narrow" w:cs="Arial"/>
                <w:sz w:val="20"/>
                <w:szCs w:val="20"/>
              </w:rPr>
            </w:pPr>
          </w:p>
          <w:p w:rsidR="00820E28" w:rsidRPr="00AE07CE" w:rsidRDefault="00820E28" w:rsidP="00FE0039">
            <w:pPr>
              <w:keepNext/>
              <w:keepLines/>
              <w:rPr>
                <w:rFonts w:ascii="Arial Narrow" w:hAnsi="Arial Narrow" w:cs="Arial"/>
                <w:sz w:val="20"/>
                <w:szCs w:val="20"/>
              </w:rPr>
            </w:pPr>
            <w:r w:rsidRPr="00AE07CE">
              <w:rPr>
                <w:rFonts w:ascii="Arial Narrow" w:hAnsi="Arial Narrow" w:cs="Arial"/>
                <w:sz w:val="20"/>
                <w:szCs w:val="20"/>
              </w:rPr>
              <w:t>Taal et al (2014)</w:t>
            </w:r>
          </w:p>
          <w:p w:rsidR="00820E28" w:rsidRPr="00AE07CE" w:rsidRDefault="00820E28" w:rsidP="00FE0039">
            <w:pPr>
              <w:keepNext/>
              <w:keepLines/>
              <w:rPr>
                <w:rFonts w:ascii="Arial Narrow" w:hAnsi="Arial Narrow" w:cs="Arial"/>
                <w:sz w:val="20"/>
                <w:szCs w:val="20"/>
              </w:rPr>
            </w:pPr>
          </w:p>
        </w:tc>
        <w:tc>
          <w:tcPr>
            <w:tcW w:w="4774" w:type="dxa"/>
          </w:tcPr>
          <w:p w:rsidR="003417FD" w:rsidRPr="00AE07CE" w:rsidRDefault="00820E28" w:rsidP="00FE0039">
            <w:pPr>
              <w:keepNext/>
              <w:keepLines/>
              <w:rPr>
                <w:rFonts w:ascii="Arial Narrow" w:hAnsi="Arial Narrow" w:cs="Arial"/>
                <w:sz w:val="20"/>
                <w:szCs w:val="20"/>
              </w:rPr>
            </w:pPr>
            <w:r w:rsidRPr="00AE07CE">
              <w:rPr>
                <w:rFonts w:ascii="Arial Narrow" w:hAnsi="Arial Narrow" w:cs="Arial"/>
                <w:sz w:val="20"/>
                <w:szCs w:val="20"/>
              </w:rPr>
              <w:t xml:space="preserve">Single-agent bevacizumab or </w:t>
            </w:r>
            <w:proofErr w:type="spellStart"/>
            <w:r w:rsidRPr="00AE07CE">
              <w:rPr>
                <w:rFonts w:ascii="Arial Narrow" w:hAnsi="Arial Narrow" w:cs="Arial"/>
                <w:sz w:val="20"/>
                <w:szCs w:val="20"/>
              </w:rPr>
              <w:t>lomustine</w:t>
            </w:r>
            <w:proofErr w:type="spellEnd"/>
            <w:r w:rsidRPr="00AE07CE">
              <w:rPr>
                <w:rFonts w:ascii="Arial Narrow" w:hAnsi="Arial Narrow" w:cs="Arial"/>
                <w:sz w:val="20"/>
                <w:szCs w:val="20"/>
              </w:rPr>
              <w:t xml:space="preserve"> versus a combination of bevacizumab plus </w:t>
            </w:r>
            <w:proofErr w:type="spellStart"/>
            <w:r w:rsidRPr="00AE07CE">
              <w:rPr>
                <w:rFonts w:ascii="Arial Narrow" w:hAnsi="Arial Narrow" w:cs="Arial"/>
                <w:sz w:val="20"/>
                <w:szCs w:val="20"/>
              </w:rPr>
              <w:t>lomustine</w:t>
            </w:r>
            <w:proofErr w:type="spellEnd"/>
            <w:r w:rsidRPr="00AE07CE">
              <w:rPr>
                <w:rFonts w:ascii="Arial Narrow" w:hAnsi="Arial Narrow" w:cs="Arial"/>
                <w:sz w:val="20"/>
                <w:szCs w:val="20"/>
              </w:rPr>
              <w:t xml:space="preserve"> in patients with recurrent glioblastoma (BELOB trial): a randomised controlled phase 2 trial</w:t>
            </w:r>
          </w:p>
        </w:tc>
        <w:tc>
          <w:tcPr>
            <w:tcW w:w="2404" w:type="dxa"/>
          </w:tcPr>
          <w:p w:rsidR="003417FD" w:rsidRPr="00AE07CE" w:rsidRDefault="008B6CE4" w:rsidP="00FE0039">
            <w:pPr>
              <w:keepNext/>
              <w:keepLines/>
              <w:rPr>
                <w:rFonts w:ascii="Arial Narrow" w:hAnsi="Arial Narrow" w:cs="Arial"/>
                <w:sz w:val="20"/>
                <w:szCs w:val="20"/>
              </w:rPr>
            </w:pPr>
            <w:r w:rsidRPr="00AE07CE">
              <w:rPr>
                <w:rFonts w:ascii="Arial Narrow" w:hAnsi="Arial Narrow" w:cs="Arial"/>
                <w:i/>
                <w:sz w:val="20"/>
                <w:szCs w:val="20"/>
              </w:rPr>
              <w:t xml:space="preserve">Lancet </w:t>
            </w:r>
            <w:proofErr w:type="spellStart"/>
            <w:r w:rsidRPr="00AE07CE">
              <w:rPr>
                <w:rFonts w:ascii="Arial Narrow" w:hAnsi="Arial Narrow" w:cs="Arial"/>
                <w:i/>
                <w:sz w:val="20"/>
                <w:szCs w:val="20"/>
              </w:rPr>
              <w:t>Oncol</w:t>
            </w:r>
            <w:proofErr w:type="spellEnd"/>
            <w:r w:rsidRPr="00AE07CE">
              <w:rPr>
                <w:rFonts w:ascii="Arial Narrow" w:hAnsi="Arial Narrow" w:cs="Arial"/>
                <w:i/>
                <w:sz w:val="20"/>
                <w:szCs w:val="20"/>
              </w:rPr>
              <w:t xml:space="preserve"> 2014; 15: 943–53</w:t>
            </w:r>
          </w:p>
        </w:tc>
        <w:bookmarkStart w:id="0" w:name="_GoBack"/>
        <w:bookmarkEnd w:id="0"/>
      </w:tr>
      <w:tr w:rsidR="003417FD" w:rsidRPr="00AE07CE" w:rsidTr="00FB1569">
        <w:tc>
          <w:tcPr>
            <w:tcW w:w="1707" w:type="dxa"/>
          </w:tcPr>
          <w:p w:rsidR="007141A8" w:rsidRPr="00AE07CE" w:rsidRDefault="007141A8" w:rsidP="00FE0039">
            <w:pPr>
              <w:keepNext/>
              <w:keepLines/>
              <w:rPr>
                <w:rFonts w:ascii="Arial Narrow" w:hAnsi="Arial Narrow" w:cstheme="minorHAnsi"/>
                <w:sz w:val="20"/>
                <w:szCs w:val="20"/>
              </w:rPr>
            </w:pPr>
            <w:r w:rsidRPr="00AE07CE">
              <w:rPr>
                <w:rFonts w:ascii="Arial Narrow" w:hAnsi="Arial Narrow" w:cstheme="minorHAnsi"/>
                <w:sz w:val="20"/>
                <w:szCs w:val="20"/>
              </w:rPr>
              <w:t>CABARET</w:t>
            </w:r>
          </w:p>
          <w:p w:rsidR="007141A8" w:rsidRPr="00AE07CE" w:rsidRDefault="007141A8" w:rsidP="00FE0039">
            <w:pPr>
              <w:keepNext/>
              <w:keepLines/>
              <w:rPr>
                <w:rFonts w:ascii="Arial Narrow" w:hAnsi="Arial Narrow" w:cstheme="minorHAnsi"/>
                <w:sz w:val="20"/>
                <w:szCs w:val="20"/>
              </w:rPr>
            </w:pPr>
          </w:p>
          <w:p w:rsidR="003417FD" w:rsidRPr="00AE07CE" w:rsidRDefault="007141A8" w:rsidP="00FE0039">
            <w:pPr>
              <w:keepNext/>
              <w:keepLines/>
              <w:rPr>
                <w:rFonts w:ascii="Arial Narrow" w:hAnsi="Arial Narrow" w:cstheme="minorHAnsi"/>
                <w:sz w:val="20"/>
                <w:szCs w:val="20"/>
              </w:rPr>
            </w:pPr>
            <w:r w:rsidRPr="00AE07CE">
              <w:rPr>
                <w:rFonts w:ascii="Arial Narrow" w:hAnsi="Arial Narrow" w:cstheme="minorHAnsi"/>
                <w:sz w:val="20"/>
                <w:szCs w:val="20"/>
              </w:rPr>
              <w:t>F</w:t>
            </w:r>
            <w:r w:rsidR="003417FD" w:rsidRPr="00AE07CE">
              <w:rPr>
                <w:rFonts w:ascii="Arial Narrow" w:hAnsi="Arial Narrow" w:cstheme="minorHAnsi"/>
                <w:sz w:val="20"/>
                <w:szCs w:val="20"/>
              </w:rPr>
              <w:t xml:space="preserve">ield </w:t>
            </w:r>
            <w:r w:rsidRPr="00AE07CE">
              <w:rPr>
                <w:rFonts w:ascii="Arial Narrow" w:hAnsi="Arial Narrow" w:cstheme="minorHAnsi"/>
                <w:sz w:val="20"/>
                <w:szCs w:val="20"/>
              </w:rPr>
              <w:t xml:space="preserve">et al </w:t>
            </w:r>
            <w:r w:rsidR="003417FD" w:rsidRPr="00AE07CE">
              <w:rPr>
                <w:rFonts w:ascii="Arial Narrow" w:hAnsi="Arial Narrow" w:cstheme="minorHAnsi"/>
                <w:sz w:val="20"/>
                <w:szCs w:val="20"/>
              </w:rPr>
              <w:t>201</w:t>
            </w:r>
            <w:r w:rsidR="00670B02" w:rsidRPr="00AE07CE">
              <w:rPr>
                <w:rFonts w:ascii="Arial Narrow" w:hAnsi="Arial Narrow" w:cstheme="minorHAnsi"/>
                <w:sz w:val="20"/>
                <w:szCs w:val="20"/>
              </w:rPr>
              <w:t>7</w:t>
            </w:r>
          </w:p>
        </w:tc>
        <w:tc>
          <w:tcPr>
            <w:tcW w:w="4774" w:type="dxa"/>
          </w:tcPr>
          <w:p w:rsidR="003417FD" w:rsidRPr="00AE07CE" w:rsidRDefault="007141A8" w:rsidP="00FE0039">
            <w:pPr>
              <w:keepNext/>
              <w:keepLines/>
              <w:autoSpaceDE w:val="0"/>
              <w:autoSpaceDN w:val="0"/>
              <w:adjustRightInd w:val="0"/>
              <w:rPr>
                <w:rFonts w:ascii="Arial Narrow" w:hAnsi="Arial Narrow" w:cs="Arial"/>
                <w:sz w:val="20"/>
                <w:szCs w:val="20"/>
              </w:rPr>
            </w:pPr>
            <w:r w:rsidRPr="00AE07CE">
              <w:rPr>
                <w:rFonts w:ascii="Arial Narrow" w:hAnsi="Arial Narrow" w:cs="Arial"/>
                <w:sz w:val="20"/>
                <w:szCs w:val="20"/>
              </w:rPr>
              <w:t>Health-related quality of life outcomes from CABARET: a randomized phase 2 trial of carboplatin and bevacizumab in recurrent glioblastoma</w:t>
            </w:r>
          </w:p>
        </w:tc>
        <w:tc>
          <w:tcPr>
            <w:tcW w:w="2404" w:type="dxa"/>
          </w:tcPr>
          <w:p w:rsidR="003417FD" w:rsidRPr="00AE07CE" w:rsidRDefault="007141A8" w:rsidP="00FE0039">
            <w:pPr>
              <w:keepNext/>
              <w:keepLines/>
              <w:rPr>
                <w:rFonts w:ascii="Arial Narrow" w:hAnsi="Arial Narrow" w:cs="Arial"/>
                <w:sz w:val="20"/>
                <w:szCs w:val="20"/>
              </w:rPr>
            </w:pPr>
            <w:r w:rsidRPr="00AE07CE">
              <w:rPr>
                <w:rFonts w:ascii="Arial Narrow" w:hAnsi="Arial Narrow" w:cs="Arial"/>
                <w:i/>
                <w:sz w:val="20"/>
                <w:szCs w:val="20"/>
              </w:rPr>
              <w:t xml:space="preserve">J </w:t>
            </w:r>
            <w:proofErr w:type="spellStart"/>
            <w:r w:rsidRPr="00AE07CE">
              <w:rPr>
                <w:rFonts w:ascii="Arial Narrow" w:hAnsi="Arial Narrow" w:cs="Arial"/>
                <w:i/>
                <w:sz w:val="20"/>
                <w:szCs w:val="20"/>
              </w:rPr>
              <w:t>Neurooncol</w:t>
            </w:r>
            <w:proofErr w:type="spellEnd"/>
            <w:r w:rsidRPr="00AE07CE">
              <w:rPr>
                <w:rFonts w:ascii="Arial Narrow" w:hAnsi="Arial Narrow" w:cs="Arial"/>
                <w:i/>
                <w:sz w:val="20"/>
                <w:szCs w:val="20"/>
              </w:rPr>
              <w:t xml:space="preserve"> (2017) 133:623–631</w:t>
            </w:r>
          </w:p>
        </w:tc>
      </w:tr>
      <w:tr w:rsidR="003417FD" w:rsidRPr="00AE07CE" w:rsidTr="00FB1569">
        <w:tc>
          <w:tcPr>
            <w:tcW w:w="1707" w:type="dxa"/>
          </w:tcPr>
          <w:p w:rsidR="007141A8" w:rsidRPr="00AE07CE" w:rsidRDefault="007141A8" w:rsidP="00FE0039">
            <w:pPr>
              <w:keepNext/>
              <w:keepLines/>
              <w:rPr>
                <w:rFonts w:ascii="Arial Narrow" w:hAnsi="Arial Narrow" w:cstheme="minorHAnsi"/>
                <w:sz w:val="20"/>
                <w:szCs w:val="20"/>
              </w:rPr>
            </w:pPr>
            <w:r w:rsidRPr="00AE07CE">
              <w:rPr>
                <w:rFonts w:ascii="Arial Narrow" w:hAnsi="Arial Narrow" w:cstheme="minorHAnsi"/>
                <w:sz w:val="20"/>
                <w:szCs w:val="20"/>
              </w:rPr>
              <w:t>AVAREG</w:t>
            </w:r>
          </w:p>
          <w:p w:rsidR="007141A8" w:rsidRPr="00AE07CE" w:rsidRDefault="007141A8" w:rsidP="00FE0039">
            <w:pPr>
              <w:keepNext/>
              <w:keepLines/>
              <w:rPr>
                <w:rFonts w:ascii="Arial Narrow" w:hAnsi="Arial Narrow" w:cstheme="minorHAnsi"/>
                <w:sz w:val="20"/>
                <w:szCs w:val="20"/>
              </w:rPr>
            </w:pPr>
          </w:p>
          <w:p w:rsidR="003417FD" w:rsidRPr="00AE07CE" w:rsidRDefault="00FC322D" w:rsidP="00FE0039">
            <w:pPr>
              <w:keepNext/>
              <w:keepLines/>
              <w:rPr>
                <w:rFonts w:ascii="Arial Narrow" w:hAnsi="Arial Narrow" w:cstheme="minorHAnsi"/>
                <w:sz w:val="20"/>
                <w:szCs w:val="20"/>
              </w:rPr>
            </w:pPr>
            <w:proofErr w:type="spellStart"/>
            <w:r w:rsidRPr="00AE07CE">
              <w:rPr>
                <w:rFonts w:ascii="Arial Narrow" w:hAnsi="Arial Narrow" w:cstheme="minorHAnsi"/>
                <w:sz w:val="20"/>
                <w:szCs w:val="20"/>
              </w:rPr>
              <w:t>B</w:t>
            </w:r>
            <w:r w:rsidR="003417FD" w:rsidRPr="00AE07CE">
              <w:rPr>
                <w:rFonts w:ascii="Arial Narrow" w:hAnsi="Arial Narrow" w:cstheme="minorHAnsi"/>
                <w:sz w:val="20"/>
                <w:szCs w:val="20"/>
              </w:rPr>
              <w:t>randes</w:t>
            </w:r>
            <w:proofErr w:type="spellEnd"/>
            <w:r w:rsidR="00D53E83" w:rsidRPr="00AE07CE">
              <w:rPr>
                <w:rFonts w:ascii="Arial Narrow" w:hAnsi="Arial Narrow" w:cstheme="minorHAnsi"/>
                <w:sz w:val="20"/>
                <w:szCs w:val="20"/>
              </w:rPr>
              <w:t xml:space="preserve"> et al</w:t>
            </w:r>
            <w:r w:rsidR="003417FD" w:rsidRPr="00AE07CE">
              <w:rPr>
                <w:rFonts w:ascii="Arial Narrow" w:hAnsi="Arial Narrow" w:cstheme="minorHAnsi"/>
                <w:sz w:val="20"/>
                <w:szCs w:val="20"/>
              </w:rPr>
              <w:t xml:space="preserve"> 2016 </w:t>
            </w:r>
          </w:p>
        </w:tc>
        <w:tc>
          <w:tcPr>
            <w:tcW w:w="4774" w:type="dxa"/>
          </w:tcPr>
          <w:p w:rsidR="003417FD" w:rsidRPr="00AE07CE" w:rsidRDefault="007141A8" w:rsidP="00FE0039">
            <w:pPr>
              <w:keepNext/>
              <w:keepLines/>
              <w:autoSpaceDE w:val="0"/>
              <w:autoSpaceDN w:val="0"/>
              <w:adjustRightInd w:val="0"/>
              <w:rPr>
                <w:rFonts w:ascii="Arial Narrow" w:hAnsi="Arial Narrow" w:cs="Arial"/>
                <w:sz w:val="20"/>
                <w:szCs w:val="20"/>
              </w:rPr>
            </w:pPr>
            <w:r w:rsidRPr="00AE07CE">
              <w:rPr>
                <w:rFonts w:ascii="Arial Narrow" w:hAnsi="Arial Narrow" w:cs="Arial"/>
                <w:sz w:val="20"/>
                <w:szCs w:val="20"/>
              </w:rPr>
              <w:t xml:space="preserve">AVAREG: a phase 2, randomized, </w:t>
            </w:r>
            <w:proofErr w:type="spellStart"/>
            <w:r w:rsidRPr="00AE07CE">
              <w:rPr>
                <w:rFonts w:ascii="Arial Narrow" w:hAnsi="Arial Narrow" w:cs="Arial"/>
                <w:sz w:val="20"/>
                <w:szCs w:val="20"/>
              </w:rPr>
              <w:t>nonc</w:t>
            </w:r>
            <w:r w:rsidR="00D53E83" w:rsidRPr="00AE07CE">
              <w:rPr>
                <w:rFonts w:ascii="Arial Narrow" w:hAnsi="Arial Narrow" w:cs="Arial"/>
                <w:sz w:val="20"/>
                <w:szCs w:val="20"/>
              </w:rPr>
              <w:t>omparative</w:t>
            </w:r>
            <w:proofErr w:type="spellEnd"/>
            <w:r w:rsidR="00D53E83" w:rsidRPr="00AE07CE">
              <w:rPr>
                <w:rFonts w:ascii="Arial Narrow" w:hAnsi="Arial Narrow" w:cs="Arial"/>
                <w:sz w:val="20"/>
                <w:szCs w:val="20"/>
              </w:rPr>
              <w:t xml:space="preserve"> study of </w:t>
            </w:r>
            <w:proofErr w:type="spellStart"/>
            <w:r w:rsidR="00D53E83" w:rsidRPr="00AE07CE">
              <w:rPr>
                <w:rFonts w:ascii="Arial Narrow" w:hAnsi="Arial Narrow" w:cs="Arial"/>
                <w:sz w:val="20"/>
                <w:szCs w:val="20"/>
              </w:rPr>
              <w:t>fotemustine</w:t>
            </w:r>
            <w:proofErr w:type="spellEnd"/>
            <w:r w:rsidR="00D53E83" w:rsidRPr="00AE07CE">
              <w:rPr>
                <w:rFonts w:ascii="Arial Narrow" w:hAnsi="Arial Narrow" w:cs="Arial"/>
                <w:sz w:val="20"/>
                <w:szCs w:val="20"/>
              </w:rPr>
              <w:t xml:space="preserve"> </w:t>
            </w:r>
            <w:r w:rsidRPr="00AE07CE">
              <w:rPr>
                <w:rFonts w:ascii="Arial Narrow" w:hAnsi="Arial Narrow" w:cs="Arial"/>
                <w:sz w:val="20"/>
                <w:szCs w:val="20"/>
              </w:rPr>
              <w:t>or bevacizumab for patients with recurrent glioblastoma</w:t>
            </w:r>
          </w:p>
        </w:tc>
        <w:tc>
          <w:tcPr>
            <w:tcW w:w="2404" w:type="dxa"/>
          </w:tcPr>
          <w:p w:rsidR="003417FD" w:rsidRPr="00AE07CE" w:rsidRDefault="00FC322D" w:rsidP="00FE0039">
            <w:pPr>
              <w:keepNext/>
              <w:keepLines/>
              <w:rPr>
                <w:rFonts w:ascii="Arial Narrow" w:hAnsi="Arial Narrow" w:cs="Arial"/>
                <w:sz w:val="20"/>
                <w:szCs w:val="20"/>
              </w:rPr>
            </w:pPr>
            <w:r w:rsidRPr="00AE07CE">
              <w:rPr>
                <w:rFonts w:ascii="Arial Narrow" w:hAnsi="Arial Narrow" w:cs="Arial"/>
                <w:i/>
                <w:sz w:val="20"/>
                <w:szCs w:val="20"/>
              </w:rPr>
              <w:t>Neuro</w:t>
            </w:r>
            <w:r w:rsidR="00D53E83" w:rsidRPr="00AE07CE">
              <w:rPr>
                <w:rFonts w:ascii="Arial Narrow" w:hAnsi="Arial Narrow" w:cs="Arial"/>
                <w:i/>
                <w:sz w:val="20"/>
                <w:szCs w:val="20"/>
              </w:rPr>
              <w:t>-Oncology 18(9), 1304–1312, 2016</w:t>
            </w:r>
          </w:p>
        </w:tc>
      </w:tr>
      <w:tr w:rsidR="003417FD" w:rsidRPr="00AE07CE" w:rsidTr="00FB1569">
        <w:tc>
          <w:tcPr>
            <w:tcW w:w="1707" w:type="dxa"/>
          </w:tcPr>
          <w:p w:rsidR="00D53E83" w:rsidRPr="00AE07CE" w:rsidRDefault="00D53E83" w:rsidP="00DC7C24">
            <w:pPr>
              <w:keepNext/>
              <w:keepLines/>
              <w:spacing w:before="120" w:after="120"/>
              <w:rPr>
                <w:rFonts w:ascii="Arial Narrow" w:hAnsi="Arial Narrow" w:cstheme="minorHAnsi"/>
                <w:sz w:val="20"/>
                <w:szCs w:val="20"/>
              </w:rPr>
            </w:pPr>
            <w:r w:rsidRPr="00AE07CE">
              <w:rPr>
                <w:rFonts w:ascii="Arial Narrow" w:hAnsi="Arial Narrow" w:cstheme="minorHAnsi"/>
                <w:sz w:val="20"/>
                <w:szCs w:val="20"/>
              </w:rPr>
              <w:t>EORTC</w:t>
            </w:r>
          </w:p>
          <w:p w:rsidR="00D53E83" w:rsidRPr="00AE07CE" w:rsidRDefault="00D53E83" w:rsidP="00DC7C24">
            <w:pPr>
              <w:keepNext/>
              <w:keepLines/>
              <w:spacing w:before="120" w:after="120"/>
              <w:rPr>
                <w:rFonts w:ascii="Arial Narrow" w:hAnsi="Arial Narrow" w:cstheme="minorHAnsi"/>
                <w:sz w:val="20"/>
                <w:szCs w:val="20"/>
              </w:rPr>
            </w:pPr>
          </w:p>
          <w:p w:rsidR="003417FD" w:rsidRPr="00AE07CE" w:rsidRDefault="003417FD" w:rsidP="00DC7C24">
            <w:pPr>
              <w:keepNext/>
              <w:keepLines/>
              <w:spacing w:before="120" w:after="120"/>
              <w:rPr>
                <w:rFonts w:ascii="Arial Narrow" w:hAnsi="Arial Narrow" w:cstheme="minorHAnsi"/>
                <w:sz w:val="20"/>
                <w:szCs w:val="20"/>
              </w:rPr>
            </w:pPr>
            <w:r w:rsidRPr="00AE07CE">
              <w:rPr>
                <w:rFonts w:ascii="Arial Narrow" w:hAnsi="Arial Narrow" w:cstheme="minorHAnsi"/>
                <w:sz w:val="20"/>
                <w:szCs w:val="20"/>
              </w:rPr>
              <w:t xml:space="preserve">Wick 2017 </w:t>
            </w:r>
          </w:p>
        </w:tc>
        <w:tc>
          <w:tcPr>
            <w:tcW w:w="4774" w:type="dxa"/>
          </w:tcPr>
          <w:p w:rsidR="00D53E83" w:rsidRPr="00AE07CE" w:rsidRDefault="00D53E83" w:rsidP="00DC7C24">
            <w:pPr>
              <w:keepNext/>
              <w:keepLines/>
              <w:autoSpaceDE w:val="0"/>
              <w:autoSpaceDN w:val="0"/>
              <w:adjustRightInd w:val="0"/>
              <w:spacing w:before="120" w:after="120"/>
              <w:rPr>
                <w:rFonts w:ascii="Arial Narrow" w:hAnsi="Arial Narrow" w:cs="Arial"/>
                <w:sz w:val="20"/>
                <w:szCs w:val="20"/>
              </w:rPr>
            </w:pPr>
            <w:proofErr w:type="spellStart"/>
            <w:r w:rsidRPr="00AE07CE">
              <w:rPr>
                <w:rFonts w:ascii="Arial Narrow" w:hAnsi="Arial Narrow" w:cs="Arial"/>
                <w:sz w:val="20"/>
                <w:szCs w:val="20"/>
              </w:rPr>
              <w:t>Lomustine</w:t>
            </w:r>
            <w:proofErr w:type="spellEnd"/>
            <w:r w:rsidRPr="00AE07CE">
              <w:rPr>
                <w:rFonts w:ascii="Arial Narrow" w:hAnsi="Arial Narrow" w:cs="Arial"/>
                <w:sz w:val="20"/>
                <w:szCs w:val="20"/>
              </w:rPr>
              <w:t xml:space="preserve"> and Bevacizumab in Progressive</w:t>
            </w:r>
          </w:p>
          <w:p w:rsidR="003417FD" w:rsidRPr="00AE07CE" w:rsidRDefault="00D53E83" w:rsidP="00DC7C24">
            <w:pPr>
              <w:keepNext/>
              <w:keepLines/>
              <w:spacing w:before="120" w:after="120"/>
              <w:rPr>
                <w:rFonts w:ascii="Arial Narrow" w:hAnsi="Arial Narrow" w:cs="Arial"/>
                <w:sz w:val="20"/>
                <w:szCs w:val="20"/>
              </w:rPr>
            </w:pPr>
            <w:r w:rsidRPr="00AE07CE">
              <w:rPr>
                <w:rFonts w:ascii="Arial Narrow" w:hAnsi="Arial Narrow" w:cs="Arial"/>
                <w:sz w:val="20"/>
                <w:szCs w:val="20"/>
              </w:rPr>
              <w:t>Glioblastoma</w:t>
            </w:r>
          </w:p>
        </w:tc>
        <w:tc>
          <w:tcPr>
            <w:tcW w:w="2404" w:type="dxa"/>
          </w:tcPr>
          <w:p w:rsidR="003417FD" w:rsidRPr="00AE07CE" w:rsidRDefault="00D53E83" w:rsidP="00DC7C24">
            <w:pPr>
              <w:keepNext/>
              <w:keepLines/>
              <w:spacing w:before="120" w:after="120"/>
              <w:rPr>
                <w:rFonts w:ascii="Arial Narrow" w:hAnsi="Arial Narrow" w:cs="Arial"/>
                <w:sz w:val="20"/>
                <w:szCs w:val="20"/>
              </w:rPr>
            </w:pPr>
            <w:r w:rsidRPr="00AE07CE">
              <w:rPr>
                <w:rFonts w:ascii="Arial Narrow" w:hAnsi="Arial Narrow" w:cs="Arial"/>
                <w:i/>
                <w:sz w:val="20"/>
                <w:szCs w:val="20"/>
              </w:rPr>
              <w:t xml:space="preserve">N </w:t>
            </w:r>
            <w:proofErr w:type="spellStart"/>
            <w:r w:rsidRPr="00AE07CE">
              <w:rPr>
                <w:rFonts w:ascii="Arial Narrow" w:hAnsi="Arial Narrow" w:cs="Arial"/>
                <w:i/>
                <w:sz w:val="20"/>
                <w:szCs w:val="20"/>
              </w:rPr>
              <w:t>Engl</w:t>
            </w:r>
            <w:proofErr w:type="spellEnd"/>
            <w:r w:rsidRPr="00AE07CE">
              <w:rPr>
                <w:rFonts w:ascii="Arial Narrow" w:hAnsi="Arial Narrow" w:cs="Arial"/>
                <w:i/>
                <w:sz w:val="20"/>
                <w:szCs w:val="20"/>
              </w:rPr>
              <w:t xml:space="preserve"> J Med 2017</w:t>
            </w:r>
            <w:proofErr w:type="gramStart"/>
            <w:r w:rsidRPr="00AE07CE">
              <w:rPr>
                <w:rFonts w:ascii="Arial Narrow" w:hAnsi="Arial Narrow" w:cs="Arial"/>
                <w:i/>
                <w:sz w:val="20"/>
                <w:szCs w:val="20"/>
              </w:rPr>
              <w:t>;377:1954</w:t>
            </w:r>
            <w:proofErr w:type="gramEnd"/>
            <w:r w:rsidRPr="00AE07CE">
              <w:rPr>
                <w:rFonts w:ascii="Arial Narrow" w:hAnsi="Arial Narrow" w:cs="Arial"/>
                <w:i/>
                <w:sz w:val="20"/>
                <w:szCs w:val="20"/>
              </w:rPr>
              <w:t>-63.</w:t>
            </w:r>
          </w:p>
        </w:tc>
      </w:tr>
    </w:tbl>
    <w:p w:rsidR="0005601F" w:rsidRPr="00AE07CE" w:rsidRDefault="0031691A" w:rsidP="00DC7C24">
      <w:pPr>
        <w:pStyle w:val="ListParagraph"/>
        <w:widowControl/>
        <w:numPr>
          <w:ilvl w:val="1"/>
          <w:numId w:val="5"/>
        </w:numPr>
        <w:spacing w:before="120" w:after="120"/>
        <w:ind w:left="720"/>
        <w:contextualSpacing w:val="0"/>
        <w:rPr>
          <w:rFonts w:asciiTheme="minorHAnsi" w:hAnsiTheme="minorHAnsi"/>
          <w:sz w:val="24"/>
          <w:szCs w:val="24"/>
        </w:rPr>
      </w:pPr>
      <w:r w:rsidRPr="00AE07CE">
        <w:rPr>
          <w:rFonts w:asciiTheme="minorHAnsi" w:eastAsiaTheme="minorHAnsi" w:hAnsiTheme="minorHAnsi" w:cstheme="minorBidi"/>
          <w:snapToGrid/>
          <w:sz w:val="24"/>
          <w:szCs w:val="24"/>
        </w:rPr>
        <w:t xml:space="preserve">The </w:t>
      </w:r>
      <w:r w:rsidRPr="00AE07CE">
        <w:rPr>
          <w:rFonts w:asciiTheme="minorHAnsi" w:hAnsiTheme="minorHAnsi"/>
          <w:sz w:val="24"/>
          <w:szCs w:val="24"/>
        </w:rPr>
        <w:t>November</w:t>
      </w:r>
      <w:r w:rsidRPr="00AE07CE">
        <w:rPr>
          <w:rFonts w:asciiTheme="minorHAnsi" w:eastAsiaTheme="minorHAnsi" w:hAnsiTheme="minorHAnsi" w:cstheme="minorBidi"/>
          <w:snapToGrid/>
          <w:sz w:val="24"/>
          <w:szCs w:val="24"/>
        </w:rPr>
        <w:t xml:space="preserve"> 2010 PBAC submission included </w:t>
      </w:r>
      <w:r w:rsidRPr="00AE07CE">
        <w:rPr>
          <w:rFonts w:asciiTheme="minorHAnsi" w:hAnsiTheme="minorHAnsi"/>
          <w:sz w:val="24"/>
          <w:szCs w:val="24"/>
        </w:rPr>
        <w:t>single-arm data (from study AVF3708g</w:t>
      </w:r>
      <w:r w:rsidR="00523238" w:rsidRPr="00AE07CE">
        <w:rPr>
          <w:rFonts w:asciiTheme="minorHAnsi" w:hAnsiTheme="minorHAnsi"/>
          <w:sz w:val="24"/>
          <w:szCs w:val="24"/>
        </w:rPr>
        <w:t>, published as Friedman et al 2009</w:t>
      </w:r>
      <w:r w:rsidRPr="00AE07CE">
        <w:rPr>
          <w:rFonts w:asciiTheme="minorHAnsi" w:hAnsiTheme="minorHAnsi"/>
          <w:sz w:val="24"/>
          <w:szCs w:val="24"/>
        </w:rPr>
        <w:t xml:space="preserve">) which showed a median PFS of 4.2 months </w:t>
      </w:r>
      <w:r w:rsidR="00A87E96" w:rsidRPr="00AE07CE">
        <w:rPr>
          <w:rFonts w:asciiTheme="minorHAnsi" w:hAnsiTheme="minorHAnsi"/>
          <w:sz w:val="24"/>
          <w:szCs w:val="24"/>
        </w:rPr>
        <w:t xml:space="preserve">(95% CI: 2.9, 5.8 months) </w:t>
      </w:r>
      <w:r w:rsidRPr="00AE07CE">
        <w:rPr>
          <w:rFonts w:asciiTheme="minorHAnsi" w:hAnsiTheme="minorHAnsi"/>
          <w:sz w:val="24"/>
          <w:szCs w:val="24"/>
        </w:rPr>
        <w:t>and median OS of 9.3 months</w:t>
      </w:r>
      <w:r w:rsidR="00A87E96" w:rsidRPr="00AE07CE">
        <w:rPr>
          <w:rFonts w:asciiTheme="minorHAnsi" w:hAnsiTheme="minorHAnsi"/>
          <w:sz w:val="24"/>
          <w:szCs w:val="24"/>
        </w:rPr>
        <w:t xml:space="preserve"> (95% CI: 8.2, not reached)</w:t>
      </w:r>
      <w:r w:rsidRPr="00AE07CE">
        <w:rPr>
          <w:rFonts w:asciiTheme="minorHAnsi" w:hAnsiTheme="minorHAnsi"/>
          <w:sz w:val="24"/>
          <w:szCs w:val="24"/>
        </w:rPr>
        <w:t xml:space="preserve"> in patients treated with bevacizumab monotherapy (n=85). </w:t>
      </w:r>
      <w:r w:rsidR="00A87E96" w:rsidRPr="00AE07CE">
        <w:rPr>
          <w:rFonts w:asciiTheme="minorHAnsi" w:hAnsiTheme="minorHAnsi"/>
          <w:sz w:val="24"/>
          <w:szCs w:val="24"/>
        </w:rPr>
        <w:t xml:space="preserve">This was compared with data from Yung et al 2000, a randomised, multi-centre, open-label, phase II trial (n=225) of </w:t>
      </w:r>
      <w:proofErr w:type="spellStart"/>
      <w:r w:rsidR="00A87E96" w:rsidRPr="00AE07CE">
        <w:rPr>
          <w:rFonts w:asciiTheme="minorHAnsi" w:hAnsiTheme="minorHAnsi"/>
          <w:sz w:val="24"/>
          <w:szCs w:val="24"/>
        </w:rPr>
        <w:t>temozolomide</w:t>
      </w:r>
      <w:proofErr w:type="spellEnd"/>
      <w:r w:rsidR="00A87E96" w:rsidRPr="00AE07CE">
        <w:rPr>
          <w:rFonts w:asciiTheme="minorHAnsi" w:hAnsiTheme="minorHAnsi"/>
          <w:sz w:val="24"/>
          <w:szCs w:val="24"/>
        </w:rPr>
        <w:t xml:space="preserve"> versus </w:t>
      </w:r>
      <w:proofErr w:type="spellStart"/>
      <w:r w:rsidR="00A87E96" w:rsidRPr="00AE07CE">
        <w:rPr>
          <w:rFonts w:asciiTheme="minorHAnsi" w:hAnsiTheme="minorHAnsi"/>
          <w:sz w:val="24"/>
          <w:szCs w:val="24"/>
        </w:rPr>
        <w:t>procarbazine</w:t>
      </w:r>
      <w:proofErr w:type="spellEnd"/>
      <w:r w:rsidR="00A87E96" w:rsidRPr="00AE07CE">
        <w:rPr>
          <w:rFonts w:asciiTheme="minorHAnsi" w:hAnsiTheme="minorHAnsi"/>
          <w:sz w:val="24"/>
          <w:szCs w:val="24"/>
        </w:rPr>
        <w:t>. Yung et al 200</w:t>
      </w:r>
      <w:r w:rsidR="00CD6ED3" w:rsidRPr="00AE07CE">
        <w:rPr>
          <w:rFonts w:asciiTheme="minorHAnsi" w:hAnsiTheme="minorHAnsi"/>
          <w:sz w:val="24"/>
          <w:szCs w:val="24"/>
        </w:rPr>
        <w:t>0</w:t>
      </w:r>
      <w:r w:rsidR="00A87E96" w:rsidRPr="00AE07CE">
        <w:rPr>
          <w:rFonts w:asciiTheme="minorHAnsi" w:hAnsiTheme="minorHAnsi"/>
          <w:sz w:val="24"/>
          <w:szCs w:val="24"/>
        </w:rPr>
        <w:t xml:space="preserve"> showed a median PFS of 2.9 months with </w:t>
      </w:r>
      <w:proofErr w:type="spellStart"/>
      <w:r w:rsidR="00A87E96" w:rsidRPr="00AE07CE">
        <w:rPr>
          <w:rFonts w:asciiTheme="minorHAnsi" w:hAnsiTheme="minorHAnsi"/>
          <w:sz w:val="24"/>
          <w:szCs w:val="24"/>
        </w:rPr>
        <w:t>temozolomide</w:t>
      </w:r>
      <w:proofErr w:type="spellEnd"/>
      <w:r w:rsidR="00A87E96" w:rsidRPr="00AE07CE">
        <w:rPr>
          <w:rFonts w:asciiTheme="minorHAnsi" w:hAnsiTheme="minorHAnsi"/>
          <w:sz w:val="24"/>
          <w:szCs w:val="24"/>
        </w:rPr>
        <w:t xml:space="preserve"> and 1.9 months with </w:t>
      </w:r>
      <w:proofErr w:type="spellStart"/>
      <w:r w:rsidR="00A87E96" w:rsidRPr="00AE07CE">
        <w:rPr>
          <w:rFonts w:asciiTheme="minorHAnsi" w:hAnsiTheme="minorHAnsi"/>
          <w:sz w:val="24"/>
          <w:szCs w:val="24"/>
        </w:rPr>
        <w:t>procarbazine</w:t>
      </w:r>
      <w:proofErr w:type="spellEnd"/>
      <w:r w:rsidR="00A87E96" w:rsidRPr="00AE07CE">
        <w:rPr>
          <w:rFonts w:asciiTheme="minorHAnsi" w:hAnsiTheme="minorHAnsi"/>
          <w:sz w:val="24"/>
          <w:szCs w:val="24"/>
        </w:rPr>
        <w:t xml:space="preserve">. Data from AVF3708g and Yung et al 200 </w:t>
      </w:r>
      <w:proofErr w:type="gramStart"/>
      <w:r w:rsidR="00A87E96" w:rsidRPr="00AE07CE">
        <w:rPr>
          <w:rFonts w:asciiTheme="minorHAnsi" w:hAnsiTheme="minorHAnsi"/>
          <w:sz w:val="24"/>
          <w:szCs w:val="24"/>
        </w:rPr>
        <w:t>were used</w:t>
      </w:r>
      <w:proofErr w:type="gramEnd"/>
      <w:r w:rsidR="00A87E96" w:rsidRPr="00AE07CE">
        <w:rPr>
          <w:rFonts w:asciiTheme="minorHAnsi" w:hAnsiTheme="minorHAnsi"/>
          <w:sz w:val="24"/>
          <w:szCs w:val="24"/>
        </w:rPr>
        <w:t xml:space="preserve"> to inform the economic model. </w:t>
      </w:r>
    </w:p>
    <w:p w:rsidR="00523238" w:rsidRPr="00AE07CE" w:rsidRDefault="00523238" w:rsidP="009B25A6">
      <w:pPr>
        <w:keepNext/>
        <w:keepLines/>
        <w:rPr>
          <w:rFonts w:ascii="Arial Narrow" w:hAnsi="Arial Narrow"/>
          <w:b/>
          <w:sz w:val="20"/>
        </w:rPr>
      </w:pPr>
      <w:r w:rsidRPr="00AE07CE">
        <w:rPr>
          <w:rFonts w:ascii="Arial Narrow" w:hAnsi="Arial Narrow"/>
          <w:b/>
          <w:sz w:val="20"/>
        </w:rPr>
        <w:lastRenderedPageBreak/>
        <w:t xml:space="preserve">Table </w:t>
      </w:r>
      <w:r w:rsidR="003D29B7" w:rsidRPr="00AE07CE">
        <w:rPr>
          <w:rFonts w:ascii="Arial Narrow" w:hAnsi="Arial Narrow"/>
          <w:b/>
          <w:sz w:val="20"/>
        </w:rPr>
        <w:t>2</w:t>
      </w:r>
      <w:r w:rsidRPr="00AE07CE">
        <w:rPr>
          <w:rFonts w:ascii="Arial Narrow" w:hAnsi="Arial Narrow"/>
          <w:b/>
          <w:sz w:val="20"/>
        </w:rPr>
        <w:t>: Studies included</w:t>
      </w:r>
      <w:r w:rsidR="00A87E96" w:rsidRPr="00AE07CE">
        <w:rPr>
          <w:rFonts w:ascii="Arial Narrow" w:hAnsi="Arial Narrow"/>
          <w:b/>
          <w:sz w:val="20"/>
        </w:rPr>
        <w:t xml:space="preserve"> in the November 2010 submission for bevacizumab </w:t>
      </w:r>
    </w:p>
    <w:tbl>
      <w:tblPr>
        <w:tblW w:w="9493" w:type="dxa"/>
        <w:tblInd w:w="108" w:type="dxa"/>
        <w:tblLook w:val="0000" w:firstRow="0" w:lastRow="0" w:firstColumn="0" w:lastColumn="0" w:noHBand="0" w:noVBand="0"/>
        <w:tblCaption w:val="Table 2: Studies included in the November 2010 submission for bevacizumab "/>
      </w:tblPr>
      <w:tblGrid>
        <w:gridCol w:w="2200"/>
        <w:gridCol w:w="2695"/>
        <w:gridCol w:w="2409"/>
        <w:gridCol w:w="2189"/>
      </w:tblGrid>
      <w:tr w:rsidR="0005601F" w:rsidRPr="00AE07CE" w:rsidTr="00FB1569">
        <w:trPr>
          <w:trHeight w:val="160"/>
          <w:tblHeader/>
        </w:trPr>
        <w:tc>
          <w:tcPr>
            <w:tcW w:w="2200" w:type="dxa"/>
            <w:vMerge w:val="restart"/>
            <w:tcBorders>
              <w:top w:val="single" w:sz="4" w:space="0" w:color="auto"/>
              <w:left w:val="single" w:sz="4" w:space="0" w:color="auto"/>
              <w:right w:val="single" w:sz="4" w:space="0" w:color="auto"/>
            </w:tcBorders>
            <w:noWrap/>
            <w:vAlign w:val="center"/>
          </w:tcPr>
          <w:p w:rsidR="0005601F" w:rsidRPr="00AE07CE" w:rsidRDefault="0005601F" w:rsidP="009B25A6">
            <w:pPr>
              <w:keepNext/>
              <w:keepLines/>
              <w:spacing w:before="40" w:after="40"/>
              <w:jc w:val="center"/>
              <w:rPr>
                <w:rFonts w:ascii="Arial Narrow" w:hAnsi="Arial Narrow" w:cs="Arial"/>
                <w:b/>
                <w:bCs/>
                <w:sz w:val="20"/>
              </w:rPr>
            </w:pPr>
            <w:r w:rsidRPr="00AE07CE">
              <w:rPr>
                <w:rFonts w:ascii="Arial Narrow" w:hAnsi="Arial Narrow" w:cs="Arial"/>
                <w:b/>
                <w:bCs/>
                <w:sz w:val="20"/>
              </w:rPr>
              <w:t>Outcome</w:t>
            </w:r>
          </w:p>
        </w:tc>
        <w:tc>
          <w:tcPr>
            <w:tcW w:w="7293" w:type="dxa"/>
            <w:gridSpan w:val="3"/>
            <w:tcBorders>
              <w:top w:val="single" w:sz="4" w:space="0" w:color="auto"/>
              <w:left w:val="nil"/>
              <w:right w:val="single" w:sz="4" w:space="0" w:color="auto"/>
            </w:tcBorders>
            <w:vAlign w:val="center"/>
          </w:tcPr>
          <w:p w:rsidR="0005601F" w:rsidRPr="00AE07CE" w:rsidRDefault="0005601F" w:rsidP="009B25A6">
            <w:pPr>
              <w:keepNext/>
              <w:keepLines/>
              <w:spacing w:before="40" w:after="40"/>
              <w:jc w:val="center"/>
              <w:rPr>
                <w:rFonts w:ascii="Arial Narrow" w:hAnsi="Arial Narrow" w:cs="Arial"/>
                <w:b/>
                <w:bCs/>
                <w:sz w:val="20"/>
              </w:rPr>
            </w:pPr>
            <w:r w:rsidRPr="00AE07CE">
              <w:rPr>
                <w:rFonts w:ascii="Arial Narrow" w:hAnsi="Arial Narrow" w:cs="Arial"/>
                <w:b/>
                <w:bCs/>
                <w:sz w:val="20"/>
              </w:rPr>
              <w:t xml:space="preserve">Proportion of patients (n/N) and </w:t>
            </w:r>
            <w:r w:rsidRPr="00AE07CE">
              <w:rPr>
                <w:rFonts w:ascii="Arial Narrow" w:hAnsi="Arial Narrow" w:cs="Arial"/>
                <w:b/>
                <w:sz w:val="20"/>
              </w:rPr>
              <w:t>(95% or 97.5% CI)</w:t>
            </w:r>
            <w:r w:rsidRPr="00AE07CE">
              <w:rPr>
                <w:rFonts w:ascii="Arial Narrow" w:hAnsi="Arial Narrow" w:cs="Arial"/>
                <w:b/>
                <w:bCs/>
                <w:sz w:val="20"/>
              </w:rPr>
              <w:t xml:space="preserve"> </w:t>
            </w:r>
          </w:p>
        </w:tc>
      </w:tr>
      <w:tr w:rsidR="0005601F" w:rsidRPr="00AE07CE" w:rsidTr="00FB1569">
        <w:trPr>
          <w:trHeight w:val="160"/>
          <w:tblHeader/>
        </w:trPr>
        <w:tc>
          <w:tcPr>
            <w:tcW w:w="2200" w:type="dxa"/>
            <w:vMerge/>
            <w:tcBorders>
              <w:left w:val="single" w:sz="4" w:space="0" w:color="auto"/>
              <w:bottom w:val="double" w:sz="4" w:space="0" w:color="auto"/>
              <w:right w:val="single" w:sz="4" w:space="0" w:color="auto"/>
            </w:tcBorders>
            <w:noWrap/>
            <w:vAlign w:val="center"/>
          </w:tcPr>
          <w:p w:rsidR="0005601F" w:rsidRPr="00AE07CE" w:rsidRDefault="0005601F" w:rsidP="009B25A6">
            <w:pPr>
              <w:keepNext/>
              <w:keepLines/>
              <w:spacing w:before="40" w:after="40"/>
              <w:jc w:val="center"/>
              <w:rPr>
                <w:rFonts w:ascii="Arial Narrow" w:hAnsi="Arial Narrow" w:cs="Arial"/>
                <w:bCs/>
                <w:sz w:val="20"/>
              </w:rPr>
            </w:pPr>
          </w:p>
        </w:tc>
        <w:tc>
          <w:tcPr>
            <w:tcW w:w="2695" w:type="dxa"/>
            <w:tcBorders>
              <w:top w:val="single" w:sz="4" w:space="0" w:color="auto"/>
              <w:left w:val="nil"/>
              <w:bottom w:val="double" w:sz="4" w:space="0" w:color="auto"/>
              <w:right w:val="single" w:sz="4" w:space="0" w:color="auto"/>
            </w:tcBorders>
            <w:vAlign w:val="center"/>
          </w:tcPr>
          <w:p w:rsidR="0005601F" w:rsidRPr="00AE07CE" w:rsidRDefault="0005601F" w:rsidP="009B25A6">
            <w:pPr>
              <w:keepNext/>
              <w:keepLines/>
              <w:spacing w:before="40" w:after="40"/>
              <w:jc w:val="center"/>
              <w:rPr>
                <w:rFonts w:ascii="Arial Narrow" w:hAnsi="Arial Narrow" w:cs="Arial"/>
                <w:b/>
                <w:bCs/>
                <w:sz w:val="20"/>
              </w:rPr>
            </w:pPr>
            <w:r w:rsidRPr="00AE07CE">
              <w:rPr>
                <w:rFonts w:ascii="Arial Narrow" w:hAnsi="Arial Narrow" w:cs="Arial"/>
                <w:b/>
                <w:bCs/>
                <w:sz w:val="20"/>
              </w:rPr>
              <w:t>Bevacizumab studies</w:t>
            </w:r>
          </w:p>
        </w:tc>
        <w:tc>
          <w:tcPr>
            <w:tcW w:w="2409" w:type="dxa"/>
            <w:tcBorders>
              <w:top w:val="single" w:sz="4" w:space="0" w:color="auto"/>
              <w:left w:val="single" w:sz="4" w:space="0" w:color="auto"/>
              <w:bottom w:val="double" w:sz="4" w:space="0" w:color="auto"/>
              <w:right w:val="single" w:sz="4" w:space="0" w:color="auto"/>
            </w:tcBorders>
            <w:vAlign w:val="center"/>
          </w:tcPr>
          <w:p w:rsidR="0005601F" w:rsidRPr="00AE07CE" w:rsidRDefault="0005601F" w:rsidP="009B25A6">
            <w:pPr>
              <w:keepNext/>
              <w:keepLines/>
              <w:spacing w:before="40" w:after="40"/>
              <w:jc w:val="center"/>
              <w:rPr>
                <w:rFonts w:ascii="Arial Narrow" w:hAnsi="Arial Narrow" w:cs="Arial"/>
                <w:b/>
                <w:bCs/>
                <w:sz w:val="20"/>
              </w:rPr>
            </w:pPr>
            <w:proofErr w:type="spellStart"/>
            <w:r w:rsidRPr="00AE07CE">
              <w:rPr>
                <w:rFonts w:ascii="Arial Narrow" w:hAnsi="Arial Narrow" w:cs="Arial"/>
                <w:b/>
                <w:bCs/>
                <w:sz w:val="20"/>
              </w:rPr>
              <w:t>Temozolomide</w:t>
            </w:r>
            <w:proofErr w:type="spellEnd"/>
            <w:r w:rsidRPr="00AE07CE">
              <w:rPr>
                <w:rFonts w:ascii="Arial Narrow" w:hAnsi="Arial Narrow" w:cs="Arial"/>
                <w:b/>
                <w:bCs/>
                <w:sz w:val="20"/>
              </w:rPr>
              <w:t xml:space="preserve"> studies</w:t>
            </w:r>
          </w:p>
        </w:tc>
        <w:tc>
          <w:tcPr>
            <w:tcW w:w="2189" w:type="dxa"/>
            <w:tcBorders>
              <w:top w:val="single" w:sz="4" w:space="0" w:color="auto"/>
              <w:left w:val="single" w:sz="4" w:space="0" w:color="auto"/>
              <w:bottom w:val="double" w:sz="4" w:space="0" w:color="auto"/>
              <w:right w:val="single" w:sz="4" w:space="0" w:color="auto"/>
            </w:tcBorders>
            <w:vAlign w:val="center"/>
          </w:tcPr>
          <w:p w:rsidR="0005601F" w:rsidRPr="00AE07CE" w:rsidRDefault="0005601F" w:rsidP="009B25A6">
            <w:pPr>
              <w:keepNext/>
              <w:keepLines/>
              <w:spacing w:before="40" w:after="40"/>
              <w:jc w:val="center"/>
              <w:rPr>
                <w:rFonts w:ascii="Arial Narrow" w:hAnsi="Arial Narrow" w:cs="Arial"/>
                <w:b/>
                <w:bCs/>
                <w:sz w:val="20"/>
              </w:rPr>
            </w:pPr>
            <w:proofErr w:type="spellStart"/>
            <w:r w:rsidRPr="00AE07CE">
              <w:rPr>
                <w:rFonts w:ascii="Arial Narrow" w:hAnsi="Arial Narrow" w:cs="Arial"/>
                <w:b/>
                <w:bCs/>
                <w:sz w:val="20"/>
              </w:rPr>
              <w:t>Procarbazine</w:t>
            </w:r>
            <w:proofErr w:type="spellEnd"/>
            <w:r w:rsidRPr="00AE07CE">
              <w:rPr>
                <w:rFonts w:ascii="Arial Narrow" w:hAnsi="Arial Narrow" w:cs="Arial"/>
                <w:b/>
                <w:bCs/>
                <w:sz w:val="20"/>
              </w:rPr>
              <w:t xml:space="preserve"> study</w:t>
            </w:r>
          </w:p>
        </w:tc>
      </w:tr>
      <w:tr w:rsidR="0005601F" w:rsidRPr="00AE07CE" w:rsidTr="00FB1569">
        <w:trPr>
          <w:trHeight w:val="255"/>
        </w:trPr>
        <w:tc>
          <w:tcPr>
            <w:tcW w:w="2200" w:type="dxa"/>
            <w:tcBorders>
              <w:top w:val="single" w:sz="4" w:space="0" w:color="auto"/>
              <w:left w:val="single" w:sz="4" w:space="0" w:color="auto"/>
              <w:bottom w:val="nil"/>
              <w:right w:val="single" w:sz="4" w:space="0" w:color="auto"/>
            </w:tcBorders>
            <w:noWrap/>
            <w:vAlign w:val="bottom"/>
          </w:tcPr>
          <w:p w:rsidR="0005601F" w:rsidRPr="00AE07CE" w:rsidRDefault="0005601F" w:rsidP="009B25A6">
            <w:pPr>
              <w:keepNext/>
              <w:keepLines/>
              <w:rPr>
                <w:rFonts w:ascii="Arial Narrow" w:hAnsi="Arial Narrow" w:cs="Arial"/>
                <w:b/>
                <w:bCs/>
                <w:sz w:val="20"/>
              </w:rPr>
            </w:pPr>
            <w:r w:rsidRPr="00AE07CE">
              <w:rPr>
                <w:rFonts w:ascii="Arial Narrow" w:hAnsi="Arial Narrow" w:cs="Arial"/>
                <w:b/>
                <w:bCs/>
                <w:sz w:val="20"/>
              </w:rPr>
              <w:t>Median PFS (months)</w:t>
            </w:r>
          </w:p>
        </w:tc>
        <w:tc>
          <w:tcPr>
            <w:tcW w:w="2695" w:type="dxa"/>
            <w:tcBorders>
              <w:top w:val="single" w:sz="4" w:space="0" w:color="auto"/>
              <w:left w:val="nil"/>
              <w:bottom w:val="nil"/>
              <w:right w:val="single" w:sz="4" w:space="0" w:color="auto"/>
            </w:tcBorders>
          </w:tcPr>
          <w:p w:rsidR="0005601F" w:rsidRPr="00AE07CE" w:rsidRDefault="0005601F" w:rsidP="009B25A6">
            <w:pPr>
              <w:keepNext/>
              <w:keepLines/>
              <w:tabs>
                <w:tab w:val="left" w:pos="672"/>
              </w:tabs>
              <w:ind w:left="111"/>
              <w:rPr>
                <w:rFonts w:ascii="Arial Narrow" w:hAnsi="Arial Narrow" w:cs="Arial"/>
                <w:b/>
                <w:bCs/>
                <w:sz w:val="20"/>
              </w:rPr>
            </w:pPr>
          </w:p>
        </w:tc>
        <w:tc>
          <w:tcPr>
            <w:tcW w:w="2409" w:type="dxa"/>
            <w:tcBorders>
              <w:top w:val="single" w:sz="4" w:space="0" w:color="auto"/>
              <w:left w:val="single" w:sz="4" w:space="0" w:color="auto"/>
              <w:bottom w:val="nil"/>
              <w:right w:val="single" w:sz="4" w:space="0" w:color="auto"/>
            </w:tcBorders>
          </w:tcPr>
          <w:p w:rsidR="0005601F" w:rsidRPr="00AE07CE" w:rsidRDefault="0005601F" w:rsidP="009B25A6">
            <w:pPr>
              <w:keepNext/>
              <w:keepLines/>
              <w:tabs>
                <w:tab w:val="left" w:pos="703"/>
              </w:tabs>
              <w:ind w:left="136"/>
              <w:rPr>
                <w:rFonts w:ascii="Arial Narrow" w:hAnsi="Arial Narrow" w:cs="Arial"/>
                <w:b/>
                <w:sz w:val="20"/>
              </w:rPr>
            </w:pPr>
          </w:p>
        </w:tc>
        <w:tc>
          <w:tcPr>
            <w:tcW w:w="2189" w:type="dxa"/>
            <w:tcBorders>
              <w:top w:val="single" w:sz="4" w:space="0" w:color="auto"/>
              <w:left w:val="single" w:sz="4" w:space="0" w:color="auto"/>
              <w:bottom w:val="nil"/>
              <w:right w:val="single" w:sz="4" w:space="0" w:color="auto"/>
            </w:tcBorders>
          </w:tcPr>
          <w:p w:rsidR="0005601F" w:rsidRPr="00AE07CE" w:rsidRDefault="0005601F" w:rsidP="009B25A6">
            <w:pPr>
              <w:keepNext/>
              <w:keepLines/>
              <w:tabs>
                <w:tab w:val="left" w:pos="600"/>
              </w:tabs>
              <w:ind w:left="33"/>
              <w:rPr>
                <w:rFonts w:ascii="Arial Narrow" w:hAnsi="Arial Narrow" w:cs="Arial"/>
                <w:b/>
                <w:sz w:val="20"/>
              </w:rPr>
            </w:pPr>
          </w:p>
        </w:tc>
      </w:tr>
      <w:tr w:rsidR="0005601F" w:rsidRPr="00AE07CE" w:rsidTr="00FB1569">
        <w:trPr>
          <w:trHeight w:val="255"/>
        </w:trPr>
        <w:tc>
          <w:tcPr>
            <w:tcW w:w="2200" w:type="dxa"/>
            <w:tcBorders>
              <w:top w:val="nil"/>
              <w:left w:val="single" w:sz="4" w:space="0" w:color="auto"/>
              <w:bottom w:val="nil"/>
              <w:right w:val="single" w:sz="4" w:space="0" w:color="auto"/>
            </w:tcBorders>
            <w:noWrap/>
            <w:vAlign w:val="bottom"/>
          </w:tcPr>
          <w:p w:rsidR="0005601F" w:rsidRPr="00AE07CE" w:rsidRDefault="0005601F" w:rsidP="009B25A6">
            <w:pPr>
              <w:keepNext/>
              <w:keepLines/>
              <w:ind w:left="176" w:firstLineChars="2" w:firstLine="4"/>
              <w:rPr>
                <w:rFonts w:ascii="Arial Narrow" w:hAnsi="Arial Narrow" w:cs="Arial"/>
                <w:sz w:val="20"/>
              </w:rPr>
            </w:pPr>
            <w:r w:rsidRPr="00AE07CE">
              <w:rPr>
                <w:rFonts w:ascii="Arial Narrow" w:hAnsi="Arial Narrow" w:cs="Arial"/>
                <w:sz w:val="20"/>
              </w:rPr>
              <w:t>AVF3708g</w:t>
            </w:r>
            <w:r w:rsidR="00A87E96" w:rsidRPr="00AE07CE">
              <w:rPr>
                <w:rFonts w:ascii="Arial Narrow" w:hAnsi="Arial Narrow" w:cs="Arial"/>
                <w:sz w:val="20"/>
              </w:rPr>
              <w:t xml:space="preserve"> </w:t>
            </w:r>
          </w:p>
        </w:tc>
        <w:tc>
          <w:tcPr>
            <w:tcW w:w="2695" w:type="dxa"/>
            <w:tcBorders>
              <w:top w:val="nil"/>
              <w:left w:val="nil"/>
              <w:bottom w:val="nil"/>
              <w:right w:val="single" w:sz="4" w:space="0" w:color="auto"/>
            </w:tcBorders>
          </w:tcPr>
          <w:p w:rsidR="0005601F" w:rsidRPr="00AE07CE" w:rsidRDefault="0005601F" w:rsidP="009B25A6">
            <w:pPr>
              <w:keepNext/>
              <w:keepLines/>
              <w:tabs>
                <w:tab w:val="left" w:pos="672"/>
                <w:tab w:val="left" w:pos="790"/>
              </w:tabs>
              <w:ind w:left="111"/>
              <w:rPr>
                <w:rFonts w:ascii="Arial Narrow" w:hAnsi="Arial Narrow" w:cs="Arial"/>
                <w:sz w:val="20"/>
              </w:rPr>
            </w:pPr>
            <w:r w:rsidRPr="00AE07CE">
              <w:rPr>
                <w:rFonts w:ascii="Arial Narrow" w:hAnsi="Arial Narrow" w:cs="Arial"/>
                <w:sz w:val="20"/>
              </w:rPr>
              <w:t>4.2 (95% CI: 2.9, 5.8)</w:t>
            </w:r>
          </w:p>
        </w:tc>
        <w:tc>
          <w:tcPr>
            <w:tcW w:w="2409" w:type="dxa"/>
            <w:tcBorders>
              <w:top w:val="nil"/>
              <w:left w:val="single" w:sz="4" w:space="0" w:color="auto"/>
              <w:bottom w:val="nil"/>
              <w:right w:val="single" w:sz="4" w:space="0" w:color="auto"/>
            </w:tcBorders>
          </w:tcPr>
          <w:p w:rsidR="0005601F" w:rsidRPr="00AE07CE" w:rsidRDefault="0005601F" w:rsidP="009B25A6">
            <w:pPr>
              <w:keepNext/>
              <w:keepLines/>
              <w:tabs>
                <w:tab w:val="left" w:pos="703"/>
              </w:tabs>
              <w:ind w:left="136"/>
              <w:jc w:val="center"/>
              <w:rPr>
                <w:rFonts w:ascii="Arial Narrow" w:hAnsi="Arial Narrow" w:cs="Arial"/>
                <w:sz w:val="20"/>
              </w:rPr>
            </w:pPr>
            <w:r w:rsidRPr="00AE07CE">
              <w:rPr>
                <w:rFonts w:ascii="Arial Narrow" w:hAnsi="Arial Narrow" w:cs="Arial"/>
                <w:sz w:val="20"/>
              </w:rPr>
              <w:t>–</w:t>
            </w:r>
          </w:p>
        </w:tc>
        <w:tc>
          <w:tcPr>
            <w:tcW w:w="2189" w:type="dxa"/>
            <w:tcBorders>
              <w:top w:val="nil"/>
              <w:left w:val="single" w:sz="4" w:space="0" w:color="auto"/>
              <w:bottom w:val="nil"/>
              <w:right w:val="single" w:sz="4" w:space="0" w:color="auto"/>
            </w:tcBorders>
          </w:tcPr>
          <w:p w:rsidR="0005601F" w:rsidRPr="00AE07CE" w:rsidRDefault="0005601F" w:rsidP="009B25A6">
            <w:pPr>
              <w:keepNext/>
              <w:keepLines/>
              <w:tabs>
                <w:tab w:val="left" w:pos="600"/>
              </w:tabs>
              <w:ind w:left="33"/>
              <w:jc w:val="center"/>
              <w:rPr>
                <w:rFonts w:ascii="Arial Narrow" w:hAnsi="Arial Narrow" w:cs="Arial"/>
                <w:sz w:val="20"/>
              </w:rPr>
            </w:pPr>
            <w:r w:rsidRPr="00AE07CE">
              <w:rPr>
                <w:rFonts w:ascii="Arial Narrow" w:hAnsi="Arial Narrow" w:cs="Arial"/>
                <w:sz w:val="20"/>
              </w:rPr>
              <w:t>–</w:t>
            </w:r>
          </w:p>
        </w:tc>
      </w:tr>
      <w:tr w:rsidR="0005601F" w:rsidRPr="00AE07CE" w:rsidTr="00FB1569">
        <w:trPr>
          <w:trHeight w:val="295"/>
        </w:trPr>
        <w:tc>
          <w:tcPr>
            <w:tcW w:w="2200" w:type="dxa"/>
            <w:tcBorders>
              <w:top w:val="nil"/>
              <w:left w:val="single" w:sz="4" w:space="0" w:color="auto"/>
              <w:bottom w:val="nil"/>
              <w:right w:val="single" w:sz="4" w:space="0" w:color="auto"/>
            </w:tcBorders>
            <w:noWrap/>
            <w:vAlign w:val="bottom"/>
          </w:tcPr>
          <w:p w:rsidR="0005601F" w:rsidRPr="00AE07CE" w:rsidRDefault="0005601F" w:rsidP="009B25A6">
            <w:pPr>
              <w:keepNext/>
              <w:keepLines/>
              <w:ind w:left="176" w:firstLineChars="2" w:firstLine="4"/>
              <w:rPr>
                <w:rFonts w:ascii="Arial Narrow" w:hAnsi="Arial Narrow" w:cs="Arial"/>
                <w:sz w:val="20"/>
              </w:rPr>
            </w:pPr>
            <w:proofErr w:type="spellStart"/>
            <w:r w:rsidRPr="00AE07CE">
              <w:rPr>
                <w:rFonts w:ascii="Arial Narrow" w:hAnsi="Arial Narrow" w:cs="Arial"/>
                <w:sz w:val="20"/>
              </w:rPr>
              <w:t>Kreisl</w:t>
            </w:r>
            <w:proofErr w:type="spellEnd"/>
            <w:r w:rsidRPr="00AE07CE">
              <w:rPr>
                <w:rFonts w:ascii="Arial Narrow" w:hAnsi="Arial Narrow" w:cs="Arial"/>
                <w:sz w:val="20"/>
              </w:rPr>
              <w:t xml:space="preserve"> et al. 2009</w:t>
            </w:r>
          </w:p>
        </w:tc>
        <w:tc>
          <w:tcPr>
            <w:tcW w:w="2695" w:type="dxa"/>
            <w:tcBorders>
              <w:top w:val="nil"/>
              <w:left w:val="nil"/>
              <w:bottom w:val="nil"/>
              <w:right w:val="single" w:sz="4" w:space="0" w:color="auto"/>
            </w:tcBorders>
          </w:tcPr>
          <w:p w:rsidR="0005601F" w:rsidRPr="00AE07CE" w:rsidRDefault="0005601F" w:rsidP="009B25A6">
            <w:pPr>
              <w:keepNext/>
              <w:keepLines/>
              <w:tabs>
                <w:tab w:val="left" w:pos="672"/>
                <w:tab w:val="left" w:pos="790"/>
              </w:tabs>
              <w:ind w:left="111"/>
              <w:rPr>
                <w:rFonts w:ascii="Arial Narrow" w:hAnsi="Arial Narrow" w:cs="Arial"/>
                <w:sz w:val="20"/>
              </w:rPr>
            </w:pPr>
            <w:r w:rsidRPr="00AE07CE">
              <w:rPr>
                <w:rFonts w:ascii="Arial Narrow" w:hAnsi="Arial Narrow" w:cs="Arial"/>
                <w:sz w:val="20"/>
              </w:rPr>
              <w:t>3.7 (95% CI: 2.8, 6.0)</w:t>
            </w:r>
            <w:r w:rsidRPr="00AE07CE">
              <w:rPr>
                <w:rFonts w:ascii="Arial Narrow" w:hAnsi="Arial Narrow" w:cs="Arial"/>
                <w:sz w:val="20"/>
                <w:vertAlign w:val="superscript"/>
              </w:rPr>
              <w:t>a</w:t>
            </w:r>
          </w:p>
        </w:tc>
        <w:tc>
          <w:tcPr>
            <w:tcW w:w="2409" w:type="dxa"/>
            <w:tcBorders>
              <w:top w:val="nil"/>
              <w:left w:val="single" w:sz="4" w:space="0" w:color="auto"/>
              <w:bottom w:val="nil"/>
              <w:right w:val="single" w:sz="4" w:space="0" w:color="auto"/>
            </w:tcBorders>
          </w:tcPr>
          <w:p w:rsidR="0005601F" w:rsidRPr="00AE07CE" w:rsidRDefault="0005601F" w:rsidP="009B25A6">
            <w:pPr>
              <w:keepNext/>
              <w:keepLines/>
              <w:tabs>
                <w:tab w:val="left" w:pos="703"/>
              </w:tabs>
              <w:ind w:left="136"/>
              <w:jc w:val="center"/>
              <w:rPr>
                <w:rFonts w:ascii="Arial Narrow" w:hAnsi="Arial Narrow" w:cs="Arial"/>
                <w:sz w:val="20"/>
              </w:rPr>
            </w:pPr>
            <w:r w:rsidRPr="00AE07CE">
              <w:rPr>
                <w:rFonts w:ascii="Arial Narrow" w:hAnsi="Arial Narrow" w:cs="Arial"/>
                <w:sz w:val="20"/>
              </w:rPr>
              <w:t>–</w:t>
            </w:r>
          </w:p>
        </w:tc>
        <w:tc>
          <w:tcPr>
            <w:tcW w:w="2189" w:type="dxa"/>
            <w:tcBorders>
              <w:top w:val="nil"/>
              <w:left w:val="single" w:sz="4" w:space="0" w:color="auto"/>
              <w:bottom w:val="nil"/>
              <w:right w:val="single" w:sz="4" w:space="0" w:color="auto"/>
            </w:tcBorders>
          </w:tcPr>
          <w:p w:rsidR="0005601F" w:rsidRPr="00AE07CE" w:rsidRDefault="0005601F" w:rsidP="009B25A6">
            <w:pPr>
              <w:keepNext/>
              <w:keepLines/>
              <w:tabs>
                <w:tab w:val="left" w:pos="600"/>
              </w:tabs>
              <w:ind w:left="33"/>
              <w:jc w:val="center"/>
              <w:rPr>
                <w:rFonts w:ascii="Arial Narrow" w:hAnsi="Arial Narrow" w:cs="Arial"/>
                <w:sz w:val="20"/>
              </w:rPr>
            </w:pPr>
            <w:r w:rsidRPr="00AE07CE">
              <w:rPr>
                <w:rFonts w:ascii="Arial Narrow" w:hAnsi="Arial Narrow" w:cs="Arial"/>
                <w:sz w:val="20"/>
              </w:rPr>
              <w:t>–</w:t>
            </w:r>
          </w:p>
        </w:tc>
      </w:tr>
      <w:tr w:rsidR="0005601F" w:rsidRPr="00AE07CE" w:rsidTr="00FB1569">
        <w:trPr>
          <w:trHeight w:val="255"/>
        </w:trPr>
        <w:tc>
          <w:tcPr>
            <w:tcW w:w="2200" w:type="dxa"/>
            <w:tcBorders>
              <w:top w:val="nil"/>
              <w:left w:val="single" w:sz="4" w:space="0" w:color="auto"/>
              <w:right w:val="single" w:sz="4" w:space="0" w:color="auto"/>
            </w:tcBorders>
            <w:noWrap/>
            <w:vAlign w:val="bottom"/>
          </w:tcPr>
          <w:p w:rsidR="0005601F" w:rsidRPr="00AE07CE" w:rsidRDefault="0005601F" w:rsidP="009B25A6">
            <w:pPr>
              <w:keepNext/>
              <w:keepLines/>
              <w:ind w:left="176" w:firstLineChars="2" w:firstLine="4"/>
              <w:rPr>
                <w:rFonts w:ascii="Arial Narrow" w:hAnsi="Arial Narrow" w:cs="Arial"/>
                <w:sz w:val="20"/>
              </w:rPr>
            </w:pPr>
            <w:r w:rsidRPr="00AE07CE">
              <w:rPr>
                <w:rFonts w:ascii="Arial Narrow" w:hAnsi="Arial Narrow" w:cs="Arial"/>
                <w:sz w:val="20"/>
              </w:rPr>
              <w:t>Yung et al. 2000</w:t>
            </w:r>
          </w:p>
        </w:tc>
        <w:tc>
          <w:tcPr>
            <w:tcW w:w="2695" w:type="dxa"/>
            <w:tcBorders>
              <w:top w:val="nil"/>
              <w:left w:val="nil"/>
              <w:right w:val="single" w:sz="4" w:space="0" w:color="auto"/>
            </w:tcBorders>
          </w:tcPr>
          <w:p w:rsidR="0005601F" w:rsidRPr="00AE07CE" w:rsidRDefault="0005601F" w:rsidP="009B25A6">
            <w:pPr>
              <w:keepNext/>
              <w:keepLines/>
              <w:tabs>
                <w:tab w:val="left" w:pos="672"/>
                <w:tab w:val="left" w:pos="790"/>
              </w:tabs>
              <w:ind w:left="111"/>
              <w:jc w:val="center"/>
              <w:rPr>
                <w:rFonts w:ascii="Arial Narrow" w:hAnsi="Arial Narrow" w:cs="Arial"/>
                <w:sz w:val="20"/>
              </w:rPr>
            </w:pPr>
            <w:r w:rsidRPr="00AE07CE">
              <w:rPr>
                <w:rFonts w:ascii="Arial Narrow" w:hAnsi="Arial Narrow" w:cs="Arial"/>
                <w:sz w:val="20"/>
              </w:rPr>
              <w:t>–</w:t>
            </w:r>
          </w:p>
        </w:tc>
        <w:tc>
          <w:tcPr>
            <w:tcW w:w="2409" w:type="dxa"/>
            <w:tcBorders>
              <w:top w:val="nil"/>
              <w:left w:val="single" w:sz="4" w:space="0" w:color="auto"/>
              <w:right w:val="single" w:sz="4" w:space="0" w:color="auto"/>
            </w:tcBorders>
          </w:tcPr>
          <w:p w:rsidR="0005601F" w:rsidRPr="00AE07CE" w:rsidRDefault="0005601F" w:rsidP="009B25A6">
            <w:pPr>
              <w:keepNext/>
              <w:keepLines/>
              <w:tabs>
                <w:tab w:val="left" w:pos="703"/>
              </w:tabs>
              <w:ind w:left="136"/>
              <w:rPr>
                <w:rFonts w:ascii="Arial Narrow" w:hAnsi="Arial Narrow" w:cs="Arial"/>
                <w:sz w:val="20"/>
              </w:rPr>
            </w:pPr>
            <w:r w:rsidRPr="00AE07CE">
              <w:rPr>
                <w:rFonts w:ascii="Arial Narrow" w:hAnsi="Arial Narrow" w:cs="Arial"/>
                <w:sz w:val="20"/>
              </w:rPr>
              <w:t>2.9</w:t>
            </w:r>
            <w:r w:rsidRPr="00AE07CE">
              <w:rPr>
                <w:rFonts w:ascii="Arial Narrow" w:hAnsi="Arial Narrow" w:cs="Arial"/>
                <w:sz w:val="20"/>
              </w:rPr>
              <w:tab/>
              <w:t>(95% CI: NR)</w:t>
            </w:r>
          </w:p>
        </w:tc>
        <w:tc>
          <w:tcPr>
            <w:tcW w:w="2189" w:type="dxa"/>
            <w:tcBorders>
              <w:top w:val="nil"/>
              <w:left w:val="single" w:sz="4" w:space="0" w:color="auto"/>
              <w:right w:val="single" w:sz="4" w:space="0" w:color="auto"/>
            </w:tcBorders>
          </w:tcPr>
          <w:p w:rsidR="0005601F" w:rsidRPr="00AE07CE" w:rsidRDefault="0005601F" w:rsidP="009B25A6">
            <w:pPr>
              <w:keepNext/>
              <w:keepLines/>
              <w:tabs>
                <w:tab w:val="left" w:pos="600"/>
              </w:tabs>
              <w:ind w:left="33"/>
              <w:rPr>
                <w:rFonts w:ascii="Arial Narrow" w:hAnsi="Arial Narrow" w:cs="Arial"/>
                <w:sz w:val="20"/>
              </w:rPr>
            </w:pPr>
            <w:r w:rsidRPr="00AE07CE">
              <w:rPr>
                <w:rFonts w:ascii="Arial Narrow" w:hAnsi="Arial Narrow" w:cs="Arial"/>
                <w:sz w:val="20"/>
              </w:rPr>
              <w:t>1.9</w:t>
            </w:r>
            <w:r w:rsidRPr="00AE07CE">
              <w:rPr>
                <w:rFonts w:ascii="Arial Narrow" w:hAnsi="Arial Narrow" w:cs="Arial"/>
                <w:sz w:val="20"/>
              </w:rPr>
              <w:tab/>
              <w:t>(95% CI: NR)</w:t>
            </w:r>
          </w:p>
        </w:tc>
      </w:tr>
      <w:tr w:rsidR="0005601F" w:rsidRPr="00AE07CE" w:rsidTr="00FB1569">
        <w:trPr>
          <w:trHeight w:val="255"/>
        </w:trPr>
        <w:tc>
          <w:tcPr>
            <w:tcW w:w="2200" w:type="dxa"/>
            <w:tcBorders>
              <w:top w:val="nil"/>
              <w:left w:val="single" w:sz="4" w:space="0" w:color="auto"/>
              <w:bottom w:val="nil"/>
              <w:right w:val="single" w:sz="4" w:space="0" w:color="auto"/>
            </w:tcBorders>
            <w:noWrap/>
          </w:tcPr>
          <w:p w:rsidR="0005601F" w:rsidRPr="00AE07CE" w:rsidRDefault="0005601F" w:rsidP="009B25A6">
            <w:pPr>
              <w:keepNext/>
              <w:keepLines/>
              <w:ind w:left="176" w:firstLineChars="2" w:firstLine="4"/>
              <w:rPr>
                <w:rFonts w:ascii="Arial Narrow" w:hAnsi="Arial Narrow" w:cs="Arial"/>
                <w:sz w:val="20"/>
              </w:rPr>
            </w:pPr>
            <w:proofErr w:type="spellStart"/>
            <w:r w:rsidRPr="00AE07CE">
              <w:rPr>
                <w:rFonts w:ascii="Arial Narrow" w:hAnsi="Arial Narrow" w:cs="Arial"/>
                <w:sz w:val="20"/>
              </w:rPr>
              <w:t>Brada</w:t>
            </w:r>
            <w:proofErr w:type="spellEnd"/>
            <w:r w:rsidRPr="00AE07CE">
              <w:rPr>
                <w:rFonts w:ascii="Arial Narrow" w:hAnsi="Arial Narrow" w:cs="Arial"/>
                <w:sz w:val="20"/>
              </w:rPr>
              <w:t xml:space="preserve"> et al. 2001</w:t>
            </w:r>
          </w:p>
        </w:tc>
        <w:tc>
          <w:tcPr>
            <w:tcW w:w="2695" w:type="dxa"/>
            <w:tcBorders>
              <w:top w:val="nil"/>
              <w:left w:val="nil"/>
              <w:bottom w:val="nil"/>
              <w:right w:val="single" w:sz="4" w:space="0" w:color="auto"/>
            </w:tcBorders>
          </w:tcPr>
          <w:p w:rsidR="0005601F" w:rsidRPr="00AE07CE" w:rsidRDefault="0005601F" w:rsidP="009B25A6">
            <w:pPr>
              <w:keepNext/>
              <w:keepLines/>
              <w:tabs>
                <w:tab w:val="left" w:pos="672"/>
                <w:tab w:val="left" w:pos="790"/>
              </w:tabs>
              <w:ind w:left="111"/>
              <w:jc w:val="center"/>
              <w:rPr>
                <w:rFonts w:ascii="Arial Narrow" w:hAnsi="Arial Narrow" w:cs="Arial"/>
                <w:sz w:val="20"/>
              </w:rPr>
            </w:pPr>
            <w:r w:rsidRPr="00AE07CE">
              <w:rPr>
                <w:rFonts w:ascii="Arial Narrow" w:hAnsi="Arial Narrow" w:cs="Arial"/>
                <w:sz w:val="20"/>
              </w:rPr>
              <w:t>–</w:t>
            </w:r>
          </w:p>
        </w:tc>
        <w:tc>
          <w:tcPr>
            <w:tcW w:w="2409" w:type="dxa"/>
            <w:tcBorders>
              <w:top w:val="nil"/>
              <w:left w:val="single" w:sz="4" w:space="0" w:color="auto"/>
              <w:bottom w:val="nil"/>
              <w:right w:val="single" w:sz="4" w:space="0" w:color="auto"/>
            </w:tcBorders>
          </w:tcPr>
          <w:p w:rsidR="0005601F" w:rsidRPr="00AE07CE" w:rsidRDefault="0005601F" w:rsidP="009B25A6">
            <w:pPr>
              <w:keepNext/>
              <w:keepLines/>
              <w:tabs>
                <w:tab w:val="left" w:pos="703"/>
              </w:tabs>
              <w:ind w:left="136"/>
              <w:rPr>
                <w:rFonts w:ascii="Arial Narrow" w:hAnsi="Arial Narrow" w:cs="Arial"/>
                <w:sz w:val="20"/>
              </w:rPr>
            </w:pPr>
            <w:r w:rsidRPr="00AE07CE">
              <w:rPr>
                <w:rFonts w:ascii="Arial Narrow" w:hAnsi="Arial Narrow" w:cs="Arial"/>
                <w:sz w:val="20"/>
              </w:rPr>
              <w:t>2.1</w:t>
            </w:r>
            <w:r w:rsidRPr="00AE07CE">
              <w:rPr>
                <w:rFonts w:ascii="Arial Narrow" w:hAnsi="Arial Narrow" w:cs="Arial"/>
                <w:sz w:val="20"/>
              </w:rPr>
              <w:tab/>
              <w:t>(95% CI: NR)</w:t>
            </w:r>
          </w:p>
        </w:tc>
        <w:tc>
          <w:tcPr>
            <w:tcW w:w="2189" w:type="dxa"/>
            <w:tcBorders>
              <w:top w:val="nil"/>
              <w:left w:val="single" w:sz="4" w:space="0" w:color="auto"/>
              <w:bottom w:val="nil"/>
              <w:right w:val="single" w:sz="4" w:space="0" w:color="auto"/>
            </w:tcBorders>
          </w:tcPr>
          <w:p w:rsidR="0005601F" w:rsidRPr="00AE07CE" w:rsidRDefault="0005601F" w:rsidP="009B25A6">
            <w:pPr>
              <w:keepNext/>
              <w:keepLines/>
              <w:tabs>
                <w:tab w:val="left" w:pos="600"/>
              </w:tabs>
              <w:ind w:left="33"/>
              <w:jc w:val="center"/>
              <w:rPr>
                <w:rFonts w:ascii="Arial Narrow" w:hAnsi="Arial Narrow" w:cs="Arial"/>
                <w:sz w:val="20"/>
              </w:rPr>
            </w:pPr>
            <w:r w:rsidRPr="00AE07CE">
              <w:rPr>
                <w:rFonts w:ascii="Arial Narrow" w:hAnsi="Arial Narrow" w:cs="Arial"/>
                <w:sz w:val="20"/>
              </w:rPr>
              <w:t>–</w:t>
            </w:r>
          </w:p>
        </w:tc>
      </w:tr>
      <w:tr w:rsidR="0005601F" w:rsidRPr="00AE07CE" w:rsidTr="00FB1569">
        <w:trPr>
          <w:trHeight w:val="255"/>
        </w:trPr>
        <w:tc>
          <w:tcPr>
            <w:tcW w:w="2200" w:type="dxa"/>
            <w:tcBorders>
              <w:top w:val="nil"/>
              <w:left w:val="single" w:sz="4" w:space="0" w:color="auto"/>
              <w:bottom w:val="single" w:sz="4" w:space="0" w:color="auto"/>
              <w:right w:val="single" w:sz="4" w:space="0" w:color="auto"/>
            </w:tcBorders>
            <w:noWrap/>
          </w:tcPr>
          <w:p w:rsidR="0005601F" w:rsidRPr="00AE07CE" w:rsidRDefault="0005601F" w:rsidP="009B25A6">
            <w:pPr>
              <w:keepNext/>
              <w:keepLines/>
              <w:ind w:left="176" w:firstLineChars="2" w:firstLine="4"/>
              <w:rPr>
                <w:rFonts w:ascii="Arial Narrow" w:hAnsi="Arial Narrow" w:cs="Arial"/>
                <w:sz w:val="20"/>
              </w:rPr>
            </w:pPr>
            <w:r w:rsidRPr="00AE07CE">
              <w:rPr>
                <w:rFonts w:ascii="Arial Narrow" w:hAnsi="Arial Narrow" w:cs="Arial"/>
                <w:sz w:val="20"/>
              </w:rPr>
              <w:t>Yang et al. 2006</w:t>
            </w:r>
          </w:p>
        </w:tc>
        <w:tc>
          <w:tcPr>
            <w:tcW w:w="2695" w:type="dxa"/>
            <w:tcBorders>
              <w:top w:val="nil"/>
              <w:left w:val="nil"/>
              <w:bottom w:val="single" w:sz="4" w:space="0" w:color="auto"/>
              <w:right w:val="single" w:sz="4" w:space="0" w:color="auto"/>
            </w:tcBorders>
          </w:tcPr>
          <w:p w:rsidR="0005601F" w:rsidRPr="00AE07CE" w:rsidRDefault="0005601F" w:rsidP="009B25A6">
            <w:pPr>
              <w:keepNext/>
              <w:keepLines/>
              <w:tabs>
                <w:tab w:val="left" w:pos="672"/>
                <w:tab w:val="left" w:pos="790"/>
              </w:tabs>
              <w:ind w:left="111"/>
              <w:jc w:val="center"/>
              <w:rPr>
                <w:rFonts w:ascii="Arial Narrow" w:hAnsi="Arial Narrow" w:cs="Arial"/>
                <w:sz w:val="20"/>
              </w:rPr>
            </w:pPr>
            <w:r w:rsidRPr="00AE07CE">
              <w:rPr>
                <w:rFonts w:ascii="Arial Narrow" w:hAnsi="Arial Narrow" w:cs="Arial"/>
                <w:sz w:val="20"/>
              </w:rPr>
              <w:t>–</w:t>
            </w:r>
          </w:p>
        </w:tc>
        <w:tc>
          <w:tcPr>
            <w:tcW w:w="2409" w:type="dxa"/>
            <w:tcBorders>
              <w:top w:val="nil"/>
              <w:left w:val="single" w:sz="4" w:space="0" w:color="auto"/>
              <w:bottom w:val="single" w:sz="4" w:space="0" w:color="auto"/>
              <w:right w:val="single" w:sz="4" w:space="0" w:color="auto"/>
            </w:tcBorders>
          </w:tcPr>
          <w:p w:rsidR="0005601F" w:rsidRPr="00AE07CE" w:rsidRDefault="0005601F" w:rsidP="009B25A6">
            <w:pPr>
              <w:keepNext/>
              <w:keepLines/>
              <w:tabs>
                <w:tab w:val="left" w:pos="703"/>
              </w:tabs>
              <w:ind w:left="136"/>
              <w:rPr>
                <w:rFonts w:ascii="Arial Narrow" w:hAnsi="Arial Narrow" w:cs="Arial"/>
                <w:sz w:val="20"/>
              </w:rPr>
            </w:pPr>
            <w:r w:rsidRPr="00AE07CE">
              <w:rPr>
                <w:rFonts w:ascii="Arial Narrow" w:hAnsi="Arial Narrow" w:cs="Arial"/>
                <w:sz w:val="20"/>
              </w:rPr>
              <w:t>1.8</w:t>
            </w:r>
            <w:r w:rsidRPr="00AE07CE">
              <w:rPr>
                <w:rFonts w:ascii="Arial Narrow" w:hAnsi="Arial Narrow" w:cs="Arial"/>
                <w:sz w:val="20"/>
              </w:rPr>
              <w:tab/>
              <w:t>(95% CI: NR)</w:t>
            </w:r>
          </w:p>
        </w:tc>
        <w:tc>
          <w:tcPr>
            <w:tcW w:w="2189" w:type="dxa"/>
            <w:tcBorders>
              <w:top w:val="nil"/>
              <w:left w:val="single" w:sz="4" w:space="0" w:color="auto"/>
              <w:bottom w:val="single" w:sz="4" w:space="0" w:color="auto"/>
              <w:right w:val="single" w:sz="4" w:space="0" w:color="auto"/>
            </w:tcBorders>
          </w:tcPr>
          <w:p w:rsidR="0005601F" w:rsidRPr="00AE07CE" w:rsidRDefault="0005601F" w:rsidP="009B25A6">
            <w:pPr>
              <w:keepNext/>
              <w:keepLines/>
              <w:tabs>
                <w:tab w:val="left" w:pos="600"/>
              </w:tabs>
              <w:ind w:left="33"/>
              <w:jc w:val="center"/>
              <w:rPr>
                <w:rFonts w:ascii="Arial Narrow" w:hAnsi="Arial Narrow" w:cs="Arial"/>
                <w:sz w:val="20"/>
              </w:rPr>
            </w:pPr>
            <w:r w:rsidRPr="00AE07CE">
              <w:rPr>
                <w:rFonts w:ascii="Arial Narrow" w:hAnsi="Arial Narrow" w:cs="Arial"/>
                <w:sz w:val="20"/>
              </w:rPr>
              <w:t>–</w:t>
            </w:r>
          </w:p>
        </w:tc>
      </w:tr>
    </w:tbl>
    <w:p w:rsidR="0005601F" w:rsidRPr="00AE07CE" w:rsidRDefault="00523238" w:rsidP="009B25A6">
      <w:pPr>
        <w:pStyle w:val="PBACHeading1"/>
        <w:keepNext/>
        <w:keepLines/>
        <w:numPr>
          <w:ilvl w:val="0"/>
          <w:numId w:val="0"/>
        </w:numPr>
        <w:ind w:left="720" w:hanging="578"/>
        <w:outlineLvl w:val="9"/>
        <w:rPr>
          <w:rFonts w:ascii="Arial Narrow" w:hAnsi="Arial Narrow" w:cs="Times New Roman"/>
          <w:b w:val="0"/>
          <w:snapToGrid/>
          <w:sz w:val="18"/>
          <w:szCs w:val="18"/>
          <w:lang w:eastAsia="en-AU"/>
        </w:rPr>
      </w:pPr>
      <w:r w:rsidRPr="00AE07CE">
        <w:rPr>
          <w:rFonts w:ascii="Arial Narrow" w:hAnsi="Arial Narrow" w:cs="Times New Roman"/>
          <w:b w:val="0"/>
          <w:snapToGrid/>
          <w:sz w:val="18"/>
          <w:szCs w:val="18"/>
          <w:lang w:eastAsia="en-AU"/>
        </w:rPr>
        <w:t xml:space="preserve">Source: November 2010 PBAC Minutes for bevacizumab </w:t>
      </w:r>
    </w:p>
    <w:p w:rsidR="00A87E96" w:rsidRPr="00AE07CE" w:rsidRDefault="00A87E96" w:rsidP="009B25A6">
      <w:pPr>
        <w:pStyle w:val="PBACHeading1"/>
        <w:keepNext/>
        <w:keepLines/>
        <w:numPr>
          <w:ilvl w:val="0"/>
          <w:numId w:val="0"/>
        </w:numPr>
        <w:ind w:left="720" w:hanging="578"/>
        <w:outlineLvl w:val="9"/>
        <w:rPr>
          <w:rFonts w:ascii="Arial Narrow" w:hAnsi="Arial Narrow" w:cs="Times New Roman"/>
          <w:b w:val="0"/>
          <w:snapToGrid/>
          <w:sz w:val="18"/>
          <w:szCs w:val="18"/>
          <w:lang w:eastAsia="en-AU"/>
        </w:rPr>
      </w:pPr>
      <w:r w:rsidRPr="00AE07CE">
        <w:rPr>
          <w:rFonts w:ascii="Arial Narrow" w:hAnsi="Arial Narrow" w:cs="Times New Roman"/>
          <w:b w:val="0"/>
          <w:snapToGrid/>
          <w:sz w:val="18"/>
          <w:szCs w:val="18"/>
          <w:lang w:eastAsia="en-AU"/>
        </w:rPr>
        <w:t>NR = not reported</w:t>
      </w:r>
    </w:p>
    <w:p w:rsidR="0031691A" w:rsidRPr="00AE07CE" w:rsidRDefault="0031691A" w:rsidP="00E752A8">
      <w:pPr>
        <w:pStyle w:val="ListParagraph"/>
        <w:widowControl/>
        <w:numPr>
          <w:ilvl w:val="1"/>
          <w:numId w:val="5"/>
        </w:numPr>
        <w:spacing w:before="120" w:after="120"/>
        <w:ind w:left="720"/>
        <w:contextualSpacing w:val="0"/>
        <w:rPr>
          <w:rFonts w:asciiTheme="minorHAnsi" w:hAnsiTheme="minorHAnsi"/>
          <w:sz w:val="24"/>
          <w:szCs w:val="24"/>
        </w:rPr>
      </w:pPr>
      <w:r w:rsidRPr="00AE07CE">
        <w:rPr>
          <w:rFonts w:asciiTheme="minorHAnsi" w:hAnsiTheme="minorHAnsi"/>
          <w:sz w:val="24"/>
          <w:szCs w:val="24"/>
        </w:rPr>
        <w:t>The re</w:t>
      </w:r>
      <w:r w:rsidRPr="00AE07CE">
        <w:rPr>
          <w:rFonts w:asciiTheme="minorHAnsi" w:eastAsiaTheme="minorHAnsi" w:hAnsiTheme="minorHAnsi" w:cstheme="minorBidi"/>
          <w:snapToGrid/>
          <w:sz w:val="24"/>
          <w:szCs w:val="24"/>
        </w:rPr>
        <w:t>submission stated that, since the previous consideration there</w:t>
      </w:r>
      <w:r w:rsidRPr="00AE07CE">
        <w:rPr>
          <w:rFonts w:asciiTheme="minorHAnsi" w:hAnsiTheme="minorHAnsi"/>
          <w:sz w:val="24"/>
          <w:szCs w:val="24"/>
        </w:rPr>
        <w:t xml:space="preserve"> have been further studies of bevacizumab in relapsed glioblastoma, as shown in the table below.</w:t>
      </w:r>
      <w:r w:rsidR="00A03F9D" w:rsidRPr="00AE07CE">
        <w:rPr>
          <w:rFonts w:asciiTheme="minorHAnsi" w:hAnsiTheme="minorHAnsi"/>
          <w:sz w:val="24"/>
          <w:szCs w:val="24"/>
        </w:rPr>
        <w:t xml:space="preserve"> The first row presents the results of both arms of AVF3708g.</w:t>
      </w:r>
    </w:p>
    <w:p w:rsidR="0031691A" w:rsidRPr="00AE07CE" w:rsidRDefault="00D6555F" w:rsidP="0031691A">
      <w:pPr>
        <w:pStyle w:val="ListParagraph"/>
        <w:keepNext/>
        <w:keepLines/>
        <w:ind w:left="709" w:hanging="709"/>
        <w:rPr>
          <w:rFonts w:ascii="Arial Narrow" w:hAnsi="Arial Narrow"/>
          <w:b/>
          <w:sz w:val="20"/>
        </w:rPr>
      </w:pPr>
      <w:r w:rsidRPr="00AE07CE">
        <w:rPr>
          <w:rFonts w:ascii="Arial Narrow" w:hAnsi="Arial Narrow"/>
          <w:b/>
          <w:sz w:val="20"/>
        </w:rPr>
        <w:t xml:space="preserve">Table </w:t>
      </w:r>
      <w:r w:rsidR="003D29B7" w:rsidRPr="00AE07CE">
        <w:rPr>
          <w:rFonts w:ascii="Arial Narrow" w:hAnsi="Arial Narrow"/>
          <w:b/>
          <w:sz w:val="20"/>
        </w:rPr>
        <w:t>3</w:t>
      </w:r>
      <w:r w:rsidR="0031691A" w:rsidRPr="00AE07CE">
        <w:rPr>
          <w:rFonts w:ascii="Arial Narrow" w:hAnsi="Arial Narrow"/>
          <w:b/>
          <w:sz w:val="20"/>
        </w:rPr>
        <w:t xml:space="preserve">: Studies of bevacizumab </w:t>
      </w:r>
      <w:r w:rsidRPr="00AE07CE">
        <w:rPr>
          <w:rFonts w:ascii="Arial Narrow" w:hAnsi="Arial Narrow"/>
          <w:b/>
          <w:sz w:val="20"/>
        </w:rPr>
        <w:t xml:space="preserve">versus various comparators </w:t>
      </w:r>
      <w:r w:rsidR="0031691A" w:rsidRPr="00AE07CE">
        <w:rPr>
          <w:rFonts w:ascii="Arial Narrow" w:hAnsi="Arial Narrow"/>
          <w:b/>
          <w:sz w:val="20"/>
        </w:rPr>
        <w:t>in patients with relapsed glioblastoma</w:t>
      </w:r>
    </w:p>
    <w:tbl>
      <w:tblPr>
        <w:tblStyle w:val="TableGrid"/>
        <w:tblW w:w="5000" w:type="pct"/>
        <w:tblLook w:val="04A0" w:firstRow="1" w:lastRow="0" w:firstColumn="1" w:lastColumn="0" w:noHBand="0" w:noVBand="1"/>
        <w:tblCaption w:val="Table 3: Studies of bevacizumab versus various comparators in patients with relapsed glioblastoma"/>
      </w:tblPr>
      <w:tblGrid>
        <w:gridCol w:w="1159"/>
        <w:gridCol w:w="1420"/>
        <w:gridCol w:w="803"/>
        <w:gridCol w:w="805"/>
        <w:gridCol w:w="803"/>
        <w:gridCol w:w="805"/>
        <w:gridCol w:w="803"/>
        <w:gridCol w:w="805"/>
        <w:gridCol w:w="803"/>
        <w:gridCol w:w="810"/>
      </w:tblGrid>
      <w:tr w:rsidR="0031691A" w:rsidRPr="00AE07CE" w:rsidTr="00791DE2">
        <w:trPr>
          <w:tblHeader/>
        </w:trPr>
        <w:tc>
          <w:tcPr>
            <w:tcW w:w="548" w:type="pct"/>
            <w:vMerge w:val="restart"/>
          </w:tcPr>
          <w:p w:rsidR="0031691A" w:rsidRPr="00AE07CE" w:rsidRDefault="0031691A" w:rsidP="0031691A">
            <w:pPr>
              <w:keepNext/>
              <w:keepLines/>
              <w:rPr>
                <w:rFonts w:ascii="Arial Narrow" w:hAnsi="Arial Narrow" w:cstheme="minorHAnsi"/>
                <w:b/>
                <w:sz w:val="20"/>
                <w:szCs w:val="20"/>
              </w:rPr>
            </w:pPr>
            <w:r w:rsidRPr="00AE07CE">
              <w:rPr>
                <w:rFonts w:ascii="Arial Narrow" w:hAnsi="Arial Narrow" w:cstheme="minorHAnsi"/>
                <w:b/>
                <w:sz w:val="20"/>
                <w:szCs w:val="20"/>
              </w:rPr>
              <w:t>Author</w:t>
            </w:r>
          </w:p>
        </w:tc>
        <w:tc>
          <w:tcPr>
            <w:tcW w:w="798" w:type="pct"/>
            <w:vMerge w:val="restart"/>
            <w:tcBorders>
              <w:right w:val="double" w:sz="4" w:space="0" w:color="auto"/>
            </w:tcBorders>
            <w:vAlign w:val="center"/>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Comparator treatment</w:t>
            </w:r>
          </w:p>
        </w:tc>
        <w:tc>
          <w:tcPr>
            <w:tcW w:w="456" w:type="pct"/>
            <w:tcBorders>
              <w:left w:val="double" w:sz="4" w:space="0" w:color="auto"/>
            </w:tcBorders>
          </w:tcPr>
          <w:p w:rsidR="0031691A" w:rsidRPr="00AE07CE" w:rsidRDefault="0031691A" w:rsidP="0031691A">
            <w:pPr>
              <w:keepNext/>
              <w:keepLines/>
              <w:jc w:val="center"/>
              <w:rPr>
                <w:rFonts w:ascii="Arial Narrow" w:hAnsi="Arial Narrow" w:cstheme="minorHAnsi"/>
                <w:b/>
                <w:sz w:val="20"/>
                <w:szCs w:val="20"/>
              </w:rPr>
            </w:pPr>
            <w:proofErr w:type="spellStart"/>
            <w:r w:rsidRPr="00AE07CE">
              <w:rPr>
                <w:rFonts w:ascii="Arial Narrow" w:hAnsi="Arial Narrow" w:cstheme="minorHAnsi"/>
                <w:b/>
                <w:sz w:val="20"/>
                <w:szCs w:val="20"/>
              </w:rPr>
              <w:t>Beva</w:t>
            </w:r>
            <w:proofErr w:type="spellEnd"/>
          </w:p>
        </w:tc>
        <w:tc>
          <w:tcPr>
            <w:tcW w:w="457" w:type="pct"/>
            <w:tcBorders>
              <w:right w:val="double" w:sz="4" w:space="0" w:color="auto"/>
            </w:tcBorders>
          </w:tcPr>
          <w:p w:rsidR="0031691A" w:rsidRPr="00AE07CE" w:rsidRDefault="0031691A" w:rsidP="0031691A">
            <w:pPr>
              <w:keepNext/>
              <w:keepLines/>
              <w:rPr>
                <w:rFonts w:ascii="Arial Narrow" w:hAnsi="Arial Narrow" w:cstheme="minorHAnsi"/>
                <w:b/>
                <w:sz w:val="20"/>
                <w:szCs w:val="20"/>
              </w:rPr>
            </w:pPr>
            <w:r w:rsidRPr="00AE07CE">
              <w:rPr>
                <w:rFonts w:ascii="Arial Narrow" w:hAnsi="Arial Narrow" w:cstheme="minorHAnsi"/>
                <w:b/>
                <w:sz w:val="20"/>
                <w:szCs w:val="20"/>
              </w:rPr>
              <w:t>Comp</w:t>
            </w:r>
          </w:p>
        </w:tc>
        <w:tc>
          <w:tcPr>
            <w:tcW w:w="456" w:type="pct"/>
            <w:tcBorders>
              <w:left w:val="double" w:sz="4" w:space="0" w:color="auto"/>
            </w:tcBorders>
          </w:tcPr>
          <w:p w:rsidR="0031691A" w:rsidRPr="00AE07CE" w:rsidRDefault="0031691A" w:rsidP="0031691A">
            <w:pPr>
              <w:keepNext/>
              <w:keepLines/>
              <w:rPr>
                <w:rFonts w:ascii="Arial Narrow" w:hAnsi="Arial Narrow" w:cstheme="minorHAnsi"/>
                <w:b/>
                <w:sz w:val="20"/>
                <w:szCs w:val="20"/>
              </w:rPr>
            </w:pPr>
            <w:proofErr w:type="spellStart"/>
            <w:r w:rsidRPr="00AE07CE">
              <w:rPr>
                <w:rFonts w:ascii="Arial Narrow" w:hAnsi="Arial Narrow" w:cstheme="minorHAnsi"/>
                <w:b/>
                <w:sz w:val="20"/>
                <w:szCs w:val="20"/>
              </w:rPr>
              <w:t>Beva</w:t>
            </w:r>
            <w:proofErr w:type="spellEnd"/>
          </w:p>
        </w:tc>
        <w:tc>
          <w:tcPr>
            <w:tcW w:w="457" w:type="pct"/>
            <w:tcBorders>
              <w:right w:val="double" w:sz="4" w:space="0" w:color="auto"/>
            </w:tcBorders>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Comp</w:t>
            </w:r>
          </w:p>
        </w:tc>
        <w:tc>
          <w:tcPr>
            <w:tcW w:w="456" w:type="pct"/>
            <w:tcBorders>
              <w:left w:val="double" w:sz="4" w:space="0" w:color="auto"/>
            </w:tcBorders>
          </w:tcPr>
          <w:p w:rsidR="0031691A" w:rsidRPr="00AE07CE" w:rsidRDefault="0031691A" w:rsidP="0031691A">
            <w:pPr>
              <w:keepNext/>
              <w:keepLines/>
              <w:jc w:val="center"/>
              <w:rPr>
                <w:rFonts w:ascii="Arial Narrow" w:hAnsi="Arial Narrow" w:cstheme="minorHAnsi"/>
                <w:b/>
                <w:sz w:val="20"/>
                <w:szCs w:val="20"/>
              </w:rPr>
            </w:pPr>
            <w:proofErr w:type="spellStart"/>
            <w:r w:rsidRPr="00AE07CE">
              <w:rPr>
                <w:rFonts w:ascii="Arial Narrow" w:hAnsi="Arial Narrow" w:cstheme="minorHAnsi"/>
                <w:b/>
                <w:sz w:val="20"/>
                <w:szCs w:val="20"/>
              </w:rPr>
              <w:t>Beva</w:t>
            </w:r>
            <w:proofErr w:type="spellEnd"/>
          </w:p>
        </w:tc>
        <w:tc>
          <w:tcPr>
            <w:tcW w:w="457" w:type="pct"/>
            <w:tcBorders>
              <w:right w:val="double" w:sz="4" w:space="0" w:color="auto"/>
            </w:tcBorders>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Comp</w:t>
            </w:r>
          </w:p>
        </w:tc>
        <w:tc>
          <w:tcPr>
            <w:tcW w:w="456" w:type="pct"/>
            <w:tcBorders>
              <w:left w:val="double" w:sz="4" w:space="0" w:color="auto"/>
            </w:tcBorders>
          </w:tcPr>
          <w:p w:rsidR="0031691A" w:rsidRPr="00AE07CE" w:rsidRDefault="0031691A" w:rsidP="0031691A">
            <w:pPr>
              <w:keepNext/>
              <w:keepLines/>
              <w:jc w:val="center"/>
              <w:rPr>
                <w:rFonts w:ascii="Arial Narrow" w:hAnsi="Arial Narrow" w:cstheme="minorHAnsi"/>
                <w:b/>
                <w:sz w:val="20"/>
                <w:szCs w:val="20"/>
              </w:rPr>
            </w:pPr>
            <w:proofErr w:type="spellStart"/>
            <w:r w:rsidRPr="00AE07CE">
              <w:rPr>
                <w:rFonts w:ascii="Arial Narrow" w:hAnsi="Arial Narrow" w:cstheme="minorHAnsi"/>
                <w:b/>
                <w:sz w:val="20"/>
                <w:szCs w:val="20"/>
              </w:rPr>
              <w:t>Beva</w:t>
            </w:r>
            <w:proofErr w:type="spellEnd"/>
          </w:p>
        </w:tc>
        <w:tc>
          <w:tcPr>
            <w:tcW w:w="459" w:type="pct"/>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Comp</w:t>
            </w:r>
          </w:p>
        </w:tc>
      </w:tr>
      <w:tr w:rsidR="0031691A" w:rsidRPr="00AE07CE" w:rsidTr="00791DE2">
        <w:trPr>
          <w:tblHeader/>
        </w:trPr>
        <w:tc>
          <w:tcPr>
            <w:tcW w:w="548" w:type="pct"/>
            <w:vMerge/>
          </w:tcPr>
          <w:p w:rsidR="0031691A" w:rsidRPr="00AE07CE" w:rsidRDefault="0031691A" w:rsidP="0031691A">
            <w:pPr>
              <w:keepNext/>
              <w:keepLines/>
              <w:rPr>
                <w:rFonts w:ascii="Arial Narrow" w:hAnsi="Arial Narrow" w:cstheme="minorHAnsi"/>
                <w:b/>
                <w:sz w:val="20"/>
                <w:szCs w:val="20"/>
              </w:rPr>
            </w:pPr>
          </w:p>
        </w:tc>
        <w:tc>
          <w:tcPr>
            <w:tcW w:w="798" w:type="pct"/>
            <w:vMerge/>
            <w:tcBorders>
              <w:right w:val="double" w:sz="4" w:space="0" w:color="auto"/>
            </w:tcBorders>
            <w:vAlign w:val="center"/>
          </w:tcPr>
          <w:p w:rsidR="0031691A" w:rsidRPr="00AE07CE" w:rsidRDefault="0031691A" w:rsidP="0031691A">
            <w:pPr>
              <w:keepNext/>
              <w:keepLines/>
              <w:jc w:val="center"/>
              <w:rPr>
                <w:rFonts w:ascii="Arial Narrow" w:hAnsi="Arial Narrow" w:cstheme="minorHAnsi"/>
                <w:b/>
                <w:sz w:val="20"/>
                <w:szCs w:val="20"/>
              </w:rPr>
            </w:pPr>
          </w:p>
        </w:tc>
        <w:tc>
          <w:tcPr>
            <w:tcW w:w="913" w:type="pct"/>
            <w:gridSpan w:val="2"/>
            <w:tcBorders>
              <w:left w:val="double" w:sz="4" w:space="0" w:color="auto"/>
              <w:right w:val="double" w:sz="4" w:space="0" w:color="auto"/>
            </w:tcBorders>
            <w:vAlign w:val="center"/>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N</w:t>
            </w:r>
          </w:p>
        </w:tc>
        <w:tc>
          <w:tcPr>
            <w:tcW w:w="913" w:type="pct"/>
            <w:gridSpan w:val="2"/>
            <w:tcBorders>
              <w:left w:val="double" w:sz="4" w:space="0" w:color="auto"/>
              <w:right w:val="double" w:sz="4" w:space="0" w:color="auto"/>
            </w:tcBorders>
          </w:tcPr>
          <w:p w:rsidR="0031691A" w:rsidRPr="00AE07CE" w:rsidRDefault="0031691A"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ORR (CR+PR) (%)</w:t>
            </w:r>
          </w:p>
        </w:tc>
        <w:tc>
          <w:tcPr>
            <w:tcW w:w="913" w:type="pct"/>
            <w:gridSpan w:val="2"/>
            <w:tcBorders>
              <w:left w:val="double" w:sz="4" w:space="0" w:color="auto"/>
              <w:right w:val="double" w:sz="4" w:space="0" w:color="auto"/>
            </w:tcBorders>
            <w:vAlign w:val="center"/>
          </w:tcPr>
          <w:p w:rsidR="0031691A" w:rsidRPr="00AE07CE" w:rsidRDefault="0005601F"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 xml:space="preserve">Median </w:t>
            </w:r>
            <w:r w:rsidR="0031691A" w:rsidRPr="00AE07CE">
              <w:rPr>
                <w:rFonts w:ascii="Arial Narrow" w:hAnsi="Arial Narrow" w:cstheme="minorHAnsi"/>
                <w:b/>
                <w:sz w:val="20"/>
                <w:szCs w:val="20"/>
              </w:rPr>
              <w:t>PFS (months)</w:t>
            </w:r>
          </w:p>
        </w:tc>
        <w:tc>
          <w:tcPr>
            <w:tcW w:w="915" w:type="pct"/>
            <w:gridSpan w:val="2"/>
            <w:tcBorders>
              <w:left w:val="double" w:sz="4" w:space="0" w:color="auto"/>
            </w:tcBorders>
            <w:vAlign w:val="center"/>
          </w:tcPr>
          <w:p w:rsidR="0031691A" w:rsidRPr="00AE07CE" w:rsidRDefault="0005601F" w:rsidP="0031691A">
            <w:pPr>
              <w:keepNext/>
              <w:keepLines/>
              <w:jc w:val="center"/>
              <w:rPr>
                <w:rFonts w:ascii="Arial Narrow" w:hAnsi="Arial Narrow" w:cstheme="minorHAnsi"/>
                <w:b/>
                <w:sz w:val="20"/>
                <w:szCs w:val="20"/>
              </w:rPr>
            </w:pPr>
            <w:r w:rsidRPr="00AE07CE">
              <w:rPr>
                <w:rFonts w:ascii="Arial Narrow" w:hAnsi="Arial Narrow" w:cstheme="minorHAnsi"/>
                <w:b/>
                <w:sz w:val="20"/>
                <w:szCs w:val="20"/>
              </w:rPr>
              <w:t xml:space="preserve">Median </w:t>
            </w:r>
            <w:r w:rsidR="0031691A" w:rsidRPr="00AE07CE">
              <w:rPr>
                <w:rFonts w:ascii="Arial Narrow" w:hAnsi="Arial Narrow" w:cstheme="minorHAnsi"/>
                <w:b/>
                <w:sz w:val="20"/>
                <w:szCs w:val="20"/>
              </w:rPr>
              <w:t>OS (months)</w:t>
            </w:r>
          </w:p>
        </w:tc>
      </w:tr>
      <w:tr w:rsidR="00643380" w:rsidRPr="00AE07CE" w:rsidTr="00643380">
        <w:tc>
          <w:tcPr>
            <w:tcW w:w="5000" w:type="pct"/>
            <w:gridSpan w:val="10"/>
          </w:tcPr>
          <w:p w:rsidR="00643380" w:rsidRPr="00AE07CE" w:rsidRDefault="00643380" w:rsidP="00643380">
            <w:pPr>
              <w:keepNext/>
              <w:keepLines/>
              <w:rPr>
                <w:rFonts w:ascii="Arial Narrow" w:hAnsi="Arial Narrow" w:cstheme="minorHAnsi"/>
                <w:b/>
                <w:sz w:val="20"/>
                <w:szCs w:val="20"/>
              </w:rPr>
            </w:pPr>
            <w:r w:rsidRPr="00AE07CE">
              <w:rPr>
                <w:rFonts w:ascii="Arial Narrow" w:hAnsi="Arial Narrow" w:cstheme="minorHAnsi"/>
                <w:b/>
                <w:sz w:val="20"/>
                <w:szCs w:val="20"/>
              </w:rPr>
              <w:t>Bevacizumab monotherapy versus comparator (“comp”)</w:t>
            </w:r>
          </w:p>
        </w:tc>
      </w:tr>
      <w:tr w:rsidR="0031691A" w:rsidRPr="00AE07CE" w:rsidTr="002C60CD">
        <w:tc>
          <w:tcPr>
            <w:tcW w:w="548" w:type="pct"/>
          </w:tcPr>
          <w:p w:rsidR="00523238" w:rsidRPr="00AE07CE" w:rsidRDefault="00A87E96" w:rsidP="00A87E96">
            <w:pPr>
              <w:keepNext/>
              <w:keepLines/>
              <w:rPr>
                <w:rFonts w:ascii="Arial Narrow" w:hAnsi="Arial Narrow" w:cstheme="minorHAnsi"/>
                <w:sz w:val="20"/>
                <w:szCs w:val="20"/>
              </w:rPr>
            </w:pPr>
            <w:r w:rsidRPr="00AE07CE">
              <w:rPr>
                <w:rFonts w:ascii="Arial Narrow" w:hAnsi="Arial Narrow" w:cstheme="minorHAnsi"/>
                <w:sz w:val="20"/>
                <w:szCs w:val="20"/>
              </w:rPr>
              <w:t>AVF3708g (</w:t>
            </w:r>
            <w:r w:rsidR="0031691A" w:rsidRPr="00AE07CE">
              <w:rPr>
                <w:rFonts w:ascii="Arial Narrow" w:hAnsi="Arial Narrow" w:cstheme="minorHAnsi"/>
                <w:sz w:val="20"/>
                <w:szCs w:val="20"/>
              </w:rPr>
              <w:t>Friedman 2009</w:t>
            </w:r>
            <w:r w:rsidRPr="00AE07CE">
              <w:rPr>
                <w:rFonts w:ascii="Arial Narrow" w:hAnsi="Arial Narrow" w:cstheme="minorHAnsi"/>
                <w:sz w:val="20"/>
                <w:szCs w:val="20"/>
              </w:rPr>
              <w:t>)</w:t>
            </w: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Beva</w:t>
            </w:r>
            <w:proofErr w:type="spellEnd"/>
            <w:r w:rsidRPr="00AE07CE">
              <w:rPr>
                <w:rFonts w:ascii="Arial Narrow" w:hAnsi="Arial Narrow" w:cstheme="minorHAnsi"/>
                <w:sz w:val="20"/>
                <w:szCs w:val="20"/>
              </w:rPr>
              <w:t xml:space="preserve"> + </w:t>
            </w:r>
            <w:proofErr w:type="spellStart"/>
            <w:r w:rsidRPr="00AE07CE">
              <w:rPr>
                <w:rFonts w:ascii="Arial Narrow" w:hAnsi="Arial Narrow" w:cstheme="minorHAnsi"/>
                <w:sz w:val="20"/>
                <w:szCs w:val="20"/>
              </w:rPr>
              <w:t>irinotecan</w:t>
            </w:r>
            <w:proofErr w:type="spellEnd"/>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85</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82</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28.2</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37.8</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4.2</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5.6</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9.2</w:t>
            </w: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8.7</w:t>
            </w:r>
          </w:p>
        </w:tc>
      </w:tr>
      <w:tr w:rsidR="0031691A" w:rsidRPr="00AE07CE" w:rsidTr="002C60CD">
        <w:tc>
          <w:tcPr>
            <w:tcW w:w="548" w:type="pct"/>
            <w:vMerge w:val="restart"/>
          </w:tcPr>
          <w:p w:rsidR="0031691A" w:rsidRPr="00AE07CE" w:rsidRDefault="0031691A" w:rsidP="0031691A">
            <w:pPr>
              <w:keepNext/>
              <w:keepLines/>
              <w:rPr>
                <w:rFonts w:ascii="Arial Narrow" w:hAnsi="Arial Narrow" w:cstheme="minorHAnsi"/>
                <w:sz w:val="20"/>
                <w:szCs w:val="20"/>
              </w:rPr>
            </w:pPr>
            <w:r w:rsidRPr="00AE07CE">
              <w:rPr>
                <w:rFonts w:ascii="Arial Narrow" w:hAnsi="Arial Narrow" w:cstheme="minorHAnsi"/>
                <w:sz w:val="20"/>
                <w:szCs w:val="20"/>
              </w:rPr>
              <w:t>Taal 2014</w:t>
            </w:r>
          </w:p>
          <w:p w:rsidR="00A03F9D" w:rsidRPr="00AE07CE" w:rsidRDefault="00A03F9D" w:rsidP="0031691A">
            <w:pPr>
              <w:keepNext/>
              <w:keepLines/>
              <w:rPr>
                <w:rFonts w:ascii="Arial Narrow" w:hAnsi="Arial Narrow" w:cstheme="minorHAnsi"/>
                <w:sz w:val="20"/>
                <w:szCs w:val="20"/>
              </w:rPr>
            </w:pPr>
            <w:r w:rsidRPr="00AE07CE">
              <w:rPr>
                <w:rFonts w:ascii="Arial Narrow" w:hAnsi="Arial Narrow" w:cstheme="minorHAnsi"/>
                <w:sz w:val="20"/>
                <w:szCs w:val="20"/>
              </w:rPr>
              <w:t>(BELOB)</w:t>
            </w: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lomustine</w:t>
            </w:r>
            <w:proofErr w:type="spellEnd"/>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50</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46</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38</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5</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1</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w:t>
            </w: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w:t>
            </w:r>
          </w:p>
        </w:tc>
      </w:tr>
      <w:tr w:rsidR="0031691A" w:rsidRPr="00AE07CE" w:rsidTr="002C60CD">
        <w:tc>
          <w:tcPr>
            <w:tcW w:w="548" w:type="pct"/>
            <w:vMerge/>
          </w:tcPr>
          <w:p w:rsidR="0031691A" w:rsidRPr="00AE07CE" w:rsidRDefault="0031691A" w:rsidP="0031691A">
            <w:pPr>
              <w:keepNext/>
              <w:keepLines/>
              <w:rPr>
                <w:rFonts w:ascii="Arial Narrow" w:hAnsi="Arial Narrow" w:cstheme="minorHAnsi"/>
                <w:sz w:val="20"/>
                <w:szCs w:val="20"/>
              </w:rPr>
            </w:pP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Beva</w:t>
            </w:r>
            <w:proofErr w:type="spellEnd"/>
            <w:r w:rsidRPr="00AE07CE">
              <w:rPr>
                <w:rFonts w:ascii="Arial Narrow" w:hAnsi="Arial Narrow" w:cstheme="minorHAnsi"/>
                <w:sz w:val="20"/>
                <w:szCs w:val="20"/>
              </w:rPr>
              <w:t xml:space="preserve"> + </w:t>
            </w:r>
            <w:proofErr w:type="spellStart"/>
            <w:r w:rsidRPr="00AE07CE">
              <w:rPr>
                <w:rFonts w:ascii="Arial Narrow" w:hAnsi="Arial Narrow" w:cstheme="minorHAnsi"/>
                <w:sz w:val="20"/>
                <w:szCs w:val="20"/>
              </w:rPr>
              <w:t>lomustine</w:t>
            </w:r>
            <w:proofErr w:type="spellEnd"/>
            <w:r w:rsidRPr="00AE07CE">
              <w:rPr>
                <w:rFonts w:ascii="Arial Narrow" w:hAnsi="Arial Narrow" w:cstheme="minorHAnsi"/>
                <w:sz w:val="20"/>
                <w:szCs w:val="20"/>
              </w:rPr>
              <w:t xml:space="preserve"> </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52</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39</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4</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12</w:t>
            </w:r>
          </w:p>
        </w:tc>
      </w:tr>
      <w:tr w:rsidR="0031691A" w:rsidRPr="00AE07CE" w:rsidTr="002C60CD">
        <w:tc>
          <w:tcPr>
            <w:tcW w:w="548" w:type="pct"/>
          </w:tcPr>
          <w:p w:rsidR="0031691A" w:rsidRPr="00AE07CE" w:rsidRDefault="0031691A" w:rsidP="0031691A">
            <w:pPr>
              <w:keepNext/>
              <w:keepLines/>
              <w:rPr>
                <w:rFonts w:ascii="Arial Narrow" w:hAnsi="Arial Narrow" w:cstheme="minorHAnsi"/>
                <w:sz w:val="20"/>
                <w:szCs w:val="20"/>
                <w:vertAlign w:val="superscript"/>
              </w:rPr>
            </w:pPr>
            <w:r w:rsidRPr="00AE07CE">
              <w:rPr>
                <w:rFonts w:ascii="Arial Narrow" w:hAnsi="Arial Narrow" w:cstheme="minorHAnsi"/>
                <w:sz w:val="20"/>
                <w:szCs w:val="20"/>
              </w:rPr>
              <w:t xml:space="preserve">Field 2015 </w:t>
            </w:r>
            <w:r w:rsidR="0076251F" w:rsidRPr="00AE07CE">
              <w:rPr>
                <w:rFonts w:ascii="Arial Narrow" w:hAnsi="Arial Narrow" w:cstheme="minorHAnsi"/>
                <w:sz w:val="20"/>
                <w:szCs w:val="20"/>
              </w:rPr>
              <w:t>(CABARET)</w:t>
            </w:r>
            <w:r w:rsidRPr="00AE07CE">
              <w:rPr>
                <w:rFonts w:ascii="Arial Narrow" w:hAnsi="Arial Narrow" w:cstheme="minorHAnsi"/>
                <w:sz w:val="20"/>
                <w:szCs w:val="20"/>
                <w:vertAlign w:val="superscript"/>
              </w:rPr>
              <w:t>a</w:t>
            </w: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Beva</w:t>
            </w:r>
            <w:proofErr w:type="spellEnd"/>
            <w:r w:rsidRPr="00AE07CE">
              <w:rPr>
                <w:rFonts w:ascii="Arial Narrow" w:hAnsi="Arial Narrow" w:cstheme="minorHAnsi"/>
                <w:sz w:val="20"/>
                <w:szCs w:val="20"/>
              </w:rPr>
              <w:t xml:space="preserve"> + carboplatin</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62</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60</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6</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14</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3.5</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3.5</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7.5</w:t>
            </w: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6.9</w:t>
            </w:r>
          </w:p>
        </w:tc>
      </w:tr>
      <w:tr w:rsidR="0031691A" w:rsidRPr="00AE07CE" w:rsidTr="002C60CD">
        <w:tc>
          <w:tcPr>
            <w:tcW w:w="548" w:type="pct"/>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Brandes</w:t>
            </w:r>
            <w:proofErr w:type="spellEnd"/>
            <w:r w:rsidRPr="00AE07CE">
              <w:rPr>
                <w:rFonts w:ascii="Arial Narrow" w:hAnsi="Arial Narrow" w:cstheme="minorHAnsi"/>
                <w:sz w:val="20"/>
                <w:szCs w:val="20"/>
              </w:rPr>
              <w:t xml:space="preserve"> 2016 </w:t>
            </w:r>
          </w:p>
          <w:p w:rsidR="00A03F9D" w:rsidRPr="00AE07CE" w:rsidRDefault="00A03F9D" w:rsidP="0031691A">
            <w:pPr>
              <w:keepNext/>
              <w:keepLines/>
              <w:rPr>
                <w:rFonts w:ascii="Arial Narrow" w:hAnsi="Arial Narrow" w:cstheme="minorHAnsi"/>
                <w:sz w:val="20"/>
                <w:szCs w:val="20"/>
              </w:rPr>
            </w:pPr>
            <w:r w:rsidRPr="00AE07CE">
              <w:rPr>
                <w:rFonts w:ascii="Arial Narrow" w:hAnsi="Arial Narrow" w:cstheme="minorHAnsi"/>
                <w:sz w:val="20"/>
                <w:szCs w:val="20"/>
              </w:rPr>
              <w:t>(AVAREG)</w:t>
            </w: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fotemustine</w:t>
            </w:r>
            <w:proofErr w:type="spellEnd"/>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59</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32</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29</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9</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3.4</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3.4</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7.3</w:t>
            </w: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8.7</w:t>
            </w:r>
          </w:p>
        </w:tc>
      </w:tr>
      <w:tr w:rsidR="0031691A" w:rsidRPr="00AE07CE" w:rsidTr="002C60CD">
        <w:tc>
          <w:tcPr>
            <w:tcW w:w="5000" w:type="pct"/>
            <w:gridSpan w:val="10"/>
          </w:tcPr>
          <w:p w:rsidR="0031691A" w:rsidRPr="00AE07CE" w:rsidRDefault="0031691A" w:rsidP="0031691A">
            <w:pPr>
              <w:keepNext/>
              <w:keepLines/>
              <w:rPr>
                <w:rFonts w:ascii="Arial Narrow" w:hAnsi="Arial Narrow" w:cstheme="minorHAnsi"/>
                <w:b/>
                <w:sz w:val="20"/>
                <w:szCs w:val="20"/>
              </w:rPr>
            </w:pPr>
            <w:r w:rsidRPr="00AE07CE">
              <w:rPr>
                <w:rFonts w:ascii="Arial Narrow" w:hAnsi="Arial Narrow" w:cstheme="minorHAnsi"/>
                <w:b/>
                <w:sz w:val="20"/>
                <w:szCs w:val="20"/>
              </w:rPr>
              <w:t xml:space="preserve">Bevacizumab + </w:t>
            </w:r>
            <w:proofErr w:type="spellStart"/>
            <w:r w:rsidRPr="00AE07CE">
              <w:rPr>
                <w:rFonts w:ascii="Arial Narrow" w:hAnsi="Arial Narrow" w:cstheme="minorHAnsi"/>
                <w:b/>
                <w:sz w:val="20"/>
                <w:szCs w:val="20"/>
              </w:rPr>
              <w:t>lomustine</w:t>
            </w:r>
            <w:proofErr w:type="spellEnd"/>
            <w:r w:rsidRPr="00AE07CE">
              <w:rPr>
                <w:rFonts w:ascii="Arial Narrow" w:hAnsi="Arial Narrow" w:cstheme="minorHAnsi"/>
                <w:b/>
                <w:sz w:val="20"/>
                <w:szCs w:val="20"/>
              </w:rPr>
              <w:t xml:space="preserve"> versus </w:t>
            </w:r>
            <w:proofErr w:type="spellStart"/>
            <w:r w:rsidRPr="00AE07CE">
              <w:rPr>
                <w:rFonts w:ascii="Arial Narrow" w:hAnsi="Arial Narrow" w:cstheme="minorHAnsi"/>
                <w:b/>
                <w:sz w:val="20"/>
                <w:szCs w:val="20"/>
              </w:rPr>
              <w:t>lomustine</w:t>
            </w:r>
            <w:proofErr w:type="spellEnd"/>
            <w:r w:rsidRPr="00AE07CE">
              <w:rPr>
                <w:rFonts w:ascii="Arial Narrow" w:hAnsi="Arial Narrow" w:cstheme="minorHAnsi"/>
                <w:b/>
                <w:sz w:val="20"/>
                <w:szCs w:val="20"/>
              </w:rPr>
              <w:t xml:space="preserve"> (no bevacizumab monotherapy arm)</w:t>
            </w:r>
          </w:p>
        </w:tc>
      </w:tr>
      <w:tr w:rsidR="0031691A" w:rsidRPr="00AE07CE" w:rsidTr="002C60CD">
        <w:tc>
          <w:tcPr>
            <w:tcW w:w="548" w:type="pct"/>
          </w:tcPr>
          <w:p w:rsidR="00A03F9D" w:rsidRPr="00AE07CE" w:rsidRDefault="0031691A" w:rsidP="0031691A">
            <w:pPr>
              <w:keepNext/>
              <w:keepLines/>
              <w:rPr>
                <w:rFonts w:ascii="Arial Narrow" w:hAnsi="Arial Narrow" w:cstheme="minorHAnsi"/>
                <w:sz w:val="20"/>
                <w:szCs w:val="20"/>
              </w:rPr>
            </w:pPr>
            <w:r w:rsidRPr="00AE07CE">
              <w:rPr>
                <w:rFonts w:ascii="Arial Narrow" w:hAnsi="Arial Narrow" w:cstheme="minorHAnsi"/>
                <w:sz w:val="20"/>
                <w:szCs w:val="20"/>
              </w:rPr>
              <w:t xml:space="preserve">Wick 2017 </w:t>
            </w:r>
          </w:p>
          <w:p w:rsidR="0031691A" w:rsidRPr="00AE07CE" w:rsidRDefault="00A03F9D" w:rsidP="0031691A">
            <w:pPr>
              <w:keepNext/>
              <w:keepLines/>
              <w:rPr>
                <w:rFonts w:ascii="Arial Narrow" w:hAnsi="Arial Narrow" w:cstheme="minorHAnsi"/>
                <w:sz w:val="20"/>
                <w:szCs w:val="20"/>
              </w:rPr>
            </w:pPr>
            <w:r w:rsidRPr="00AE07CE">
              <w:rPr>
                <w:rFonts w:ascii="Arial Narrow" w:hAnsi="Arial Narrow" w:cstheme="minorHAnsi"/>
                <w:sz w:val="20"/>
                <w:szCs w:val="20"/>
              </w:rPr>
              <w:t>(EORTC)</w:t>
            </w:r>
          </w:p>
        </w:tc>
        <w:tc>
          <w:tcPr>
            <w:tcW w:w="798" w:type="pct"/>
            <w:tcBorders>
              <w:right w:val="double" w:sz="4" w:space="0" w:color="auto"/>
            </w:tcBorders>
          </w:tcPr>
          <w:p w:rsidR="0031691A" w:rsidRPr="00AE07CE" w:rsidRDefault="0031691A" w:rsidP="0031691A">
            <w:pPr>
              <w:keepNext/>
              <w:keepLines/>
              <w:rPr>
                <w:rFonts w:ascii="Arial Narrow" w:hAnsi="Arial Narrow" w:cstheme="minorHAnsi"/>
                <w:sz w:val="20"/>
                <w:szCs w:val="20"/>
              </w:rPr>
            </w:pPr>
            <w:proofErr w:type="spellStart"/>
            <w:r w:rsidRPr="00AE07CE">
              <w:rPr>
                <w:rFonts w:ascii="Arial Narrow" w:hAnsi="Arial Narrow" w:cstheme="minorHAnsi"/>
                <w:sz w:val="20"/>
                <w:szCs w:val="20"/>
              </w:rPr>
              <w:t>lomustine</w:t>
            </w:r>
            <w:proofErr w:type="spellEnd"/>
            <w:r w:rsidRPr="00AE07CE">
              <w:rPr>
                <w:rFonts w:ascii="Arial Narrow" w:hAnsi="Arial Narrow" w:cstheme="minorHAnsi"/>
                <w:sz w:val="20"/>
                <w:szCs w:val="20"/>
              </w:rPr>
              <w:t xml:space="preserve"> </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288</w:t>
            </w:r>
          </w:p>
        </w:tc>
        <w:tc>
          <w:tcPr>
            <w:tcW w:w="457" w:type="pct"/>
            <w:tcBorders>
              <w:right w:val="double" w:sz="4" w:space="0" w:color="auto"/>
            </w:tcBorders>
            <w:vAlign w:val="center"/>
          </w:tcPr>
          <w:p w:rsidR="0031691A" w:rsidRPr="00400B3F" w:rsidRDefault="0031691A" w:rsidP="0031691A">
            <w:pPr>
              <w:keepNext/>
              <w:keepLines/>
              <w:jc w:val="center"/>
              <w:rPr>
                <w:rFonts w:ascii="Arial Narrow" w:hAnsi="Arial Narrow" w:cstheme="minorHAnsi"/>
                <w:sz w:val="20"/>
                <w:szCs w:val="20"/>
              </w:rPr>
            </w:pPr>
            <w:r w:rsidRPr="00400B3F">
              <w:rPr>
                <w:rFonts w:ascii="Arial Narrow" w:hAnsi="Arial Narrow" w:cstheme="minorHAnsi"/>
                <w:sz w:val="20"/>
                <w:szCs w:val="20"/>
              </w:rPr>
              <w:t>149</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41.5</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13.9</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4.2</w:t>
            </w:r>
          </w:p>
        </w:tc>
        <w:tc>
          <w:tcPr>
            <w:tcW w:w="457" w:type="pct"/>
            <w:tcBorders>
              <w:righ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1.5</w:t>
            </w:r>
          </w:p>
        </w:tc>
        <w:tc>
          <w:tcPr>
            <w:tcW w:w="456" w:type="pct"/>
            <w:tcBorders>
              <w:left w:val="double" w:sz="4" w:space="0" w:color="auto"/>
            </w:tcBorders>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9.1</w:t>
            </w:r>
          </w:p>
        </w:tc>
        <w:tc>
          <w:tcPr>
            <w:tcW w:w="459" w:type="pct"/>
            <w:vAlign w:val="center"/>
          </w:tcPr>
          <w:p w:rsidR="0031691A" w:rsidRPr="00AE07CE" w:rsidRDefault="0031691A" w:rsidP="0031691A">
            <w:pPr>
              <w:keepNext/>
              <w:keepLines/>
              <w:jc w:val="center"/>
              <w:rPr>
                <w:rFonts w:ascii="Arial Narrow" w:hAnsi="Arial Narrow" w:cstheme="minorHAnsi"/>
                <w:sz w:val="20"/>
                <w:szCs w:val="20"/>
              </w:rPr>
            </w:pPr>
            <w:r w:rsidRPr="00AE07CE">
              <w:rPr>
                <w:rFonts w:ascii="Arial Narrow" w:hAnsi="Arial Narrow" w:cstheme="minorHAnsi"/>
                <w:sz w:val="20"/>
                <w:szCs w:val="20"/>
              </w:rPr>
              <w:t>8.6</w:t>
            </w:r>
          </w:p>
        </w:tc>
      </w:tr>
    </w:tbl>
    <w:p w:rsidR="0031691A" w:rsidRPr="00AE07CE" w:rsidRDefault="0031691A" w:rsidP="0031691A">
      <w:pPr>
        <w:keepNext/>
        <w:keepLines/>
        <w:spacing w:after="120"/>
        <w:contextualSpacing/>
        <w:rPr>
          <w:rFonts w:ascii="Arial Narrow" w:hAnsi="Arial Narrow"/>
          <w:sz w:val="18"/>
          <w:szCs w:val="18"/>
        </w:rPr>
      </w:pPr>
      <w:r w:rsidRPr="00AE07CE">
        <w:rPr>
          <w:rFonts w:ascii="Arial Narrow" w:hAnsi="Arial Narrow"/>
          <w:sz w:val="18"/>
          <w:szCs w:val="18"/>
        </w:rPr>
        <w:t>Source: Table 1, p4 of the minor resubmission.</w:t>
      </w:r>
    </w:p>
    <w:p w:rsidR="0031691A" w:rsidRPr="00AE07CE" w:rsidRDefault="0031691A" w:rsidP="0031691A">
      <w:pPr>
        <w:spacing w:after="120"/>
        <w:contextualSpacing/>
        <w:rPr>
          <w:rFonts w:ascii="Arial Narrow" w:hAnsi="Arial Narrow"/>
          <w:sz w:val="18"/>
          <w:szCs w:val="18"/>
        </w:rPr>
      </w:pPr>
      <w:r w:rsidRPr="00AE07CE">
        <w:rPr>
          <w:rFonts w:ascii="Arial Narrow" w:hAnsi="Arial Narrow"/>
          <w:sz w:val="18"/>
          <w:szCs w:val="18"/>
        </w:rPr>
        <w:t>Bev = bevacizumab</w:t>
      </w:r>
      <w:r w:rsidR="00643380" w:rsidRPr="00AE07CE">
        <w:rPr>
          <w:rFonts w:ascii="Arial Narrow" w:hAnsi="Arial Narrow"/>
          <w:sz w:val="18"/>
          <w:szCs w:val="18"/>
        </w:rPr>
        <w:t>; Comp = comparator</w:t>
      </w:r>
      <w:r w:rsidRPr="00AE07CE">
        <w:rPr>
          <w:rFonts w:ascii="Arial Narrow" w:hAnsi="Arial Narrow"/>
          <w:sz w:val="18"/>
          <w:szCs w:val="18"/>
        </w:rPr>
        <w:t xml:space="preserve">, ORR = objective </w:t>
      </w:r>
      <w:r w:rsidR="00C65CE6" w:rsidRPr="00AE07CE">
        <w:rPr>
          <w:rFonts w:ascii="Arial Narrow" w:hAnsi="Arial Narrow"/>
          <w:sz w:val="18"/>
          <w:szCs w:val="18"/>
        </w:rPr>
        <w:t>r</w:t>
      </w:r>
      <w:r w:rsidRPr="00AE07CE">
        <w:rPr>
          <w:rFonts w:ascii="Arial Narrow" w:hAnsi="Arial Narrow"/>
          <w:sz w:val="18"/>
          <w:szCs w:val="18"/>
        </w:rPr>
        <w:t xml:space="preserve">esponse </w:t>
      </w:r>
      <w:r w:rsidR="00C65CE6" w:rsidRPr="00AE07CE">
        <w:rPr>
          <w:rFonts w:ascii="Arial Narrow" w:hAnsi="Arial Narrow"/>
          <w:sz w:val="18"/>
          <w:szCs w:val="18"/>
        </w:rPr>
        <w:t>r</w:t>
      </w:r>
      <w:r w:rsidRPr="00AE07CE">
        <w:rPr>
          <w:rFonts w:ascii="Arial Narrow" w:hAnsi="Arial Narrow"/>
          <w:sz w:val="18"/>
          <w:szCs w:val="18"/>
        </w:rPr>
        <w:t>ate, CR= complete response, PR =partial response, PFS = progression free survival, OS = overall survival</w:t>
      </w:r>
    </w:p>
    <w:p w:rsidR="0031691A" w:rsidRPr="00AE07CE" w:rsidRDefault="0031691A" w:rsidP="0031691A">
      <w:pPr>
        <w:spacing w:after="120"/>
        <w:contextualSpacing/>
        <w:rPr>
          <w:rFonts w:ascii="Arial Narrow" w:hAnsi="Arial Narrow"/>
          <w:sz w:val="18"/>
          <w:szCs w:val="18"/>
        </w:rPr>
      </w:pPr>
      <w:proofErr w:type="spellStart"/>
      <w:proofErr w:type="gramStart"/>
      <w:r w:rsidRPr="00AE07CE">
        <w:rPr>
          <w:rFonts w:ascii="Arial Narrow" w:hAnsi="Arial Narrow"/>
          <w:sz w:val="18"/>
          <w:szCs w:val="18"/>
          <w:vertAlign w:val="superscript"/>
        </w:rPr>
        <w:t>a</w:t>
      </w:r>
      <w:proofErr w:type="spellEnd"/>
      <w:proofErr w:type="gramEnd"/>
      <w:r w:rsidRPr="00AE07CE">
        <w:rPr>
          <w:rFonts w:ascii="Arial Narrow" w:hAnsi="Arial Narrow"/>
          <w:sz w:val="18"/>
          <w:szCs w:val="18"/>
        </w:rPr>
        <w:t xml:space="preserve"> This is the Australian ‘</w:t>
      </w:r>
      <w:proofErr w:type="spellStart"/>
      <w:r w:rsidRPr="00AE07CE">
        <w:rPr>
          <w:rFonts w:ascii="Arial Narrow" w:hAnsi="Arial Narrow"/>
          <w:sz w:val="18"/>
          <w:szCs w:val="18"/>
        </w:rPr>
        <w:t>Caberet</w:t>
      </w:r>
      <w:proofErr w:type="spellEnd"/>
      <w:r w:rsidRPr="00AE07CE">
        <w:rPr>
          <w:rFonts w:ascii="Arial Narrow" w:hAnsi="Arial Narrow"/>
          <w:sz w:val="18"/>
          <w:szCs w:val="18"/>
        </w:rPr>
        <w:t>’ study refe</w:t>
      </w:r>
      <w:r w:rsidR="009A76EE" w:rsidRPr="00AE07CE">
        <w:rPr>
          <w:rFonts w:ascii="Arial Narrow" w:hAnsi="Arial Narrow"/>
          <w:sz w:val="18"/>
          <w:szCs w:val="18"/>
        </w:rPr>
        <w:t>rred to in correspondence from the group of seven</w:t>
      </w:r>
      <w:r w:rsidRPr="00AE07CE">
        <w:rPr>
          <w:rFonts w:ascii="Arial Narrow" w:hAnsi="Arial Narrow"/>
          <w:sz w:val="18"/>
          <w:szCs w:val="18"/>
        </w:rPr>
        <w:t xml:space="preserve"> neuro-oncologists. The study concluded that adding carboplatin to bevacizumab resulted in more toxicity </w:t>
      </w:r>
      <w:r w:rsidR="001F5E20" w:rsidRPr="00AE07CE">
        <w:rPr>
          <w:rFonts w:ascii="Arial Narrow" w:hAnsi="Arial Narrow"/>
          <w:sz w:val="18"/>
          <w:szCs w:val="18"/>
        </w:rPr>
        <w:t xml:space="preserve">than bevacizumab alone </w:t>
      </w:r>
      <w:r w:rsidRPr="00AE07CE">
        <w:rPr>
          <w:rFonts w:ascii="Arial Narrow" w:hAnsi="Arial Narrow"/>
          <w:sz w:val="18"/>
          <w:szCs w:val="18"/>
        </w:rPr>
        <w:t>without additional clinical benefit.</w:t>
      </w:r>
    </w:p>
    <w:p w:rsidR="009A76EE" w:rsidRPr="00400B3F" w:rsidRDefault="009A76EE"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submission further stated that a recent Cochrane review on the role of anti-angiogenic therapy for high-grade glioma (</w:t>
      </w:r>
      <w:proofErr w:type="spellStart"/>
      <w:r w:rsidRPr="00AE07CE">
        <w:rPr>
          <w:rFonts w:asciiTheme="minorHAnsi" w:eastAsiaTheme="minorHAnsi" w:hAnsiTheme="minorHAnsi" w:cstheme="minorBidi"/>
          <w:snapToGrid/>
          <w:sz w:val="24"/>
          <w:szCs w:val="22"/>
        </w:rPr>
        <w:t>Ameratunga</w:t>
      </w:r>
      <w:proofErr w:type="spellEnd"/>
      <w:r w:rsidRPr="00AE07CE">
        <w:rPr>
          <w:rFonts w:asciiTheme="minorHAnsi" w:eastAsiaTheme="minorHAnsi" w:hAnsiTheme="minorHAnsi" w:cstheme="minorBidi"/>
          <w:snapToGrid/>
          <w:sz w:val="24"/>
          <w:szCs w:val="22"/>
        </w:rPr>
        <w:t xml:space="preserve"> 2018), reported a pooled hazard ratio (HR) for PFS for bevacizumab </w:t>
      </w:r>
      <w:r w:rsidR="00A673DE" w:rsidRPr="00AE07CE">
        <w:rPr>
          <w:rFonts w:asciiTheme="minorHAnsi" w:eastAsiaTheme="minorHAnsi" w:hAnsiTheme="minorHAnsi" w:cstheme="minorBidi"/>
          <w:snapToGrid/>
          <w:sz w:val="24"/>
          <w:szCs w:val="22"/>
        </w:rPr>
        <w:t xml:space="preserve">versus no bevacizumab </w:t>
      </w:r>
      <w:r w:rsidRPr="00AE07CE">
        <w:rPr>
          <w:rFonts w:asciiTheme="minorHAnsi" w:eastAsiaTheme="minorHAnsi" w:hAnsiTheme="minorHAnsi" w:cstheme="minorBidi"/>
          <w:snapToGrid/>
          <w:sz w:val="24"/>
          <w:szCs w:val="22"/>
        </w:rPr>
        <w:t>(6 studies with 2</w:t>
      </w:r>
      <w:r w:rsidR="00F3616B"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362 participants) </w:t>
      </w:r>
      <w:r w:rsidR="00F3616B" w:rsidRPr="00AE07CE">
        <w:rPr>
          <w:rFonts w:asciiTheme="minorHAnsi" w:eastAsiaTheme="minorHAnsi" w:hAnsiTheme="minorHAnsi" w:cstheme="minorBidi"/>
          <w:snapToGrid/>
          <w:sz w:val="24"/>
          <w:szCs w:val="22"/>
        </w:rPr>
        <w:t>of</w:t>
      </w:r>
      <w:r w:rsidRPr="00AE07CE">
        <w:rPr>
          <w:rFonts w:asciiTheme="minorHAnsi" w:eastAsiaTheme="minorHAnsi" w:hAnsiTheme="minorHAnsi" w:cstheme="minorBidi"/>
          <w:snapToGrid/>
          <w:sz w:val="24"/>
          <w:szCs w:val="22"/>
        </w:rPr>
        <w:t xml:space="preserve"> 0.65 (</w:t>
      </w:r>
      <w:r w:rsidR="00F3616B" w:rsidRPr="00AE07CE">
        <w:rPr>
          <w:rFonts w:asciiTheme="minorHAnsi" w:eastAsiaTheme="minorHAnsi" w:hAnsiTheme="minorHAnsi" w:cstheme="minorBidi"/>
          <w:snapToGrid/>
          <w:sz w:val="24"/>
          <w:szCs w:val="22"/>
        </w:rPr>
        <w:t xml:space="preserve">95% confidence interval (CI): </w:t>
      </w:r>
      <w:r w:rsidRPr="00AE07CE">
        <w:rPr>
          <w:rFonts w:asciiTheme="minorHAnsi" w:eastAsiaTheme="minorHAnsi" w:hAnsiTheme="minorHAnsi" w:cstheme="minorBidi"/>
          <w:snapToGrid/>
          <w:sz w:val="24"/>
          <w:szCs w:val="22"/>
        </w:rPr>
        <w:t>0.60, 0.72). Th</w:t>
      </w:r>
      <w:r w:rsidR="00F3616B" w:rsidRPr="00AE07CE">
        <w:rPr>
          <w:rFonts w:asciiTheme="minorHAnsi" w:eastAsiaTheme="minorHAnsi" w:hAnsiTheme="minorHAnsi" w:cstheme="minorBidi"/>
          <w:snapToGrid/>
          <w:sz w:val="24"/>
          <w:szCs w:val="22"/>
        </w:rPr>
        <w:t xml:space="preserve">e HR for </w:t>
      </w:r>
      <w:r w:rsidR="006A6D54" w:rsidRPr="00AE07CE">
        <w:rPr>
          <w:rFonts w:asciiTheme="minorHAnsi" w:eastAsiaTheme="minorHAnsi" w:hAnsiTheme="minorHAnsi" w:cstheme="minorBidi"/>
          <w:snapToGrid/>
          <w:sz w:val="24"/>
          <w:szCs w:val="22"/>
        </w:rPr>
        <w:t>o</w:t>
      </w:r>
      <w:r w:rsidR="00E24E1F" w:rsidRPr="00AE07CE">
        <w:rPr>
          <w:rFonts w:asciiTheme="minorHAnsi" w:eastAsiaTheme="minorHAnsi" w:hAnsiTheme="minorHAnsi" w:cstheme="minorBidi"/>
          <w:snapToGrid/>
          <w:sz w:val="24"/>
          <w:szCs w:val="22"/>
        </w:rPr>
        <w:t xml:space="preserve">verall </w:t>
      </w:r>
      <w:r w:rsidR="000D52DA" w:rsidRPr="00AE07CE">
        <w:rPr>
          <w:rFonts w:asciiTheme="minorHAnsi" w:eastAsiaTheme="minorHAnsi" w:hAnsiTheme="minorHAnsi" w:cstheme="minorBidi"/>
          <w:snapToGrid/>
          <w:sz w:val="24"/>
          <w:szCs w:val="22"/>
        </w:rPr>
        <w:t>s</w:t>
      </w:r>
      <w:r w:rsidR="00E24E1F" w:rsidRPr="00AE07CE">
        <w:rPr>
          <w:rFonts w:asciiTheme="minorHAnsi" w:eastAsiaTheme="minorHAnsi" w:hAnsiTheme="minorHAnsi" w:cstheme="minorBidi"/>
          <w:snapToGrid/>
          <w:sz w:val="24"/>
          <w:szCs w:val="22"/>
        </w:rPr>
        <w:t>urvival (OS)</w:t>
      </w:r>
      <w:r w:rsidR="00F3616B" w:rsidRPr="00AE07CE">
        <w:rPr>
          <w:rFonts w:asciiTheme="minorHAnsi" w:eastAsiaTheme="minorHAnsi" w:hAnsiTheme="minorHAnsi" w:cstheme="minorBidi"/>
          <w:snapToGrid/>
          <w:sz w:val="24"/>
          <w:szCs w:val="22"/>
        </w:rPr>
        <w:t xml:space="preserve"> </w:t>
      </w:r>
      <w:r w:rsidRPr="00AE07CE">
        <w:rPr>
          <w:rFonts w:asciiTheme="minorHAnsi" w:eastAsiaTheme="minorHAnsi" w:hAnsiTheme="minorHAnsi" w:cstheme="minorBidi"/>
          <w:snapToGrid/>
          <w:sz w:val="24"/>
          <w:szCs w:val="22"/>
        </w:rPr>
        <w:t xml:space="preserve">was not </w:t>
      </w:r>
      <w:r w:rsidR="00F3616B" w:rsidRPr="00AE07CE">
        <w:rPr>
          <w:rFonts w:asciiTheme="minorHAnsi" w:eastAsiaTheme="minorHAnsi" w:hAnsiTheme="minorHAnsi" w:cstheme="minorBidi"/>
          <w:snapToGrid/>
          <w:sz w:val="24"/>
          <w:szCs w:val="22"/>
        </w:rPr>
        <w:t xml:space="preserve">statistically </w:t>
      </w:r>
      <w:r w:rsidRPr="00AE07CE">
        <w:rPr>
          <w:rFonts w:asciiTheme="minorHAnsi" w:eastAsiaTheme="minorHAnsi" w:hAnsiTheme="minorHAnsi" w:cstheme="minorBidi"/>
          <w:snapToGrid/>
          <w:sz w:val="24"/>
          <w:szCs w:val="22"/>
        </w:rPr>
        <w:t>significant (</w:t>
      </w:r>
      <w:proofErr w:type="gramStart"/>
      <w:r w:rsidRPr="00AE07CE">
        <w:rPr>
          <w:rFonts w:asciiTheme="minorHAnsi" w:eastAsiaTheme="minorHAnsi" w:hAnsiTheme="minorHAnsi" w:cstheme="minorBidi"/>
          <w:snapToGrid/>
          <w:sz w:val="24"/>
          <w:szCs w:val="22"/>
        </w:rPr>
        <w:t>7</w:t>
      </w:r>
      <w:proofErr w:type="gramEnd"/>
      <w:r w:rsidRPr="00AE07CE">
        <w:rPr>
          <w:rFonts w:asciiTheme="minorHAnsi" w:eastAsiaTheme="minorHAnsi" w:hAnsiTheme="minorHAnsi" w:cstheme="minorBidi"/>
          <w:snapToGrid/>
          <w:sz w:val="24"/>
          <w:szCs w:val="22"/>
        </w:rPr>
        <w:t xml:space="preserve"> studies with 2</w:t>
      </w:r>
      <w:r w:rsidR="00A673DE"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502 participants) with a HR of 0.94 (</w:t>
      </w:r>
      <w:r w:rsidR="00F3616B" w:rsidRPr="00AE07CE">
        <w:rPr>
          <w:rFonts w:asciiTheme="minorHAnsi" w:eastAsiaTheme="minorHAnsi" w:hAnsiTheme="minorHAnsi" w:cstheme="minorBidi"/>
          <w:snapToGrid/>
          <w:sz w:val="24"/>
          <w:szCs w:val="22"/>
        </w:rPr>
        <w:t xml:space="preserve">95% CI: </w:t>
      </w:r>
      <w:r w:rsidRPr="00AE07CE">
        <w:rPr>
          <w:rFonts w:asciiTheme="minorHAnsi" w:eastAsiaTheme="minorHAnsi" w:hAnsiTheme="minorHAnsi" w:cstheme="minorBidi"/>
          <w:snapToGrid/>
          <w:sz w:val="24"/>
          <w:szCs w:val="22"/>
        </w:rPr>
        <w:t xml:space="preserve">0.85, 1.02). </w:t>
      </w:r>
      <w:r w:rsidR="00A673DE" w:rsidRPr="00AE07CE">
        <w:rPr>
          <w:rFonts w:asciiTheme="minorHAnsi" w:eastAsiaTheme="minorHAnsi" w:hAnsiTheme="minorHAnsi" w:cstheme="minorBidi"/>
          <w:snapToGrid/>
          <w:sz w:val="24"/>
          <w:szCs w:val="22"/>
        </w:rPr>
        <w:t xml:space="preserve">These meta-analyses appeared to include studies in both the newly diagnosed and recurrent </w:t>
      </w:r>
      <w:proofErr w:type="gramStart"/>
      <w:r w:rsidR="00A673DE" w:rsidRPr="00AE07CE">
        <w:rPr>
          <w:rFonts w:asciiTheme="minorHAnsi" w:eastAsiaTheme="minorHAnsi" w:hAnsiTheme="minorHAnsi" w:cstheme="minorBidi"/>
          <w:snapToGrid/>
          <w:sz w:val="24"/>
          <w:szCs w:val="22"/>
        </w:rPr>
        <w:t>settings,</w:t>
      </w:r>
      <w:proofErr w:type="gramEnd"/>
      <w:r w:rsidR="00A673DE" w:rsidRPr="00AE07CE">
        <w:rPr>
          <w:rFonts w:asciiTheme="minorHAnsi" w:eastAsiaTheme="minorHAnsi" w:hAnsiTheme="minorHAnsi" w:cstheme="minorBidi"/>
          <w:snapToGrid/>
          <w:sz w:val="24"/>
          <w:szCs w:val="22"/>
        </w:rPr>
        <w:t xml:space="preserve"> however t</w:t>
      </w:r>
      <w:r w:rsidR="00F3616B" w:rsidRPr="00AE07CE">
        <w:rPr>
          <w:rFonts w:asciiTheme="minorHAnsi" w:eastAsiaTheme="minorHAnsi" w:hAnsiTheme="minorHAnsi" w:cstheme="minorBidi"/>
          <w:snapToGrid/>
          <w:sz w:val="24"/>
          <w:szCs w:val="22"/>
        </w:rPr>
        <w:t xml:space="preserve">he Cochrane review </w:t>
      </w:r>
      <w:r w:rsidR="00F3616B" w:rsidRPr="00AE07CE">
        <w:rPr>
          <w:rFonts w:asciiTheme="minorHAnsi" w:eastAsiaTheme="minorHAnsi" w:hAnsiTheme="minorHAnsi" w:cstheme="minorBidi"/>
          <w:snapToGrid/>
          <w:sz w:val="24"/>
          <w:szCs w:val="22"/>
        </w:rPr>
        <w:lastRenderedPageBreak/>
        <w:t>stated that the f</w:t>
      </w:r>
      <w:r w:rsidRPr="00AE07CE">
        <w:rPr>
          <w:rFonts w:asciiTheme="minorHAnsi" w:eastAsiaTheme="minorHAnsi" w:hAnsiTheme="minorHAnsi" w:cstheme="minorBidi"/>
          <w:snapToGrid/>
          <w:sz w:val="24"/>
          <w:szCs w:val="22"/>
        </w:rPr>
        <w:t>inding</w:t>
      </w:r>
      <w:r w:rsidR="00A673DE" w:rsidRPr="00AE07CE">
        <w:rPr>
          <w:rFonts w:asciiTheme="minorHAnsi" w:eastAsiaTheme="minorHAnsi" w:hAnsiTheme="minorHAnsi" w:cstheme="minorBidi"/>
          <w:snapToGrid/>
          <w:sz w:val="24"/>
          <w:szCs w:val="22"/>
        </w:rPr>
        <w:t>s were consistent across both</w:t>
      </w:r>
      <w:r w:rsidRPr="00AE07CE">
        <w:rPr>
          <w:rFonts w:asciiTheme="minorHAnsi" w:eastAsiaTheme="minorHAnsi" w:hAnsiTheme="minorHAnsi" w:cstheme="minorBidi"/>
          <w:snapToGrid/>
          <w:sz w:val="24"/>
          <w:szCs w:val="22"/>
        </w:rPr>
        <w:t xml:space="preserve"> patient populations.</w:t>
      </w:r>
      <w:r w:rsidR="00E24E1F" w:rsidRPr="00AE07CE">
        <w:rPr>
          <w:rStyle w:val="FootnoteReference"/>
          <w:rFonts w:asciiTheme="minorHAnsi" w:eastAsiaTheme="minorHAnsi" w:hAnsiTheme="minorHAnsi" w:cstheme="minorBidi"/>
          <w:snapToGrid/>
          <w:sz w:val="24"/>
        </w:rPr>
        <w:footnoteReference w:id="6"/>
      </w:r>
      <w:r w:rsidR="00A673DE" w:rsidRPr="00AE07CE">
        <w:rPr>
          <w:rFonts w:asciiTheme="minorHAnsi" w:eastAsiaTheme="minorHAnsi" w:hAnsiTheme="minorHAnsi" w:cstheme="minorBidi"/>
          <w:snapToGrid/>
          <w:sz w:val="24"/>
          <w:szCs w:val="22"/>
        </w:rPr>
        <w:t xml:space="preserve"> </w:t>
      </w:r>
      <w:r w:rsidR="00A03F9D" w:rsidRPr="00AE07CE">
        <w:rPr>
          <w:rFonts w:asciiTheme="minorHAnsi" w:eastAsiaTheme="minorHAnsi" w:hAnsiTheme="minorHAnsi" w:cstheme="minorBidi"/>
          <w:snapToGrid/>
          <w:sz w:val="24"/>
          <w:szCs w:val="22"/>
        </w:rPr>
        <w:t>I</w:t>
      </w:r>
      <w:r w:rsidR="00A673DE" w:rsidRPr="00AE07CE">
        <w:rPr>
          <w:rFonts w:asciiTheme="minorHAnsi" w:eastAsiaTheme="minorHAnsi" w:hAnsiTheme="minorHAnsi" w:cstheme="minorBidi"/>
          <w:snapToGrid/>
          <w:sz w:val="24"/>
          <w:szCs w:val="22"/>
        </w:rPr>
        <w:t xml:space="preserve">t was unclear whether the studies </w:t>
      </w:r>
      <w:r w:rsidR="00F95155" w:rsidRPr="00AE07CE">
        <w:rPr>
          <w:rFonts w:asciiTheme="minorHAnsi" w:eastAsiaTheme="minorHAnsi" w:hAnsiTheme="minorHAnsi" w:cstheme="minorBidi"/>
          <w:snapToGrid/>
          <w:sz w:val="24"/>
          <w:szCs w:val="22"/>
        </w:rPr>
        <w:t xml:space="preserve">included in the Cochrane review </w:t>
      </w:r>
      <w:r w:rsidR="00A673DE" w:rsidRPr="00AE07CE">
        <w:rPr>
          <w:rFonts w:asciiTheme="minorHAnsi" w:eastAsiaTheme="minorHAnsi" w:hAnsiTheme="minorHAnsi" w:cstheme="minorBidi"/>
          <w:snapToGrid/>
          <w:sz w:val="24"/>
          <w:szCs w:val="22"/>
        </w:rPr>
        <w:t xml:space="preserve">used bevacizumab monotherapy or combination regimens. </w:t>
      </w:r>
    </w:p>
    <w:p w:rsidR="000D52DA" w:rsidRPr="00AE07CE" w:rsidRDefault="000D52DA"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rPr>
        <w:t>The submission stated that these studies demonstrate that bevacizumab prolongs PFS in patients with recurrent glioblastoma. However</w:t>
      </w:r>
      <w:r w:rsidR="00E24E1F" w:rsidRPr="00AE07CE">
        <w:rPr>
          <w:rFonts w:asciiTheme="minorHAnsi" w:eastAsiaTheme="minorHAnsi" w:hAnsiTheme="minorHAnsi" w:cstheme="minorBidi"/>
          <w:snapToGrid/>
          <w:sz w:val="24"/>
        </w:rPr>
        <w:t>, t</w:t>
      </w:r>
      <w:r w:rsidR="006E2A5E" w:rsidRPr="00AE07CE">
        <w:rPr>
          <w:rFonts w:asciiTheme="minorHAnsi" w:eastAsiaTheme="minorHAnsi" w:hAnsiTheme="minorHAnsi" w:cstheme="minorBidi"/>
          <w:snapToGrid/>
          <w:sz w:val="24"/>
        </w:rPr>
        <w:t xml:space="preserve">he </w:t>
      </w:r>
      <w:r w:rsidR="0031691A" w:rsidRPr="00AE07CE">
        <w:rPr>
          <w:rFonts w:asciiTheme="minorHAnsi" w:eastAsiaTheme="minorHAnsi" w:hAnsiTheme="minorHAnsi" w:cstheme="minorBidi"/>
          <w:snapToGrid/>
          <w:sz w:val="24"/>
        </w:rPr>
        <w:t>submission</w:t>
      </w:r>
      <w:r w:rsidR="006E2A5E" w:rsidRPr="00AE07CE">
        <w:rPr>
          <w:rFonts w:asciiTheme="minorHAnsi" w:eastAsiaTheme="minorHAnsi" w:hAnsiTheme="minorHAnsi" w:cstheme="minorBidi"/>
          <w:snapToGrid/>
          <w:sz w:val="24"/>
        </w:rPr>
        <w:t xml:space="preserve"> </w:t>
      </w:r>
      <w:r w:rsidRPr="00AE07CE">
        <w:rPr>
          <w:rFonts w:asciiTheme="minorHAnsi" w:eastAsiaTheme="minorHAnsi" w:hAnsiTheme="minorHAnsi" w:cstheme="minorBidi"/>
          <w:snapToGrid/>
          <w:sz w:val="24"/>
        </w:rPr>
        <w:t xml:space="preserve">acknowledged that these </w:t>
      </w:r>
      <w:r w:rsidR="0031691A" w:rsidRPr="00AE07CE">
        <w:rPr>
          <w:rFonts w:asciiTheme="minorHAnsi" w:eastAsiaTheme="minorHAnsi" w:hAnsiTheme="minorHAnsi" w:cstheme="minorBidi"/>
          <w:snapToGrid/>
          <w:sz w:val="24"/>
        </w:rPr>
        <w:t>new data</w:t>
      </w:r>
      <w:r w:rsidR="009E6AF2" w:rsidRPr="00AE07CE">
        <w:rPr>
          <w:rFonts w:asciiTheme="minorHAnsi" w:eastAsiaTheme="minorHAnsi" w:hAnsiTheme="minorHAnsi" w:cstheme="minorBidi"/>
          <w:snapToGrid/>
          <w:sz w:val="24"/>
        </w:rPr>
        <w:t xml:space="preserve"> do not confirm an OS benefit</w:t>
      </w:r>
      <w:r w:rsidR="0031691A" w:rsidRPr="00AE07CE">
        <w:rPr>
          <w:rFonts w:asciiTheme="minorHAnsi" w:eastAsiaTheme="minorHAnsi" w:hAnsiTheme="minorHAnsi" w:cstheme="minorBidi"/>
          <w:snapToGrid/>
          <w:sz w:val="24"/>
        </w:rPr>
        <w:t xml:space="preserve"> </w:t>
      </w:r>
      <w:r w:rsidR="009A76EE" w:rsidRPr="00AE07CE">
        <w:rPr>
          <w:rFonts w:asciiTheme="minorHAnsi" w:eastAsiaTheme="minorHAnsi" w:hAnsiTheme="minorHAnsi" w:cstheme="minorBidi"/>
          <w:snapToGrid/>
          <w:sz w:val="24"/>
        </w:rPr>
        <w:t xml:space="preserve">for </w:t>
      </w:r>
      <w:r w:rsidR="0031691A" w:rsidRPr="00AE07CE">
        <w:rPr>
          <w:rFonts w:asciiTheme="minorHAnsi" w:eastAsiaTheme="minorHAnsi" w:hAnsiTheme="minorHAnsi" w:cstheme="minorBidi"/>
          <w:snapToGrid/>
          <w:sz w:val="24"/>
        </w:rPr>
        <w:t>bevacizumab for this indication</w:t>
      </w:r>
      <w:r w:rsidR="009E6AF2" w:rsidRPr="00AE07CE">
        <w:rPr>
          <w:rFonts w:asciiTheme="minorHAnsi" w:eastAsiaTheme="minorHAnsi" w:hAnsiTheme="minorHAnsi" w:cstheme="minorBidi"/>
          <w:snapToGrid/>
          <w:sz w:val="24"/>
        </w:rPr>
        <w:t>.</w:t>
      </w:r>
    </w:p>
    <w:p w:rsidR="00B24DB3" w:rsidRPr="007A086B" w:rsidRDefault="00B24DB3"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PBAC </w:t>
      </w:r>
      <w:r w:rsidR="00CB0759" w:rsidRPr="007A086B">
        <w:rPr>
          <w:rFonts w:asciiTheme="minorHAnsi" w:hAnsiTheme="minorHAnsi" w:cs="Arial"/>
          <w:bCs/>
          <w:snapToGrid w:val="0"/>
        </w:rPr>
        <w:t>noted that</w:t>
      </w:r>
      <w:r w:rsidR="009572C1" w:rsidRPr="007A086B">
        <w:rPr>
          <w:rFonts w:asciiTheme="minorHAnsi" w:hAnsiTheme="minorHAnsi" w:cs="Arial"/>
          <w:bCs/>
          <w:snapToGrid w:val="0"/>
        </w:rPr>
        <w:t xml:space="preserve"> three</w:t>
      </w:r>
      <w:r w:rsidR="00CB0759" w:rsidRPr="007A086B">
        <w:rPr>
          <w:rFonts w:asciiTheme="minorHAnsi" w:hAnsiTheme="minorHAnsi" w:cs="Arial"/>
          <w:bCs/>
          <w:snapToGrid w:val="0"/>
        </w:rPr>
        <w:t xml:space="preserve"> of the new studies </w:t>
      </w:r>
      <w:r w:rsidR="006A6D54" w:rsidRPr="007A086B">
        <w:rPr>
          <w:rFonts w:asciiTheme="minorHAnsi" w:hAnsiTheme="minorHAnsi" w:cs="Arial"/>
          <w:bCs/>
          <w:snapToGrid w:val="0"/>
        </w:rPr>
        <w:t xml:space="preserve">were randomised controlled trials that </w:t>
      </w:r>
      <w:r w:rsidR="00CB0759" w:rsidRPr="007A086B">
        <w:rPr>
          <w:rFonts w:asciiTheme="minorHAnsi" w:hAnsiTheme="minorHAnsi" w:cs="Arial"/>
          <w:bCs/>
          <w:snapToGrid w:val="0"/>
        </w:rPr>
        <w:t xml:space="preserve">included a comparison of bevacizumab versus an older chemotherapy: </w:t>
      </w:r>
      <w:r w:rsidRPr="007A086B">
        <w:rPr>
          <w:rFonts w:asciiTheme="minorHAnsi" w:hAnsiTheme="minorHAnsi" w:cs="Arial"/>
          <w:bCs/>
          <w:snapToGrid w:val="0"/>
        </w:rPr>
        <w:t>BELOB (Taal 2014), AVAREG (</w:t>
      </w:r>
      <w:proofErr w:type="spellStart"/>
      <w:r w:rsidRPr="007A086B">
        <w:rPr>
          <w:rFonts w:asciiTheme="minorHAnsi" w:hAnsiTheme="minorHAnsi" w:cs="Arial"/>
          <w:bCs/>
          <w:snapToGrid w:val="0"/>
        </w:rPr>
        <w:t>Brandes</w:t>
      </w:r>
      <w:proofErr w:type="spellEnd"/>
      <w:r w:rsidRPr="007A086B">
        <w:rPr>
          <w:rFonts w:asciiTheme="minorHAnsi" w:hAnsiTheme="minorHAnsi" w:cs="Arial"/>
          <w:bCs/>
          <w:snapToGrid w:val="0"/>
        </w:rPr>
        <w:t xml:space="preserve"> 2016) and EORTC (Wick 2017). PBAC considered that the</w:t>
      </w:r>
      <w:r w:rsidR="00CB0759" w:rsidRPr="007A086B">
        <w:rPr>
          <w:rFonts w:asciiTheme="minorHAnsi" w:hAnsiTheme="minorHAnsi" w:cs="Arial"/>
          <w:bCs/>
          <w:snapToGrid w:val="0"/>
        </w:rPr>
        <w:t xml:space="preserve">se </w:t>
      </w:r>
      <w:r w:rsidRPr="007A086B">
        <w:rPr>
          <w:rFonts w:asciiTheme="minorHAnsi" w:hAnsiTheme="minorHAnsi" w:cs="Arial"/>
          <w:bCs/>
          <w:snapToGrid w:val="0"/>
        </w:rPr>
        <w:t>trials</w:t>
      </w:r>
      <w:r w:rsidR="00CB0759" w:rsidRPr="007A086B">
        <w:rPr>
          <w:rFonts w:asciiTheme="minorHAnsi" w:hAnsiTheme="minorHAnsi" w:cs="Arial"/>
          <w:bCs/>
          <w:snapToGrid w:val="0"/>
        </w:rPr>
        <w:t>, along with the evidence presented in the previous submission</w:t>
      </w:r>
      <w:r w:rsidR="00F73884" w:rsidRPr="007A086B">
        <w:rPr>
          <w:rFonts w:asciiTheme="minorHAnsi" w:hAnsiTheme="minorHAnsi" w:cs="Arial"/>
          <w:bCs/>
          <w:snapToGrid w:val="0"/>
        </w:rPr>
        <w:t>,</w:t>
      </w:r>
      <w:r w:rsidR="00262081" w:rsidRPr="007A086B">
        <w:rPr>
          <w:rFonts w:asciiTheme="minorHAnsi" w:hAnsiTheme="minorHAnsi" w:cs="Arial"/>
          <w:bCs/>
          <w:snapToGrid w:val="0"/>
        </w:rPr>
        <w:t xml:space="preserve"> </w:t>
      </w:r>
      <w:r w:rsidR="00046C78">
        <w:rPr>
          <w:rFonts w:asciiTheme="minorHAnsi" w:hAnsiTheme="minorHAnsi" w:cs="Arial"/>
          <w:bCs/>
          <w:snapToGrid w:val="0"/>
        </w:rPr>
        <w:t xml:space="preserve">suggest that an </w:t>
      </w:r>
      <w:r w:rsidRPr="007A086B">
        <w:rPr>
          <w:rFonts w:asciiTheme="minorHAnsi" w:hAnsiTheme="minorHAnsi" w:cs="Arial"/>
          <w:bCs/>
          <w:snapToGrid w:val="0"/>
        </w:rPr>
        <w:t>improve</w:t>
      </w:r>
      <w:r w:rsidR="00CB0759" w:rsidRPr="007A086B">
        <w:rPr>
          <w:rFonts w:asciiTheme="minorHAnsi" w:hAnsiTheme="minorHAnsi" w:cs="Arial"/>
          <w:bCs/>
          <w:snapToGrid w:val="0"/>
        </w:rPr>
        <w:t>ment in PFS versus older chemotherapies</w:t>
      </w:r>
      <w:r w:rsidR="00046C78">
        <w:rPr>
          <w:rFonts w:asciiTheme="minorHAnsi" w:hAnsiTheme="minorHAnsi" w:cs="Arial"/>
          <w:bCs/>
          <w:snapToGrid w:val="0"/>
        </w:rPr>
        <w:t xml:space="preserve"> may be a plausible outcome, however there remains significant uncertainty regarding clinical benefit, which is unchanged since the November 2010 PBAC outcome. Furthermore,</w:t>
      </w:r>
      <w:r w:rsidR="00CB0759" w:rsidRPr="007A086B">
        <w:rPr>
          <w:rFonts w:asciiTheme="minorHAnsi" w:hAnsiTheme="minorHAnsi" w:cs="Arial"/>
          <w:bCs/>
          <w:snapToGrid w:val="0"/>
        </w:rPr>
        <w:t xml:space="preserve"> </w:t>
      </w:r>
      <w:r w:rsidRPr="007A086B">
        <w:rPr>
          <w:rFonts w:asciiTheme="minorHAnsi" w:hAnsiTheme="minorHAnsi" w:cs="Arial"/>
          <w:bCs/>
          <w:snapToGrid w:val="0"/>
        </w:rPr>
        <w:t>the</w:t>
      </w:r>
      <w:r w:rsidR="00CB0759" w:rsidRPr="007A086B">
        <w:rPr>
          <w:rFonts w:asciiTheme="minorHAnsi" w:hAnsiTheme="minorHAnsi" w:cs="Arial"/>
          <w:bCs/>
          <w:snapToGrid w:val="0"/>
        </w:rPr>
        <w:t xml:space="preserve"> PBAC considered that these studies did not support an </w:t>
      </w:r>
      <w:r w:rsidRPr="007A086B">
        <w:rPr>
          <w:rFonts w:asciiTheme="minorHAnsi" w:hAnsiTheme="minorHAnsi" w:cs="Arial"/>
          <w:bCs/>
          <w:snapToGrid w:val="0"/>
        </w:rPr>
        <w:t>improvement in overall survival</w:t>
      </w:r>
      <w:r w:rsidR="00046C78">
        <w:rPr>
          <w:rFonts w:asciiTheme="minorHAnsi" w:hAnsiTheme="minorHAnsi" w:cs="Arial"/>
          <w:bCs/>
          <w:snapToGrid w:val="0"/>
        </w:rPr>
        <w:t>, which PBAC has previously considered to be the most robust indicator of benefit in brain cancer (</w:t>
      </w:r>
      <w:r w:rsidR="00063EFE">
        <w:rPr>
          <w:rFonts w:asciiTheme="minorHAnsi" w:hAnsiTheme="minorHAnsi" w:cs="Arial"/>
          <w:bCs/>
          <w:snapToGrid w:val="0"/>
        </w:rPr>
        <w:t xml:space="preserve">Section 12, November </w:t>
      </w:r>
      <w:r w:rsidR="00046C78">
        <w:rPr>
          <w:rFonts w:asciiTheme="minorHAnsi" w:hAnsiTheme="minorHAnsi" w:cs="Arial"/>
          <w:bCs/>
          <w:snapToGrid w:val="0"/>
        </w:rPr>
        <w:t xml:space="preserve">2010 PBAC </w:t>
      </w:r>
      <w:r w:rsidR="00063EFE">
        <w:rPr>
          <w:rFonts w:asciiTheme="minorHAnsi" w:hAnsiTheme="minorHAnsi" w:cs="Arial"/>
          <w:bCs/>
          <w:snapToGrid w:val="0"/>
        </w:rPr>
        <w:t>M</w:t>
      </w:r>
      <w:r w:rsidR="00046C78">
        <w:rPr>
          <w:rFonts w:asciiTheme="minorHAnsi" w:hAnsiTheme="minorHAnsi" w:cs="Arial"/>
          <w:bCs/>
          <w:snapToGrid w:val="0"/>
        </w:rPr>
        <w:t>inutes)</w:t>
      </w:r>
      <w:r w:rsidRPr="007A086B">
        <w:rPr>
          <w:rFonts w:asciiTheme="minorHAnsi" w:hAnsiTheme="minorHAnsi" w:cs="Arial"/>
          <w:bCs/>
          <w:snapToGrid w:val="0"/>
        </w:rPr>
        <w:t xml:space="preserve">. </w:t>
      </w:r>
    </w:p>
    <w:p w:rsidR="00E31A44" w:rsidRPr="00AE07CE" w:rsidRDefault="00E31A44" w:rsidP="00E752A8">
      <w:pPr>
        <w:spacing w:before="120" w:after="120"/>
        <w:rPr>
          <w:rFonts w:asciiTheme="minorHAnsi" w:eastAsiaTheme="minorHAnsi" w:hAnsiTheme="minorHAnsi" w:cstheme="minorBidi"/>
          <w:szCs w:val="22"/>
          <w:u w:val="single"/>
        </w:rPr>
      </w:pPr>
      <w:r w:rsidRPr="00AE07CE">
        <w:rPr>
          <w:rFonts w:asciiTheme="minorHAnsi" w:eastAsiaTheme="minorHAnsi" w:hAnsiTheme="minorHAnsi" w:cstheme="minorBidi"/>
          <w:szCs w:val="22"/>
          <w:u w:val="single"/>
        </w:rPr>
        <w:t>Quality of life and other patient relevant benefits</w:t>
      </w:r>
    </w:p>
    <w:p w:rsidR="000D52DA" w:rsidRPr="00400B3F" w:rsidRDefault="00441CBD"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minor submission claimed bevacizumab provided improved quality of life due to symptomatic benefit</w:t>
      </w:r>
      <w:r w:rsidR="006D5242" w:rsidRPr="00AE07CE">
        <w:rPr>
          <w:rFonts w:asciiTheme="minorHAnsi" w:eastAsiaTheme="minorHAnsi" w:hAnsiTheme="minorHAnsi" w:cstheme="minorBidi"/>
          <w:snapToGrid/>
          <w:sz w:val="24"/>
          <w:szCs w:val="22"/>
        </w:rPr>
        <w:t>s</w:t>
      </w:r>
      <w:r w:rsidRPr="00AE07CE">
        <w:rPr>
          <w:rFonts w:asciiTheme="minorHAnsi" w:eastAsiaTheme="minorHAnsi" w:hAnsiTheme="minorHAnsi" w:cstheme="minorBidi"/>
          <w:snapToGrid/>
          <w:sz w:val="24"/>
          <w:szCs w:val="22"/>
        </w:rPr>
        <w:t xml:space="preserve"> and reduction</w:t>
      </w:r>
      <w:r w:rsidR="006D5242" w:rsidRPr="00AE07CE">
        <w:rPr>
          <w:rFonts w:asciiTheme="minorHAnsi" w:eastAsiaTheme="minorHAnsi" w:hAnsiTheme="minorHAnsi" w:cstheme="minorBidi"/>
          <w:snapToGrid/>
          <w:sz w:val="24"/>
          <w:szCs w:val="22"/>
        </w:rPr>
        <w:t>s</w:t>
      </w:r>
      <w:r w:rsidRPr="00AE07CE">
        <w:rPr>
          <w:rFonts w:asciiTheme="minorHAnsi" w:eastAsiaTheme="minorHAnsi" w:hAnsiTheme="minorHAnsi" w:cstheme="minorBidi"/>
          <w:snapToGrid/>
          <w:sz w:val="24"/>
          <w:szCs w:val="22"/>
        </w:rPr>
        <w:t xml:space="preserve"> in steroid dose</w:t>
      </w:r>
      <w:r w:rsidR="006D5242" w:rsidRPr="00AE07CE">
        <w:rPr>
          <w:rFonts w:asciiTheme="minorHAnsi" w:eastAsiaTheme="minorHAnsi" w:hAnsiTheme="minorHAnsi" w:cstheme="minorBidi"/>
          <w:snapToGrid/>
          <w:sz w:val="24"/>
          <w:szCs w:val="22"/>
        </w:rPr>
        <w:t>s</w:t>
      </w:r>
      <w:r w:rsidRPr="00AE07CE">
        <w:rPr>
          <w:rFonts w:asciiTheme="minorHAnsi" w:eastAsiaTheme="minorHAnsi" w:hAnsiTheme="minorHAnsi" w:cstheme="minorBidi"/>
          <w:snapToGrid/>
          <w:sz w:val="24"/>
          <w:szCs w:val="22"/>
        </w:rPr>
        <w:t xml:space="preserve">. </w:t>
      </w:r>
    </w:p>
    <w:p w:rsidR="006E2A5E" w:rsidRPr="00AE07CE" w:rsidRDefault="00D26CD3"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C</w:t>
      </w:r>
      <w:r w:rsidR="00CB7609" w:rsidRPr="00AE07CE">
        <w:rPr>
          <w:rFonts w:asciiTheme="minorHAnsi" w:eastAsiaTheme="minorHAnsi" w:hAnsiTheme="minorHAnsi" w:cstheme="minorBidi"/>
          <w:snapToGrid/>
          <w:sz w:val="24"/>
          <w:szCs w:val="22"/>
        </w:rPr>
        <w:t xml:space="preserve">orrespondence </w:t>
      </w:r>
      <w:r w:rsidRPr="00AE07CE">
        <w:rPr>
          <w:rFonts w:asciiTheme="minorHAnsi" w:eastAsiaTheme="minorHAnsi" w:hAnsiTheme="minorHAnsi" w:cstheme="minorBidi"/>
          <w:snapToGrid/>
          <w:sz w:val="24"/>
          <w:szCs w:val="22"/>
        </w:rPr>
        <w:t xml:space="preserve">received </w:t>
      </w:r>
      <w:r w:rsidR="00CB7609" w:rsidRPr="00AE07CE">
        <w:rPr>
          <w:rFonts w:asciiTheme="minorHAnsi" w:eastAsiaTheme="minorHAnsi" w:hAnsiTheme="minorHAnsi" w:cstheme="minorBidi"/>
          <w:snapToGrid/>
          <w:sz w:val="24"/>
          <w:szCs w:val="22"/>
        </w:rPr>
        <w:t xml:space="preserve">from </w:t>
      </w:r>
      <w:r w:rsidR="00231373" w:rsidRPr="00AE07CE">
        <w:rPr>
          <w:rFonts w:asciiTheme="minorHAnsi" w:eastAsiaTheme="minorHAnsi" w:hAnsiTheme="minorHAnsi" w:cstheme="minorBidi"/>
          <w:snapToGrid/>
          <w:sz w:val="24"/>
          <w:szCs w:val="22"/>
        </w:rPr>
        <w:t xml:space="preserve">a group of seven </w:t>
      </w:r>
      <w:r w:rsidR="00CB7609" w:rsidRPr="00AE07CE">
        <w:rPr>
          <w:rFonts w:asciiTheme="minorHAnsi" w:eastAsiaTheme="minorHAnsi" w:hAnsiTheme="minorHAnsi" w:cstheme="minorBidi"/>
          <w:snapToGrid/>
          <w:sz w:val="24"/>
          <w:szCs w:val="22"/>
        </w:rPr>
        <w:t xml:space="preserve">Australian neuro-oncologists </w:t>
      </w:r>
      <w:r w:rsidRPr="00AE07CE">
        <w:rPr>
          <w:rFonts w:asciiTheme="minorHAnsi" w:eastAsiaTheme="minorHAnsi" w:hAnsiTheme="minorHAnsi" w:cstheme="minorBidi"/>
          <w:snapToGrid/>
          <w:sz w:val="24"/>
          <w:szCs w:val="22"/>
        </w:rPr>
        <w:t>stated that, in their c</w:t>
      </w:r>
      <w:r w:rsidR="00E3482E" w:rsidRPr="00AE07CE">
        <w:rPr>
          <w:rFonts w:asciiTheme="minorHAnsi" w:eastAsiaTheme="minorHAnsi" w:hAnsiTheme="minorHAnsi" w:cstheme="minorBidi"/>
          <w:snapToGrid/>
          <w:sz w:val="24"/>
          <w:szCs w:val="22"/>
        </w:rPr>
        <w:t>linical opinion</w:t>
      </w:r>
      <w:r w:rsidRPr="00AE07CE">
        <w:rPr>
          <w:rFonts w:asciiTheme="minorHAnsi" w:eastAsiaTheme="minorHAnsi" w:hAnsiTheme="minorHAnsi" w:cstheme="minorBidi"/>
          <w:snapToGrid/>
          <w:sz w:val="24"/>
          <w:szCs w:val="22"/>
        </w:rPr>
        <w:t>,</w:t>
      </w:r>
      <w:r w:rsidR="00E3482E" w:rsidRPr="00AE07CE">
        <w:rPr>
          <w:rFonts w:asciiTheme="minorHAnsi" w:eastAsiaTheme="minorHAnsi" w:hAnsiTheme="minorHAnsi" w:cstheme="minorBidi"/>
          <w:snapToGrid/>
          <w:sz w:val="24"/>
          <w:szCs w:val="22"/>
        </w:rPr>
        <w:t xml:space="preserve"> up to 30-40% of patients appear to gain a meaningful clinical benefit from treatment with bevacizumab.</w:t>
      </w:r>
      <w:r w:rsidR="005A67B1" w:rsidRPr="00AE07CE">
        <w:rPr>
          <w:rFonts w:asciiTheme="minorHAnsi" w:eastAsiaTheme="minorHAnsi" w:hAnsiTheme="minorHAnsi" w:cstheme="minorBidi"/>
          <w:snapToGrid/>
          <w:sz w:val="24"/>
          <w:szCs w:val="22"/>
        </w:rPr>
        <w:t xml:space="preserve"> </w:t>
      </w:r>
      <w:r w:rsidR="001A4CB9" w:rsidRPr="00AE07CE">
        <w:rPr>
          <w:rFonts w:asciiTheme="minorHAnsi" w:eastAsiaTheme="minorHAnsi" w:hAnsiTheme="minorHAnsi" w:cstheme="minorBidi"/>
          <w:snapToGrid/>
          <w:sz w:val="24"/>
          <w:szCs w:val="22"/>
        </w:rPr>
        <w:t>The s</w:t>
      </w:r>
      <w:r w:rsidR="00231373" w:rsidRPr="00AE07CE">
        <w:rPr>
          <w:rFonts w:asciiTheme="minorHAnsi" w:eastAsiaTheme="minorHAnsi" w:hAnsiTheme="minorHAnsi" w:cstheme="minorBidi"/>
          <w:snapToGrid/>
          <w:sz w:val="24"/>
          <w:szCs w:val="22"/>
        </w:rPr>
        <w:t>ubmission</w:t>
      </w:r>
      <w:r w:rsidR="001A4CB9" w:rsidRPr="00AE07CE">
        <w:rPr>
          <w:rFonts w:asciiTheme="minorHAnsi" w:eastAsiaTheme="minorHAnsi" w:hAnsiTheme="minorHAnsi" w:cstheme="minorBidi"/>
          <w:snapToGrid/>
          <w:sz w:val="24"/>
          <w:szCs w:val="22"/>
        </w:rPr>
        <w:t xml:space="preserve"> noted that this is </w:t>
      </w:r>
      <w:r w:rsidR="00C65CE6" w:rsidRPr="00AE07CE">
        <w:rPr>
          <w:rFonts w:asciiTheme="minorHAnsi" w:eastAsiaTheme="minorHAnsi" w:hAnsiTheme="minorHAnsi" w:cstheme="minorBidi"/>
          <w:snapToGrid/>
          <w:sz w:val="24"/>
          <w:szCs w:val="22"/>
        </w:rPr>
        <w:t xml:space="preserve">generally </w:t>
      </w:r>
      <w:r w:rsidR="001A4CB9" w:rsidRPr="00AE07CE">
        <w:rPr>
          <w:rFonts w:asciiTheme="minorHAnsi" w:eastAsiaTheme="minorHAnsi" w:hAnsiTheme="minorHAnsi" w:cstheme="minorBidi"/>
          <w:snapToGrid/>
          <w:sz w:val="24"/>
          <w:szCs w:val="22"/>
        </w:rPr>
        <w:t xml:space="preserve">consistent with the </w:t>
      </w:r>
      <w:r w:rsidR="00C65CE6" w:rsidRPr="00AE07CE">
        <w:rPr>
          <w:rFonts w:asciiTheme="minorHAnsi" w:eastAsiaTheme="minorHAnsi" w:hAnsiTheme="minorHAnsi" w:cstheme="minorBidi"/>
          <w:snapToGrid/>
          <w:sz w:val="24"/>
          <w:szCs w:val="22"/>
        </w:rPr>
        <w:t>objective response rate (</w:t>
      </w:r>
      <w:r w:rsidR="001A4CB9" w:rsidRPr="00AE07CE">
        <w:rPr>
          <w:rFonts w:asciiTheme="minorHAnsi" w:eastAsiaTheme="minorHAnsi" w:hAnsiTheme="minorHAnsi" w:cstheme="minorBidi"/>
          <w:snapToGrid/>
          <w:sz w:val="24"/>
          <w:szCs w:val="22"/>
        </w:rPr>
        <w:t>ORR</w:t>
      </w:r>
      <w:r w:rsidR="00C65CE6" w:rsidRPr="00AE07CE">
        <w:rPr>
          <w:rFonts w:asciiTheme="minorHAnsi" w:eastAsiaTheme="minorHAnsi" w:hAnsiTheme="minorHAnsi" w:cstheme="minorBidi"/>
          <w:snapToGrid/>
          <w:sz w:val="24"/>
          <w:szCs w:val="22"/>
        </w:rPr>
        <w:t>)</w:t>
      </w:r>
      <w:r w:rsidR="001A4CB9" w:rsidRPr="00AE07CE">
        <w:rPr>
          <w:rFonts w:asciiTheme="minorHAnsi" w:eastAsiaTheme="minorHAnsi" w:hAnsiTheme="minorHAnsi" w:cstheme="minorBidi"/>
          <w:snapToGrid/>
          <w:sz w:val="24"/>
          <w:szCs w:val="22"/>
        </w:rPr>
        <w:t xml:space="preserve"> observed in the trials reported in the minor submission. </w:t>
      </w:r>
    </w:p>
    <w:p w:rsidR="001A4CB9" w:rsidRPr="00AE07CE" w:rsidRDefault="00D26CD3"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In terms of patient-relevant benefits, t</w:t>
      </w:r>
      <w:r w:rsidR="00C65CE6" w:rsidRPr="00AE07CE">
        <w:rPr>
          <w:rFonts w:asciiTheme="minorHAnsi" w:eastAsiaTheme="minorHAnsi" w:hAnsiTheme="minorHAnsi" w:cstheme="minorBidi"/>
          <w:snapToGrid/>
          <w:sz w:val="24"/>
          <w:szCs w:val="22"/>
        </w:rPr>
        <w:t xml:space="preserve">he </w:t>
      </w:r>
      <w:r w:rsidRPr="00AE07CE">
        <w:rPr>
          <w:rFonts w:asciiTheme="minorHAnsi" w:eastAsiaTheme="minorHAnsi" w:hAnsiTheme="minorHAnsi" w:cstheme="minorBidi"/>
          <w:snapToGrid/>
          <w:sz w:val="24"/>
          <w:szCs w:val="22"/>
        </w:rPr>
        <w:t xml:space="preserve">correspondence stated that patients </w:t>
      </w:r>
      <w:r w:rsidRPr="00AE07CE">
        <w:rPr>
          <w:rFonts w:asciiTheme="minorHAnsi" w:eastAsiaTheme="minorHAnsi" w:hAnsiTheme="minorHAnsi" w:cstheme="minorBidi"/>
          <w:snapToGrid/>
          <w:sz w:val="24"/>
          <w:szCs w:val="24"/>
        </w:rPr>
        <w:t>treated</w:t>
      </w:r>
      <w:r w:rsidRPr="00AE07CE">
        <w:rPr>
          <w:rFonts w:asciiTheme="minorHAnsi" w:eastAsiaTheme="minorHAnsi" w:hAnsiTheme="minorHAnsi" w:cstheme="minorBidi"/>
          <w:snapToGrid/>
          <w:sz w:val="24"/>
          <w:szCs w:val="22"/>
        </w:rPr>
        <w:t xml:space="preserve"> with bevacizumab </w:t>
      </w:r>
      <w:r w:rsidR="00A96E73" w:rsidRPr="00AE07CE">
        <w:rPr>
          <w:rFonts w:asciiTheme="minorHAnsi" w:eastAsiaTheme="minorHAnsi" w:hAnsiTheme="minorHAnsi" w:cstheme="minorBidi"/>
          <w:snapToGrid/>
          <w:sz w:val="24"/>
          <w:szCs w:val="22"/>
        </w:rPr>
        <w:t>“experience a reduction in swelling on the brain, and an improvement in general symptoms such as headaches as well as their specific neurologic deficits such as movement and motor function, coordination, changes to personality and ability to communicate. A reduction in dexamethasone use whilst on bevacizumab also reduces the risk of corticosteroid-related complications. This contributes in many cases to improving a patient’s social, physical, functional and emotional well-being and that of their family carers.”</w:t>
      </w:r>
    </w:p>
    <w:p w:rsidR="0098199E" w:rsidRPr="007A086B" w:rsidRDefault="00441CBD" w:rsidP="00E752A8">
      <w:pPr>
        <w:pStyle w:val="ListParagraph"/>
        <w:widowControl/>
        <w:numPr>
          <w:ilvl w:val="1"/>
          <w:numId w:val="5"/>
        </w:numPr>
        <w:spacing w:before="120" w:after="120"/>
        <w:ind w:left="720"/>
        <w:contextualSpacing w:val="0"/>
        <w:rPr>
          <w:rFonts w:asciiTheme="minorHAnsi" w:hAnsiTheme="minorHAnsi"/>
          <w:bCs/>
        </w:rPr>
      </w:pPr>
      <w:r w:rsidRPr="00AE07CE">
        <w:rPr>
          <w:rFonts w:asciiTheme="minorHAnsi" w:eastAsiaTheme="minorHAnsi" w:hAnsiTheme="minorHAnsi" w:cstheme="minorBidi"/>
          <w:snapToGrid/>
          <w:sz w:val="24"/>
          <w:szCs w:val="22"/>
        </w:rPr>
        <w:t>The submission acknowledged that quality</w:t>
      </w:r>
      <w:r w:rsidR="00085CB0" w:rsidRPr="00AE07CE">
        <w:rPr>
          <w:rFonts w:asciiTheme="minorHAnsi" w:eastAsiaTheme="minorHAnsi" w:hAnsiTheme="minorHAnsi" w:cstheme="minorBidi"/>
          <w:snapToGrid/>
          <w:sz w:val="24"/>
          <w:szCs w:val="22"/>
        </w:rPr>
        <w:t xml:space="preserve"> </w:t>
      </w:r>
      <w:r w:rsidRPr="00AE07CE">
        <w:rPr>
          <w:rFonts w:asciiTheme="minorHAnsi" w:eastAsiaTheme="minorHAnsi" w:hAnsiTheme="minorHAnsi" w:cstheme="minorBidi"/>
          <w:snapToGrid/>
          <w:sz w:val="24"/>
          <w:szCs w:val="22"/>
        </w:rPr>
        <w:t>of</w:t>
      </w:r>
      <w:r w:rsidR="00085CB0" w:rsidRPr="00AE07CE">
        <w:rPr>
          <w:rFonts w:asciiTheme="minorHAnsi" w:eastAsiaTheme="minorHAnsi" w:hAnsiTheme="minorHAnsi" w:cstheme="minorBidi"/>
          <w:snapToGrid/>
          <w:sz w:val="24"/>
          <w:szCs w:val="22"/>
        </w:rPr>
        <w:t xml:space="preserve"> </w:t>
      </w:r>
      <w:r w:rsidRPr="00AE07CE">
        <w:rPr>
          <w:rFonts w:asciiTheme="minorHAnsi" w:eastAsiaTheme="minorHAnsi" w:hAnsiTheme="minorHAnsi" w:cstheme="minorBidi"/>
          <w:snapToGrid/>
          <w:sz w:val="24"/>
          <w:szCs w:val="22"/>
        </w:rPr>
        <w:t>life data have not been captured that would enable translation of the PFS benefit into a patient-relevant outcome. T</w:t>
      </w:r>
      <w:r w:rsidR="00C21BEB" w:rsidRPr="00AE07CE">
        <w:rPr>
          <w:rFonts w:asciiTheme="minorHAnsi" w:eastAsiaTheme="minorHAnsi" w:hAnsiTheme="minorHAnsi" w:cstheme="minorBidi"/>
          <w:snapToGrid/>
          <w:sz w:val="24"/>
          <w:szCs w:val="22"/>
        </w:rPr>
        <w:t>he PBAC noted that Wick 2017 did not find an improvement in neurocognitive function or health related quality of life</w:t>
      </w:r>
      <w:r w:rsidRPr="00AE07CE">
        <w:rPr>
          <w:rFonts w:asciiTheme="minorHAnsi" w:eastAsiaTheme="minorHAnsi" w:hAnsiTheme="minorHAnsi" w:cstheme="minorBidi"/>
          <w:snapToGrid/>
          <w:sz w:val="24"/>
          <w:szCs w:val="22"/>
        </w:rPr>
        <w:t xml:space="preserve">, </w:t>
      </w:r>
      <w:r w:rsidR="00046C78">
        <w:rPr>
          <w:rFonts w:asciiTheme="minorHAnsi" w:eastAsiaTheme="minorHAnsi" w:hAnsiTheme="minorHAnsi" w:cstheme="minorBidi"/>
          <w:snapToGrid/>
          <w:sz w:val="24"/>
          <w:szCs w:val="22"/>
        </w:rPr>
        <w:t xml:space="preserve">and therefore </w:t>
      </w:r>
      <w:r w:rsidR="00DD3576">
        <w:rPr>
          <w:rFonts w:asciiTheme="minorHAnsi" w:eastAsiaTheme="minorHAnsi" w:hAnsiTheme="minorHAnsi" w:cstheme="minorBidi"/>
          <w:snapToGrid/>
          <w:sz w:val="24"/>
          <w:szCs w:val="22"/>
        </w:rPr>
        <w:t xml:space="preserve">considered that the </w:t>
      </w:r>
      <w:r w:rsidR="00046C78">
        <w:rPr>
          <w:rFonts w:asciiTheme="minorHAnsi" w:eastAsiaTheme="minorHAnsi" w:hAnsiTheme="minorHAnsi" w:cstheme="minorBidi"/>
          <w:snapToGrid/>
          <w:sz w:val="24"/>
          <w:szCs w:val="22"/>
        </w:rPr>
        <w:t xml:space="preserve">magnitude of benefit in terms of quality of life outcomes </w:t>
      </w:r>
      <w:r w:rsidR="00DD3576">
        <w:rPr>
          <w:rFonts w:asciiTheme="minorHAnsi" w:eastAsiaTheme="minorHAnsi" w:hAnsiTheme="minorHAnsi" w:cstheme="minorBidi"/>
          <w:snapToGrid/>
          <w:sz w:val="24"/>
          <w:szCs w:val="22"/>
        </w:rPr>
        <w:t>remains</w:t>
      </w:r>
      <w:r w:rsidR="00046C78">
        <w:rPr>
          <w:rFonts w:asciiTheme="minorHAnsi" w:eastAsiaTheme="minorHAnsi" w:hAnsiTheme="minorHAnsi" w:cstheme="minorBidi"/>
          <w:snapToGrid/>
          <w:sz w:val="24"/>
          <w:szCs w:val="22"/>
        </w:rPr>
        <w:t xml:space="preserve"> uncertain.</w:t>
      </w:r>
    </w:p>
    <w:p w:rsidR="003325EE" w:rsidRPr="007A086B" w:rsidRDefault="003325EE" w:rsidP="00E752A8">
      <w:pPr>
        <w:pStyle w:val="ListParagraph"/>
        <w:widowControl/>
        <w:spacing w:before="120" w:after="120"/>
        <w:ind w:hanging="720"/>
        <w:contextualSpacing w:val="0"/>
        <w:rPr>
          <w:rFonts w:asciiTheme="minorHAnsi" w:hAnsiTheme="minorHAnsi"/>
          <w:bCs/>
          <w:sz w:val="24"/>
          <w:szCs w:val="24"/>
          <w:u w:val="single"/>
        </w:rPr>
      </w:pPr>
      <w:r w:rsidRPr="007A086B">
        <w:rPr>
          <w:rFonts w:asciiTheme="minorHAnsi" w:hAnsiTheme="minorHAnsi"/>
          <w:bCs/>
          <w:sz w:val="24"/>
          <w:szCs w:val="24"/>
          <w:u w:val="single"/>
        </w:rPr>
        <w:lastRenderedPageBreak/>
        <w:t>Durable response</w:t>
      </w:r>
    </w:p>
    <w:p w:rsidR="00C65CE6" w:rsidRPr="00AE07CE" w:rsidRDefault="00C65CE6" w:rsidP="00E752A8">
      <w:pPr>
        <w:pStyle w:val="ListParagraph"/>
        <w:widowControl/>
        <w:numPr>
          <w:ilvl w:val="1"/>
          <w:numId w:val="5"/>
        </w:numPr>
        <w:spacing w:before="120" w:after="120"/>
        <w:ind w:left="720"/>
        <w:contextualSpacing w:val="0"/>
        <w:rPr>
          <w:rFonts w:asciiTheme="minorHAnsi" w:eastAsiaTheme="minorHAnsi" w:hAnsiTheme="minorHAnsi" w:cstheme="minorBidi"/>
          <w:i/>
          <w:snapToGrid/>
          <w:sz w:val="24"/>
          <w:szCs w:val="22"/>
        </w:rPr>
      </w:pPr>
      <w:r w:rsidRPr="00AE07CE">
        <w:rPr>
          <w:rFonts w:asciiTheme="minorHAnsi" w:eastAsiaTheme="minorHAnsi" w:hAnsiTheme="minorHAnsi" w:cstheme="minorBidi"/>
          <w:snapToGrid/>
          <w:sz w:val="24"/>
          <w:szCs w:val="22"/>
        </w:rPr>
        <w:t xml:space="preserve">The submission </w:t>
      </w:r>
      <w:r w:rsidR="00E06C3F" w:rsidRPr="00AE07CE">
        <w:rPr>
          <w:rFonts w:asciiTheme="minorHAnsi" w:eastAsiaTheme="minorHAnsi" w:hAnsiTheme="minorHAnsi" w:cstheme="minorBidi"/>
          <w:snapToGrid/>
          <w:sz w:val="24"/>
          <w:szCs w:val="22"/>
        </w:rPr>
        <w:t>claimed</w:t>
      </w:r>
      <w:r w:rsidRPr="00AE07CE">
        <w:rPr>
          <w:rFonts w:asciiTheme="minorHAnsi" w:eastAsiaTheme="minorHAnsi" w:hAnsiTheme="minorHAnsi" w:cstheme="minorBidi"/>
          <w:snapToGrid/>
          <w:sz w:val="24"/>
          <w:szCs w:val="22"/>
        </w:rPr>
        <w:t xml:space="preserve"> that bevacizumab </w:t>
      </w:r>
      <w:proofErr w:type="gramStart"/>
      <w:r w:rsidRPr="00AE07CE">
        <w:rPr>
          <w:rFonts w:asciiTheme="minorHAnsi" w:eastAsiaTheme="minorHAnsi" w:hAnsiTheme="minorHAnsi" w:cstheme="minorBidi"/>
          <w:snapToGrid/>
          <w:sz w:val="24"/>
          <w:szCs w:val="22"/>
        </w:rPr>
        <w:t>has been shown</w:t>
      </w:r>
      <w:proofErr w:type="gramEnd"/>
      <w:r w:rsidRPr="00AE07CE">
        <w:rPr>
          <w:rFonts w:asciiTheme="minorHAnsi" w:eastAsiaTheme="minorHAnsi" w:hAnsiTheme="minorHAnsi" w:cstheme="minorBidi"/>
          <w:snapToGrid/>
          <w:sz w:val="24"/>
          <w:szCs w:val="22"/>
        </w:rPr>
        <w:t xml:space="preserve"> to result in a small </w:t>
      </w:r>
      <w:r w:rsidRPr="00AE07CE">
        <w:rPr>
          <w:rFonts w:asciiTheme="minorHAnsi" w:eastAsiaTheme="minorHAnsi" w:hAnsiTheme="minorHAnsi" w:cstheme="minorBidi"/>
          <w:snapToGrid/>
          <w:sz w:val="24"/>
          <w:szCs w:val="24"/>
        </w:rPr>
        <w:t xml:space="preserve">but </w:t>
      </w:r>
      <w:r w:rsidRPr="00400B3F">
        <w:rPr>
          <w:rFonts w:asciiTheme="minorHAnsi" w:eastAsiaTheme="minorHAnsi" w:hAnsiTheme="minorHAnsi" w:cstheme="minorBidi"/>
          <w:snapToGrid/>
          <w:sz w:val="24"/>
          <w:szCs w:val="24"/>
        </w:rPr>
        <w:t>clinically relevant proportion of patients achieving a long-lasting response.</w:t>
      </w:r>
      <w:r w:rsidRPr="00400B3F">
        <w:rPr>
          <w:rFonts w:asciiTheme="minorHAnsi" w:eastAsiaTheme="minorHAnsi" w:hAnsiTheme="minorHAnsi" w:cstheme="minorBidi"/>
          <w:snapToGrid/>
          <w:sz w:val="24"/>
          <w:szCs w:val="22"/>
        </w:rPr>
        <w:t xml:space="preserve"> </w:t>
      </w:r>
      <w:r w:rsidR="00CE23CD" w:rsidRPr="00AE07CE">
        <w:rPr>
          <w:rFonts w:asciiTheme="minorHAnsi" w:eastAsiaTheme="minorHAnsi" w:hAnsiTheme="minorHAnsi" w:cstheme="minorBidi"/>
          <w:snapToGrid/>
          <w:sz w:val="24"/>
          <w:szCs w:val="22"/>
        </w:rPr>
        <w:t>The submission cited d</w:t>
      </w:r>
      <w:r w:rsidR="00E06C3F" w:rsidRPr="00AE07CE">
        <w:rPr>
          <w:rFonts w:asciiTheme="minorHAnsi" w:eastAsiaTheme="minorHAnsi" w:hAnsiTheme="minorHAnsi" w:cstheme="minorBidi"/>
          <w:snapToGrid/>
          <w:sz w:val="24"/>
          <w:szCs w:val="22"/>
        </w:rPr>
        <w:t xml:space="preserve">ata from the </w:t>
      </w:r>
      <w:r w:rsidR="00E06C3F" w:rsidRPr="009B379A">
        <w:rPr>
          <w:rFonts w:asciiTheme="minorHAnsi" w:eastAsiaTheme="minorHAnsi" w:hAnsiTheme="minorHAnsi" w:cstheme="minorBidi"/>
          <w:snapToGrid/>
          <w:sz w:val="24"/>
          <w:szCs w:val="22"/>
        </w:rPr>
        <w:t xml:space="preserve">Patient Access </w:t>
      </w:r>
      <w:r w:rsidR="00AE07CE" w:rsidRPr="00373B5B">
        <w:rPr>
          <w:rFonts w:asciiTheme="minorHAnsi" w:eastAsiaTheme="minorHAnsi" w:hAnsiTheme="minorHAnsi" w:cstheme="minorBidi"/>
          <w:snapToGrid/>
          <w:sz w:val="24"/>
          <w:szCs w:val="22"/>
        </w:rPr>
        <w:t>Program that</w:t>
      </w:r>
      <w:r w:rsidR="00CE23CD" w:rsidRPr="00373B5B">
        <w:rPr>
          <w:rFonts w:asciiTheme="minorHAnsi" w:eastAsiaTheme="minorHAnsi" w:hAnsiTheme="minorHAnsi" w:cstheme="minorBidi"/>
          <w:snapToGrid/>
          <w:sz w:val="24"/>
          <w:szCs w:val="22"/>
        </w:rPr>
        <w:t xml:space="preserve"> </w:t>
      </w:r>
      <w:r w:rsidRPr="00373B5B">
        <w:rPr>
          <w:rFonts w:asciiTheme="minorHAnsi" w:eastAsiaTheme="minorHAnsi" w:hAnsiTheme="minorHAnsi" w:cstheme="minorBidi"/>
          <w:snapToGrid/>
          <w:sz w:val="24"/>
          <w:szCs w:val="22"/>
        </w:rPr>
        <w:t xml:space="preserve">showed that </w:t>
      </w:r>
      <w:r w:rsidR="00E454F3">
        <w:rPr>
          <w:rFonts w:asciiTheme="minorHAnsi" w:eastAsiaTheme="minorHAnsi" w:hAnsiTheme="minorHAnsi" w:cstheme="minorBidi"/>
          <w:noProof/>
          <w:snapToGrid/>
          <w:color w:val="000000"/>
          <w:sz w:val="24"/>
          <w:szCs w:val="22"/>
          <w:highlight w:val="black"/>
        </w:rPr>
        <w:t>''''''</w:t>
      </w:r>
      <w:r w:rsidRPr="00373B5B">
        <w:rPr>
          <w:rFonts w:asciiTheme="minorHAnsi" w:eastAsiaTheme="minorHAnsi" w:hAnsiTheme="minorHAnsi" w:cstheme="minorBidi"/>
          <w:snapToGrid/>
          <w:sz w:val="24"/>
          <w:szCs w:val="22"/>
        </w:rPr>
        <w:t xml:space="preserve">% of patients continue bevacizumab for </w:t>
      </w:r>
      <w:r w:rsidR="00E06C3F" w:rsidRPr="00373B5B">
        <w:rPr>
          <w:rFonts w:asciiTheme="minorHAnsi" w:eastAsiaTheme="minorHAnsi" w:hAnsiTheme="minorHAnsi" w:cstheme="minorBidi"/>
          <w:snapToGrid/>
          <w:sz w:val="24"/>
          <w:szCs w:val="22"/>
        </w:rPr>
        <w:t>over</w:t>
      </w:r>
      <w:r w:rsidRPr="00373B5B">
        <w:rPr>
          <w:rFonts w:asciiTheme="minorHAnsi" w:eastAsiaTheme="minorHAnsi" w:hAnsiTheme="minorHAnsi" w:cstheme="minorBidi"/>
          <w:snapToGrid/>
          <w:sz w:val="24"/>
          <w:szCs w:val="22"/>
        </w:rPr>
        <w:t xml:space="preserve"> six months</w:t>
      </w:r>
      <w:r w:rsidR="009A19B8" w:rsidRPr="00373B5B">
        <w:rPr>
          <w:rFonts w:asciiTheme="minorHAnsi" w:eastAsiaTheme="minorHAnsi" w:hAnsiTheme="minorHAnsi" w:cstheme="minorBidi"/>
          <w:snapToGrid/>
          <w:sz w:val="24"/>
          <w:szCs w:val="22"/>
        </w:rPr>
        <w:t>,</w:t>
      </w:r>
      <w:r w:rsidRPr="00373B5B">
        <w:rPr>
          <w:rFonts w:asciiTheme="minorHAnsi" w:eastAsiaTheme="minorHAnsi" w:hAnsiTheme="minorHAnsi" w:cstheme="minorBidi"/>
          <w:snapToGrid/>
          <w:sz w:val="24"/>
          <w:szCs w:val="22"/>
        </w:rPr>
        <w:t xml:space="preserve"> and </w:t>
      </w:r>
      <w:r w:rsidR="00E454F3">
        <w:rPr>
          <w:rFonts w:asciiTheme="minorHAnsi" w:eastAsiaTheme="minorHAnsi" w:hAnsiTheme="minorHAnsi" w:cstheme="minorBidi"/>
          <w:noProof/>
          <w:snapToGrid/>
          <w:color w:val="000000"/>
          <w:sz w:val="24"/>
          <w:szCs w:val="22"/>
          <w:highlight w:val="black"/>
        </w:rPr>
        <w:t>'''''</w:t>
      </w:r>
      <w:r w:rsidR="00787AA5" w:rsidRPr="00373B5B">
        <w:rPr>
          <w:rFonts w:asciiTheme="minorHAnsi" w:eastAsiaTheme="minorHAnsi" w:hAnsiTheme="minorHAnsi" w:cstheme="minorBidi"/>
          <w:snapToGrid/>
          <w:sz w:val="24"/>
          <w:szCs w:val="22"/>
        </w:rPr>
        <w:t>%</w:t>
      </w:r>
      <w:r w:rsidRPr="00373B5B">
        <w:rPr>
          <w:rFonts w:asciiTheme="minorHAnsi" w:eastAsiaTheme="minorHAnsi" w:hAnsiTheme="minorHAnsi" w:cstheme="minorBidi"/>
          <w:snapToGrid/>
          <w:sz w:val="24"/>
          <w:szCs w:val="22"/>
        </w:rPr>
        <w:t xml:space="preserve"> </w:t>
      </w:r>
      <w:r w:rsidR="00E06C3F" w:rsidRPr="00373B5B">
        <w:rPr>
          <w:rFonts w:asciiTheme="minorHAnsi" w:eastAsiaTheme="minorHAnsi" w:hAnsiTheme="minorHAnsi" w:cstheme="minorBidi"/>
          <w:snapToGrid/>
          <w:sz w:val="24"/>
          <w:szCs w:val="22"/>
        </w:rPr>
        <w:t>continue for over</w:t>
      </w:r>
      <w:r w:rsidRPr="00373B5B">
        <w:rPr>
          <w:rFonts w:asciiTheme="minorHAnsi" w:eastAsiaTheme="minorHAnsi" w:hAnsiTheme="minorHAnsi" w:cstheme="minorBidi"/>
          <w:snapToGrid/>
          <w:sz w:val="24"/>
          <w:szCs w:val="22"/>
        </w:rPr>
        <w:t xml:space="preserve"> 12</w:t>
      </w:r>
      <w:r w:rsidRPr="00AE07CE">
        <w:rPr>
          <w:rFonts w:asciiTheme="minorHAnsi" w:eastAsiaTheme="minorHAnsi" w:hAnsiTheme="minorHAnsi" w:cstheme="minorBidi"/>
          <w:snapToGrid/>
          <w:sz w:val="24"/>
          <w:szCs w:val="22"/>
        </w:rPr>
        <w:t xml:space="preserve"> months.</w:t>
      </w:r>
      <w:r w:rsidRPr="00AE07CE">
        <w:rPr>
          <w:rFonts w:asciiTheme="minorHAnsi" w:eastAsiaTheme="minorHAnsi" w:hAnsiTheme="minorHAnsi" w:cstheme="minorBidi"/>
          <w:i/>
          <w:snapToGrid/>
          <w:sz w:val="24"/>
          <w:szCs w:val="22"/>
        </w:rPr>
        <w:t xml:space="preserve"> </w:t>
      </w:r>
      <w:r w:rsidR="00CE23CD" w:rsidRPr="00AE07CE">
        <w:rPr>
          <w:rFonts w:asciiTheme="minorHAnsi" w:eastAsiaTheme="minorHAnsi" w:hAnsiTheme="minorHAnsi" w:cstheme="minorBidi"/>
          <w:snapToGrid/>
          <w:sz w:val="24"/>
          <w:szCs w:val="22"/>
        </w:rPr>
        <w:t xml:space="preserve">It was unclear whether treatment duration was an adequate proxy for duration of response, particularly in the context of patients having </w:t>
      </w:r>
      <w:r w:rsidRPr="00AE07CE">
        <w:rPr>
          <w:rFonts w:asciiTheme="minorHAnsi" w:eastAsiaTheme="minorHAnsi" w:hAnsiTheme="minorHAnsi" w:cstheme="minorBidi"/>
          <w:snapToGrid/>
          <w:sz w:val="24"/>
          <w:szCs w:val="22"/>
        </w:rPr>
        <w:t>paid a significant upfront cost for bevacizumab</w:t>
      </w:r>
      <w:r w:rsidR="00CE23CD" w:rsidRPr="00AE07CE">
        <w:rPr>
          <w:rFonts w:asciiTheme="minorHAnsi" w:eastAsiaTheme="minorHAnsi" w:hAnsiTheme="minorHAnsi" w:cstheme="minorBidi"/>
          <w:snapToGrid/>
          <w:sz w:val="24"/>
          <w:szCs w:val="22"/>
        </w:rPr>
        <w:t xml:space="preserve">, </w:t>
      </w:r>
      <w:r w:rsidR="00AE07CE" w:rsidRPr="00AE07CE">
        <w:rPr>
          <w:rFonts w:asciiTheme="minorHAnsi" w:eastAsiaTheme="minorHAnsi" w:hAnsiTheme="minorHAnsi" w:cstheme="minorBidi"/>
          <w:snapToGrid/>
          <w:sz w:val="24"/>
          <w:szCs w:val="22"/>
        </w:rPr>
        <w:t>and</w:t>
      </w:r>
      <w:r w:rsidR="00CE23CD" w:rsidRPr="00AE07CE">
        <w:rPr>
          <w:rFonts w:asciiTheme="minorHAnsi" w:eastAsiaTheme="minorHAnsi" w:hAnsiTheme="minorHAnsi" w:cstheme="minorBidi"/>
          <w:snapToGrid/>
          <w:sz w:val="24"/>
          <w:szCs w:val="22"/>
        </w:rPr>
        <w:t xml:space="preserve"> given the</w:t>
      </w:r>
      <w:r w:rsidRPr="00AE07CE">
        <w:rPr>
          <w:rFonts w:asciiTheme="minorHAnsi" w:eastAsiaTheme="minorHAnsi" w:hAnsiTheme="minorHAnsi" w:cstheme="minorBidi"/>
          <w:snapToGrid/>
          <w:sz w:val="24"/>
          <w:szCs w:val="22"/>
        </w:rPr>
        <w:t xml:space="preserve"> lack of alternative treatment options</w:t>
      </w:r>
      <w:r w:rsidR="0065263D" w:rsidRPr="00AE07CE">
        <w:rPr>
          <w:rFonts w:asciiTheme="minorHAnsi" w:eastAsiaTheme="minorHAnsi" w:hAnsiTheme="minorHAnsi" w:cstheme="minorBidi"/>
          <w:snapToGrid/>
          <w:sz w:val="24"/>
          <w:szCs w:val="22"/>
        </w:rPr>
        <w:t xml:space="preserve"> and the lack of a control arm for this comparison</w:t>
      </w:r>
      <w:r w:rsidRPr="00AE07CE">
        <w:rPr>
          <w:rFonts w:asciiTheme="minorHAnsi" w:eastAsiaTheme="minorHAnsi" w:hAnsiTheme="minorHAnsi" w:cstheme="minorBidi"/>
          <w:snapToGrid/>
          <w:sz w:val="24"/>
          <w:szCs w:val="22"/>
        </w:rPr>
        <w:t>.</w:t>
      </w:r>
      <w:r w:rsidR="00441CBD" w:rsidRPr="00AE07CE">
        <w:rPr>
          <w:rFonts w:asciiTheme="minorHAnsi" w:eastAsiaTheme="minorHAnsi" w:hAnsiTheme="minorHAnsi" w:cstheme="minorBidi"/>
          <w:snapToGrid/>
          <w:sz w:val="24"/>
          <w:szCs w:val="22"/>
        </w:rPr>
        <w:t xml:space="preserve"> The submission stated that while several attempts </w:t>
      </w:r>
      <w:proofErr w:type="gramStart"/>
      <w:r w:rsidR="00441CBD" w:rsidRPr="00AE07CE">
        <w:rPr>
          <w:rFonts w:asciiTheme="minorHAnsi" w:eastAsiaTheme="minorHAnsi" w:hAnsiTheme="minorHAnsi" w:cstheme="minorBidi"/>
          <w:snapToGrid/>
          <w:sz w:val="24"/>
          <w:szCs w:val="22"/>
        </w:rPr>
        <w:t>have been made</w:t>
      </w:r>
      <w:proofErr w:type="gramEnd"/>
      <w:r w:rsidR="00441CBD" w:rsidRPr="00AE07CE">
        <w:rPr>
          <w:rFonts w:asciiTheme="minorHAnsi" w:eastAsiaTheme="minorHAnsi" w:hAnsiTheme="minorHAnsi" w:cstheme="minorBidi"/>
          <w:snapToGrid/>
          <w:sz w:val="24"/>
          <w:szCs w:val="22"/>
        </w:rPr>
        <w:t xml:space="preserve"> to predict which patients will respond, it is currently not possible to identify who will benefit from treatment with bevacizumab. </w:t>
      </w:r>
    </w:p>
    <w:p w:rsidR="003325EE" w:rsidRPr="00AE07CE" w:rsidRDefault="003325EE" w:rsidP="00E752A8">
      <w:pPr>
        <w:pStyle w:val="ListParagraph"/>
        <w:widowControl/>
        <w:spacing w:before="120" w:after="120"/>
        <w:ind w:hanging="720"/>
        <w:contextualSpacing w:val="0"/>
        <w:rPr>
          <w:rFonts w:asciiTheme="minorHAnsi" w:eastAsiaTheme="minorHAnsi" w:hAnsiTheme="minorHAnsi" w:cstheme="minorBidi"/>
          <w:snapToGrid/>
          <w:sz w:val="24"/>
          <w:szCs w:val="22"/>
          <w:u w:val="single"/>
        </w:rPr>
      </w:pPr>
      <w:r w:rsidRPr="00AE07CE">
        <w:rPr>
          <w:rFonts w:asciiTheme="minorHAnsi" w:eastAsiaTheme="minorHAnsi" w:hAnsiTheme="minorHAnsi" w:cstheme="minorBidi"/>
          <w:snapToGrid/>
          <w:sz w:val="24"/>
          <w:szCs w:val="22"/>
          <w:u w:val="single"/>
        </w:rPr>
        <w:t>Adverse events</w:t>
      </w:r>
    </w:p>
    <w:p w:rsidR="003325EE" w:rsidRPr="00AE07CE" w:rsidRDefault="006502EF"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4"/>
        </w:rPr>
        <w:t>The</w:t>
      </w:r>
      <w:r w:rsidRPr="00AE07CE">
        <w:rPr>
          <w:rFonts w:asciiTheme="minorHAnsi" w:eastAsiaTheme="minorHAnsi" w:hAnsiTheme="minorHAnsi" w:cstheme="minorBidi"/>
          <w:snapToGrid/>
          <w:sz w:val="24"/>
          <w:szCs w:val="22"/>
        </w:rPr>
        <w:t xml:space="preserve"> minor submission did not provide information on</w:t>
      </w:r>
      <w:r w:rsidR="00CE23CD" w:rsidRPr="00AE07CE">
        <w:rPr>
          <w:rFonts w:asciiTheme="minorHAnsi" w:eastAsiaTheme="minorHAnsi" w:hAnsiTheme="minorHAnsi" w:cstheme="minorBidi"/>
          <w:snapToGrid/>
          <w:sz w:val="24"/>
          <w:szCs w:val="22"/>
        </w:rPr>
        <w:t xml:space="preserve"> comparative harms or adverse event</w:t>
      </w:r>
      <w:r w:rsidR="003325EE" w:rsidRPr="00AE07CE">
        <w:rPr>
          <w:rFonts w:asciiTheme="minorHAnsi" w:eastAsiaTheme="minorHAnsi" w:hAnsiTheme="minorHAnsi" w:cstheme="minorBidi"/>
          <w:snapToGrid/>
          <w:sz w:val="24"/>
          <w:szCs w:val="22"/>
        </w:rPr>
        <w:t>s</w:t>
      </w:r>
      <w:r w:rsidR="00CE23CD" w:rsidRPr="00AE07CE">
        <w:rPr>
          <w:rFonts w:asciiTheme="minorHAnsi" w:eastAsiaTheme="minorHAnsi" w:hAnsiTheme="minorHAnsi" w:cstheme="minorBidi"/>
          <w:snapToGrid/>
          <w:sz w:val="24"/>
          <w:szCs w:val="22"/>
        </w:rPr>
        <w:t>, but stated that current treatments typically involve older chemotherapies</w:t>
      </w:r>
      <w:r w:rsidR="003325EE" w:rsidRPr="00AE07CE">
        <w:rPr>
          <w:rFonts w:asciiTheme="minorHAnsi" w:eastAsiaTheme="minorHAnsi" w:hAnsiTheme="minorHAnsi" w:cstheme="minorBidi"/>
          <w:snapToGrid/>
          <w:sz w:val="24"/>
          <w:szCs w:val="22"/>
        </w:rPr>
        <w:t>,</w:t>
      </w:r>
      <w:r w:rsidR="00CE23CD" w:rsidRPr="00AE07CE">
        <w:rPr>
          <w:rFonts w:asciiTheme="minorHAnsi" w:eastAsiaTheme="minorHAnsi" w:hAnsiTheme="minorHAnsi" w:cstheme="minorBidi"/>
          <w:snapToGrid/>
          <w:sz w:val="24"/>
          <w:szCs w:val="22"/>
        </w:rPr>
        <w:t xml:space="preserve"> which it stated are associated with significant </w:t>
      </w:r>
      <w:r w:rsidR="009A19B8" w:rsidRPr="00AE07CE">
        <w:rPr>
          <w:rFonts w:asciiTheme="minorHAnsi" w:eastAsiaTheme="minorHAnsi" w:hAnsiTheme="minorHAnsi" w:cstheme="minorBidi"/>
          <w:snapToGrid/>
          <w:sz w:val="24"/>
          <w:szCs w:val="22"/>
        </w:rPr>
        <w:t>toxicitie</w:t>
      </w:r>
      <w:r w:rsidR="00CE23CD" w:rsidRPr="00AE07CE">
        <w:rPr>
          <w:rFonts w:asciiTheme="minorHAnsi" w:eastAsiaTheme="minorHAnsi" w:hAnsiTheme="minorHAnsi" w:cstheme="minorBidi"/>
          <w:snapToGrid/>
          <w:sz w:val="24"/>
          <w:szCs w:val="22"/>
        </w:rPr>
        <w:t xml:space="preserve">s. </w:t>
      </w:r>
    </w:p>
    <w:p w:rsidR="00886F33" w:rsidRPr="00AE07CE" w:rsidRDefault="0065263D"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hAnsiTheme="minorHAnsi"/>
          <w:sz w:val="24"/>
          <w:szCs w:val="24"/>
        </w:rPr>
        <w:t xml:space="preserve">The PBAC noted that bevacizumab was associated with </w:t>
      </w:r>
      <w:r w:rsidR="009C7730" w:rsidRPr="00AE07CE">
        <w:rPr>
          <w:rFonts w:asciiTheme="minorHAnsi" w:hAnsiTheme="minorHAnsi"/>
          <w:sz w:val="24"/>
          <w:szCs w:val="24"/>
        </w:rPr>
        <w:t xml:space="preserve">some toxicities such as </w:t>
      </w:r>
      <w:r w:rsidRPr="00AE07CE">
        <w:rPr>
          <w:rFonts w:asciiTheme="minorHAnsi" w:hAnsiTheme="minorHAnsi"/>
          <w:sz w:val="24"/>
          <w:szCs w:val="24"/>
        </w:rPr>
        <w:t>hypertension</w:t>
      </w:r>
      <w:r w:rsidR="00063EFE">
        <w:rPr>
          <w:rFonts w:asciiTheme="minorHAnsi" w:hAnsiTheme="minorHAnsi"/>
          <w:sz w:val="24"/>
          <w:szCs w:val="24"/>
        </w:rPr>
        <w:t>,</w:t>
      </w:r>
      <w:r w:rsidRPr="00AE07CE">
        <w:rPr>
          <w:rFonts w:asciiTheme="minorHAnsi" w:hAnsiTheme="minorHAnsi"/>
          <w:sz w:val="24"/>
          <w:szCs w:val="24"/>
        </w:rPr>
        <w:t xml:space="preserve"> thrombosis</w:t>
      </w:r>
      <w:r w:rsidR="00BE2059">
        <w:rPr>
          <w:rFonts w:asciiTheme="minorHAnsi" w:hAnsiTheme="minorHAnsi"/>
          <w:sz w:val="24"/>
          <w:szCs w:val="24"/>
        </w:rPr>
        <w:t xml:space="preserve">, and for a small group of patients </w:t>
      </w:r>
      <w:r w:rsidR="00063EFE">
        <w:rPr>
          <w:rFonts w:asciiTheme="minorHAnsi" w:hAnsiTheme="minorHAnsi"/>
          <w:sz w:val="24"/>
          <w:szCs w:val="24"/>
        </w:rPr>
        <w:t xml:space="preserve">there </w:t>
      </w:r>
      <w:r w:rsidR="00BE2059">
        <w:rPr>
          <w:rFonts w:asciiTheme="minorHAnsi" w:hAnsiTheme="minorHAnsi"/>
          <w:sz w:val="24"/>
          <w:szCs w:val="24"/>
        </w:rPr>
        <w:t xml:space="preserve">could be a </w:t>
      </w:r>
      <w:r w:rsidR="00DD3576">
        <w:rPr>
          <w:rFonts w:asciiTheme="minorHAnsi" w:hAnsiTheme="minorHAnsi"/>
          <w:sz w:val="24"/>
          <w:szCs w:val="24"/>
        </w:rPr>
        <w:t>risk of intracranial haemorrhage.</w:t>
      </w:r>
    </w:p>
    <w:p w:rsidR="003C2FB5" w:rsidRPr="00AE07CE" w:rsidRDefault="005A3173" w:rsidP="00E752A8">
      <w:pPr>
        <w:pStyle w:val="Heading2"/>
        <w:keepLines/>
        <w:spacing w:before="120" w:after="120"/>
        <w:rPr>
          <w:rFonts w:asciiTheme="minorHAnsi" w:eastAsiaTheme="majorEastAsia" w:hAnsiTheme="minorHAnsi" w:cstheme="majorBidi"/>
          <w:sz w:val="28"/>
          <w:szCs w:val="28"/>
          <w:lang w:eastAsia="en-US"/>
        </w:rPr>
      </w:pPr>
      <w:r w:rsidRPr="00AE07CE">
        <w:rPr>
          <w:rFonts w:asciiTheme="minorHAnsi" w:eastAsiaTheme="majorEastAsia" w:hAnsiTheme="minorHAnsi" w:cstheme="majorBidi"/>
          <w:sz w:val="28"/>
          <w:szCs w:val="28"/>
          <w:lang w:eastAsia="en-US"/>
        </w:rPr>
        <w:t>Clinical claim</w:t>
      </w:r>
    </w:p>
    <w:p w:rsidR="001B4D60" w:rsidRPr="00AE07CE" w:rsidRDefault="000A79E8" w:rsidP="00E752A8">
      <w:pPr>
        <w:pStyle w:val="ListParagraph"/>
        <w:widowControl/>
        <w:numPr>
          <w:ilvl w:val="1"/>
          <w:numId w:val="5"/>
        </w:numPr>
        <w:spacing w:before="120" w:after="120"/>
        <w:ind w:left="720"/>
        <w:contextualSpacing w:val="0"/>
        <w:rPr>
          <w:rFonts w:asciiTheme="minorHAnsi" w:hAnsiTheme="minorHAnsi"/>
          <w:sz w:val="24"/>
          <w:szCs w:val="24"/>
        </w:rPr>
      </w:pPr>
      <w:r w:rsidRPr="00AE07CE">
        <w:rPr>
          <w:rFonts w:asciiTheme="minorHAnsi" w:eastAsiaTheme="minorHAnsi" w:hAnsiTheme="minorHAnsi" w:cstheme="minorBidi"/>
          <w:snapToGrid/>
          <w:sz w:val="24"/>
          <w:szCs w:val="22"/>
        </w:rPr>
        <w:t>The minor submission did not make a clinical claim.</w:t>
      </w:r>
    </w:p>
    <w:p w:rsidR="00E31A44" w:rsidRPr="00AE07CE" w:rsidRDefault="00905C1C" w:rsidP="00E752A8">
      <w:pPr>
        <w:pStyle w:val="ListParagraph"/>
        <w:widowControl/>
        <w:numPr>
          <w:ilvl w:val="1"/>
          <w:numId w:val="5"/>
        </w:numPr>
        <w:spacing w:before="120" w:after="120"/>
        <w:ind w:left="720"/>
        <w:contextualSpacing w:val="0"/>
        <w:rPr>
          <w:rFonts w:asciiTheme="minorHAnsi" w:hAnsiTheme="minorHAnsi"/>
          <w:sz w:val="24"/>
          <w:szCs w:val="24"/>
        </w:rPr>
      </w:pPr>
      <w:r w:rsidRPr="00AE07CE">
        <w:rPr>
          <w:rFonts w:asciiTheme="minorHAnsi" w:hAnsiTheme="minorHAnsi"/>
          <w:sz w:val="24"/>
          <w:szCs w:val="24"/>
        </w:rPr>
        <w:t xml:space="preserve">The PBAC considered </w:t>
      </w:r>
      <w:r w:rsidR="00176E84" w:rsidRPr="00AE07CE">
        <w:rPr>
          <w:rFonts w:asciiTheme="minorHAnsi" w:hAnsiTheme="minorHAnsi"/>
          <w:sz w:val="24"/>
          <w:szCs w:val="24"/>
        </w:rPr>
        <w:t xml:space="preserve">that </w:t>
      </w:r>
      <w:r w:rsidR="00DD3576">
        <w:rPr>
          <w:rFonts w:asciiTheme="minorHAnsi" w:hAnsiTheme="minorHAnsi"/>
          <w:sz w:val="24"/>
          <w:szCs w:val="24"/>
        </w:rPr>
        <w:t xml:space="preserve">it remains uncertain whether </w:t>
      </w:r>
      <w:r w:rsidRPr="00AE07CE">
        <w:rPr>
          <w:rFonts w:asciiTheme="minorHAnsi" w:hAnsiTheme="minorHAnsi"/>
          <w:sz w:val="24"/>
          <w:szCs w:val="24"/>
        </w:rPr>
        <w:t xml:space="preserve">bevacizumab </w:t>
      </w:r>
      <w:r w:rsidR="00176E84" w:rsidRPr="00AE07CE">
        <w:rPr>
          <w:rFonts w:asciiTheme="minorHAnsi" w:hAnsiTheme="minorHAnsi"/>
          <w:sz w:val="24"/>
          <w:szCs w:val="24"/>
        </w:rPr>
        <w:t>i</w:t>
      </w:r>
      <w:r w:rsidRPr="00AE07CE">
        <w:rPr>
          <w:rFonts w:asciiTheme="minorHAnsi" w:hAnsiTheme="minorHAnsi"/>
          <w:sz w:val="24"/>
          <w:szCs w:val="24"/>
        </w:rPr>
        <w:t xml:space="preserve">s superior to </w:t>
      </w:r>
      <w:r w:rsidR="00463666">
        <w:rPr>
          <w:rFonts w:asciiTheme="minorHAnsi" w:hAnsiTheme="minorHAnsi"/>
          <w:sz w:val="24"/>
          <w:szCs w:val="24"/>
        </w:rPr>
        <w:t>best supportive</w:t>
      </w:r>
      <w:r w:rsidRPr="00AE07CE">
        <w:rPr>
          <w:rFonts w:asciiTheme="minorHAnsi" w:hAnsiTheme="minorHAnsi"/>
          <w:sz w:val="24"/>
          <w:szCs w:val="24"/>
        </w:rPr>
        <w:t xml:space="preserve"> care</w:t>
      </w:r>
      <w:r w:rsidR="0065263D" w:rsidRPr="00AE07CE">
        <w:rPr>
          <w:rFonts w:asciiTheme="minorHAnsi" w:hAnsiTheme="minorHAnsi"/>
          <w:sz w:val="24"/>
          <w:szCs w:val="24"/>
        </w:rPr>
        <w:t xml:space="preserve"> and older chemotherapies</w:t>
      </w:r>
      <w:r w:rsidRPr="00AE07CE">
        <w:rPr>
          <w:rFonts w:asciiTheme="minorHAnsi" w:hAnsiTheme="minorHAnsi"/>
          <w:sz w:val="24"/>
          <w:szCs w:val="24"/>
        </w:rPr>
        <w:t xml:space="preserve"> in terms of PFS</w:t>
      </w:r>
      <w:r w:rsidR="00777D16">
        <w:rPr>
          <w:rFonts w:asciiTheme="minorHAnsi" w:hAnsiTheme="minorHAnsi"/>
          <w:sz w:val="24"/>
          <w:szCs w:val="24"/>
        </w:rPr>
        <w:t xml:space="preserve"> as</w:t>
      </w:r>
      <w:r w:rsidR="00D924B6">
        <w:rPr>
          <w:rFonts w:asciiTheme="minorHAnsi" w:hAnsiTheme="minorHAnsi"/>
          <w:sz w:val="24"/>
          <w:szCs w:val="24"/>
        </w:rPr>
        <w:t xml:space="preserve"> </w:t>
      </w:r>
      <w:r w:rsidR="00310A24" w:rsidRPr="00AE07CE">
        <w:rPr>
          <w:rFonts w:asciiTheme="minorHAnsi" w:hAnsiTheme="minorHAnsi"/>
          <w:sz w:val="24"/>
          <w:szCs w:val="24"/>
        </w:rPr>
        <w:t xml:space="preserve">the clinical meaningfulness of PFS </w:t>
      </w:r>
      <w:r w:rsidR="00310A24">
        <w:rPr>
          <w:rFonts w:asciiTheme="minorHAnsi" w:hAnsiTheme="minorHAnsi"/>
          <w:sz w:val="24"/>
          <w:szCs w:val="24"/>
        </w:rPr>
        <w:t xml:space="preserve">as an endpoint </w:t>
      </w:r>
      <w:r w:rsidR="00310A24" w:rsidRPr="00AE07CE">
        <w:rPr>
          <w:rFonts w:asciiTheme="minorHAnsi" w:hAnsiTheme="minorHAnsi"/>
          <w:sz w:val="24"/>
          <w:szCs w:val="24"/>
        </w:rPr>
        <w:t xml:space="preserve">in this condition </w:t>
      </w:r>
      <w:r w:rsidR="00310A24">
        <w:rPr>
          <w:rFonts w:asciiTheme="minorHAnsi" w:hAnsiTheme="minorHAnsi"/>
          <w:sz w:val="24"/>
          <w:szCs w:val="24"/>
        </w:rPr>
        <w:t xml:space="preserve">is </w:t>
      </w:r>
      <w:r w:rsidR="00310A24" w:rsidRPr="00AE07CE">
        <w:rPr>
          <w:rFonts w:asciiTheme="minorHAnsi" w:hAnsiTheme="minorHAnsi"/>
          <w:sz w:val="24"/>
          <w:szCs w:val="24"/>
        </w:rPr>
        <w:t>unknown.</w:t>
      </w:r>
      <w:r w:rsidR="00310A24">
        <w:rPr>
          <w:rFonts w:asciiTheme="minorHAnsi" w:hAnsiTheme="minorHAnsi"/>
          <w:sz w:val="24"/>
          <w:szCs w:val="24"/>
        </w:rPr>
        <w:t xml:space="preserve"> Furthermore, the PBAC considered that the magnitude of benefit</w:t>
      </w:r>
      <w:r w:rsidR="00D924B6">
        <w:rPr>
          <w:rFonts w:asciiTheme="minorHAnsi" w:hAnsiTheme="minorHAnsi"/>
          <w:sz w:val="24"/>
          <w:szCs w:val="24"/>
        </w:rPr>
        <w:t xml:space="preserve"> </w:t>
      </w:r>
      <w:r w:rsidR="00B4790E">
        <w:rPr>
          <w:rFonts w:asciiTheme="minorHAnsi" w:hAnsiTheme="minorHAnsi"/>
          <w:sz w:val="24"/>
          <w:szCs w:val="24"/>
        </w:rPr>
        <w:t xml:space="preserve">of bevacizumab </w:t>
      </w:r>
      <w:r w:rsidR="00D924B6">
        <w:rPr>
          <w:rFonts w:asciiTheme="minorHAnsi" w:hAnsiTheme="minorHAnsi"/>
          <w:sz w:val="24"/>
          <w:szCs w:val="24"/>
        </w:rPr>
        <w:t>on</w:t>
      </w:r>
      <w:r w:rsidRPr="00AE07CE">
        <w:rPr>
          <w:rFonts w:asciiTheme="minorHAnsi" w:hAnsiTheme="minorHAnsi"/>
          <w:sz w:val="24"/>
          <w:szCs w:val="24"/>
        </w:rPr>
        <w:t xml:space="preserve"> quality of life </w:t>
      </w:r>
      <w:r w:rsidR="003325EE" w:rsidRPr="00AE07CE">
        <w:rPr>
          <w:rFonts w:asciiTheme="minorHAnsi" w:hAnsiTheme="minorHAnsi"/>
          <w:sz w:val="24"/>
          <w:szCs w:val="24"/>
        </w:rPr>
        <w:t>and control of symptoms</w:t>
      </w:r>
      <w:r w:rsidRPr="00AE07CE">
        <w:rPr>
          <w:rFonts w:asciiTheme="minorHAnsi" w:hAnsiTheme="minorHAnsi"/>
          <w:sz w:val="24"/>
          <w:szCs w:val="24"/>
        </w:rPr>
        <w:t xml:space="preserve"> were </w:t>
      </w:r>
      <w:r w:rsidR="0065263D" w:rsidRPr="00AE07CE">
        <w:rPr>
          <w:rFonts w:asciiTheme="minorHAnsi" w:hAnsiTheme="minorHAnsi"/>
          <w:sz w:val="24"/>
          <w:szCs w:val="24"/>
        </w:rPr>
        <w:t>difficult to quantify</w:t>
      </w:r>
      <w:r w:rsidR="00845DC7">
        <w:rPr>
          <w:rFonts w:asciiTheme="minorHAnsi" w:hAnsiTheme="minorHAnsi"/>
          <w:sz w:val="24"/>
          <w:szCs w:val="24"/>
        </w:rPr>
        <w:t>,</w:t>
      </w:r>
      <w:r w:rsidR="0065263D" w:rsidRPr="00AE07CE">
        <w:rPr>
          <w:rFonts w:asciiTheme="minorHAnsi" w:hAnsiTheme="minorHAnsi"/>
          <w:sz w:val="24"/>
          <w:szCs w:val="24"/>
        </w:rPr>
        <w:t xml:space="preserve"> given the lack of data </w:t>
      </w:r>
      <w:r w:rsidR="00463666">
        <w:rPr>
          <w:rFonts w:asciiTheme="minorHAnsi" w:hAnsiTheme="minorHAnsi"/>
          <w:sz w:val="24"/>
          <w:szCs w:val="24"/>
        </w:rPr>
        <w:t xml:space="preserve">reliably </w:t>
      </w:r>
      <w:r w:rsidR="00085CB0" w:rsidRPr="00AE07CE">
        <w:rPr>
          <w:rFonts w:asciiTheme="minorHAnsi" w:hAnsiTheme="minorHAnsi"/>
          <w:sz w:val="24"/>
          <w:szCs w:val="24"/>
        </w:rPr>
        <w:t>measuring</w:t>
      </w:r>
      <w:r w:rsidR="0065263D" w:rsidRPr="00AE07CE">
        <w:rPr>
          <w:rFonts w:asciiTheme="minorHAnsi" w:hAnsiTheme="minorHAnsi"/>
          <w:sz w:val="24"/>
          <w:szCs w:val="24"/>
        </w:rPr>
        <w:t xml:space="preserve"> quality of life</w:t>
      </w:r>
      <w:r w:rsidR="00085CB0" w:rsidRPr="00AE07CE">
        <w:rPr>
          <w:rFonts w:asciiTheme="minorHAnsi" w:hAnsiTheme="minorHAnsi"/>
          <w:sz w:val="24"/>
          <w:szCs w:val="24"/>
        </w:rPr>
        <w:t xml:space="preserve"> in this setting</w:t>
      </w:r>
      <w:r w:rsidR="00845DC7">
        <w:rPr>
          <w:rFonts w:asciiTheme="minorHAnsi" w:hAnsiTheme="minorHAnsi"/>
          <w:sz w:val="24"/>
          <w:szCs w:val="24"/>
        </w:rPr>
        <w:t>.</w:t>
      </w:r>
      <w:r w:rsidR="00D92D09" w:rsidRPr="00AE07CE">
        <w:rPr>
          <w:rFonts w:asciiTheme="minorHAnsi" w:hAnsiTheme="minorHAnsi"/>
          <w:sz w:val="24"/>
          <w:szCs w:val="24"/>
        </w:rPr>
        <w:t xml:space="preserve"> </w:t>
      </w:r>
      <w:proofErr w:type="gramStart"/>
      <w:r w:rsidR="00DD3576">
        <w:rPr>
          <w:rFonts w:asciiTheme="minorHAnsi" w:hAnsiTheme="minorHAnsi"/>
          <w:sz w:val="24"/>
          <w:szCs w:val="24"/>
        </w:rPr>
        <w:t>The PBAC recalled its previous advice that overall survival remains the most robust indicator of benefit in brain cancer (</w:t>
      </w:r>
      <w:r w:rsidR="00777D16" w:rsidRPr="00777D16">
        <w:rPr>
          <w:rFonts w:asciiTheme="minorHAnsi" w:hAnsiTheme="minorHAnsi"/>
          <w:sz w:val="24"/>
          <w:szCs w:val="24"/>
        </w:rPr>
        <w:t>Section 12, November 2010 PBAC Minutes</w:t>
      </w:r>
      <w:r w:rsidR="00DD3576">
        <w:rPr>
          <w:rFonts w:asciiTheme="minorHAnsi" w:hAnsiTheme="minorHAnsi"/>
          <w:sz w:val="24"/>
          <w:szCs w:val="24"/>
        </w:rPr>
        <w:t>), however considered that given the high clinical need for this indication, PFS and quality of life outcomes could be evaluated as part of a cost-effectiveness analysis, recognising though that the clinical benefit of these outcomes remains highly uncertain based on the evidence presented.</w:t>
      </w:r>
      <w:proofErr w:type="gramEnd"/>
    </w:p>
    <w:p w:rsidR="00905C1C" w:rsidRPr="00AE07CE" w:rsidRDefault="0065263D" w:rsidP="00E752A8">
      <w:pPr>
        <w:pStyle w:val="ListParagraph"/>
        <w:widowControl/>
        <w:numPr>
          <w:ilvl w:val="1"/>
          <w:numId w:val="5"/>
        </w:numPr>
        <w:spacing w:before="120" w:after="120"/>
        <w:ind w:left="720"/>
        <w:contextualSpacing w:val="0"/>
        <w:rPr>
          <w:rFonts w:asciiTheme="minorHAnsi" w:hAnsiTheme="minorHAnsi"/>
          <w:sz w:val="24"/>
          <w:szCs w:val="24"/>
        </w:rPr>
      </w:pPr>
      <w:r w:rsidRPr="00AE07CE">
        <w:rPr>
          <w:rFonts w:asciiTheme="minorHAnsi" w:hAnsiTheme="minorHAnsi"/>
          <w:sz w:val="24"/>
          <w:szCs w:val="24"/>
        </w:rPr>
        <w:t>The</w:t>
      </w:r>
      <w:r w:rsidR="00905C1C" w:rsidRPr="00AE07CE">
        <w:rPr>
          <w:rFonts w:asciiTheme="minorHAnsi" w:hAnsiTheme="minorHAnsi"/>
          <w:sz w:val="24"/>
          <w:szCs w:val="24"/>
        </w:rPr>
        <w:t xml:space="preserve"> PBAC considered</w:t>
      </w:r>
      <w:r w:rsidRPr="00AE07CE">
        <w:rPr>
          <w:rFonts w:asciiTheme="minorHAnsi" w:hAnsiTheme="minorHAnsi"/>
          <w:sz w:val="24"/>
          <w:szCs w:val="24"/>
        </w:rPr>
        <w:t xml:space="preserve"> that</w:t>
      </w:r>
      <w:r w:rsidR="00905C1C" w:rsidRPr="00AE07CE">
        <w:rPr>
          <w:rFonts w:asciiTheme="minorHAnsi" w:hAnsiTheme="minorHAnsi"/>
          <w:sz w:val="24"/>
          <w:szCs w:val="24"/>
        </w:rPr>
        <w:t xml:space="preserve"> </w:t>
      </w:r>
      <w:r w:rsidR="00DD3576">
        <w:rPr>
          <w:rFonts w:asciiTheme="minorHAnsi" w:hAnsiTheme="minorHAnsi"/>
          <w:sz w:val="24"/>
          <w:szCs w:val="24"/>
        </w:rPr>
        <w:t xml:space="preserve">there was insufficient information in the minor submission to draw </w:t>
      </w:r>
      <w:r w:rsidR="00463666">
        <w:rPr>
          <w:rFonts w:asciiTheme="minorHAnsi" w:hAnsiTheme="minorHAnsi"/>
          <w:sz w:val="24"/>
          <w:szCs w:val="24"/>
        </w:rPr>
        <w:t xml:space="preserve">a </w:t>
      </w:r>
      <w:r w:rsidR="00DD3576">
        <w:rPr>
          <w:rFonts w:asciiTheme="minorHAnsi" w:hAnsiTheme="minorHAnsi"/>
          <w:sz w:val="24"/>
          <w:szCs w:val="24"/>
        </w:rPr>
        <w:t xml:space="preserve">conclusion around </w:t>
      </w:r>
      <w:r w:rsidR="00463666">
        <w:rPr>
          <w:rFonts w:asciiTheme="minorHAnsi" w:hAnsiTheme="minorHAnsi"/>
          <w:sz w:val="24"/>
          <w:szCs w:val="24"/>
        </w:rPr>
        <w:t xml:space="preserve">the </w:t>
      </w:r>
      <w:r w:rsidR="00DD3576">
        <w:rPr>
          <w:rFonts w:asciiTheme="minorHAnsi" w:hAnsiTheme="minorHAnsi"/>
          <w:sz w:val="24"/>
          <w:szCs w:val="24"/>
        </w:rPr>
        <w:t xml:space="preserve">comparative safety </w:t>
      </w:r>
      <w:r w:rsidR="00463666">
        <w:rPr>
          <w:rFonts w:asciiTheme="minorHAnsi" w:hAnsiTheme="minorHAnsi"/>
          <w:sz w:val="24"/>
          <w:szCs w:val="24"/>
        </w:rPr>
        <w:t xml:space="preserve">and the risk versus benefit </w:t>
      </w:r>
      <w:r w:rsidR="00DD3576">
        <w:rPr>
          <w:rFonts w:asciiTheme="minorHAnsi" w:hAnsiTheme="minorHAnsi"/>
          <w:sz w:val="24"/>
          <w:szCs w:val="24"/>
        </w:rPr>
        <w:t xml:space="preserve">of </w:t>
      </w:r>
      <w:r w:rsidR="00905C1C" w:rsidRPr="00AE07CE">
        <w:rPr>
          <w:rFonts w:asciiTheme="minorHAnsi" w:hAnsiTheme="minorHAnsi"/>
          <w:sz w:val="24"/>
          <w:szCs w:val="24"/>
        </w:rPr>
        <w:t>bevacizumab</w:t>
      </w:r>
      <w:r w:rsidR="004073A2">
        <w:rPr>
          <w:rFonts w:asciiTheme="minorHAnsi" w:hAnsiTheme="minorHAnsi"/>
          <w:sz w:val="24"/>
          <w:szCs w:val="24"/>
        </w:rPr>
        <w:t xml:space="preserve">. </w:t>
      </w:r>
      <w:r w:rsidR="00463666">
        <w:rPr>
          <w:rFonts w:asciiTheme="minorHAnsi" w:hAnsiTheme="minorHAnsi"/>
          <w:sz w:val="24"/>
          <w:szCs w:val="24"/>
        </w:rPr>
        <w:t xml:space="preserve">The </w:t>
      </w:r>
      <w:r w:rsidR="004073A2">
        <w:rPr>
          <w:rFonts w:asciiTheme="minorHAnsi" w:hAnsiTheme="minorHAnsi"/>
          <w:sz w:val="24"/>
          <w:szCs w:val="24"/>
        </w:rPr>
        <w:t xml:space="preserve">PBAC </w:t>
      </w:r>
      <w:r w:rsidR="00463666">
        <w:rPr>
          <w:rFonts w:asciiTheme="minorHAnsi" w:hAnsiTheme="minorHAnsi"/>
          <w:sz w:val="24"/>
          <w:szCs w:val="24"/>
        </w:rPr>
        <w:t>considered</w:t>
      </w:r>
      <w:r w:rsidR="004073A2">
        <w:rPr>
          <w:rFonts w:asciiTheme="minorHAnsi" w:hAnsiTheme="minorHAnsi"/>
          <w:sz w:val="24"/>
          <w:szCs w:val="24"/>
        </w:rPr>
        <w:t xml:space="preserve"> that </w:t>
      </w:r>
      <w:r w:rsidR="00905C1C" w:rsidRPr="00AE07CE">
        <w:rPr>
          <w:rFonts w:asciiTheme="minorHAnsi" w:hAnsiTheme="minorHAnsi"/>
          <w:sz w:val="24"/>
          <w:szCs w:val="24"/>
        </w:rPr>
        <w:t xml:space="preserve">bevacizumab </w:t>
      </w:r>
      <w:r w:rsidRPr="00AE07CE">
        <w:rPr>
          <w:rFonts w:asciiTheme="minorHAnsi" w:hAnsiTheme="minorHAnsi"/>
          <w:sz w:val="24"/>
          <w:szCs w:val="24"/>
        </w:rPr>
        <w:t>is</w:t>
      </w:r>
      <w:r w:rsidR="00905C1C" w:rsidRPr="00AE07CE">
        <w:rPr>
          <w:rFonts w:asciiTheme="minorHAnsi" w:hAnsiTheme="minorHAnsi"/>
          <w:sz w:val="24"/>
          <w:szCs w:val="24"/>
        </w:rPr>
        <w:t xml:space="preserve"> generally well tolerated </w:t>
      </w:r>
      <w:r w:rsidR="004073A2">
        <w:rPr>
          <w:rFonts w:asciiTheme="minorHAnsi" w:hAnsiTheme="minorHAnsi"/>
          <w:sz w:val="24"/>
          <w:szCs w:val="24"/>
        </w:rPr>
        <w:t xml:space="preserve">when used in other disease settings, however in the </w:t>
      </w:r>
      <w:r w:rsidR="00463666">
        <w:rPr>
          <w:rFonts w:asciiTheme="minorHAnsi" w:hAnsiTheme="minorHAnsi"/>
          <w:sz w:val="24"/>
          <w:szCs w:val="24"/>
        </w:rPr>
        <w:t>context</w:t>
      </w:r>
      <w:r w:rsidR="004073A2">
        <w:rPr>
          <w:rFonts w:asciiTheme="minorHAnsi" w:hAnsiTheme="minorHAnsi"/>
          <w:sz w:val="24"/>
          <w:szCs w:val="24"/>
        </w:rPr>
        <w:t xml:space="preserve"> of </w:t>
      </w:r>
      <w:r w:rsidR="00463666">
        <w:rPr>
          <w:rFonts w:asciiTheme="minorHAnsi" w:hAnsiTheme="minorHAnsi"/>
          <w:sz w:val="24"/>
          <w:szCs w:val="24"/>
        </w:rPr>
        <w:t xml:space="preserve">the </w:t>
      </w:r>
      <w:r w:rsidR="004073A2">
        <w:rPr>
          <w:rFonts w:asciiTheme="minorHAnsi" w:hAnsiTheme="minorHAnsi"/>
          <w:sz w:val="24"/>
          <w:szCs w:val="24"/>
        </w:rPr>
        <w:t xml:space="preserve">uncertain clinical benefit in </w:t>
      </w:r>
      <w:proofErr w:type="gramStart"/>
      <w:r w:rsidR="004073A2">
        <w:rPr>
          <w:rFonts w:asciiTheme="minorHAnsi" w:hAnsiTheme="minorHAnsi"/>
          <w:sz w:val="24"/>
          <w:szCs w:val="24"/>
        </w:rPr>
        <w:t>glioblastoma,</w:t>
      </w:r>
      <w:proofErr w:type="gramEnd"/>
      <w:r w:rsidR="004073A2">
        <w:rPr>
          <w:rFonts w:asciiTheme="minorHAnsi" w:hAnsiTheme="minorHAnsi"/>
          <w:sz w:val="24"/>
          <w:szCs w:val="24"/>
        </w:rPr>
        <w:t xml:space="preserve"> it would be useful and important to evaluate the risk</w:t>
      </w:r>
      <w:r w:rsidR="00463666">
        <w:rPr>
          <w:rFonts w:asciiTheme="minorHAnsi" w:hAnsiTheme="minorHAnsi"/>
          <w:sz w:val="24"/>
          <w:szCs w:val="24"/>
        </w:rPr>
        <w:t xml:space="preserve"> versus </w:t>
      </w:r>
      <w:r w:rsidR="004073A2">
        <w:rPr>
          <w:rFonts w:asciiTheme="minorHAnsi" w:hAnsiTheme="minorHAnsi"/>
          <w:sz w:val="24"/>
          <w:szCs w:val="24"/>
        </w:rPr>
        <w:t xml:space="preserve">benefit profile. </w:t>
      </w:r>
    </w:p>
    <w:p w:rsidR="005A3173" w:rsidRPr="00AE07CE" w:rsidRDefault="005A3173" w:rsidP="00E752A8">
      <w:pPr>
        <w:pStyle w:val="Heading2"/>
        <w:keepLines/>
        <w:spacing w:before="120" w:after="120"/>
        <w:rPr>
          <w:rFonts w:asciiTheme="minorHAnsi" w:eastAsiaTheme="majorEastAsia" w:hAnsiTheme="minorHAnsi" w:cstheme="majorBidi"/>
          <w:sz w:val="28"/>
          <w:szCs w:val="28"/>
          <w:lang w:eastAsia="en-US"/>
        </w:rPr>
      </w:pPr>
      <w:r w:rsidRPr="00AE07CE">
        <w:rPr>
          <w:rFonts w:asciiTheme="minorHAnsi" w:eastAsiaTheme="majorEastAsia" w:hAnsiTheme="minorHAnsi" w:cstheme="majorBidi"/>
          <w:sz w:val="28"/>
          <w:szCs w:val="28"/>
          <w:lang w:eastAsia="en-US"/>
        </w:rPr>
        <w:lastRenderedPageBreak/>
        <w:t>Economic analysis</w:t>
      </w:r>
    </w:p>
    <w:p w:rsidR="00084E88" w:rsidRPr="00AE07CE" w:rsidRDefault="00084E88"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submission stated that the new data do not confirm an OS benefit for bevacizumab for this indication. The submission further stated that “while a PFS benefit is clear, quality-of-life data have not been captured that would enable translation of this benefit into a patient-relevant outcome”. Given this, the submission considered that there are no new data to support a cost-effectiveness evaluation of this indication via a traditional ICER approach.</w:t>
      </w:r>
    </w:p>
    <w:p w:rsidR="003C2FB5" w:rsidRPr="00AE07CE" w:rsidRDefault="00A55FEE" w:rsidP="00E752A8">
      <w:pPr>
        <w:pStyle w:val="Heading2"/>
        <w:keepLines/>
        <w:spacing w:before="120" w:after="120"/>
        <w:rPr>
          <w:rFonts w:asciiTheme="minorHAnsi" w:eastAsiaTheme="majorEastAsia" w:hAnsiTheme="minorHAnsi" w:cstheme="majorBidi"/>
          <w:sz w:val="28"/>
          <w:szCs w:val="28"/>
          <w:lang w:eastAsia="en-US"/>
        </w:rPr>
      </w:pPr>
      <w:r w:rsidRPr="00AE07CE">
        <w:rPr>
          <w:rFonts w:asciiTheme="minorHAnsi" w:eastAsiaTheme="majorEastAsia" w:hAnsiTheme="minorHAnsi" w:cstheme="majorBidi"/>
          <w:sz w:val="28"/>
          <w:szCs w:val="28"/>
          <w:lang w:eastAsia="en-US"/>
        </w:rPr>
        <w:t>D</w:t>
      </w:r>
      <w:r w:rsidR="00AA76C1" w:rsidRPr="00AE07CE">
        <w:rPr>
          <w:rFonts w:asciiTheme="minorHAnsi" w:eastAsiaTheme="majorEastAsia" w:hAnsiTheme="minorHAnsi" w:cstheme="majorBidi"/>
          <w:sz w:val="28"/>
          <w:szCs w:val="28"/>
          <w:lang w:eastAsia="en-US"/>
        </w:rPr>
        <w:t>rug cost/patient</w:t>
      </w:r>
      <w:r w:rsidR="00AD0574" w:rsidRPr="00AE07CE">
        <w:rPr>
          <w:rFonts w:asciiTheme="minorHAnsi" w:eastAsiaTheme="majorEastAsia" w:hAnsiTheme="minorHAnsi" w:cstheme="majorBidi"/>
          <w:sz w:val="28"/>
          <w:szCs w:val="28"/>
          <w:lang w:eastAsia="en-US"/>
        </w:rPr>
        <w:t xml:space="preserve">/course: </w:t>
      </w:r>
      <w:r w:rsidR="00AA76C1" w:rsidRPr="00AE07CE">
        <w:rPr>
          <w:rFonts w:asciiTheme="minorHAnsi" w:eastAsiaTheme="majorEastAsia" w:hAnsiTheme="minorHAnsi" w:cstheme="majorBidi"/>
          <w:sz w:val="28"/>
          <w:szCs w:val="28"/>
          <w:lang w:eastAsia="en-US"/>
        </w:rPr>
        <w:t>$</w:t>
      </w:r>
      <w:r w:rsidR="00E454F3">
        <w:rPr>
          <w:rFonts w:asciiTheme="minorHAnsi" w:eastAsiaTheme="majorEastAsia" w:hAnsiTheme="minorHAnsi" w:cstheme="majorBidi"/>
          <w:noProof/>
          <w:color w:val="000000"/>
          <w:sz w:val="28"/>
          <w:szCs w:val="28"/>
          <w:highlight w:val="black"/>
          <w:lang w:eastAsia="en-US"/>
        </w:rPr>
        <w:t>''''''''''''</w:t>
      </w:r>
    </w:p>
    <w:p w:rsidR="00EE46A1" w:rsidRPr="00AE07CE" w:rsidRDefault="00EE46A1"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cost of bevacizumab per patient per </w:t>
      </w:r>
      <w:r w:rsidR="00AD0574" w:rsidRPr="00AE07CE">
        <w:rPr>
          <w:rFonts w:asciiTheme="minorHAnsi" w:eastAsiaTheme="minorHAnsi" w:hAnsiTheme="minorHAnsi" w:cstheme="minorBidi"/>
          <w:snapToGrid/>
          <w:sz w:val="24"/>
          <w:szCs w:val="22"/>
        </w:rPr>
        <w:t>course</w:t>
      </w:r>
      <w:r w:rsidRPr="00AE07CE">
        <w:rPr>
          <w:rFonts w:asciiTheme="minorHAnsi" w:eastAsiaTheme="minorHAnsi" w:hAnsiTheme="minorHAnsi" w:cstheme="minorBidi"/>
          <w:snapToGrid/>
          <w:sz w:val="24"/>
          <w:szCs w:val="22"/>
        </w:rPr>
        <w:t xml:space="preserve"> </w:t>
      </w:r>
      <w:r w:rsidR="00135226" w:rsidRPr="00AE07CE">
        <w:rPr>
          <w:rFonts w:asciiTheme="minorHAnsi" w:eastAsiaTheme="minorHAnsi" w:hAnsiTheme="minorHAnsi" w:cstheme="minorBidi"/>
          <w:snapToGrid/>
          <w:sz w:val="24"/>
          <w:szCs w:val="22"/>
        </w:rPr>
        <w:t>was</w:t>
      </w:r>
      <w:r w:rsidR="00390146" w:rsidRPr="00AE07CE">
        <w:rPr>
          <w:rFonts w:asciiTheme="minorHAnsi" w:eastAsiaTheme="minorHAnsi" w:hAnsiTheme="minorHAnsi" w:cstheme="minorBidi"/>
          <w:snapToGrid/>
          <w:sz w:val="24"/>
          <w:szCs w:val="22"/>
        </w:rPr>
        <w:t xml:space="preserve"> based on </w:t>
      </w:r>
      <w:r w:rsidRPr="00AE07CE">
        <w:rPr>
          <w:rFonts w:asciiTheme="minorHAnsi" w:eastAsiaTheme="minorHAnsi" w:hAnsiTheme="minorHAnsi" w:cstheme="minorBidi"/>
          <w:snapToGrid/>
          <w:sz w:val="24"/>
          <w:szCs w:val="22"/>
        </w:rPr>
        <w:t xml:space="preserve">the proposed effective bevacizumab </w:t>
      </w:r>
      <w:r w:rsidR="00390146" w:rsidRPr="00AE07CE">
        <w:rPr>
          <w:rFonts w:asciiTheme="minorHAnsi" w:eastAsiaTheme="minorHAnsi" w:hAnsiTheme="minorHAnsi" w:cstheme="minorBidi"/>
          <w:snapToGrid/>
          <w:sz w:val="24"/>
          <w:szCs w:val="22"/>
        </w:rPr>
        <w:t>price</w:t>
      </w:r>
      <w:r w:rsidRPr="00AE07CE">
        <w:rPr>
          <w:rFonts w:asciiTheme="minorHAnsi" w:eastAsiaTheme="minorHAnsi" w:hAnsiTheme="minorHAnsi" w:cstheme="minorBidi"/>
          <w:snapToGrid/>
          <w:sz w:val="24"/>
          <w:szCs w:val="22"/>
        </w:rPr>
        <w:t xml:space="preserve"> per </w:t>
      </w:r>
      <w:r w:rsidR="00136D4A" w:rsidRPr="00AE07CE">
        <w:rPr>
          <w:rFonts w:asciiTheme="minorHAnsi" w:eastAsiaTheme="minorHAnsi" w:hAnsiTheme="minorHAnsi" w:cstheme="minorBidi"/>
          <w:snapToGrid/>
          <w:sz w:val="24"/>
          <w:szCs w:val="22"/>
        </w:rPr>
        <w:t>dose</w:t>
      </w:r>
      <w:r w:rsidRPr="00AE07CE">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w:t>
      </w:r>
      <w:r w:rsidR="00390146" w:rsidRPr="00AE07CE">
        <w:rPr>
          <w:rFonts w:asciiTheme="minorHAnsi" w:eastAsiaTheme="minorHAnsi" w:hAnsiTheme="minorHAnsi" w:cstheme="minorBidi"/>
          <w:snapToGrid/>
          <w:sz w:val="24"/>
          <w:szCs w:val="22"/>
        </w:rPr>
        <w:t>, weighted between private and public use</w:t>
      </w:r>
      <w:r w:rsidRPr="00AE07CE">
        <w:rPr>
          <w:rFonts w:asciiTheme="minorHAnsi" w:eastAsiaTheme="minorHAnsi" w:hAnsiTheme="minorHAnsi" w:cstheme="minorBidi"/>
          <w:snapToGrid/>
          <w:sz w:val="24"/>
          <w:szCs w:val="22"/>
        </w:rPr>
        <w:t>)</w:t>
      </w:r>
      <w:r w:rsidR="00390146" w:rsidRPr="00AE07CE">
        <w:rPr>
          <w:rFonts w:asciiTheme="minorHAnsi" w:eastAsiaTheme="minorHAnsi" w:hAnsiTheme="minorHAnsi" w:cstheme="minorBidi"/>
          <w:snapToGrid/>
          <w:sz w:val="24"/>
          <w:szCs w:val="22"/>
        </w:rPr>
        <w:t xml:space="preserve">, </w:t>
      </w:r>
      <w:r w:rsidR="00135226" w:rsidRPr="00AE07CE">
        <w:rPr>
          <w:rFonts w:asciiTheme="minorHAnsi" w:eastAsiaTheme="minorHAnsi" w:hAnsiTheme="minorHAnsi" w:cstheme="minorBidi"/>
          <w:snapToGrid/>
          <w:sz w:val="24"/>
          <w:szCs w:val="22"/>
        </w:rPr>
        <w:t xml:space="preserve">which </w:t>
      </w:r>
      <w:r w:rsidR="00390146" w:rsidRPr="00AE07CE">
        <w:rPr>
          <w:rFonts w:asciiTheme="minorHAnsi" w:eastAsiaTheme="minorHAnsi" w:hAnsiTheme="minorHAnsi" w:cstheme="minorBidi"/>
          <w:snapToGrid/>
          <w:sz w:val="24"/>
          <w:szCs w:val="22"/>
        </w:rPr>
        <w:t>assum</w:t>
      </w:r>
      <w:r w:rsidR="00135226" w:rsidRPr="00AE07CE">
        <w:rPr>
          <w:rFonts w:asciiTheme="minorHAnsi" w:eastAsiaTheme="minorHAnsi" w:hAnsiTheme="minorHAnsi" w:cstheme="minorBidi"/>
          <w:snapToGrid/>
          <w:sz w:val="24"/>
          <w:szCs w:val="22"/>
        </w:rPr>
        <w:t>ed</w:t>
      </w:r>
      <w:r w:rsidRPr="00AE07CE">
        <w:rPr>
          <w:rFonts w:asciiTheme="minorHAnsi" w:eastAsiaTheme="minorHAnsi" w:hAnsiTheme="minorHAnsi" w:cstheme="minorBidi"/>
          <w:snapToGrid/>
          <w:sz w:val="24"/>
          <w:szCs w:val="22"/>
        </w:rPr>
        <w:t xml:space="preserve"> 2 x 400</w:t>
      </w:r>
      <w:r w:rsidR="00434C3A" w:rsidRPr="00AE07CE">
        <w:rPr>
          <w:rFonts w:asciiTheme="minorHAnsi" w:eastAsiaTheme="minorHAnsi" w:hAnsiTheme="minorHAnsi" w:cstheme="minorBidi"/>
          <w:snapToGrid/>
          <w:sz w:val="24"/>
          <w:szCs w:val="22"/>
        </w:rPr>
        <w:t xml:space="preserve"> </w:t>
      </w:r>
      <w:r w:rsidRPr="00AE07CE">
        <w:rPr>
          <w:rFonts w:asciiTheme="minorHAnsi" w:eastAsiaTheme="minorHAnsi" w:hAnsiTheme="minorHAnsi" w:cstheme="minorBidi"/>
          <w:snapToGrid/>
          <w:sz w:val="24"/>
          <w:szCs w:val="22"/>
        </w:rPr>
        <w:t xml:space="preserve">mg vials </w:t>
      </w:r>
      <w:r w:rsidR="00475894" w:rsidRPr="00AE07CE">
        <w:rPr>
          <w:rFonts w:asciiTheme="minorHAnsi" w:eastAsiaTheme="minorHAnsi" w:hAnsiTheme="minorHAnsi" w:cstheme="minorBidi"/>
          <w:snapToGrid/>
          <w:sz w:val="24"/>
          <w:szCs w:val="22"/>
        </w:rPr>
        <w:t xml:space="preserve">(based on </w:t>
      </w:r>
      <w:r w:rsidR="00390146" w:rsidRPr="00AE07CE">
        <w:rPr>
          <w:rFonts w:asciiTheme="minorHAnsi" w:eastAsiaTheme="minorHAnsi" w:hAnsiTheme="minorHAnsi" w:cstheme="minorBidi"/>
          <w:snapToGrid/>
          <w:sz w:val="24"/>
          <w:szCs w:val="22"/>
        </w:rPr>
        <w:t>the</w:t>
      </w:r>
      <w:r w:rsidR="00475894" w:rsidRPr="00AE07CE">
        <w:rPr>
          <w:rFonts w:asciiTheme="minorHAnsi" w:eastAsiaTheme="minorHAnsi" w:hAnsiTheme="minorHAnsi" w:cstheme="minorBidi"/>
          <w:snapToGrid/>
          <w:sz w:val="24"/>
          <w:szCs w:val="22"/>
        </w:rPr>
        <w:t xml:space="preserve"> average patient weight </w:t>
      </w:r>
      <w:r w:rsidR="00390146" w:rsidRPr="00AE07CE">
        <w:rPr>
          <w:rFonts w:asciiTheme="minorHAnsi" w:eastAsiaTheme="minorHAnsi" w:hAnsiTheme="minorHAnsi" w:cstheme="minorBidi"/>
          <w:snapToGrid/>
          <w:sz w:val="24"/>
          <w:szCs w:val="22"/>
        </w:rPr>
        <w:t xml:space="preserve">in </w:t>
      </w:r>
      <w:r w:rsidR="00390146" w:rsidRPr="0081071D">
        <w:rPr>
          <w:rFonts w:asciiTheme="minorHAnsi" w:eastAsiaTheme="minorHAnsi" w:hAnsiTheme="minorHAnsi" w:cstheme="minorBidi"/>
          <w:snapToGrid/>
          <w:sz w:val="24"/>
          <w:szCs w:val="22"/>
        </w:rPr>
        <w:t>t</w:t>
      </w:r>
      <w:r w:rsidR="002C60CD" w:rsidRPr="0081071D">
        <w:rPr>
          <w:rFonts w:asciiTheme="minorHAnsi" w:eastAsiaTheme="minorHAnsi" w:hAnsiTheme="minorHAnsi" w:cstheme="minorBidi"/>
          <w:snapToGrid/>
          <w:sz w:val="24"/>
          <w:szCs w:val="22"/>
        </w:rPr>
        <w:t xml:space="preserve">he Patient Access </w:t>
      </w:r>
      <w:r w:rsidR="002C60CD" w:rsidRPr="00373B5B">
        <w:rPr>
          <w:rFonts w:asciiTheme="minorHAnsi" w:eastAsiaTheme="minorHAnsi" w:hAnsiTheme="minorHAnsi" w:cstheme="minorBidi"/>
          <w:snapToGrid/>
          <w:sz w:val="24"/>
          <w:szCs w:val="22"/>
        </w:rPr>
        <w:t>Program</w:t>
      </w:r>
      <w:r w:rsidR="00390146" w:rsidRPr="00373B5B">
        <w:rPr>
          <w:rFonts w:asciiTheme="minorHAnsi" w:eastAsiaTheme="minorHAnsi" w:hAnsiTheme="minorHAnsi" w:cstheme="minorBidi"/>
          <w:snapToGrid/>
          <w:sz w:val="24"/>
          <w:szCs w:val="22"/>
        </w:rPr>
        <w:t xml:space="preserve"> of </w:t>
      </w:r>
      <w:r w:rsidR="00E454F3">
        <w:rPr>
          <w:rFonts w:asciiTheme="minorHAnsi" w:eastAsiaTheme="minorHAnsi" w:hAnsiTheme="minorHAnsi" w:cstheme="minorBidi"/>
          <w:noProof/>
          <w:snapToGrid/>
          <w:color w:val="000000"/>
          <w:sz w:val="24"/>
          <w:szCs w:val="22"/>
          <w:highlight w:val="black"/>
        </w:rPr>
        <w:t>'''''</w:t>
      </w:r>
      <w:r w:rsidR="00390146" w:rsidRPr="00373B5B">
        <w:rPr>
          <w:rFonts w:asciiTheme="minorHAnsi" w:eastAsiaTheme="minorHAnsi" w:hAnsiTheme="minorHAnsi" w:cstheme="minorBidi"/>
          <w:snapToGrid/>
          <w:sz w:val="24"/>
          <w:szCs w:val="22"/>
        </w:rPr>
        <w:t xml:space="preserve"> kg</w:t>
      </w:r>
      <w:r w:rsidR="00136D4A" w:rsidRPr="00373B5B">
        <w:rPr>
          <w:rFonts w:asciiTheme="minorHAnsi" w:eastAsiaTheme="minorHAnsi" w:hAnsiTheme="minorHAnsi" w:cstheme="minorBidi"/>
          <w:snapToGrid/>
          <w:sz w:val="24"/>
          <w:szCs w:val="22"/>
        </w:rPr>
        <w:t xml:space="preserve">, and </w:t>
      </w:r>
      <w:r w:rsidR="00390146" w:rsidRPr="00373B5B">
        <w:rPr>
          <w:rFonts w:asciiTheme="minorHAnsi" w:eastAsiaTheme="minorHAnsi" w:hAnsiTheme="minorHAnsi" w:cstheme="minorBidi"/>
          <w:snapToGrid/>
          <w:sz w:val="24"/>
          <w:szCs w:val="22"/>
        </w:rPr>
        <w:t xml:space="preserve">a </w:t>
      </w:r>
      <w:r w:rsidR="00136D4A" w:rsidRPr="00373B5B">
        <w:rPr>
          <w:rFonts w:asciiTheme="minorHAnsi" w:eastAsiaTheme="minorHAnsi" w:hAnsiTheme="minorHAnsi" w:cstheme="minorBidi"/>
          <w:snapToGrid/>
          <w:sz w:val="24"/>
          <w:szCs w:val="22"/>
        </w:rPr>
        <w:t>dose of 10 mg/kg</w:t>
      </w:r>
      <w:r w:rsidR="00390146" w:rsidRPr="00373B5B">
        <w:rPr>
          <w:rFonts w:asciiTheme="minorHAnsi" w:eastAsiaTheme="minorHAnsi" w:hAnsiTheme="minorHAnsi" w:cstheme="minorBidi"/>
          <w:snapToGrid/>
          <w:sz w:val="24"/>
          <w:szCs w:val="22"/>
        </w:rPr>
        <w:t xml:space="preserve"> every two weeks</w:t>
      </w:r>
      <w:r w:rsidR="00475894" w:rsidRPr="00373B5B">
        <w:rPr>
          <w:rFonts w:asciiTheme="minorHAnsi" w:eastAsiaTheme="minorHAnsi" w:hAnsiTheme="minorHAnsi" w:cstheme="minorBidi"/>
          <w:snapToGrid/>
          <w:sz w:val="24"/>
          <w:szCs w:val="22"/>
        </w:rPr>
        <w:t>)</w:t>
      </w:r>
      <w:r w:rsidR="00136D4A" w:rsidRPr="00373B5B">
        <w:rPr>
          <w:rFonts w:asciiTheme="minorHAnsi" w:eastAsiaTheme="minorHAnsi" w:hAnsiTheme="minorHAnsi" w:cstheme="minorBidi"/>
          <w:snapToGrid/>
          <w:sz w:val="24"/>
          <w:szCs w:val="22"/>
        </w:rPr>
        <w:t xml:space="preserve">. </w:t>
      </w:r>
      <w:r w:rsidR="00390146" w:rsidRPr="00373B5B">
        <w:rPr>
          <w:rFonts w:asciiTheme="minorHAnsi" w:eastAsiaTheme="minorHAnsi" w:hAnsiTheme="minorHAnsi" w:cstheme="minorBidi"/>
          <w:snapToGrid/>
          <w:sz w:val="24"/>
          <w:szCs w:val="22"/>
        </w:rPr>
        <w:t xml:space="preserve">An </w:t>
      </w:r>
      <w:r w:rsidR="00136D4A" w:rsidRPr="00373B5B">
        <w:rPr>
          <w:rFonts w:asciiTheme="minorHAnsi" w:eastAsiaTheme="minorHAnsi" w:hAnsiTheme="minorHAnsi" w:cstheme="minorBidi"/>
          <w:snapToGrid/>
          <w:sz w:val="24"/>
          <w:szCs w:val="22"/>
        </w:rPr>
        <w:t xml:space="preserve">average </w:t>
      </w:r>
      <w:r w:rsidR="00390146" w:rsidRPr="00373B5B">
        <w:rPr>
          <w:rFonts w:asciiTheme="minorHAnsi" w:eastAsiaTheme="minorHAnsi" w:hAnsiTheme="minorHAnsi" w:cstheme="minorBidi"/>
          <w:snapToGrid/>
          <w:sz w:val="24"/>
          <w:szCs w:val="22"/>
        </w:rPr>
        <w:t>of</w:t>
      </w:r>
      <w:r w:rsidR="00AB21CD" w:rsidRPr="00373B5B">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w:t>
      </w:r>
      <w:r w:rsidR="00136D4A" w:rsidRPr="00373B5B">
        <w:rPr>
          <w:rFonts w:asciiTheme="minorHAnsi" w:eastAsiaTheme="minorHAnsi" w:hAnsiTheme="minorHAnsi" w:cstheme="minorBidi"/>
          <w:snapToGrid/>
          <w:sz w:val="24"/>
          <w:szCs w:val="22"/>
        </w:rPr>
        <w:t xml:space="preserve"> doses</w:t>
      </w:r>
      <w:r w:rsidR="00AB21CD" w:rsidRPr="00373B5B">
        <w:rPr>
          <w:rFonts w:asciiTheme="minorHAnsi" w:eastAsiaTheme="minorHAnsi" w:hAnsiTheme="minorHAnsi" w:cstheme="minorBidi"/>
          <w:snapToGrid/>
          <w:sz w:val="24"/>
          <w:szCs w:val="22"/>
        </w:rPr>
        <w:t xml:space="preserve"> </w:t>
      </w:r>
      <w:r w:rsidR="00390146" w:rsidRPr="00373B5B">
        <w:rPr>
          <w:rFonts w:asciiTheme="minorHAnsi" w:eastAsiaTheme="minorHAnsi" w:hAnsiTheme="minorHAnsi" w:cstheme="minorBidi"/>
          <w:snapToGrid/>
          <w:sz w:val="24"/>
          <w:szCs w:val="22"/>
        </w:rPr>
        <w:t>per patient was assumed</w:t>
      </w:r>
      <w:r w:rsidR="00390146" w:rsidRPr="00AE07CE">
        <w:rPr>
          <w:rFonts w:asciiTheme="minorHAnsi" w:eastAsiaTheme="minorHAnsi" w:hAnsiTheme="minorHAnsi" w:cstheme="minorBidi"/>
          <w:snapToGrid/>
          <w:sz w:val="24"/>
          <w:szCs w:val="22"/>
        </w:rPr>
        <w:t xml:space="preserve"> </w:t>
      </w:r>
      <w:r w:rsidR="00AB21CD" w:rsidRPr="00AE07CE">
        <w:rPr>
          <w:rFonts w:asciiTheme="minorHAnsi" w:eastAsiaTheme="minorHAnsi" w:hAnsiTheme="minorHAnsi" w:cstheme="minorBidi"/>
          <w:snapToGrid/>
          <w:sz w:val="24"/>
          <w:szCs w:val="22"/>
        </w:rPr>
        <w:t xml:space="preserve">based on an </w:t>
      </w:r>
      <w:r w:rsidR="00AB21CD" w:rsidRPr="00373B5B">
        <w:rPr>
          <w:rFonts w:asciiTheme="minorHAnsi" w:eastAsiaTheme="minorHAnsi" w:hAnsiTheme="minorHAnsi" w:cstheme="minorBidi"/>
          <w:snapToGrid/>
          <w:sz w:val="24"/>
          <w:szCs w:val="22"/>
        </w:rPr>
        <w:t xml:space="preserve">average of </w:t>
      </w:r>
      <w:r w:rsidR="00E454F3">
        <w:rPr>
          <w:rFonts w:asciiTheme="minorHAnsi" w:eastAsiaTheme="minorHAnsi" w:hAnsiTheme="minorHAnsi" w:cstheme="minorBidi"/>
          <w:noProof/>
          <w:snapToGrid/>
          <w:color w:val="000000"/>
          <w:sz w:val="24"/>
          <w:szCs w:val="22"/>
          <w:highlight w:val="black"/>
        </w:rPr>
        <w:t>'''''''</w:t>
      </w:r>
      <w:r w:rsidR="003B4AFA" w:rsidRPr="00373B5B">
        <w:rPr>
          <w:rFonts w:asciiTheme="minorHAnsi" w:eastAsiaTheme="minorHAnsi" w:hAnsiTheme="minorHAnsi" w:cstheme="minorBidi"/>
          <w:snapToGrid/>
          <w:sz w:val="24"/>
          <w:szCs w:val="22"/>
        </w:rPr>
        <w:t xml:space="preserve"> </w:t>
      </w:r>
      <w:r w:rsidR="00AB21CD" w:rsidRPr="00373B5B">
        <w:rPr>
          <w:rFonts w:asciiTheme="minorHAnsi" w:eastAsiaTheme="minorHAnsi" w:hAnsiTheme="minorHAnsi" w:cstheme="minorBidi"/>
          <w:snapToGrid/>
          <w:sz w:val="24"/>
          <w:szCs w:val="22"/>
        </w:rPr>
        <w:t>months of treatment</w:t>
      </w:r>
      <w:r w:rsidR="00AB21CD" w:rsidRPr="00AE07CE">
        <w:rPr>
          <w:rFonts w:asciiTheme="minorHAnsi" w:eastAsiaTheme="minorHAnsi" w:hAnsiTheme="minorHAnsi" w:cstheme="minorBidi"/>
          <w:snapToGrid/>
          <w:sz w:val="24"/>
          <w:szCs w:val="22"/>
        </w:rPr>
        <w:t xml:space="preserve"> </w:t>
      </w:r>
      <w:r w:rsidR="00136D4A" w:rsidRPr="00AE07CE">
        <w:rPr>
          <w:rFonts w:asciiTheme="minorHAnsi" w:eastAsiaTheme="minorHAnsi" w:hAnsiTheme="minorHAnsi" w:cstheme="minorBidi"/>
          <w:snapToGrid/>
          <w:sz w:val="24"/>
          <w:szCs w:val="22"/>
        </w:rPr>
        <w:t xml:space="preserve">in </w:t>
      </w:r>
      <w:r w:rsidR="00136D4A" w:rsidRPr="0081071D">
        <w:rPr>
          <w:rFonts w:asciiTheme="minorHAnsi" w:eastAsiaTheme="minorHAnsi" w:hAnsiTheme="minorHAnsi" w:cstheme="minorBidi"/>
          <w:snapToGrid/>
          <w:sz w:val="24"/>
          <w:szCs w:val="22"/>
        </w:rPr>
        <w:t>the Patient Access Program</w:t>
      </w:r>
      <w:r w:rsidRPr="00AE07CE">
        <w:rPr>
          <w:rFonts w:asciiTheme="minorHAnsi" w:eastAsiaTheme="minorHAnsi" w:hAnsiTheme="minorHAnsi" w:cstheme="minorBidi"/>
          <w:snapToGrid/>
          <w:sz w:val="24"/>
          <w:szCs w:val="22"/>
        </w:rPr>
        <w:t>.</w:t>
      </w:r>
    </w:p>
    <w:p w:rsidR="006502EF" w:rsidRPr="00AE07CE" w:rsidRDefault="004F01A2"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This is lower tha</w:t>
      </w:r>
      <w:r w:rsidR="00434C3A" w:rsidRPr="00AE07CE">
        <w:rPr>
          <w:rFonts w:asciiTheme="minorHAnsi" w:eastAsiaTheme="minorHAnsi" w:hAnsiTheme="minorHAnsi" w:cstheme="minorBidi"/>
          <w:snapToGrid/>
          <w:sz w:val="24"/>
          <w:szCs w:val="22"/>
        </w:rPr>
        <w:t>n</w:t>
      </w:r>
      <w:r w:rsidRPr="00AE07CE">
        <w:rPr>
          <w:rFonts w:asciiTheme="minorHAnsi" w:eastAsiaTheme="minorHAnsi" w:hAnsiTheme="minorHAnsi" w:cstheme="minorBidi"/>
          <w:snapToGrid/>
          <w:sz w:val="24"/>
          <w:szCs w:val="22"/>
        </w:rPr>
        <w:t xml:space="preserve"> the </w:t>
      </w:r>
      <w:r w:rsidR="00434C3A" w:rsidRPr="00AE07CE">
        <w:rPr>
          <w:rFonts w:asciiTheme="minorHAnsi" w:eastAsiaTheme="minorHAnsi" w:hAnsiTheme="minorHAnsi" w:cstheme="minorBidi"/>
          <w:snapToGrid/>
          <w:sz w:val="24"/>
          <w:szCs w:val="22"/>
        </w:rPr>
        <w:t xml:space="preserve">price currently being paid by patients </w:t>
      </w:r>
      <w:r w:rsidR="00D83622" w:rsidRPr="00AE07CE">
        <w:rPr>
          <w:rFonts w:asciiTheme="minorHAnsi" w:eastAsiaTheme="minorHAnsi" w:hAnsiTheme="minorHAnsi" w:cstheme="minorBidi"/>
          <w:snapToGrid/>
          <w:sz w:val="24"/>
          <w:szCs w:val="22"/>
        </w:rPr>
        <w:t>for continu</w:t>
      </w:r>
      <w:r w:rsidR="0065263D" w:rsidRPr="00AE07CE">
        <w:rPr>
          <w:rFonts w:asciiTheme="minorHAnsi" w:eastAsiaTheme="minorHAnsi" w:hAnsiTheme="minorHAnsi" w:cstheme="minorBidi"/>
          <w:snapToGrid/>
          <w:sz w:val="24"/>
          <w:szCs w:val="22"/>
        </w:rPr>
        <w:t>ing</w:t>
      </w:r>
      <w:r w:rsidR="00D83622" w:rsidRPr="00AE07CE">
        <w:rPr>
          <w:rFonts w:asciiTheme="minorHAnsi" w:eastAsiaTheme="minorHAnsi" w:hAnsiTheme="minorHAnsi" w:cstheme="minorBidi"/>
          <w:snapToGrid/>
          <w:sz w:val="24"/>
          <w:szCs w:val="22"/>
        </w:rPr>
        <w:t xml:space="preserve"> </w:t>
      </w:r>
      <w:r w:rsidR="00434C3A" w:rsidRPr="00AE07CE">
        <w:rPr>
          <w:rFonts w:asciiTheme="minorHAnsi" w:eastAsiaTheme="minorHAnsi" w:hAnsiTheme="minorHAnsi" w:cstheme="minorBidi"/>
          <w:snapToGrid/>
          <w:sz w:val="24"/>
          <w:szCs w:val="22"/>
        </w:rPr>
        <w:t>access</w:t>
      </w:r>
      <w:r w:rsidR="00D83622" w:rsidRPr="00AE07CE">
        <w:rPr>
          <w:rFonts w:asciiTheme="minorHAnsi" w:eastAsiaTheme="minorHAnsi" w:hAnsiTheme="minorHAnsi" w:cstheme="minorBidi"/>
          <w:snapToGrid/>
          <w:sz w:val="24"/>
          <w:szCs w:val="22"/>
        </w:rPr>
        <w:t xml:space="preserve"> to</w:t>
      </w:r>
      <w:r w:rsidR="00434C3A" w:rsidRPr="00AE07CE">
        <w:rPr>
          <w:rFonts w:asciiTheme="minorHAnsi" w:eastAsiaTheme="minorHAnsi" w:hAnsiTheme="minorHAnsi" w:cstheme="minorBidi"/>
          <w:snapToGrid/>
          <w:sz w:val="24"/>
          <w:szCs w:val="22"/>
        </w:rPr>
        <w:t xml:space="preserve"> bevacizumab through the Patient Access Program (which the submission stated had </w:t>
      </w:r>
      <w:r w:rsidR="00EE46A1" w:rsidRPr="00AE07CE">
        <w:rPr>
          <w:rFonts w:asciiTheme="minorHAnsi" w:eastAsiaTheme="minorHAnsi" w:hAnsiTheme="minorHAnsi" w:cstheme="minorBidi"/>
          <w:snapToGrid/>
          <w:sz w:val="24"/>
          <w:szCs w:val="22"/>
        </w:rPr>
        <w:t>an approximate cost to th</w:t>
      </w:r>
      <w:r w:rsidR="00EE46A1" w:rsidRPr="00373B5B">
        <w:rPr>
          <w:rFonts w:asciiTheme="minorHAnsi" w:eastAsiaTheme="minorHAnsi" w:hAnsiTheme="minorHAnsi" w:cstheme="minorBidi"/>
          <w:snapToGrid/>
          <w:sz w:val="24"/>
          <w:szCs w:val="22"/>
        </w:rPr>
        <w:t>e patient of</w:t>
      </w:r>
      <w:r w:rsidR="00905C1C" w:rsidRPr="00373B5B">
        <w:rPr>
          <w:rFonts w:asciiTheme="minorHAnsi" w:eastAsiaTheme="minorHAnsi" w:hAnsiTheme="minorHAnsi" w:cstheme="minorBidi"/>
          <w:snapToGrid/>
          <w:sz w:val="24"/>
          <w:szCs w:val="22"/>
        </w:rPr>
        <w:t xml:space="preserve"> up to</w:t>
      </w:r>
      <w:r w:rsidR="00EE46A1" w:rsidRPr="00373B5B">
        <w:rPr>
          <w:rFonts w:asciiTheme="minorHAnsi" w:eastAsiaTheme="minorHAnsi" w:hAnsiTheme="minorHAnsi" w:cstheme="minorBidi"/>
          <w:snapToGrid/>
          <w:sz w:val="24"/>
          <w:szCs w:val="22"/>
        </w:rPr>
        <w:t xml:space="preserve"> $</w:t>
      </w:r>
      <w:r w:rsidR="00E454F3">
        <w:rPr>
          <w:rFonts w:asciiTheme="minorHAnsi" w:eastAsiaTheme="minorHAnsi" w:hAnsiTheme="minorHAnsi" w:cstheme="minorBidi"/>
          <w:noProof/>
          <w:snapToGrid/>
          <w:color w:val="000000"/>
          <w:sz w:val="24"/>
          <w:szCs w:val="22"/>
          <w:highlight w:val="black"/>
        </w:rPr>
        <w:t>'''''''''''''</w:t>
      </w:r>
      <w:r w:rsidR="00434C3A" w:rsidRPr="00373B5B">
        <w:rPr>
          <w:rFonts w:asciiTheme="minorHAnsi" w:eastAsiaTheme="minorHAnsi" w:hAnsiTheme="minorHAnsi" w:cstheme="minorBidi"/>
          <w:snapToGrid/>
          <w:sz w:val="24"/>
          <w:szCs w:val="22"/>
        </w:rPr>
        <w:t>)</w:t>
      </w:r>
      <w:r w:rsidR="00EE46A1" w:rsidRPr="00373B5B">
        <w:rPr>
          <w:rFonts w:asciiTheme="minorHAnsi" w:eastAsiaTheme="minorHAnsi" w:hAnsiTheme="minorHAnsi" w:cstheme="minorBidi"/>
          <w:snapToGrid/>
          <w:sz w:val="24"/>
          <w:szCs w:val="22"/>
        </w:rPr>
        <w:t>.</w:t>
      </w:r>
      <w:r w:rsidR="00EE46A1" w:rsidRPr="00AE07CE">
        <w:rPr>
          <w:rFonts w:asciiTheme="minorHAnsi" w:eastAsiaTheme="minorHAnsi" w:hAnsiTheme="minorHAnsi" w:cstheme="minorBidi"/>
          <w:snapToGrid/>
          <w:sz w:val="24"/>
          <w:szCs w:val="22"/>
        </w:rPr>
        <w:t xml:space="preserve"> </w:t>
      </w:r>
    </w:p>
    <w:p w:rsidR="005A3173" w:rsidRPr="00AE07CE" w:rsidRDefault="005A3173" w:rsidP="00E752A8">
      <w:pPr>
        <w:pStyle w:val="Heading2"/>
        <w:keepLines/>
        <w:spacing w:before="120" w:after="120"/>
        <w:rPr>
          <w:rFonts w:asciiTheme="minorHAnsi" w:eastAsiaTheme="majorEastAsia" w:hAnsiTheme="minorHAnsi" w:cstheme="majorBidi"/>
          <w:color w:val="000000" w:themeColor="text1"/>
          <w:sz w:val="28"/>
          <w:szCs w:val="28"/>
          <w:lang w:eastAsia="en-US"/>
        </w:rPr>
      </w:pPr>
      <w:r w:rsidRPr="00AE07CE">
        <w:rPr>
          <w:rFonts w:asciiTheme="minorHAnsi" w:eastAsiaTheme="majorEastAsia" w:hAnsiTheme="minorHAnsi" w:cstheme="majorBidi"/>
          <w:sz w:val="28"/>
          <w:szCs w:val="28"/>
          <w:lang w:eastAsia="en-US"/>
        </w:rPr>
        <w:t>Estimated PBS usage &amp; financial implications</w:t>
      </w:r>
    </w:p>
    <w:p w:rsidR="00D72049" w:rsidRPr="00AE07CE" w:rsidRDefault="00D72049"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minor submission</w:t>
      </w:r>
      <w:r w:rsidR="00B27529" w:rsidRPr="00AE07CE">
        <w:rPr>
          <w:rFonts w:asciiTheme="minorHAnsi" w:eastAsiaTheme="minorHAnsi" w:hAnsiTheme="minorHAnsi" w:cstheme="minorBidi"/>
          <w:snapToGrid/>
          <w:sz w:val="24"/>
          <w:szCs w:val="22"/>
        </w:rPr>
        <w:t xml:space="preserve"> </w:t>
      </w:r>
      <w:r w:rsidR="00D93149" w:rsidRPr="00AE07CE">
        <w:rPr>
          <w:rFonts w:asciiTheme="minorHAnsi" w:eastAsiaTheme="minorHAnsi" w:hAnsiTheme="minorHAnsi" w:cstheme="minorBidi"/>
          <w:snapToGrid/>
          <w:sz w:val="24"/>
          <w:szCs w:val="22"/>
        </w:rPr>
        <w:t>used</w:t>
      </w:r>
      <w:r w:rsidRPr="00AE07CE">
        <w:rPr>
          <w:rFonts w:asciiTheme="minorHAnsi" w:eastAsiaTheme="minorHAnsi" w:hAnsiTheme="minorHAnsi" w:cstheme="minorBidi"/>
          <w:snapToGrid/>
          <w:sz w:val="24"/>
          <w:szCs w:val="22"/>
        </w:rPr>
        <w:t xml:space="preserve"> an epidemiological approach</w:t>
      </w:r>
      <w:r w:rsidR="00CA5F01" w:rsidRPr="00AE07CE">
        <w:rPr>
          <w:rFonts w:asciiTheme="minorHAnsi" w:eastAsiaTheme="minorHAnsi" w:hAnsiTheme="minorHAnsi" w:cstheme="minorBidi"/>
          <w:snapToGrid/>
          <w:sz w:val="24"/>
          <w:szCs w:val="22"/>
        </w:rPr>
        <w:t xml:space="preserve"> to</w:t>
      </w:r>
      <w:r w:rsidRPr="00AE07CE">
        <w:rPr>
          <w:rFonts w:asciiTheme="minorHAnsi" w:eastAsiaTheme="minorHAnsi" w:hAnsiTheme="minorHAnsi" w:cstheme="minorBidi"/>
          <w:snapToGrid/>
          <w:sz w:val="24"/>
          <w:szCs w:val="22"/>
        </w:rPr>
        <w:t xml:space="preserve"> estimate</w:t>
      </w:r>
      <w:r w:rsidR="00CA5F01" w:rsidRPr="00AE07CE">
        <w:rPr>
          <w:rFonts w:asciiTheme="minorHAnsi" w:eastAsiaTheme="minorHAnsi" w:hAnsiTheme="minorHAnsi" w:cstheme="minorBidi"/>
          <w:snapToGrid/>
          <w:sz w:val="24"/>
          <w:szCs w:val="22"/>
        </w:rPr>
        <w:t xml:space="preserve"> the</w:t>
      </w:r>
      <w:r w:rsidRPr="00AE07CE">
        <w:rPr>
          <w:rFonts w:asciiTheme="minorHAnsi" w:eastAsiaTheme="minorHAnsi" w:hAnsiTheme="minorHAnsi" w:cstheme="minorBidi"/>
          <w:snapToGrid/>
          <w:sz w:val="24"/>
          <w:szCs w:val="22"/>
        </w:rPr>
        <w:t xml:space="preserve"> use and financial implications </w:t>
      </w:r>
      <w:r w:rsidR="00B50A6C" w:rsidRPr="00AE07CE">
        <w:rPr>
          <w:rFonts w:asciiTheme="minorHAnsi" w:eastAsiaTheme="minorHAnsi" w:hAnsiTheme="minorHAnsi" w:cstheme="minorBidi"/>
          <w:snapToGrid/>
          <w:sz w:val="24"/>
          <w:szCs w:val="22"/>
        </w:rPr>
        <w:t>of listing</w:t>
      </w:r>
      <w:r w:rsidRPr="00AE07CE">
        <w:rPr>
          <w:rFonts w:asciiTheme="minorHAnsi" w:eastAsiaTheme="minorHAnsi" w:hAnsiTheme="minorHAnsi" w:cstheme="minorBidi"/>
          <w:snapToGrid/>
          <w:sz w:val="24"/>
          <w:szCs w:val="22"/>
        </w:rPr>
        <w:t xml:space="preserve"> bevacizumab for the treatment of relapsed or refractory glioblastoma.</w:t>
      </w:r>
    </w:p>
    <w:p w:rsidR="0093266B" w:rsidRPr="00400B3F" w:rsidRDefault="00CA5F01"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4"/>
        </w:rPr>
        <w:t>The</w:t>
      </w:r>
      <w:r w:rsidRPr="00AE07CE">
        <w:rPr>
          <w:rFonts w:asciiTheme="minorHAnsi" w:eastAsiaTheme="minorHAnsi" w:hAnsiTheme="minorHAnsi" w:cstheme="minorBidi"/>
          <w:snapToGrid/>
          <w:sz w:val="24"/>
          <w:szCs w:val="22"/>
        </w:rPr>
        <w:t xml:space="preserve"> incidence of brain cancer in Australia </w:t>
      </w:r>
      <w:proofErr w:type="gramStart"/>
      <w:r w:rsidRPr="00AE07CE">
        <w:rPr>
          <w:rFonts w:asciiTheme="minorHAnsi" w:eastAsiaTheme="minorHAnsi" w:hAnsiTheme="minorHAnsi" w:cstheme="minorBidi"/>
          <w:snapToGrid/>
          <w:sz w:val="24"/>
          <w:szCs w:val="22"/>
        </w:rPr>
        <w:t>was based</w:t>
      </w:r>
      <w:proofErr w:type="gramEnd"/>
      <w:r w:rsidRPr="00AE07CE">
        <w:rPr>
          <w:rFonts w:asciiTheme="minorHAnsi" w:eastAsiaTheme="minorHAnsi" w:hAnsiTheme="minorHAnsi" w:cstheme="minorBidi"/>
          <w:snapToGrid/>
          <w:sz w:val="24"/>
          <w:szCs w:val="22"/>
        </w:rPr>
        <w:t xml:space="preserve"> on t</w:t>
      </w:r>
      <w:r w:rsidR="004F268B" w:rsidRPr="00AE07CE">
        <w:rPr>
          <w:rFonts w:asciiTheme="minorHAnsi" w:eastAsiaTheme="minorHAnsi" w:hAnsiTheme="minorHAnsi" w:cstheme="minorBidi"/>
          <w:snapToGrid/>
          <w:sz w:val="24"/>
          <w:szCs w:val="22"/>
        </w:rPr>
        <w:t xml:space="preserve">he </w:t>
      </w:r>
      <w:r w:rsidR="003F43FC" w:rsidRPr="00AE07CE">
        <w:rPr>
          <w:rFonts w:asciiTheme="minorHAnsi" w:eastAsiaTheme="minorHAnsi" w:hAnsiTheme="minorHAnsi" w:cstheme="minorBidi"/>
          <w:snapToGrid/>
          <w:sz w:val="24"/>
          <w:szCs w:val="22"/>
        </w:rPr>
        <w:t>Australia Cancer Incidence and Mortality (</w:t>
      </w:r>
      <w:r w:rsidR="004F268B" w:rsidRPr="00AE07CE">
        <w:rPr>
          <w:rFonts w:asciiTheme="minorHAnsi" w:eastAsiaTheme="minorHAnsi" w:hAnsiTheme="minorHAnsi" w:cstheme="minorBidi"/>
          <w:snapToGrid/>
          <w:sz w:val="24"/>
          <w:szCs w:val="22"/>
        </w:rPr>
        <w:t>ACIM</w:t>
      </w:r>
      <w:r w:rsidR="003F43FC" w:rsidRPr="00AE07CE">
        <w:rPr>
          <w:rFonts w:asciiTheme="minorHAnsi" w:eastAsiaTheme="minorHAnsi" w:hAnsiTheme="minorHAnsi" w:cstheme="minorBidi"/>
          <w:snapToGrid/>
          <w:sz w:val="24"/>
          <w:szCs w:val="22"/>
        </w:rPr>
        <w:t>)</w:t>
      </w:r>
      <w:r w:rsidR="004F268B" w:rsidRPr="00AE07CE">
        <w:rPr>
          <w:rFonts w:asciiTheme="minorHAnsi" w:eastAsiaTheme="minorHAnsi" w:hAnsiTheme="minorHAnsi" w:cstheme="minorBidi"/>
          <w:snapToGrid/>
          <w:sz w:val="24"/>
          <w:szCs w:val="22"/>
        </w:rPr>
        <w:t xml:space="preserve"> </w:t>
      </w:r>
      <w:r w:rsidR="003F43FC" w:rsidRPr="00AE07CE">
        <w:rPr>
          <w:rFonts w:asciiTheme="minorHAnsi" w:eastAsiaTheme="minorHAnsi" w:hAnsiTheme="minorHAnsi" w:cstheme="minorBidi"/>
          <w:snapToGrid/>
          <w:sz w:val="24"/>
          <w:szCs w:val="22"/>
        </w:rPr>
        <w:t>work</w:t>
      </w:r>
      <w:r w:rsidR="004F268B" w:rsidRPr="00AE07CE">
        <w:rPr>
          <w:rFonts w:asciiTheme="minorHAnsi" w:eastAsiaTheme="minorHAnsi" w:hAnsiTheme="minorHAnsi" w:cstheme="minorBidi"/>
          <w:snapToGrid/>
          <w:sz w:val="24"/>
          <w:szCs w:val="22"/>
        </w:rPr>
        <w:t>books titled ‘Brain Cancer in Australia (AIHW Statistics)’ (2017)</w:t>
      </w:r>
      <w:r w:rsidR="00D465FE" w:rsidRPr="00AE07CE">
        <w:rPr>
          <w:rFonts w:asciiTheme="minorHAnsi" w:eastAsiaTheme="minorHAnsi" w:hAnsiTheme="minorHAnsi" w:cstheme="minorBidi"/>
          <w:snapToGrid/>
          <w:sz w:val="24"/>
          <w:szCs w:val="22"/>
        </w:rPr>
        <w:t xml:space="preserve">. Data </w:t>
      </w:r>
      <w:r w:rsidR="00301E07" w:rsidRPr="00AE07CE">
        <w:rPr>
          <w:rFonts w:asciiTheme="minorHAnsi" w:eastAsiaTheme="minorHAnsi" w:hAnsiTheme="minorHAnsi" w:cstheme="minorBidi"/>
          <w:snapToGrid/>
          <w:sz w:val="24"/>
          <w:szCs w:val="22"/>
        </w:rPr>
        <w:t>from 2009 to 2014</w:t>
      </w:r>
      <w:r w:rsidR="00D465FE" w:rsidRPr="00AE07CE">
        <w:rPr>
          <w:rFonts w:asciiTheme="minorHAnsi" w:eastAsiaTheme="minorHAnsi" w:hAnsiTheme="minorHAnsi" w:cstheme="minorBidi"/>
          <w:snapToGrid/>
          <w:sz w:val="24"/>
          <w:szCs w:val="22"/>
        </w:rPr>
        <w:t xml:space="preserve"> </w:t>
      </w:r>
      <w:proofErr w:type="gramStart"/>
      <w:r w:rsidR="00D465FE" w:rsidRPr="00AE07CE">
        <w:rPr>
          <w:rFonts w:asciiTheme="minorHAnsi" w:eastAsiaTheme="minorHAnsi" w:hAnsiTheme="minorHAnsi" w:cstheme="minorBidi"/>
          <w:snapToGrid/>
          <w:sz w:val="24"/>
          <w:szCs w:val="22"/>
        </w:rPr>
        <w:t>were extrapolated</w:t>
      </w:r>
      <w:proofErr w:type="gramEnd"/>
      <w:r w:rsidR="00877864" w:rsidRPr="00AE07CE">
        <w:rPr>
          <w:rFonts w:asciiTheme="minorHAnsi" w:eastAsiaTheme="minorHAnsi" w:hAnsiTheme="minorHAnsi" w:cstheme="minorBidi"/>
          <w:snapToGrid/>
          <w:sz w:val="24"/>
          <w:szCs w:val="22"/>
        </w:rPr>
        <w:t xml:space="preserve"> based on a linear trend</w:t>
      </w:r>
      <w:r w:rsidR="00AE07CE">
        <w:rPr>
          <w:rFonts w:asciiTheme="minorHAnsi" w:eastAsiaTheme="minorHAnsi" w:hAnsiTheme="minorHAnsi" w:cstheme="minorBidi"/>
          <w:snapToGrid/>
          <w:sz w:val="24"/>
          <w:szCs w:val="22"/>
        </w:rPr>
        <w:t xml:space="preserve">. </w:t>
      </w:r>
      <w:r w:rsidR="004068AC" w:rsidRPr="00AE07CE">
        <w:rPr>
          <w:rFonts w:asciiTheme="minorHAnsi" w:eastAsiaTheme="minorHAnsi" w:hAnsiTheme="minorHAnsi" w:cstheme="minorBidi"/>
          <w:snapToGrid/>
          <w:sz w:val="24"/>
          <w:szCs w:val="22"/>
        </w:rPr>
        <w:t xml:space="preserve">The ACIM </w:t>
      </w:r>
      <w:r w:rsidR="00AE07CE" w:rsidRPr="00AE07CE">
        <w:rPr>
          <w:rFonts w:asciiTheme="minorHAnsi" w:eastAsiaTheme="minorHAnsi" w:hAnsiTheme="minorHAnsi" w:cstheme="minorBidi"/>
          <w:snapToGrid/>
          <w:sz w:val="24"/>
          <w:szCs w:val="22"/>
        </w:rPr>
        <w:t>workbook</w:t>
      </w:r>
      <w:r w:rsidR="004068AC" w:rsidRPr="00AE07CE">
        <w:rPr>
          <w:rFonts w:asciiTheme="minorHAnsi" w:eastAsiaTheme="minorHAnsi" w:hAnsiTheme="minorHAnsi" w:cstheme="minorBidi"/>
          <w:snapToGrid/>
          <w:sz w:val="24"/>
          <w:szCs w:val="22"/>
        </w:rPr>
        <w:t xml:space="preserve"> ‘Brain Cancer in Australia’ (2018) was published </w:t>
      </w:r>
      <w:r w:rsidR="006A3BF2" w:rsidRPr="00AE07CE">
        <w:rPr>
          <w:rFonts w:asciiTheme="minorHAnsi" w:eastAsiaTheme="minorHAnsi" w:hAnsiTheme="minorHAnsi" w:cstheme="minorBidi"/>
          <w:snapToGrid/>
          <w:sz w:val="24"/>
          <w:szCs w:val="22"/>
        </w:rPr>
        <w:t>in</w:t>
      </w:r>
      <w:r w:rsidR="004068AC" w:rsidRPr="00AE07CE">
        <w:rPr>
          <w:rFonts w:asciiTheme="minorHAnsi" w:eastAsiaTheme="minorHAnsi" w:hAnsiTheme="minorHAnsi" w:cstheme="minorBidi"/>
          <w:snapToGrid/>
          <w:sz w:val="24"/>
          <w:szCs w:val="22"/>
        </w:rPr>
        <w:t xml:space="preserve"> December 2018</w:t>
      </w:r>
      <w:r w:rsidR="006A3BF2" w:rsidRPr="00AE07CE">
        <w:rPr>
          <w:rFonts w:asciiTheme="minorHAnsi" w:eastAsiaTheme="minorHAnsi" w:hAnsiTheme="minorHAnsi" w:cstheme="minorBidi"/>
          <w:snapToGrid/>
          <w:sz w:val="24"/>
          <w:szCs w:val="22"/>
        </w:rPr>
        <w:t xml:space="preserve"> (so was not available to the sponsor when the minor submission was submitted)</w:t>
      </w:r>
      <w:r w:rsidR="007A421C" w:rsidRPr="00AE07CE">
        <w:rPr>
          <w:rFonts w:asciiTheme="minorHAnsi" w:eastAsiaTheme="minorHAnsi" w:hAnsiTheme="minorHAnsi" w:cstheme="minorBidi"/>
          <w:snapToGrid/>
          <w:sz w:val="24"/>
          <w:szCs w:val="22"/>
        </w:rPr>
        <w:t>, and indicated a higher rate of growth in the incidence of brain cancer than some of the previous ACIM workbooks</w:t>
      </w:r>
      <w:r w:rsidR="00C035AC" w:rsidRPr="00400B3F">
        <w:rPr>
          <w:rFonts w:asciiTheme="minorHAnsi" w:eastAsiaTheme="minorHAnsi" w:hAnsiTheme="minorHAnsi" w:cstheme="minorBidi"/>
          <w:i/>
          <w:snapToGrid/>
          <w:sz w:val="24"/>
          <w:szCs w:val="22"/>
        </w:rPr>
        <w:t xml:space="preserve">. </w:t>
      </w:r>
    </w:p>
    <w:p w:rsidR="00510964" w:rsidRPr="00AE07CE" w:rsidRDefault="004F268B"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 minor submission assumed that 70% of primary mali</w:t>
      </w:r>
      <w:r w:rsidR="00EA2E36" w:rsidRPr="00AE07CE">
        <w:rPr>
          <w:rFonts w:asciiTheme="minorHAnsi" w:eastAsiaTheme="minorHAnsi" w:hAnsiTheme="minorHAnsi" w:cstheme="minorBidi"/>
          <w:snapToGrid/>
          <w:sz w:val="24"/>
          <w:szCs w:val="22"/>
        </w:rPr>
        <w:t>gnant brain tumours are gliomas and 52% of these are glioblastomas</w:t>
      </w:r>
      <w:r w:rsidR="006A13F4" w:rsidRPr="00AE07CE">
        <w:rPr>
          <w:rFonts w:asciiTheme="minorHAnsi" w:eastAsiaTheme="minorHAnsi" w:hAnsiTheme="minorHAnsi" w:cstheme="minorBidi"/>
          <w:snapToGrid/>
          <w:sz w:val="24"/>
          <w:szCs w:val="22"/>
        </w:rPr>
        <w:t xml:space="preserve"> (i.e. overall, the minor submission assumed that 36% of brain cancers are glioblastoma)</w:t>
      </w:r>
      <w:r w:rsidRPr="00AE07CE">
        <w:rPr>
          <w:rFonts w:asciiTheme="minorHAnsi" w:eastAsiaTheme="minorHAnsi" w:hAnsiTheme="minorHAnsi" w:cstheme="minorBidi"/>
          <w:snapToGrid/>
          <w:sz w:val="24"/>
          <w:szCs w:val="22"/>
        </w:rPr>
        <w:t>.</w:t>
      </w:r>
      <w:r w:rsidR="00EA2E36" w:rsidRPr="00AE07CE">
        <w:rPr>
          <w:rFonts w:asciiTheme="minorHAnsi" w:eastAsiaTheme="minorHAnsi" w:hAnsiTheme="minorHAnsi" w:cstheme="minorBidi"/>
          <w:snapToGrid/>
          <w:sz w:val="24"/>
          <w:szCs w:val="22"/>
        </w:rPr>
        <w:t xml:space="preserve"> </w:t>
      </w:r>
      <w:r w:rsidR="00094E65" w:rsidRPr="00AE07CE">
        <w:rPr>
          <w:rFonts w:asciiTheme="minorHAnsi" w:eastAsiaTheme="minorHAnsi" w:hAnsiTheme="minorHAnsi" w:cstheme="minorBidi"/>
          <w:snapToGrid/>
          <w:sz w:val="24"/>
          <w:szCs w:val="22"/>
        </w:rPr>
        <w:t xml:space="preserve">These percentages </w:t>
      </w:r>
      <w:proofErr w:type="gramStart"/>
      <w:r w:rsidR="00094E65" w:rsidRPr="00AE07CE">
        <w:rPr>
          <w:rFonts w:asciiTheme="minorHAnsi" w:eastAsiaTheme="minorHAnsi" w:hAnsiTheme="minorHAnsi" w:cstheme="minorBidi"/>
          <w:snapToGrid/>
          <w:sz w:val="24"/>
          <w:szCs w:val="22"/>
        </w:rPr>
        <w:t>were applied</w:t>
      </w:r>
      <w:proofErr w:type="gramEnd"/>
      <w:r w:rsidR="00094E65" w:rsidRPr="00AE07CE">
        <w:rPr>
          <w:rFonts w:asciiTheme="minorHAnsi" w:eastAsiaTheme="minorHAnsi" w:hAnsiTheme="minorHAnsi" w:cstheme="minorBidi"/>
          <w:snapToGrid/>
          <w:sz w:val="24"/>
          <w:szCs w:val="22"/>
        </w:rPr>
        <w:t xml:space="preserve"> to the prevalence estimates to derive the number of patients </w:t>
      </w:r>
      <w:r w:rsidR="00390146" w:rsidRPr="00AE07CE">
        <w:rPr>
          <w:rFonts w:asciiTheme="minorHAnsi" w:eastAsiaTheme="minorHAnsi" w:hAnsiTheme="minorHAnsi" w:cstheme="minorBidi"/>
          <w:snapToGrid/>
          <w:sz w:val="24"/>
          <w:szCs w:val="22"/>
        </w:rPr>
        <w:t xml:space="preserve">in Australia </w:t>
      </w:r>
      <w:r w:rsidR="00094E65" w:rsidRPr="00AE07CE">
        <w:rPr>
          <w:rFonts w:asciiTheme="minorHAnsi" w:eastAsiaTheme="minorHAnsi" w:hAnsiTheme="minorHAnsi" w:cstheme="minorBidi"/>
          <w:snapToGrid/>
          <w:sz w:val="24"/>
          <w:szCs w:val="22"/>
        </w:rPr>
        <w:t>with glioblastoma. The s</w:t>
      </w:r>
      <w:r w:rsidR="00B50A6C" w:rsidRPr="00AE07CE">
        <w:rPr>
          <w:rFonts w:asciiTheme="minorHAnsi" w:eastAsiaTheme="minorHAnsi" w:hAnsiTheme="minorHAnsi" w:cstheme="minorBidi"/>
          <w:snapToGrid/>
          <w:sz w:val="24"/>
          <w:szCs w:val="22"/>
        </w:rPr>
        <w:t>ubmission</w:t>
      </w:r>
      <w:r w:rsidR="00094E65" w:rsidRPr="00AE07CE">
        <w:rPr>
          <w:rFonts w:asciiTheme="minorHAnsi" w:eastAsiaTheme="minorHAnsi" w:hAnsiTheme="minorHAnsi" w:cstheme="minorBidi"/>
          <w:snapToGrid/>
          <w:sz w:val="24"/>
          <w:szCs w:val="22"/>
        </w:rPr>
        <w:t xml:space="preserve"> </w:t>
      </w:r>
      <w:r w:rsidR="00B50A6C" w:rsidRPr="00AE07CE">
        <w:rPr>
          <w:rFonts w:asciiTheme="minorHAnsi" w:eastAsiaTheme="minorHAnsi" w:hAnsiTheme="minorHAnsi" w:cstheme="minorBidi"/>
          <w:snapToGrid/>
          <w:sz w:val="24"/>
          <w:szCs w:val="22"/>
        </w:rPr>
        <w:t>cit</w:t>
      </w:r>
      <w:r w:rsidR="00094E65" w:rsidRPr="00AE07CE">
        <w:rPr>
          <w:rFonts w:asciiTheme="minorHAnsi" w:eastAsiaTheme="minorHAnsi" w:hAnsiTheme="minorHAnsi" w:cstheme="minorBidi"/>
          <w:snapToGrid/>
          <w:sz w:val="24"/>
          <w:szCs w:val="22"/>
        </w:rPr>
        <w:t>e</w:t>
      </w:r>
      <w:r w:rsidR="00B50A6C" w:rsidRPr="00AE07CE">
        <w:rPr>
          <w:rFonts w:asciiTheme="minorHAnsi" w:eastAsiaTheme="minorHAnsi" w:hAnsiTheme="minorHAnsi" w:cstheme="minorBidi"/>
          <w:snapToGrid/>
          <w:sz w:val="24"/>
          <w:szCs w:val="22"/>
        </w:rPr>
        <w:t>d</w:t>
      </w:r>
      <w:r w:rsidR="00094E65" w:rsidRPr="00AE07CE">
        <w:rPr>
          <w:rFonts w:asciiTheme="minorHAnsi" w:eastAsiaTheme="minorHAnsi" w:hAnsiTheme="minorHAnsi" w:cstheme="minorBidi"/>
          <w:snapToGrid/>
          <w:sz w:val="24"/>
          <w:szCs w:val="22"/>
        </w:rPr>
        <w:t xml:space="preserve"> </w:t>
      </w:r>
      <w:r w:rsidR="00D72049" w:rsidRPr="00AE07CE">
        <w:rPr>
          <w:rFonts w:asciiTheme="minorHAnsi" w:eastAsiaTheme="minorHAnsi" w:hAnsiTheme="minorHAnsi" w:cstheme="minorBidi"/>
          <w:snapToGrid/>
          <w:sz w:val="24"/>
          <w:szCs w:val="22"/>
        </w:rPr>
        <w:t>The C</w:t>
      </w:r>
      <w:r w:rsidR="00497518" w:rsidRPr="00AE07CE">
        <w:rPr>
          <w:rFonts w:asciiTheme="minorHAnsi" w:eastAsiaTheme="minorHAnsi" w:hAnsiTheme="minorHAnsi" w:cstheme="minorBidi"/>
          <w:snapToGrid/>
          <w:sz w:val="24"/>
          <w:szCs w:val="22"/>
        </w:rPr>
        <w:t>ure Brain Cancer Foundation and</w:t>
      </w:r>
      <w:r w:rsidR="00094E65" w:rsidRPr="00AE07CE">
        <w:rPr>
          <w:rFonts w:asciiTheme="minorHAnsi" w:eastAsiaTheme="minorHAnsi" w:hAnsiTheme="minorHAnsi" w:cstheme="minorBidi"/>
          <w:snapToGrid/>
          <w:sz w:val="24"/>
          <w:szCs w:val="22"/>
        </w:rPr>
        <w:t xml:space="preserve"> </w:t>
      </w:r>
      <w:r w:rsidR="00152A87" w:rsidRPr="00AE07CE">
        <w:rPr>
          <w:rFonts w:asciiTheme="minorHAnsi" w:eastAsiaTheme="minorHAnsi" w:hAnsiTheme="minorHAnsi" w:cstheme="minorBidi"/>
          <w:snapToGrid/>
          <w:sz w:val="24"/>
          <w:szCs w:val="22"/>
        </w:rPr>
        <w:t xml:space="preserve">the </w:t>
      </w:r>
      <w:r w:rsidR="00877864" w:rsidRPr="00AE07CE">
        <w:rPr>
          <w:rFonts w:asciiTheme="minorHAnsi" w:eastAsiaTheme="minorHAnsi" w:hAnsiTheme="minorHAnsi" w:cstheme="minorBidi"/>
          <w:snapToGrid/>
          <w:sz w:val="24"/>
          <w:szCs w:val="22"/>
        </w:rPr>
        <w:t>‘</w:t>
      </w:r>
      <w:r w:rsidR="00EA2E36" w:rsidRPr="00AE07CE">
        <w:rPr>
          <w:rFonts w:asciiTheme="minorHAnsi" w:eastAsiaTheme="minorHAnsi" w:hAnsiTheme="minorHAnsi" w:cstheme="minorBidi"/>
          <w:snapToGrid/>
          <w:sz w:val="24"/>
          <w:szCs w:val="22"/>
        </w:rPr>
        <w:t xml:space="preserve">2009 </w:t>
      </w:r>
      <w:r w:rsidR="00A12A30" w:rsidRPr="00AE07CE">
        <w:rPr>
          <w:rFonts w:asciiTheme="minorHAnsi" w:eastAsiaTheme="minorHAnsi" w:hAnsiTheme="minorHAnsi" w:cstheme="minorBidi"/>
          <w:snapToGrid/>
          <w:sz w:val="24"/>
          <w:szCs w:val="22"/>
        </w:rPr>
        <w:t xml:space="preserve">Clinical Practice Guidelines for the Management of Adult Gliomas: </w:t>
      </w:r>
      <w:proofErr w:type="spellStart"/>
      <w:r w:rsidR="00A12A30" w:rsidRPr="00AE07CE">
        <w:rPr>
          <w:rFonts w:asciiTheme="minorHAnsi" w:eastAsiaTheme="minorHAnsi" w:hAnsiTheme="minorHAnsi" w:cstheme="minorBidi"/>
          <w:snapToGrid/>
          <w:sz w:val="24"/>
          <w:szCs w:val="22"/>
        </w:rPr>
        <w:t>Astrocytomas</w:t>
      </w:r>
      <w:proofErr w:type="spellEnd"/>
      <w:r w:rsidR="00A12A30" w:rsidRPr="00AE07CE">
        <w:rPr>
          <w:rFonts w:asciiTheme="minorHAnsi" w:eastAsiaTheme="minorHAnsi" w:hAnsiTheme="minorHAnsi" w:cstheme="minorBidi"/>
          <w:snapToGrid/>
          <w:sz w:val="24"/>
          <w:szCs w:val="22"/>
        </w:rPr>
        <w:t xml:space="preserve"> and </w:t>
      </w:r>
      <w:proofErr w:type="spellStart"/>
      <w:r w:rsidR="00A12A30" w:rsidRPr="00AE07CE">
        <w:rPr>
          <w:rFonts w:asciiTheme="minorHAnsi" w:eastAsiaTheme="minorHAnsi" w:hAnsiTheme="minorHAnsi" w:cstheme="minorBidi"/>
          <w:snapToGrid/>
          <w:sz w:val="24"/>
          <w:szCs w:val="22"/>
        </w:rPr>
        <w:t>Oligodendrogliomas</w:t>
      </w:r>
      <w:proofErr w:type="spellEnd"/>
      <w:r w:rsidR="00877864" w:rsidRPr="00AE07CE">
        <w:rPr>
          <w:rFonts w:asciiTheme="minorHAnsi" w:eastAsiaTheme="minorHAnsi" w:hAnsiTheme="minorHAnsi" w:cstheme="minorBidi"/>
          <w:snapToGrid/>
          <w:sz w:val="24"/>
          <w:szCs w:val="22"/>
        </w:rPr>
        <w:t>’</w:t>
      </w:r>
      <w:r w:rsidR="00390146" w:rsidRPr="00AE07CE">
        <w:rPr>
          <w:rFonts w:asciiTheme="minorHAnsi" w:eastAsiaTheme="minorHAnsi" w:hAnsiTheme="minorHAnsi" w:cstheme="minorBidi"/>
          <w:snapToGrid/>
          <w:sz w:val="24"/>
          <w:szCs w:val="22"/>
        </w:rPr>
        <w:t xml:space="preserve"> as the source</w:t>
      </w:r>
      <w:r w:rsidR="00674A36" w:rsidRPr="00AE07CE">
        <w:rPr>
          <w:rFonts w:asciiTheme="minorHAnsi" w:eastAsiaTheme="minorHAnsi" w:hAnsiTheme="minorHAnsi" w:cstheme="minorBidi"/>
          <w:snapToGrid/>
          <w:sz w:val="24"/>
          <w:szCs w:val="22"/>
        </w:rPr>
        <w:t>s</w:t>
      </w:r>
      <w:r w:rsidR="00390146" w:rsidRPr="00AE07CE">
        <w:rPr>
          <w:rFonts w:asciiTheme="minorHAnsi" w:eastAsiaTheme="minorHAnsi" w:hAnsiTheme="minorHAnsi" w:cstheme="minorBidi"/>
          <w:snapToGrid/>
          <w:sz w:val="24"/>
          <w:szCs w:val="22"/>
        </w:rPr>
        <w:t xml:space="preserve"> for these proportions.</w:t>
      </w:r>
      <w:r w:rsidR="00390146" w:rsidRPr="00AE07CE">
        <w:rPr>
          <w:rFonts w:asciiTheme="minorHAnsi" w:eastAsiaTheme="minorHAnsi" w:hAnsiTheme="minorHAnsi" w:cstheme="minorBidi"/>
          <w:i/>
          <w:snapToGrid/>
          <w:sz w:val="24"/>
          <w:szCs w:val="22"/>
        </w:rPr>
        <w:t xml:space="preserve"> </w:t>
      </w:r>
      <w:r w:rsidR="00390146" w:rsidRPr="00AE07CE">
        <w:rPr>
          <w:rFonts w:asciiTheme="minorHAnsi" w:eastAsiaTheme="minorHAnsi" w:hAnsiTheme="minorHAnsi" w:cstheme="minorBidi"/>
          <w:snapToGrid/>
          <w:sz w:val="24"/>
          <w:szCs w:val="22"/>
        </w:rPr>
        <w:t>However,</w:t>
      </w:r>
      <w:r w:rsidR="00152A87" w:rsidRPr="00AE07CE">
        <w:rPr>
          <w:rFonts w:asciiTheme="minorHAnsi" w:eastAsiaTheme="minorHAnsi" w:hAnsiTheme="minorHAnsi" w:cstheme="minorBidi"/>
          <w:snapToGrid/>
          <w:sz w:val="24"/>
          <w:szCs w:val="22"/>
        </w:rPr>
        <w:t xml:space="preserve"> these were not primary sources</w:t>
      </w:r>
      <w:r w:rsidR="00510964" w:rsidRPr="00AE07CE">
        <w:rPr>
          <w:rFonts w:asciiTheme="minorHAnsi" w:eastAsiaTheme="minorHAnsi" w:hAnsiTheme="minorHAnsi" w:cstheme="minorBidi"/>
          <w:snapToGrid/>
          <w:sz w:val="24"/>
          <w:szCs w:val="22"/>
        </w:rPr>
        <w:t xml:space="preserve"> </w:t>
      </w:r>
      <w:r w:rsidR="00301E07" w:rsidRPr="00AE07CE">
        <w:rPr>
          <w:rFonts w:asciiTheme="minorHAnsi" w:eastAsiaTheme="minorHAnsi" w:hAnsiTheme="minorHAnsi" w:cstheme="minorBidi"/>
          <w:snapToGrid/>
          <w:sz w:val="24"/>
          <w:szCs w:val="22"/>
        </w:rPr>
        <w:t>and</w:t>
      </w:r>
      <w:r w:rsidR="00510964" w:rsidRPr="00AE07CE">
        <w:rPr>
          <w:rFonts w:asciiTheme="minorHAnsi" w:eastAsiaTheme="minorHAnsi" w:hAnsiTheme="minorHAnsi" w:cstheme="minorBidi"/>
          <w:snapToGrid/>
          <w:sz w:val="24"/>
          <w:szCs w:val="22"/>
        </w:rPr>
        <w:t xml:space="preserve"> the original </w:t>
      </w:r>
      <w:r w:rsidR="00674A36" w:rsidRPr="00AE07CE">
        <w:rPr>
          <w:rFonts w:asciiTheme="minorHAnsi" w:eastAsiaTheme="minorHAnsi" w:hAnsiTheme="minorHAnsi" w:cstheme="minorBidi"/>
          <w:snapToGrid/>
          <w:sz w:val="24"/>
          <w:szCs w:val="22"/>
        </w:rPr>
        <w:t>derivation</w:t>
      </w:r>
      <w:r w:rsidR="00510964" w:rsidRPr="00AE07CE">
        <w:rPr>
          <w:rFonts w:asciiTheme="minorHAnsi" w:eastAsiaTheme="minorHAnsi" w:hAnsiTheme="minorHAnsi" w:cstheme="minorBidi"/>
          <w:snapToGrid/>
          <w:sz w:val="24"/>
          <w:szCs w:val="22"/>
        </w:rPr>
        <w:t xml:space="preserve"> of these proportions w</w:t>
      </w:r>
      <w:r w:rsidR="00674A36" w:rsidRPr="00AE07CE">
        <w:rPr>
          <w:rFonts w:asciiTheme="minorHAnsi" w:eastAsiaTheme="minorHAnsi" w:hAnsiTheme="minorHAnsi" w:cstheme="minorBidi"/>
          <w:snapToGrid/>
          <w:sz w:val="24"/>
          <w:szCs w:val="22"/>
        </w:rPr>
        <w:t>as</w:t>
      </w:r>
      <w:r w:rsidR="00510964" w:rsidRPr="00AE07CE">
        <w:rPr>
          <w:rFonts w:asciiTheme="minorHAnsi" w:eastAsiaTheme="minorHAnsi" w:hAnsiTheme="minorHAnsi" w:cstheme="minorBidi"/>
          <w:snapToGrid/>
          <w:sz w:val="24"/>
          <w:szCs w:val="22"/>
        </w:rPr>
        <w:t xml:space="preserve"> unclear</w:t>
      </w:r>
      <w:r w:rsidR="00EF54B0" w:rsidRPr="00AE07CE">
        <w:rPr>
          <w:rFonts w:asciiTheme="minorHAnsi" w:eastAsiaTheme="minorHAnsi" w:hAnsiTheme="minorHAnsi" w:cstheme="minorBidi"/>
          <w:snapToGrid/>
          <w:sz w:val="24"/>
          <w:szCs w:val="22"/>
        </w:rPr>
        <w:t xml:space="preserve">. </w:t>
      </w:r>
      <w:r w:rsidR="007A421C" w:rsidRPr="00AE07CE">
        <w:rPr>
          <w:rFonts w:asciiTheme="minorHAnsi" w:eastAsiaTheme="minorHAnsi" w:hAnsiTheme="minorHAnsi" w:cstheme="minorBidi"/>
          <w:snapToGrid/>
          <w:sz w:val="24"/>
          <w:szCs w:val="22"/>
        </w:rPr>
        <w:t xml:space="preserve">During preparation of the Minor Overview, the Secretariat noted that an alternative </w:t>
      </w:r>
      <w:r w:rsidR="00510964" w:rsidRPr="00AE07CE">
        <w:rPr>
          <w:rFonts w:asciiTheme="minorHAnsi" w:eastAsiaTheme="minorHAnsi" w:hAnsiTheme="minorHAnsi" w:cstheme="minorBidi"/>
          <w:snapToGrid/>
          <w:sz w:val="24"/>
          <w:szCs w:val="22"/>
        </w:rPr>
        <w:t xml:space="preserve">AIHW </w:t>
      </w:r>
      <w:r w:rsidR="00510964" w:rsidRPr="00AE07CE">
        <w:rPr>
          <w:rFonts w:asciiTheme="minorHAnsi" w:eastAsiaTheme="minorHAnsi" w:hAnsiTheme="minorHAnsi" w:cstheme="minorBidi"/>
          <w:snapToGrid/>
          <w:sz w:val="24"/>
          <w:szCs w:val="22"/>
        </w:rPr>
        <w:lastRenderedPageBreak/>
        <w:t>publication ‘Brain and other central nervous system cancers’</w:t>
      </w:r>
      <w:r w:rsidR="00510964" w:rsidRPr="00AE07CE">
        <w:rPr>
          <w:rStyle w:val="FootnoteReference"/>
          <w:rFonts w:asciiTheme="minorHAnsi" w:eastAsiaTheme="minorHAnsi" w:hAnsiTheme="minorHAnsi" w:cstheme="minorBidi"/>
          <w:snapToGrid/>
          <w:sz w:val="24"/>
          <w:szCs w:val="22"/>
        </w:rPr>
        <w:footnoteReference w:id="7"/>
      </w:r>
      <w:r w:rsidR="00510964" w:rsidRPr="00AE07CE">
        <w:rPr>
          <w:rFonts w:asciiTheme="minorHAnsi" w:eastAsiaTheme="minorHAnsi" w:hAnsiTheme="minorHAnsi" w:cstheme="minorBidi"/>
          <w:snapToGrid/>
          <w:sz w:val="24"/>
          <w:szCs w:val="22"/>
        </w:rPr>
        <w:t xml:space="preserve"> </w:t>
      </w:r>
      <w:r w:rsidR="007A421C" w:rsidRPr="00AE07CE">
        <w:rPr>
          <w:rFonts w:asciiTheme="minorHAnsi" w:eastAsiaTheme="minorHAnsi" w:hAnsiTheme="minorHAnsi" w:cstheme="minorBidi"/>
          <w:snapToGrid/>
          <w:sz w:val="24"/>
          <w:szCs w:val="22"/>
        </w:rPr>
        <w:t xml:space="preserve">directly reported the number of </w:t>
      </w:r>
      <w:r w:rsidR="002C60CD" w:rsidRPr="00AE07CE">
        <w:rPr>
          <w:rFonts w:asciiTheme="minorHAnsi" w:eastAsiaTheme="minorHAnsi" w:hAnsiTheme="minorHAnsi" w:cstheme="minorBidi"/>
          <w:snapToGrid/>
          <w:sz w:val="24"/>
          <w:szCs w:val="22"/>
        </w:rPr>
        <w:t>incident</w:t>
      </w:r>
      <w:r w:rsidR="00510964" w:rsidRPr="00AE07CE">
        <w:rPr>
          <w:rFonts w:asciiTheme="minorHAnsi" w:eastAsiaTheme="minorHAnsi" w:hAnsiTheme="minorHAnsi" w:cstheme="minorBidi"/>
          <w:snapToGrid/>
          <w:sz w:val="24"/>
          <w:szCs w:val="22"/>
        </w:rPr>
        <w:t xml:space="preserve"> cases of gli</w:t>
      </w:r>
      <w:r w:rsidR="007A421C" w:rsidRPr="00AE07CE">
        <w:rPr>
          <w:rFonts w:asciiTheme="minorHAnsi" w:eastAsiaTheme="minorHAnsi" w:hAnsiTheme="minorHAnsi" w:cstheme="minorBidi"/>
          <w:snapToGrid/>
          <w:sz w:val="24"/>
          <w:szCs w:val="22"/>
        </w:rPr>
        <w:t>oblastoma in Australia in 2013, and thus provided an alternative source for estimating the number of patients with glioblastoma</w:t>
      </w:r>
      <w:r w:rsidR="00510964" w:rsidRPr="00400B3F">
        <w:rPr>
          <w:rFonts w:asciiTheme="minorHAnsi" w:eastAsiaTheme="minorHAnsi" w:hAnsiTheme="minorHAnsi" w:cstheme="minorBidi"/>
          <w:snapToGrid/>
          <w:sz w:val="24"/>
          <w:szCs w:val="22"/>
        </w:rPr>
        <w:t>.</w:t>
      </w:r>
      <w:r w:rsidR="007A421C" w:rsidRPr="00400B3F">
        <w:rPr>
          <w:rFonts w:asciiTheme="minorHAnsi" w:eastAsiaTheme="minorHAnsi" w:hAnsiTheme="minorHAnsi" w:cstheme="minorBidi"/>
          <w:snapToGrid/>
          <w:sz w:val="24"/>
          <w:szCs w:val="22"/>
        </w:rPr>
        <w:t xml:space="preserve"> </w:t>
      </w:r>
    </w:p>
    <w:p w:rsidR="008B49BF" w:rsidRPr="00AE07CE" w:rsidRDefault="008B49BF"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 xml:space="preserve">The submission then estimated the prevalence of brain cancer in Australia by assuming that 20% of incident patients from the previous year would survive. </w:t>
      </w:r>
      <w:proofErr w:type="gramStart"/>
      <w:r w:rsidRPr="00AE07CE">
        <w:rPr>
          <w:rFonts w:asciiTheme="minorHAnsi" w:eastAsiaTheme="minorHAnsi" w:hAnsiTheme="minorHAnsi" w:cstheme="minorBidi"/>
          <w:snapToGrid/>
          <w:sz w:val="24"/>
          <w:szCs w:val="22"/>
        </w:rPr>
        <w:t>During preparation of the Minor Overview, the Secretariat considered that basing the estimates on the prevalence, rather than the incidence, may have overestimated the number of eligible patients in Years 2 to 6 given the short duration of treatment (and the application of a mean treatment duration), the high mortality rate, and the application of assumptions around the proportion of patients who would be treated (i.e. patients not treated in Year 1 who survive into Year 2 would be unlikely to re-enter the eligible patient pool).</w:t>
      </w:r>
      <w:proofErr w:type="gramEnd"/>
      <w:r w:rsidRPr="00AE07CE">
        <w:rPr>
          <w:rFonts w:asciiTheme="minorHAnsi" w:eastAsiaTheme="minorHAnsi" w:hAnsiTheme="minorHAnsi" w:cstheme="minorBidi"/>
          <w:snapToGrid/>
          <w:sz w:val="24"/>
          <w:szCs w:val="22"/>
        </w:rPr>
        <w:t xml:space="preserve"> </w:t>
      </w:r>
    </w:p>
    <w:p w:rsidR="00936DBF" w:rsidRPr="00AE07CE" w:rsidRDefault="000E41EA" w:rsidP="00E752A8">
      <w:pPr>
        <w:pStyle w:val="ListParagraph"/>
        <w:widowControl/>
        <w:numPr>
          <w:ilvl w:val="1"/>
          <w:numId w:val="5"/>
        </w:numPr>
        <w:spacing w:before="120" w:after="120"/>
        <w:ind w:left="720"/>
        <w:contextualSpacing w:val="0"/>
        <w:rPr>
          <w:rFonts w:asciiTheme="minorHAnsi" w:eastAsiaTheme="minorHAnsi" w:hAnsiTheme="minorHAnsi" w:cstheme="minorBidi"/>
          <w:i/>
          <w:sz w:val="24"/>
          <w:szCs w:val="22"/>
        </w:rPr>
      </w:pPr>
      <w:r w:rsidRPr="00AE07CE">
        <w:rPr>
          <w:rFonts w:asciiTheme="minorHAnsi" w:eastAsiaTheme="minorHAnsi" w:hAnsiTheme="minorHAnsi" w:cstheme="minorBidi"/>
          <w:snapToGrid/>
          <w:sz w:val="24"/>
          <w:szCs w:val="22"/>
        </w:rPr>
        <w:t xml:space="preserve">The </w:t>
      </w:r>
      <w:r w:rsidR="001768D0" w:rsidRPr="00AE07CE">
        <w:rPr>
          <w:rFonts w:asciiTheme="minorHAnsi" w:eastAsiaTheme="minorHAnsi" w:hAnsiTheme="minorHAnsi" w:cstheme="minorBidi"/>
          <w:snapToGrid/>
          <w:sz w:val="24"/>
          <w:szCs w:val="22"/>
        </w:rPr>
        <w:t>minor submission</w:t>
      </w:r>
      <w:r w:rsidRPr="00AE07CE">
        <w:rPr>
          <w:rFonts w:asciiTheme="minorHAnsi" w:eastAsiaTheme="minorHAnsi" w:hAnsiTheme="minorHAnsi" w:cstheme="minorBidi"/>
          <w:snapToGrid/>
          <w:sz w:val="24"/>
          <w:szCs w:val="22"/>
        </w:rPr>
        <w:t xml:space="preserve"> assumed </w:t>
      </w:r>
      <w:r w:rsidR="00B50A6C" w:rsidRPr="00AE07CE">
        <w:rPr>
          <w:rFonts w:asciiTheme="minorHAnsi" w:eastAsiaTheme="minorHAnsi" w:hAnsiTheme="minorHAnsi" w:cstheme="minorBidi"/>
          <w:snapToGrid/>
          <w:sz w:val="24"/>
          <w:szCs w:val="22"/>
        </w:rPr>
        <w:t xml:space="preserve">that </w:t>
      </w:r>
      <w:r w:rsidR="00E454F3">
        <w:rPr>
          <w:rFonts w:asciiTheme="minorHAnsi" w:eastAsiaTheme="minorHAnsi" w:hAnsiTheme="minorHAnsi" w:cstheme="minorBidi"/>
          <w:noProof/>
          <w:snapToGrid/>
          <w:color w:val="000000"/>
          <w:sz w:val="24"/>
          <w:szCs w:val="22"/>
          <w:highlight w:val="black"/>
        </w:rPr>
        <w:t>'''''</w:t>
      </w:r>
      <w:r w:rsidR="00C34A85" w:rsidRPr="00BC6DE5">
        <w:rPr>
          <w:rFonts w:asciiTheme="minorHAnsi" w:eastAsiaTheme="minorHAnsi" w:hAnsiTheme="minorHAnsi" w:cstheme="minorBidi"/>
          <w:snapToGrid/>
          <w:sz w:val="24"/>
          <w:szCs w:val="22"/>
        </w:rPr>
        <w:t>%</w:t>
      </w:r>
      <w:r w:rsidR="00B50A6C" w:rsidRPr="00AE07CE">
        <w:rPr>
          <w:rFonts w:asciiTheme="minorHAnsi" w:eastAsiaTheme="minorHAnsi" w:hAnsiTheme="minorHAnsi" w:cstheme="minorBidi"/>
          <w:snapToGrid/>
          <w:sz w:val="24"/>
          <w:szCs w:val="22"/>
        </w:rPr>
        <w:t xml:space="preserve"> of glioblastoma </w:t>
      </w:r>
      <w:r w:rsidRPr="00AE07CE">
        <w:rPr>
          <w:rFonts w:asciiTheme="minorHAnsi" w:eastAsiaTheme="minorHAnsi" w:hAnsiTheme="minorHAnsi" w:cstheme="minorBidi"/>
          <w:snapToGrid/>
          <w:sz w:val="24"/>
          <w:szCs w:val="22"/>
        </w:rPr>
        <w:t xml:space="preserve">patients </w:t>
      </w:r>
      <w:r w:rsidR="00BF29B2" w:rsidRPr="00AE07CE">
        <w:rPr>
          <w:rFonts w:asciiTheme="minorHAnsi" w:eastAsiaTheme="minorHAnsi" w:hAnsiTheme="minorHAnsi" w:cstheme="minorBidi"/>
          <w:snapToGrid/>
          <w:sz w:val="24"/>
          <w:szCs w:val="22"/>
        </w:rPr>
        <w:t xml:space="preserve">would be </w:t>
      </w:r>
      <w:r w:rsidRPr="00AE07CE">
        <w:rPr>
          <w:rFonts w:asciiTheme="minorHAnsi" w:eastAsiaTheme="minorHAnsi" w:hAnsiTheme="minorHAnsi" w:cstheme="minorBidi"/>
          <w:snapToGrid/>
          <w:sz w:val="24"/>
          <w:szCs w:val="22"/>
        </w:rPr>
        <w:t xml:space="preserve">appropriate for treatment with bevacizumab. The minor submission </w:t>
      </w:r>
      <w:proofErr w:type="gramStart"/>
      <w:r w:rsidR="001768D0" w:rsidRPr="00AE07CE">
        <w:rPr>
          <w:rFonts w:asciiTheme="minorHAnsi" w:eastAsiaTheme="minorHAnsi" w:hAnsiTheme="minorHAnsi" w:cstheme="minorBidi"/>
          <w:snapToGrid/>
          <w:sz w:val="24"/>
          <w:szCs w:val="22"/>
        </w:rPr>
        <w:t>state</w:t>
      </w:r>
      <w:r w:rsidR="00BF29B2" w:rsidRPr="00AE07CE">
        <w:rPr>
          <w:rFonts w:asciiTheme="minorHAnsi" w:eastAsiaTheme="minorHAnsi" w:hAnsiTheme="minorHAnsi" w:cstheme="minorBidi"/>
          <w:snapToGrid/>
          <w:sz w:val="24"/>
          <w:szCs w:val="22"/>
        </w:rPr>
        <w:t>d</w:t>
      </w:r>
      <w:proofErr w:type="gramEnd"/>
      <w:r w:rsidRPr="00AE07CE">
        <w:rPr>
          <w:rFonts w:asciiTheme="minorHAnsi" w:eastAsiaTheme="minorHAnsi" w:hAnsiTheme="minorHAnsi" w:cstheme="minorBidi"/>
          <w:snapToGrid/>
          <w:sz w:val="24"/>
          <w:szCs w:val="22"/>
        </w:rPr>
        <w:t xml:space="preserve"> </w:t>
      </w:r>
      <w:r w:rsidR="00877864"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 xml:space="preserve">clinicians indicate that of those who receive </w:t>
      </w:r>
      <w:proofErr w:type="spellStart"/>
      <w:r w:rsidR="000F2629" w:rsidRPr="00AE07CE">
        <w:rPr>
          <w:rFonts w:asciiTheme="minorHAnsi" w:eastAsiaTheme="minorHAnsi" w:hAnsiTheme="minorHAnsi" w:cstheme="minorBidi"/>
          <w:snapToGrid/>
          <w:sz w:val="24"/>
          <w:szCs w:val="22"/>
        </w:rPr>
        <w:t>temozolomide</w:t>
      </w:r>
      <w:proofErr w:type="spellEnd"/>
      <w:r w:rsidRPr="00AE07CE">
        <w:rPr>
          <w:rFonts w:asciiTheme="minorHAnsi" w:eastAsiaTheme="minorHAnsi" w:hAnsiTheme="minorHAnsi" w:cstheme="minorBidi"/>
          <w:snapToGrid/>
          <w:sz w:val="24"/>
          <w:szCs w:val="22"/>
        </w:rPr>
        <w:t xml:space="preserve"> as part of their first-line treatment </w:t>
      </w:r>
      <w:r w:rsidRPr="00373B5B">
        <w:rPr>
          <w:rFonts w:asciiTheme="minorHAnsi" w:eastAsiaTheme="minorHAnsi" w:hAnsiTheme="minorHAnsi" w:cstheme="minorBidi"/>
          <w:snapToGrid/>
          <w:sz w:val="24"/>
          <w:szCs w:val="22"/>
        </w:rPr>
        <w:t xml:space="preserve">regimen, approximately </w:t>
      </w:r>
      <w:r w:rsidR="00E454F3">
        <w:rPr>
          <w:rFonts w:asciiTheme="minorHAnsi" w:eastAsiaTheme="minorHAnsi" w:hAnsiTheme="minorHAnsi" w:cstheme="minorBidi"/>
          <w:noProof/>
          <w:snapToGrid/>
          <w:color w:val="000000"/>
          <w:sz w:val="24"/>
          <w:szCs w:val="22"/>
          <w:highlight w:val="black"/>
        </w:rPr>
        <w:t>'''''''''''</w:t>
      </w:r>
      <w:r w:rsidR="00155E8B" w:rsidRPr="00373B5B">
        <w:rPr>
          <w:rFonts w:asciiTheme="minorHAnsi" w:eastAsiaTheme="minorHAnsi" w:hAnsiTheme="minorHAnsi" w:cstheme="minorBidi"/>
          <w:snapToGrid/>
          <w:sz w:val="24"/>
          <w:szCs w:val="22"/>
        </w:rPr>
        <w:t xml:space="preserve">% </w:t>
      </w:r>
      <w:r w:rsidRPr="00373B5B">
        <w:rPr>
          <w:rFonts w:asciiTheme="minorHAnsi" w:eastAsiaTheme="minorHAnsi" w:hAnsiTheme="minorHAnsi" w:cstheme="minorBidi"/>
          <w:snapToGrid/>
          <w:sz w:val="24"/>
          <w:szCs w:val="22"/>
        </w:rPr>
        <w:t>will</w:t>
      </w:r>
      <w:r w:rsidRPr="00AE07CE">
        <w:rPr>
          <w:rFonts w:asciiTheme="minorHAnsi" w:eastAsiaTheme="minorHAnsi" w:hAnsiTheme="minorHAnsi" w:cstheme="minorBidi"/>
          <w:snapToGrid/>
          <w:sz w:val="24"/>
          <w:szCs w:val="22"/>
        </w:rPr>
        <w:t xml:space="preserve"> be eligible for bevacizumab in the relapsed setting</w:t>
      </w:r>
      <w:r w:rsidR="00877864" w:rsidRPr="00AE07CE">
        <w:rPr>
          <w:rFonts w:asciiTheme="minorHAnsi" w:eastAsiaTheme="minorHAnsi" w:hAnsiTheme="minorHAnsi" w:cstheme="minorBidi"/>
          <w:snapToGrid/>
          <w:sz w:val="24"/>
          <w:szCs w:val="22"/>
        </w:rPr>
        <w:t>”</w:t>
      </w:r>
      <w:r w:rsidRPr="00AE07CE">
        <w:rPr>
          <w:rFonts w:asciiTheme="minorHAnsi" w:eastAsiaTheme="minorHAnsi" w:hAnsiTheme="minorHAnsi" w:cstheme="minorBidi"/>
          <w:snapToGrid/>
          <w:sz w:val="24"/>
          <w:szCs w:val="22"/>
        </w:rPr>
        <w:t>.</w:t>
      </w:r>
      <w:r w:rsidR="00C141E6" w:rsidRPr="00AE07CE">
        <w:rPr>
          <w:rFonts w:asciiTheme="minorHAnsi" w:eastAsiaTheme="minorHAnsi" w:hAnsiTheme="minorHAnsi" w:cstheme="minorBidi"/>
          <w:snapToGrid/>
          <w:sz w:val="24"/>
          <w:szCs w:val="22"/>
        </w:rPr>
        <w:t xml:space="preserve"> </w:t>
      </w:r>
      <w:r w:rsidR="00510964" w:rsidRPr="00AE07CE">
        <w:rPr>
          <w:rFonts w:asciiTheme="minorHAnsi" w:eastAsiaTheme="minorHAnsi" w:hAnsiTheme="minorHAnsi" w:cstheme="minorBidi"/>
          <w:snapToGrid/>
          <w:sz w:val="24"/>
          <w:szCs w:val="22"/>
        </w:rPr>
        <w:t xml:space="preserve">The </w:t>
      </w:r>
      <w:r w:rsidR="00877864" w:rsidRPr="00AE07CE">
        <w:rPr>
          <w:rFonts w:asciiTheme="minorHAnsi" w:eastAsiaTheme="minorHAnsi" w:hAnsiTheme="minorHAnsi" w:cstheme="minorBidi"/>
          <w:snapToGrid/>
          <w:sz w:val="24"/>
          <w:szCs w:val="22"/>
        </w:rPr>
        <w:t xml:space="preserve">minor </w:t>
      </w:r>
      <w:r w:rsidR="00510964" w:rsidRPr="00AE07CE">
        <w:rPr>
          <w:rFonts w:asciiTheme="minorHAnsi" w:eastAsiaTheme="minorHAnsi" w:hAnsiTheme="minorHAnsi" w:cstheme="minorBidi"/>
          <w:snapToGrid/>
          <w:sz w:val="24"/>
          <w:szCs w:val="22"/>
        </w:rPr>
        <w:t>submission</w:t>
      </w:r>
      <w:r w:rsidR="00877864" w:rsidRPr="00AE07CE">
        <w:rPr>
          <w:rFonts w:asciiTheme="minorHAnsi" w:eastAsiaTheme="minorHAnsi" w:hAnsiTheme="minorHAnsi" w:cstheme="minorBidi"/>
          <w:snapToGrid/>
          <w:sz w:val="24"/>
          <w:szCs w:val="22"/>
        </w:rPr>
        <w:t xml:space="preserve"> further</w:t>
      </w:r>
      <w:r w:rsidR="00510964" w:rsidRPr="00AE07CE">
        <w:rPr>
          <w:rFonts w:asciiTheme="minorHAnsi" w:eastAsiaTheme="minorHAnsi" w:hAnsiTheme="minorHAnsi" w:cstheme="minorBidi"/>
          <w:snapToGrid/>
          <w:sz w:val="24"/>
          <w:szCs w:val="22"/>
        </w:rPr>
        <w:t xml:space="preserve"> </w:t>
      </w:r>
      <w:proofErr w:type="gramStart"/>
      <w:r w:rsidR="00510964" w:rsidRPr="00AE07CE">
        <w:rPr>
          <w:rFonts w:asciiTheme="minorHAnsi" w:eastAsiaTheme="minorHAnsi" w:hAnsiTheme="minorHAnsi" w:cstheme="minorBidi"/>
          <w:snapToGrid/>
          <w:sz w:val="24"/>
          <w:szCs w:val="22"/>
        </w:rPr>
        <w:t>stated that</w:t>
      </w:r>
      <w:proofErr w:type="gramEnd"/>
      <w:r w:rsidR="00D465FE" w:rsidRPr="00AE07CE">
        <w:t xml:space="preserve"> “it </w:t>
      </w:r>
      <w:r w:rsidR="00D465FE" w:rsidRPr="00AE07CE">
        <w:rPr>
          <w:rFonts w:asciiTheme="minorHAnsi" w:eastAsiaTheme="minorHAnsi" w:hAnsiTheme="minorHAnsi" w:cstheme="minorBidi"/>
          <w:snapToGrid/>
          <w:sz w:val="24"/>
          <w:szCs w:val="22"/>
        </w:rPr>
        <w:t xml:space="preserve">is generally accepted that all patients will relapse after first-line treatment”, but </w:t>
      </w:r>
      <w:r w:rsidR="00D93149" w:rsidRPr="00AE07CE">
        <w:rPr>
          <w:rFonts w:asciiTheme="minorHAnsi" w:eastAsiaTheme="minorHAnsi" w:hAnsiTheme="minorHAnsi" w:cstheme="minorBidi"/>
          <w:snapToGrid/>
          <w:sz w:val="24"/>
          <w:szCs w:val="22"/>
        </w:rPr>
        <w:t xml:space="preserve">that </w:t>
      </w:r>
      <w:r w:rsidR="00510964" w:rsidRPr="00AE07CE">
        <w:rPr>
          <w:rFonts w:asciiTheme="minorHAnsi" w:eastAsiaTheme="minorHAnsi" w:hAnsiTheme="minorHAnsi" w:cstheme="minorBidi"/>
          <w:snapToGrid/>
          <w:sz w:val="24"/>
          <w:szCs w:val="22"/>
        </w:rPr>
        <w:t>many patients die prior to completing first line therapy and a proportion are too unwell for bevacizumab treatment</w:t>
      </w:r>
      <w:r w:rsidR="00D465FE" w:rsidRPr="00AE07CE">
        <w:rPr>
          <w:rFonts w:asciiTheme="minorHAnsi" w:eastAsiaTheme="minorHAnsi" w:hAnsiTheme="minorHAnsi" w:cstheme="minorBidi"/>
          <w:snapToGrid/>
          <w:sz w:val="24"/>
          <w:szCs w:val="22"/>
        </w:rPr>
        <w:t xml:space="preserve"> (e.g. patients with poor performance status, who are neurologically too unwell or with low platelet counts)</w:t>
      </w:r>
      <w:r w:rsidR="00AE07CE">
        <w:rPr>
          <w:rFonts w:asciiTheme="minorHAnsi" w:eastAsiaTheme="minorHAnsi" w:hAnsiTheme="minorHAnsi" w:cstheme="minorBidi"/>
          <w:snapToGrid/>
          <w:sz w:val="24"/>
          <w:szCs w:val="22"/>
        </w:rPr>
        <w:t xml:space="preserve">. </w:t>
      </w:r>
    </w:p>
    <w:p w:rsidR="00DE6F38" w:rsidRPr="00AE07CE" w:rsidRDefault="006A13F4" w:rsidP="00E752A8">
      <w:pPr>
        <w:pStyle w:val="ListParagraph"/>
        <w:widowControl/>
        <w:numPr>
          <w:ilvl w:val="1"/>
          <w:numId w:val="5"/>
        </w:numPr>
        <w:spacing w:before="120" w:after="120"/>
        <w:ind w:left="720"/>
        <w:contextualSpacing w:val="0"/>
        <w:rPr>
          <w:rFonts w:asciiTheme="minorHAnsi" w:eastAsiaTheme="minorHAnsi" w:hAnsiTheme="minorHAnsi" w:cstheme="minorBidi"/>
          <w:sz w:val="24"/>
          <w:szCs w:val="22"/>
        </w:rPr>
      </w:pPr>
      <w:r w:rsidRPr="00AE07CE">
        <w:rPr>
          <w:rFonts w:asciiTheme="minorHAnsi" w:eastAsiaTheme="minorHAnsi" w:hAnsiTheme="minorHAnsi" w:cstheme="minorBidi"/>
          <w:sz w:val="24"/>
          <w:szCs w:val="22"/>
        </w:rPr>
        <w:t xml:space="preserve">As no uptake assumption </w:t>
      </w:r>
      <w:proofErr w:type="gramStart"/>
      <w:r w:rsidRPr="00AE07CE">
        <w:rPr>
          <w:rFonts w:asciiTheme="minorHAnsi" w:eastAsiaTheme="minorHAnsi" w:hAnsiTheme="minorHAnsi" w:cstheme="minorBidi"/>
          <w:sz w:val="24"/>
          <w:szCs w:val="22"/>
        </w:rPr>
        <w:t>was applied</w:t>
      </w:r>
      <w:proofErr w:type="gramEnd"/>
      <w:r w:rsidRPr="00AE07CE">
        <w:rPr>
          <w:rFonts w:asciiTheme="minorHAnsi" w:eastAsiaTheme="minorHAnsi" w:hAnsiTheme="minorHAnsi" w:cstheme="minorBidi"/>
          <w:sz w:val="24"/>
          <w:szCs w:val="22"/>
        </w:rPr>
        <w:t>, t</w:t>
      </w:r>
      <w:r w:rsidR="00DE6F38" w:rsidRPr="00AE07CE">
        <w:rPr>
          <w:rFonts w:asciiTheme="minorHAnsi" w:eastAsiaTheme="minorHAnsi" w:hAnsiTheme="minorHAnsi" w:cstheme="minorBidi"/>
          <w:sz w:val="24"/>
          <w:szCs w:val="22"/>
        </w:rPr>
        <w:t xml:space="preserve">he minor submission </w:t>
      </w:r>
      <w:r w:rsidRPr="00AE07CE">
        <w:rPr>
          <w:rFonts w:asciiTheme="minorHAnsi" w:eastAsiaTheme="minorHAnsi" w:hAnsiTheme="minorHAnsi" w:cstheme="minorBidi"/>
          <w:sz w:val="24"/>
          <w:szCs w:val="22"/>
        </w:rPr>
        <w:t xml:space="preserve">effectively assumed that there would be 100% uptake in </w:t>
      </w:r>
      <w:r w:rsidR="00DE6F38" w:rsidRPr="00400B3F">
        <w:rPr>
          <w:rFonts w:asciiTheme="minorHAnsi" w:eastAsiaTheme="minorHAnsi" w:hAnsiTheme="minorHAnsi" w:cstheme="minorBidi"/>
          <w:sz w:val="24"/>
          <w:szCs w:val="22"/>
        </w:rPr>
        <w:t xml:space="preserve">eligible </w:t>
      </w:r>
      <w:r w:rsidRPr="00400B3F">
        <w:rPr>
          <w:rFonts w:asciiTheme="minorHAnsi" w:eastAsiaTheme="minorHAnsi" w:hAnsiTheme="minorHAnsi" w:cstheme="minorBidi"/>
          <w:sz w:val="24"/>
          <w:szCs w:val="22"/>
        </w:rPr>
        <w:t xml:space="preserve">patients. </w:t>
      </w:r>
      <w:r w:rsidR="00DE6F38" w:rsidRPr="00AE07CE">
        <w:rPr>
          <w:rFonts w:asciiTheme="minorHAnsi" w:eastAsiaTheme="minorHAnsi" w:hAnsiTheme="minorHAnsi" w:cstheme="minorBidi"/>
          <w:sz w:val="24"/>
          <w:szCs w:val="22"/>
        </w:rPr>
        <w:t>The minor submission not</w:t>
      </w:r>
      <w:r w:rsidR="00F054EA" w:rsidRPr="00AE07CE">
        <w:rPr>
          <w:rFonts w:asciiTheme="minorHAnsi" w:eastAsiaTheme="minorHAnsi" w:hAnsiTheme="minorHAnsi" w:cstheme="minorBidi"/>
          <w:sz w:val="24"/>
          <w:szCs w:val="22"/>
        </w:rPr>
        <w:t>ed</w:t>
      </w:r>
      <w:r w:rsidR="00DE6F38" w:rsidRPr="00AE07CE">
        <w:rPr>
          <w:rFonts w:asciiTheme="minorHAnsi" w:eastAsiaTheme="minorHAnsi" w:hAnsiTheme="minorHAnsi" w:cstheme="minorBidi"/>
          <w:sz w:val="24"/>
          <w:szCs w:val="22"/>
        </w:rPr>
        <w:t xml:space="preserve"> that there is high utilisation of </w:t>
      </w:r>
      <w:r w:rsidR="00F054EA" w:rsidRPr="00AE07CE">
        <w:rPr>
          <w:rFonts w:asciiTheme="minorHAnsi" w:eastAsiaTheme="minorHAnsi" w:hAnsiTheme="minorHAnsi" w:cstheme="minorBidi"/>
          <w:sz w:val="24"/>
          <w:szCs w:val="22"/>
        </w:rPr>
        <w:t xml:space="preserve">bevacizumab through </w:t>
      </w:r>
      <w:r w:rsidR="00DE6F38" w:rsidRPr="00AE07CE">
        <w:rPr>
          <w:rFonts w:asciiTheme="minorHAnsi" w:eastAsiaTheme="minorHAnsi" w:hAnsiTheme="minorHAnsi" w:cstheme="minorBidi"/>
          <w:sz w:val="24"/>
          <w:szCs w:val="22"/>
        </w:rPr>
        <w:t>the P</w:t>
      </w:r>
      <w:r w:rsidR="00DE6F38" w:rsidRPr="00AE07CE">
        <w:rPr>
          <w:rFonts w:asciiTheme="minorHAnsi" w:eastAsiaTheme="minorHAnsi" w:hAnsiTheme="minorHAnsi" w:cstheme="minorBidi"/>
          <w:snapToGrid/>
          <w:sz w:val="24"/>
          <w:szCs w:val="22"/>
        </w:rPr>
        <w:t>atient Access Program</w:t>
      </w:r>
      <w:r w:rsidR="00DE6F38" w:rsidRPr="00AE07CE">
        <w:rPr>
          <w:rFonts w:asciiTheme="minorHAnsi" w:eastAsiaTheme="minorHAnsi" w:hAnsiTheme="minorHAnsi" w:cstheme="minorBidi"/>
          <w:sz w:val="24"/>
          <w:szCs w:val="22"/>
        </w:rPr>
        <w:t xml:space="preserve"> despite significant upfront costs, and there is lack of effective treatment options in this setting. </w:t>
      </w:r>
    </w:p>
    <w:p w:rsidR="00511613" w:rsidRPr="00AE07CE" w:rsidRDefault="00511613"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z w:val="24"/>
          <w:szCs w:val="22"/>
        </w:rPr>
        <w:t xml:space="preserve">The minor submission assumed that </w:t>
      </w:r>
      <w:r w:rsidR="00E454F3">
        <w:rPr>
          <w:rFonts w:asciiTheme="minorHAnsi" w:eastAsiaTheme="minorHAnsi" w:hAnsiTheme="minorHAnsi" w:cstheme="minorBidi"/>
          <w:noProof/>
          <w:color w:val="000000"/>
          <w:sz w:val="24"/>
          <w:szCs w:val="22"/>
          <w:highlight w:val="black"/>
        </w:rPr>
        <w:t>'''''</w:t>
      </w:r>
      <w:r w:rsidRPr="00AE07CE">
        <w:rPr>
          <w:rFonts w:asciiTheme="minorHAnsi" w:eastAsiaTheme="minorHAnsi" w:hAnsiTheme="minorHAnsi" w:cstheme="minorBidi"/>
          <w:sz w:val="24"/>
          <w:szCs w:val="22"/>
        </w:rPr>
        <w:t xml:space="preserve"> patients would be grandfathered, based on </w:t>
      </w:r>
      <w:r w:rsidR="00064B4A" w:rsidRPr="00AE07CE">
        <w:rPr>
          <w:rFonts w:asciiTheme="minorHAnsi" w:eastAsiaTheme="minorHAnsi" w:hAnsiTheme="minorHAnsi" w:cstheme="minorBidi"/>
          <w:sz w:val="24"/>
          <w:szCs w:val="22"/>
        </w:rPr>
        <w:t>utilisation of the P</w:t>
      </w:r>
      <w:r w:rsidR="002C60CD" w:rsidRPr="00AE07CE">
        <w:rPr>
          <w:rFonts w:asciiTheme="minorHAnsi" w:eastAsiaTheme="minorHAnsi" w:hAnsiTheme="minorHAnsi" w:cstheme="minorBidi"/>
          <w:snapToGrid/>
          <w:sz w:val="24"/>
          <w:szCs w:val="22"/>
        </w:rPr>
        <w:t>atient Access Program</w:t>
      </w:r>
      <w:r w:rsidR="00064B4A" w:rsidRPr="00AE07CE">
        <w:rPr>
          <w:rFonts w:asciiTheme="minorHAnsi" w:eastAsiaTheme="minorHAnsi" w:hAnsiTheme="minorHAnsi" w:cstheme="minorBidi"/>
          <w:sz w:val="24"/>
          <w:szCs w:val="22"/>
        </w:rPr>
        <w:t xml:space="preserve"> from 17 November to 18 November 2018.</w:t>
      </w:r>
      <w:r w:rsidR="00F82EE6" w:rsidRPr="00AE07CE">
        <w:rPr>
          <w:rFonts w:asciiTheme="minorHAnsi" w:eastAsiaTheme="minorHAnsi" w:hAnsiTheme="minorHAnsi" w:cstheme="minorBidi"/>
          <w:sz w:val="24"/>
          <w:szCs w:val="22"/>
        </w:rPr>
        <w:t xml:space="preserve"> The</w:t>
      </w:r>
      <w:r w:rsidR="00F054EA" w:rsidRPr="00AE07CE">
        <w:rPr>
          <w:rFonts w:asciiTheme="minorHAnsi" w:eastAsiaTheme="minorHAnsi" w:hAnsiTheme="minorHAnsi" w:cstheme="minorBidi"/>
          <w:sz w:val="24"/>
          <w:szCs w:val="22"/>
        </w:rPr>
        <w:t xml:space="preserve">se </w:t>
      </w:r>
      <w:r w:rsidR="00E454F3">
        <w:rPr>
          <w:rFonts w:asciiTheme="minorHAnsi" w:eastAsiaTheme="minorHAnsi" w:hAnsiTheme="minorHAnsi" w:cstheme="minorBidi"/>
          <w:noProof/>
          <w:color w:val="000000"/>
          <w:sz w:val="24"/>
          <w:szCs w:val="22"/>
          <w:highlight w:val="black"/>
        </w:rPr>
        <w:t>''''''</w:t>
      </w:r>
      <w:r w:rsidR="00F82EE6" w:rsidRPr="00AE07CE">
        <w:rPr>
          <w:rFonts w:asciiTheme="minorHAnsi" w:eastAsiaTheme="minorHAnsi" w:hAnsiTheme="minorHAnsi" w:cstheme="minorBidi"/>
          <w:sz w:val="24"/>
          <w:szCs w:val="22"/>
        </w:rPr>
        <w:t xml:space="preserve"> patients </w:t>
      </w:r>
      <w:r w:rsidR="0054352C" w:rsidRPr="00AE07CE">
        <w:rPr>
          <w:rFonts w:asciiTheme="minorHAnsi" w:eastAsiaTheme="minorHAnsi" w:hAnsiTheme="minorHAnsi" w:cstheme="minorBidi"/>
          <w:sz w:val="24"/>
          <w:szCs w:val="22"/>
        </w:rPr>
        <w:t>were</w:t>
      </w:r>
      <w:r w:rsidR="00F82EE6" w:rsidRPr="00AE07CE">
        <w:rPr>
          <w:rFonts w:asciiTheme="minorHAnsi" w:eastAsiaTheme="minorHAnsi" w:hAnsiTheme="minorHAnsi" w:cstheme="minorBidi"/>
          <w:sz w:val="24"/>
          <w:szCs w:val="22"/>
        </w:rPr>
        <w:t xml:space="preserve"> added to the number of patients treated in </w:t>
      </w:r>
      <w:r w:rsidR="0054352C" w:rsidRPr="00AE07CE">
        <w:rPr>
          <w:rFonts w:asciiTheme="minorHAnsi" w:eastAsiaTheme="minorHAnsi" w:hAnsiTheme="minorHAnsi" w:cstheme="minorBidi"/>
          <w:sz w:val="24"/>
          <w:szCs w:val="22"/>
        </w:rPr>
        <w:t>Y</w:t>
      </w:r>
      <w:r w:rsidR="00F82EE6" w:rsidRPr="00AE07CE">
        <w:rPr>
          <w:rFonts w:asciiTheme="minorHAnsi" w:eastAsiaTheme="minorHAnsi" w:hAnsiTheme="minorHAnsi" w:cstheme="minorBidi"/>
          <w:sz w:val="24"/>
          <w:szCs w:val="22"/>
        </w:rPr>
        <w:t>ear</w:t>
      </w:r>
      <w:r w:rsidR="00F1175B" w:rsidRPr="00AE07CE">
        <w:rPr>
          <w:rFonts w:asciiTheme="minorHAnsi" w:eastAsiaTheme="minorHAnsi" w:hAnsiTheme="minorHAnsi" w:cstheme="minorBidi"/>
          <w:sz w:val="24"/>
          <w:szCs w:val="22"/>
        </w:rPr>
        <w:t> </w:t>
      </w:r>
      <w:r w:rsidR="00F82EE6" w:rsidRPr="00AE07CE">
        <w:rPr>
          <w:rFonts w:asciiTheme="minorHAnsi" w:eastAsiaTheme="minorHAnsi" w:hAnsiTheme="minorHAnsi" w:cstheme="minorBidi"/>
          <w:sz w:val="24"/>
          <w:szCs w:val="22"/>
        </w:rPr>
        <w:t>1.</w:t>
      </w:r>
      <w:r w:rsidR="00064B4A" w:rsidRPr="00AE07CE">
        <w:rPr>
          <w:rFonts w:asciiTheme="minorHAnsi" w:eastAsiaTheme="minorHAnsi" w:hAnsiTheme="minorHAnsi" w:cstheme="minorBidi"/>
          <w:sz w:val="24"/>
          <w:szCs w:val="22"/>
        </w:rPr>
        <w:t xml:space="preserve"> </w:t>
      </w:r>
      <w:r w:rsidR="00F10DC4" w:rsidRPr="00AE07CE">
        <w:rPr>
          <w:rFonts w:asciiTheme="minorHAnsi" w:eastAsiaTheme="minorHAnsi" w:hAnsiTheme="minorHAnsi" w:cstheme="minorBidi"/>
          <w:sz w:val="24"/>
          <w:szCs w:val="22"/>
        </w:rPr>
        <w:t xml:space="preserve">The pre-PBAC response </w:t>
      </w:r>
      <w:r w:rsidR="006E0A18" w:rsidRPr="00AE07CE">
        <w:rPr>
          <w:rFonts w:asciiTheme="minorHAnsi" w:eastAsiaTheme="minorHAnsi" w:hAnsiTheme="minorHAnsi" w:cstheme="minorBidi"/>
          <w:sz w:val="24"/>
          <w:szCs w:val="22"/>
        </w:rPr>
        <w:t>reduce</w:t>
      </w:r>
      <w:r w:rsidR="00F10DC4" w:rsidRPr="00AE07CE">
        <w:rPr>
          <w:rFonts w:asciiTheme="minorHAnsi" w:eastAsiaTheme="minorHAnsi" w:hAnsiTheme="minorHAnsi" w:cstheme="minorBidi"/>
          <w:sz w:val="24"/>
          <w:szCs w:val="22"/>
        </w:rPr>
        <w:t xml:space="preserve">d </w:t>
      </w:r>
      <w:r w:rsidR="006E0A18" w:rsidRPr="00AE07CE">
        <w:rPr>
          <w:rFonts w:asciiTheme="minorHAnsi" w:eastAsiaTheme="minorHAnsi" w:hAnsiTheme="minorHAnsi" w:cstheme="minorBidi"/>
          <w:sz w:val="24"/>
          <w:szCs w:val="22"/>
        </w:rPr>
        <w:t>this</w:t>
      </w:r>
      <w:r w:rsidR="00F10DC4" w:rsidRPr="00AE07CE">
        <w:rPr>
          <w:rFonts w:asciiTheme="minorHAnsi" w:eastAsiaTheme="minorHAnsi" w:hAnsiTheme="minorHAnsi" w:cstheme="minorBidi"/>
          <w:sz w:val="24"/>
          <w:szCs w:val="22"/>
        </w:rPr>
        <w:t xml:space="preserve"> to</w:t>
      </w:r>
      <w:r w:rsidR="00F10DC4" w:rsidRPr="008F4A5D">
        <w:rPr>
          <w:rFonts w:asciiTheme="minorHAnsi" w:eastAsiaTheme="minorHAnsi" w:hAnsiTheme="minorHAnsi" w:cstheme="minorBidi"/>
          <w:sz w:val="24"/>
          <w:szCs w:val="22"/>
        </w:rPr>
        <w:t xml:space="preserve"> </w:t>
      </w:r>
      <w:r w:rsidR="00E454F3">
        <w:rPr>
          <w:rFonts w:asciiTheme="minorHAnsi" w:eastAsiaTheme="minorHAnsi" w:hAnsiTheme="minorHAnsi" w:cstheme="minorBidi"/>
          <w:noProof/>
          <w:color w:val="000000"/>
          <w:sz w:val="24"/>
          <w:szCs w:val="22"/>
          <w:highlight w:val="black"/>
        </w:rPr>
        <w:t>'''''</w:t>
      </w:r>
      <w:r w:rsidR="00F10DC4" w:rsidRPr="00AE07CE">
        <w:rPr>
          <w:rFonts w:asciiTheme="minorHAnsi" w:eastAsiaTheme="minorHAnsi" w:hAnsiTheme="minorHAnsi" w:cstheme="minorBidi"/>
          <w:sz w:val="24"/>
          <w:szCs w:val="22"/>
        </w:rPr>
        <w:t xml:space="preserve"> grandfathered patients based on the number of patients who received bevacizumab </w:t>
      </w:r>
      <w:r w:rsidR="006E0A18" w:rsidRPr="00AE07CE">
        <w:rPr>
          <w:rFonts w:asciiTheme="minorHAnsi" w:eastAsiaTheme="minorHAnsi" w:hAnsiTheme="minorHAnsi" w:cstheme="minorBidi"/>
          <w:sz w:val="24"/>
          <w:szCs w:val="22"/>
        </w:rPr>
        <w:t>through</w:t>
      </w:r>
      <w:r w:rsidR="00F10DC4" w:rsidRPr="00AE07CE">
        <w:rPr>
          <w:rFonts w:asciiTheme="minorHAnsi" w:eastAsiaTheme="minorHAnsi" w:hAnsiTheme="minorHAnsi" w:cstheme="minorBidi"/>
          <w:sz w:val="24"/>
          <w:szCs w:val="22"/>
        </w:rPr>
        <w:t xml:space="preserve"> the Patient Access Program during the </w:t>
      </w:r>
      <w:r w:rsidR="00F10DC4" w:rsidRPr="00373B5B">
        <w:rPr>
          <w:rFonts w:asciiTheme="minorHAnsi" w:eastAsiaTheme="minorHAnsi" w:hAnsiTheme="minorHAnsi" w:cstheme="minorBidi"/>
          <w:sz w:val="24"/>
          <w:szCs w:val="22"/>
        </w:rPr>
        <w:t xml:space="preserve">previous </w:t>
      </w:r>
      <w:r w:rsidR="00E454F3">
        <w:rPr>
          <w:rFonts w:asciiTheme="minorHAnsi" w:eastAsiaTheme="minorHAnsi" w:hAnsiTheme="minorHAnsi" w:cstheme="minorBidi"/>
          <w:noProof/>
          <w:color w:val="000000"/>
          <w:sz w:val="24"/>
          <w:szCs w:val="22"/>
          <w:highlight w:val="black"/>
        </w:rPr>
        <w:t>'' ''''''''''''''</w:t>
      </w:r>
      <w:r w:rsidR="00373B5B" w:rsidRPr="00AE07CE">
        <w:rPr>
          <w:rFonts w:asciiTheme="minorHAnsi" w:eastAsiaTheme="minorHAnsi" w:hAnsiTheme="minorHAnsi" w:cstheme="minorBidi"/>
          <w:sz w:val="24"/>
          <w:szCs w:val="22"/>
        </w:rPr>
        <w:t xml:space="preserve"> </w:t>
      </w:r>
      <w:r w:rsidR="00373B5B" w:rsidRPr="00AE07CE" w:rsidDel="003E33AF">
        <w:rPr>
          <w:rFonts w:asciiTheme="minorHAnsi" w:eastAsiaTheme="minorHAnsi" w:hAnsiTheme="minorHAnsi" w:cstheme="minorBidi"/>
          <w:sz w:val="24"/>
          <w:szCs w:val="22"/>
        </w:rPr>
        <w:t>(</w:t>
      </w:r>
      <w:r w:rsidR="006E0A18" w:rsidRPr="00AE07CE">
        <w:rPr>
          <w:rFonts w:asciiTheme="minorHAnsi" w:eastAsiaTheme="minorHAnsi" w:hAnsiTheme="minorHAnsi" w:cstheme="minorBidi"/>
          <w:sz w:val="24"/>
          <w:szCs w:val="22"/>
        </w:rPr>
        <w:t xml:space="preserve">which is the </w:t>
      </w:r>
      <w:r w:rsidR="00F10DC4" w:rsidRPr="00AE07CE">
        <w:rPr>
          <w:rFonts w:asciiTheme="minorHAnsi" w:eastAsiaTheme="minorHAnsi" w:hAnsiTheme="minorHAnsi" w:cstheme="minorBidi"/>
          <w:sz w:val="24"/>
          <w:szCs w:val="22"/>
        </w:rPr>
        <w:t>mean treatment duration).</w:t>
      </w:r>
      <w:r w:rsidR="006E0A18" w:rsidRPr="00AE07CE">
        <w:rPr>
          <w:rFonts w:asciiTheme="minorHAnsi" w:eastAsiaTheme="minorHAnsi" w:hAnsiTheme="minorHAnsi" w:cstheme="minorBidi"/>
          <w:sz w:val="24"/>
          <w:szCs w:val="22"/>
        </w:rPr>
        <w:t xml:space="preserve"> </w:t>
      </w:r>
      <w:r w:rsidR="00F009E5" w:rsidRPr="00AE07CE">
        <w:rPr>
          <w:rFonts w:asciiTheme="minorHAnsi" w:eastAsiaTheme="minorHAnsi" w:hAnsiTheme="minorHAnsi" w:cstheme="minorBidi"/>
          <w:sz w:val="24"/>
          <w:szCs w:val="22"/>
        </w:rPr>
        <w:t>A</w:t>
      </w:r>
      <w:r w:rsidR="008C34FA" w:rsidRPr="00AE07CE">
        <w:rPr>
          <w:rFonts w:asciiTheme="minorHAnsi" w:eastAsiaTheme="minorHAnsi" w:hAnsiTheme="minorHAnsi" w:cstheme="minorBidi"/>
          <w:sz w:val="24"/>
          <w:szCs w:val="22"/>
        </w:rPr>
        <w:t xml:space="preserve">s discussed in </w:t>
      </w:r>
      <w:r w:rsidR="00F054EA" w:rsidRPr="00AE07CE">
        <w:rPr>
          <w:rFonts w:asciiTheme="minorHAnsi" w:eastAsiaTheme="minorHAnsi" w:hAnsiTheme="minorHAnsi" w:cstheme="minorBidi"/>
          <w:sz w:val="24"/>
          <w:szCs w:val="22"/>
        </w:rPr>
        <w:t xml:space="preserve">the </w:t>
      </w:r>
      <w:r w:rsidR="008C34FA" w:rsidRPr="00AE07CE">
        <w:rPr>
          <w:rFonts w:asciiTheme="minorHAnsi" w:eastAsiaTheme="minorHAnsi" w:hAnsiTheme="minorHAnsi" w:cstheme="minorBidi"/>
          <w:sz w:val="24"/>
          <w:szCs w:val="22"/>
        </w:rPr>
        <w:t xml:space="preserve">‘Requested listing’ </w:t>
      </w:r>
      <w:r w:rsidR="00F054EA" w:rsidRPr="00AE07CE">
        <w:rPr>
          <w:rFonts w:asciiTheme="minorHAnsi" w:eastAsiaTheme="minorHAnsi" w:hAnsiTheme="minorHAnsi" w:cstheme="minorBidi"/>
          <w:sz w:val="24"/>
          <w:szCs w:val="22"/>
        </w:rPr>
        <w:t xml:space="preserve">section, </w:t>
      </w:r>
      <w:r w:rsidR="007A27C9" w:rsidRPr="00AE07CE">
        <w:rPr>
          <w:rFonts w:asciiTheme="minorHAnsi" w:eastAsiaTheme="minorHAnsi" w:hAnsiTheme="minorHAnsi" w:cstheme="minorBidi"/>
          <w:sz w:val="24"/>
          <w:szCs w:val="22"/>
        </w:rPr>
        <w:t xml:space="preserve">the PBAC considered that </w:t>
      </w:r>
      <w:r w:rsidR="008C34FA" w:rsidRPr="00AE07CE">
        <w:rPr>
          <w:rFonts w:asciiTheme="minorHAnsi" w:eastAsiaTheme="minorHAnsi" w:hAnsiTheme="minorHAnsi" w:cstheme="minorBidi"/>
          <w:sz w:val="24"/>
          <w:szCs w:val="22"/>
        </w:rPr>
        <w:t>if patients have already paid</w:t>
      </w:r>
      <w:r w:rsidR="00F10DC4" w:rsidRPr="00AE07CE">
        <w:rPr>
          <w:rFonts w:asciiTheme="minorHAnsi" w:eastAsiaTheme="minorHAnsi" w:hAnsiTheme="minorHAnsi" w:cstheme="minorBidi"/>
          <w:sz w:val="24"/>
          <w:szCs w:val="22"/>
        </w:rPr>
        <w:t xml:space="preserve"> to access bevacizumab through the Patient Access Program</w:t>
      </w:r>
      <w:r w:rsidR="008C34FA" w:rsidRPr="00AE07CE">
        <w:rPr>
          <w:rFonts w:asciiTheme="minorHAnsi" w:eastAsiaTheme="minorHAnsi" w:hAnsiTheme="minorHAnsi" w:cstheme="minorBidi"/>
          <w:sz w:val="24"/>
          <w:szCs w:val="22"/>
        </w:rPr>
        <w:t xml:space="preserve"> it would not be appropriate to subsidise these doses through the PBS</w:t>
      </w:r>
      <w:r w:rsidR="006E0A18" w:rsidRPr="00AE07CE">
        <w:rPr>
          <w:rFonts w:asciiTheme="minorHAnsi" w:eastAsiaTheme="minorHAnsi" w:hAnsiTheme="minorHAnsi" w:cstheme="minorBidi"/>
          <w:sz w:val="24"/>
          <w:szCs w:val="22"/>
        </w:rPr>
        <w:t xml:space="preserve"> (i.e. </w:t>
      </w:r>
      <w:r w:rsidR="006E0A18" w:rsidRPr="00AE07CE">
        <w:rPr>
          <w:rFonts w:asciiTheme="minorHAnsi" w:eastAsiaTheme="minorHAnsi" w:hAnsiTheme="minorHAnsi" w:cstheme="minorBidi"/>
          <w:snapToGrid/>
          <w:sz w:val="24"/>
          <w:szCs w:val="22"/>
        </w:rPr>
        <w:t>on-going supply should be provided by the sponsor)</w:t>
      </w:r>
      <w:r w:rsidR="008C34FA" w:rsidRPr="00AE07CE">
        <w:rPr>
          <w:rFonts w:asciiTheme="minorHAnsi" w:eastAsiaTheme="minorHAnsi" w:hAnsiTheme="minorHAnsi" w:cstheme="minorBidi"/>
          <w:sz w:val="24"/>
          <w:szCs w:val="22"/>
        </w:rPr>
        <w:t>.</w:t>
      </w:r>
      <w:r w:rsidR="00F009E5" w:rsidRPr="00AE07CE">
        <w:rPr>
          <w:rFonts w:asciiTheme="minorHAnsi" w:eastAsiaTheme="minorHAnsi" w:hAnsiTheme="minorHAnsi" w:cstheme="minorBidi"/>
          <w:sz w:val="24"/>
          <w:szCs w:val="22"/>
        </w:rPr>
        <w:t xml:space="preserve"> </w:t>
      </w:r>
      <w:r w:rsidR="006E0A18" w:rsidRPr="00AE07CE">
        <w:rPr>
          <w:rFonts w:asciiTheme="minorHAnsi" w:eastAsiaTheme="minorHAnsi" w:hAnsiTheme="minorHAnsi" w:cstheme="minorBidi"/>
          <w:sz w:val="24"/>
          <w:szCs w:val="22"/>
        </w:rPr>
        <w:t>Further, specifically including grandfathered patients in the financial estimates may d</w:t>
      </w:r>
      <w:r w:rsidR="00421B72" w:rsidRPr="00AE07CE">
        <w:rPr>
          <w:rFonts w:asciiTheme="minorHAnsi" w:eastAsiaTheme="minorHAnsi" w:hAnsiTheme="minorHAnsi" w:cstheme="minorBidi"/>
          <w:sz w:val="24"/>
          <w:szCs w:val="22"/>
        </w:rPr>
        <w:t>ouble</w:t>
      </w:r>
      <w:r w:rsidR="006E0A18" w:rsidRPr="00AE07CE">
        <w:rPr>
          <w:rFonts w:asciiTheme="minorHAnsi" w:eastAsiaTheme="minorHAnsi" w:hAnsiTheme="minorHAnsi" w:cstheme="minorBidi"/>
          <w:sz w:val="24"/>
          <w:szCs w:val="22"/>
        </w:rPr>
        <w:t>-</w:t>
      </w:r>
      <w:r w:rsidR="00421B72" w:rsidRPr="00AE07CE">
        <w:rPr>
          <w:rFonts w:asciiTheme="minorHAnsi" w:eastAsiaTheme="minorHAnsi" w:hAnsiTheme="minorHAnsi" w:cstheme="minorBidi"/>
          <w:sz w:val="24"/>
          <w:szCs w:val="22"/>
        </w:rPr>
        <w:t xml:space="preserve">count patient numbers, as these patients </w:t>
      </w:r>
      <w:r w:rsidR="006E0A18" w:rsidRPr="00AE07CE">
        <w:rPr>
          <w:rFonts w:asciiTheme="minorHAnsi" w:eastAsiaTheme="minorHAnsi" w:hAnsiTheme="minorHAnsi" w:cstheme="minorBidi"/>
          <w:sz w:val="24"/>
          <w:szCs w:val="22"/>
        </w:rPr>
        <w:t>ar</w:t>
      </w:r>
      <w:r w:rsidR="00421B72" w:rsidRPr="00AE07CE">
        <w:rPr>
          <w:rFonts w:asciiTheme="minorHAnsi" w:eastAsiaTheme="minorHAnsi" w:hAnsiTheme="minorHAnsi" w:cstheme="minorBidi"/>
          <w:sz w:val="24"/>
          <w:szCs w:val="22"/>
        </w:rPr>
        <w:t xml:space="preserve">e likely </w:t>
      </w:r>
      <w:proofErr w:type="gramStart"/>
      <w:r w:rsidR="006E0A18" w:rsidRPr="00AE07CE">
        <w:rPr>
          <w:rFonts w:asciiTheme="minorHAnsi" w:eastAsiaTheme="minorHAnsi" w:hAnsiTheme="minorHAnsi" w:cstheme="minorBidi"/>
          <w:sz w:val="24"/>
          <w:szCs w:val="22"/>
        </w:rPr>
        <w:t xml:space="preserve">to </w:t>
      </w:r>
      <w:r w:rsidR="00421B72" w:rsidRPr="00AE07CE">
        <w:rPr>
          <w:rFonts w:asciiTheme="minorHAnsi" w:eastAsiaTheme="minorHAnsi" w:hAnsiTheme="minorHAnsi" w:cstheme="minorBidi"/>
          <w:sz w:val="24"/>
          <w:szCs w:val="22"/>
        </w:rPr>
        <w:t>already</w:t>
      </w:r>
      <w:r w:rsidR="006E0A18" w:rsidRPr="00AE07CE">
        <w:rPr>
          <w:rFonts w:asciiTheme="minorHAnsi" w:eastAsiaTheme="minorHAnsi" w:hAnsiTheme="minorHAnsi" w:cstheme="minorBidi"/>
          <w:sz w:val="24"/>
          <w:szCs w:val="22"/>
        </w:rPr>
        <w:t xml:space="preserve"> be</w:t>
      </w:r>
      <w:proofErr w:type="gramEnd"/>
      <w:r w:rsidR="00421B72" w:rsidRPr="00AE07CE">
        <w:rPr>
          <w:rFonts w:asciiTheme="minorHAnsi" w:eastAsiaTheme="minorHAnsi" w:hAnsiTheme="minorHAnsi" w:cstheme="minorBidi"/>
          <w:sz w:val="24"/>
          <w:szCs w:val="22"/>
        </w:rPr>
        <w:t xml:space="preserve"> included in the eligible population</w:t>
      </w:r>
      <w:r w:rsidR="006E0A18" w:rsidRPr="00AE07CE">
        <w:rPr>
          <w:rFonts w:asciiTheme="minorHAnsi" w:eastAsiaTheme="minorHAnsi" w:hAnsiTheme="minorHAnsi" w:cstheme="minorBidi"/>
          <w:i/>
          <w:sz w:val="24"/>
          <w:szCs w:val="22"/>
        </w:rPr>
        <w:t>.</w:t>
      </w:r>
    </w:p>
    <w:p w:rsidR="00434C3A" w:rsidRPr="00AE07CE" w:rsidRDefault="00434C3A" w:rsidP="00434C3A">
      <w:pPr>
        <w:keepNext/>
        <w:spacing w:after="60"/>
        <w:rPr>
          <w:rFonts w:ascii="Arial Narrow" w:eastAsia="Calibri" w:hAnsi="Arial Narrow" w:cs="Arial"/>
          <w:b/>
          <w:sz w:val="20"/>
          <w:szCs w:val="20"/>
        </w:rPr>
      </w:pPr>
      <w:r w:rsidRPr="00AE07CE">
        <w:rPr>
          <w:rFonts w:ascii="Arial Narrow" w:eastAsia="Calibri" w:hAnsi="Arial Narrow" w:cs="Arial"/>
          <w:b/>
          <w:sz w:val="20"/>
          <w:szCs w:val="22"/>
        </w:rPr>
        <w:lastRenderedPageBreak/>
        <w:t xml:space="preserve">Table </w:t>
      </w:r>
      <w:r w:rsidR="003D29B7" w:rsidRPr="00AE07CE">
        <w:rPr>
          <w:rFonts w:ascii="Arial Narrow" w:eastAsia="Calibri" w:hAnsi="Arial Narrow" w:cs="Arial"/>
          <w:b/>
          <w:sz w:val="20"/>
          <w:szCs w:val="22"/>
        </w:rPr>
        <w:t>4</w:t>
      </w:r>
      <w:r w:rsidRPr="00AE07CE">
        <w:rPr>
          <w:rFonts w:ascii="Arial Narrow" w:eastAsia="Calibri" w:hAnsi="Arial Narrow" w:cs="Arial"/>
          <w:b/>
          <w:sz w:val="20"/>
          <w:szCs w:val="20"/>
        </w:rPr>
        <w:t>: Estimated use and financial implications</w:t>
      </w:r>
      <w:r w:rsidR="001436C3" w:rsidRPr="00AE07CE">
        <w:rPr>
          <w:rFonts w:ascii="Arial Narrow" w:eastAsia="Calibri" w:hAnsi="Arial Narrow" w:cs="Arial"/>
          <w:b/>
          <w:sz w:val="20"/>
          <w:szCs w:val="20"/>
        </w:rPr>
        <w:t xml:space="preserve"> (from the minor submission)</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from the minor submission)"/>
      </w:tblPr>
      <w:tblGrid>
        <w:gridCol w:w="1998"/>
        <w:gridCol w:w="1159"/>
        <w:gridCol w:w="1159"/>
        <w:gridCol w:w="1159"/>
        <w:gridCol w:w="1159"/>
        <w:gridCol w:w="1159"/>
        <w:gridCol w:w="1162"/>
      </w:tblGrid>
      <w:tr w:rsidR="00434C3A" w:rsidRPr="00AE07CE" w:rsidTr="002C60CD">
        <w:trPr>
          <w:tblHeader/>
        </w:trPr>
        <w:tc>
          <w:tcPr>
            <w:tcW w:w="1116" w:type="pct"/>
            <w:shd w:val="clear" w:color="auto" w:fill="auto"/>
            <w:vAlign w:val="center"/>
          </w:tcPr>
          <w:p w:rsidR="00434C3A" w:rsidRPr="00AE07CE" w:rsidRDefault="00434C3A" w:rsidP="002C60CD">
            <w:pPr>
              <w:keepNext/>
              <w:spacing w:before="40" w:after="40"/>
              <w:rPr>
                <w:rFonts w:ascii="Arial Narrow" w:eastAsia="Calibri" w:hAnsi="Arial Narrow" w:cs="Arial"/>
                <w:sz w:val="20"/>
                <w:szCs w:val="20"/>
              </w:rPr>
            </w:pPr>
          </w:p>
        </w:tc>
        <w:tc>
          <w:tcPr>
            <w:tcW w:w="647" w:type="pct"/>
            <w:shd w:val="clear" w:color="auto" w:fill="auto"/>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1</w:t>
            </w:r>
          </w:p>
        </w:tc>
        <w:tc>
          <w:tcPr>
            <w:tcW w:w="647" w:type="pct"/>
            <w:shd w:val="clear" w:color="auto" w:fill="auto"/>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2</w:t>
            </w:r>
          </w:p>
        </w:tc>
        <w:tc>
          <w:tcPr>
            <w:tcW w:w="647" w:type="pct"/>
            <w:shd w:val="clear" w:color="auto" w:fill="auto"/>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3</w:t>
            </w:r>
          </w:p>
        </w:tc>
        <w:tc>
          <w:tcPr>
            <w:tcW w:w="647" w:type="pct"/>
            <w:shd w:val="clear" w:color="auto" w:fill="auto"/>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4</w:t>
            </w:r>
          </w:p>
        </w:tc>
        <w:tc>
          <w:tcPr>
            <w:tcW w:w="647" w:type="pct"/>
            <w:shd w:val="clear" w:color="auto" w:fill="auto"/>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5</w:t>
            </w:r>
          </w:p>
        </w:tc>
        <w:tc>
          <w:tcPr>
            <w:tcW w:w="649" w:type="pct"/>
            <w:vAlign w:val="center"/>
          </w:tcPr>
          <w:p w:rsidR="00434C3A" w:rsidRPr="00AE07CE" w:rsidRDefault="00434C3A" w:rsidP="002C60CD">
            <w:pPr>
              <w:keepNext/>
              <w:spacing w:before="40" w:after="40"/>
              <w:jc w:val="center"/>
              <w:rPr>
                <w:rFonts w:ascii="Arial Narrow" w:eastAsia="Calibri" w:hAnsi="Arial Narrow" w:cs="Arial"/>
                <w:b/>
                <w:sz w:val="20"/>
                <w:szCs w:val="20"/>
              </w:rPr>
            </w:pPr>
            <w:r w:rsidRPr="00AE07CE">
              <w:rPr>
                <w:rFonts w:ascii="Arial Narrow" w:eastAsia="Calibri" w:hAnsi="Arial Narrow" w:cs="Arial"/>
                <w:b/>
                <w:sz w:val="20"/>
                <w:szCs w:val="20"/>
              </w:rPr>
              <w:t>Year 6</w:t>
            </w:r>
          </w:p>
        </w:tc>
      </w:tr>
      <w:tr w:rsidR="00434C3A" w:rsidRPr="00AE07CE" w:rsidTr="002C60CD">
        <w:tc>
          <w:tcPr>
            <w:tcW w:w="5000" w:type="pct"/>
            <w:gridSpan w:val="7"/>
            <w:shd w:val="clear" w:color="auto" w:fill="auto"/>
            <w:vAlign w:val="center"/>
          </w:tcPr>
          <w:p w:rsidR="00434C3A" w:rsidRPr="00AE07CE" w:rsidRDefault="00434C3A" w:rsidP="002C60CD">
            <w:pPr>
              <w:keepNext/>
              <w:spacing w:before="40" w:after="40"/>
              <w:rPr>
                <w:rFonts w:ascii="Arial Narrow" w:eastAsia="Calibri" w:hAnsi="Arial Narrow" w:cs="Arial"/>
                <w:b/>
                <w:bCs/>
                <w:color w:val="000000"/>
                <w:sz w:val="20"/>
                <w:szCs w:val="20"/>
              </w:rPr>
            </w:pPr>
            <w:r w:rsidRPr="00AE07CE">
              <w:rPr>
                <w:rFonts w:ascii="Arial Narrow" w:eastAsia="Calibri" w:hAnsi="Arial Narrow" w:cs="Arial"/>
                <w:b/>
                <w:bCs/>
                <w:color w:val="000000"/>
                <w:sz w:val="20"/>
                <w:szCs w:val="20"/>
              </w:rPr>
              <w:t>Estimated extent of use</w:t>
            </w:r>
          </w:p>
        </w:tc>
      </w:tr>
      <w:tr w:rsidR="00A66F50" w:rsidRPr="00AE07CE" w:rsidTr="00935C2B">
        <w:tc>
          <w:tcPr>
            <w:tcW w:w="1116" w:type="pct"/>
            <w:shd w:val="clear" w:color="auto" w:fill="auto"/>
            <w:vAlign w:val="center"/>
          </w:tcPr>
          <w:p w:rsidR="00A66F50" w:rsidRPr="00AE07CE" w:rsidRDefault="00A66F50" w:rsidP="00400077">
            <w:pPr>
              <w:keepNext/>
              <w:spacing w:before="40" w:after="40"/>
              <w:rPr>
                <w:rFonts w:ascii="Arial Narrow" w:hAnsi="Arial Narrow" w:cs="Calibri"/>
                <w:sz w:val="20"/>
                <w:szCs w:val="20"/>
              </w:rPr>
            </w:pPr>
            <w:r w:rsidRPr="00AE07CE">
              <w:rPr>
                <w:rFonts w:ascii="Arial Narrow" w:hAnsi="Arial Narrow" w:cs="Calibri"/>
                <w:sz w:val="20"/>
                <w:szCs w:val="20"/>
              </w:rPr>
              <w:t xml:space="preserve">Number of patients with brain cancer </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9" w:type="pct"/>
            <w:tcBorders>
              <w:top w:val="single" w:sz="4" w:space="0" w:color="auto"/>
              <w:left w:val="single" w:sz="6" w:space="0" w:color="auto"/>
              <w:bottom w:val="single" w:sz="4" w:space="0" w:color="auto"/>
              <w:right w:val="single" w:sz="6" w:space="0" w:color="auto"/>
            </w:tcBorders>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r w:rsidR="00A66F50" w:rsidRPr="00AE07CE" w:rsidTr="00935C2B">
        <w:tc>
          <w:tcPr>
            <w:tcW w:w="1116" w:type="pct"/>
            <w:shd w:val="clear" w:color="auto" w:fill="auto"/>
            <w:vAlign w:val="center"/>
          </w:tcPr>
          <w:p w:rsidR="00A66F50" w:rsidRPr="00AE07CE" w:rsidRDefault="00A66F50" w:rsidP="00400077">
            <w:pPr>
              <w:keepNext/>
              <w:spacing w:before="40" w:after="40"/>
              <w:rPr>
                <w:rFonts w:ascii="Arial Narrow" w:hAnsi="Arial Narrow" w:cs="Calibri"/>
                <w:sz w:val="20"/>
                <w:szCs w:val="20"/>
              </w:rPr>
            </w:pPr>
            <w:r w:rsidRPr="00AE07CE">
              <w:rPr>
                <w:rFonts w:ascii="Arial Narrow" w:hAnsi="Arial Narrow" w:cs="Calibri"/>
                <w:sz w:val="20"/>
                <w:szCs w:val="20"/>
              </w:rPr>
              <w:t>Number of patients with glioblastoma</w:t>
            </w:r>
            <w:r w:rsidR="00400077" w:rsidRPr="00AE07CE">
              <w:rPr>
                <w:rFonts w:ascii="Arial Narrow" w:hAnsi="Arial Narrow" w:cs="Calibri"/>
                <w:sz w:val="20"/>
                <w:szCs w:val="20"/>
              </w:rPr>
              <w:t xml:space="preserve"> (70% x 52%)</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tcBorders>
              <w:top w:val="single" w:sz="4" w:space="0" w:color="auto"/>
              <w:left w:val="single" w:sz="6" w:space="0" w:color="auto"/>
              <w:bottom w:val="single" w:sz="4" w:space="0" w:color="auto"/>
              <w:right w:val="single" w:sz="6" w:space="0" w:color="auto"/>
            </w:tcBorders>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9" w:type="pct"/>
            <w:tcBorders>
              <w:top w:val="single" w:sz="4" w:space="0" w:color="auto"/>
              <w:left w:val="single" w:sz="6" w:space="0" w:color="auto"/>
              <w:bottom w:val="single" w:sz="4" w:space="0" w:color="auto"/>
              <w:right w:val="single" w:sz="6" w:space="0" w:color="auto"/>
            </w:tcBorders>
          </w:tcPr>
          <w:p w:rsidR="00A66F50"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hAnsi="Arial Narrow" w:cs="Calibri"/>
                <w:sz w:val="20"/>
                <w:szCs w:val="20"/>
              </w:rPr>
            </w:pPr>
            <w:r w:rsidRPr="00AE07CE">
              <w:rPr>
                <w:rFonts w:ascii="Arial Narrow" w:hAnsi="Arial Narrow" w:cs="Calibri"/>
                <w:sz w:val="20"/>
                <w:szCs w:val="20"/>
              </w:rPr>
              <w:t xml:space="preserve">Number of patients eligible for </w:t>
            </w:r>
            <w:r w:rsidRPr="00373B5B">
              <w:rPr>
                <w:rFonts w:ascii="Arial Narrow" w:hAnsi="Arial Narrow" w:cs="Calibri"/>
                <w:sz w:val="20"/>
                <w:szCs w:val="20"/>
              </w:rPr>
              <w:t>bevacizumab (</w:t>
            </w:r>
            <w:proofErr w:type="gramStart"/>
            <w:r w:rsidR="00E454F3">
              <w:rPr>
                <w:rFonts w:ascii="Arial Narrow" w:hAnsi="Arial Narrow" w:cs="Calibri"/>
                <w:noProof/>
                <w:color w:val="000000"/>
                <w:sz w:val="20"/>
                <w:szCs w:val="20"/>
                <w:highlight w:val="black"/>
              </w:rPr>
              <w:t>''''''</w:t>
            </w:r>
            <w:r w:rsidR="00D8135C" w:rsidRPr="00373B5B">
              <w:rPr>
                <w:rFonts w:ascii="Arial Narrow" w:hAnsi="Arial Narrow" w:cs="Calibri"/>
                <w:sz w:val="20"/>
                <w:szCs w:val="20"/>
              </w:rPr>
              <w:t>%</w:t>
            </w:r>
            <w:proofErr w:type="gramEnd"/>
            <w:r w:rsidRPr="00373B5B">
              <w:rPr>
                <w:rFonts w:ascii="Arial Narrow" w:hAnsi="Arial Narrow" w:cs="Calibri"/>
                <w:sz w:val="20"/>
                <w:szCs w:val="20"/>
              </w:rPr>
              <w:t>)</w:t>
            </w:r>
          </w:p>
        </w:tc>
        <w:tc>
          <w:tcPr>
            <w:tcW w:w="647" w:type="pct"/>
            <w:shd w:val="clear" w:color="auto" w:fill="auto"/>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c>
          <w:tcPr>
            <w:tcW w:w="649" w:type="pct"/>
            <w:vAlign w:val="center"/>
          </w:tcPr>
          <w:p w:rsidR="00400077" w:rsidRPr="00E454F3" w:rsidRDefault="00E454F3" w:rsidP="00400077">
            <w:pPr>
              <w:keepNext/>
              <w:spacing w:before="40" w:after="40"/>
              <w:jc w:val="center"/>
              <w:rPr>
                <w:rFonts w:ascii="Arial Narrow" w:hAnsi="Arial Narrow" w:cs="Calibri"/>
                <w:sz w:val="20"/>
                <w:szCs w:val="20"/>
                <w:highlight w:val="black"/>
              </w:rPr>
            </w:pPr>
            <w:r>
              <w:rPr>
                <w:rFonts w:ascii="Arial Narrow" w:hAnsi="Arial Narrow" w:cs="Calibri"/>
                <w:noProof/>
                <w:color w:val="000000"/>
                <w:sz w:val="20"/>
                <w:szCs w:val="20"/>
                <w:highlight w:val="black"/>
              </w:rPr>
              <w:t>''''''''''</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hAnsi="Arial Narrow"/>
                <w:sz w:val="20"/>
                <w:szCs w:val="20"/>
              </w:rPr>
            </w:pPr>
            <w:r w:rsidRPr="00AE07CE">
              <w:rPr>
                <w:rFonts w:ascii="Arial Narrow" w:eastAsia="Calibri" w:hAnsi="Arial Narrow" w:cs="Arial"/>
                <w:sz w:val="20"/>
                <w:szCs w:val="20"/>
              </w:rPr>
              <w:t>Number of patients treated</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9" w:type="pct"/>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hAnsi="Arial Narrow"/>
                <w:sz w:val="20"/>
                <w:szCs w:val="20"/>
              </w:rPr>
            </w:pPr>
            <w:r w:rsidRPr="00AE07CE">
              <w:rPr>
                <w:rFonts w:ascii="Arial Narrow" w:eastAsia="Calibri" w:hAnsi="Arial Narrow" w:cs="Arial"/>
                <w:sz w:val="20"/>
                <w:szCs w:val="20"/>
              </w:rPr>
              <w:t xml:space="preserve">Number of scripts dispensed PBS/RPBS </w:t>
            </w:r>
            <w:r w:rsidRPr="00AE07CE">
              <w:rPr>
                <w:rFonts w:ascii="Arial Narrow" w:eastAsia="Calibri" w:hAnsi="Arial Narrow" w:cs="Arial"/>
                <w:sz w:val="20"/>
                <w:szCs w:val="20"/>
                <w:vertAlign w:val="superscript"/>
              </w:rPr>
              <w:t>a</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7" w:type="pct"/>
            <w:shd w:val="clear" w:color="auto" w:fill="auto"/>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c>
          <w:tcPr>
            <w:tcW w:w="649" w:type="pct"/>
            <w:vAlign w:val="center"/>
          </w:tcPr>
          <w:p w:rsidR="00400077" w:rsidRPr="00E454F3" w:rsidRDefault="00E454F3" w:rsidP="00400077">
            <w:pPr>
              <w:keepNext/>
              <w:spacing w:before="40" w:after="40"/>
              <w:jc w:val="center"/>
              <w:rPr>
                <w:rFonts w:ascii="Arial Narrow" w:eastAsia="Calibri" w:hAnsi="Arial Narrow" w:cs="Arial"/>
                <w:bCs/>
                <w:color w:val="000000"/>
                <w:sz w:val="20"/>
                <w:szCs w:val="20"/>
                <w:highlight w:val="black"/>
              </w:rPr>
            </w:pPr>
            <w:r>
              <w:rPr>
                <w:rFonts w:ascii="Arial Narrow" w:hAnsi="Arial Narrow" w:cs="Calibri"/>
                <w:noProof/>
                <w:color w:val="000000"/>
                <w:sz w:val="20"/>
                <w:szCs w:val="20"/>
                <w:highlight w:val="black"/>
              </w:rPr>
              <w:t>''''''''''''''</w:t>
            </w:r>
          </w:p>
        </w:tc>
      </w:tr>
      <w:tr w:rsidR="00400077" w:rsidRPr="00AE07CE" w:rsidTr="002C60CD">
        <w:tc>
          <w:tcPr>
            <w:tcW w:w="5000" w:type="pct"/>
            <w:gridSpan w:val="7"/>
            <w:shd w:val="clear" w:color="auto" w:fill="auto"/>
            <w:vAlign w:val="center"/>
          </w:tcPr>
          <w:p w:rsidR="00400077" w:rsidRPr="00AE07CE" w:rsidRDefault="00400077" w:rsidP="00400077">
            <w:pPr>
              <w:keepNext/>
              <w:spacing w:before="40" w:after="40"/>
              <w:rPr>
                <w:rFonts w:ascii="Arial Narrow" w:eastAsia="Calibri" w:hAnsi="Arial Narrow" w:cs="Arial"/>
                <w:b/>
                <w:bCs/>
                <w:color w:val="000000"/>
                <w:sz w:val="20"/>
                <w:szCs w:val="20"/>
              </w:rPr>
            </w:pPr>
            <w:r w:rsidRPr="00AE07CE">
              <w:rPr>
                <w:rFonts w:ascii="Arial Narrow" w:eastAsia="Calibri" w:hAnsi="Arial Narrow" w:cs="Arial"/>
                <w:b/>
                <w:bCs/>
                <w:color w:val="000000"/>
                <w:sz w:val="20"/>
                <w:szCs w:val="20"/>
              </w:rPr>
              <w:t xml:space="preserve">Estimated financial implications of </w:t>
            </w:r>
            <w:r w:rsidR="00F4180B" w:rsidRPr="00011759">
              <w:rPr>
                <w:rFonts w:ascii="Arial Narrow" w:eastAsia="Calibri" w:hAnsi="Arial Narrow" w:cs="Arial"/>
                <w:b/>
                <w:bCs/>
                <w:color w:val="000000"/>
                <w:sz w:val="20"/>
                <w:szCs w:val="20"/>
              </w:rPr>
              <w:t>bevacizumab</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eastAsia="Calibri" w:hAnsi="Arial Narrow" w:cs="Arial"/>
                <w:b/>
                <w:sz w:val="20"/>
                <w:szCs w:val="20"/>
              </w:rPr>
            </w:pPr>
            <w:r w:rsidRPr="00AE07CE">
              <w:rPr>
                <w:rFonts w:ascii="Arial Narrow" w:eastAsia="Calibri" w:hAnsi="Arial Narrow" w:cs="Arial"/>
                <w:b/>
                <w:sz w:val="20"/>
                <w:szCs w:val="20"/>
              </w:rPr>
              <w:t xml:space="preserve">Cost to PBS/RPBS less </w:t>
            </w:r>
            <w:proofErr w:type="spellStart"/>
            <w:r w:rsidRPr="00AE07CE">
              <w:rPr>
                <w:rFonts w:ascii="Arial Narrow" w:eastAsia="Calibri" w:hAnsi="Arial Narrow" w:cs="Arial"/>
                <w:b/>
                <w:sz w:val="20"/>
                <w:szCs w:val="20"/>
              </w:rPr>
              <w:t>copayments</w:t>
            </w:r>
            <w:proofErr w:type="spellEnd"/>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c>
          <w:tcPr>
            <w:tcW w:w="649" w:type="pct"/>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sz w:val="20"/>
                <w:szCs w:val="20"/>
              </w:rPr>
              <w:t>$</w:t>
            </w:r>
            <w:r w:rsidR="00E454F3">
              <w:rPr>
                <w:rFonts w:ascii="Arial Narrow" w:hAnsi="Arial Narrow" w:cs="Calibri"/>
                <w:b/>
                <w:noProof/>
                <w:color w:val="000000"/>
                <w:sz w:val="20"/>
                <w:szCs w:val="20"/>
                <w:highlight w:val="black"/>
              </w:rPr>
              <w:t>''''''''''''''''''''</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hAnsi="Arial Narrow"/>
                <w:sz w:val="20"/>
                <w:szCs w:val="20"/>
              </w:rPr>
            </w:pPr>
            <w:r w:rsidRPr="00AE07CE">
              <w:rPr>
                <w:rFonts w:ascii="Arial Narrow" w:eastAsia="Calibri" w:hAnsi="Arial Narrow" w:cs="Arial"/>
                <w:sz w:val="20"/>
                <w:szCs w:val="20"/>
              </w:rPr>
              <w:t>Net cost to MBS</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c>
          <w:tcPr>
            <w:tcW w:w="649" w:type="pct"/>
            <w:vAlign w:val="center"/>
          </w:tcPr>
          <w:p w:rsidR="00400077" w:rsidRPr="00AE07CE" w:rsidRDefault="00400077" w:rsidP="00400077">
            <w:pPr>
              <w:keepNext/>
              <w:spacing w:before="40" w:after="40"/>
              <w:jc w:val="center"/>
              <w:rPr>
                <w:rFonts w:ascii="Arial Narrow" w:eastAsia="Calibri" w:hAnsi="Arial Narrow" w:cs="Arial"/>
                <w:bCs/>
                <w:color w:val="000000"/>
                <w:sz w:val="20"/>
                <w:szCs w:val="20"/>
              </w:rPr>
            </w:pPr>
            <w:r w:rsidRPr="00AE07CE">
              <w:rPr>
                <w:rFonts w:ascii="Arial Narrow" w:hAnsi="Arial Narrow" w:cs="Calibri"/>
                <w:sz w:val="20"/>
                <w:szCs w:val="20"/>
              </w:rPr>
              <w:t>$</w:t>
            </w:r>
            <w:r w:rsidR="00E454F3">
              <w:rPr>
                <w:rFonts w:ascii="Arial Narrow" w:hAnsi="Arial Narrow" w:cs="Calibri"/>
                <w:noProof/>
                <w:color w:val="000000"/>
                <w:sz w:val="20"/>
                <w:szCs w:val="20"/>
                <w:highlight w:val="black"/>
              </w:rPr>
              <w:t>''''''''''''''''''''</w:t>
            </w:r>
          </w:p>
        </w:tc>
      </w:tr>
      <w:tr w:rsidR="00400077" w:rsidRPr="00AE07CE" w:rsidTr="002C60CD">
        <w:tc>
          <w:tcPr>
            <w:tcW w:w="1116" w:type="pct"/>
            <w:shd w:val="clear" w:color="auto" w:fill="auto"/>
            <w:vAlign w:val="center"/>
          </w:tcPr>
          <w:p w:rsidR="00400077" w:rsidRPr="00AE07CE" w:rsidRDefault="00400077" w:rsidP="00400077">
            <w:pPr>
              <w:keepNext/>
              <w:spacing w:before="40" w:after="40"/>
              <w:rPr>
                <w:rFonts w:ascii="Arial Narrow" w:eastAsia="Calibri" w:hAnsi="Arial Narrow" w:cs="Arial"/>
                <w:b/>
                <w:sz w:val="20"/>
                <w:szCs w:val="20"/>
              </w:rPr>
            </w:pPr>
            <w:r w:rsidRPr="00AE07CE">
              <w:rPr>
                <w:rFonts w:ascii="Arial Narrow" w:eastAsia="Calibri" w:hAnsi="Arial Narrow" w:cs="Arial"/>
                <w:b/>
                <w:sz w:val="20"/>
                <w:szCs w:val="20"/>
              </w:rPr>
              <w:t>Net cost to PBS/RPBS/MBS</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c>
          <w:tcPr>
            <w:tcW w:w="647" w:type="pct"/>
            <w:shd w:val="clear" w:color="auto" w:fill="auto"/>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c>
          <w:tcPr>
            <w:tcW w:w="649" w:type="pct"/>
            <w:vAlign w:val="center"/>
          </w:tcPr>
          <w:p w:rsidR="00400077" w:rsidRPr="00AE07CE" w:rsidRDefault="00400077" w:rsidP="00400077">
            <w:pPr>
              <w:keepNext/>
              <w:spacing w:before="40" w:after="40"/>
              <w:jc w:val="center"/>
              <w:rPr>
                <w:rFonts w:ascii="Arial Narrow" w:eastAsia="Calibri" w:hAnsi="Arial Narrow" w:cs="Arial"/>
                <w:b/>
                <w:bCs/>
                <w:color w:val="000000"/>
                <w:sz w:val="20"/>
                <w:szCs w:val="20"/>
              </w:rPr>
            </w:pPr>
            <w:r w:rsidRPr="00AE07CE">
              <w:rPr>
                <w:rFonts w:ascii="Arial Narrow" w:hAnsi="Arial Narrow" w:cs="Calibri"/>
                <w:b/>
                <w:bCs/>
                <w:sz w:val="20"/>
                <w:szCs w:val="20"/>
              </w:rPr>
              <w:t>$</w:t>
            </w:r>
            <w:r w:rsidR="00E454F3">
              <w:rPr>
                <w:rFonts w:ascii="Arial Narrow" w:hAnsi="Arial Narrow" w:cs="Calibri"/>
                <w:b/>
                <w:bCs/>
                <w:noProof/>
                <w:color w:val="000000"/>
                <w:sz w:val="20"/>
                <w:szCs w:val="20"/>
                <w:highlight w:val="black"/>
              </w:rPr>
              <w:t>''''''''''''''''''</w:t>
            </w:r>
          </w:p>
        </w:tc>
      </w:tr>
    </w:tbl>
    <w:p w:rsidR="00434C3A" w:rsidRPr="00AE07CE" w:rsidRDefault="00434C3A" w:rsidP="00434C3A">
      <w:pPr>
        <w:spacing w:after="120"/>
        <w:contextualSpacing/>
        <w:rPr>
          <w:rFonts w:ascii="Arial Narrow" w:hAnsi="Arial Narrow" w:cs="Arial"/>
          <w:sz w:val="18"/>
        </w:rPr>
      </w:pPr>
      <w:proofErr w:type="spellStart"/>
      <w:proofErr w:type="gramStart"/>
      <w:r w:rsidRPr="00AE07CE">
        <w:rPr>
          <w:rFonts w:ascii="Arial Narrow" w:hAnsi="Arial Narrow" w:cs="Arial"/>
          <w:sz w:val="18"/>
          <w:vertAlign w:val="superscript"/>
        </w:rPr>
        <w:t>a</w:t>
      </w:r>
      <w:proofErr w:type="spellEnd"/>
      <w:proofErr w:type="gramEnd"/>
      <w:r w:rsidRPr="00AE07CE">
        <w:rPr>
          <w:rFonts w:ascii="Arial Narrow" w:hAnsi="Arial Narrow" w:cs="Arial"/>
          <w:sz w:val="18"/>
        </w:rPr>
        <w:t xml:space="preserve"> </w:t>
      </w:r>
      <w:r w:rsidRPr="00373B5B">
        <w:rPr>
          <w:rFonts w:ascii="Arial Narrow" w:hAnsi="Arial Narrow" w:cs="Arial"/>
          <w:sz w:val="18"/>
        </w:rPr>
        <w:t xml:space="preserve">Assuming </w:t>
      </w:r>
      <w:r w:rsidR="00F4180B" w:rsidRPr="00373B5B">
        <w:rPr>
          <w:rFonts w:ascii="Arial Narrow" w:hAnsi="Arial Narrow" w:cs="Arial"/>
          <w:sz w:val="18"/>
        </w:rPr>
        <w:t>11</w:t>
      </w:r>
      <w:r w:rsidR="00A66F50" w:rsidRPr="00373B5B">
        <w:rPr>
          <w:rFonts w:ascii="Arial Narrow" w:hAnsi="Arial Narrow" w:cs="Arial"/>
          <w:sz w:val="18"/>
        </w:rPr>
        <w:t xml:space="preserve"> scripts per patient</w:t>
      </w:r>
      <w:r w:rsidR="00A66F50" w:rsidRPr="00AE07CE">
        <w:rPr>
          <w:rFonts w:ascii="Arial Narrow" w:hAnsi="Arial Narrow" w:cs="Arial"/>
          <w:sz w:val="18"/>
        </w:rPr>
        <w:t xml:space="preserve">, based on the mean duration of treatment in the Patient Access </w:t>
      </w:r>
      <w:r w:rsidR="00A66F50" w:rsidRPr="00373B5B">
        <w:rPr>
          <w:rFonts w:ascii="Arial Narrow" w:hAnsi="Arial Narrow" w:cs="Arial"/>
          <w:sz w:val="18"/>
        </w:rPr>
        <w:t xml:space="preserve">Program of </w:t>
      </w:r>
      <w:r w:rsidR="00E454F3">
        <w:rPr>
          <w:rFonts w:ascii="Arial Narrow" w:hAnsi="Arial Narrow" w:cs="Arial"/>
          <w:noProof/>
          <w:color w:val="000000"/>
          <w:sz w:val="18"/>
          <w:highlight w:val="black"/>
        </w:rPr>
        <w:t>'''''''</w:t>
      </w:r>
      <w:r w:rsidR="00F4180B" w:rsidRPr="00373B5B">
        <w:rPr>
          <w:rFonts w:ascii="Arial Narrow" w:hAnsi="Arial Narrow" w:cs="Arial"/>
          <w:sz w:val="18"/>
        </w:rPr>
        <w:t xml:space="preserve"> </w:t>
      </w:r>
      <w:r w:rsidR="00A66F50" w:rsidRPr="00373B5B">
        <w:rPr>
          <w:rFonts w:ascii="Arial Narrow" w:hAnsi="Arial Narrow" w:cs="Arial"/>
          <w:sz w:val="18"/>
        </w:rPr>
        <w:t>months (and</w:t>
      </w:r>
      <w:r w:rsidR="00A66F50" w:rsidRPr="00AE07CE">
        <w:rPr>
          <w:rFonts w:ascii="Arial Narrow" w:hAnsi="Arial Narrow" w:cs="Arial"/>
          <w:sz w:val="18"/>
        </w:rPr>
        <w:t xml:space="preserve"> one dose every two weeks)</w:t>
      </w:r>
    </w:p>
    <w:p w:rsidR="00434C3A" w:rsidRPr="00AE07CE" w:rsidRDefault="00434C3A" w:rsidP="00434C3A">
      <w:pPr>
        <w:spacing w:after="120"/>
        <w:contextualSpacing/>
        <w:rPr>
          <w:rFonts w:ascii="Arial Narrow" w:hAnsi="Arial Narrow" w:cs="Arial"/>
          <w:sz w:val="18"/>
        </w:rPr>
      </w:pPr>
      <w:r w:rsidRPr="00AE07CE">
        <w:rPr>
          <w:rFonts w:ascii="Arial Narrow" w:hAnsi="Arial Narrow" w:cs="Arial"/>
          <w:sz w:val="18"/>
        </w:rPr>
        <w:t xml:space="preserve">Source: Table 5, p11 of the minor submission and Section 4 workbook ‘Background and Assumptions’ ‘Epidemiology and Patient Number’ ‘Net cost of drug to PBS/RPBS’ ‘Cost to </w:t>
      </w:r>
      <w:proofErr w:type="spellStart"/>
      <w:r w:rsidRPr="00AE07CE">
        <w:rPr>
          <w:rFonts w:ascii="Arial Narrow" w:hAnsi="Arial Narrow" w:cs="Arial"/>
          <w:sz w:val="18"/>
        </w:rPr>
        <w:t>Govt</w:t>
      </w:r>
      <w:proofErr w:type="spellEnd"/>
      <w:r w:rsidRPr="00AE07CE">
        <w:rPr>
          <w:rFonts w:ascii="Arial Narrow" w:hAnsi="Arial Narrow" w:cs="Arial"/>
          <w:sz w:val="18"/>
        </w:rPr>
        <w:t xml:space="preserve"> for MBS’ ‘Net cost of drug to Government’</w:t>
      </w:r>
    </w:p>
    <w:p w:rsidR="002270BD" w:rsidRPr="00AE07CE" w:rsidRDefault="002270BD" w:rsidP="00E752A8">
      <w:pPr>
        <w:pStyle w:val="ListParagraph"/>
        <w:widowControl/>
        <w:numPr>
          <w:ilvl w:val="1"/>
          <w:numId w:val="5"/>
        </w:numPr>
        <w:spacing w:before="120" w:after="120"/>
        <w:ind w:left="7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4"/>
        </w:rPr>
        <w:t>The</w:t>
      </w:r>
      <w:r w:rsidRPr="00AE07CE">
        <w:rPr>
          <w:rFonts w:asciiTheme="minorHAnsi" w:eastAsiaTheme="minorHAnsi" w:hAnsiTheme="minorHAnsi" w:cstheme="minorBidi"/>
          <w:snapToGrid/>
          <w:sz w:val="24"/>
          <w:szCs w:val="22"/>
        </w:rPr>
        <w:t xml:space="preserve"> minor submission estimated a net cost to the PBS/RPBS of </w:t>
      </w:r>
      <w:r w:rsidR="000A2726">
        <w:rPr>
          <w:rFonts w:asciiTheme="minorHAnsi" w:eastAsiaTheme="minorHAnsi" w:hAnsiTheme="minorHAnsi" w:cstheme="minorBidi"/>
          <w:snapToGrid/>
          <w:sz w:val="24"/>
          <w:szCs w:val="22"/>
        </w:rPr>
        <w:t xml:space="preserve">less than </w:t>
      </w:r>
      <w:r w:rsidRPr="00AE07CE">
        <w:rPr>
          <w:rFonts w:asciiTheme="minorHAnsi" w:eastAsiaTheme="minorHAnsi" w:hAnsiTheme="minorHAnsi" w:cstheme="minorBidi"/>
          <w:snapToGrid/>
          <w:sz w:val="24"/>
          <w:szCs w:val="22"/>
        </w:rPr>
        <w:t>$</w:t>
      </w:r>
      <w:r w:rsidR="000A2726">
        <w:rPr>
          <w:rFonts w:asciiTheme="minorHAnsi" w:eastAsiaTheme="minorHAnsi" w:hAnsiTheme="minorHAnsi" w:cstheme="minorBidi"/>
          <w:snapToGrid/>
          <w:sz w:val="24"/>
          <w:szCs w:val="22"/>
        </w:rPr>
        <w:t>10</w:t>
      </w:r>
      <w:r w:rsidR="009C6FF4" w:rsidRPr="00AE07CE">
        <w:rPr>
          <w:rFonts w:asciiTheme="minorHAnsi" w:eastAsiaTheme="minorHAnsi" w:hAnsiTheme="minorHAnsi" w:cstheme="minorBidi"/>
          <w:snapToGrid/>
          <w:sz w:val="24"/>
          <w:szCs w:val="22"/>
        </w:rPr>
        <w:t xml:space="preserve"> million </w:t>
      </w:r>
      <w:r w:rsidRPr="00AE07CE">
        <w:rPr>
          <w:rFonts w:asciiTheme="minorHAnsi" w:eastAsiaTheme="minorHAnsi" w:hAnsiTheme="minorHAnsi" w:cstheme="minorBidi"/>
          <w:snapToGrid/>
          <w:sz w:val="24"/>
          <w:szCs w:val="22"/>
        </w:rPr>
        <w:t>in Year 6 of listing, with a total net cost to the PBS/RPBS of $</w:t>
      </w:r>
      <w:r w:rsidR="000A2726">
        <w:rPr>
          <w:rFonts w:asciiTheme="minorHAnsi" w:eastAsiaTheme="minorHAnsi" w:hAnsiTheme="minorHAnsi" w:cstheme="minorBidi"/>
          <w:snapToGrid/>
          <w:sz w:val="24"/>
          <w:szCs w:val="22"/>
        </w:rPr>
        <w:t>30 to $60</w:t>
      </w:r>
      <w:r w:rsidR="009C6FF4" w:rsidRPr="00AE07CE">
        <w:rPr>
          <w:rFonts w:asciiTheme="minorHAnsi" w:eastAsiaTheme="minorHAnsi" w:hAnsiTheme="minorHAnsi" w:cstheme="minorBidi"/>
          <w:snapToGrid/>
          <w:sz w:val="24"/>
          <w:szCs w:val="22"/>
        </w:rPr>
        <w:t xml:space="preserve"> million</w:t>
      </w:r>
      <w:r w:rsidRPr="00AE07CE">
        <w:rPr>
          <w:rFonts w:asciiTheme="minorHAnsi" w:eastAsiaTheme="minorHAnsi" w:hAnsiTheme="minorHAnsi" w:cstheme="minorBidi"/>
          <w:snapToGrid/>
          <w:sz w:val="24"/>
          <w:szCs w:val="22"/>
        </w:rPr>
        <w:t xml:space="preserve"> over the first 6 years of listing. </w:t>
      </w:r>
    </w:p>
    <w:p w:rsidR="00CE23CD" w:rsidRPr="00AE07CE" w:rsidRDefault="00CE23CD" w:rsidP="00E752A8">
      <w:pPr>
        <w:pStyle w:val="ListParagraph"/>
        <w:widowControl/>
        <w:numPr>
          <w:ilvl w:val="1"/>
          <w:numId w:val="5"/>
        </w:numPr>
        <w:spacing w:before="120" w:after="120"/>
        <w:ind w:left="720"/>
        <w:contextualSpacing w:val="0"/>
        <w:rPr>
          <w:rFonts w:asciiTheme="minorHAnsi" w:eastAsiaTheme="minorHAnsi" w:hAnsiTheme="minorHAnsi" w:cstheme="minorBidi"/>
          <w:sz w:val="24"/>
          <w:szCs w:val="24"/>
        </w:rPr>
      </w:pPr>
      <w:r w:rsidRPr="00AE07CE">
        <w:rPr>
          <w:rFonts w:asciiTheme="minorHAnsi" w:eastAsiaTheme="minorHAnsi" w:hAnsiTheme="minorHAnsi" w:cstheme="minorBidi"/>
          <w:sz w:val="24"/>
          <w:szCs w:val="24"/>
        </w:rPr>
        <w:t xml:space="preserve">The minor submission estimated that around </w:t>
      </w:r>
      <w:r w:rsidR="000A2726">
        <w:rPr>
          <w:rFonts w:asciiTheme="minorHAnsi" w:eastAsiaTheme="minorHAnsi" w:hAnsiTheme="minorHAnsi" w:cstheme="minorBidi"/>
          <w:sz w:val="24"/>
          <w:szCs w:val="24"/>
        </w:rPr>
        <w:t>less than 10,000</w:t>
      </w:r>
      <w:r w:rsidR="000A2726" w:rsidRPr="00AE07CE">
        <w:rPr>
          <w:rFonts w:asciiTheme="minorHAnsi" w:eastAsiaTheme="minorHAnsi" w:hAnsiTheme="minorHAnsi" w:cstheme="minorBidi"/>
          <w:sz w:val="24"/>
          <w:szCs w:val="24"/>
        </w:rPr>
        <w:t xml:space="preserve"> </w:t>
      </w:r>
      <w:r w:rsidRPr="00AE07CE">
        <w:rPr>
          <w:rFonts w:asciiTheme="minorHAnsi" w:eastAsiaTheme="minorHAnsi" w:hAnsiTheme="minorHAnsi" w:cstheme="minorBidi"/>
          <w:sz w:val="24"/>
          <w:szCs w:val="24"/>
        </w:rPr>
        <w:t xml:space="preserve">patients would be treated per </w:t>
      </w:r>
      <w:r w:rsidRPr="00AE07CE">
        <w:rPr>
          <w:rFonts w:asciiTheme="minorHAnsi" w:eastAsiaTheme="minorHAnsi" w:hAnsiTheme="minorHAnsi" w:cstheme="minorBidi"/>
          <w:snapToGrid/>
          <w:sz w:val="24"/>
          <w:szCs w:val="24"/>
        </w:rPr>
        <w:t xml:space="preserve">year in Years 2 to </w:t>
      </w:r>
      <w:proofErr w:type="gramStart"/>
      <w:r w:rsidRPr="00AE07CE">
        <w:rPr>
          <w:rFonts w:asciiTheme="minorHAnsi" w:eastAsiaTheme="minorHAnsi" w:hAnsiTheme="minorHAnsi" w:cstheme="minorBidi"/>
          <w:snapToGrid/>
          <w:sz w:val="24"/>
          <w:szCs w:val="24"/>
        </w:rPr>
        <w:t>6</w:t>
      </w:r>
      <w:proofErr w:type="gramEnd"/>
      <w:r w:rsidRPr="00AE07CE">
        <w:rPr>
          <w:rFonts w:asciiTheme="minorHAnsi" w:eastAsiaTheme="minorHAnsi" w:hAnsiTheme="minorHAnsi" w:cstheme="minorBidi"/>
          <w:snapToGrid/>
          <w:sz w:val="24"/>
          <w:szCs w:val="24"/>
        </w:rPr>
        <w:t xml:space="preserve">. </w:t>
      </w:r>
      <w:r w:rsidR="001B740E" w:rsidRPr="00AE07CE">
        <w:rPr>
          <w:rFonts w:asciiTheme="minorHAnsi" w:eastAsiaTheme="minorHAnsi" w:hAnsiTheme="minorHAnsi" w:cstheme="minorBidi"/>
          <w:snapToGrid/>
          <w:sz w:val="24"/>
          <w:szCs w:val="24"/>
        </w:rPr>
        <w:t xml:space="preserve">It is noted that </w:t>
      </w:r>
      <w:r w:rsidR="009A19B8" w:rsidRPr="00AE07CE">
        <w:rPr>
          <w:rFonts w:asciiTheme="minorHAnsi" w:eastAsiaTheme="minorHAnsi" w:hAnsiTheme="minorHAnsi" w:cstheme="minorBidi"/>
          <w:snapToGrid/>
          <w:sz w:val="24"/>
          <w:szCs w:val="24"/>
        </w:rPr>
        <w:t>around</w:t>
      </w:r>
      <w:r w:rsidR="001B740E" w:rsidRPr="00AE07CE">
        <w:rPr>
          <w:rFonts w:asciiTheme="minorHAnsi" w:eastAsiaTheme="minorHAnsi" w:hAnsiTheme="minorHAnsi" w:cstheme="minorBidi"/>
          <w:snapToGrid/>
          <w:sz w:val="24"/>
          <w:szCs w:val="24"/>
        </w:rPr>
        <w:t xml:space="preserve"> </w:t>
      </w:r>
      <w:r w:rsidR="000A2726">
        <w:rPr>
          <w:rFonts w:asciiTheme="minorHAnsi" w:eastAsiaTheme="minorHAnsi" w:hAnsiTheme="minorHAnsi" w:cstheme="minorBidi"/>
          <w:snapToGrid/>
          <w:sz w:val="24"/>
          <w:szCs w:val="24"/>
        </w:rPr>
        <w:t>less than 10,000</w:t>
      </w:r>
      <w:r w:rsidR="000A2726" w:rsidRPr="00AE07CE">
        <w:rPr>
          <w:rFonts w:asciiTheme="minorHAnsi" w:eastAsiaTheme="minorHAnsi" w:hAnsiTheme="minorHAnsi" w:cstheme="minorBidi"/>
          <w:snapToGrid/>
          <w:sz w:val="24"/>
          <w:szCs w:val="24"/>
        </w:rPr>
        <w:t xml:space="preserve"> </w:t>
      </w:r>
      <w:r w:rsidR="001B740E" w:rsidRPr="00AE07CE">
        <w:rPr>
          <w:rFonts w:asciiTheme="minorHAnsi" w:eastAsiaTheme="minorHAnsi" w:hAnsiTheme="minorHAnsi" w:cstheme="minorBidi"/>
          <w:snapToGrid/>
          <w:sz w:val="24"/>
          <w:szCs w:val="24"/>
        </w:rPr>
        <w:t>new patients per year have</w:t>
      </w:r>
      <w:r w:rsidR="001B740E" w:rsidRPr="00AE07CE">
        <w:rPr>
          <w:rFonts w:asciiTheme="minorHAnsi" w:eastAsiaTheme="minorHAnsi" w:hAnsiTheme="minorHAnsi" w:cstheme="minorBidi"/>
          <w:sz w:val="24"/>
          <w:szCs w:val="24"/>
        </w:rPr>
        <w:t xml:space="preserve"> accessed bevacizumab through the Patient Access Program (</w:t>
      </w:r>
      <w:r w:rsidR="009A19B8" w:rsidRPr="00AE07CE">
        <w:rPr>
          <w:rFonts w:asciiTheme="minorHAnsi" w:eastAsiaTheme="minorHAnsi" w:hAnsiTheme="minorHAnsi" w:cstheme="minorBidi"/>
          <w:sz w:val="24"/>
          <w:szCs w:val="24"/>
        </w:rPr>
        <w:t xml:space="preserve">based on the </w:t>
      </w:r>
      <w:r w:rsidR="001B740E" w:rsidRPr="00AE07CE">
        <w:rPr>
          <w:rFonts w:asciiTheme="minorHAnsi" w:eastAsiaTheme="minorHAnsi" w:hAnsiTheme="minorHAnsi" w:cstheme="minorBidi"/>
          <w:sz w:val="24"/>
          <w:szCs w:val="24"/>
        </w:rPr>
        <w:t>average</w:t>
      </w:r>
      <w:r w:rsidR="009A19B8" w:rsidRPr="00AE07CE">
        <w:rPr>
          <w:rFonts w:asciiTheme="minorHAnsi" w:eastAsiaTheme="minorHAnsi" w:hAnsiTheme="minorHAnsi" w:cstheme="minorBidi"/>
          <w:sz w:val="24"/>
          <w:szCs w:val="24"/>
        </w:rPr>
        <w:t xml:space="preserve"> number of new patients each year</w:t>
      </w:r>
      <w:r w:rsidR="001B740E" w:rsidRPr="00AE07CE">
        <w:rPr>
          <w:rFonts w:asciiTheme="minorHAnsi" w:eastAsiaTheme="minorHAnsi" w:hAnsiTheme="minorHAnsi" w:cstheme="minorBidi"/>
          <w:sz w:val="24"/>
          <w:szCs w:val="24"/>
        </w:rPr>
        <w:t xml:space="preserve"> between 2014 and 2017), which would represent over 50% of the estimated treated population.</w:t>
      </w:r>
    </w:p>
    <w:p w:rsidR="00F10DC4" w:rsidRPr="00AE07CE" w:rsidRDefault="00F009E5" w:rsidP="00E752A8">
      <w:pPr>
        <w:pStyle w:val="ListParagraph"/>
        <w:widowControl/>
        <w:numPr>
          <w:ilvl w:val="1"/>
          <w:numId w:val="5"/>
        </w:numPr>
        <w:spacing w:before="120" w:after="120"/>
        <w:ind w:left="7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4"/>
        </w:rPr>
        <w:t xml:space="preserve">The </w:t>
      </w:r>
      <w:r w:rsidR="00F10DC4" w:rsidRPr="00AE07CE">
        <w:rPr>
          <w:rFonts w:asciiTheme="minorHAnsi" w:eastAsiaTheme="minorHAnsi" w:hAnsiTheme="minorHAnsi" w:cstheme="minorBidi"/>
          <w:snapToGrid/>
          <w:sz w:val="24"/>
          <w:szCs w:val="24"/>
        </w:rPr>
        <w:t>pre-PBAC response:</w:t>
      </w:r>
    </w:p>
    <w:p w:rsidR="00771918" w:rsidRPr="00AE07CE" w:rsidRDefault="00771918" w:rsidP="00E752A8">
      <w:pPr>
        <w:pStyle w:val="ListParagraph"/>
        <w:widowControl/>
        <w:numPr>
          <w:ilvl w:val="0"/>
          <w:numId w:val="40"/>
        </w:numPr>
        <w:spacing w:before="120" w:after="1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4"/>
        </w:rPr>
        <w:t>updat</w:t>
      </w:r>
      <w:r w:rsidR="006E0A18" w:rsidRPr="00AE07CE">
        <w:rPr>
          <w:rFonts w:asciiTheme="minorHAnsi" w:eastAsiaTheme="minorHAnsi" w:hAnsiTheme="minorHAnsi" w:cstheme="minorBidi"/>
          <w:snapToGrid/>
          <w:sz w:val="24"/>
          <w:szCs w:val="24"/>
        </w:rPr>
        <w:t>ed</w:t>
      </w:r>
      <w:r w:rsidRPr="00AE07CE">
        <w:rPr>
          <w:rFonts w:asciiTheme="minorHAnsi" w:eastAsiaTheme="minorHAnsi" w:hAnsiTheme="minorHAnsi" w:cstheme="minorBidi"/>
          <w:snapToGrid/>
          <w:sz w:val="24"/>
          <w:szCs w:val="24"/>
        </w:rPr>
        <w:t xml:space="preserve"> the incidence of brain cancer </w:t>
      </w:r>
      <w:r w:rsidR="00F009E5" w:rsidRPr="00AE07CE">
        <w:rPr>
          <w:rFonts w:asciiTheme="minorHAnsi" w:eastAsiaTheme="minorHAnsi" w:hAnsiTheme="minorHAnsi" w:cstheme="minorBidi"/>
          <w:snapToGrid/>
          <w:sz w:val="24"/>
          <w:szCs w:val="24"/>
        </w:rPr>
        <w:t xml:space="preserve">based on the ACIM work book ‘Brain Cancer in Australia’ </w:t>
      </w:r>
      <w:r w:rsidRPr="00AE07CE">
        <w:rPr>
          <w:rFonts w:asciiTheme="minorHAnsi" w:eastAsiaTheme="minorHAnsi" w:hAnsiTheme="minorHAnsi" w:cstheme="minorBidi"/>
          <w:snapToGrid/>
          <w:sz w:val="24"/>
          <w:szCs w:val="24"/>
        </w:rPr>
        <w:t>published in December 2018</w:t>
      </w:r>
      <w:r w:rsidR="006E0A18" w:rsidRPr="00AE07CE">
        <w:rPr>
          <w:rFonts w:asciiTheme="minorHAnsi" w:eastAsiaTheme="minorHAnsi" w:hAnsiTheme="minorHAnsi" w:cstheme="minorBidi"/>
          <w:snapToGrid/>
          <w:sz w:val="24"/>
          <w:szCs w:val="24"/>
        </w:rPr>
        <w:t>;</w:t>
      </w:r>
      <w:r w:rsidRPr="00AE07CE">
        <w:rPr>
          <w:rFonts w:asciiTheme="minorHAnsi" w:eastAsiaTheme="minorHAnsi" w:hAnsiTheme="minorHAnsi" w:cstheme="minorBidi"/>
          <w:snapToGrid/>
          <w:sz w:val="24"/>
          <w:szCs w:val="24"/>
        </w:rPr>
        <w:t xml:space="preserve"> </w:t>
      </w:r>
    </w:p>
    <w:p w:rsidR="00F10DC4" w:rsidRPr="00AE07CE" w:rsidRDefault="00771918" w:rsidP="00E752A8">
      <w:pPr>
        <w:pStyle w:val="ListParagraph"/>
        <w:widowControl/>
        <w:numPr>
          <w:ilvl w:val="0"/>
          <w:numId w:val="40"/>
        </w:numPr>
        <w:spacing w:before="120" w:after="120"/>
        <w:contextualSpacing w:val="0"/>
        <w:rPr>
          <w:rFonts w:asciiTheme="minorHAnsi" w:eastAsiaTheme="minorHAnsi" w:hAnsiTheme="minorHAnsi" w:cstheme="minorBidi"/>
          <w:szCs w:val="22"/>
        </w:rPr>
      </w:pPr>
      <w:proofErr w:type="gramStart"/>
      <w:r w:rsidRPr="00AE07CE">
        <w:rPr>
          <w:rFonts w:asciiTheme="minorHAnsi" w:eastAsiaTheme="minorHAnsi" w:hAnsiTheme="minorHAnsi" w:cstheme="minorBidi"/>
          <w:snapToGrid/>
          <w:sz w:val="24"/>
          <w:szCs w:val="24"/>
        </w:rPr>
        <w:t>updat</w:t>
      </w:r>
      <w:r w:rsidR="006E0A18" w:rsidRPr="00AE07CE">
        <w:rPr>
          <w:rFonts w:asciiTheme="minorHAnsi" w:eastAsiaTheme="minorHAnsi" w:hAnsiTheme="minorHAnsi" w:cstheme="minorBidi"/>
          <w:snapToGrid/>
          <w:sz w:val="24"/>
          <w:szCs w:val="24"/>
        </w:rPr>
        <w:t>ed</w:t>
      </w:r>
      <w:proofErr w:type="gramEnd"/>
      <w:r w:rsidRPr="00AE07CE">
        <w:rPr>
          <w:rFonts w:asciiTheme="minorHAnsi" w:eastAsiaTheme="minorHAnsi" w:hAnsiTheme="minorHAnsi" w:cstheme="minorBidi"/>
          <w:snapToGrid/>
          <w:sz w:val="24"/>
          <w:szCs w:val="24"/>
        </w:rPr>
        <w:t xml:space="preserve"> the incidence of glioblastoma based on the AIHW publication ‘Brain and other central nervous system cancers’ which directly reported the number of patients with glioblastoma</w:t>
      </w:r>
      <w:r w:rsidR="00643B7C" w:rsidRPr="00AE07CE">
        <w:rPr>
          <w:rFonts w:asciiTheme="minorHAnsi" w:eastAsiaTheme="minorHAnsi" w:hAnsiTheme="minorHAnsi" w:cstheme="minorBidi"/>
          <w:snapToGrid/>
          <w:sz w:val="24"/>
          <w:szCs w:val="24"/>
        </w:rPr>
        <w:t xml:space="preserve">. The pre-PBAC response used this estimate </w:t>
      </w:r>
      <w:r w:rsidRPr="00AE07CE">
        <w:rPr>
          <w:rFonts w:asciiTheme="minorHAnsi" w:eastAsiaTheme="minorHAnsi" w:hAnsiTheme="minorHAnsi" w:cstheme="minorBidi"/>
          <w:snapToGrid/>
          <w:sz w:val="24"/>
          <w:szCs w:val="24"/>
        </w:rPr>
        <w:t>to derive the proportion of brain cancer cases that are gliobla</w:t>
      </w:r>
      <w:r w:rsidR="00643B7C" w:rsidRPr="00AE07CE">
        <w:rPr>
          <w:rFonts w:asciiTheme="minorHAnsi" w:eastAsiaTheme="minorHAnsi" w:hAnsiTheme="minorHAnsi" w:cstheme="minorBidi"/>
          <w:snapToGrid/>
          <w:sz w:val="24"/>
          <w:szCs w:val="24"/>
        </w:rPr>
        <w:t>s</w:t>
      </w:r>
      <w:r w:rsidRPr="00AE07CE">
        <w:rPr>
          <w:rFonts w:asciiTheme="minorHAnsi" w:eastAsiaTheme="minorHAnsi" w:hAnsiTheme="minorHAnsi" w:cstheme="minorBidi"/>
          <w:snapToGrid/>
          <w:sz w:val="24"/>
          <w:szCs w:val="24"/>
        </w:rPr>
        <w:t>tom</w:t>
      </w:r>
      <w:r w:rsidR="00643B7C" w:rsidRPr="00AE07CE">
        <w:rPr>
          <w:rFonts w:asciiTheme="minorHAnsi" w:eastAsiaTheme="minorHAnsi" w:hAnsiTheme="minorHAnsi" w:cstheme="minorBidi"/>
          <w:snapToGrid/>
          <w:sz w:val="24"/>
          <w:szCs w:val="24"/>
        </w:rPr>
        <w:t>a (updated from 36% to 61%)</w:t>
      </w:r>
      <w:r w:rsidR="00421B72" w:rsidRPr="00AE07CE">
        <w:rPr>
          <w:rFonts w:asciiTheme="minorHAnsi" w:eastAsiaTheme="minorHAnsi" w:hAnsiTheme="minorHAnsi" w:cstheme="minorBidi"/>
          <w:snapToGrid/>
          <w:sz w:val="24"/>
          <w:szCs w:val="24"/>
        </w:rPr>
        <w:t xml:space="preserve">. The PBAC noted that this substantially </w:t>
      </w:r>
      <w:r w:rsidR="00643B7C" w:rsidRPr="00AE07CE">
        <w:rPr>
          <w:rFonts w:asciiTheme="minorHAnsi" w:eastAsiaTheme="minorHAnsi" w:hAnsiTheme="minorHAnsi" w:cstheme="minorBidi"/>
          <w:snapToGrid/>
          <w:sz w:val="24"/>
          <w:szCs w:val="24"/>
        </w:rPr>
        <w:t>increased the</w:t>
      </w:r>
      <w:r w:rsidR="00421B72" w:rsidRPr="00AE07CE">
        <w:rPr>
          <w:rFonts w:asciiTheme="minorHAnsi" w:eastAsiaTheme="minorHAnsi" w:hAnsiTheme="minorHAnsi" w:cstheme="minorBidi"/>
          <w:snapToGrid/>
          <w:sz w:val="24"/>
          <w:szCs w:val="24"/>
        </w:rPr>
        <w:t xml:space="preserve"> number of eligible patients</w:t>
      </w:r>
      <w:r w:rsidR="006E0A18" w:rsidRPr="00AE07CE">
        <w:rPr>
          <w:rFonts w:asciiTheme="minorHAnsi" w:eastAsiaTheme="minorHAnsi" w:hAnsiTheme="minorHAnsi" w:cstheme="minorBidi"/>
          <w:snapToGrid/>
          <w:sz w:val="24"/>
          <w:szCs w:val="24"/>
        </w:rPr>
        <w:t>;</w:t>
      </w:r>
      <w:r w:rsidR="00421B72" w:rsidRPr="00AE07CE">
        <w:rPr>
          <w:rFonts w:asciiTheme="minorHAnsi" w:eastAsiaTheme="minorHAnsi" w:hAnsiTheme="minorHAnsi" w:cstheme="minorBidi"/>
          <w:snapToGrid/>
          <w:sz w:val="24"/>
          <w:szCs w:val="24"/>
        </w:rPr>
        <w:t xml:space="preserve"> </w:t>
      </w:r>
    </w:p>
    <w:p w:rsidR="00643B7C" w:rsidRPr="00AE07CE" w:rsidRDefault="008B49BF" w:rsidP="00E752A8">
      <w:pPr>
        <w:pStyle w:val="ListParagraph"/>
        <w:widowControl/>
        <w:numPr>
          <w:ilvl w:val="0"/>
          <w:numId w:val="40"/>
        </w:numPr>
        <w:spacing w:before="120" w:after="120"/>
        <w:contextualSpacing w:val="0"/>
        <w:rPr>
          <w:rFonts w:asciiTheme="minorHAnsi" w:eastAsiaTheme="minorHAnsi" w:hAnsiTheme="minorHAnsi" w:cstheme="minorBidi"/>
          <w:szCs w:val="22"/>
        </w:rPr>
      </w:pPr>
      <w:proofErr w:type="gramStart"/>
      <w:r w:rsidRPr="00AE07CE">
        <w:rPr>
          <w:rFonts w:asciiTheme="minorHAnsi" w:eastAsiaTheme="minorHAnsi" w:hAnsiTheme="minorHAnsi" w:cstheme="minorBidi"/>
          <w:snapToGrid/>
          <w:sz w:val="24"/>
          <w:szCs w:val="24"/>
        </w:rPr>
        <w:t>revis</w:t>
      </w:r>
      <w:r w:rsidR="006E0A18" w:rsidRPr="00AE07CE">
        <w:rPr>
          <w:rFonts w:asciiTheme="minorHAnsi" w:eastAsiaTheme="minorHAnsi" w:hAnsiTheme="minorHAnsi" w:cstheme="minorBidi"/>
          <w:snapToGrid/>
          <w:sz w:val="24"/>
          <w:szCs w:val="24"/>
        </w:rPr>
        <w:t>ed</w:t>
      </w:r>
      <w:proofErr w:type="gramEnd"/>
      <w:r w:rsidR="00643B7C" w:rsidRPr="00AE07CE">
        <w:rPr>
          <w:rFonts w:asciiTheme="minorHAnsi" w:eastAsiaTheme="minorHAnsi" w:hAnsiTheme="minorHAnsi" w:cstheme="minorBidi"/>
          <w:snapToGrid/>
          <w:sz w:val="24"/>
          <w:szCs w:val="24"/>
        </w:rPr>
        <w:t xml:space="preserve"> the estimate of patient numbers to be based on incidence, rather than prevalence. This was reasonable</w:t>
      </w:r>
      <w:r w:rsidR="006E0A18" w:rsidRPr="00AE07CE">
        <w:rPr>
          <w:rFonts w:asciiTheme="minorHAnsi" w:eastAsiaTheme="minorHAnsi" w:hAnsiTheme="minorHAnsi" w:cstheme="minorBidi"/>
          <w:snapToGrid/>
          <w:sz w:val="24"/>
          <w:szCs w:val="24"/>
        </w:rPr>
        <w:t>;</w:t>
      </w:r>
    </w:p>
    <w:p w:rsidR="00F10DC4" w:rsidRPr="00AE07CE" w:rsidRDefault="008B49BF" w:rsidP="00E752A8">
      <w:pPr>
        <w:pStyle w:val="ListParagraph"/>
        <w:widowControl/>
        <w:numPr>
          <w:ilvl w:val="0"/>
          <w:numId w:val="40"/>
        </w:numPr>
        <w:spacing w:before="120" w:after="120"/>
        <w:contextualSpacing w:val="0"/>
        <w:rPr>
          <w:rFonts w:asciiTheme="minorHAnsi" w:eastAsiaTheme="minorHAnsi" w:hAnsiTheme="minorHAnsi" w:cstheme="minorBidi"/>
          <w:szCs w:val="22"/>
        </w:rPr>
      </w:pPr>
      <w:proofErr w:type="gramStart"/>
      <w:r w:rsidRPr="00AE07CE">
        <w:rPr>
          <w:rFonts w:asciiTheme="minorHAnsi" w:eastAsiaTheme="minorHAnsi" w:hAnsiTheme="minorHAnsi" w:cstheme="minorBidi"/>
          <w:snapToGrid/>
          <w:sz w:val="24"/>
          <w:szCs w:val="24"/>
        </w:rPr>
        <w:lastRenderedPageBreak/>
        <w:t>reduc</w:t>
      </w:r>
      <w:r w:rsidR="006E0A18" w:rsidRPr="00AE07CE">
        <w:rPr>
          <w:rFonts w:asciiTheme="minorHAnsi" w:eastAsiaTheme="minorHAnsi" w:hAnsiTheme="minorHAnsi" w:cstheme="minorBidi"/>
          <w:snapToGrid/>
          <w:sz w:val="24"/>
          <w:szCs w:val="24"/>
        </w:rPr>
        <w:t>ed</w:t>
      </w:r>
      <w:proofErr w:type="gramEnd"/>
      <w:r w:rsidR="00643B7C" w:rsidRPr="00AE07CE">
        <w:rPr>
          <w:rFonts w:asciiTheme="minorHAnsi" w:eastAsiaTheme="minorHAnsi" w:hAnsiTheme="minorHAnsi" w:cstheme="minorBidi"/>
          <w:snapToGrid/>
          <w:sz w:val="24"/>
          <w:szCs w:val="24"/>
        </w:rPr>
        <w:t xml:space="preserve"> the </w:t>
      </w:r>
      <w:r w:rsidR="00FC14C4" w:rsidRPr="00AE07CE">
        <w:rPr>
          <w:rFonts w:asciiTheme="minorHAnsi" w:eastAsiaTheme="minorHAnsi" w:hAnsiTheme="minorHAnsi" w:cstheme="minorBidi"/>
          <w:snapToGrid/>
          <w:sz w:val="24"/>
          <w:szCs w:val="24"/>
        </w:rPr>
        <w:t xml:space="preserve">MBS fees for administration </w:t>
      </w:r>
      <w:r w:rsidR="00643B7C" w:rsidRPr="00AE07CE">
        <w:rPr>
          <w:rFonts w:asciiTheme="minorHAnsi" w:eastAsiaTheme="minorHAnsi" w:hAnsiTheme="minorHAnsi" w:cstheme="minorBidi"/>
          <w:snapToGrid/>
          <w:sz w:val="24"/>
          <w:szCs w:val="24"/>
        </w:rPr>
        <w:t>to reflect shorter infusion times for subsequent doses and amend</w:t>
      </w:r>
      <w:r w:rsidR="00421B72" w:rsidRPr="00AE07CE">
        <w:rPr>
          <w:rFonts w:asciiTheme="minorHAnsi" w:eastAsiaTheme="minorHAnsi" w:hAnsiTheme="minorHAnsi" w:cstheme="minorBidi"/>
          <w:snapToGrid/>
          <w:sz w:val="24"/>
          <w:szCs w:val="24"/>
        </w:rPr>
        <w:t>ing</w:t>
      </w:r>
      <w:r w:rsidR="00643B7C" w:rsidRPr="00AE07CE">
        <w:rPr>
          <w:rFonts w:asciiTheme="minorHAnsi" w:eastAsiaTheme="minorHAnsi" w:hAnsiTheme="minorHAnsi" w:cstheme="minorBidi"/>
          <w:snapToGrid/>
          <w:sz w:val="24"/>
          <w:szCs w:val="24"/>
        </w:rPr>
        <w:t xml:space="preserve"> the calculation of patient co-payments. These changes were </w:t>
      </w:r>
      <w:r w:rsidR="00421B72" w:rsidRPr="00AE07CE">
        <w:rPr>
          <w:rFonts w:asciiTheme="minorHAnsi" w:eastAsiaTheme="minorHAnsi" w:hAnsiTheme="minorHAnsi" w:cstheme="minorBidi"/>
          <w:snapToGrid/>
          <w:sz w:val="24"/>
          <w:szCs w:val="24"/>
        </w:rPr>
        <w:t>reasonable</w:t>
      </w:r>
      <w:r w:rsidR="00643B7C" w:rsidRPr="00AE07CE">
        <w:rPr>
          <w:rFonts w:asciiTheme="minorHAnsi" w:eastAsiaTheme="minorHAnsi" w:hAnsiTheme="minorHAnsi" w:cstheme="minorBidi"/>
          <w:snapToGrid/>
          <w:sz w:val="24"/>
          <w:szCs w:val="24"/>
        </w:rPr>
        <w:t xml:space="preserve">; </w:t>
      </w:r>
      <w:r w:rsidR="00FC14C4" w:rsidRPr="00AE07CE">
        <w:rPr>
          <w:rFonts w:asciiTheme="minorHAnsi" w:eastAsiaTheme="minorHAnsi" w:hAnsiTheme="minorHAnsi" w:cstheme="minorBidi"/>
          <w:snapToGrid/>
          <w:sz w:val="24"/>
          <w:szCs w:val="24"/>
        </w:rPr>
        <w:t xml:space="preserve">and </w:t>
      </w:r>
    </w:p>
    <w:p w:rsidR="00F10DC4" w:rsidRPr="00AE07CE" w:rsidRDefault="008B49BF" w:rsidP="00E752A8">
      <w:pPr>
        <w:pStyle w:val="ListParagraph"/>
        <w:widowControl/>
        <w:numPr>
          <w:ilvl w:val="0"/>
          <w:numId w:val="40"/>
        </w:numPr>
        <w:spacing w:before="120" w:after="1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4"/>
        </w:rPr>
        <w:t>reduc</w:t>
      </w:r>
      <w:r w:rsidR="006E0A18" w:rsidRPr="00AE07CE">
        <w:rPr>
          <w:rFonts w:asciiTheme="minorHAnsi" w:eastAsiaTheme="minorHAnsi" w:hAnsiTheme="minorHAnsi" w:cstheme="minorBidi"/>
          <w:snapToGrid/>
          <w:sz w:val="24"/>
          <w:szCs w:val="24"/>
        </w:rPr>
        <w:t>ed</w:t>
      </w:r>
      <w:r w:rsidR="007A421C" w:rsidRPr="00AE07CE">
        <w:rPr>
          <w:rFonts w:asciiTheme="minorHAnsi" w:eastAsiaTheme="minorHAnsi" w:hAnsiTheme="minorHAnsi" w:cstheme="minorBidi"/>
          <w:snapToGrid/>
          <w:sz w:val="24"/>
          <w:szCs w:val="24"/>
        </w:rPr>
        <w:t xml:space="preserve"> </w:t>
      </w:r>
      <w:r w:rsidR="00FC14C4" w:rsidRPr="00AE07CE">
        <w:rPr>
          <w:rFonts w:asciiTheme="minorHAnsi" w:eastAsiaTheme="minorHAnsi" w:hAnsiTheme="minorHAnsi" w:cstheme="minorBidi"/>
          <w:snapToGrid/>
          <w:sz w:val="24"/>
          <w:szCs w:val="24"/>
        </w:rPr>
        <w:t xml:space="preserve">the number of grandfathered patients from </w:t>
      </w:r>
      <w:r w:rsidR="00E454F3">
        <w:rPr>
          <w:rFonts w:asciiTheme="minorHAnsi" w:eastAsiaTheme="minorHAnsi" w:hAnsiTheme="minorHAnsi" w:cstheme="minorBidi"/>
          <w:noProof/>
          <w:snapToGrid/>
          <w:color w:val="000000"/>
          <w:sz w:val="24"/>
          <w:szCs w:val="24"/>
          <w:highlight w:val="black"/>
        </w:rPr>
        <w:t>'''''</w:t>
      </w:r>
      <w:r w:rsidR="00FC14C4" w:rsidRPr="00AE07CE">
        <w:rPr>
          <w:rFonts w:asciiTheme="minorHAnsi" w:eastAsiaTheme="minorHAnsi" w:hAnsiTheme="minorHAnsi" w:cstheme="minorBidi"/>
          <w:snapToGrid/>
          <w:sz w:val="24"/>
          <w:szCs w:val="24"/>
        </w:rPr>
        <w:t xml:space="preserve"> to </w:t>
      </w:r>
      <w:r w:rsidR="00E454F3">
        <w:rPr>
          <w:rFonts w:asciiTheme="minorHAnsi" w:eastAsiaTheme="minorHAnsi" w:hAnsiTheme="minorHAnsi" w:cstheme="minorBidi"/>
          <w:noProof/>
          <w:snapToGrid/>
          <w:color w:val="000000"/>
          <w:sz w:val="24"/>
          <w:szCs w:val="24"/>
          <w:highlight w:val="black"/>
        </w:rPr>
        <w:t>'''''</w:t>
      </w:r>
      <w:r w:rsidR="00F73884" w:rsidRPr="00AE07CE">
        <w:rPr>
          <w:rFonts w:asciiTheme="minorHAnsi" w:eastAsiaTheme="minorHAnsi" w:hAnsiTheme="minorHAnsi" w:cstheme="minorBidi"/>
          <w:snapToGrid/>
          <w:sz w:val="24"/>
          <w:szCs w:val="24"/>
        </w:rPr>
        <w:t>, as outlined in Paragraph 6.30.</w:t>
      </w:r>
    </w:p>
    <w:p w:rsidR="00771918" w:rsidRPr="00AE07CE" w:rsidRDefault="00414B67" w:rsidP="00E752A8">
      <w:pPr>
        <w:pStyle w:val="ListParagraph"/>
        <w:widowControl/>
        <w:numPr>
          <w:ilvl w:val="1"/>
          <w:numId w:val="5"/>
        </w:numPr>
        <w:spacing w:before="120" w:after="120"/>
        <w:ind w:left="720"/>
        <w:contextualSpacing w:val="0"/>
        <w:rPr>
          <w:rFonts w:asciiTheme="minorHAnsi" w:eastAsiaTheme="minorHAnsi" w:hAnsiTheme="minorHAnsi" w:cstheme="minorBidi"/>
          <w:szCs w:val="22"/>
        </w:rPr>
      </w:pPr>
      <w:r w:rsidRPr="00AE07CE">
        <w:rPr>
          <w:rFonts w:asciiTheme="minorHAnsi" w:eastAsiaTheme="minorHAnsi" w:hAnsiTheme="minorHAnsi" w:cstheme="minorBidi"/>
          <w:snapToGrid/>
          <w:sz w:val="24"/>
          <w:szCs w:val="24"/>
        </w:rPr>
        <w:t xml:space="preserve">The </w:t>
      </w:r>
      <w:r w:rsidR="008B49BF" w:rsidRPr="00AE07CE">
        <w:rPr>
          <w:rFonts w:asciiTheme="minorHAnsi" w:eastAsiaTheme="minorHAnsi" w:hAnsiTheme="minorHAnsi" w:cstheme="minorBidi"/>
          <w:snapToGrid/>
          <w:sz w:val="24"/>
          <w:szCs w:val="24"/>
        </w:rPr>
        <w:t xml:space="preserve">revisions in the </w:t>
      </w:r>
      <w:r w:rsidRPr="00AE07CE">
        <w:rPr>
          <w:rFonts w:asciiTheme="minorHAnsi" w:eastAsiaTheme="minorHAnsi" w:hAnsiTheme="minorHAnsi" w:cstheme="minorBidi"/>
          <w:snapToGrid/>
          <w:sz w:val="24"/>
          <w:szCs w:val="24"/>
        </w:rPr>
        <w:t xml:space="preserve">pre-PBAC response </w:t>
      </w:r>
      <w:r w:rsidR="008B49BF" w:rsidRPr="00AE07CE">
        <w:rPr>
          <w:rFonts w:asciiTheme="minorHAnsi" w:eastAsiaTheme="minorHAnsi" w:hAnsiTheme="minorHAnsi" w:cstheme="minorBidi"/>
          <w:snapToGrid/>
          <w:sz w:val="24"/>
          <w:szCs w:val="24"/>
        </w:rPr>
        <w:t xml:space="preserve">increased the </w:t>
      </w:r>
      <w:r w:rsidRPr="00AE07CE">
        <w:rPr>
          <w:rFonts w:asciiTheme="minorHAnsi" w:eastAsiaTheme="minorHAnsi" w:hAnsiTheme="minorHAnsi" w:cstheme="minorBidi"/>
          <w:snapToGrid/>
          <w:sz w:val="24"/>
          <w:szCs w:val="22"/>
        </w:rPr>
        <w:t xml:space="preserve">estimated cost to the PBS/RPBS </w:t>
      </w:r>
      <w:r w:rsidR="008B49BF" w:rsidRPr="00AE07CE">
        <w:rPr>
          <w:rFonts w:asciiTheme="minorHAnsi" w:eastAsiaTheme="minorHAnsi" w:hAnsiTheme="minorHAnsi" w:cstheme="minorBidi"/>
          <w:snapToGrid/>
          <w:sz w:val="24"/>
          <w:szCs w:val="22"/>
        </w:rPr>
        <w:t>to</w:t>
      </w:r>
      <w:r w:rsidRPr="00AE07CE">
        <w:rPr>
          <w:rFonts w:asciiTheme="minorHAnsi" w:eastAsiaTheme="minorHAnsi" w:hAnsiTheme="minorHAnsi" w:cstheme="minorBidi"/>
          <w:snapToGrid/>
          <w:sz w:val="24"/>
          <w:szCs w:val="22"/>
        </w:rPr>
        <w:t xml:space="preserve"> </w:t>
      </w:r>
      <w:r w:rsidR="000A2726">
        <w:rPr>
          <w:rFonts w:asciiTheme="minorHAnsi" w:eastAsiaTheme="minorHAnsi" w:hAnsiTheme="minorHAnsi" w:cstheme="minorBidi"/>
          <w:snapToGrid/>
          <w:sz w:val="24"/>
          <w:szCs w:val="22"/>
        </w:rPr>
        <w:t xml:space="preserve">less than </w:t>
      </w:r>
      <w:r w:rsidRPr="00AE07CE">
        <w:rPr>
          <w:rFonts w:asciiTheme="minorHAnsi" w:eastAsiaTheme="minorHAnsi" w:hAnsiTheme="minorHAnsi" w:cstheme="minorBidi"/>
          <w:snapToGrid/>
          <w:sz w:val="24"/>
          <w:szCs w:val="22"/>
        </w:rPr>
        <w:t>$</w:t>
      </w:r>
      <w:r w:rsidR="000A2726">
        <w:rPr>
          <w:rFonts w:asciiTheme="minorHAnsi" w:eastAsiaTheme="minorHAnsi" w:hAnsiTheme="minorHAnsi" w:cstheme="minorBidi"/>
          <w:snapToGrid/>
          <w:sz w:val="24"/>
          <w:szCs w:val="22"/>
        </w:rPr>
        <w:t>10</w:t>
      </w:r>
      <w:r w:rsidRPr="00AE07CE">
        <w:rPr>
          <w:rFonts w:asciiTheme="minorHAnsi" w:eastAsiaTheme="minorHAnsi" w:hAnsiTheme="minorHAnsi" w:cstheme="minorBidi"/>
          <w:snapToGrid/>
          <w:sz w:val="24"/>
          <w:szCs w:val="22"/>
        </w:rPr>
        <w:t xml:space="preserve"> million in Year 6 of listing, with a total net cost to the PBS/RPBS of $</w:t>
      </w:r>
      <w:r w:rsidR="000A2726">
        <w:rPr>
          <w:rFonts w:asciiTheme="minorHAnsi" w:eastAsiaTheme="minorHAnsi" w:hAnsiTheme="minorHAnsi" w:cstheme="minorBidi"/>
          <w:snapToGrid/>
          <w:sz w:val="24"/>
          <w:szCs w:val="22"/>
        </w:rPr>
        <w:t>30 to $60</w:t>
      </w:r>
      <w:r w:rsidR="008B49BF" w:rsidRPr="00AE07CE">
        <w:rPr>
          <w:rFonts w:asciiTheme="minorHAnsi" w:eastAsiaTheme="minorHAnsi" w:hAnsiTheme="minorHAnsi" w:cstheme="minorBidi"/>
          <w:snapToGrid/>
          <w:sz w:val="24"/>
          <w:szCs w:val="22"/>
        </w:rPr>
        <w:t xml:space="preserve"> </w:t>
      </w:r>
      <w:r w:rsidR="004D444F" w:rsidRPr="00AE07CE">
        <w:rPr>
          <w:rFonts w:asciiTheme="minorHAnsi" w:eastAsiaTheme="minorHAnsi" w:hAnsiTheme="minorHAnsi" w:cstheme="minorBidi"/>
          <w:snapToGrid/>
          <w:sz w:val="24"/>
          <w:szCs w:val="22"/>
        </w:rPr>
        <w:t>million</w:t>
      </w:r>
      <w:r w:rsidRPr="00AE07CE">
        <w:rPr>
          <w:rFonts w:asciiTheme="minorHAnsi" w:eastAsiaTheme="minorHAnsi" w:hAnsiTheme="minorHAnsi" w:cstheme="minorBidi"/>
          <w:snapToGrid/>
          <w:sz w:val="24"/>
          <w:szCs w:val="22"/>
        </w:rPr>
        <w:t xml:space="preserve"> over the first 6 years of listing.</w:t>
      </w:r>
    </w:p>
    <w:p w:rsidR="00EC7C12" w:rsidRPr="00AE07CE" w:rsidRDefault="00EC7C12" w:rsidP="00E752A8">
      <w:pPr>
        <w:pStyle w:val="PBACHeading1"/>
        <w:numPr>
          <w:ilvl w:val="0"/>
          <w:numId w:val="0"/>
        </w:numPr>
        <w:spacing w:before="120" w:after="120"/>
        <w:ind w:left="720" w:hanging="720"/>
        <w:outlineLvl w:val="1"/>
        <w:rPr>
          <w:rFonts w:asciiTheme="minorHAnsi" w:eastAsiaTheme="majorEastAsia" w:hAnsiTheme="minorHAnsi" w:cstheme="majorBidi"/>
          <w:i/>
          <w:snapToGrid/>
          <w:sz w:val="28"/>
          <w:szCs w:val="28"/>
        </w:rPr>
      </w:pPr>
      <w:bookmarkStart w:id="1" w:name="_Toc371170714"/>
      <w:bookmarkStart w:id="2" w:name="_Toc536002950"/>
      <w:bookmarkStart w:id="3" w:name="_Toc536023502"/>
      <w:r w:rsidRPr="00AE07CE">
        <w:rPr>
          <w:rFonts w:asciiTheme="minorHAnsi" w:eastAsiaTheme="majorEastAsia" w:hAnsiTheme="minorHAnsi" w:cstheme="majorBidi"/>
          <w:i/>
          <w:snapToGrid/>
          <w:sz w:val="28"/>
          <w:szCs w:val="28"/>
        </w:rPr>
        <w:t>Financial Management – Risk Sharing Arrangements</w:t>
      </w:r>
      <w:bookmarkEnd w:id="1"/>
      <w:bookmarkEnd w:id="2"/>
      <w:bookmarkEnd w:id="3"/>
    </w:p>
    <w:p w:rsidR="00CE23CD" w:rsidRPr="00AE07CE" w:rsidRDefault="00E33CE3" w:rsidP="00E752A8">
      <w:pPr>
        <w:pStyle w:val="ListParagraph"/>
        <w:widowControl/>
        <w:numPr>
          <w:ilvl w:val="1"/>
          <w:numId w:val="5"/>
        </w:numPr>
        <w:spacing w:before="120" w:after="120"/>
        <w:ind w:left="720"/>
        <w:contextualSpacing w:val="0"/>
        <w:rPr>
          <w:rFonts w:asciiTheme="minorHAnsi" w:eastAsiaTheme="minorHAnsi" w:hAnsiTheme="minorHAnsi" w:cstheme="minorBidi"/>
          <w:snapToGrid/>
          <w:sz w:val="24"/>
          <w:szCs w:val="22"/>
        </w:rPr>
      </w:pPr>
      <w:r w:rsidRPr="00AE07CE">
        <w:rPr>
          <w:rFonts w:asciiTheme="minorHAnsi" w:eastAsiaTheme="minorHAnsi" w:hAnsiTheme="minorHAnsi" w:cstheme="minorBidi"/>
          <w:snapToGrid/>
          <w:sz w:val="24"/>
          <w:szCs w:val="22"/>
        </w:rPr>
        <w:t>There was no R</w:t>
      </w:r>
      <w:r w:rsidR="00EC7C12" w:rsidRPr="00AE07CE">
        <w:rPr>
          <w:rFonts w:asciiTheme="minorHAnsi" w:eastAsiaTheme="minorHAnsi" w:hAnsiTheme="minorHAnsi" w:cstheme="minorBidi"/>
          <w:snapToGrid/>
          <w:sz w:val="24"/>
          <w:szCs w:val="22"/>
        </w:rPr>
        <w:t xml:space="preserve">isk </w:t>
      </w:r>
      <w:r w:rsidRPr="00AE07CE">
        <w:rPr>
          <w:rFonts w:asciiTheme="minorHAnsi" w:eastAsiaTheme="minorHAnsi" w:hAnsiTheme="minorHAnsi" w:cstheme="minorBidi"/>
          <w:snapToGrid/>
          <w:sz w:val="24"/>
          <w:szCs w:val="22"/>
        </w:rPr>
        <w:t>S</w:t>
      </w:r>
      <w:r w:rsidR="00EC7C12" w:rsidRPr="00AE07CE">
        <w:rPr>
          <w:rFonts w:asciiTheme="minorHAnsi" w:eastAsiaTheme="minorHAnsi" w:hAnsiTheme="minorHAnsi" w:cstheme="minorBidi"/>
          <w:snapToGrid/>
          <w:sz w:val="24"/>
          <w:szCs w:val="22"/>
        </w:rPr>
        <w:t xml:space="preserve">haring </w:t>
      </w:r>
      <w:r w:rsidRPr="00AE07CE">
        <w:rPr>
          <w:rFonts w:asciiTheme="minorHAnsi" w:eastAsiaTheme="minorHAnsi" w:hAnsiTheme="minorHAnsi" w:cstheme="minorBidi"/>
          <w:snapToGrid/>
          <w:sz w:val="24"/>
          <w:szCs w:val="22"/>
        </w:rPr>
        <w:t>A</w:t>
      </w:r>
      <w:r w:rsidR="00EC7C12" w:rsidRPr="00AE07CE">
        <w:rPr>
          <w:rFonts w:asciiTheme="minorHAnsi" w:eastAsiaTheme="minorHAnsi" w:hAnsiTheme="minorHAnsi" w:cstheme="minorBidi"/>
          <w:snapToGrid/>
          <w:sz w:val="24"/>
          <w:szCs w:val="22"/>
        </w:rPr>
        <w:t>rrangement (RSA) proposed in the submission.</w:t>
      </w:r>
    </w:p>
    <w:p w:rsidR="00085CB0" w:rsidRPr="00AE07CE" w:rsidRDefault="00085CB0" w:rsidP="00E752A8">
      <w:pPr>
        <w:spacing w:before="120" w:after="120"/>
        <w:rPr>
          <w:rFonts w:asciiTheme="minorHAnsi" w:eastAsiaTheme="minorHAnsi" w:hAnsiTheme="minorHAnsi" w:cstheme="minorBidi"/>
          <w:i/>
          <w:szCs w:val="22"/>
        </w:rPr>
      </w:pPr>
      <w:r w:rsidRPr="00AE07CE">
        <w:rPr>
          <w:rFonts w:asciiTheme="minorHAnsi" w:eastAsiaTheme="minorHAnsi" w:hAnsiTheme="minorHAnsi" w:cstheme="minorBidi"/>
          <w:i/>
          <w:szCs w:val="22"/>
        </w:rPr>
        <w:t>For more detail on PBAC’s view, see section 7 PBAC outcome.</w:t>
      </w:r>
    </w:p>
    <w:p w:rsidR="00191833" w:rsidRPr="00AE07CE" w:rsidRDefault="00267BCA" w:rsidP="00E752A8">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AE07CE">
        <w:rPr>
          <w:rFonts w:asciiTheme="minorHAnsi" w:hAnsiTheme="minorHAnsi"/>
          <w:sz w:val="32"/>
          <w:szCs w:val="32"/>
        </w:rPr>
        <w:t>PBAC Outcome</w:t>
      </w:r>
    </w:p>
    <w:p w:rsidR="00267BCA" w:rsidRPr="007A086B" w:rsidRDefault="00267BCA"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PBAC </w:t>
      </w:r>
      <w:r w:rsidR="002017BC" w:rsidRPr="007A086B">
        <w:rPr>
          <w:rFonts w:asciiTheme="minorHAnsi" w:hAnsiTheme="minorHAnsi" w:cs="Arial"/>
          <w:bCs/>
          <w:snapToGrid w:val="0"/>
        </w:rPr>
        <w:t>deferred making a recommendation on the Section 100 Authority Required listing of</w:t>
      </w:r>
      <w:r w:rsidRPr="007A086B">
        <w:rPr>
          <w:rFonts w:asciiTheme="minorHAnsi" w:hAnsiTheme="minorHAnsi" w:cs="Arial"/>
          <w:bCs/>
          <w:snapToGrid w:val="0"/>
        </w:rPr>
        <w:t xml:space="preserve"> </w:t>
      </w:r>
      <w:r w:rsidR="0060259B" w:rsidRPr="007A086B">
        <w:rPr>
          <w:rFonts w:asciiTheme="minorHAnsi" w:hAnsiTheme="minorHAnsi" w:cs="Arial"/>
          <w:bCs/>
          <w:snapToGrid w:val="0"/>
        </w:rPr>
        <w:t>bevacizumab</w:t>
      </w:r>
      <w:r w:rsidR="00463666">
        <w:rPr>
          <w:rFonts w:asciiTheme="minorHAnsi" w:hAnsiTheme="minorHAnsi" w:cs="Arial"/>
          <w:bCs/>
          <w:snapToGrid w:val="0"/>
        </w:rPr>
        <w:t xml:space="preserve"> </w:t>
      </w:r>
      <w:r w:rsidR="001F534E" w:rsidRPr="00AE07CE">
        <w:rPr>
          <w:rFonts w:asciiTheme="minorHAnsi" w:hAnsiTheme="minorHAnsi" w:cs="Arial"/>
          <w:bCs/>
          <w:snapToGrid w:val="0"/>
        </w:rPr>
        <w:t xml:space="preserve">for the </w:t>
      </w:r>
      <w:r w:rsidR="00CE3AB4" w:rsidRPr="00AE07CE">
        <w:rPr>
          <w:rFonts w:asciiTheme="minorHAnsi" w:hAnsiTheme="minorHAnsi" w:cs="Arial"/>
          <w:bCs/>
          <w:snapToGrid w:val="0"/>
        </w:rPr>
        <w:t>treatment of relapsed or</w:t>
      </w:r>
      <w:r w:rsidR="001F534E" w:rsidRPr="00AE07CE">
        <w:rPr>
          <w:rFonts w:asciiTheme="minorHAnsi" w:hAnsiTheme="minorHAnsi" w:cs="Arial"/>
          <w:bCs/>
          <w:snapToGrid w:val="0"/>
        </w:rPr>
        <w:t xml:space="preserve"> refractory glioblastoma</w:t>
      </w:r>
      <w:r w:rsidR="002017BC" w:rsidRPr="007A086B">
        <w:rPr>
          <w:rFonts w:asciiTheme="minorHAnsi" w:hAnsiTheme="minorHAnsi" w:cs="Arial"/>
          <w:bCs/>
          <w:snapToGrid w:val="0"/>
        </w:rPr>
        <w:t>.</w:t>
      </w:r>
      <w:r w:rsidR="001F534E" w:rsidRPr="007A086B">
        <w:rPr>
          <w:rFonts w:asciiTheme="minorHAnsi" w:hAnsiTheme="minorHAnsi" w:cs="Arial"/>
          <w:bCs/>
          <w:snapToGrid w:val="0"/>
        </w:rPr>
        <w:t xml:space="preserve"> </w:t>
      </w:r>
      <w:r w:rsidR="00176E84" w:rsidRPr="007A086B">
        <w:rPr>
          <w:rFonts w:asciiTheme="minorHAnsi" w:hAnsiTheme="minorHAnsi" w:cs="Arial"/>
          <w:bCs/>
          <w:snapToGrid w:val="0"/>
        </w:rPr>
        <w:t xml:space="preserve">The PBAC </w:t>
      </w:r>
      <w:r w:rsidR="00954C75">
        <w:rPr>
          <w:rFonts w:asciiTheme="minorHAnsi" w:hAnsiTheme="minorHAnsi" w:cs="Arial"/>
          <w:bCs/>
          <w:snapToGrid w:val="0"/>
        </w:rPr>
        <w:t>considered that</w:t>
      </w:r>
      <w:r w:rsidR="00ED01D5">
        <w:rPr>
          <w:rFonts w:asciiTheme="minorHAnsi" w:hAnsiTheme="minorHAnsi" w:cs="Arial"/>
          <w:bCs/>
          <w:snapToGrid w:val="0"/>
        </w:rPr>
        <w:t xml:space="preserve"> although PFS and quality of life improvement</w:t>
      </w:r>
      <w:r w:rsidR="00463666">
        <w:rPr>
          <w:rFonts w:asciiTheme="minorHAnsi" w:hAnsiTheme="minorHAnsi" w:cs="Arial"/>
          <w:bCs/>
          <w:snapToGrid w:val="0"/>
        </w:rPr>
        <w:t>s</w:t>
      </w:r>
      <w:r w:rsidR="00ED01D5">
        <w:rPr>
          <w:rFonts w:asciiTheme="minorHAnsi" w:hAnsiTheme="minorHAnsi" w:cs="Arial"/>
          <w:bCs/>
          <w:snapToGrid w:val="0"/>
        </w:rPr>
        <w:t xml:space="preserve"> are plausible outcomes, there remains significant uncertainty regarding </w:t>
      </w:r>
      <w:r w:rsidR="00463666">
        <w:rPr>
          <w:rFonts w:asciiTheme="minorHAnsi" w:hAnsiTheme="minorHAnsi" w:cs="Arial"/>
          <w:bCs/>
          <w:snapToGrid w:val="0"/>
        </w:rPr>
        <w:t xml:space="preserve">the </w:t>
      </w:r>
      <w:r w:rsidR="00ED01D5">
        <w:rPr>
          <w:rFonts w:asciiTheme="minorHAnsi" w:hAnsiTheme="minorHAnsi" w:cs="Arial"/>
          <w:bCs/>
          <w:snapToGrid w:val="0"/>
        </w:rPr>
        <w:t xml:space="preserve">clinical benefit and </w:t>
      </w:r>
      <w:r w:rsidR="00463666">
        <w:rPr>
          <w:rFonts w:asciiTheme="minorHAnsi" w:hAnsiTheme="minorHAnsi" w:cs="Arial"/>
          <w:bCs/>
          <w:snapToGrid w:val="0"/>
        </w:rPr>
        <w:t xml:space="preserve">the </w:t>
      </w:r>
      <w:r w:rsidR="00ED01D5">
        <w:rPr>
          <w:rFonts w:asciiTheme="minorHAnsi" w:hAnsiTheme="minorHAnsi" w:cs="Arial"/>
          <w:bCs/>
          <w:snapToGrid w:val="0"/>
        </w:rPr>
        <w:t xml:space="preserve">magnitude of any benefit. As a result, </w:t>
      </w:r>
      <w:r w:rsidR="00463666">
        <w:rPr>
          <w:rFonts w:asciiTheme="minorHAnsi" w:hAnsiTheme="minorHAnsi" w:cs="Arial"/>
          <w:bCs/>
          <w:snapToGrid w:val="0"/>
        </w:rPr>
        <w:t xml:space="preserve">the </w:t>
      </w:r>
      <w:r w:rsidR="00ED01D5">
        <w:rPr>
          <w:rFonts w:asciiTheme="minorHAnsi" w:hAnsiTheme="minorHAnsi" w:cs="Arial"/>
          <w:bCs/>
          <w:snapToGrid w:val="0"/>
        </w:rPr>
        <w:t xml:space="preserve">PBAC considered that it was unable to determine </w:t>
      </w:r>
      <w:r w:rsidR="00463666">
        <w:rPr>
          <w:rFonts w:asciiTheme="minorHAnsi" w:hAnsiTheme="minorHAnsi" w:cs="Arial"/>
          <w:bCs/>
          <w:snapToGrid w:val="0"/>
        </w:rPr>
        <w:t xml:space="preserve">the </w:t>
      </w:r>
      <w:r w:rsidR="00ED01D5">
        <w:rPr>
          <w:rFonts w:asciiTheme="minorHAnsi" w:hAnsiTheme="minorHAnsi" w:cs="Arial"/>
          <w:bCs/>
          <w:snapToGrid w:val="0"/>
        </w:rPr>
        <w:t xml:space="preserve">cost-effectiveness of bevacizumab in </w:t>
      </w:r>
      <w:r w:rsidR="006B3DB6" w:rsidRPr="006E03E9">
        <w:rPr>
          <w:rFonts w:asciiTheme="minorHAnsi" w:hAnsiTheme="minorHAnsi" w:cs="Arial"/>
          <w:bCs/>
          <w:snapToGrid w:val="0"/>
        </w:rPr>
        <w:t xml:space="preserve">relapsed or refractory </w:t>
      </w:r>
      <w:r w:rsidR="00ED01D5">
        <w:rPr>
          <w:rFonts w:asciiTheme="minorHAnsi" w:hAnsiTheme="minorHAnsi" w:cs="Arial"/>
          <w:bCs/>
          <w:snapToGrid w:val="0"/>
        </w:rPr>
        <w:t xml:space="preserve">glioblastoma based on the information </w:t>
      </w:r>
      <w:r w:rsidR="00463666">
        <w:rPr>
          <w:rFonts w:asciiTheme="minorHAnsi" w:hAnsiTheme="minorHAnsi" w:cs="Arial"/>
          <w:bCs/>
          <w:snapToGrid w:val="0"/>
        </w:rPr>
        <w:t xml:space="preserve">provided </w:t>
      </w:r>
      <w:r w:rsidR="00ED01D5">
        <w:rPr>
          <w:rFonts w:asciiTheme="minorHAnsi" w:hAnsiTheme="minorHAnsi" w:cs="Arial"/>
          <w:bCs/>
          <w:snapToGrid w:val="0"/>
        </w:rPr>
        <w:t>in the minor submission, and</w:t>
      </w:r>
      <w:r w:rsidR="00176E84" w:rsidRPr="007A086B">
        <w:rPr>
          <w:rFonts w:asciiTheme="minorHAnsi" w:hAnsiTheme="minorHAnsi" w:cs="Arial"/>
          <w:bCs/>
          <w:snapToGrid w:val="0"/>
        </w:rPr>
        <w:t xml:space="preserve"> requested further information to help determine the cost-effectiveness of this therapy</w:t>
      </w:r>
      <w:r w:rsidR="001F534E" w:rsidRPr="007A086B">
        <w:rPr>
          <w:rFonts w:asciiTheme="minorHAnsi" w:hAnsiTheme="minorHAnsi" w:cs="Arial"/>
          <w:bCs/>
          <w:snapToGrid w:val="0"/>
        </w:rPr>
        <w:t>.</w:t>
      </w:r>
    </w:p>
    <w:p w:rsidR="00F73884" w:rsidRPr="007A086B" w:rsidRDefault="00803E6A"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In deciding to defer, t</w:t>
      </w:r>
      <w:r w:rsidR="004673C3" w:rsidRPr="007A086B">
        <w:rPr>
          <w:rFonts w:asciiTheme="minorHAnsi" w:hAnsiTheme="minorHAnsi" w:cs="Arial"/>
          <w:bCs/>
          <w:snapToGrid w:val="0"/>
        </w:rPr>
        <w:t xml:space="preserve">he PBAC acknowledged </w:t>
      </w:r>
      <w:r w:rsidR="004673C3" w:rsidRPr="00274711">
        <w:rPr>
          <w:rFonts w:asciiTheme="minorHAnsi" w:hAnsiTheme="minorHAnsi" w:cs="Arial"/>
          <w:bCs/>
          <w:snapToGrid w:val="0"/>
        </w:rPr>
        <w:t xml:space="preserve">the </w:t>
      </w:r>
      <w:proofErr w:type="gramStart"/>
      <w:r w:rsidR="00AE07CE" w:rsidRPr="00AE07CE">
        <w:rPr>
          <w:rFonts w:asciiTheme="minorHAnsi" w:hAnsiTheme="minorHAnsi" w:cs="Arial"/>
          <w:bCs/>
          <w:snapToGrid w:val="0"/>
        </w:rPr>
        <w:t>high</w:t>
      </w:r>
      <w:r w:rsidR="00274711">
        <w:rPr>
          <w:rFonts w:asciiTheme="minorHAnsi" w:hAnsiTheme="minorHAnsi" w:cs="Arial"/>
          <w:bCs/>
          <w:snapToGrid w:val="0"/>
        </w:rPr>
        <w:t xml:space="preserve"> </w:t>
      </w:r>
      <w:r w:rsidR="00AE07CE" w:rsidRPr="00AE07CE">
        <w:rPr>
          <w:rFonts w:asciiTheme="minorHAnsi" w:hAnsiTheme="minorHAnsi" w:cs="Arial"/>
          <w:bCs/>
          <w:snapToGrid w:val="0"/>
        </w:rPr>
        <w:t>unmet</w:t>
      </w:r>
      <w:proofErr w:type="gramEnd"/>
      <w:r w:rsidR="004673C3" w:rsidRPr="00274711">
        <w:rPr>
          <w:rFonts w:asciiTheme="minorHAnsi" w:hAnsiTheme="minorHAnsi" w:cs="Arial"/>
          <w:bCs/>
          <w:snapToGrid w:val="0"/>
        </w:rPr>
        <w:t xml:space="preserve"> clinical </w:t>
      </w:r>
      <w:r w:rsidR="004673C3" w:rsidRPr="007A086B">
        <w:rPr>
          <w:rFonts w:asciiTheme="minorHAnsi" w:hAnsiTheme="minorHAnsi" w:cs="Arial"/>
          <w:bCs/>
          <w:snapToGrid w:val="0"/>
        </w:rPr>
        <w:t>need</w:t>
      </w:r>
      <w:r w:rsidRPr="007A086B">
        <w:rPr>
          <w:rFonts w:asciiTheme="minorHAnsi" w:hAnsiTheme="minorHAnsi" w:cs="Arial"/>
          <w:bCs/>
          <w:snapToGrid w:val="0"/>
        </w:rPr>
        <w:t xml:space="preserve"> in the proposed population</w:t>
      </w:r>
      <w:r w:rsidR="00CE3AB4" w:rsidRPr="007A086B">
        <w:rPr>
          <w:rFonts w:asciiTheme="minorHAnsi" w:hAnsiTheme="minorHAnsi" w:cs="Arial"/>
          <w:bCs/>
          <w:snapToGrid w:val="0"/>
        </w:rPr>
        <w:t xml:space="preserve">. </w:t>
      </w:r>
    </w:p>
    <w:p w:rsidR="006E03E9" w:rsidRPr="006E03E9" w:rsidRDefault="00CE3AB4" w:rsidP="00E752A8">
      <w:pPr>
        <w:widowControl w:val="0"/>
        <w:numPr>
          <w:ilvl w:val="1"/>
          <w:numId w:val="5"/>
        </w:numPr>
        <w:spacing w:before="120" w:after="120"/>
        <w:ind w:left="720"/>
        <w:jc w:val="both"/>
        <w:rPr>
          <w:rFonts w:asciiTheme="minorHAnsi" w:hAnsiTheme="minorHAnsi"/>
          <w:bCs/>
        </w:rPr>
      </w:pPr>
      <w:r w:rsidRPr="006E03E9">
        <w:rPr>
          <w:rFonts w:asciiTheme="minorHAnsi" w:hAnsiTheme="minorHAnsi" w:cs="Arial"/>
          <w:bCs/>
          <w:snapToGrid w:val="0"/>
        </w:rPr>
        <w:t>The</w:t>
      </w:r>
      <w:r w:rsidR="00F61275" w:rsidRPr="006E03E9">
        <w:rPr>
          <w:rFonts w:asciiTheme="minorHAnsi" w:hAnsiTheme="minorHAnsi" w:cs="Arial"/>
          <w:bCs/>
          <w:snapToGrid w:val="0"/>
        </w:rPr>
        <w:t xml:space="preserve"> PBAC acknowledged the large number of </w:t>
      </w:r>
      <w:r w:rsidRPr="006E03E9">
        <w:rPr>
          <w:rFonts w:asciiTheme="minorHAnsi" w:hAnsiTheme="minorHAnsi" w:cs="Arial"/>
          <w:bCs/>
          <w:snapToGrid w:val="0"/>
        </w:rPr>
        <w:t>comment</w:t>
      </w:r>
      <w:r w:rsidR="001F4E6B" w:rsidRPr="006E03E9">
        <w:rPr>
          <w:rFonts w:asciiTheme="minorHAnsi" w:hAnsiTheme="minorHAnsi" w:cs="Arial"/>
          <w:bCs/>
          <w:snapToGrid w:val="0"/>
        </w:rPr>
        <w:t>s</w:t>
      </w:r>
      <w:r w:rsidR="00F61275" w:rsidRPr="006E03E9">
        <w:rPr>
          <w:rFonts w:asciiTheme="minorHAnsi" w:hAnsiTheme="minorHAnsi" w:cs="Arial"/>
          <w:bCs/>
          <w:snapToGrid w:val="0"/>
        </w:rPr>
        <w:t xml:space="preserve"> from consumers, clinicians and organisations</w:t>
      </w:r>
      <w:r w:rsidRPr="006E03E9">
        <w:rPr>
          <w:rFonts w:asciiTheme="minorHAnsi" w:hAnsiTheme="minorHAnsi" w:cs="Arial"/>
          <w:bCs/>
          <w:snapToGrid w:val="0"/>
        </w:rPr>
        <w:t xml:space="preserve">, which were </w:t>
      </w:r>
      <w:r w:rsidR="00A66AE7">
        <w:rPr>
          <w:rFonts w:asciiTheme="minorHAnsi" w:hAnsiTheme="minorHAnsi" w:cs="Arial"/>
          <w:bCs/>
          <w:snapToGrid w:val="0"/>
        </w:rPr>
        <w:t xml:space="preserve">generally </w:t>
      </w:r>
      <w:r w:rsidRPr="006E03E9">
        <w:rPr>
          <w:rFonts w:asciiTheme="minorHAnsi" w:hAnsiTheme="minorHAnsi" w:cs="Arial"/>
          <w:bCs/>
          <w:snapToGrid w:val="0"/>
        </w:rPr>
        <w:t xml:space="preserve">supportive of listing bevacizumab for the treatment of relapsed or refractory glioblastoma. </w:t>
      </w:r>
      <w:r w:rsidR="00285CA7" w:rsidRPr="006E03E9">
        <w:rPr>
          <w:rFonts w:asciiTheme="minorHAnsi" w:hAnsiTheme="minorHAnsi" w:cs="Arial"/>
          <w:bCs/>
          <w:snapToGrid w:val="0"/>
        </w:rPr>
        <w:t xml:space="preserve">The PBAC noted that </w:t>
      </w:r>
      <w:r w:rsidR="00FE0039" w:rsidRPr="006E03E9">
        <w:rPr>
          <w:rFonts w:asciiTheme="minorHAnsi" w:hAnsiTheme="minorHAnsi" w:cs="Arial"/>
          <w:bCs/>
          <w:snapToGrid w:val="0"/>
        </w:rPr>
        <w:t xml:space="preserve">the </w:t>
      </w:r>
      <w:r w:rsidR="00285CA7" w:rsidRPr="006E03E9">
        <w:rPr>
          <w:rFonts w:asciiTheme="minorHAnsi" w:hAnsiTheme="minorHAnsi" w:cs="Arial"/>
          <w:bCs/>
          <w:snapToGrid w:val="0"/>
        </w:rPr>
        <w:t xml:space="preserve">comments described a range of benefits of treatment with bevacizumab including improved quality of life, symptomatic improvement, improved neurological function, improved mobility, and a reduction in steroid dose and steroid related </w:t>
      </w:r>
      <w:r w:rsidR="00AE07CE" w:rsidRPr="006E03E9">
        <w:rPr>
          <w:rFonts w:asciiTheme="minorHAnsi" w:hAnsiTheme="minorHAnsi" w:cs="Arial"/>
          <w:bCs/>
          <w:snapToGrid w:val="0"/>
        </w:rPr>
        <w:t>side effects</w:t>
      </w:r>
      <w:r w:rsidR="00285CA7" w:rsidRPr="006E03E9">
        <w:rPr>
          <w:rFonts w:asciiTheme="minorHAnsi" w:hAnsiTheme="minorHAnsi" w:cs="Arial"/>
          <w:bCs/>
          <w:snapToGrid w:val="0"/>
        </w:rPr>
        <w:t>.</w:t>
      </w:r>
      <w:r w:rsidR="006E03E9" w:rsidRPr="006E03E9">
        <w:rPr>
          <w:rFonts w:asciiTheme="minorHAnsi" w:hAnsiTheme="minorHAnsi" w:cs="Arial"/>
          <w:bCs/>
          <w:snapToGrid w:val="0"/>
        </w:rPr>
        <w:t xml:space="preserve"> </w:t>
      </w:r>
    </w:p>
    <w:p w:rsidR="006E03E9" w:rsidRPr="006E03E9" w:rsidRDefault="006E03E9" w:rsidP="00E752A8">
      <w:pPr>
        <w:widowControl w:val="0"/>
        <w:numPr>
          <w:ilvl w:val="1"/>
          <w:numId w:val="5"/>
        </w:numPr>
        <w:spacing w:before="120" w:after="120"/>
        <w:ind w:left="720"/>
        <w:jc w:val="both"/>
        <w:rPr>
          <w:rFonts w:asciiTheme="minorHAnsi" w:hAnsiTheme="minorHAnsi"/>
          <w:bCs/>
        </w:rPr>
      </w:pPr>
      <w:r w:rsidRPr="006E03E9">
        <w:rPr>
          <w:rFonts w:asciiTheme="minorHAnsi" w:hAnsiTheme="minorHAnsi" w:cs="Arial"/>
          <w:bCs/>
          <w:snapToGrid w:val="0"/>
        </w:rPr>
        <w:t>The PBAC noted that c</w:t>
      </w:r>
      <w:r w:rsidRPr="006E03E9">
        <w:rPr>
          <w:rFonts w:asciiTheme="minorHAnsi" w:hAnsiTheme="minorHAnsi"/>
          <w:bCs/>
        </w:rPr>
        <w:t xml:space="preserve">orrespondence received from a group of seven Australian neuro-oncologists stated that, in their clinical </w:t>
      </w:r>
      <w:proofErr w:type="gramStart"/>
      <w:r w:rsidRPr="006E03E9">
        <w:rPr>
          <w:rFonts w:asciiTheme="minorHAnsi" w:hAnsiTheme="minorHAnsi"/>
          <w:bCs/>
        </w:rPr>
        <w:t>opinion,</w:t>
      </w:r>
      <w:proofErr w:type="gramEnd"/>
      <w:r w:rsidRPr="006E03E9">
        <w:rPr>
          <w:rFonts w:asciiTheme="minorHAnsi" w:hAnsiTheme="minorHAnsi"/>
          <w:bCs/>
        </w:rPr>
        <w:t xml:space="preserve"> up to 30-40% of patients appear to gain a meaningful clinical benefit from treatment with bevacizumab. </w:t>
      </w:r>
    </w:p>
    <w:p w:rsidR="00FC7EF6" w:rsidRPr="007A086B" w:rsidRDefault="00FC7EF6"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PBAC noted that </w:t>
      </w:r>
      <w:r w:rsidR="00EA45E8" w:rsidRPr="007A086B">
        <w:rPr>
          <w:rFonts w:asciiTheme="minorHAnsi" w:hAnsiTheme="minorHAnsi" w:cs="Arial"/>
          <w:bCs/>
          <w:snapToGrid w:val="0"/>
        </w:rPr>
        <w:t>the minor resubmission had provided three new open-label randomised controlled trials</w:t>
      </w:r>
      <w:r w:rsidR="00FE0039">
        <w:rPr>
          <w:rFonts w:asciiTheme="minorHAnsi" w:hAnsiTheme="minorHAnsi" w:cs="Arial"/>
          <w:bCs/>
          <w:snapToGrid w:val="0"/>
        </w:rPr>
        <w:t>, conducted</w:t>
      </w:r>
      <w:r w:rsidR="00685317">
        <w:rPr>
          <w:rFonts w:asciiTheme="minorHAnsi" w:hAnsiTheme="minorHAnsi" w:cs="Arial"/>
          <w:bCs/>
          <w:snapToGrid w:val="0"/>
        </w:rPr>
        <w:t xml:space="preserve"> since the original submission in </w:t>
      </w:r>
      <w:proofErr w:type="gramStart"/>
      <w:r w:rsidR="00685317">
        <w:rPr>
          <w:rFonts w:asciiTheme="minorHAnsi" w:hAnsiTheme="minorHAnsi" w:cs="Arial"/>
          <w:bCs/>
          <w:snapToGrid w:val="0"/>
        </w:rPr>
        <w:t>2010,</w:t>
      </w:r>
      <w:r w:rsidR="00FE0039">
        <w:rPr>
          <w:rFonts w:asciiTheme="minorHAnsi" w:hAnsiTheme="minorHAnsi" w:cs="Arial"/>
          <w:bCs/>
          <w:snapToGrid w:val="0"/>
        </w:rPr>
        <w:t xml:space="preserve"> </w:t>
      </w:r>
      <w:r w:rsidR="00F73884" w:rsidRPr="007A086B">
        <w:rPr>
          <w:rFonts w:asciiTheme="minorHAnsi" w:hAnsiTheme="minorHAnsi" w:cs="Arial"/>
          <w:bCs/>
          <w:snapToGrid w:val="0"/>
        </w:rPr>
        <w:t>that</w:t>
      </w:r>
      <w:proofErr w:type="gramEnd"/>
      <w:r w:rsidR="00F73884" w:rsidRPr="007A086B">
        <w:rPr>
          <w:rFonts w:asciiTheme="minorHAnsi" w:hAnsiTheme="minorHAnsi" w:cs="Arial"/>
          <w:bCs/>
          <w:snapToGrid w:val="0"/>
        </w:rPr>
        <w:t xml:space="preserve"> compared </w:t>
      </w:r>
      <w:r w:rsidRPr="007A086B">
        <w:rPr>
          <w:rFonts w:asciiTheme="minorHAnsi" w:hAnsiTheme="minorHAnsi" w:cs="Arial"/>
          <w:bCs/>
          <w:snapToGrid w:val="0"/>
        </w:rPr>
        <w:t xml:space="preserve">bevacizumab </w:t>
      </w:r>
      <w:r w:rsidR="00F73884" w:rsidRPr="007A086B">
        <w:rPr>
          <w:rFonts w:asciiTheme="minorHAnsi" w:hAnsiTheme="minorHAnsi" w:cs="Arial"/>
          <w:bCs/>
          <w:snapToGrid w:val="0"/>
        </w:rPr>
        <w:t xml:space="preserve">with </w:t>
      </w:r>
      <w:r w:rsidRPr="007A086B">
        <w:rPr>
          <w:rFonts w:asciiTheme="minorHAnsi" w:hAnsiTheme="minorHAnsi" w:cs="Arial"/>
          <w:bCs/>
          <w:snapToGrid w:val="0"/>
        </w:rPr>
        <w:t>older chemotherap</w:t>
      </w:r>
      <w:r w:rsidR="00F73884" w:rsidRPr="007A086B">
        <w:rPr>
          <w:rFonts w:asciiTheme="minorHAnsi" w:hAnsiTheme="minorHAnsi" w:cs="Arial"/>
          <w:bCs/>
          <w:snapToGrid w:val="0"/>
        </w:rPr>
        <w:t>ies</w:t>
      </w:r>
      <w:r w:rsidRPr="007A086B">
        <w:rPr>
          <w:rFonts w:asciiTheme="minorHAnsi" w:hAnsiTheme="minorHAnsi" w:cs="Arial"/>
          <w:bCs/>
          <w:snapToGrid w:val="0"/>
        </w:rPr>
        <w:t>: BELOB (Taal 2014), AVAREG (</w:t>
      </w:r>
      <w:proofErr w:type="spellStart"/>
      <w:r w:rsidRPr="007A086B">
        <w:rPr>
          <w:rFonts w:asciiTheme="minorHAnsi" w:hAnsiTheme="minorHAnsi" w:cs="Arial"/>
          <w:bCs/>
          <w:snapToGrid w:val="0"/>
        </w:rPr>
        <w:t>Brandes</w:t>
      </w:r>
      <w:proofErr w:type="spellEnd"/>
      <w:r w:rsidRPr="007A086B">
        <w:rPr>
          <w:rFonts w:asciiTheme="minorHAnsi" w:hAnsiTheme="minorHAnsi" w:cs="Arial"/>
          <w:bCs/>
          <w:snapToGrid w:val="0"/>
        </w:rPr>
        <w:t xml:space="preserve"> 2016) and EORTC (Wick 2017). </w:t>
      </w:r>
      <w:r w:rsidR="00F73884" w:rsidRPr="007A086B">
        <w:rPr>
          <w:rFonts w:asciiTheme="minorHAnsi" w:hAnsiTheme="minorHAnsi" w:cs="Arial"/>
          <w:bCs/>
          <w:snapToGrid w:val="0"/>
        </w:rPr>
        <w:t xml:space="preserve">The </w:t>
      </w:r>
      <w:r w:rsidRPr="007A086B">
        <w:rPr>
          <w:rFonts w:asciiTheme="minorHAnsi" w:hAnsiTheme="minorHAnsi" w:cs="Arial"/>
          <w:bCs/>
          <w:snapToGrid w:val="0"/>
        </w:rPr>
        <w:t>PBAC considered that these trials, along with the evidence</w:t>
      </w:r>
      <w:r w:rsidR="00297DC0" w:rsidRPr="007A086B">
        <w:rPr>
          <w:rFonts w:asciiTheme="minorHAnsi" w:hAnsiTheme="minorHAnsi" w:cs="Arial"/>
          <w:bCs/>
          <w:snapToGrid w:val="0"/>
        </w:rPr>
        <w:t xml:space="preserve"> </w:t>
      </w:r>
      <w:r w:rsidRPr="007A086B">
        <w:rPr>
          <w:rFonts w:asciiTheme="minorHAnsi" w:hAnsiTheme="minorHAnsi" w:cs="Arial"/>
          <w:bCs/>
          <w:snapToGrid w:val="0"/>
        </w:rPr>
        <w:t>presented in the previous submission</w:t>
      </w:r>
      <w:r w:rsidR="00EA45E8" w:rsidRPr="007A086B">
        <w:rPr>
          <w:rFonts w:asciiTheme="minorHAnsi" w:hAnsiTheme="minorHAnsi" w:cs="Arial"/>
          <w:bCs/>
          <w:snapToGrid w:val="0"/>
        </w:rPr>
        <w:t>,</w:t>
      </w:r>
      <w:r w:rsidRPr="007A086B">
        <w:rPr>
          <w:rFonts w:asciiTheme="minorHAnsi" w:hAnsiTheme="minorHAnsi" w:cs="Arial"/>
          <w:bCs/>
          <w:snapToGrid w:val="0"/>
        </w:rPr>
        <w:t xml:space="preserve"> su</w:t>
      </w:r>
      <w:r w:rsidR="00ED01D5">
        <w:rPr>
          <w:rFonts w:asciiTheme="minorHAnsi" w:hAnsiTheme="minorHAnsi" w:cs="Arial"/>
          <w:bCs/>
          <w:snapToGrid w:val="0"/>
        </w:rPr>
        <w:t>ggested</w:t>
      </w:r>
      <w:r w:rsidRPr="007A086B">
        <w:rPr>
          <w:rFonts w:asciiTheme="minorHAnsi" w:hAnsiTheme="minorHAnsi" w:cs="Arial"/>
          <w:bCs/>
          <w:snapToGrid w:val="0"/>
        </w:rPr>
        <w:t xml:space="preserve"> a</w:t>
      </w:r>
      <w:r w:rsidR="00ED01D5">
        <w:rPr>
          <w:rFonts w:asciiTheme="minorHAnsi" w:hAnsiTheme="minorHAnsi" w:cs="Arial"/>
          <w:bCs/>
          <w:snapToGrid w:val="0"/>
        </w:rPr>
        <w:t xml:space="preserve"> possible</w:t>
      </w:r>
      <w:r w:rsidRPr="007A086B">
        <w:rPr>
          <w:rFonts w:asciiTheme="minorHAnsi" w:hAnsiTheme="minorHAnsi" w:cs="Arial"/>
          <w:bCs/>
          <w:snapToGrid w:val="0"/>
        </w:rPr>
        <w:t xml:space="preserve"> improvement in PFS versus older chemotherapies</w:t>
      </w:r>
      <w:r w:rsidR="00ED01D5">
        <w:rPr>
          <w:rFonts w:asciiTheme="minorHAnsi" w:hAnsiTheme="minorHAnsi" w:cs="Arial"/>
          <w:bCs/>
          <w:snapToGrid w:val="0"/>
        </w:rPr>
        <w:t xml:space="preserve">, however there remains uncertainty </w:t>
      </w:r>
      <w:r w:rsidR="00ED01D5">
        <w:rPr>
          <w:rFonts w:asciiTheme="minorHAnsi" w:hAnsiTheme="minorHAnsi" w:cs="Arial"/>
          <w:bCs/>
          <w:snapToGrid w:val="0"/>
        </w:rPr>
        <w:lastRenderedPageBreak/>
        <w:t>regarding the clinical benefit and magnitude of any benefit</w:t>
      </w:r>
      <w:r w:rsidRPr="007A086B">
        <w:rPr>
          <w:rFonts w:asciiTheme="minorHAnsi" w:hAnsiTheme="minorHAnsi" w:cs="Arial"/>
          <w:bCs/>
          <w:snapToGrid w:val="0"/>
        </w:rPr>
        <w:t xml:space="preserve">. </w:t>
      </w:r>
      <w:r w:rsidR="00ED01D5">
        <w:rPr>
          <w:rFonts w:asciiTheme="minorHAnsi" w:hAnsiTheme="minorHAnsi" w:cs="Arial"/>
          <w:bCs/>
          <w:snapToGrid w:val="0"/>
        </w:rPr>
        <w:t>Furthermore,</w:t>
      </w:r>
      <w:r w:rsidRPr="007A086B">
        <w:rPr>
          <w:rFonts w:asciiTheme="minorHAnsi" w:hAnsiTheme="minorHAnsi" w:cs="Arial"/>
          <w:bCs/>
          <w:snapToGrid w:val="0"/>
        </w:rPr>
        <w:t xml:space="preserve"> the PBAC considered that </w:t>
      </w:r>
      <w:r w:rsidR="00297DC0" w:rsidRPr="007A086B">
        <w:rPr>
          <w:rFonts w:asciiTheme="minorHAnsi" w:hAnsiTheme="minorHAnsi" w:cs="Arial"/>
          <w:bCs/>
          <w:snapToGrid w:val="0"/>
        </w:rPr>
        <w:t xml:space="preserve">no evidence had been presented that demonstrated that bevacizumab is associated with </w:t>
      </w:r>
      <w:r w:rsidRPr="007A086B">
        <w:rPr>
          <w:rFonts w:asciiTheme="minorHAnsi" w:hAnsiTheme="minorHAnsi" w:cs="Arial"/>
          <w:bCs/>
          <w:snapToGrid w:val="0"/>
        </w:rPr>
        <w:t>an improvement in overall survival</w:t>
      </w:r>
      <w:r w:rsidR="00ED01D5">
        <w:rPr>
          <w:rFonts w:asciiTheme="minorHAnsi" w:hAnsiTheme="minorHAnsi" w:cs="Arial"/>
          <w:bCs/>
          <w:snapToGrid w:val="0"/>
        </w:rPr>
        <w:t xml:space="preserve">, which </w:t>
      </w:r>
      <w:r w:rsidR="0015642F">
        <w:rPr>
          <w:rFonts w:asciiTheme="minorHAnsi" w:hAnsiTheme="minorHAnsi" w:cs="Arial"/>
          <w:bCs/>
          <w:snapToGrid w:val="0"/>
        </w:rPr>
        <w:t xml:space="preserve">the </w:t>
      </w:r>
      <w:r w:rsidR="00ED01D5">
        <w:rPr>
          <w:rFonts w:asciiTheme="minorHAnsi" w:hAnsiTheme="minorHAnsi" w:cs="Arial"/>
          <w:bCs/>
          <w:snapToGrid w:val="0"/>
        </w:rPr>
        <w:t>PBAC has previously considered to be the most robust measure of outcome in brain cancer</w:t>
      </w:r>
      <w:r w:rsidRPr="007A086B">
        <w:rPr>
          <w:rFonts w:asciiTheme="minorHAnsi" w:hAnsiTheme="minorHAnsi" w:cs="Arial"/>
          <w:bCs/>
          <w:snapToGrid w:val="0"/>
        </w:rPr>
        <w:t xml:space="preserve">. </w:t>
      </w:r>
    </w:p>
    <w:p w:rsidR="00085CB0" w:rsidRPr="007A086B" w:rsidRDefault="00BE2059" w:rsidP="00E752A8">
      <w:pPr>
        <w:widowControl w:val="0"/>
        <w:numPr>
          <w:ilvl w:val="1"/>
          <w:numId w:val="5"/>
        </w:numPr>
        <w:spacing w:before="120" w:after="120"/>
        <w:ind w:left="720"/>
        <w:jc w:val="both"/>
        <w:rPr>
          <w:rFonts w:asciiTheme="minorHAnsi" w:hAnsiTheme="minorHAnsi"/>
          <w:bCs/>
        </w:rPr>
      </w:pPr>
      <w:r>
        <w:rPr>
          <w:rFonts w:asciiTheme="minorHAnsi" w:hAnsiTheme="minorHAnsi"/>
          <w:bCs/>
        </w:rPr>
        <w:t xml:space="preserve">The </w:t>
      </w:r>
      <w:r w:rsidR="00ED01D5">
        <w:rPr>
          <w:rFonts w:asciiTheme="minorHAnsi" w:hAnsiTheme="minorHAnsi"/>
          <w:bCs/>
        </w:rPr>
        <w:t xml:space="preserve">PBAC noted that improvement in </w:t>
      </w:r>
      <w:r w:rsidR="00085CB0" w:rsidRPr="007A086B">
        <w:rPr>
          <w:rFonts w:asciiTheme="minorHAnsi" w:hAnsiTheme="minorHAnsi"/>
          <w:bCs/>
        </w:rPr>
        <w:t>PFS, quality of life and control of symptoms</w:t>
      </w:r>
      <w:r w:rsidR="002C59B3">
        <w:rPr>
          <w:rFonts w:asciiTheme="minorHAnsi" w:hAnsiTheme="minorHAnsi"/>
          <w:bCs/>
        </w:rPr>
        <w:t xml:space="preserve"> </w:t>
      </w:r>
      <w:proofErr w:type="gramStart"/>
      <w:r w:rsidR="00ED01D5">
        <w:rPr>
          <w:rFonts w:asciiTheme="minorHAnsi" w:hAnsiTheme="minorHAnsi"/>
          <w:bCs/>
        </w:rPr>
        <w:t>may</w:t>
      </w:r>
      <w:proofErr w:type="gramEnd"/>
      <w:r w:rsidR="00ED01D5">
        <w:rPr>
          <w:rFonts w:asciiTheme="minorHAnsi" w:hAnsiTheme="minorHAnsi"/>
          <w:bCs/>
        </w:rPr>
        <w:t xml:space="preserve"> all be plausible outcomes</w:t>
      </w:r>
      <w:r w:rsidR="00085CB0" w:rsidRPr="007A086B">
        <w:rPr>
          <w:rFonts w:asciiTheme="minorHAnsi" w:hAnsiTheme="minorHAnsi"/>
          <w:bCs/>
        </w:rPr>
        <w:t xml:space="preserve">. However, the PBAC considered that the magnitude and extent of these </w:t>
      </w:r>
      <w:r w:rsidR="00ED01D5">
        <w:rPr>
          <w:rFonts w:asciiTheme="minorHAnsi" w:hAnsiTheme="minorHAnsi"/>
          <w:bCs/>
        </w:rPr>
        <w:t xml:space="preserve">potential </w:t>
      </w:r>
      <w:r w:rsidR="00085CB0" w:rsidRPr="007A086B">
        <w:rPr>
          <w:rFonts w:asciiTheme="minorHAnsi" w:hAnsiTheme="minorHAnsi"/>
          <w:bCs/>
        </w:rPr>
        <w:t xml:space="preserve">benefits were difficult to quantify given the lack of data measuring quality of life in this setting, </w:t>
      </w:r>
      <w:r w:rsidR="00ED01D5">
        <w:rPr>
          <w:rFonts w:asciiTheme="minorHAnsi" w:hAnsiTheme="minorHAnsi"/>
          <w:bCs/>
        </w:rPr>
        <w:t xml:space="preserve">the lack of consistent clinical benefit demonstrated across the evidence presented, </w:t>
      </w:r>
      <w:r w:rsidR="00085CB0" w:rsidRPr="007A086B">
        <w:rPr>
          <w:rFonts w:asciiTheme="minorHAnsi" w:hAnsiTheme="minorHAnsi"/>
          <w:bCs/>
        </w:rPr>
        <w:t xml:space="preserve">and because the clinical meaningfulness of PFS in this condition </w:t>
      </w:r>
      <w:r w:rsidR="00ED01D5">
        <w:rPr>
          <w:rFonts w:asciiTheme="minorHAnsi" w:hAnsiTheme="minorHAnsi"/>
          <w:bCs/>
        </w:rPr>
        <w:t>i</w:t>
      </w:r>
      <w:r w:rsidR="00085CB0" w:rsidRPr="007A086B">
        <w:rPr>
          <w:rFonts w:asciiTheme="minorHAnsi" w:hAnsiTheme="minorHAnsi"/>
          <w:bCs/>
        </w:rPr>
        <w:t>s unknown.</w:t>
      </w:r>
      <w:r w:rsidR="0015642F" w:rsidRPr="0015642F">
        <w:rPr>
          <w:rFonts w:asciiTheme="minorHAnsi" w:hAnsiTheme="minorHAnsi"/>
          <w:bCs/>
        </w:rPr>
        <w:t xml:space="preserve"> </w:t>
      </w:r>
      <w:r w:rsidR="0015642F">
        <w:rPr>
          <w:rFonts w:asciiTheme="minorHAnsi" w:hAnsiTheme="minorHAnsi"/>
          <w:bCs/>
        </w:rPr>
        <w:t>Overall, t</w:t>
      </w:r>
      <w:r w:rsidR="0015642F" w:rsidRPr="007A086B">
        <w:rPr>
          <w:rFonts w:asciiTheme="minorHAnsi" w:hAnsiTheme="minorHAnsi"/>
          <w:bCs/>
        </w:rPr>
        <w:t xml:space="preserve">he PBAC considered that </w:t>
      </w:r>
      <w:r w:rsidR="0015642F">
        <w:rPr>
          <w:rFonts w:asciiTheme="minorHAnsi" w:hAnsiTheme="minorHAnsi"/>
          <w:bCs/>
        </w:rPr>
        <w:t xml:space="preserve">there was insufficient information in the minor submission </w:t>
      </w:r>
      <w:proofErr w:type="gramStart"/>
      <w:r w:rsidR="0015642F">
        <w:rPr>
          <w:rFonts w:asciiTheme="minorHAnsi" w:hAnsiTheme="minorHAnsi"/>
          <w:bCs/>
        </w:rPr>
        <w:t>to accurately quantify</w:t>
      </w:r>
      <w:proofErr w:type="gramEnd"/>
      <w:r w:rsidR="0015642F">
        <w:rPr>
          <w:rFonts w:asciiTheme="minorHAnsi" w:hAnsiTheme="minorHAnsi"/>
          <w:bCs/>
        </w:rPr>
        <w:t xml:space="preserve"> the comparative benefit of bevacizumab.</w:t>
      </w:r>
    </w:p>
    <w:p w:rsidR="00176E84" w:rsidRPr="00AE07CE" w:rsidRDefault="00176E84" w:rsidP="00E752A8">
      <w:pPr>
        <w:widowControl w:val="0"/>
        <w:numPr>
          <w:ilvl w:val="1"/>
          <w:numId w:val="5"/>
        </w:numPr>
        <w:spacing w:before="120" w:after="120"/>
        <w:ind w:left="720"/>
        <w:jc w:val="both"/>
        <w:rPr>
          <w:rFonts w:asciiTheme="minorHAnsi" w:hAnsiTheme="minorHAnsi"/>
        </w:rPr>
      </w:pPr>
      <w:r w:rsidRPr="00AE07CE">
        <w:rPr>
          <w:rFonts w:asciiTheme="minorHAnsi" w:hAnsiTheme="minorHAnsi"/>
        </w:rPr>
        <w:t xml:space="preserve">The PBAC considered that bevacizumab is generally well tolerated </w:t>
      </w:r>
      <w:r w:rsidR="00ED01D5">
        <w:rPr>
          <w:rFonts w:asciiTheme="minorHAnsi" w:hAnsiTheme="minorHAnsi"/>
        </w:rPr>
        <w:t xml:space="preserve">when used in other disease </w:t>
      </w:r>
      <w:proofErr w:type="gramStart"/>
      <w:r w:rsidR="00ED01D5">
        <w:rPr>
          <w:rFonts w:asciiTheme="minorHAnsi" w:hAnsiTheme="minorHAnsi"/>
        </w:rPr>
        <w:t>settings,</w:t>
      </w:r>
      <w:proofErr w:type="gramEnd"/>
      <w:r w:rsidR="00ED01D5">
        <w:rPr>
          <w:rFonts w:asciiTheme="minorHAnsi" w:hAnsiTheme="minorHAnsi"/>
        </w:rPr>
        <w:t xml:space="preserve"> however </w:t>
      </w:r>
      <w:r w:rsidR="006B3DB6">
        <w:rPr>
          <w:rFonts w:asciiTheme="minorHAnsi" w:hAnsiTheme="minorHAnsi"/>
        </w:rPr>
        <w:t xml:space="preserve">the PBAC considered there was </w:t>
      </w:r>
      <w:r w:rsidR="006B3DB6" w:rsidRPr="006B3DB6">
        <w:rPr>
          <w:rFonts w:asciiTheme="minorHAnsi" w:hAnsiTheme="minorHAnsi"/>
        </w:rPr>
        <w:t>insufficient information in the minor submission to draw a conclusion around the comparative safety</w:t>
      </w:r>
      <w:r w:rsidR="0015642F">
        <w:rPr>
          <w:rFonts w:asciiTheme="minorHAnsi" w:hAnsiTheme="minorHAnsi"/>
        </w:rPr>
        <w:t xml:space="preserve"> in this context</w:t>
      </w:r>
      <w:r w:rsidR="006B3DB6">
        <w:rPr>
          <w:rFonts w:asciiTheme="minorHAnsi" w:hAnsiTheme="minorHAnsi"/>
        </w:rPr>
        <w:t xml:space="preserve">. The PBAC considered </w:t>
      </w:r>
      <w:proofErr w:type="gramStart"/>
      <w:r w:rsidR="006B3DB6">
        <w:rPr>
          <w:rFonts w:asciiTheme="minorHAnsi" w:hAnsiTheme="minorHAnsi"/>
        </w:rPr>
        <w:t xml:space="preserve">that </w:t>
      </w:r>
      <w:r w:rsidR="00280572">
        <w:rPr>
          <w:rFonts w:asciiTheme="minorHAnsi" w:hAnsiTheme="minorHAnsi"/>
        </w:rPr>
        <w:t>there</w:t>
      </w:r>
      <w:proofErr w:type="gramEnd"/>
      <w:r w:rsidR="00280572">
        <w:rPr>
          <w:rFonts w:asciiTheme="minorHAnsi" w:hAnsiTheme="minorHAnsi"/>
        </w:rPr>
        <w:t xml:space="preserve"> remains uncertainty regarding the risk </w:t>
      </w:r>
      <w:r w:rsidR="006B3DB6">
        <w:rPr>
          <w:rFonts w:asciiTheme="minorHAnsi" w:hAnsiTheme="minorHAnsi"/>
        </w:rPr>
        <w:t>versus</w:t>
      </w:r>
      <w:r w:rsidR="00280572">
        <w:rPr>
          <w:rFonts w:asciiTheme="minorHAnsi" w:hAnsiTheme="minorHAnsi"/>
        </w:rPr>
        <w:t xml:space="preserve"> benefit profile of bevacizumab in glioblastoma, and requested further information in order to </w:t>
      </w:r>
      <w:r w:rsidR="00BE2059">
        <w:rPr>
          <w:rFonts w:asciiTheme="minorHAnsi" w:hAnsiTheme="minorHAnsi"/>
        </w:rPr>
        <w:t>assess</w:t>
      </w:r>
      <w:r w:rsidR="00280572">
        <w:rPr>
          <w:rFonts w:asciiTheme="minorHAnsi" w:hAnsiTheme="minorHAnsi"/>
        </w:rPr>
        <w:t xml:space="preserve"> </w:t>
      </w:r>
      <w:r w:rsidR="00777D16">
        <w:rPr>
          <w:rFonts w:asciiTheme="minorHAnsi" w:hAnsiTheme="minorHAnsi"/>
        </w:rPr>
        <w:t xml:space="preserve">the </w:t>
      </w:r>
      <w:r w:rsidR="00280572">
        <w:rPr>
          <w:rFonts w:asciiTheme="minorHAnsi" w:hAnsiTheme="minorHAnsi"/>
        </w:rPr>
        <w:t xml:space="preserve">cost-effectiveness. </w:t>
      </w:r>
    </w:p>
    <w:p w:rsidR="00C1117A" w:rsidRPr="007A086B" w:rsidRDefault="00C1117A"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PBAC acknowledged the high financial burden </w:t>
      </w:r>
      <w:r w:rsidR="0015642F">
        <w:rPr>
          <w:rFonts w:asciiTheme="minorHAnsi" w:hAnsiTheme="minorHAnsi" w:cs="Arial"/>
          <w:bCs/>
          <w:snapToGrid w:val="0"/>
        </w:rPr>
        <w:t xml:space="preserve">on </w:t>
      </w:r>
      <w:r w:rsidRPr="007A086B">
        <w:rPr>
          <w:rFonts w:asciiTheme="minorHAnsi" w:hAnsiTheme="minorHAnsi" w:cs="Arial"/>
          <w:bCs/>
          <w:snapToGrid w:val="0"/>
        </w:rPr>
        <w:t xml:space="preserve">patients </w:t>
      </w:r>
      <w:r w:rsidR="009C7730" w:rsidRPr="007A086B">
        <w:rPr>
          <w:rFonts w:asciiTheme="minorHAnsi" w:hAnsiTheme="minorHAnsi" w:cs="Arial"/>
          <w:bCs/>
          <w:snapToGrid w:val="0"/>
        </w:rPr>
        <w:t>of</w:t>
      </w:r>
      <w:r w:rsidRPr="007A086B">
        <w:rPr>
          <w:rFonts w:asciiTheme="minorHAnsi" w:hAnsiTheme="minorHAnsi" w:cs="Arial"/>
          <w:bCs/>
          <w:snapToGrid w:val="0"/>
        </w:rPr>
        <w:t xml:space="preserve"> accessing bevacizumab through the sponsor’s patient access program</w:t>
      </w:r>
      <w:r w:rsidR="00685317">
        <w:rPr>
          <w:rFonts w:asciiTheme="minorHAnsi" w:hAnsiTheme="minorHAnsi" w:cs="Arial"/>
          <w:bCs/>
          <w:snapToGrid w:val="0"/>
        </w:rPr>
        <w:t>, reported by patients to be</w:t>
      </w:r>
      <w:r w:rsidRPr="007A086B">
        <w:rPr>
          <w:rFonts w:asciiTheme="minorHAnsi" w:hAnsiTheme="minorHAnsi" w:cs="Arial"/>
          <w:bCs/>
          <w:snapToGrid w:val="0"/>
        </w:rPr>
        <w:t xml:space="preserve"> </w:t>
      </w:r>
      <w:r w:rsidRPr="00274711">
        <w:rPr>
          <w:rFonts w:asciiTheme="minorHAnsi" w:hAnsiTheme="minorHAnsi" w:cs="Arial"/>
          <w:bCs/>
          <w:snapToGrid w:val="0"/>
          <w:lang w:val="en-GB"/>
        </w:rPr>
        <w:t xml:space="preserve">at a </w:t>
      </w:r>
      <w:r w:rsidRPr="00373B5B">
        <w:rPr>
          <w:rFonts w:asciiTheme="minorHAnsi" w:hAnsiTheme="minorHAnsi" w:cs="Arial"/>
          <w:bCs/>
          <w:snapToGrid w:val="0"/>
          <w:lang w:val="en-GB"/>
        </w:rPr>
        <w:t>cost of up to</w:t>
      </w:r>
      <w:r w:rsidR="00176E84" w:rsidRPr="00373B5B">
        <w:rPr>
          <w:rFonts w:asciiTheme="minorHAnsi" w:hAnsiTheme="minorHAnsi" w:cs="Arial"/>
          <w:bCs/>
          <w:snapToGrid w:val="0"/>
          <w:lang w:val="en-GB"/>
        </w:rPr>
        <w:t xml:space="preserve"> around </w:t>
      </w:r>
      <w:r w:rsidR="00D43FE9" w:rsidRPr="00373B5B">
        <w:rPr>
          <w:rFonts w:asciiTheme="minorHAnsi" w:hAnsiTheme="minorHAnsi" w:cs="Arial"/>
          <w:bCs/>
          <w:snapToGrid w:val="0"/>
          <w:lang w:val="en-GB"/>
        </w:rPr>
        <w:t>$</w:t>
      </w:r>
      <w:r w:rsidR="00E454F3">
        <w:rPr>
          <w:rFonts w:asciiTheme="minorHAnsi" w:hAnsiTheme="minorHAnsi" w:cs="Arial"/>
          <w:bCs/>
          <w:noProof/>
          <w:snapToGrid w:val="0"/>
          <w:color w:val="000000"/>
          <w:highlight w:val="black"/>
          <w:lang w:val="en-GB"/>
        </w:rPr>
        <w:t>''''''''''''''</w:t>
      </w:r>
      <w:r w:rsidR="00D43FE9" w:rsidRPr="00373B5B">
        <w:rPr>
          <w:rFonts w:asciiTheme="minorHAnsi" w:hAnsiTheme="minorHAnsi" w:cs="Arial"/>
          <w:bCs/>
          <w:snapToGrid w:val="0"/>
          <w:lang w:val="en-GB"/>
        </w:rPr>
        <w:t xml:space="preserve"> </w:t>
      </w:r>
      <w:r w:rsidR="007A27C9" w:rsidRPr="00373B5B">
        <w:rPr>
          <w:rFonts w:asciiTheme="minorHAnsi" w:hAnsiTheme="minorHAnsi" w:cs="Arial"/>
          <w:bCs/>
          <w:snapToGrid w:val="0"/>
          <w:lang w:val="en-GB"/>
        </w:rPr>
        <w:t>per patient</w:t>
      </w:r>
      <w:r w:rsidRPr="00274711">
        <w:rPr>
          <w:rFonts w:asciiTheme="minorHAnsi" w:hAnsiTheme="minorHAnsi" w:cs="Arial"/>
          <w:bCs/>
          <w:snapToGrid w:val="0"/>
          <w:lang w:val="en-GB"/>
        </w:rPr>
        <w:t xml:space="preserve">. The PBAC noted </w:t>
      </w:r>
      <w:proofErr w:type="spellStart"/>
      <w:r w:rsidRPr="00274711">
        <w:rPr>
          <w:rFonts w:asciiTheme="minorHAnsi" w:hAnsiTheme="minorHAnsi" w:cs="Arial"/>
          <w:bCs/>
          <w:snapToGrid w:val="0"/>
          <w:lang w:val="en-GB"/>
        </w:rPr>
        <w:t>tha</w:t>
      </w:r>
      <w:proofErr w:type="spellEnd"/>
      <w:r w:rsidRPr="007A086B">
        <w:rPr>
          <w:rFonts w:asciiTheme="minorHAnsi" w:hAnsiTheme="minorHAnsi" w:cs="Arial"/>
          <w:bCs/>
          <w:snapToGrid w:val="0"/>
        </w:rPr>
        <w:t xml:space="preserve">t a high proportion of patients </w:t>
      </w:r>
      <w:r w:rsidR="00176E84" w:rsidRPr="007A086B">
        <w:rPr>
          <w:rFonts w:asciiTheme="minorHAnsi" w:hAnsiTheme="minorHAnsi" w:cs="Arial"/>
          <w:bCs/>
          <w:snapToGrid w:val="0"/>
        </w:rPr>
        <w:t xml:space="preserve">with relapsed glioblastoma </w:t>
      </w:r>
      <w:r w:rsidRPr="007A086B">
        <w:rPr>
          <w:rFonts w:asciiTheme="minorHAnsi" w:hAnsiTheme="minorHAnsi" w:cs="Arial"/>
          <w:bCs/>
          <w:snapToGrid w:val="0"/>
        </w:rPr>
        <w:t>(</w:t>
      </w:r>
      <w:r w:rsidRPr="00373B5B">
        <w:rPr>
          <w:rFonts w:asciiTheme="minorHAnsi" w:hAnsiTheme="minorHAnsi" w:cs="Arial"/>
          <w:bCs/>
          <w:snapToGrid w:val="0"/>
        </w:rPr>
        <w:t xml:space="preserve">approximately </w:t>
      </w:r>
      <w:r w:rsidR="00E454F3">
        <w:rPr>
          <w:rFonts w:asciiTheme="minorHAnsi" w:hAnsiTheme="minorHAnsi" w:cs="Arial"/>
          <w:bCs/>
          <w:noProof/>
          <w:snapToGrid w:val="0"/>
          <w:color w:val="000000"/>
          <w:highlight w:val="black"/>
        </w:rPr>
        <w:t>''''''''</w:t>
      </w:r>
      <w:r w:rsidRPr="00373B5B">
        <w:rPr>
          <w:rFonts w:asciiTheme="minorHAnsi" w:hAnsiTheme="minorHAnsi" w:cs="Arial"/>
          <w:bCs/>
          <w:snapToGrid w:val="0"/>
        </w:rPr>
        <w:t xml:space="preserve"> patients</w:t>
      </w:r>
      <w:r w:rsidRPr="007A086B">
        <w:rPr>
          <w:rFonts w:asciiTheme="minorHAnsi" w:hAnsiTheme="minorHAnsi" w:cs="Arial"/>
          <w:bCs/>
          <w:snapToGrid w:val="0"/>
        </w:rPr>
        <w:t xml:space="preserve"> annually) are prescribed and access bevacizumab despite the high out-of-pocket costs, and considered that </w:t>
      </w:r>
      <w:r w:rsidR="00176E84" w:rsidRPr="007A086B">
        <w:rPr>
          <w:rFonts w:asciiTheme="minorHAnsi" w:hAnsiTheme="minorHAnsi" w:cs="Arial"/>
          <w:bCs/>
          <w:snapToGrid w:val="0"/>
        </w:rPr>
        <w:t xml:space="preserve">this </w:t>
      </w:r>
      <w:r w:rsidRPr="007A086B">
        <w:rPr>
          <w:rFonts w:asciiTheme="minorHAnsi" w:hAnsiTheme="minorHAnsi" w:cs="Arial"/>
          <w:bCs/>
          <w:snapToGrid w:val="0"/>
        </w:rPr>
        <w:t>demonstrates a high perceived benefit of bevacizumab and a strong willingness to pay among patients.</w:t>
      </w:r>
    </w:p>
    <w:p w:rsidR="00C1117A" w:rsidRPr="007A086B" w:rsidRDefault="00882893"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w:t>
      </w:r>
      <w:r w:rsidR="00665FD9" w:rsidRPr="007A086B">
        <w:rPr>
          <w:rFonts w:asciiTheme="minorHAnsi" w:hAnsiTheme="minorHAnsi" w:cs="Arial"/>
          <w:bCs/>
          <w:snapToGrid w:val="0"/>
        </w:rPr>
        <w:t xml:space="preserve">PBAC </w:t>
      </w:r>
      <w:r w:rsidR="000F1399" w:rsidRPr="007A086B">
        <w:rPr>
          <w:rFonts w:asciiTheme="minorHAnsi" w:hAnsiTheme="minorHAnsi" w:cs="Arial"/>
          <w:bCs/>
          <w:snapToGrid w:val="0"/>
        </w:rPr>
        <w:t>noted th</w:t>
      </w:r>
      <w:r w:rsidR="003C14C4" w:rsidRPr="007A086B">
        <w:rPr>
          <w:rFonts w:asciiTheme="minorHAnsi" w:hAnsiTheme="minorHAnsi" w:cs="Arial"/>
          <w:bCs/>
          <w:snapToGrid w:val="0"/>
        </w:rPr>
        <w:t xml:space="preserve">at a </w:t>
      </w:r>
      <w:proofErr w:type="gramStart"/>
      <w:r w:rsidR="00E454F3">
        <w:rPr>
          <w:rFonts w:asciiTheme="minorHAnsi" w:hAnsiTheme="minorHAnsi" w:cs="Arial"/>
          <w:bCs/>
          <w:noProof/>
          <w:snapToGrid w:val="0"/>
          <w:color w:val="000000"/>
          <w:highlight w:val="black"/>
        </w:rPr>
        <w:t>''''''</w:t>
      </w:r>
      <w:r w:rsidR="003C14C4" w:rsidRPr="007A086B">
        <w:rPr>
          <w:rFonts w:asciiTheme="minorHAnsi" w:hAnsiTheme="minorHAnsi" w:cs="Arial"/>
          <w:bCs/>
          <w:snapToGrid w:val="0"/>
        </w:rPr>
        <w:t>%</w:t>
      </w:r>
      <w:proofErr w:type="gramEnd"/>
      <w:r w:rsidR="003C14C4" w:rsidRPr="007A086B">
        <w:rPr>
          <w:rFonts w:asciiTheme="minorHAnsi" w:hAnsiTheme="minorHAnsi" w:cs="Arial"/>
          <w:bCs/>
          <w:snapToGrid w:val="0"/>
        </w:rPr>
        <w:t xml:space="preserve"> reduction to the effective price had been offered, which represented a substantial red</w:t>
      </w:r>
      <w:r w:rsidR="000F1399" w:rsidRPr="007A086B">
        <w:rPr>
          <w:rFonts w:asciiTheme="minorHAnsi" w:hAnsiTheme="minorHAnsi" w:cs="Arial"/>
          <w:bCs/>
          <w:snapToGrid w:val="0"/>
        </w:rPr>
        <w:t xml:space="preserve">uction </w:t>
      </w:r>
      <w:r w:rsidR="003C14C4" w:rsidRPr="007A086B">
        <w:rPr>
          <w:rFonts w:asciiTheme="minorHAnsi" w:hAnsiTheme="minorHAnsi" w:cs="Arial"/>
          <w:bCs/>
          <w:snapToGrid w:val="0"/>
        </w:rPr>
        <w:t xml:space="preserve">to the price </w:t>
      </w:r>
      <w:r w:rsidR="000F1399" w:rsidRPr="007A086B">
        <w:rPr>
          <w:rFonts w:asciiTheme="minorHAnsi" w:hAnsiTheme="minorHAnsi" w:cs="Arial"/>
          <w:bCs/>
          <w:snapToGrid w:val="0"/>
        </w:rPr>
        <w:t xml:space="preserve">offered </w:t>
      </w:r>
      <w:r w:rsidR="003C14C4" w:rsidRPr="007A086B">
        <w:rPr>
          <w:rFonts w:asciiTheme="minorHAnsi" w:hAnsiTheme="minorHAnsi" w:cs="Arial"/>
          <w:bCs/>
          <w:snapToGrid w:val="0"/>
        </w:rPr>
        <w:t xml:space="preserve">in </w:t>
      </w:r>
      <w:r w:rsidR="00297DC0" w:rsidRPr="007A086B">
        <w:rPr>
          <w:rFonts w:asciiTheme="minorHAnsi" w:hAnsiTheme="minorHAnsi" w:cs="Arial"/>
          <w:bCs/>
          <w:snapToGrid w:val="0"/>
        </w:rPr>
        <w:t xml:space="preserve">the </w:t>
      </w:r>
      <w:r w:rsidR="003C14C4" w:rsidRPr="007A086B">
        <w:rPr>
          <w:rFonts w:asciiTheme="minorHAnsi" w:hAnsiTheme="minorHAnsi" w:cs="Arial"/>
          <w:bCs/>
          <w:snapToGrid w:val="0"/>
        </w:rPr>
        <w:t>p</w:t>
      </w:r>
      <w:r w:rsidR="000F1399" w:rsidRPr="007A086B">
        <w:rPr>
          <w:rFonts w:asciiTheme="minorHAnsi" w:hAnsiTheme="minorHAnsi" w:cs="Arial"/>
          <w:bCs/>
          <w:snapToGrid w:val="0"/>
        </w:rPr>
        <w:t xml:space="preserve">revious submission and </w:t>
      </w:r>
      <w:r w:rsidR="00665FD9" w:rsidRPr="007A086B">
        <w:rPr>
          <w:rFonts w:asciiTheme="minorHAnsi" w:hAnsiTheme="minorHAnsi" w:cs="Arial"/>
          <w:bCs/>
          <w:snapToGrid w:val="0"/>
        </w:rPr>
        <w:t xml:space="preserve">considered that </w:t>
      </w:r>
      <w:r w:rsidR="000F1399" w:rsidRPr="007A086B">
        <w:rPr>
          <w:rFonts w:asciiTheme="minorHAnsi" w:hAnsiTheme="minorHAnsi" w:cs="Arial"/>
          <w:bCs/>
          <w:snapToGrid w:val="0"/>
        </w:rPr>
        <w:t>this, along with</w:t>
      </w:r>
      <w:r w:rsidR="00665FD9" w:rsidRPr="007A086B">
        <w:rPr>
          <w:rFonts w:asciiTheme="minorHAnsi" w:hAnsiTheme="minorHAnsi" w:cs="Arial"/>
          <w:bCs/>
          <w:snapToGrid w:val="0"/>
        </w:rPr>
        <w:t xml:space="preserve"> </w:t>
      </w:r>
      <w:r w:rsidR="00EE45F6" w:rsidRPr="007A086B">
        <w:rPr>
          <w:rFonts w:asciiTheme="minorHAnsi" w:hAnsiTheme="minorHAnsi" w:cs="Arial"/>
          <w:bCs/>
          <w:snapToGrid w:val="0"/>
        </w:rPr>
        <w:t>the sponsors willingness to enter into a</w:t>
      </w:r>
      <w:r w:rsidR="00176E84" w:rsidRPr="007A086B">
        <w:rPr>
          <w:rFonts w:asciiTheme="minorHAnsi" w:hAnsiTheme="minorHAnsi" w:cs="Arial"/>
          <w:bCs/>
          <w:snapToGrid w:val="0"/>
        </w:rPr>
        <w:t>n RSA</w:t>
      </w:r>
      <w:r w:rsidR="00FE0039">
        <w:rPr>
          <w:rFonts w:asciiTheme="minorHAnsi" w:hAnsiTheme="minorHAnsi" w:cs="Arial"/>
          <w:bCs/>
          <w:snapToGrid w:val="0"/>
        </w:rPr>
        <w:t>,</w:t>
      </w:r>
      <w:r w:rsidR="00176E84" w:rsidRPr="007A086B">
        <w:rPr>
          <w:rFonts w:asciiTheme="minorHAnsi" w:hAnsiTheme="minorHAnsi" w:cs="Arial"/>
          <w:bCs/>
          <w:snapToGrid w:val="0"/>
        </w:rPr>
        <w:t xml:space="preserve"> </w:t>
      </w:r>
      <w:r w:rsidR="00665FD9" w:rsidRPr="007A086B">
        <w:rPr>
          <w:rFonts w:asciiTheme="minorHAnsi" w:hAnsiTheme="minorHAnsi" w:cs="Arial"/>
          <w:bCs/>
          <w:snapToGrid w:val="0"/>
        </w:rPr>
        <w:t>were positive steps to mitigate</w:t>
      </w:r>
      <w:r w:rsidR="00CD496F" w:rsidRPr="007A086B">
        <w:rPr>
          <w:rFonts w:asciiTheme="minorHAnsi" w:hAnsiTheme="minorHAnsi" w:cs="Arial"/>
          <w:bCs/>
          <w:snapToGrid w:val="0"/>
        </w:rPr>
        <w:t xml:space="preserve"> its </w:t>
      </w:r>
      <w:r w:rsidR="00665FD9" w:rsidRPr="007A086B">
        <w:rPr>
          <w:rFonts w:asciiTheme="minorHAnsi" w:hAnsiTheme="minorHAnsi" w:cs="Arial"/>
          <w:bCs/>
          <w:snapToGrid w:val="0"/>
        </w:rPr>
        <w:t>previous concerns regarding the cost-effectiveness of bevacizumab</w:t>
      </w:r>
      <w:r w:rsidR="00892112" w:rsidRPr="007A086B">
        <w:rPr>
          <w:rFonts w:asciiTheme="minorHAnsi" w:hAnsiTheme="minorHAnsi" w:cs="Arial"/>
          <w:bCs/>
          <w:snapToGrid w:val="0"/>
        </w:rPr>
        <w:t>.</w:t>
      </w:r>
      <w:r w:rsidR="00665FD9" w:rsidRPr="007A086B">
        <w:rPr>
          <w:rFonts w:asciiTheme="minorHAnsi" w:hAnsiTheme="minorHAnsi" w:cs="Arial"/>
          <w:bCs/>
          <w:snapToGrid w:val="0"/>
        </w:rPr>
        <w:t xml:space="preserve"> </w:t>
      </w:r>
      <w:r w:rsidR="00892112" w:rsidRPr="007A086B">
        <w:rPr>
          <w:rFonts w:asciiTheme="minorHAnsi" w:hAnsiTheme="minorHAnsi" w:cs="Arial"/>
          <w:bCs/>
          <w:snapToGrid w:val="0"/>
        </w:rPr>
        <w:t xml:space="preserve">The PBAC </w:t>
      </w:r>
      <w:r w:rsidR="00CE3D4D" w:rsidRPr="007A086B">
        <w:rPr>
          <w:rFonts w:asciiTheme="minorHAnsi" w:hAnsiTheme="minorHAnsi" w:cs="Arial"/>
          <w:bCs/>
          <w:snapToGrid w:val="0"/>
        </w:rPr>
        <w:t xml:space="preserve">noted that the minor submission had not provided information regarding the cost-effectiveness of bevacizumab and </w:t>
      </w:r>
      <w:r w:rsidR="00C1117A" w:rsidRPr="007A086B">
        <w:rPr>
          <w:rFonts w:asciiTheme="minorHAnsi" w:hAnsiTheme="minorHAnsi" w:cs="Arial"/>
          <w:bCs/>
          <w:snapToGrid w:val="0"/>
        </w:rPr>
        <w:t>acknowledged that there was unlikely to be sufficient data available to construct a</w:t>
      </w:r>
      <w:r w:rsidR="006E03E9">
        <w:rPr>
          <w:rFonts w:asciiTheme="minorHAnsi" w:hAnsiTheme="minorHAnsi" w:cs="Arial"/>
          <w:bCs/>
          <w:snapToGrid w:val="0"/>
        </w:rPr>
        <w:t xml:space="preserve"> reliable</w:t>
      </w:r>
      <w:r w:rsidR="00C1117A" w:rsidRPr="007A086B">
        <w:rPr>
          <w:rFonts w:asciiTheme="minorHAnsi" w:hAnsiTheme="minorHAnsi" w:cs="Arial"/>
          <w:bCs/>
          <w:snapToGrid w:val="0"/>
        </w:rPr>
        <w:t xml:space="preserve"> economic model in this particular setting</w:t>
      </w:r>
      <w:r w:rsidR="00CE3D4D" w:rsidRPr="007A086B">
        <w:rPr>
          <w:rFonts w:asciiTheme="minorHAnsi" w:hAnsiTheme="minorHAnsi" w:cs="Arial"/>
          <w:bCs/>
          <w:snapToGrid w:val="0"/>
        </w:rPr>
        <w:t xml:space="preserve">. </w:t>
      </w:r>
      <w:r w:rsidR="00990624" w:rsidRPr="007A086B">
        <w:rPr>
          <w:rFonts w:asciiTheme="minorHAnsi" w:hAnsiTheme="minorHAnsi" w:cs="Arial"/>
          <w:bCs/>
          <w:snapToGrid w:val="0"/>
        </w:rPr>
        <w:t>However, the PBAC</w:t>
      </w:r>
      <w:r w:rsidR="002652E3" w:rsidRPr="007A086B">
        <w:rPr>
          <w:rFonts w:asciiTheme="minorHAnsi" w:hAnsiTheme="minorHAnsi" w:cs="Arial"/>
          <w:bCs/>
          <w:snapToGrid w:val="0"/>
        </w:rPr>
        <w:t xml:space="preserve"> considered additional information was required </w:t>
      </w:r>
      <w:r w:rsidR="00892112" w:rsidRPr="007A086B">
        <w:rPr>
          <w:rFonts w:asciiTheme="minorHAnsi" w:hAnsiTheme="minorHAnsi" w:cs="Arial"/>
          <w:bCs/>
          <w:snapToGrid w:val="0"/>
        </w:rPr>
        <w:t>to establish a basis for determining the cost-effectiveness of bevacizumab in this indication.</w:t>
      </w:r>
    </w:p>
    <w:p w:rsidR="00B458B2" w:rsidRPr="00400B3F" w:rsidRDefault="00F170F4" w:rsidP="00E752A8">
      <w:pPr>
        <w:widowControl w:val="0"/>
        <w:numPr>
          <w:ilvl w:val="1"/>
          <w:numId w:val="5"/>
        </w:numPr>
        <w:spacing w:before="120" w:after="120"/>
        <w:ind w:left="720"/>
        <w:jc w:val="both"/>
        <w:rPr>
          <w:rFonts w:asciiTheme="minorHAnsi" w:eastAsiaTheme="minorHAnsi" w:hAnsiTheme="minorHAnsi" w:cstheme="minorBidi"/>
        </w:rPr>
      </w:pPr>
      <w:r w:rsidRPr="00AE07CE">
        <w:rPr>
          <w:rFonts w:asciiTheme="minorHAnsi" w:eastAsiaTheme="minorHAnsi" w:hAnsiTheme="minorHAnsi" w:cstheme="minorBidi"/>
        </w:rPr>
        <w:t>The PBAC noted</w:t>
      </w:r>
      <w:r w:rsidR="00CD496F" w:rsidRPr="00AE07CE">
        <w:rPr>
          <w:rFonts w:asciiTheme="minorHAnsi" w:eastAsiaTheme="minorHAnsi" w:hAnsiTheme="minorHAnsi" w:cstheme="minorBidi"/>
        </w:rPr>
        <w:t xml:space="preserve"> that the sponsor provided </w:t>
      </w:r>
      <w:r w:rsidR="003C14C4" w:rsidRPr="00AE07CE">
        <w:rPr>
          <w:rFonts w:asciiTheme="minorHAnsi" w:eastAsiaTheme="minorHAnsi" w:hAnsiTheme="minorHAnsi" w:cstheme="minorBidi"/>
        </w:rPr>
        <w:t xml:space="preserve">updated financial estimates in its </w:t>
      </w:r>
      <w:r w:rsidR="00CD496F" w:rsidRPr="00AE07CE">
        <w:rPr>
          <w:rFonts w:asciiTheme="minorHAnsi" w:eastAsiaTheme="minorHAnsi" w:hAnsiTheme="minorHAnsi" w:cstheme="minorBidi"/>
        </w:rPr>
        <w:t xml:space="preserve">pre-PBAC </w:t>
      </w:r>
      <w:r w:rsidR="00400B3F" w:rsidRPr="00AE07CE">
        <w:rPr>
          <w:rFonts w:asciiTheme="minorHAnsi" w:eastAsiaTheme="minorHAnsi" w:hAnsiTheme="minorHAnsi" w:cstheme="minorBidi"/>
        </w:rPr>
        <w:t>response</w:t>
      </w:r>
      <w:r w:rsidR="00400B3F" w:rsidRPr="00400B3F">
        <w:rPr>
          <w:rFonts w:asciiTheme="minorHAnsi" w:eastAsiaTheme="minorHAnsi" w:hAnsiTheme="minorHAnsi" w:cstheme="minorBidi"/>
        </w:rPr>
        <w:t xml:space="preserve"> that</w:t>
      </w:r>
      <w:r w:rsidR="00B458B2" w:rsidRPr="00400B3F">
        <w:rPr>
          <w:rFonts w:asciiTheme="minorHAnsi" w:eastAsiaTheme="minorHAnsi" w:hAnsiTheme="minorHAnsi" w:cstheme="minorBidi"/>
        </w:rPr>
        <w:t xml:space="preserve"> </w:t>
      </w:r>
      <w:r w:rsidR="00E83F16" w:rsidRPr="00400B3F">
        <w:rPr>
          <w:rFonts w:asciiTheme="minorHAnsi" w:eastAsiaTheme="minorHAnsi" w:hAnsiTheme="minorHAnsi" w:cstheme="minorBidi"/>
        </w:rPr>
        <w:t xml:space="preserve">substantially </w:t>
      </w:r>
      <w:r w:rsidR="00B458B2" w:rsidRPr="00400B3F">
        <w:rPr>
          <w:rFonts w:asciiTheme="minorHAnsi" w:eastAsiaTheme="minorHAnsi" w:hAnsiTheme="minorHAnsi" w:cstheme="minorBidi"/>
        </w:rPr>
        <w:t xml:space="preserve">increased the estimated </w:t>
      </w:r>
      <w:r w:rsidR="006E03E9">
        <w:rPr>
          <w:rFonts w:asciiTheme="minorHAnsi" w:eastAsiaTheme="minorHAnsi" w:hAnsiTheme="minorHAnsi" w:cstheme="minorBidi"/>
        </w:rPr>
        <w:t>cost to the PBS/RPBS from $</w:t>
      </w:r>
      <w:r w:rsidR="000A2726">
        <w:rPr>
          <w:rFonts w:asciiTheme="minorHAnsi" w:eastAsiaTheme="minorHAnsi" w:hAnsiTheme="minorHAnsi" w:cstheme="minorBidi"/>
        </w:rPr>
        <w:t>30 to 60</w:t>
      </w:r>
      <w:r w:rsidR="006E03E9">
        <w:rPr>
          <w:rFonts w:asciiTheme="minorHAnsi" w:eastAsiaTheme="minorHAnsi" w:hAnsiTheme="minorHAnsi" w:cstheme="minorBidi"/>
        </w:rPr>
        <w:t> </w:t>
      </w:r>
      <w:r w:rsidR="00B458B2" w:rsidRPr="00400B3F">
        <w:rPr>
          <w:rFonts w:asciiTheme="minorHAnsi" w:eastAsiaTheme="minorHAnsi" w:hAnsiTheme="minorHAnsi" w:cstheme="minorBidi"/>
        </w:rPr>
        <w:t>million over 6 years to $</w:t>
      </w:r>
      <w:r w:rsidR="000A2726">
        <w:rPr>
          <w:rFonts w:asciiTheme="minorHAnsi" w:eastAsiaTheme="minorHAnsi" w:hAnsiTheme="minorHAnsi" w:cstheme="minorBidi"/>
        </w:rPr>
        <w:t>30 to $60</w:t>
      </w:r>
      <w:r w:rsidR="00B458B2" w:rsidRPr="00400B3F">
        <w:rPr>
          <w:rFonts w:asciiTheme="minorHAnsi" w:eastAsiaTheme="minorHAnsi" w:hAnsiTheme="minorHAnsi" w:cstheme="minorBidi"/>
        </w:rPr>
        <w:t xml:space="preserve"> million over 6 years. The PBAC considered that the estimated cost to the PBS/RPBS was high</w:t>
      </w:r>
      <w:r w:rsidR="006E03E9">
        <w:rPr>
          <w:rFonts w:asciiTheme="minorHAnsi" w:eastAsiaTheme="minorHAnsi" w:hAnsiTheme="minorHAnsi" w:cstheme="minorBidi"/>
        </w:rPr>
        <w:t>, particularly</w:t>
      </w:r>
      <w:r w:rsidR="00B458B2" w:rsidRPr="00400B3F">
        <w:rPr>
          <w:rFonts w:asciiTheme="minorHAnsi" w:eastAsiaTheme="minorHAnsi" w:hAnsiTheme="minorHAnsi" w:cstheme="minorBidi"/>
        </w:rPr>
        <w:t xml:space="preserve"> in the context of a therapy with primarily symptomatic benefits, with limited robust data on efficacy, and in the context of information </w:t>
      </w:r>
      <w:r w:rsidR="002652E3" w:rsidRPr="00400B3F">
        <w:rPr>
          <w:rFonts w:asciiTheme="minorHAnsi" w:eastAsiaTheme="minorHAnsi" w:hAnsiTheme="minorHAnsi" w:cstheme="minorBidi"/>
        </w:rPr>
        <w:t xml:space="preserve">not </w:t>
      </w:r>
      <w:proofErr w:type="gramStart"/>
      <w:r w:rsidR="002652E3" w:rsidRPr="00400B3F">
        <w:rPr>
          <w:rFonts w:asciiTheme="minorHAnsi" w:eastAsiaTheme="minorHAnsi" w:hAnsiTheme="minorHAnsi" w:cstheme="minorBidi"/>
        </w:rPr>
        <w:t>being presented</w:t>
      </w:r>
      <w:proofErr w:type="gramEnd"/>
      <w:r w:rsidR="002652E3" w:rsidRPr="00400B3F">
        <w:rPr>
          <w:rFonts w:asciiTheme="minorHAnsi" w:eastAsiaTheme="minorHAnsi" w:hAnsiTheme="minorHAnsi" w:cstheme="minorBidi"/>
        </w:rPr>
        <w:t xml:space="preserve"> in the submission</w:t>
      </w:r>
      <w:r w:rsidR="00B458B2" w:rsidRPr="00400B3F">
        <w:rPr>
          <w:rFonts w:asciiTheme="minorHAnsi" w:eastAsiaTheme="minorHAnsi" w:hAnsiTheme="minorHAnsi" w:cstheme="minorBidi"/>
        </w:rPr>
        <w:t xml:space="preserve"> regarding cost-</w:t>
      </w:r>
      <w:r w:rsidR="00B458B2" w:rsidRPr="00400B3F">
        <w:rPr>
          <w:rFonts w:asciiTheme="minorHAnsi" w:eastAsiaTheme="minorHAnsi" w:hAnsiTheme="minorHAnsi" w:cstheme="minorBidi"/>
        </w:rPr>
        <w:lastRenderedPageBreak/>
        <w:t xml:space="preserve">effectiveness. </w:t>
      </w:r>
    </w:p>
    <w:p w:rsidR="00B458B2" w:rsidRPr="007A086B" w:rsidRDefault="00B458B2" w:rsidP="00E752A8">
      <w:pPr>
        <w:widowControl w:val="0"/>
        <w:numPr>
          <w:ilvl w:val="1"/>
          <w:numId w:val="5"/>
        </w:numPr>
        <w:spacing w:before="120" w:after="120"/>
        <w:ind w:left="720"/>
        <w:jc w:val="both"/>
        <w:rPr>
          <w:rFonts w:asciiTheme="minorHAnsi" w:hAnsiTheme="minorHAnsi"/>
          <w:bCs/>
        </w:rPr>
      </w:pPr>
      <w:r w:rsidRPr="007A086B">
        <w:rPr>
          <w:rFonts w:asciiTheme="minorHAnsi" w:hAnsiTheme="minorHAnsi"/>
          <w:bCs/>
        </w:rPr>
        <w:t>The PBAC considered that the eligible population is uncertain and there is a risk of leakage outside the requested PBS listing (e.g. in patients with lower grade tumours and spinal tumours). The PBAC considered that an RSA in the form of an expenditure cap would be required to manage these risks, and noted that the pre-PBAC response stated that the sponsor is willing to work with the PBAC to negotiate a RSA. The PBAC considered than an RSA may also help to contain the total cost to Government in the context of the uncertain cost-</w:t>
      </w:r>
      <w:r w:rsidRPr="00AE07CE">
        <w:rPr>
          <w:rFonts w:asciiTheme="minorHAnsi" w:eastAsiaTheme="minorHAnsi" w:hAnsiTheme="minorHAnsi" w:cstheme="minorBidi"/>
        </w:rPr>
        <w:t>effectiveness</w:t>
      </w:r>
      <w:r w:rsidRPr="007A086B">
        <w:rPr>
          <w:rFonts w:asciiTheme="minorHAnsi" w:hAnsiTheme="minorHAnsi"/>
          <w:bCs/>
        </w:rPr>
        <w:t xml:space="preserve">. </w:t>
      </w:r>
    </w:p>
    <w:p w:rsidR="00892112" w:rsidRPr="007A086B" w:rsidRDefault="00892112" w:rsidP="00E752A8">
      <w:pPr>
        <w:widowControl w:val="0"/>
        <w:numPr>
          <w:ilvl w:val="1"/>
          <w:numId w:val="5"/>
        </w:numPr>
        <w:spacing w:before="120" w:after="120"/>
        <w:ind w:left="720"/>
        <w:jc w:val="both"/>
        <w:rPr>
          <w:rFonts w:asciiTheme="minorHAnsi" w:hAnsiTheme="minorHAnsi" w:cs="Arial"/>
          <w:bCs/>
          <w:snapToGrid w:val="0"/>
        </w:rPr>
      </w:pPr>
      <w:r w:rsidRPr="00AE07CE">
        <w:rPr>
          <w:rFonts w:asciiTheme="minorHAnsi" w:eastAsiaTheme="minorHAnsi" w:hAnsiTheme="minorHAnsi" w:cstheme="minorBidi"/>
          <w:szCs w:val="22"/>
        </w:rPr>
        <w:t xml:space="preserve">The PBAC considered that grandfathered access </w:t>
      </w:r>
      <w:r w:rsidR="00B458B2" w:rsidRPr="00AE07CE">
        <w:rPr>
          <w:rFonts w:asciiTheme="minorHAnsi" w:eastAsiaTheme="minorHAnsi" w:hAnsiTheme="minorHAnsi" w:cstheme="minorBidi"/>
          <w:szCs w:val="22"/>
        </w:rPr>
        <w:t>via the PBS would not be</w:t>
      </w:r>
      <w:r w:rsidRPr="00AE07CE">
        <w:rPr>
          <w:rFonts w:asciiTheme="minorHAnsi" w:eastAsiaTheme="minorHAnsi" w:hAnsiTheme="minorHAnsi" w:cstheme="minorBidi"/>
          <w:szCs w:val="22"/>
        </w:rPr>
        <w:t xml:space="preserve"> appropriate for patients who have already paid to access bevacizumab through the Pa</w:t>
      </w:r>
      <w:r w:rsidR="00B458B2" w:rsidRPr="00AE07CE">
        <w:rPr>
          <w:rFonts w:asciiTheme="minorHAnsi" w:eastAsiaTheme="minorHAnsi" w:hAnsiTheme="minorHAnsi" w:cstheme="minorBidi"/>
          <w:szCs w:val="22"/>
        </w:rPr>
        <w:t xml:space="preserve">tient Access Program, and </w:t>
      </w:r>
      <w:r w:rsidR="006E03E9">
        <w:rPr>
          <w:rFonts w:asciiTheme="minorHAnsi" w:eastAsiaTheme="minorHAnsi" w:hAnsiTheme="minorHAnsi" w:cstheme="minorBidi"/>
          <w:szCs w:val="22"/>
        </w:rPr>
        <w:t xml:space="preserve">considered </w:t>
      </w:r>
      <w:r w:rsidR="00400B3F">
        <w:rPr>
          <w:rFonts w:asciiTheme="minorHAnsi" w:eastAsiaTheme="minorHAnsi" w:hAnsiTheme="minorHAnsi" w:cstheme="minorBidi"/>
          <w:szCs w:val="22"/>
        </w:rPr>
        <w:t xml:space="preserve">the sponsor should provide </w:t>
      </w:r>
      <w:r w:rsidRPr="00AE07CE">
        <w:rPr>
          <w:rFonts w:asciiTheme="minorHAnsi" w:eastAsiaTheme="minorHAnsi" w:hAnsiTheme="minorHAnsi" w:cstheme="minorBidi"/>
          <w:szCs w:val="22"/>
        </w:rPr>
        <w:t xml:space="preserve">on-going supply </w:t>
      </w:r>
      <w:r w:rsidR="00B458B2" w:rsidRPr="00AE07CE">
        <w:rPr>
          <w:rFonts w:asciiTheme="minorHAnsi" w:eastAsiaTheme="minorHAnsi" w:hAnsiTheme="minorHAnsi" w:cstheme="minorBidi"/>
          <w:szCs w:val="22"/>
        </w:rPr>
        <w:t>for these patients</w:t>
      </w:r>
      <w:r w:rsidRPr="00AE07CE">
        <w:rPr>
          <w:rFonts w:asciiTheme="minorHAnsi" w:eastAsiaTheme="minorHAnsi" w:hAnsiTheme="minorHAnsi" w:cstheme="minorBidi"/>
          <w:szCs w:val="22"/>
        </w:rPr>
        <w:t>.</w:t>
      </w:r>
      <w:r w:rsidR="00516E07" w:rsidRPr="00AE07CE">
        <w:rPr>
          <w:rFonts w:asciiTheme="minorHAnsi" w:eastAsiaTheme="minorHAnsi" w:hAnsiTheme="minorHAnsi" w:cstheme="minorBidi"/>
          <w:szCs w:val="22"/>
        </w:rPr>
        <w:t xml:space="preserve"> </w:t>
      </w:r>
    </w:p>
    <w:p w:rsidR="00B458B2" w:rsidRPr="007A086B" w:rsidRDefault="00B458B2"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bCs/>
        </w:rPr>
        <w:t>As part of the deferral process, the PBAC requested that the sponsor provide further information regarding the cost-effectiveness of bevacizumab in this indication and details of an RSA proposal.</w:t>
      </w:r>
    </w:p>
    <w:p w:rsidR="00267BCA" w:rsidRPr="007A086B" w:rsidRDefault="00267BCA" w:rsidP="00E752A8">
      <w:pPr>
        <w:widowControl w:val="0"/>
        <w:numPr>
          <w:ilvl w:val="1"/>
          <w:numId w:val="5"/>
        </w:numPr>
        <w:spacing w:before="120" w:after="120"/>
        <w:ind w:left="720"/>
        <w:jc w:val="both"/>
        <w:rPr>
          <w:rFonts w:asciiTheme="minorHAnsi" w:hAnsiTheme="minorHAnsi" w:cs="Arial"/>
          <w:bCs/>
          <w:snapToGrid w:val="0"/>
        </w:rPr>
      </w:pPr>
      <w:r w:rsidRPr="007A086B">
        <w:rPr>
          <w:rFonts w:asciiTheme="minorHAnsi" w:hAnsiTheme="minorHAnsi" w:cs="Arial"/>
          <w:bCs/>
          <w:snapToGrid w:val="0"/>
        </w:rPr>
        <w:t xml:space="preserve">The PBAC noted that this submission is </w:t>
      </w:r>
      <w:r w:rsidR="00CE3D4D" w:rsidRPr="007A086B">
        <w:rPr>
          <w:rFonts w:asciiTheme="minorHAnsi" w:hAnsiTheme="minorHAnsi" w:cs="Arial"/>
          <w:bCs/>
          <w:snapToGrid w:val="0"/>
        </w:rPr>
        <w:t xml:space="preserve">not </w:t>
      </w:r>
      <w:r w:rsidRPr="007A086B">
        <w:rPr>
          <w:rFonts w:asciiTheme="minorHAnsi" w:hAnsiTheme="minorHAnsi" w:cs="Arial"/>
          <w:bCs/>
          <w:snapToGrid w:val="0"/>
        </w:rPr>
        <w:t xml:space="preserve">eligible for an Independent </w:t>
      </w:r>
      <w:proofErr w:type="gramStart"/>
      <w:r w:rsidRPr="007A086B">
        <w:rPr>
          <w:rFonts w:asciiTheme="minorHAnsi" w:hAnsiTheme="minorHAnsi" w:cs="Arial"/>
          <w:bCs/>
          <w:snapToGrid w:val="0"/>
        </w:rPr>
        <w:t>Review</w:t>
      </w:r>
      <w:proofErr w:type="gramEnd"/>
      <w:r w:rsidR="00CE3D4D" w:rsidRPr="007A086B">
        <w:rPr>
          <w:rFonts w:asciiTheme="minorHAnsi" w:hAnsiTheme="minorHAnsi" w:cs="Arial"/>
          <w:bCs/>
          <w:snapToGrid w:val="0"/>
        </w:rPr>
        <w:t xml:space="preserve"> as it has been deferred</w:t>
      </w:r>
      <w:r w:rsidRPr="007A086B">
        <w:rPr>
          <w:rFonts w:asciiTheme="minorHAnsi" w:hAnsiTheme="minorHAnsi" w:cs="Arial"/>
          <w:bCs/>
          <w:snapToGrid w:val="0"/>
        </w:rPr>
        <w:t>.</w:t>
      </w:r>
    </w:p>
    <w:p w:rsidR="00267BCA" w:rsidRPr="007A086B" w:rsidRDefault="00267BCA" w:rsidP="00E752A8">
      <w:pPr>
        <w:spacing w:before="120" w:after="120"/>
        <w:jc w:val="both"/>
        <w:rPr>
          <w:rFonts w:asciiTheme="minorHAnsi" w:hAnsiTheme="minorHAnsi" w:cs="Arial"/>
          <w:b/>
          <w:bCs/>
          <w:snapToGrid w:val="0"/>
        </w:rPr>
      </w:pPr>
      <w:r w:rsidRPr="007A086B">
        <w:rPr>
          <w:rFonts w:asciiTheme="minorHAnsi" w:hAnsiTheme="minorHAnsi" w:cs="Arial"/>
          <w:b/>
          <w:bCs/>
          <w:snapToGrid w:val="0"/>
        </w:rPr>
        <w:t>Outcome:</w:t>
      </w:r>
    </w:p>
    <w:p w:rsidR="008F4A5D" w:rsidRPr="00373B5B" w:rsidRDefault="00267BCA" w:rsidP="00E752A8">
      <w:pPr>
        <w:spacing w:before="120" w:after="120"/>
        <w:jc w:val="both"/>
        <w:rPr>
          <w:rFonts w:asciiTheme="minorHAnsi" w:hAnsiTheme="minorHAnsi" w:cs="Arial"/>
          <w:bCs/>
          <w:snapToGrid w:val="0"/>
        </w:rPr>
      </w:pPr>
      <w:r w:rsidRPr="007A086B">
        <w:rPr>
          <w:rFonts w:asciiTheme="minorHAnsi" w:hAnsiTheme="minorHAnsi" w:cs="Arial"/>
          <w:bCs/>
          <w:snapToGrid w:val="0"/>
        </w:rPr>
        <w:t>Deferred</w:t>
      </w:r>
    </w:p>
    <w:p w:rsidR="008F4A5D" w:rsidRPr="008F4A5D" w:rsidRDefault="008F4A5D" w:rsidP="00E752A8">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F4A5D">
        <w:rPr>
          <w:rFonts w:asciiTheme="minorHAnsi" w:hAnsiTheme="minorHAnsi"/>
          <w:sz w:val="32"/>
          <w:szCs w:val="32"/>
        </w:rPr>
        <w:t>Context for Decision</w:t>
      </w:r>
    </w:p>
    <w:p w:rsidR="008F4A5D" w:rsidRPr="00373B5B" w:rsidRDefault="008F4A5D" w:rsidP="00E752A8">
      <w:pPr>
        <w:spacing w:before="120" w:after="120"/>
        <w:ind w:left="709"/>
        <w:jc w:val="both"/>
        <w:rPr>
          <w:rFonts w:asciiTheme="minorHAnsi" w:eastAsiaTheme="minorHAnsi" w:hAnsiTheme="minorHAnsi" w:cs="Arial"/>
          <w:szCs w:val="22"/>
          <w:lang w:eastAsia="en-US"/>
        </w:rPr>
      </w:pPr>
      <w:r w:rsidRPr="008F4A5D">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F4A5D" w:rsidRPr="008F4A5D" w:rsidRDefault="008F4A5D" w:rsidP="00E752A8">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F4A5D">
        <w:rPr>
          <w:rFonts w:asciiTheme="minorHAnsi" w:hAnsiTheme="minorHAnsi"/>
          <w:sz w:val="32"/>
          <w:szCs w:val="32"/>
        </w:rPr>
        <w:t>Sponsor’s Comment</w:t>
      </w:r>
    </w:p>
    <w:p w:rsidR="00CE3D4D" w:rsidRPr="00E752A8" w:rsidRDefault="0033731E" w:rsidP="00E752A8">
      <w:pPr>
        <w:spacing w:before="120" w:after="120"/>
        <w:ind w:left="709"/>
        <w:jc w:val="both"/>
        <w:rPr>
          <w:rFonts w:asciiTheme="minorHAnsi" w:eastAsiaTheme="minorHAnsi" w:hAnsiTheme="minorHAnsi" w:cs="Arial"/>
          <w:bCs/>
          <w:lang w:eastAsia="en-US"/>
        </w:rPr>
      </w:pPr>
      <w:r w:rsidRPr="00373B5B">
        <w:rPr>
          <w:rFonts w:asciiTheme="minorHAnsi" w:eastAsiaTheme="minorHAnsi" w:hAnsiTheme="minorHAnsi" w:cs="Arial"/>
          <w:szCs w:val="22"/>
          <w:lang w:eastAsia="en-US"/>
        </w:rPr>
        <w:t xml:space="preserve">Roche is committed to addressing the outstanding matters raised by </w:t>
      </w:r>
      <w:r>
        <w:rPr>
          <w:rFonts w:asciiTheme="minorHAnsi" w:eastAsiaTheme="minorHAnsi" w:hAnsiTheme="minorHAnsi" w:cs="Arial"/>
          <w:szCs w:val="22"/>
          <w:lang w:eastAsia="en-US"/>
        </w:rPr>
        <w:t xml:space="preserve">the </w:t>
      </w:r>
      <w:r w:rsidRPr="00373B5B">
        <w:rPr>
          <w:rFonts w:asciiTheme="minorHAnsi" w:eastAsiaTheme="minorHAnsi" w:hAnsiTheme="minorHAnsi" w:cs="Arial"/>
          <w:szCs w:val="22"/>
          <w:lang w:eastAsia="en-US"/>
        </w:rPr>
        <w:t xml:space="preserve">PBAC to bring bevacizumab to patients with relapsed or refractory </w:t>
      </w:r>
      <w:proofErr w:type="spellStart"/>
      <w:r w:rsidRPr="00373B5B">
        <w:rPr>
          <w:rFonts w:asciiTheme="minorHAnsi" w:eastAsiaTheme="minorHAnsi" w:hAnsiTheme="minorHAnsi" w:cs="Arial"/>
          <w:szCs w:val="22"/>
          <w:lang w:eastAsia="en-US"/>
        </w:rPr>
        <w:t>gliobastoma</w:t>
      </w:r>
      <w:proofErr w:type="spellEnd"/>
      <w:r w:rsidRPr="00373B5B">
        <w:rPr>
          <w:rFonts w:asciiTheme="minorHAnsi" w:eastAsiaTheme="minorHAnsi" w:hAnsiTheme="minorHAnsi" w:cs="Arial"/>
          <w:szCs w:val="22"/>
          <w:lang w:eastAsia="en-US"/>
        </w:rPr>
        <w:t xml:space="preserve"> at the earliest opportunity.</w:t>
      </w:r>
    </w:p>
    <w:sectPr w:rsidR="00CE3D4D" w:rsidRPr="00E752A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08851" w16cid:durableId="205467E5"/>
  <w16cid:commentId w16cid:paraId="1AA29FD1" w16cid:durableId="20546781"/>
  <w16cid:commentId w16cid:paraId="133714A3" w16cid:durableId="2056CDAD"/>
  <w16cid:commentId w16cid:paraId="7F019679" w16cid:durableId="20570CDD"/>
  <w16cid:commentId w16cid:paraId="12A20CFC" w16cid:durableId="2054B4DE"/>
  <w16cid:commentId w16cid:paraId="1D0B6AA5" w16cid:durableId="20571459"/>
  <w16cid:commentId w16cid:paraId="2EBBC02B" w16cid:durableId="2054BA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F3" w:rsidRDefault="00E454F3">
      <w:r>
        <w:separator/>
      </w:r>
    </w:p>
    <w:p w:rsidR="00E454F3" w:rsidRDefault="00E454F3"/>
  </w:endnote>
  <w:endnote w:type="continuationSeparator" w:id="0">
    <w:p w:rsidR="00E454F3" w:rsidRDefault="00E454F3">
      <w:r>
        <w:continuationSeparator/>
      </w:r>
    </w:p>
    <w:p w:rsidR="00E454F3" w:rsidRDefault="00E454F3"/>
  </w:endnote>
  <w:endnote w:type="continuationNotice" w:id="1">
    <w:p w:rsidR="00E454F3" w:rsidRDefault="00E45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055F3" w:rsidTr="005A3173">
      <w:trPr>
        <w:trHeight w:val="151"/>
      </w:trPr>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055F3" w:rsidRPr="005A3173" w:rsidRDefault="006055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r>
    <w:tr w:rsidR="006055F3" w:rsidTr="005A3173">
      <w:trPr>
        <w:trHeight w:val="150"/>
      </w:trPr>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0" w:type="auto"/>
          <w:vMerge/>
          <w:vAlign w:val="center"/>
          <w:hideMark/>
        </w:tcPr>
        <w:p w:rsidR="006055F3" w:rsidRPr="005A3173" w:rsidRDefault="006055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r>
  </w:tbl>
  <w:p w:rsidR="006055F3" w:rsidRDefault="006055F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55F3" w:rsidRDefault="006055F3">
    <w:pPr>
      <w:pStyle w:val="Footer"/>
    </w:pPr>
  </w:p>
  <w:p w:rsidR="006055F3" w:rsidRDefault="006055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982321"/>
      <w:docPartObj>
        <w:docPartGallery w:val="Page Numbers (Bottom of Page)"/>
        <w:docPartUnique/>
      </w:docPartObj>
    </w:sdtPr>
    <w:sdtEndPr>
      <w:rPr>
        <w:rFonts w:asciiTheme="minorHAnsi" w:hAnsiTheme="minorHAnsi" w:cstheme="minorHAnsi"/>
        <w:b/>
        <w:noProof/>
        <w:sz w:val="20"/>
        <w:szCs w:val="20"/>
      </w:rPr>
    </w:sdtEndPr>
    <w:sdtContent>
      <w:p w:rsidR="006055F3" w:rsidRPr="00907F4B" w:rsidRDefault="006055F3">
        <w:pPr>
          <w:pStyle w:val="Footer"/>
          <w:jc w:val="center"/>
          <w:rPr>
            <w:rFonts w:asciiTheme="minorHAnsi" w:hAnsiTheme="minorHAnsi" w:cstheme="minorHAnsi"/>
            <w:b/>
            <w:sz w:val="20"/>
            <w:szCs w:val="20"/>
          </w:rPr>
        </w:pPr>
        <w:r w:rsidRPr="00907F4B">
          <w:rPr>
            <w:rFonts w:asciiTheme="minorHAnsi" w:hAnsiTheme="minorHAnsi" w:cstheme="minorHAnsi"/>
            <w:b/>
            <w:sz w:val="20"/>
            <w:szCs w:val="20"/>
          </w:rPr>
          <w:fldChar w:fldCharType="begin"/>
        </w:r>
        <w:r w:rsidRPr="00907F4B">
          <w:rPr>
            <w:rFonts w:asciiTheme="minorHAnsi" w:hAnsiTheme="minorHAnsi" w:cstheme="minorHAnsi"/>
            <w:b/>
            <w:sz w:val="20"/>
            <w:szCs w:val="20"/>
          </w:rPr>
          <w:instrText xml:space="preserve"> PAGE   \* MERGEFORMAT </w:instrText>
        </w:r>
        <w:r w:rsidRPr="00907F4B">
          <w:rPr>
            <w:rFonts w:asciiTheme="minorHAnsi" w:hAnsiTheme="minorHAnsi" w:cstheme="minorHAnsi"/>
            <w:b/>
            <w:sz w:val="20"/>
            <w:szCs w:val="20"/>
          </w:rPr>
          <w:fldChar w:fldCharType="separate"/>
        </w:r>
        <w:r w:rsidR="001958BE">
          <w:rPr>
            <w:rFonts w:asciiTheme="minorHAnsi" w:hAnsiTheme="minorHAnsi" w:cstheme="minorHAnsi"/>
            <w:b/>
            <w:noProof/>
            <w:sz w:val="20"/>
            <w:szCs w:val="20"/>
          </w:rPr>
          <w:t>8</w:t>
        </w:r>
        <w:r w:rsidRPr="00907F4B">
          <w:rPr>
            <w:rFonts w:asciiTheme="minorHAnsi" w:hAnsiTheme="minorHAnsi" w:cstheme="minorHAnsi"/>
            <w:b/>
            <w:noProof/>
            <w:sz w:val="20"/>
            <w:szCs w:val="20"/>
          </w:rPr>
          <w:fldChar w:fldCharType="end"/>
        </w:r>
      </w:p>
    </w:sdtContent>
  </w:sdt>
  <w:p w:rsidR="006055F3" w:rsidRPr="005E1333" w:rsidRDefault="006055F3"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6055F3" w:rsidTr="005A3173">
      <w:trPr>
        <w:trHeight w:val="151"/>
      </w:trPr>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055F3" w:rsidRPr="005A3173" w:rsidRDefault="006055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r>
    <w:tr w:rsidR="006055F3" w:rsidTr="005A3173">
      <w:trPr>
        <w:trHeight w:val="150"/>
      </w:trPr>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0" w:type="auto"/>
          <w:vMerge/>
          <w:vAlign w:val="center"/>
          <w:hideMark/>
        </w:tcPr>
        <w:p w:rsidR="006055F3" w:rsidRPr="005A3173" w:rsidRDefault="006055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6055F3" w:rsidTr="005A3173">
      <w:trPr>
        <w:trHeight w:val="151"/>
      </w:trPr>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055F3" w:rsidRPr="005A3173" w:rsidRDefault="006055F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055F3" w:rsidRPr="005A3173" w:rsidRDefault="006055F3" w:rsidP="005A3173">
          <w:pPr>
            <w:pStyle w:val="Header"/>
            <w:spacing w:line="276" w:lineRule="auto"/>
            <w:rPr>
              <w:rFonts w:ascii="Calibri" w:eastAsia="MS Gothic" w:hAnsi="Calibri"/>
              <w:b/>
              <w:bCs/>
              <w:color w:val="4F81BD"/>
            </w:rPr>
          </w:pPr>
        </w:p>
      </w:tc>
    </w:tr>
    <w:tr w:rsidR="006055F3" w:rsidTr="005A3173">
      <w:trPr>
        <w:trHeight w:val="150"/>
      </w:trPr>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c>
        <w:tcPr>
          <w:tcW w:w="0" w:type="auto"/>
          <w:vMerge/>
          <w:vAlign w:val="center"/>
          <w:hideMark/>
        </w:tcPr>
        <w:p w:rsidR="006055F3" w:rsidRPr="005A3173" w:rsidRDefault="006055F3" w:rsidP="005A3173">
          <w:pPr>
            <w:rPr>
              <w:rFonts w:ascii="Calibri" w:hAnsi="Calibri"/>
              <w:color w:val="365F91"/>
              <w:sz w:val="22"/>
              <w:szCs w:val="22"/>
            </w:rPr>
          </w:pPr>
        </w:p>
      </w:tc>
      <w:tc>
        <w:tcPr>
          <w:tcW w:w="2250" w:type="pct"/>
          <w:tcBorders>
            <w:top w:val="single" w:sz="4" w:space="0" w:color="4F81BD"/>
            <w:left w:val="nil"/>
            <w:bottom w:val="nil"/>
            <w:right w:val="nil"/>
          </w:tcBorders>
        </w:tcPr>
        <w:p w:rsidR="006055F3" w:rsidRPr="005A3173" w:rsidRDefault="006055F3" w:rsidP="005A3173">
          <w:pPr>
            <w:pStyle w:val="Header"/>
            <w:spacing w:line="276" w:lineRule="auto"/>
            <w:rPr>
              <w:rFonts w:ascii="Calibri" w:eastAsia="MS Gothic" w:hAnsi="Calibri"/>
              <w:b/>
              <w:bCs/>
              <w:color w:val="4F81BD"/>
            </w:rPr>
          </w:pPr>
        </w:p>
      </w:tc>
    </w:tr>
  </w:tbl>
  <w:p w:rsidR="006055F3" w:rsidRPr="007C0F57" w:rsidRDefault="006055F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055F3" w:rsidRPr="007C0F57" w:rsidRDefault="006055F3" w:rsidP="007C0F57">
    <w:pPr>
      <w:pStyle w:val="Footer"/>
      <w:jc w:val="center"/>
      <w:rPr>
        <w:b/>
        <w:i/>
        <w:sz w:val="20"/>
        <w:szCs w:val="20"/>
      </w:rPr>
    </w:pPr>
    <w:r w:rsidRPr="007C0F57">
      <w:rPr>
        <w:b/>
        <w:i/>
        <w:sz w:val="20"/>
        <w:szCs w:val="20"/>
      </w:rPr>
      <w:t>Commercial-in-Confidence</w:t>
    </w:r>
  </w:p>
  <w:p w:rsidR="006055F3" w:rsidRDefault="006055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F3" w:rsidRDefault="00E454F3">
      <w:r>
        <w:separator/>
      </w:r>
    </w:p>
    <w:p w:rsidR="00E454F3" w:rsidRDefault="00E454F3"/>
  </w:footnote>
  <w:footnote w:type="continuationSeparator" w:id="0">
    <w:p w:rsidR="00E454F3" w:rsidRDefault="00E454F3">
      <w:r>
        <w:continuationSeparator/>
      </w:r>
    </w:p>
    <w:p w:rsidR="00E454F3" w:rsidRDefault="00E454F3"/>
  </w:footnote>
  <w:footnote w:type="continuationNotice" w:id="1">
    <w:p w:rsidR="00E454F3" w:rsidRDefault="00E454F3"/>
  </w:footnote>
  <w:footnote w:id="2">
    <w:p w:rsidR="006055F3" w:rsidRPr="00A230C6" w:rsidRDefault="006055F3">
      <w:pPr>
        <w:pStyle w:val="FootnoteText"/>
        <w:rPr>
          <w:rFonts w:ascii="Arial Narrow" w:hAnsi="Arial Narrow"/>
        </w:rPr>
      </w:pPr>
      <w:r w:rsidRPr="00A230C6">
        <w:rPr>
          <w:rStyle w:val="FootnoteReference"/>
          <w:rFonts w:ascii="Arial Narrow" w:hAnsi="Arial Narrow"/>
        </w:rPr>
        <w:footnoteRef/>
      </w:r>
      <w:r w:rsidRPr="00A230C6">
        <w:rPr>
          <w:rFonts w:ascii="Arial Narrow" w:hAnsi="Arial Narrow"/>
        </w:rPr>
        <w:t xml:space="preserve"> </w:t>
      </w:r>
      <w:proofErr w:type="spellStart"/>
      <w:r w:rsidRPr="00943FCF">
        <w:rPr>
          <w:rFonts w:ascii="Arial Narrow" w:hAnsi="Arial Narrow"/>
        </w:rPr>
        <w:t>Sizoo</w:t>
      </w:r>
      <w:proofErr w:type="spellEnd"/>
      <w:r w:rsidRPr="00943FCF">
        <w:rPr>
          <w:rFonts w:ascii="Arial Narrow" w:hAnsi="Arial Narrow"/>
        </w:rPr>
        <w:t xml:space="preserve"> E, </w:t>
      </w:r>
      <w:proofErr w:type="spellStart"/>
      <w:r w:rsidRPr="00943FCF">
        <w:rPr>
          <w:rFonts w:ascii="Arial Narrow" w:hAnsi="Arial Narrow"/>
        </w:rPr>
        <w:t>Braam</w:t>
      </w:r>
      <w:proofErr w:type="spellEnd"/>
      <w:r w:rsidRPr="00943FCF">
        <w:rPr>
          <w:rFonts w:ascii="Arial Narrow" w:hAnsi="Arial Narrow"/>
        </w:rPr>
        <w:t xml:space="preserve"> L, </w:t>
      </w:r>
      <w:proofErr w:type="spellStart"/>
      <w:r w:rsidRPr="00943FCF">
        <w:rPr>
          <w:rFonts w:ascii="Arial Narrow" w:hAnsi="Arial Narrow"/>
        </w:rPr>
        <w:t>Postma</w:t>
      </w:r>
      <w:proofErr w:type="spellEnd"/>
      <w:r w:rsidRPr="00943FCF">
        <w:rPr>
          <w:rFonts w:ascii="Arial Narrow" w:hAnsi="Arial Narrow"/>
        </w:rPr>
        <w:t xml:space="preserve"> T, et al</w:t>
      </w:r>
      <w:r w:rsidRPr="00A230C6">
        <w:rPr>
          <w:rFonts w:ascii="Arial Narrow" w:hAnsi="Arial Narrow"/>
        </w:rPr>
        <w:t>. Symptoms and problems in the end-of-life phase of high-grade glioma patients. Neuro-Oncology. 2010;10(11)</w:t>
      </w:r>
    </w:p>
  </w:footnote>
  <w:footnote w:id="3">
    <w:p w:rsidR="006055F3" w:rsidRPr="00A230C6" w:rsidRDefault="006055F3">
      <w:pPr>
        <w:pStyle w:val="FootnoteText"/>
        <w:rPr>
          <w:rFonts w:ascii="Arial Narrow" w:hAnsi="Arial Narrow"/>
        </w:rPr>
      </w:pPr>
      <w:r w:rsidRPr="00A230C6">
        <w:rPr>
          <w:rStyle w:val="FootnoteReference"/>
          <w:rFonts w:ascii="Arial Narrow" w:hAnsi="Arial Narrow"/>
        </w:rPr>
        <w:footnoteRef/>
      </w:r>
      <w:r w:rsidRPr="00A230C6">
        <w:rPr>
          <w:rFonts w:ascii="Arial Narrow" w:hAnsi="Arial Narrow"/>
        </w:rPr>
        <w:t xml:space="preserve"> Wong E, Hess K, Gleason M, et al. Outcomes and prognostic factors in recurrent glioma patients enrolled onto phase II clinical trials. Journal of Clinical Oncology. 1999;17(8)</w:t>
      </w:r>
    </w:p>
  </w:footnote>
  <w:footnote w:id="4">
    <w:p w:rsidR="006055F3" w:rsidRDefault="006055F3">
      <w:pPr>
        <w:pStyle w:val="FootnoteText"/>
      </w:pPr>
      <w:r w:rsidRPr="00A230C6">
        <w:rPr>
          <w:rStyle w:val="FootnoteReference"/>
          <w:rFonts w:ascii="Arial Narrow" w:hAnsi="Arial Narrow"/>
        </w:rPr>
        <w:footnoteRef/>
      </w:r>
      <w:r w:rsidRPr="00A230C6">
        <w:rPr>
          <w:rFonts w:ascii="Arial Narrow" w:hAnsi="Arial Narrow"/>
        </w:rPr>
        <w:t xml:space="preserve"> </w:t>
      </w:r>
      <w:proofErr w:type="spellStart"/>
      <w:r w:rsidRPr="00A230C6">
        <w:rPr>
          <w:rFonts w:ascii="Arial Narrow" w:hAnsi="Arial Narrow"/>
        </w:rPr>
        <w:t>Lamborn</w:t>
      </w:r>
      <w:proofErr w:type="spellEnd"/>
      <w:r w:rsidRPr="00A230C6">
        <w:rPr>
          <w:rFonts w:ascii="Arial Narrow" w:hAnsi="Arial Narrow"/>
        </w:rPr>
        <w:t xml:space="preserve"> K, Yung W, Chang S. Progression-free survival: An important endpoint in evaluating therapy for recurrent high-grade gliomas. Neuro-oncology. 2008;10:162</w:t>
      </w:r>
    </w:p>
  </w:footnote>
  <w:footnote w:id="5">
    <w:p w:rsidR="006055F3" w:rsidRPr="004D444F" w:rsidRDefault="006055F3">
      <w:pPr>
        <w:pStyle w:val="FootnoteText"/>
        <w:rPr>
          <w:rFonts w:ascii="Arial Narrow" w:hAnsi="Arial Narrow"/>
        </w:rPr>
      </w:pPr>
      <w:r w:rsidRPr="004D444F">
        <w:rPr>
          <w:rStyle w:val="FootnoteReference"/>
          <w:rFonts w:ascii="Arial Narrow" w:hAnsi="Arial Narrow"/>
        </w:rPr>
        <w:footnoteRef/>
      </w:r>
      <w:r w:rsidRPr="004D444F">
        <w:rPr>
          <w:rFonts w:ascii="Arial Narrow" w:hAnsi="Arial Narrow"/>
        </w:rPr>
        <w:t xml:space="preserve"> </w:t>
      </w:r>
      <w:proofErr w:type="spellStart"/>
      <w:r w:rsidRPr="004D444F">
        <w:rPr>
          <w:rFonts w:ascii="Arial Narrow" w:hAnsi="Arial Narrow" w:cs="Arial"/>
          <w:bCs/>
          <w:snapToGrid w:val="0"/>
        </w:rPr>
        <w:t>Cherny</w:t>
      </w:r>
      <w:proofErr w:type="spellEnd"/>
      <w:r w:rsidRPr="004D444F">
        <w:rPr>
          <w:rFonts w:ascii="Arial Narrow" w:hAnsi="Arial Narrow" w:cs="Arial"/>
          <w:bCs/>
          <w:snapToGrid w:val="0"/>
        </w:rPr>
        <w:t xml:space="preserve"> NI, Dafni U, </w:t>
      </w:r>
      <w:proofErr w:type="spellStart"/>
      <w:r w:rsidRPr="004D444F">
        <w:rPr>
          <w:rFonts w:ascii="Arial Narrow" w:hAnsi="Arial Narrow" w:cs="Arial"/>
          <w:bCs/>
          <w:snapToGrid w:val="0"/>
        </w:rPr>
        <w:t>Bogaerts</w:t>
      </w:r>
      <w:proofErr w:type="spellEnd"/>
      <w:r w:rsidRPr="004D444F">
        <w:rPr>
          <w:rFonts w:ascii="Arial Narrow" w:hAnsi="Arial Narrow" w:cs="Arial"/>
          <w:bCs/>
          <w:snapToGrid w:val="0"/>
        </w:rPr>
        <w:t xml:space="preserve"> J, et al: ESMO-Magnitude of Clinical Benefit Scale version 1.1. Annals of Oncology 28:2340-2366, 2017</w:t>
      </w:r>
    </w:p>
  </w:footnote>
  <w:footnote w:id="6">
    <w:p w:rsidR="006055F3" w:rsidRPr="004D444F" w:rsidRDefault="006055F3" w:rsidP="00E24E1F">
      <w:pPr>
        <w:pStyle w:val="FootnoteText"/>
        <w:rPr>
          <w:rFonts w:ascii="Arial Narrow" w:hAnsi="Arial Narrow"/>
        </w:rPr>
      </w:pPr>
      <w:r w:rsidRPr="004D444F">
        <w:rPr>
          <w:rStyle w:val="FootnoteReference"/>
          <w:rFonts w:ascii="Arial Narrow" w:hAnsi="Arial Narrow"/>
        </w:rPr>
        <w:footnoteRef/>
      </w:r>
      <w:r w:rsidRPr="004D444F">
        <w:rPr>
          <w:rFonts w:ascii="Arial Narrow" w:hAnsi="Arial Narrow"/>
        </w:rPr>
        <w:t xml:space="preserve"> </w:t>
      </w:r>
      <w:proofErr w:type="spellStart"/>
      <w:r w:rsidRPr="004D444F">
        <w:rPr>
          <w:rFonts w:ascii="Arial Narrow" w:eastAsiaTheme="minorHAnsi" w:hAnsi="Arial Narrow" w:cstheme="minorBidi"/>
        </w:rPr>
        <w:t>Ameratunga</w:t>
      </w:r>
      <w:proofErr w:type="spellEnd"/>
      <w:r w:rsidRPr="004D444F">
        <w:rPr>
          <w:rFonts w:ascii="Arial Narrow" w:eastAsiaTheme="minorHAnsi" w:hAnsi="Arial Narrow" w:cstheme="minorBidi"/>
        </w:rPr>
        <w:t xml:space="preserve"> M, </w:t>
      </w:r>
      <w:proofErr w:type="spellStart"/>
      <w:r w:rsidRPr="004D444F">
        <w:rPr>
          <w:rFonts w:ascii="Arial Narrow" w:eastAsiaTheme="minorHAnsi" w:hAnsi="Arial Narrow" w:cstheme="minorBidi"/>
        </w:rPr>
        <w:t>Pavlakis</w:t>
      </w:r>
      <w:proofErr w:type="spellEnd"/>
      <w:r w:rsidRPr="004D444F">
        <w:rPr>
          <w:rFonts w:ascii="Arial Narrow" w:eastAsiaTheme="minorHAnsi" w:hAnsi="Arial Narrow" w:cstheme="minorBidi"/>
        </w:rPr>
        <w:t xml:space="preserve"> N, Wheeler H, et al. Anti-angiogenic therapy for high-grade glioma (review). Cochrane Database of Systematic Reviews. 2018(11)</w:t>
      </w:r>
    </w:p>
  </w:footnote>
  <w:footnote w:id="7">
    <w:p w:rsidR="006055F3" w:rsidRPr="00A230C6" w:rsidRDefault="006055F3" w:rsidP="00510964">
      <w:pPr>
        <w:pStyle w:val="FootnoteText"/>
        <w:rPr>
          <w:rFonts w:ascii="Arial Narrow" w:hAnsi="Arial Narrow"/>
        </w:rPr>
      </w:pPr>
      <w:r w:rsidRPr="00A230C6">
        <w:rPr>
          <w:rStyle w:val="FootnoteReference"/>
          <w:rFonts w:ascii="Arial Narrow" w:hAnsi="Arial Narrow"/>
        </w:rPr>
        <w:footnoteRef/>
      </w:r>
      <w:r w:rsidRPr="00A230C6">
        <w:rPr>
          <w:rFonts w:ascii="Arial Narrow" w:hAnsi="Arial Narrow"/>
        </w:rPr>
        <w:t xml:space="preserve"> https://www.aihw.gov.au/getmedia/d2914a17-052e-45bb-bbd3-17047c7d5da1/20566.pdf.aspx?inline=true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6055F3" w:rsidRPr="008E0D90" w:rsidTr="00A06225">
      <w:trPr>
        <w:trHeight w:val="151"/>
      </w:trPr>
      <w:tc>
        <w:tcPr>
          <w:tcW w:w="2389" w:type="pct"/>
          <w:tcBorders>
            <w:top w:val="nil"/>
            <w:left w:val="nil"/>
            <w:bottom w:val="single" w:sz="4" w:space="0" w:color="4F81BD"/>
            <w:right w:val="nil"/>
          </w:tcBorders>
        </w:tcPr>
        <w:p w:rsidR="006055F3" w:rsidRPr="00A06225" w:rsidRDefault="006055F3">
          <w:pPr>
            <w:pStyle w:val="Header"/>
            <w:spacing w:line="276" w:lineRule="auto"/>
            <w:rPr>
              <w:rFonts w:ascii="Cambria" w:eastAsia="MS Gothic" w:hAnsi="Cambria"/>
              <w:b/>
              <w:bCs/>
              <w:color w:val="4F81BD"/>
            </w:rPr>
          </w:pPr>
        </w:p>
      </w:tc>
      <w:tc>
        <w:tcPr>
          <w:tcW w:w="333" w:type="pct"/>
          <w:vMerge w:val="restart"/>
          <w:noWrap/>
          <w:vAlign w:val="center"/>
          <w:hideMark/>
        </w:tcPr>
        <w:p w:rsidR="006055F3" w:rsidRPr="00A06225" w:rsidRDefault="006055F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055F3" w:rsidRPr="00A06225" w:rsidRDefault="006055F3">
          <w:pPr>
            <w:pStyle w:val="Header"/>
            <w:spacing w:line="276" w:lineRule="auto"/>
            <w:rPr>
              <w:rFonts w:ascii="Cambria" w:eastAsia="MS Gothic" w:hAnsi="Cambria"/>
              <w:b/>
              <w:bCs/>
              <w:color w:val="4F81BD"/>
            </w:rPr>
          </w:pPr>
        </w:p>
      </w:tc>
    </w:tr>
    <w:tr w:rsidR="006055F3" w:rsidRPr="008E0D90" w:rsidTr="00A06225">
      <w:trPr>
        <w:trHeight w:val="150"/>
      </w:trPr>
      <w:tc>
        <w:tcPr>
          <w:tcW w:w="2389" w:type="pct"/>
          <w:tcBorders>
            <w:top w:val="single" w:sz="4" w:space="0" w:color="4F81BD"/>
            <w:left w:val="nil"/>
            <w:bottom w:val="nil"/>
            <w:right w:val="nil"/>
          </w:tcBorders>
        </w:tcPr>
        <w:p w:rsidR="006055F3" w:rsidRPr="00A06225" w:rsidRDefault="006055F3">
          <w:pPr>
            <w:pStyle w:val="Header"/>
            <w:spacing w:line="276" w:lineRule="auto"/>
            <w:rPr>
              <w:rFonts w:ascii="Cambria" w:eastAsia="MS Gothic" w:hAnsi="Cambria"/>
              <w:b/>
              <w:bCs/>
              <w:color w:val="4F81BD"/>
            </w:rPr>
          </w:pPr>
        </w:p>
      </w:tc>
      <w:tc>
        <w:tcPr>
          <w:tcW w:w="0" w:type="auto"/>
          <w:vMerge/>
          <w:vAlign w:val="center"/>
          <w:hideMark/>
        </w:tcPr>
        <w:p w:rsidR="006055F3" w:rsidRPr="00A06225" w:rsidRDefault="006055F3">
          <w:pPr>
            <w:rPr>
              <w:rFonts w:ascii="Cambria" w:hAnsi="Cambria"/>
              <w:color w:val="4F81BD"/>
              <w:sz w:val="22"/>
              <w:szCs w:val="22"/>
            </w:rPr>
          </w:pPr>
        </w:p>
      </w:tc>
      <w:tc>
        <w:tcPr>
          <w:tcW w:w="2278" w:type="pct"/>
          <w:tcBorders>
            <w:top w:val="single" w:sz="4" w:space="0" w:color="4F81BD"/>
            <w:left w:val="nil"/>
            <w:bottom w:val="nil"/>
            <w:right w:val="nil"/>
          </w:tcBorders>
        </w:tcPr>
        <w:p w:rsidR="006055F3" w:rsidRPr="00A06225" w:rsidRDefault="006055F3">
          <w:pPr>
            <w:pStyle w:val="Header"/>
            <w:spacing w:line="276" w:lineRule="auto"/>
            <w:rPr>
              <w:rFonts w:ascii="Cambria" w:eastAsia="MS Gothic" w:hAnsi="Cambria"/>
              <w:b/>
              <w:bCs/>
              <w:color w:val="4F81BD"/>
            </w:rPr>
          </w:pPr>
        </w:p>
      </w:tc>
    </w:tr>
  </w:tbl>
  <w:p w:rsidR="006055F3" w:rsidRDefault="006055F3">
    <w:pPr>
      <w:pStyle w:val="Header"/>
    </w:pPr>
  </w:p>
  <w:p w:rsidR="006055F3" w:rsidRDefault="006055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F3" w:rsidRPr="008F4A5D" w:rsidRDefault="006055F3" w:rsidP="008F4A5D">
    <w:pPr>
      <w:tabs>
        <w:tab w:val="center" w:pos="4513"/>
        <w:tab w:val="right" w:pos="9026"/>
      </w:tabs>
      <w:jc w:val="center"/>
      <w:rPr>
        <w:rFonts w:asciiTheme="minorHAnsi" w:eastAsiaTheme="minorHAnsi" w:hAnsiTheme="minorHAnsi" w:cstheme="minorHAnsi"/>
        <w:i/>
        <w:color w:val="808080"/>
        <w:szCs w:val="22"/>
        <w:lang w:eastAsia="en-US"/>
      </w:rPr>
    </w:pPr>
    <w:r w:rsidRPr="008F4A5D">
      <w:rPr>
        <w:rFonts w:asciiTheme="minorHAnsi" w:eastAsiaTheme="minorHAnsi" w:hAnsiTheme="minorHAnsi" w:cstheme="minorHAnsi"/>
        <w:i/>
        <w:color w:val="808080"/>
        <w:szCs w:val="22"/>
        <w:lang w:eastAsia="en-US"/>
      </w:rPr>
      <w:t>Public Summary Document – March 2019 PBAC Meeting</w:t>
    </w:r>
  </w:p>
  <w:p w:rsidR="006055F3" w:rsidRDefault="006055F3"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F3" w:rsidRDefault="00E4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1"/>
    <w:multiLevelType w:val="singleLevel"/>
    <w:tmpl w:val="C5281D8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F61ED6"/>
    <w:multiLevelType w:val="hybridMultilevel"/>
    <w:tmpl w:val="74DA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56769"/>
    <w:multiLevelType w:val="hybridMultilevel"/>
    <w:tmpl w:val="EBE8E008"/>
    <w:lvl w:ilvl="0" w:tplc="2264A5E6">
      <w:numFmt w:val="bullet"/>
      <w:lvlText w:val="-"/>
      <w:lvlJc w:val="left"/>
      <w:pPr>
        <w:ind w:left="1647" w:hanging="360"/>
      </w:pPr>
      <w:rPr>
        <w:rFonts w:ascii="Calibri" w:eastAsia="Times New Roman" w:hAnsi="Calibri" w:cs="Calibri" w:hint="default"/>
        <w:i w:val="0"/>
        <w:u w:val="none"/>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7"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8763FD6"/>
    <w:multiLevelType w:val="hybridMultilevel"/>
    <w:tmpl w:val="69E888F8"/>
    <w:lvl w:ilvl="0" w:tplc="EA60EFAE">
      <w:start w:val="4"/>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217A8E"/>
    <w:multiLevelType w:val="hybridMultilevel"/>
    <w:tmpl w:val="98907294"/>
    <w:lvl w:ilvl="0" w:tplc="B33205B0">
      <w:numFmt w:val="bullet"/>
      <w:lvlText w:val=""/>
      <w:lvlJc w:val="left"/>
      <w:pPr>
        <w:ind w:left="1069" w:hanging="360"/>
      </w:pPr>
      <w:rPr>
        <w:rFonts w:ascii="Symbol" w:eastAsia="Times New Roman" w:hAnsi="Symbo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4D0A57"/>
    <w:multiLevelType w:val="hybridMultilevel"/>
    <w:tmpl w:val="AA2A8ADA"/>
    <w:lvl w:ilvl="0" w:tplc="3664E6D8">
      <w:start w:val="201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C19CB"/>
    <w:multiLevelType w:val="multilevel"/>
    <w:tmpl w:val="5C62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6F2A62"/>
    <w:multiLevelType w:val="hybridMultilevel"/>
    <w:tmpl w:val="E84C33FE"/>
    <w:lvl w:ilvl="0" w:tplc="0C090001">
      <w:start w:val="1"/>
      <w:numFmt w:val="bullet"/>
      <w:lvlText w:val=""/>
      <w:lvlJc w:val="left"/>
      <w:pPr>
        <w:ind w:left="720" w:hanging="360"/>
      </w:pPr>
      <w:rPr>
        <w:rFonts w:ascii="Symbol" w:hAnsi="Symbol" w:hint="default"/>
      </w:rPr>
    </w:lvl>
    <w:lvl w:ilvl="1" w:tplc="2264A5E6">
      <w:numFmt w:val="bullet"/>
      <w:lvlText w:val="-"/>
      <w:lvlJc w:val="left"/>
      <w:pPr>
        <w:ind w:left="1440" w:hanging="360"/>
      </w:pPr>
      <w:rPr>
        <w:rFonts w:ascii="Calibri" w:eastAsia="Times New Roman" w:hAnsi="Calibri" w:cs="Calibri" w:hint="default"/>
        <w:i w:val="0"/>
        <w:u w:val="no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C60"/>
    <w:multiLevelType w:val="hybridMultilevel"/>
    <w:tmpl w:val="3A7AD84E"/>
    <w:lvl w:ilvl="0" w:tplc="0C090001">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82716C"/>
    <w:multiLevelType w:val="hybridMultilevel"/>
    <w:tmpl w:val="8944A046"/>
    <w:lvl w:ilvl="0" w:tplc="2DC407AA">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BA3E12"/>
    <w:multiLevelType w:val="hybridMultilevel"/>
    <w:tmpl w:val="0752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C13C2"/>
    <w:multiLevelType w:val="hybridMultilevel"/>
    <w:tmpl w:val="4FCA7AA8"/>
    <w:lvl w:ilvl="0" w:tplc="FD52F6A8">
      <w:start w:val="201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4D033C"/>
    <w:multiLevelType w:val="multilevel"/>
    <w:tmpl w:val="0F9891FC"/>
    <w:lvl w:ilvl="0">
      <w:start w:val="1"/>
      <w:numFmt w:val="decimal"/>
      <w:pStyle w:val="PBACHeading1"/>
      <w:lvlText w:val="%1"/>
      <w:lvlJc w:val="left"/>
      <w:pPr>
        <w:ind w:left="720" w:hanging="720"/>
      </w:pPr>
      <w:rPr>
        <w:rFonts w:hint="default"/>
        <w:b/>
      </w:rPr>
    </w:lvl>
    <w:lvl w:ilvl="1">
      <w:start w:val="1"/>
      <w:numFmt w:val="decimal"/>
      <w:lvlText w:val="%1.%2"/>
      <w:lvlJc w:val="left"/>
      <w:pPr>
        <w:ind w:left="1429" w:hanging="720"/>
      </w:pPr>
      <w:rPr>
        <w:rFonts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4"/>
  </w:num>
  <w:num w:numId="3">
    <w:abstractNumId w:val="12"/>
  </w:num>
  <w:num w:numId="4">
    <w:abstractNumId w:val="22"/>
  </w:num>
  <w:num w:numId="5">
    <w:abstractNumId w:val="28"/>
  </w:num>
  <w:num w:numId="6">
    <w:abstractNumId w:val="13"/>
  </w:num>
  <w:num w:numId="7">
    <w:abstractNumId w:val="21"/>
  </w:num>
  <w:num w:numId="8">
    <w:abstractNumId w:val="7"/>
  </w:num>
  <w:num w:numId="9">
    <w:abstractNumId w:val="20"/>
  </w:num>
  <w:num w:numId="10">
    <w:abstractNumId w:val="19"/>
  </w:num>
  <w:num w:numId="11">
    <w:abstractNumId w:val="18"/>
  </w:num>
  <w:num w:numId="12">
    <w:abstractNumId w:val="2"/>
  </w:num>
  <w:num w:numId="13">
    <w:abstractNumId w:val="0"/>
  </w:num>
  <w:num w:numId="14">
    <w:abstractNumId w:val="28"/>
  </w:num>
  <w:num w:numId="15">
    <w:abstractNumId w:val="1"/>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5"/>
  </w:num>
  <w:num w:numId="31">
    <w:abstractNumId w:val="15"/>
  </w:num>
  <w:num w:numId="32">
    <w:abstractNumId w:val="25"/>
  </w:num>
  <w:num w:numId="33">
    <w:abstractNumId w:val="10"/>
  </w:num>
  <w:num w:numId="34">
    <w:abstractNumId w:val="3"/>
  </w:num>
  <w:num w:numId="35">
    <w:abstractNumId w:val="16"/>
  </w:num>
  <w:num w:numId="36">
    <w:abstractNumId w:val="17"/>
  </w:num>
  <w:num w:numId="37">
    <w:abstractNumId w:val="24"/>
  </w:num>
  <w:num w:numId="38">
    <w:abstractNumId w:val="28"/>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8"/>
  </w:num>
  <w:num w:numId="4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256B"/>
    <w:rsid w:val="00012BB7"/>
    <w:rsid w:val="000147A4"/>
    <w:rsid w:val="00017E99"/>
    <w:rsid w:val="000221C9"/>
    <w:rsid w:val="0002464A"/>
    <w:rsid w:val="00024EF0"/>
    <w:rsid w:val="0003106B"/>
    <w:rsid w:val="000322D3"/>
    <w:rsid w:val="00033E5A"/>
    <w:rsid w:val="0003717B"/>
    <w:rsid w:val="000421A1"/>
    <w:rsid w:val="0004240E"/>
    <w:rsid w:val="00045E26"/>
    <w:rsid w:val="00046C78"/>
    <w:rsid w:val="000514B5"/>
    <w:rsid w:val="00051DAD"/>
    <w:rsid w:val="0005381E"/>
    <w:rsid w:val="0005601F"/>
    <w:rsid w:val="00060E64"/>
    <w:rsid w:val="00061996"/>
    <w:rsid w:val="000625C1"/>
    <w:rsid w:val="00062927"/>
    <w:rsid w:val="00063EFE"/>
    <w:rsid w:val="00064B4A"/>
    <w:rsid w:val="00066755"/>
    <w:rsid w:val="000707A5"/>
    <w:rsid w:val="00073412"/>
    <w:rsid w:val="00077143"/>
    <w:rsid w:val="000806E1"/>
    <w:rsid w:val="00080EE2"/>
    <w:rsid w:val="00082169"/>
    <w:rsid w:val="00084E88"/>
    <w:rsid w:val="00085CB0"/>
    <w:rsid w:val="00094A12"/>
    <w:rsid w:val="00094E65"/>
    <w:rsid w:val="00095CDB"/>
    <w:rsid w:val="000969AD"/>
    <w:rsid w:val="000A2726"/>
    <w:rsid w:val="000A2B39"/>
    <w:rsid w:val="000A3DAE"/>
    <w:rsid w:val="000A79E8"/>
    <w:rsid w:val="000B2F0C"/>
    <w:rsid w:val="000B558D"/>
    <w:rsid w:val="000B5694"/>
    <w:rsid w:val="000C6924"/>
    <w:rsid w:val="000C6996"/>
    <w:rsid w:val="000D23BA"/>
    <w:rsid w:val="000D52DA"/>
    <w:rsid w:val="000D7F9A"/>
    <w:rsid w:val="000E41EA"/>
    <w:rsid w:val="000E4268"/>
    <w:rsid w:val="000E681E"/>
    <w:rsid w:val="000E7C06"/>
    <w:rsid w:val="000F0003"/>
    <w:rsid w:val="000F1399"/>
    <w:rsid w:val="000F2629"/>
    <w:rsid w:val="000F46AE"/>
    <w:rsid w:val="000F4E6A"/>
    <w:rsid w:val="00104227"/>
    <w:rsid w:val="001107BF"/>
    <w:rsid w:val="001141A4"/>
    <w:rsid w:val="00120D79"/>
    <w:rsid w:val="0012417C"/>
    <w:rsid w:val="00135226"/>
    <w:rsid w:val="0013654C"/>
    <w:rsid w:val="00136D4A"/>
    <w:rsid w:val="00137088"/>
    <w:rsid w:val="00140C45"/>
    <w:rsid w:val="00142395"/>
    <w:rsid w:val="00142714"/>
    <w:rsid w:val="001436C3"/>
    <w:rsid w:val="00143731"/>
    <w:rsid w:val="001452ED"/>
    <w:rsid w:val="00151294"/>
    <w:rsid w:val="00152A87"/>
    <w:rsid w:val="00155E8B"/>
    <w:rsid w:val="0015642F"/>
    <w:rsid w:val="00162A6D"/>
    <w:rsid w:val="00163329"/>
    <w:rsid w:val="00163EC7"/>
    <w:rsid w:val="00164623"/>
    <w:rsid w:val="00165B64"/>
    <w:rsid w:val="00165EB5"/>
    <w:rsid w:val="00170654"/>
    <w:rsid w:val="001734D8"/>
    <w:rsid w:val="001768D0"/>
    <w:rsid w:val="00176E84"/>
    <w:rsid w:val="00177AC1"/>
    <w:rsid w:val="00180713"/>
    <w:rsid w:val="001830CE"/>
    <w:rsid w:val="0018643B"/>
    <w:rsid w:val="0019136D"/>
    <w:rsid w:val="00191833"/>
    <w:rsid w:val="001958BE"/>
    <w:rsid w:val="00196307"/>
    <w:rsid w:val="001A33EA"/>
    <w:rsid w:val="001A4CB9"/>
    <w:rsid w:val="001A6C14"/>
    <w:rsid w:val="001A6C9B"/>
    <w:rsid w:val="001B017F"/>
    <w:rsid w:val="001B0ACF"/>
    <w:rsid w:val="001B1747"/>
    <w:rsid w:val="001B2BBC"/>
    <w:rsid w:val="001B4D60"/>
    <w:rsid w:val="001B5129"/>
    <w:rsid w:val="001B5AE3"/>
    <w:rsid w:val="001B740E"/>
    <w:rsid w:val="001C1195"/>
    <w:rsid w:val="001D780F"/>
    <w:rsid w:val="001E4747"/>
    <w:rsid w:val="001E4E03"/>
    <w:rsid w:val="001F1850"/>
    <w:rsid w:val="001F4E6B"/>
    <w:rsid w:val="001F534E"/>
    <w:rsid w:val="001F5E20"/>
    <w:rsid w:val="002017BC"/>
    <w:rsid w:val="00202C23"/>
    <w:rsid w:val="00203FAC"/>
    <w:rsid w:val="00211D3C"/>
    <w:rsid w:val="00213CFB"/>
    <w:rsid w:val="00215EBA"/>
    <w:rsid w:val="0021670D"/>
    <w:rsid w:val="00217BE1"/>
    <w:rsid w:val="002248B0"/>
    <w:rsid w:val="002270BD"/>
    <w:rsid w:val="00230289"/>
    <w:rsid w:val="00231373"/>
    <w:rsid w:val="00231B4C"/>
    <w:rsid w:val="00236382"/>
    <w:rsid w:val="00241A90"/>
    <w:rsid w:val="00243C70"/>
    <w:rsid w:val="0024460A"/>
    <w:rsid w:val="00246AE2"/>
    <w:rsid w:val="0025063E"/>
    <w:rsid w:val="002514C0"/>
    <w:rsid w:val="00262081"/>
    <w:rsid w:val="00263D0E"/>
    <w:rsid w:val="002652E3"/>
    <w:rsid w:val="00265822"/>
    <w:rsid w:val="00265AEA"/>
    <w:rsid w:val="00267BCA"/>
    <w:rsid w:val="00271BA1"/>
    <w:rsid w:val="00274711"/>
    <w:rsid w:val="002762FA"/>
    <w:rsid w:val="00276909"/>
    <w:rsid w:val="00277505"/>
    <w:rsid w:val="00277F14"/>
    <w:rsid w:val="00280572"/>
    <w:rsid w:val="00285036"/>
    <w:rsid w:val="00285CA7"/>
    <w:rsid w:val="0029433D"/>
    <w:rsid w:val="0029458F"/>
    <w:rsid w:val="00294E9F"/>
    <w:rsid w:val="00297DC0"/>
    <w:rsid w:val="002A104C"/>
    <w:rsid w:val="002A4960"/>
    <w:rsid w:val="002B1AE6"/>
    <w:rsid w:val="002B2DE8"/>
    <w:rsid w:val="002B30F8"/>
    <w:rsid w:val="002B5067"/>
    <w:rsid w:val="002B5596"/>
    <w:rsid w:val="002C212F"/>
    <w:rsid w:val="002C34EA"/>
    <w:rsid w:val="002C5152"/>
    <w:rsid w:val="002C59B3"/>
    <w:rsid w:val="002C60CD"/>
    <w:rsid w:val="002D001B"/>
    <w:rsid w:val="002D3971"/>
    <w:rsid w:val="002D4543"/>
    <w:rsid w:val="002D7C45"/>
    <w:rsid w:val="002E3153"/>
    <w:rsid w:val="002E72CA"/>
    <w:rsid w:val="002F600D"/>
    <w:rsid w:val="00300AD6"/>
    <w:rsid w:val="00301E07"/>
    <w:rsid w:val="00310A24"/>
    <w:rsid w:val="0031691A"/>
    <w:rsid w:val="00317C6C"/>
    <w:rsid w:val="0032490B"/>
    <w:rsid w:val="00326E79"/>
    <w:rsid w:val="0032794B"/>
    <w:rsid w:val="003325EE"/>
    <w:rsid w:val="0033518A"/>
    <w:rsid w:val="003367EF"/>
    <w:rsid w:val="0033731E"/>
    <w:rsid w:val="003403C6"/>
    <w:rsid w:val="003417FD"/>
    <w:rsid w:val="00341AE4"/>
    <w:rsid w:val="00347287"/>
    <w:rsid w:val="00351228"/>
    <w:rsid w:val="003528C3"/>
    <w:rsid w:val="003562F4"/>
    <w:rsid w:val="003572B1"/>
    <w:rsid w:val="00371F96"/>
    <w:rsid w:val="00373B5B"/>
    <w:rsid w:val="0038095E"/>
    <w:rsid w:val="003872CF"/>
    <w:rsid w:val="00390146"/>
    <w:rsid w:val="00395CFF"/>
    <w:rsid w:val="0039782C"/>
    <w:rsid w:val="003A10C0"/>
    <w:rsid w:val="003A4E9E"/>
    <w:rsid w:val="003A5B4A"/>
    <w:rsid w:val="003A7D7B"/>
    <w:rsid w:val="003B23C5"/>
    <w:rsid w:val="003B2A75"/>
    <w:rsid w:val="003B470A"/>
    <w:rsid w:val="003B4AFA"/>
    <w:rsid w:val="003B6124"/>
    <w:rsid w:val="003C14C4"/>
    <w:rsid w:val="003C2FB5"/>
    <w:rsid w:val="003C59A4"/>
    <w:rsid w:val="003C76DE"/>
    <w:rsid w:val="003D29B7"/>
    <w:rsid w:val="003D4AC4"/>
    <w:rsid w:val="003D5254"/>
    <w:rsid w:val="003D63B7"/>
    <w:rsid w:val="003D7548"/>
    <w:rsid w:val="003E33AF"/>
    <w:rsid w:val="003E42BD"/>
    <w:rsid w:val="003E468B"/>
    <w:rsid w:val="003E5CEF"/>
    <w:rsid w:val="003E6192"/>
    <w:rsid w:val="003F307D"/>
    <w:rsid w:val="003F3228"/>
    <w:rsid w:val="003F43FC"/>
    <w:rsid w:val="003F4A48"/>
    <w:rsid w:val="003F530C"/>
    <w:rsid w:val="003F5C8C"/>
    <w:rsid w:val="00400077"/>
    <w:rsid w:val="00400B3F"/>
    <w:rsid w:val="00404185"/>
    <w:rsid w:val="004068AC"/>
    <w:rsid w:val="004073A2"/>
    <w:rsid w:val="00414B67"/>
    <w:rsid w:val="00421B72"/>
    <w:rsid w:val="004252EC"/>
    <w:rsid w:val="00425680"/>
    <w:rsid w:val="00431908"/>
    <w:rsid w:val="00433E67"/>
    <w:rsid w:val="00434C3A"/>
    <w:rsid w:val="00441A01"/>
    <w:rsid w:val="00441CBD"/>
    <w:rsid w:val="00443788"/>
    <w:rsid w:val="004465BD"/>
    <w:rsid w:val="00447167"/>
    <w:rsid w:val="00451259"/>
    <w:rsid w:val="00457897"/>
    <w:rsid w:val="00463666"/>
    <w:rsid w:val="00466ADA"/>
    <w:rsid w:val="004673C3"/>
    <w:rsid w:val="0046762A"/>
    <w:rsid w:val="004678DC"/>
    <w:rsid w:val="00467F6F"/>
    <w:rsid w:val="00475894"/>
    <w:rsid w:val="00475D46"/>
    <w:rsid w:val="00476245"/>
    <w:rsid w:val="0047678A"/>
    <w:rsid w:val="004774C8"/>
    <w:rsid w:val="0048117B"/>
    <w:rsid w:val="0048263A"/>
    <w:rsid w:val="00483035"/>
    <w:rsid w:val="00485940"/>
    <w:rsid w:val="00490183"/>
    <w:rsid w:val="00497518"/>
    <w:rsid w:val="004A2484"/>
    <w:rsid w:val="004A28A5"/>
    <w:rsid w:val="004A5A85"/>
    <w:rsid w:val="004A71D1"/>
    <w:rsid w:val="004A7794"/>
    <w:rsid w:val="004B156A"/>
    <w:rsid w:val="004B1DAB"/>
    <w:rsid w:val="004B5640"/>
    <w:rsid w:val="004C1BD7"/>
    <w:rsid w:val="004C31FE"/>
    <w:rsid w:val="004C49BD"/>
    <w:rsid w:val="004C5CB1"/>
    <w:rsid w:val="004C691D"/>
    <w:rsid w:val="004C6C07"/>
    <w:rsid w:val="004D4362"/>
    <w:rsid w:val="004D444F"/>
    <w:rsid w:val="004E3F61"/>
    <w:rsid w:val="004E692D"/>
    <w:rsid w:val="004F01A2"/>
    <w:rsid w:val="004F25DC"/>
    <w:rsid w:val="004F268B"/>
    <w:rsid w:val="004F4095"/>
    <w:rsid w:val="004F4A02"/>
    <w:rsid w:val="004F5E3A"/>
    <w:rsid w:val="004F7626"/>
    <w:rsid w:val="00501554"/>
    <w:rsid w:val="00501E4D"/>
    <w:rsid w:val="00506DB8"/>
    <w:rsid w:val="00510964"/>
    <w:rsid w:val="00511613"/>
    <w:rsid w:val="00514CD7"/>
    <w:rsid w:val="00515AF9"/>
    <w:rsid w:val="00516E07"/>
    <w:rsid w:val="00522996"/>
    <w:rsid w:val="00523238"/>
    <w:rsid w:val="005276E1"/>
    <w:rsid w:val="00531008"/>
    <w:rsid w:val="005319B2"/>
    <w:rsid w:val="00532402"/>
    <w:rsid w:val="00532C74"/>
    <w:rsid w:val="00533E35"/>
    <w:rsid w:val="00534E2E"/>
    <w:rsid w:val="0054352C"/>
    <w:rsid w:val="00544552"/>
    <w:rsid w:val="00554CFE"/>
    <w:rsid w:val="005617CC"/>
    <w:rsid w:val="005632BF"/>
    <w:rsid w:val="00565CBB"/>
    <w:rsid w:val="00577C4D"/>
    <w:rsid w:val="00581932"/>
    <w:rsid w:val="0059287F"/>
    <w:rsid w:val="005963BB"/>
    <w:rsid w:val="00597E9E"/>
    <w:rsid w:val="005A26B8"/>
    <w:rsid w:val="005A3173"/>
    <w:rsid w:val="005A3223"/>
    <w:rsid w:val="005A3DA3"/>
    <w:rsid w:val="005A52C4"/>
    <w:rsid w:val="005A67B1"/>
    <w:rsid w:val="005B02FF"/>
    <w:rsid w:val="005B4AF8"/>
    <w:rsid w:val="005D03AB"/>
    <w:rsid w:val="005D3138"/>
    <w:rsid w:val="005D444F"/>
    <w:rsid w:val="005D5017"/>
    <w:rsid w:val="005E1333"/>
    <w:rsid w:val="005E28C6"/>
    <w:rsid w:val="005E6852"/>
    <w:rsid w:val="005E68FE"/>
    <w:rsid w:val="005F01E9"/>
    <w:rsid w:val="005F1FCE"/>
    <w:rsid w:val="00601A91"/>
    <w:rsid w:val="0060259B"/>
    <w:rsid w:val="00602BA3"/>
    <w:rsid w:val="00605066"/>
    <w:rsid w:val="006055F3"/>
    <w:rsid w:val="006059CE"/>
    <w:rsid w:val="006063E5"/>
    <w:rsid w:val="00606EED"/>
    <w:rsid w:val="00612E34"/>
    <w:rsid w:val="00614159"/>
    <w:rsid w:val="0061451E"/>
    <w:rsid w:val="0061559B"/>
    <w:rsid w:val="00617C00"/>
    <w:rsid w:val="00621F1B"/>
    <w:rsid w:val="00622466"/>
    <w:rsid w:val="006263BF"/>
    <w:rsid w:val="0062748A"/>
    <w:rsid w:val="00630A2C"/>
    <w:rsid w:val="00635117"/>
    <w:rsid w:val="0063682E"/>
    <w:rsid w:val="00637804"/>
    <w:rsid w:val="00640860"/>
    <w:rsid w:val="00643380"/>
    <w:rsid w:val="006436CD"/>
    <w:rsid w:val="00643B7C"/>
    <w:rsid w:val="006502EF"/>
    <w:rsid w:val="00650B90"/>
    <w:rsid w:val="00651169"/>
    <w:rsid w:val="0065263D"/>
    <w:rsid w:val="006529A6"/>
    <w:rsid w:val="00653D69"/>
    <w:rsid w:val="006562EF"/>
    <w:rsid w:val="006604C4"/>
    <w:rsid w:val="00665FD9"/>
    <w:rsid w:val="006670BE"/>
    <w:rsid w:val="00670A76"/>
    <w:rsid w:val="00670B02"/>
    <w:rsid w:val="006711AA"/>
    <w:rsid w:val="00672B57"/>
    <w:rsid w:val="00674A36"/>
    <w:rsid w:val="00675622"/>
    <w:rsid w:val="0067747D"/>
    <w:rsid w:val="00684C66"/>
    <w:rsid w:val="00685317"/>
    <w:rsid w:val="006906DB"/>
    <w:rsid w:val="00690A52"/>
    <w:rsid w:val="00691E6C"/>
    <w:rsid w:val="00696129"/>
    <w:rsid w:val="00697CF2"/>
    <w:rsid w:val="006A12A5"/>
    <w:rsid w:val="006A13F4"/>
    <w:rsid w:val="006A1741"/>
    <w:rsid w:val="006A303D"/>
    <w:rsid w:val="006A3BF2"/>
    <w:rsid w:val="006A6D54"/>
    <w:rsid w:val="006A7C4D"/>
    <w:rsid w:val="006B0D94"/>
    <w:rsid w:val="006B11D4"/>
    <w:rsid w:val="006B3DB6"/>
    <w:rsid w:val="006B485D"/>
    <w:rsid w:val="006B7C5D"/>
    <w:rsid w:val="006C1D56"/>
    <w:rsid w:val="006C2654"/>
    <w:rsid w:val="006C3C50"/>
    <w:rsid w:val="006C49DF"/>
    <w:rsid w:val="006C708E"/>
    <w:rsid w:val="006D1077"/>
    <w:rsid w:val="006D14E7"/>
    <w:rsid w:val="006D5079"/>
    <w:rsid w:val="006D5242"/>
    <w:rsid w:val="006D6493"/>
    <w:rsid w:val="006D6EC7"/>
    <w:rsid w:val="006E03E9"/>
    <w:rsid w:val="006E0A18"/>
    <w:rsid w:val="006E1BCD"/>
    <w:rsid w:val="006E1F84"/>
    <w:rsid w:val="006E2A5E"/>
    <w:rsid w:val="006E2C4A"/>
    <w:rsid w:val="006E7A50"/>
    <w:rsid w:val="006F4993"/>
    <w:rsid w:val="006F5125"/>
    <w:rsid w:val="006F6F5C"/>
    <w:rsid w:val="0070152D"/>
    <w:rsid w:val="00702B6F"/>
    <w:rsid w:val="00705484"/>
    <w:rsid w:val="0071340B"/>
    <w:rsid w:val="007141A8"/>
    <w:rsid w:val="00714B64"/>
    <w:rsid w:val="007174BB"/>
    <w:rsid w:val="0072025D"/>
    <w:rsid w:val="00723108"/>
    <w:rsid w:val="007267BF"/>
    <w:rsid w:val="00734CBD"/>
    <w:rsid w:val="007353D3"/>
    <w:rsid w:val="00751D22"/>
    <w:rsid w:val="007569BF"/>
    <w:rsid w:val="007575AA"/>
    <w:rsid w:val="00760EB7"/>
    <w:rsid w:val="0076251F"/>
    <w:rsid w:val="0076420C"/>
    <w:rsid w:val="00764F44"/>
    <w:rsid w:val="00771918"/>
    <w:rsid w:val="007753C2"/>
    <w:rsid w:val="007774C0"/>
    <w:rsid w:val="00777D16"/>
    <w:rsid w:val="007838B8"/>
    <w:rsid w:val="00785890"/>
    <w:rsid w:val="00787AA5"/>
    <w:rsid w:val="00791534"/>
    <w:rsid w:val="00791DE2"/>
    <w:rsid w:val="007A086B"/>
    <w:rsid w:val="007A27C9"/>
    <w:rsid w:val="007A421C"/>
    <w:rsid w:val="007A750D"/>
    <w:rsid w:val="007B2BF3"/>
    <w:rsid w:val="007C0F57"/>
    <w:rsid w:val="007C108D"/>
    <w:rsid w:val="007C40B6"/>
    <w:rsid w:val="007C4147"/>
    <w:rsid w:val="007C5FBF"/>
    <w:rsid w:val="007C729F"/>
    <w:rsid w:val="007D6689"/>
    <w:rsid w:val="007D68F7"/>
    <w:rsid w:val="007E1D28"/>
    <w:rsid w:val="007E5652"/>
    <w:rsid w:val="007F2641"/>
    <w:rsid w:val="007F7C36"/>
    <w:rsid w:val="00803E6A"/>
    <w:rsid w:val="00806796"/>
    <w:rsid w:val="0081071D"/>
    <w:rsid w:val="008151D6"/>
    <w:rsid w:val="00820E28"/>
    <w:rsid w:val="00822B4E"/>
    <w:rsid w:val="00826F6D"/>
    <w:rsid w:val="008306F3"/>
    <w:rsid w:val="00845DC7"/>
    <w:rsid w:val="00845F33"/>
    <w:rsid w:val="008532FB"/>
    <w:rsid w:val="00854B6A"/>
    <w:rsid w:val="0085518A"/>
    <w:rsid w:val="00856DDD"/>
    <w:rsid w:val="00857204"/>
    <w:rsid w:val="0086255C"/>
    <w:rsid w:val="00862850"/>
    <w:rsid w:val="00863E68"/>
    <w:rsid w:val="00864796"/>
    <w:rsid w:val="00866E56"/>
    <w:rsid w:val="008746EE"/>
    <w:rsid w:val="00877864"/>
    <w:rsid w:val="00882085"/>
    <w:rsid w:val="00882893"/>
    <w:rsid w:val="00883188"/>
    <w:rsid w:val="0088692D"/>
    <w:rsid w:val="00886F33"/>
    <w:rsid w:val="00892112"/>
    <w:rsid w:val="00895702"/>
    <w:rsid w:val="00897D58"/>
    <w:rsid w:val="00897F22"/>
    <w:rsid w:val="008A11E1"/>
    <w:rsid w:val="008A1956"/>
    <w:rsid w:val="008A4937"/>
    <w:rsid w:val="008A50F1"/>
    <w:rsid w:val="008B49BF"/>
    <w:rsid w:val="008B6CE4"/>
    <w:rsid w:val="008C34FA"/>
    <w:rsid w:val="008D1B5C"/>
    <w:rsid w:val="008D3C82"/>
    <w:rsid w:val="008D41E8"/>
    <w:rsid w:val="008D447E"/>
    <w:rsid w:val="008D7A41"/>
    <w:rsid w:val="008E2271"/>
    <w:rsid w:val="008E3015"/>
    <w:rsid w:val="008E31C2"/>
    <w:rsid w:val="008E3680"/>
    <w:rsid w:val="008E5870"/>
    <w:rsid w:val="008F1434"/>
    <w:rsid w:val="008F4A5D"/>
    <w:rsid w:val="008F4BCE"/>
    <w:rsid w:val="008F7355"/>
    <w:rsid w:val="0090295B"/>
    <w:rsid w:val="00905C1C"/>
    <w:rsid w:val="009067B7"/>
    <w:rsid w:val="00907F4B"/>
    <w:rsid w:val="009108B1"/>
    <w:rsid w:val="00930937"/>
    <w:rsid w:val="0093266B"/>
    <w:rsid w:val="00933E6C"/>
    <w:rsid w:val="00935C2B"/>
    <w:rsid w:val="00936DBF"/>
    <w:rsid w:val="009372D5"/>
    <w:rsid w:val="00937958"/>
    <w:rsid w:val="0094006B"/>
    <w:rsid w:val="00942160"/>
    <w:rsid w:val="00943FCF"/>
    <w:rsid w:val="00947682"/>
    <w:rsid w:val="00947BDC"/>
    <w:rsid w:val="0095040B"/>
    <w:rsid w:val="009508D8"/>
    <w:rsid w:val="0095146F"/>
    <w:rsid w:val="00954C75"/>
    <w:rsid w:val="009572C1"/>
    <w:rsid w:val="009602C5"/>
    <w:rsid w:val="00962223"/>
    <w:rsid w:val="00962305"/>
    <w:rsid w:val="00966D0D"/>
    <w:rsid w:val="0097115F"/>
    <w:rsid w:val="00974C21"/>
    <w:rsid w:val="0098199E"/>
    <w:rsid w:val="00990624"/>
    <w:rsid w:val="00992C08"/>
    <w:rsid w:val="0099306D"/>
    <w:rsid w:val="009A19B8"/>
    <w:rsid w:val="009A22F3"/>
    <w:rsid w:val="009A2B63"/>
    <w:rsid w:val="009A4D78"/>
    <w:rsid w:val="009A73FE"/>
    <w:rsid w:val="009A76EE"/>
    <w:rsid w:val="009B0F67"/>
    <w:rsid w:val="009B25A6"/>
    <w:rsid w:val="009B379A"/>
    <w:rsid w:val="009C5A33"/>
    <w:rsid w:val="009C6FF4"/>
    <w:rsid w:val="009C703C"/>
    <w:rsid w:val="009C72B6"/>
    <w:rsid w:val="009C7730"/>
    <w:rsid w:val="009D3CAA"/>
    <w:rsid w:val="009D4DC5"/>
    <w:rsid w:val="009E40E1"/>
    <w:rsid w:val="009E6AF2"/>
    <w:rsid w:val="009E70C0"/>
    <w:rsid w:val="009F2E5B"/>
    <w:rsid w:val="009F4E46"/>
    <w:rsid w:val="009F5B65"/>
    <w:rsid w:val="009F5F2E"/>
    <w:rsid w:val="00A015EA"/>
    <w:rsid w:val="00A02035"/>
    <w:rsid w:val="00A02EE6"/>
    <w:rsid w:val="00A035B1"/>
    <w:rsid w:val="00A03F9D"/>
    <w:rsid w:val="00A0551B"/>
    <w:rsid w:val="00A05BA0"/>
    <w:rsid w:val="00A06225"/>
    <w:rsid w:val="00A128E6"/>
    <w:rsid w:val="00A12A30"/>
    <w:rsid w:val="00A14B9C"/>
    <w:rsid w:val="00A218F6"/>
    <w:rsid w:val="00A22B2E"/>
    <w:rsid w:val="00A230C6"/>
    <w:rsid w:val="00A3092F"/>
    <w:rsid w:val="00A320FE"/>
    <w:rsid w:val="00A34E6C"/>
    <w:rsid w:val="00A37C8D"/>
    <w:rsid w:val="00A5273B"/>
    <w:rsid w:val="00A52A1C"/>
    <w:rsid w:val="00A53A9D"/>
    <w:rsid w:val="00A545D5"/>
    <w:rsid w:val="00A55FEE"/>
    <w:rsid w:val="00A62C1A"/>
    <w:rsid w:val="00A6426D"/>
    <w:rsid w:val="00A665C1"/>
    <w:rsid w:val="00A66AE7"/>
    <w:rsid w:val="00A66F50"/>
    <w:rsid w:val="00A673DE"/>
    <w:rsid w:val="00A70622"/>
    <w:rsid w:val="00A70977"/>
    <w:rsid w:val="00A759D8"/>
    <w:rsid w:val="00A771EE"/>
    <w:rsid w:val="00A77613"/>
    <w:rsid w:val="00A8390C"/>
    <w:rsid w:val="00A87E96"/>
    <w:rsid w:val="00A928BD"/>
    <w:rsid w:val="00A94116"/>
    <w:rsid w:val="00A96E73"/>
    <w:rsid w:val="00AA06FB"/>
    <w:rsid w:val="00AA2C31"/>
    <w:rsid w:val="00AA4387"/>
    <w:rsid w:val="00AA4D1C"/>
    <w:rsid w:val="00AA6706"/>
    <w:rsid w:val="00AA76C1"/>
    <w:rsid w:val="00AB21CD"/>
    <w:rsid w:val="00AB2DFC"/>
    <w:rsid w:val="00AB370F"/>
    <w:rsid w:val="00AC09B2"/>
    <w:rsid w:val="00AC193C"/>
    <w:rsid w:val="00AC5206"/>
    <w:rsid w:val="00AD0574"/>
    <w:rsid w:val="00AD26B7"/>
    <w:rsid w:val="00AD5D9D"/>
    <w:rsid w:val="00AD6561"/>
    <w:rsid w:val="00AD6A42"/>
    <w:rsid w:val="00AD7130"/>
    <w:rsid w:val="00AD7EE7"/>
    <w:rsid w:val="00AE07CE"/>
    <w:rsid w:val="00AE11A5"/>
    <w:rsid w:val="00AE13E2"/>
    <w:rsid w:val="00AE22D3"/>
    <w:rsid w:val="00AE4637"/>
    <w:rsid w:val="00AE70D2"/>
    <w:rsid w:val="00AF0EE9"/>
    <w:rsid w:val="00AF62DF"/>
    <w:rsid w:val="00AF68CC"/>
    <w:rsid w:val="00B060E1"/>
    <w:rsid w:val="00B1059E"/>
    <w:rsid w:val="00B16281"/>
    <w:rsid w:val="00B176C8"/>
    <w:rsid w:val="00B205AA"/>
    <w:rsid w:val="00B22E84"/>
    <w:rsid w:val="00B242D1"/>
    <w:rsid w:val="00B24DB3"/>
    <w:rsid w:val="00B25F75"/>
    <w:rsid w:val="00B26A29"/>
    <w:rsid w:val="00B26B3F"/>
    <w:rsid w:val="00B27529"/>
    <w:rsid w:val="00B30446"/>
    <w:rsid w:val="00B36940"/>
    <w:rsid w:val="00B417C3"/>
    <w:rsid w:val="00B43E90"/>
    <w:rsid w:val="00B458B2"/>
    <w:rsid w:val="00B467DC"/>
    <w:rsid w:val="00B47477"/>
    <w:rsid w:val="00B4790E"/>
    <w:rsid w:val="00B50A6C"/>
    <w:rsid w:val="00B5186F"/>
    <w:rsid w:val="00B55ACF"/>
    <w:rsid w:val="00B56118"/>
    <w:rsid w:val="00B62648"/>
    <w:rsid w:val="00B66320"/>
    <w:rsid w:val="00B6773F"/>
    <w:rsid w:val="00B71434"/>
    <w:rsid w:val="00B72F07"/>
    <w:rsid w:val="00B801BA"/>
    <w:rsid w:val="00B81A0A"/>
    <w:rsid w:val="00B82455"/>
    <w:rsid w:val="00B84D5C"/>
    <w:rsid w:val="00B87E01"/>
    <w:rsid w:val="00BA06EF"/>
    <w:rsid w:val="00BB4D1D"/>
    <w:rsid w:val="00BB4ECA"/>
    <w:rsid w:val="00BB69F5"/>
    <w:rsid w:val="00BB7EC3"/>
    <w:rsid w:val="00BC39D1"/>
    <w:rsid w:val="00BC4B9A"/>
    <w:rsid w:val="00BC7B95"/>
    <w:rsid w:val="00BD5616"/>
    <w:rsid w:val="00BD6CF8"/>
    <w:rsid w:val="00BD784C"/>
    <w:rsid w:val="00BE2059"/>
    <w:rsid w:val="00BE362E"/>
    <w:rsid w:val="00BF29B2"/>
    <w:rsid w:val="00BF34AE"/>
    <w:rsid w:val="00BF4CB6"/>
    <w:rsid w:val="00C00DA7"/>
    <w:rsid w:val="00C02C9B"/>
    <w:rsid w:val="00C035AC"/>
    <w:rsid w:val="00C05011"/>
    <w:rsid w:val="00C10BE3"/>
    <w:rsid w:val="00C1117A"/>
    <w:rsid w:val="00C119AF"/>
    <w:rsid w:val="00C12768"/>
    <w:rsid w:val="00C141E6"/>
    <w:rsid w:val="00C14752"/>
    <w:rsid w:val="00C21BEB"/>
    <w:rsid w:val="00C26960"/>
    <w:rsid w:val="00C27B58"/>
    <w:rsid w:val="00C34A85"/>
    <w:rsid w:val="00C35996"/>
    <w:rsid w:val="00C36440"/>
    <w:rsid w:val="00C4747E"/>
    <w:rsid w:val="00C5342C"/>
    <w:rsid w:val="00C5724C"/>
    <w:rsid w:val="00C603D4"/>
    <w:rsid w:val="00C61559"/>
    <w:rsid w:val="00C6256A"/>
    <w:rsid w:val="00C642CB"/>
    <w:rsid w:val="00C64C7E"/>
    <w:rsid w:val="00C65CE6"/>
    <w:rsid w:val="00C668A6"/>
    <w:rsid w:val="00C70C8F"/>
    <w:rsid w:val="00C74BFE"/>
    <w:rsid w:val="00C77891"/>
    <w:rsid w:val="00C80BC0"/>
    <w:rsid w:val="00C82DD0"/>
    <w:rsid w:val="00C87858"/>
    <w:rsid w:val="00C91449"/>
    <w:rsid w:val="00C91B4C"/>
    <w:rsid w:val="00C92D10"/>
    <w:rsid w:val="00C95397"/>
    <w:rsid w:val="00CA4F6B"/>
    <w:rsid w:val="00CA5F01"/>
    <w:rsid w:val="00CB0759"/>
    <w:rsid w:val="00CB6078"/>
    <w:rsid w:val="00CB7609"/>
    <w:rsid w:val="00CC5528"/>
    <w:rsid w:val="00CC6041"/>
    <w:rsid w:val="00CC700B"/>
    <w:rsid w:val="00CC7408"/>
    <w:rsid w:val="00CD496F"/>
    <w:rsid w:val="00CD5C74"/>
    <w:rsid w:val="00CD6ED3"/>
    <w:rsid w:val="00CE10C4"/>
    <w:rsid w:val="00CE23CD"/>
    <w:rsid w:val="00CE27B5"/>
    <w:rsid w:val="00CE3AB4"/>
    <w:rsid w:val="00CE3D4D"/>
    <w:rsid w:val="00CE7C88"/>
    <w:rsid w:val="00CF2ECC"/>
    <w:rsid w:val="00CF344F"/>
    <w:rsid w:val="00CF77BB"/>
    <w:rsid w:val="00D0321E"/>
    <w:rsid w:val="00D04389"/>
    <w:rsid w:val="00D043E0"/>
    <w:rsid w:val="00D1455A"/>
    <w:rsid w:val="00D26242"/>
    <w:rsid w:val="00D26CD3"/>
    <w:rsid w:val="00D27DC6"/>
    <w:rsid w:val="00D31150"/>
    <w:rsid w:val="00D3138B"/>
    <w:rsid w:val="00D3280C"/>
    <w:rsid w:val="00D33CBB"/>
    <w:rsid w:val="00D3406A"/>
    <w:rsid w:val="00D34750"/>
    <w:rsid w:val="00D35C34"/>
    <w:rsid w:val="00D36C50"/>
    <w:rsid w:val="00D40CB6"/>
    <w:rsid w:val="00D43FE9"/>
    <w:rsid w:val="00D44E83"/>
    <w:rsid w:val="00D4572C"/>
    <w:rsid w:val="00D465FE"/>
    <w:rsid w:val="00D469B2"/>
    <w:rsid w:val="00D522E1"/>
    <w:rsid w:val="00D53E83"/>
    <w:rsid w:val="00D57503"/>
    <w:rsid w:val="00D57AC5"/>
    <w:rsid w:val="00D62817"/>
    <w:rsid w:val="00D6555F"/>
    <w:rsid w:val="00D66A7F"/>
    <w:rsid w:val="00D71C90"/>
    <w:rsid w:val="00D72049"/>
    <w:rsid w:val="00D741EB"/>
    <w:rsid w:val="00D80592"/>
    <w:rsid w:val="00D8135C"/>
    <w:rsid w:val="00D81EAD"/>
    <w:rsid w:val="00D81EFB"/>
    <w:rsid w:val="00D827B7"/>
    <w:rsid w:val="00D83605"/>
    <w:rsid w:val="00D83622"/>
    <w:rsid w:val="00D84934"/>
    <w:rsid w:val="00D91120"/>
    <w:rsid w:val="00D91271"/>
    <w:rsid w:val="00D919F5"/>
    <w:rsid w:val="00D924B6"/>
    <w:rsid w:val="00D92D09"/>
    <w:rsid w:val="00D93149"/>
    <w:rsid w:val="00D94F03"/>
    <w:rsid w:val="00DA0239"/>
    <w:rsid w:val="00DA2CB5"/>
    <w:rsid w:val="00DA3046"/>
    <w:rsid w:val="00DA4BAC"/>
    <w:rsid w:val="00DB3206"/>
    <w:rsid w:val="00DB5971"/>
    <w:rsid w:val="00DB6959"/>
    <w:rsid w:val="00DB708E"/>
    <w:rsid w:val="00DC7C24"/>
    <w:rsid w:val="00DD3576"/>
    <w:rsid w:val="00DE025D"/>
    <w:rsid w:val="00DE1BC6"/>
    <w:rsid w:val="00DE2DA3"/>
    <w:rsid w:val="00DE5539"/>
    <w:rsid w:val="00DE6D27"/>
    <w:rsid w:val="00DE6F38"/>
    <w:rsid w:val="00DF217D"/>
    <w:rsid w:val="00DF26A7"/>
    <w:rsid w:val="00E01D64"/>
    <w:rsid w:val="00E06C3F"/>
    <w:rsid w:val="00E1407B"/>
    <w:rsid w:val="00E14912"/>
    <w:rsid w:val="00E15627"/>
    <w:rsid w:val="00E164B3"/>
    <w:rsid w:val="00E16910"/>
    <w:rsid w:val="00E2090D"/>
    <w:rsid w:val="00E21E1D"/>
    <w:rsid w:val="00E23894"/>
    <w:rsid w:val="00E23969"/>
    <w:rsid w:val="00E24E1F"/>
    <w:rsid w:val="00E31A44"/>
    <w:rsid w:val="00E33CE3"/>
    <w:rsid w:val="00E3482E"/>
    <w:rsid w:val="00E42BDB"/>
    <w:rsid w:val="00E454F3"/>
    <w:rsid w:val="00E56B55"/>
    <w:rsid w:val="00E57EEB"/>
    <w:rsid w:val="00E61873"/>
    <w:rsid w:val="00E62D94"/>
    <w:rsid w:val="00E64D13"/>
    <w:rsid w:val="00E65E54"/>
    <w:rsid w:val="00E67106"/>
    <w:rsid w:val="00E752A8"/>
    <w:rsid w:val="00E80155"/>
    <w:rsid w:val="00E81652"/>
    <w:rsid w:val="00E81F28"/>
    <w:rsid w:val="00E83F16"/>
    <w:rsid w:val="00E83F3F"/>
    <w:rsid w:val="00E848C0"/>
    <w:rsid w:val="00E91B96"/>
    <w:rsid w:val="00E93EC4"/>
    <w:rsid w:val="00E941A1"/>
    <w:rsid w:val="00E95CE3"/>
    <w:rsid w:val="00E9736B"/>
    <w:rsid w:val="00EA2825"/>
    <w:rsid w:val="00EA2E36"/>
    <w:rsid w:val="00EA45E8"/>
    <w:rsid w:val="00EA485E"/>
    <w:rsid w:val="00EB04A4"/>
    <w:rsid w:val="00EB0B63"/>
    <w:rsid w:val="00EB1936"/>
    <w:rsid w:val="00EB5088"/>
    <w:rsid w:val="00EC7C12"/>
    <w:rsid w:val="00EC7F46"/>
    <w:rsid w:val="00ED01D5"/>
    <w:rsid w:val="00ED1644"/>
    <w:rsid w:val="00ED2593"/>
    <w:rsid w:val="00ED6790"/>
    <w:rsid w:val="00ED7D9C"/>
    <w:rsid w:val="00EE45F6"/>
    <w:rsid w:val="00EE46A1"/>
    <w:rsid w:val="00EF44A0"/>
    <w:rsid w:val="00EF4FED"/>
    <w:rsid w:val="00EF54B0"/>
    <w:rsid w:val="00EF6DC4"/>
    <w:rsid w:val="00F009E5"/>
    <w:rsid w:val="00F02271"/>
    <w:rsid w:val="00F04B8D"/>
    <w:rsid w:val="00F050BD"/>
    <w:rsid w:val="00F054EA"/>
    <w:rsid w:val="00F05657"/>
    <w:rsid w:val="00F07CBB"/>
    <w:rsid w:val="00F10DC4"/>
    <w:rsid w:val="00F1175B"/>
    <w:rsid w:val="00F13D65"/>
    <w:rsid w:val="00F13E16"/>
    <w:rsid w:val="00F15109"/>
    <w:rsid w:val="00F16394"/>
    <w:rsid w:val="00F170F4"/>
    <w:rsid w:val="00F25578"/>
    <w:rsid w:val="00F258E5"/>
    <w:rsid w:val="00F300BC"/>
    <w:rsid w:val="00F32708"/>
    <w:rsid w:val="00F3334E"/>
    <w:rsid w:val="00F3616B"/>
    <w:rsid w:val="00F36CCB"/>
    <w:rsid w:val="00F374E5"/>
    <w:rsid w:val="00F4180B"/>
    <w:rsid w:val="00F43AF2"/>
    <w:rsid w:val="00F45A8E"/>
    <w:rsid w:val="00F474FB"/>
    <w:rsid w:val="00F5007E"/>
    <w:rsid w:val="00F50EC4"/>
    <w:rsid w:val="00F53B2D"/>
    <w:rsid w:val="00F550CF"/>
    <w:rsid w:val="00F57A6D"/>
    <w:rsid w:val="00F61275"/>
    <w:rsid w:val="00F636CA"/>
    <w:rsid w:val="00F638CC"/>
    <w:rsid w:val="00F64CC1"/>
    <w:rsid w:val="00F65142"/>
    <w:rsid w:val="00F65A37"/>
    <w:rsid w:val="00F72317"/>
    <w:rsid w:val="00F73884"/>
    <w:rsid w:val="00F750F6"/>
    <w:rsid w:val="00F762DD"/>
    <w:rsid w:val="00F76D65"/>
    <w:rsid w:val="00F80475"/>
    <w:rsid w:val="00F8247A"/>
    <w:rsid w:val="00F82EE6"/>
    <w:rsid w:val="00F861B1"/>
    <w:rsid w:val="00F870AB"/>
    <w:rsid w:val="00F9226E"/>
    <w:rsid w:val="00F95155"/>
    <w:rsid w:val="00F95F7F"/>
    <w:rsid w:val="00F9629A"/>
    <w:rsid w:val="00F97EFC"/>
    <w:rsid w:val="00FA4CB9"/>
    <w:rsid w:val="00FA5883"/>
    <w:rsid w:val="00FA5F36"/>
    <w:rsid w:val="00FA6055"/>
    <w:rsid w:val="00FB1569"/>
    <w:rsid w:val="00FB322F"/>
    <w:rsid w:val="00FB442F"/>
    <w:rsid w:val="00FB4655"/>
    <w:rsid w:val="00FC14C4"/>
    <w:rsid w:val="00FC1929"/>
    <w:rsid w:val="00FC2CCF"/>
    <w:rsid w:val="00FC322D"/>
    <w:rsid w:val="00FC5B46"/>
    <w:rsid w:val="00FC7EF6"/>
    <w:rsid w:val="00FD1FAC"/>
    <w:rsid w:val="00FD6D8E"/>
    <w:rsid w:val="00FE0039"/>
    <w:rsid w:val="00FE0E94"/>
    <w:rsid w:val="00FE12FF"/>
    <w:rsid w:val="00FF00BD"/>
    <w:rsid w:val="00FF1ED4"/>
    <w:rsid w:val="00FF2801"/>
    <w:rsid w:val="00FF5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C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8B2"/>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1,Bullet 1,Bulleted - 2,1. Bullet Blank,Footnote,Bullet point,List Paragraph1,List Paragraph11,Recommendation,Section heading,Table Legend"/>
    <w:basedOn w:val="Normal"/>
    <w:link w:val="ListParagraphChar"/>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1 Char,Bullet 1 Char,Bulleted - 2 Char,1. Bullet Blank Char,Footnote Char,Bullet point Char,List Paragraph1 Char,List Paragraph11 Char,Recommendation Char,Section heading Char"/>
    <w:basedOn w:val="DefaultParagraphFont"/>
    <w:link w:val="ListParagraph"/>
    <w:qFormat/>
    <w:rsid w:val="00077143"/>
    <w:rPr>
      <w:rFonts w:ascii="Arial" w:hAnsi="Arial" w:cs="Arial"/>
      <w:snapToGrid w:val="0"/>
      <w:sz w:val="22"/>
      <w:lang w:eastAsia="en-US"/>
    </w:rPr>
  </w:style>
  <w:style w:type="paragraph" w:customStyle="1" w:styleId="PBACHeading1">
    <w:name w:val="PBAC Heading 1"/>
    <w:qFormat/>
    <w:rsid w:val="00E15627"/>
    <w:pPr>
      <w:numPr>
        <w:numId w:val="5"/>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Footer">
    <w:name w:val="Table Footer"/>
    <w:basedOn w:val="Normal"/>
    <w:link w:val="TableFooterChar"/>
    <w:qFormat/>
    <w:rsid w:val="004F268B"/>
    <w:pPr>
      <w:spacing w:after="120"/>
      <w:contextualSpacing/>
      <w:jc w:val="both"/>
    </w:pPr>
    <w:rPr>
      <w:rFonts w:ascii="Arial Narrow" w:hAnsi="Arial Narrow" w:cs="Arial"/>
      <w:snapToGrid w:val="0"/>
      <w:sz w:val="18"/>
      <w:szCs w:val="22"/>
      <w:lang w:eastAsia="en-US"/>
    </w:rPr>
  </w:style>
  <w:style w:type="character" w:customStyle="1" w:styleId="TableFooterChar">
    <w:name w:val="Table Footer Char"/>
    <w:link w:val="TableFooter"/>
    <w:rsid w:val="004F268B"/>
    <w:rPr>
      <w:rFonts w:ascii="Arial Narrow" w:hAnsi="Arial Narrow" w:cs="Arial"/>
      <w:snapToGrid w:val="0"/>
      <w:sz w:val="18"/>
      <w:szCs w:val="22"/>
      <w:lang w:eastAsia="en-US"/>
    </w:rPr>
  </w:style>
  <w:style w:type="character" w:customStyle="1" w:styleId="TabletextChar">
    <w:name w:val="Table text Char"/>
    <w:link w:val="Tabletext"/>
    <w:uiPriority w:val="2"/>
    <w:rsid w:val="004C5CB1"/>
    <w:rPr>
      <w:rFonts w:ascii="Arial" w:hAnsi="Arial"/>
      <w:lang w:eastAsia="en-US"/>
    </w:rPr>
  </w:style>
  <w:style w:type="paragraph" w:styleId="Caption">
    <w:name w:val="caption"/>
    <w:basedOn w:val="Normal"/>
    <w:next w:val="Normal"/>
    <w:uiPriority w:val="2"/>
    <w:qFormat/>
    <w:rsid w:val="00094E65"/>
    <w:pPr>
      <w:keepNext/>
      <w:spacing w:before="240" w:after="40"/>
      <w:ind w:left="1134" w:hanging="1134"/>
    </w:pPr>
    <w:rPr>
      <w:rFonts w:ascii="Calibri" w:eastAsiaTheme="minorEastAsia" w:hAnsi="Calibri" w:cstheme="minorBidi"/>
      <w:b/>
      <w:bCs/>
      <w:sz w:val="22"/>
      <w:szCs w:val="22"/>
      <w:lang w:eastAsia="zh-CN"/>
    </w:rPr>
  </w:style>
  <w:style w:type="paragraph" w:customStyle="1" w:styleId="TableText2centerheaderrow">
    <w:name w:val="Table Text 2 (center) header row"/>
    <w:basedOn w:val="Normal"/>
    <w:rsid w:val="00094E65"/>
    <w:pPr>
      <w:tabs>
        <w:tab w:val="left" w:pos="2835"/>
      </w:tabs>
      <w:snapToGrid w:val="0"/>
      <w:spacing w:before="80" w:after="80"/>
      <w:jc w:val="center"/>
    </w:pPr>
    <w:rPr>
      <w:rFonts w:eastAsia="SimSun"/>
      <w:sz w:val="20"/>
      <w:szCs w:val="20"/>
      <w:lang w:eastAsia="en-US"/>
    </w:rPr>
  </w:style>
  <w:style w:type="paragraph" w:customStyle="1" w:styleId="TableText1left">
    <w:name w:val="Table Text 1 (left)"/>
    <w:basedOn w:val="Normal"/>
    <w:link w:val="TableText1leftChar"/>
    <w:rsid w:val="00094E65"/>
    <w:pPr>
      <w:spacing w:before="40" w:after="40"/>
    </w:pPr>
    <w:rPr>
      <w:rFonts w:eastAsia="SimSun"/>
      <w:sz w:val="20"/>
      <w:szCs w:val="20"/>
      <w:lang w:val="en-GB" w:eastAsia="en-US"/>
    </w:rPr>
  </w:style>
  <w:style w:type="paragraph" w:customStyle="1" w:styleId="TabletextindentedlistA">
    <w:name w:val="Table text indented list A"/>
    <w:aliases w:val="B,C"/>
    <w:basedOn w:val="Normal"/>
    <w:rsid w:val="00094E65"/>
    <w:pPr>
      <w:tabs>
        <w:tab w:val="left" w:pos="372"/>
        <w:tab w:val="left" w:pos="2835"/>
      </w:tabs>
      <w:ind w:left="372" w:hanging="360"/>
    </w:pPr>
    <w:rPr>
      <w:rFonts w:eastAsia="SimSun"/>
      <w:sz w:val="20"/>
      <w:szCs w:val="20"/>
      <w:lang w:eastAsia="zh-CN"/>
    </w:rPr>
  </w:style>
  <w:style w:type="character" w:customStyle="1" w:styleId="TableText1leftChar">
    <w:name w:val="Table Text 1 (left) Char"/>
    <w:basedOn w:val="DefaultParagraphFont"/>
    <w:link w:val="TableText1left"/>
    <w:rsid w:val="00094E65"/>
    <w:rPr>
      <w:rFonts w:eastAsia="SimSun"/>
      <w:lang w:val="en-GB" w:eastAsia="en-US"/>
    </w:rPr>
  </w:style>
  <w:style w:type="paragraph" w:customStyle="1" w:styleId="TableText0">
    <w:name w:val="TableText"/>
    <w:basedOn w:val="Normal"/>
    <w:link w:val="TableTextChar0"/>
    <w:uiPriority w:val="97"/>
    <w:qFormat/>
    <w:rsid w:val="00D72049"/>
    <w:pPr>
      <w:spacing w:before="40" w:after="40"/>
    </w:pPr>
    <w:rPr>
      <w:rFonts w:ascii="Calibri" w:hAnsi="Calibri" w:cstheme="minorHAnsi"/>
      <w:bCs/>
      <w:sz w:val="20"/>
      <w:szCs w:val="20"/>
      <w:lang w:eastAsia="en-US"/>
    </w:rPr>
  </w:style>
  <w:style w:type="character" w:customStyle="1" w:styleId="TableTextChar0">
    <w:name w:val="TableText Char"/>
    <w:basedOn w:val="DefaultParagraphFont"/>
    <w:link w:val="TableText0"/>
    <w:uiPriority w:val="97"/>
    <w:rsid w:val="00D72049"/>
    <w:rPr>
      <w:rFonts w:ascii="Calibri" w:hAnsi="Calibri" w:cstheme="minorHAnsi"/>
      <w:bCs/>
      <w:lang w:eastAsia="en-US"/>
    </w:rPr>
  </w:style>
  <w:style w:type="paragraph" w:customStyle="1" w:styleId="TableNotes0">
    <w:name w:val="TableNotes"/>
    <w:basedOn w:val="Normal"/>
    <w:next w:val="Normal"/>
    <w:uiPriority w:val="98"/>
    <w:qFormat/>
    <w:rsid w:val="00D72049"/>
    <w:pPr>
      <w:tabs>
        <w:tab w:val="left" w:pos="1134"/>
      </w:tabs>
      <w:ind w:left="1134" w:hanging="1134"/>
    </w:pPr>
    <w:rPr>
      <w:rFonts w:ascii="Calibri" w:eastAsiaTheme="minorEastAsia" w:hAnsi="Calibri" w:cstheme="minorBidi"/>
      <w:sz w:val="18"/>
      <w:szCs w:val="18"/>
      <w:lang w:eastAsia="en-US"/>
    </w:rPr>
  </w:style>
  <w:style w:type="paragraph" w:customStyle="1" w:styleId="TableHeadingRow">
    <w:name w:val="TableHeadingRow"/>
    <w:basedOn w:val="Normal"/>
    <w:uiPriority w:val="96"/>
    <w:qFormat/>
    <w:rsid w:val="00D72049"/>
    <w:pPr>
      <w:keepNext/>
      <w:spacing w:before="20" w:after="20"/>
    </w:pPr>
    <w:rPr>
      <w:rFonts w:ascii="Calibri" w:hAnsi="Calibri" w:cstheme="minorHAnsi"/>
      <w:b/>
      <w:sz w:val="20"/>
      <w:szCs w:val="20"/>
      <w:lang w:eastAsia="en-US"/>
    </w:rPr>
  </w:style>
  <w:style w:type="paragraph" w:styleId="EndnoteText">
    <w:name w:val="endnote text"/>
    <w:basedOn w:val="Normal"/>
    <w:link w:val="EndnoteTextChar"/>
    <w:semiHidden/>
    <w:unhideWhenUsed/>
    <w:rsid w:val="00285036"/>
    <w:rPr>
      <w:sz w:val="20"/>
      <w:szCs w:val="20"/>
    </w:rPr>
  </w:style>
  <w:style w:type="character" w:customStyle="1" w:styleId="EndnoteTextChar">
    <w:name w:val="Endnote Text Char"/>
    <w:basedOn w:val="DefaultParagraphFont"/>
    <w:link w:val="EndnoteText"/>
    <w:semiHidden/>
    <w:rsid w:val="00285036"/>
  </w:style>
  <w:style w:type="character" w:styleId="EndnoteReference">
    <w:name w:val="endnote reference"/>
    <w:basedOn w:val="DefaultParagraphFont"/>
    <w:semiHidden/>
    <w:unhideWhenUsed/>
    <w:rsid w:val="00285036"/>
    <w:rPr>
      <w:vertAlign w:val="superscript"/>
    </w:rPr>
  </w:style>
  <w:style w:type="paragraph" w:styleId="FootnoteText">
    <w:name w:val="footnote text"/>
    <w:basedOn w:val="Normal"/>
    <w:link w:val="FootnoteTextChar"/>
    <w:semiHidden/>
    <w:unhideWhenUsed/>
    <w:rsid w:val="00285036"/>
    <w:rPr>
      <w:sz w:val="20"/>
      <w:szCs w:val="20"/>
    </w:rPr>
  </w:style>
  <w:style w:type="character" w:customStyle="1" w:styleId="FootnoteTextChar">
    <w:name w:val="Footnote Text Char"/>
    <w:basedOn w:val="DefaultParagraphFont"/>
    <w:link w:val="FootnoteText"/>
    <w:semiHidden/>
    <w:rsid w:val="00285036"/>
  </w:style>
  <w:style w:type="character" w:styleId="FootnoteReference">
    <w:name w:val="footnote reference"/>
    <w:basedOn w:val="DefaultParagraphFont"/>
    <w:semiHidden/>
    <w:unhideWhenUsed/>
    <w:rsid w:val="00285036"/>
    <w:rPr>
      <w:vertAlign w:val="superscript"/>
    </w:rPr>
  </w:style>
  <w:style w:type="paragraph" w:customStyle="1" w:styleId="TableText1">
    <w:name w:val="Table Text"/>
    <w:basedOn w:val="Normal"/>
    <w:qFormat/>
    <w:rsid w:val="00F861B1"/>
    <w:pPr>
      <w:spacing w:before="40" w:after="40"/>
    </w:pPr>
    <w:rPr>
      <w:rFonts w:asciiTheme="minorHAnsi" w:eastAsiaTheme="minorEastAsia" w:hAnsiTheme="minorHAnsi" w:cstheme="minorHAnsi"/>
      <w:sz w:val="20"/>
      <w:szCs w:val="22"/>
      <w:lang w:eastAsia="zh-CN"/>
    </w:rPr>
  </w:style>
  <w:style w:type="paragraph" w:customStyle="1" w:styleId="Default">
    <w:name w:val="Default"/>
    <w:rsid w:val="00F861B1"/>
    <w:pPr>
      <w:autoSpaceDE w:val="0"/>
      <w:autoSpaceDN w:val="0"/>
      <w:adjustRightInd w:val="0"/>
    </w:pPr>
    <w:rPr>
      <w:rFonts w:ascii="Arial" w:hAnsi="Arial" w:cs="Arial"/>
      <w:color w:val="000000"/>
      <w:sz w:val="24"/>
      <w:szCs w:val="24"/>
    </w:rPr>
  </w:style>
  <w:style w:type="character" w:customStyle="1" w:styleId="BalloonTextChar">
    <w:name w:val="Balloon Text Char"/>
    <w:basedOn w:val="DefaultParagraphFont"/>
    <w:link w:val="BalloonText"/>
    <w:rsid w:val="009D4DC5"/>
    <w:rPr>
      <w:rFonts w:ascii="Tahoma" w:hAnsi="Tahoma" w:cs="Tahoma"/>
      <w:sz w:val="16"/>
      <w:szCs w:val="16"/>
    </w:rPr>
  </w:style>
  <w:style w:type="character" w:styleId="FollowedHyperlink">
    <w:name w:val="FollowedHyperlink"/>
    <w:basedOn w:val="DefaultParagraphFont"/>
    <w:semiHidden/>
    <w:unhideWhenUsed/>
    <w:rsid w:val="00640860"/>
    <w:rPr>
      <w:color w:val="800080" w:themeColor="followedHyperlink"/>
      <w:u w:val="single"/>
    </w:rPr>
  </w:style>
  <w:style w:type="paragraph" w:styleId="NormalWeb">
    <w:name w:val="Normal (Web)"/>
    <w:basedOn w:val="Normal"/>
    <w:uiPriority w:val="99"/>
    <w:semiHidden/>
    <w:unhideWhenUsed/>
    <w:rsid w:val="00862850"/>
    <w:pPr>
      <w:spacing w:before="100" w:beforeAutospacing="1" w:after="100" w:afterAutospacing="1"/>
    </w:pPr>
  </w:style>
  <w:style w:type="character" w:styleId="Emphasis">
    <w:name w:val="Emphasis"/>
    <w:basedOn w:val="DefaultParagraphFont"/>
    <w:uiPriority w:val="20"/>
    <w:qFormat/>
    <w:rsid w:val="00862850"/>
    <w:rPr>
      <w:i/>
      <w:iCs/>
    </w:rPr>
  </w:style>
  <w:style w:type="character" w:styleId="Strong">
    <w:name w:val="Strong"/>
    <w:basedOn w:val="DefaultParagraphFont"/>
    <w:uiPriority w:val="22"/>
    <w:qFormat/>
    <w:rsid w:val="00AD7130"/>
    <w:rPr>
      <w:b/>
      <w:bCs/>
    </w:rPr>
  </w:style>
  <w:style w:type="paragraph" w:styleId="Revision">
    <w:name w:val="Revision"/>
    <w:hidden/>
    <w:uiPriority w:val="71"/>
    <w:semiHidden/>
    <w:rsid w:val="00DB3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473746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99222329">
      <w:bodyDiv w:val="1"/>
      <w:marLeft w:val="0"/>
      <w:marRight w:val="0"/>
      <w:marTop w:val="0"/>
      <w:marBottom w:val="0"/>
      <w:divBdr>
        <w:top w:val="none" w:sz="0" w:space="0" w:color="auto"/>
        <w:left w:val="none" w:sz="0" w:space="0" w:color="auto"/>
        <w:bottom w:val="none" w:sz="0" w:space="0" w:color="auto"/>
        <w:right w:val="none" w:sz="0" w:space="0" w:color="auto"/>
      </w:divBdr>
    </w:div>
    <w:div w:id="430198262">
      <w:bodyDiv w:val="1"/>
      <w:marLeft w:val="0"/>
      <w:marRight w:val="0"/>
      <w:marTop w:val="0"/>
      <w:marBottom w:val="0"/>
      <w:divBdr>
        <w:top w:val="none" w:sz="0" w:space="0" w:color="auto"/>
        <w:left w:val="none" w:sz="0" w:space="0" w:color="auto"/>
        <w:bottom w:val="none" w:sz="0" w:space="0" w:color="auto"/>
        <w:right w:val="none" w:sz="0" w:space="0" w:color="auto"/>
      </w:divBdr>
    </w:div>
    <w:div w:id="461192554">
      <w:bodyDiv w:val="1"/>
      <w:marLeft w:val="0"/>
      <w:marRight w:val="0"/>
      <w:marTop w:val="0"/>
      <w:marBottom w:val="0"/>
      <w:divBdr>
        <w:top w:val="none" w:sz="0" w:space="0" w:color="auto"/>
        <w:left w:val="none" w:sz="0" w:space="0" w:color="auto"/>
        <w:bottom w:val="none" w:sz="0" w:space="0" w:color="auto"/>
        <w:right w:val="none" w:sz="0" w:space="0" w:color="auto"/>
      </w:divBdr>
    </w:div>
    <w:div w:id="464474375">
      <w:bodyDiv w:val="1"/>
      <w:marLeft w:val="0"/>
      <w:marRight w:val="0"/>
      <w:marTop w:val="0"/>
      <w:marBottom w:val="0"/>
      <w:divBdr>
        <w:top w:val="none" w:sz="0" w:space="0" w:color="auto"/>
        <w:left w:val="none" w:sz="0" w:space="0" w:color="auto"/>
        <w:bottom w:val="none" w:sz="0" w:space="0" w:color="auto"/>
        <w:right w:val="none" w:sz="0" w:space="0" w:color="auto"/>
      </w:divBdr>
      <w:divsChild>
        <w:div w:id="637491440">
          <w:marLeft w:val="0"/>
          <w:marRight w:val="0"/>
          <w:marTop w:val="0"/>
          <w:marBottom w:val="0"/>
          <w:divBdr>
            <w:top w:val="none" w:sz="0" w:space="0" w:color="auto"/>
            <w:left w:val="none" w:sz="0" w:space="0" w:color="auto"/>
            <w:bottom w:val="none" w:sz="0" w:space="0" w:color="auto"/>
            <w:right w:val="none" w:sz="0" w:space="0" w:color="auto"/>
          </w:divBdr>
          <w:divsChild>
            <w:div w:id="968702120">
              <w:marLeft w:val="0"/>
              <w:marRight w:val="0"/>
              <w:marTop w:val="0"/>
              <w:marBottom w:val="0"/>
              <w:divBdr>
                <w:top w:val="none" w:sz="0" w:space="0" w:color="auto"/>
                <w:left w:val="none" w:sz="0" w:space="0" w:color="auto"/>
                <w:bottom w:val="none" w:sz="0" w:space="0" w:color="auto"/>
                <w:right w:val="none" w:sz="0" w:space="0" w:color="auto"/>
              </w:divBdr>
              <w:divsChild>
                <w:div w:id="626010283">
                  <w:marLeft w:val="0"/>
                  <w:marRight w:val="0"/>
                  <w:marTop w:val="0"/>
                  <w:marBottom w:val="0"/>
                  <w:divBdr>
                    <w:top w:val="none" w:sz="0" w:space="0" w:color="auto"/>
                    <w:left w:val="none" w:sz="0" w:space="0" w:color="auto"/>
                    <w:bottom w:val="none" w:sz="0" w:space="0" w:color="auto"/>
                    <w:right w:val="none" w:sz="0" w:space="0" w:color="auto"/>
                  </w:divBdr>
                  <w:divsChild>
                    <w:div w:id="543713208">
                      <w:marLeft w:val="0"/>
                      <w:marRight w:val="0"/>
                      <w:marTop w:val="0"/>
                      <w:marBottom w:val="0"/>
                      <w:divBdr>
                        <w:top w:val="none" w:sz="0" w:space="0" w:color="auto"/>
                        <w:left w:val="none" w:sz="0" w:space="0" w:color="auto"/>
                        <w:bottom w:val="none" w:sz="0" w:space="0" w:color="auto"/>
                        <w:right w:val="none" w:sz="0" w:space="0" w:color="auto"/>
                      </w:divBdr>
                      <w:divsChild>
                        <w:div w:id="2014601243">
                          <w:marLeft w:val="0"/>
                          <w:marRight w:val="0"/>
                          <w:marTop w:val="0"/>
                          <w:marBottom w:val="0"/>
                          <w:divBdr>
                            <w:top w:val="none" w:sz="0" w:space="0" w:color="auto"/>
                            <w:left w:val="none" w:sz="0" w:space="0" w:color="auto"/>
                            <w:bottom w:val="none" w:sz="0" w:space="0" w:color="auto"/>
                            <w:right w:val="none" w:sz="0" w:space="0" w:color="auto"/>
                          </w:divBdr>
                          <w:divsChild>
                            <w:div w:id="677734303">
                              <w:marLeft w:val="0"/>
                              <w:marRight w:val="0"/>
                              <w:marTop w:val="0"/>
                              <w:marBottom w:val="0"/>
                              <w:divBdr>
                                <w:top w:val="none" w:sz="0" w:space="0" w:color="auto"/>
                                <w:left w:val="none" w:sz="0" w:space="0" w:color="auto"/>
                                <w:bottom w:val="none" w:sz="0" w:space="0" w:color="auto"/>
                                <w:right w:val="none" w:sz="0" w:space="0" w:color="auto"/>
                              </w:divBdr>
                              <w:divsChild>
                                <w:div w:id="337121706">
                                  <w:marLeft w:val="0"/>
                                  <w:marRight w:val="0"/>
                                  <w:marTop w:val="0"/>
                                  <w:marBottom w:val="0"/>
                                  <w:divBdr>
                                    <w:top w:val="none" w:sz="0" w:space="0" w:color="auto"/>
                                    <w:left w:val="none" w:sz="0" w:space="0" w:color="auto"/>
                                    <w:bottom w:val="none" w:sz="0" w:space="0" w:color="auto"/>
                                    <w:right w:val="none" w:sz="0" w:space="0" w:color="auto"/>
                                  </w:divBdr>
                                  <w:divsChild>
                                    <w:div w:id="782966390">
                                      <w:marLeft w:val="0"/>
                                      <w:marRight w:val="0"/>
                                      <w:marTop w:val="0"/>
                                      <w:marBottom w:val="0"/>
                                      <w:divBdr>
                                        <w:top w:val="none" w:sz="0" w:space="0" w:color="auto"/>
                                        <w:left w:val="none" w:sz="0" w:space="0" w:color="auto"/>
                                        <w:bottom w:val="none" w:sz="0" w:space="0" w:color="auto"/>
                                        <w:right w:val="none" w:sz="0" w:space="0" w:color="auto"/>
                                      </w:divBdr>
                                      <w:divsChild>
                                        <w:div w:id="518354436">
                                          <w:marLeft w:val="0"/>
                                          <w:marRight w:val="0"/>
                                          <w:marTop w:val="0"/>
                                          <w:marBottom w:val="0"/>
                                          <w:divBdr>
                                            <w:top w:val="none" w:sz="0" w:space="0" w:color="auto"/>
                                            <w:left w:val="single" w:sz="12" w:space="4" w:color="FFFFFF"/>
                                            <w:bottom w:val="none" w:sz="0" w:space="0" w:color="auto"/>
                                            <w:right w:val="none" w:sz="0" w:space="0" w:color="auto"/>
                                          </w:divBdr>
                                        </w:div>
                                      </w:divsChild>
                                    </w:div>
                                  </w:divsChild>
                                </w:div>
                              </w:divsChild>
                            </w:div>
                          </w:divsChild>
                        </w:div>
                      </w:divsChild>
                    </w:div>
                  </w:divsChild>
                </w:div>
              </w:divsChild>
            </w:div>
          </w:divsChild>
        </w:div>
      </w:divsChild>
    </w:div>
    <w:div w:id="610630724">
      <w:bodyDiv w:val="1"/>
      <w:marLeft w:val="0"/>
      <w:marRight w:val="0"/>
      <w:marTop w:val="0"/>
      <w:marBottom w:val="0"/>
      <w:divBdr>
        <w:top w:val="none" w:sz="0" w:space="0" w:color="auto"/>
        <w:left w:val="none" w:sz="0" w:space="0" w:color="auto"/>
        <w:bottom w:val="none" w:sz="0" w:space="0" w:color="auto"/>
        <w:right w:val="none" w:sz="0" w:space="0" w:color="auto"/>
      </w:divBdr>
      <w:divsChild>
        <w:div w:id="817527777">
          <w:marLeft w:val="0"/>
          <w:marRight w:val="0"/>
          <w:marTop w:val="0"/>
          <w:marBottom w:val="0"/>
          <w:divBdr>
            <w:top w:val="none" w:sz="0" w:space="0" w:color="auto"/>
            <w:left w:val="none" w:sz="0" w:space="0" w:color="auto"/>
            <w:bottom w:val="none" w:sz="0" w:space="0" w:color="auto"/>
            <w:right w:val="none" w:sz="0" w:space="0" w:color="auto"/>
          </w:divBdr>
          <w:divsChild>
            <w:div w:id="179708114">
              <w:marLeft w:val="0"/>
              <w:marRight w:val="0"/>
              <w:marTop w:val="0"/>
              <w:marBottom w:val="0"/>
              <w:divBdr>
                <w:top w:val="none" w:sz="0" w:space="0" w:color="auto"/>
                <w:left w:val="none" w:sz="0" w:space="0" w:color="auto"/>
                <w:bottom w:val="none" w:sz="0" w:space="0" w:color="auto"/>
                <w:right w:val="none" w:sz="0" w:space="0" w:color="auto"/>
              </w:divBdr>
              <w:divsChild>
                <w:div w:id="1123575382">
                  <w:marLeft w:val="0"/>
                  <w:marRight w:val="0"/>
                  <w:marTop w:val="0"/>
                  <w:marBottom w:val="0"/>
                  <w:divBdr>
                    <w:top w:val="none" w:sz="0" w:space="0" w:color="auto"/>
                    <w:left w:val="none" w:sz="0" w:space="0" w:color="auto"/>
                    <w:bottom w:val="none" w:sz="0" w:space="0" w:color="auto"/>
                    <w:right w:val="none" w:sz="0" w:space="0" w:color="auto"/>
                  </w:divBdr>
                  <w:divsChild>
                    <w:div w:id="1553274716">
                      <w:marLeft w:val="0"/>
                      <w:marRight w:val="0"/>
                      <w:marTop w:val="0"/>
                      <w:marBottom w:val="0"/>
                      <w:divBdr>
                        <w:top w:val="none" w:sz="0" w:space="0" w:color="auto"/>
                        <w:left w:val="none" w:sz="0" w:space="0" w:color="auto"/>
                        <w:bottom w:val="none" w:sz="0" w:space="0" w:color="auto"/>
                        <w:right w:val="none" w:sz="0" w:space="0" w:color="auto"/>
                      </w:divBdr>
                      <w:divsChild>
                        <w:div w:id="1226990418">
                          <w:marLeft w:val="0"/>
                          <w:marRight w:val="0"/>
                          <w:marTop w:val="0"/>
                          <w:marBottom w:val="0"/>
                          <w:divBdr>
                            <w:top w:val="none" w:sz="0" w:space="0" w:color="auto"/>
                            <w:left w:val="none" w:sz="0" w:space="0" w:color="auto"/>
                            <w:bottom w:val="none" w:sz="0" w:space="0" w:color="auto"/>
                            <w:right w:val="none" w:sz="0" w:space="0" w:color="auto"/>
                          </w:divBdr>
                          <w:divsChild>
                            <w:div w:id="804472709">
                              <w:marLeft w:val="0"/>
                              <w:marRight w:val="0"/>
                              <w:marTop w:val="0"/>
                              <w:marBottom w:val="0"/>
                              <w:divBdr>
                                <w:top w:val="none" w:sz="0" w:space="0" w:color="auto"/>
                                <w:left w:val="none" w:sz="0" w:space="0" w:color="auto"/>
                                <w:bottom w:val="none" w:sz="0" w:space="0" w:color="auto"/>
                                <w:right w:val="none" w:sz="0" w:space="0" w:color="auto"/>
                              </w:divBdr>
                              <w:divsChild>
                                <w:div w:id="667253166">
                                  <w:marLeft w:val="0"/>
                                  <w:marRight w:val="0"/>
                                  <w:marTop w:val="0"/>
                                  <w:marBottom w:val="0"/>
                                  <w:divBdr>
                                    <w:top w:val="none" w:sz="0" w:space="0" w:color="auto"/>
                                    <w:left w:val="none" w:sz="0" w:space="0" w:color="auto"/>
                                    <w:bottom w:val="none" w:sz="0" w:space="0" w:color="auto"/>
                                    <w:right w:val="none" w:sz="0" w:space="0" w:color="auto"/>
                                  </w:divBdr>
                                  <w:divsChild>
                                    <w:div w:id="108400375">
                                      <w:marLeft w:val="0"/>
                                      <w:marRight w:val="0"/>
                                      <w:marTop w:val="0"/>
                                      <w:marBottom w:val="0"/>
                                      <w:divBdr>
                                        <w:top w:val="none" w:sz="0" w:space="0" w:color="auto"/>
                                        <w:left w:val="none" w:sz="0" w:space="0" w:color="auto"/>
                                        <w:bottom w:val="none" w:sz="0" w:space="0" w:color="auto"/>
                                        <w:right w:val="none" w:sz="0" w:space="0" w:color="auto"/>
                                      </w:divBdr>
                                      <w:divsChild>
                                        <w:div w:id="1499421762">
                                          <w:marLeft w:val="0"/>
                                          <w:marRight w:val="0"/>
                                          <w:marTop w:val="0"/>
                                          <w:marBottom w:val="0"/>
                                          <w:divBdr>
                                            <w:top w:val="none" w:sz="0" w:space="0" w:color="auto"/>
                                            <w:left w:val="single" w:sz="12" w:space="4" w:color="FFFFFF"/>
                                            <w:bottom w:val="none" w:sz="0" w:space="0" w:color="auto"/>
                                            <w:right w:val="none" w:sz="0" w:space="0" w:color="auto"/>
                                          </w:divBdr>
                                        </w:div>
                                      </w:divsChild>
                                    </w:div>
                                  </w:divsChild>
                                </w:div>
                              </w:divsChild>
                            </w:div>
                          </w:divsChild>
                        </w:div>
                      </w:divsChild>
                    </w:div>
                  </w:divsChild>
                </w:div>
              </w:divsChild>
            </w:div>
          </w:divsChild>
        </w:div>
      </w:divsChild>
    </w:div>
    <w:div w:id="655836276">
      <w:bodyDiv w:val="1"/>
      <w:marLeft w:val="0"/>
      <w:marRight w:val="0"/>
      <w:marTop w:val="0"/>
      <w:marBottom w:val="0"/>
      <w:divBdr>
        <w:top w:val="none" w:sz="0" w:space="0" w:color="auto"/>
        <w:left w:val="none" w:sz="0" w:space="0" w:color="auto"/>
        <w:bottom w:val="none" w:sz="0" w:space="0" w:color="auto"/>
        <w:right w:val="none" w:sz="0" w:space="0" w:color="auto"/>
      </w:divBdr>
    </w:div>
    <w:div w:id="735586267">
      <w:bodyDiv w:val="1"/>
      <w:marLeft w:val="0"/>
      <w:marRight w:val="0"/>
      <w:marTop w:val="0"/>
      <w:marBottom w:val="0"/>
      <w:divBdr>
        <w:top w:val="none" w:sz="0" w:space="0" w:color="auto"/>
        <w:left w:val="none" w:sz="0" w:space="0" w:color="auto"/>
        <w:bottom w:val="none" w:sz="0" w:space="0" w:color="auto"/>
        <w:right w:val="none" w:sz="0" w:space="0" w:color="auto"/>
      </w:divBdr>
      <w:divsChild>
        <w:div w:id="1636376876">
          <w:marLeft w:val="0"/>
          <w:marRight w:val="0"/>
          <w:marTop w:val="0"/>
          <w:marBottom w:val="0"/>
          <w:divBdr>
            <w:top w:val="none" w:sz="0" w:space="0" w:color="auto"/>
            <w:left w:val="none" w:sz="0" w:space="0" w:color="auto"/>
            <w:bottom w:val="none" w:sz="0" w:space="0" w:color="auto"/>
            <w:right w:val="none" w:sz="0" w:space="0" w:color="auto"/>
          </w:divBdr>
          <w:divsChild>
            <w:div w:id="846097922">
              <w:marLeft w:val="0"/>
              <w:marRight w:val="0"/>
              <w:marTop w:val="0"/>
              <w:marBottom w:val="0"/>
              <w:divBdr>
                <w:top w:val="none" w:sz="0" w:space="0" w:color="auto"/>
                <w:left w:val="none" w:sz="0" w:space="0" w:color="auto"/>
                <w:bottom w:val="none" w:sz="0" w:space="0" w:color="auto"/>
                <w:right w:val="none" w:sz="0" w:space="0" w:color="auto"/>
              </w:divBdr>
              <w:divsChild>
                <w:div w:id="551818379">
                  <w:marLeft w:val="0"/>
                  <w:marRight w:val="0"/>
                  <w:marTop w:val="0"/>
                  <w:marBottom w:val="0"/>
                  <w:divBdr>
                    <w:top w:val="none" w:sz="0" w:space="0" w:color="auto"/>
                    <w:left w:val="none" w:sz="0" w:space="0" w:color="auto"/>
                    <w:bottom w:val="none" w:sz="0" w:space="0" w:color="auto"/>
                    <w:right w:val="none" w:sz="0" w:space="0" w:color="auto"/>
                  </w:divBdr>
                  <w:divsChild>
                    <w:div w:id="642582986">
                      <w:marLeft w:val="0"/>
                      <w:marRight w:val="0"/>
                      <w:marTop w:val="0"/>
                      <w:marBottom w:val="0"/>
                      <w:divBdr>
                        <w:top w:val="none" w:sz="0" w:space="0" w:color="auto"/>
                        <w:left w:val="none" w:sz="0" w:space="0" w:color="auto"/>
                        <w:bottom w:val="none" w:sz="0" w:space="0" w:color="auto"/>
                        <w:right w:val="none" w:sz="0" w:space="0" w:color="auto"/>
                      </w:divBdr>
                      <w:divsChild>
                        <w:div w:id="962032269">
                          <w:marLeft w:val="0"/>
                          <w:marRight w:val="0"/>
                          <w:marTop w:val="0"/>
                          <w:marBottom w:val="0"/>
                          <w:divBdr>
                            <w:top w:val="none" w:sz="0" w:space="0" w:color="auto"/>
                            <w:left w:val="none" w:sz="0" w:space="0" w:color="auto"/>
                            <w:bottom w:val="none" w:sz="0" w:space="0" w:color="auto"/>
                            <w:right w:val="none" w:sz="0" w:space="0" w:color="auto"/>
                          </w:divBdr>
                          <w:divsChild>
                            <w:div w:id="723524047">
                              <w:marLeft w:val="0"/>
                              <w:marRight w:val="0"/>
                              <w:marTop w:val="0"/>
                              <w:marBottom w:val="0"/>
                              <w:divBdr>
                                <w:top w:val="none" w:sz="0" w:space="0" w:color="auto"/>
                                <w:left w:val="none" w:sz="0" w:space="0" w:color="auto"/>
                                <w:bottom w:val="none" w:sz="0" w:space="0" w:color="auto"/>
                                <w:right w:val="none" w:sz="0" w:space="0" w:color="auto"/>
                              </w:divBdr>
                              <w:divsChild>
                                <w:div w:id="285240122">
                                  <w:marLeft w:val="0"/>
                                  <w:marRight w:val="0"/>
                                  <w:marTop w:val="0"/>
                                  <w:marBottom w:val="0"/>
                                  <w:divBdr>
                                    <w:top w:val="none" w:sz="0" w:space="0" w:color="auto"/>
                                    <w:left w:val="none" w:sz="0" w:space="0" w:color="auto"/>
                                    <w:bottom w:val="none" w:sz="0" w:space="0" w:color="auto"/>
                                    <w:right w:val="none" w:sz="0" w:space="0" w:color="auto"/>
                                  </w:divBdr>
                                  <w:divsChild>
                                    <w:div w:id="1696419993">
                                      <w:marLeft w:val="0"/>
                                      <w:marRight w:val="0"/>
                                      <w:marTop w:val="0"/>
                                      <w:marBottom w:val="0"/>
                                      <w:divBdr>
                                        <w:top w:val="none" w:sz="0" w:space="0" w:color="auto"/>
                                        <w:left w:val="none" w:sz="0" w:space="0" w:color="auto"/>
                                        <w:bottom w:val="none" w:sz="0" w:space="0" w:color="auto"/>
                                        <w:right w:val="none" w:sz="0" w:space="0" w:color="auto"/>
                                      </w:divBdr>
                                      <w:divsChild>
                                        <w:div w:id="774518694">
                                          <w:marLeft w:val="0"/>
                                          <w:marRight w:val="0"/>
                                          <w:marTop w:val="0"/>
                                          <w:marBottom w:val="0"/>
                                          <w:divBdr>
                                            <w:top w:val="none" w:sz="0" w:space="0" w:color="auto"/>
                                            <w:left w:val="single" w:sz="12" w:space="4" w:color="FFFFFF"/>
                                            <w:bottom w:val="none" w:sz="0" w:space="0" w:color="auto"/>
                                            <w:right w:val="none" w:sz="0" w:space="0" w:color="auto"/>
                                          </w:divBdr>
                                        </w:div>
                                      </w:divsChild>
                                    </w:div>
                                  </w:divsChild>
                                </w:div>
                              </w:divsChild>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32127028">
      <w:bodyDiv w:val="1"/>
      <w:marLeft w:val="0"/>
      <w:marRight w:val="0"/>
      <w:marTop w:val="0"/>
      <w:marBottom w:val="0"/>
      <w:divBdr>
        <w:top w:val="none" w:sz="0" w:space="0" w:color="auto"/>
        <w:left w:val="none" w:sz="0" w:space="0" w:color="auto"/>
        <w:bottom w:val="none" w:sz="0" w:space="0" w:color="auto"/>
        <w:right w:val="none" w:sz="0" w:space="0" w:color="auto"/>
      </w:divBdr>
    </w:div>
    <w:div w:id="1086611228">
      <w:bodyDiv w:val="1"/>
      <w:marLeft w:val="0"/>
      <w:marRight w:val="0"/>
      <w:marTop w:val="0"/>
      <w:marBottom w:val="0"/>
      <w:divBdr>
        <w:top w:val="none" w:sz="0" w:space="0" w:color="auto"/>
        <w:left w:val="none" w:sz="0" w:space="0" w:color="auto"/>
        <w:bottom w:val="none" w:sz="0" w:space="0" w:color="auto"/>
        <w:right w:val="none" w:sz="0" w:space="0" w:color="auto"/>
      </w:divBdr>
      <w:divsChild>
        <w:div w:id="423381744">
          <w:marLeft w:val="0"/>
          <w:marRight w:val="0"/>
          <w:marTop w:val="0"/>
          <w:marBottom w:val="0"/>
          <w:divBdr>
            <w:top w:val="none" w:sz="0" w:space="0" w:color="auto"/>
            <w:left w:val="none" w:sz="0" w:space="0" w:color="auto"/>
            <w:bottom w:val="none" w:sz="0" w:space="0" w:color="auto"/>
            <w:right w:val="none" w:sz="0" w:space="0" w:color="auto"/>
          </w:divBdr>
        </w:div>
        <w:div w:id="1709522845">
          <w:marLeft w:val="0"/>
          <w:marRight w:val="0"/>
          <w:marTop w:val="0"/>
          <w:marBottom w:val="0"/>
          <w:divBdr>
            <w:top w:val="none" w:sz="0" w:space="0" w:color="auto"/>
            <w:left w:val="none" w:sz="0" w:space="0" w:color="auto"/>
            <w:bottom w:val="none" w:sz="0" w:space="0" w:color="auto"/>
            <w:right w:val="none" w:sz="0" w:space="0" w:color="auto"/>
          </w:divBdr>
        </w:div>
        <w:div w:id="195579187">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5789908">
      <w:bodyDiv w:val="1"/>
      <w:marLeft w:val="0"/>
      <w:marRight w:val="0"/>
      <w:marTop w:val="0"/>
      <w:marBottom w:val="0"/>
      <w:divBdr>
        <w:top w:val="none" w:sz="0" w:space="0" w:color="auto"/>
        <w:left w:val="none" w:sz="0" w:space="0" w:color="auto"/>
        <w:bottom w:val="none" w:sz="0" w:space="0" w:color="auto"/>
        <w:right w:val="none" w:sz="0" w:space="0" w:color="auto"/>
      </w:divBdr>
    </w:div>
    <w:div w:id="207122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175A-05F7-40D5-856D-1EDE4EC3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6480</Words>
  <Characters>37096</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2019-06-26T05:38:00Z</dcterms:created>
  <dcterms:modified xsi:type="dcterms:W3CDTF">2019-07-05T02:08:00Z</dcterms:modified>
</cp:coreProperties>
</file>