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33C" w:rsidRPr="0071456B" w:rsidRDefault="003F4E2A" w:rsidP="0071456B">
      <w:pPr>
        <w:pStyle w:val="Title"/>
        <w:widowControl/>
        <w:spacing w:before="120" w:after="160"/>
        <w:ind w:left="720" w:hanging="720"/>
        <w:contextualSpacing/>
        <w:jc w:val="left"/>
        <w:rPr>
          <w:rFonts w:asciiTheme="minorHAnsi" w:eastAsiaTheme="majorEastAsia" w:hAnsiTheme="minorHAnsi" w:cstheme="majorBidi"/>
          <w:bCs w:val="0"/>
          <w:snapToGrid/>
          <w:spacing w:val="5"/>
          <w:sz w:val="36"/>
          <w:szCs w:val="36"/>
          <w:lang w:eastAsia="en-AU"/>
        </w:rPr>
      </w:pPr>
      <w:r w:rsidRPr="0071456B">
        <w:rPr>
          <w:rFonts w:asciiTheme="minorHAnsi" w:eastAsiaTheme="majorEastAsia" w:hAnsiTheme="minorHAnsi" w:cstheme="majorBidi"/>
          <w:bCs w:val="0"/>
          <w:snapToGrid/>
          <w:spacing w:val="5"/>
          <w:sz w:val="36"/>
          <w:szCs w:val="36"/>
          <w:lang w:eastAsia="en-AU"/>
        </w:rPr>
        <w:t>6.02</w:t>
      </w:r>
      <w:r w:rsidR="00BB433C" w:rsidRPr="0071456B">
        <w:rPr>
          <w:rFonts w:asciiTheme="minorHAnsi" w:eastAsiaTheme="majorEastAsia" w:hAnsiTheme="minorHAnsi" w:cstheme="majorBidi"/>
          <w:bCs w:val="0"/>
          <w:snapToGrid/>
          <w:spacing w:val="5"/>
          <w:sz w:val="36"/>
          <w:szCs w:val="36"/>
          <w:lang w:eastAsia="en-AU"/>
        </w:rPr>
        <w:tab/>
        <w:t>CABOZANTINIB,</w:t>
      </w:r>
      <w:r w:rsidR="004D2733" w:rsidRPr="0071456B">
        <w:rPr>
          <w:rFonts w:asciiTheme="minorHAnsi" w:eastAsiaTheme="majorEastAsia" w:hAnsiTheme="minorHAnsi" w:cstheme="majorBidi"/>
          <w:bCs w:val="0"/>
          <w:snapToGrid/>
          <w:spacing w:val="5"/>
          <w:sz w:val="36"/>
          <w:szCs w:val="36"/>
          <w:lang w:eastAsia="en-AU"/>
        </w:rPr>
        <w:t xml:space="preserve"> </w:t>
      </w:r>
      <w:r w:rsidR="00992011" w:rsidRPr="0071456B">
        <w:rPr>
          <w:rFonts w:asciiTheme="minorHAnsi" w:eastAsiaTheme="majorEastAsia" w:hAnsiTheme="minorHAnsi" w:cstheme="majorBidi"/>
          <w:bCs w:val="0"/>
          <w:snapToGrid/>
          <w:spacing w:val="5"/>
          <w:sz w:val="36"/>
          <w:szCs w:val="36"/>
          <w:lang w:eastAsia="en-AU"/>
        </w:rPr>
        <w:br/>
        <w:t xml:space="preserve">Tablet </w:t>
      </w:r>
      <w:r w:rsidR="004D2733" w:rsidRPr="0071456B">
        <w:rPr>
          <w:rFonts w:asciiTheme="minorHAnsi" w:eastAsiaTheme="majorEastAsia" w:hAnsiTheme="minorHAnsi" w:cstheme="majorBidi"/>
          <w:bCs w:val="0"/>
          <w:snapToGrid/>
          <w:spacing w:val="5"/>
          <w:sz w:val="36"/>
          <w:szCs w:val="36"/>
          <w:lang w:eastAsia="en-AU"/>
        </w:rPr>
        <w:t>20 mg, 40 mg, and</w:t>
      </w:r>
      <w:r w:rsidR="00BB433C" w:rsidRPr="0071456B">
        <w:rPr>
          <w:rFonts w:asciiTheme="minorHAnsi" w:eastAsiaTheme="majorEastAsia" w:hAnsiTheme="minorHAnsi" w:cstheme="majorBidi"/>
          <w:bCs w:val="0"/>
          <w:snapToGrid/>
          <w:spacing w:val="5"/>
          <w:sz w:val="36"/>
          <w:szCs w:val="36"/>
          <w:lang w:eastAsia="en-AU"/>
        </w:rPr>
        <w:t xml:space="preserve"> 60 mg, </w:t>
      </w:r>
      <w:r w:rsidR="00992011" w:rsidRPr="0071456B">
        <w:rPr>
          <w:rFonts w:asciiTheme="minorHAnsi" w:eastAsiaTheme="majorEastAsia" w:hAnsiTheme="minorHAnsi" w:cstheme="majorBidi"/>
          <w:bCs w:val="0"/>
          <w:snapToGrid/>
          <w:spacing w:val="5"/>
          <w:sz w:val="36"/>
          <w:szCs w:val="36"/>
          <w:lang w:eastAsia="en-AU"/>
        </w:rPr>
        <w:br/>
      </w:r>
      <w:proofErr w:type="spellStart"/>
      <w:r w:rsidR="00BB433C" w:rsidRPr="0071456B">
        <w:rPr>
          <w:rFonts w:asciiTheme="minorHAnsi" w:eastAsiaTheme="majorEastAsia" w:hAnsiTheme="minorHAnsi" w:cstheme="majorBidi"/>
          <w:bCs w:val="0"/>
          <w:snapToGrid/>
          <w:spacing w:val="5"/>
          <w:sz w:val="36"/>
          <w:szCs w:val="36"/>
          <w:lang w:eastAsia="en-AU"/>
        </w:rPr>
        <w:t>Cabometyx</w:t>
      </w:r>
      <w:proofErr w:type="spellEnd"/>
      <w:r w:rsidR="00BB433C" w:rsidRPr="0071456B">
        <w:rPr>
          <w:rFonts w:asciiTheme="minorHAnsi" w:eastAsiaTheme="majorEastAsia" w:hAnsiTheme="minorHAnsi" w:cstheme="majorBidi"/>
          <w:bCs w:val="0"/>
          <w:snapToGrid/>
          <w:spacing w:val="5"/>
          <w:sz w:val="36"/>
          <w:szCs w:val="36"/>
          <w:lang w:eastAsia="en-AU"/>
        </w:rPr>
        <w:t>®,</w:t>
      </w:r>
      <w:r w:rsidRPr="0071456B">
        <w:rPr>
          <w:rFonts w:asciiTheme="minorHAnsi" w:eastAsiaTheme="majorEastAsia" w:hAnsiTheme="minorHAnsi" w:cstheme="majorBidi"/>
          <w:bCs w:val="0"/>
          <w:snapToGrid/>
          <w:spacing w:val="5"/>
          <w:sz w:val="36"/>
          <w:szCs w:val="36"/>
          <w:lang w:eastAsia="en-AU"/>
        </w:rPr>
        <w:t xml:space="preserve"> </w:t>
      </w:r>
      <w:proofErr w:type="spellStart"/>
      <w:r w:rsidR="00BB433C" w:rsidRPr="0071456B">
        <w:rPr>
          <w:rFonts w:asciiTheme="minorHAnsi" w:eastAsiaTheme="majorEastAsia" w:hAnsiTheme="minorHAnsi" w:cstheme="majorBidi"/>
          <w:bCs w:val="0"/>
          <w:snapToGrid/>
          <w:spacing w:val="5"/>
          <w:sz w:val="36"/>
          <w:szCs w:val="36"/>
          <w:lang w:eastAsia="en-AU"/>
        </w:rPr>
        <w:t>Ipsen</w:t>
      </w:r>
      <w:proofErr w:type="spellEnd"/>
      <w:r w:rsidR="00BB433C" w:rsidRPr="0071456B">
        <w:rPr>
          <w:rFonts w:asciiTheme="minorHAnsi" w:eastAsiaTheme="majorEastAsia" w:hAnsiTheme="minorHAnsi" w:cstheme="majorBidi"/>
          <w:bCs w:val="0"/>
          <w:snapToGrid/>
          <w:spacing w:val="5"/>
          <w:sz w:val="36"/>
          <w:szCs w:val="36"/>
          <w:lang w:eastAsia="en-AU"/>
        </w:rPr>
        <w:t xml:space="preserve"> Pty</w:t>
      </w:r>
      <w:r w:rsidR="00992011" w:rsidRPr="0071456B">
        <w:rPr>
          <w:rFonts w:asciiTheme="minorHAnsi" w:eastAsiaTheme="majorEastAsia" w:hAnsiTheme="minorHAnsi" w:cstheme="majorBidi"/>
          <w:bCs w:val="0"/>
          <w:snapToGrid/>
          <w:spacing w:val="5"/>
          <w:sz w:val="36"/>
          <w:szCs w:val="36"/>
          <w:lang w:eastAsia="en-AU"/>
        </w:rPr>
        <w:t xml:space="preserve"> Ltd</w:t>
      </w:r>
    </w:p>
    <w:p w:rsidR="00BB433C" w:rsidRPr="00F86117" w:rsidRDefault="00BB433C" w:rsidP="0061386A">
      <w:pPr>
        <w:pStyle w:val="Heading1"/>
        <w:spacing w:before="120"/>
      </w:pPr>
      <w:bookmarkStart w:id="0" w:name="_Toc371170699"/>
      <w:bookmarkStart w:id="1" w:name="_Toc536002935"/>
      <w:bookmarkStart w:id="2" w:name="_Toc536023487"/>
      <w:r w:rsidRPr="00F86117">
        <w:t>Purpose of Application</w:t>
      </w:r>
      <w:bookmarkEnd w:id="0"/>
      <w:bookmarkEnd w:id="1"/>
      <w:bookmarkEnd w:id="2"/>
    </w:p>
    <w:p w:rsidR="00BB433C" w:rsidRPr="00F86117" w:rsidRDefault="00BB433C" w:rsidP="0061386A">
      <w:pPr>
        <w:pStyle w:val="ListParagraph"/>
        <w:keepNext/>
        <w:keepLines/>
        <w:widowControl/>
        <w:numPr>
          <w:ilvl w:val="1"/>
          <w:numId w:val="2"/>
        </w:numPr>
        <w:spacing w:before="120"/>
      </w:pPr>
      <w:r w:rsidRPr="00F86117">
        <w:t xml:space="preserve">The submission requested a Section 85, Authority Required (Streamlined), listing of </w:t>
      </w:r>
      <w:proofErr w:type="spellStart"/>
      <w:r w:rsidRPr="00F86117">
        <w:t>cabozantinib</w:t>
      </w:r>
      <w:proofErr w:type="spellEnd"/>
      <w:r w:rsidRPr="00F86117">
        <w:t xml:space="preserve"> as first-line treatment of Stage IV clear cell variant renal cell carcinoma (RCC) in patients meeting the International Metastatic Renal Cell Carcinoma Database Consortium (IMDC) criteria for intermediate to poor risk disease.</w:t>
      </w:r>
    </w:p>
    <w:p w:rsidR="00BB433C" w:rsidRPr="00F86117" w:rsidRDefault="00BB433C" w:rsidP="0061386A">
      <w:pPr>
        <w:pStyle w:val="ListParagraph"/>
        <w:widowControl/>
        <w:numPr>
          <w:ilvl w:val="1"/>
          <w:numId w:val="2"/>
        </w:numPr>
        <w:spacing w:before="120"/>
      </w:pPr>
      <w:r w:rsidRPr="00F86117">
        <w:t xml:space="preserve">The submission presented a cost-utility analysis (CUA), on the basis that </w:t>
      </w:r>
      <w:proofErr w:type="spellStart"/>
      <w:r w:rsidRPr="00F86117">
        <w:t>cabozantinib</w:t>
      </w:r>
      <w:proofErr w:type="spellEnd"/>
      <w:r w:rsidRPr="00F86117">
        <w:t xml:space="preserve"> was superior to </w:t>
      </w:r>
      <w:proofErr w:type="spellStart"/>
      <w:r w:rsidRPr="00F86117">
        <w:t>sunitinib</w:t>
      </w:r>
      <w:proofErr w:type="spellEnd"/>
      <w:r w:rsidRPr="00F86117">
        <w:t xml:space="preserve"> in terms of efficacy, with a different safety profile. This used clinical evidence from a randomised controlled trial comparing </w:t>
      </w:r>
      <w:proofErr w:type="spellStart"/>
      <w:r w:rsidRPr="00F86117">
        <w:t>cabozantinib</w:t>
      </w:r>
      <w:proofErr w:type="spellEnd"/>
      <w:r w:rsidRPr="00F86117">
        <w:t xml:space="preserve"> with </w:t>
      </w:r>
      <w:proofErr w:type="spellStart"/>
      <w:r w:rsidRPr="00F86117">
        <w:t>sunitinib</w:t>
      </w:r>
      <w:proofErr w:type="spellEnd"/>
      <w:r w:rsidRPr="00F86117">
        <w:t xml:space="preserve"> (CABOSUN).</w:t>
      </w:r>
    </w:p>
    <w:p w:rsidR="00162799" w:rsidRPr="00F86117" w:rsidRDefault="00BB433C" w:rsidP="0061386A">
      <w:pPr>
        <w:pStyle w:val="ListParagraph"/>
        <w:widowControl/>
        <w:numPr>
          <w:ilvl w:val="1"/>
          <w:numId w:val="2"/>
        </w:numPr>
        <w:spacing w:before="120"/>
      </w:pPr>
      <w:r w:rsidRPr="00F86117">
        <w:t xml:space="preserve">The submission also presented a cost-minimisation analysis (CMA), on the basis that </w:t>
      </w:r>
      <w:proofErr w:type="spellStart"/>
      <w:r w:rsidRPr="00F86117">
        <w:t>cabozantinib</w:t>
      </w:r>
      <w:proofErr w:type="spellEnd"/>
      <w:r w:rsidRPr="00F86117">
        <w:t xml:space="preserve"> 60 mg orally per day was non-inferior to </w:t>
      </w:r>
      <w:proofErr w:type="spellStart"/>
      <w:r w:rsidRPr="00F86117">
        <w:t>nivolumab</w:t>
      </w:r>
      <w:proofErr w:type="spellEnd"/>
      <w:r w:rsidRPr="00F86117">
        <w:t xml:space="preserve"> and </w:t>
      </w:r>
      <w:proofErr w:type="spellStart"/>
      <w:r w:rsidRPr="00F86117">
        <w:t>ipilimumab</w:t>
      </w:r>
      <w:proofErr w:type="spellEnd"/>
      <w:r w:rsidRPr="00F86117">
        <w:t xml:space="preserve"> (NIVO+IPI) in terms of efficacy and may be superior with respect to safety. An indirect comparison of </w:t>
      </w:r>
      <w:proofErr w:type="spellStart"/>
      <w:r w:rsidRPr="00F86117">
        <w:t>cabozantinib</w:t>
      </w:r>
      <w:proofErr w:type="spellEnd"/>
      <w:r w:rsidRPr="00F86117">
        <w:t xml:space="preserve"> with NIVO+IPI, using </w:t>
      </w:r>
      <w:proofErr w:type="spellStart"/>
      <w:r w:rsidRPr="00F86117">
        <w:t>sunitinib</w:t>
      </w:r>
      <w:proofErr w:type="spellEnd"/>
      <w:r w:rsidRPr="00F86117">
        <w:t xml:space="preserve"> as the common reference, was presented. </w:t>
      </w:r>
    </w:p>
    <w:p w:rsidR="00BB433C" w:rsidRPr="00F86117" w:rsidRDefault="00BB433C" w:rsidP="0061386A">
      <w:pPr>
        <w:pStyle w:val="ListParagraph"/>
        <w:widowControl/>
        <w:numPr>
          <w:ilvl w:val="1"/>
          <w:numId w:val="2"/>
        </w:numPr>
        <w:spacing w:before="120"/>
      </w:pPr>
      <w:r w:rsidRPr="00F86117">
        <w:t>The key components of the clinical issues addressed by the submission are shown in Table 1.</w:t>
      </w:r>
    </w:p>
    <w:p w:rsidR="00BB433C" w:rsidRPr="00F86117" w:rsidRDefault="00BB433C" w:rsidP="00AD4D26">
      <w:pPr>
        <w:keepNext/>
        <w:keepLines/>
        <w:widowControl/>
        <w:rPr>
          <w:rStyle w:val="CommentReference"/>
        </w:rPr>
      </w:pPr>
      <w:r w:rsidRPr="00F86117">
        <w:rPr>
          <w:rStyle w:val="CommentReference"/>
        </w:rPr>
        <w:t>Table 1: Key components of the clinical issue addressed by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127"/>
        <w:gridCol w:w="7890"/>
      </w:tblGrid>
      <w:tr w:rsidR="00BB433C" w:rsidRPr="00F86117" w:rsidTr="003F4E2A">
        <w:trPr>
          <w:tblHeader/>
        </w:trPr>
        <w:tc>
          <w:tcPr>
            <w:tcW w:w="0" w:type="auto"/>
            <w:tcBorders>
              <w:bottom w:val="single" w:sz="4" w:space="0" w:color="auto"/>
            </w:tcBorders>
          </w:tcPr>
          <w:p w:rsidR="00BB433C" w:rsidRPr="00F86117" w:rsidRDefault="00BB433C" w:rsidP="00AD4D26">
            <w:pPr>
              <w:pStyle w:val="TableLeft"/>
              <w:keepNext/>
              <w:keepLines/>
              <w:rPr>
                <w:rStyle w:val="SmallBold"/>
                <w:rFonts w:ascii="Arial Narrow" w:hAnsi="Arial Narrow"/>
              </w:rPr>
            </w:pPr>
            <w:r w:rsidRPr="00F86117">
              <w:rPr>
                <w:rStyle w:val="SmallBold"/>
                <w:rFonts w:ascii="Arial Narrow" w:hAnsi="Arial Narrow"/>
              </w:rPr>
              <w:t>Component</w:t>
            </w:r>
          </w:p>
        </w:tc>
        <w:tc>
          <w:tcPr>
            <w:tcW w:w="7922" w:type="dxa"/>
            <w:tcBorders>
              <w:bottom w:val="single" w:sz="4" w:space="0" w:color="auto"/>
            </w:tcBorders>
          </w:tcPr>
          <w:p w:rsidR="00BB433C" w:rsidRPr="00F86117" w:rsidRDefault="00BB433C" w:rsidP="00AD4D26">
            <w:pPr>
              <w:pStyle w:val="TableLeft"/>
              <w:keepNext/>
              <w:keepLines/>
              <w:rPr>
                <w:rStyle w:val="SmallBold"/>
                <w:rFonts w:ascii="Arial Narrow" w:hAnsi="Arial Narrow"/>
              </w:rPr>
            </w:pPr>
            <w:r w:rsidRPr="00F86117">
              <w:rPr>
                <w:rStyle w:val="SmallBold"/>
                <w:rFonts w:ascii="Arial Narrow" w:hAnsi="Arial Narrow"/>
              </w:rPr>
              <w:t>Description</w:t>
            </w:r>
          </w:p>
        </w:tc>
      </w:tr>
      <w:tr w:rsidR="00BB433C" w:rsidRPr="00F86117" w:rsidTr="003F4E2A">
        <w:tc>
          <w:tcPr>
            <w:tcW w:w="0" w:type="auto"/>
            <w:tcBorders>
              <w:top w:val="single" w:sz="4" w:space="0" w:color="auto"/>
            </w:tcBorders>
          </w:tcPr>
          <w:p w:rsidR="00BB433C" w:rsidRPr="00F86117" w:rsidRDefault="00BB433C" w:rsidP="00AD4D26">
            <w:pPr>
              <w:pStyle w:val="TableLeft"/>
              <w:keepNext/>
              <w:keepLines/>
              <w:rPr>
                <w:rFonts w:ascii="Arial Narrow" w:hAnsi="Arial Narrow"/>
              </w:rPr>
            </w:pPr>
            <w:r w:rsidRPr="00F86117">
              <w:rPr>
                <w:rFonts w:ascii="Arial Narrow" w:hAnsi="Arial Narrow"/>
              </w:rPr>
              <w:t>Population</w:t>
            </w:r>
          </w:p>
        </w:tc>
        <w:tc>
          <w:tcPr>
            <w:tcW w:w="7922" w:type="dxa"/>
            <w:tcBorders>
              <w:top w:val="single" w:sz="4" w:space="0" w:color="auto"/>
            </w:tcBorders>
          </w:tcPr>
          <w:p w:rsidR="00BB433C" w:rsidRPr="00F86117" w:rsidRDefault="00BB433C" w:rsidP="00AD4D26">
            <w:pPr>
              <w:pStyle w:val="TableLeft"/>
              <w:keepNext/>
              <w:keepLines/>
              <w:rPr>
                <w:rFonts w:ascii="Arial Narrow" w:hAnsi="Arial Narrow"/>
              </w:rPr>
            </w:pPr>
            <w:r w:rsidRPr="00F86117">
              <w:rPr>
                <w:rFonts w:ascii="Arial Narrow" w:hAnsi="Arial Narrow"/>
              </w:rPr>
              <w:t xml:space="preserve">Patients with previously untreated </w:t>
            </w:r>
            <w:proofErr w:type="spellStart"/>
            <w:r w:rsidRPr="00F86117">
              <w:rPr>
                <w:rFonts w:ascii="Arial Narrow" w:hAnsi="Arial Narrow"/>
              </w:rPr>
              <w:t>mRCC</w:t>
            </w:r>
            <w:proofErr w:type="spellEnd"/>
            <w:r w:rsidRPr="00F86117">
              <w:rPr>
                <w:rFonts w:ascii="Arial Narrow" w:hAnsi="Arial Narrow"/>
              </w:rPr>
              <w:t xml:space="preserve">, ECOG status of 0-2 and intermediate to poor risk classification by IMDC criteria. </w:t>
            </w:r>
          </w:p>
        </w:tc>
      </w:tr>
      <w:tr w:rsidR="00BB433C" w:rsidRPr="00F86117" w:rsidTr="00E450AE">
        <w:tc>
          <w:tcPr>
            <w:tcW w:w="0" w:type="auto"/>
          </w:tcPr>
          <w:p w:rsidR="00BB433C" w:rsidRPr="00F86117" w:rsidRDefault="00BB433C" w:rsidP="00AD4D26">
            <w:pPr>
              <w:pStyle w:val="TableLeft"/>
              <w:keepNext/>
              <w:keepLines/>
              <w:rPr>
                <w:rFonts w:ascii="Arial Narrow" w:hAnsi="Arial Narrow"/>
              </w:rPr>
            </w:pPr>
            <w:r w:rsidRPr="00F86117">
              <w:rPr>
                <w:rFonts w:ascii="Arial Narrow" w:hAnsi="Arial Narrow"/>
              </w:rPr>
              <w:t>Intervention</w:t>
            </w:r>
          </w:p>
        </w:tc>
        <w:tc>
          <w:tcPr>
            <w:tcW w:w="7922" w:type="dxa"/>
          </w:tcPr>
          <w:p w:rsidR="00BB433C" w:rsidRPr="00F86117" w:rsidRDefault="00BB433C" w:rsidP="00AD4D26">
            <w:pPr>
              <w:pStyle w:val="TableLeft"/>
              <w:keepNext/>
              <w:keepLines/>
              <w:rPr>
                <w:rFonts w:ascii="Arial Narrow" w:hAnsi="Arial Narrow"/>
              </w:rPr>
            </w:pPr>
            <w:proofErr w:type="spellStart"/>
            <w:r w:rsidRPr="00F86117">
              <w:rPr>
                <w:rFonts w:ascii="Arial Narrow" w:hAnsi="Arial Narrow"/>
              </w:rPr>
              <w:t>Cabozantinib</w:t>
            </w:r>
            <w:proofErr w:type="spellEnd"/>
            <w:r w:rsidRPr="00F86117">
              <w:rPr>
                <w:rFonts w:ascii="Arial Narrow" w:hAnsi="Arial Narrow"/>
              </w:rPr>
              <w:t xml:space="preserve"> 60 mg orally once daily (QD) until disease progression or unacceptable toxicity.</w:t>
            </w:r>
          </w:p>
        </w:tc>
      </w:tr>
      <w:tr w:rsidR="00BB433C" w:rsidRPr="00F86117" w:rsidTr="00E450AE">
        <w:tc>
          <w:tcPr>
            <w:tcW w:w="0" w:type="auto"/>
          </w:tcPr>
          <w:p w:rsidR="00BB433C" w:rsidRPr="00F86117" w:rsidRDefault="00BB433C" w:rsidP="00AD4D26">
            <w:pPr>
              <w:pStyle w:val="TableLeft"/>
              <w:keepNext/>
              <w:keepLines/>
              <w:rPr>
                <w:rFonts w:ascii="Arial Narrow" w:hAnsi="Arial Narrow"/>
              </w:rPr>
            </w:pPr>
            <w:r w:rsidRPr="00F86117">
              <w:rPr>
                <w:rFonts w:ascii="Arial Narrow" w:hAnsi="Arial Narrow"/>
              </w:rPr>
              <w:t>Comparator</w:t>
            </w:r>
          </w:p>
        </w:tc>
        <w:tc>
          <w:tcPr>
            <w:tcW w:w="7922" w:type="dxa"/>
          </w:tcPr>
          <w:p w:rsidR="00BB433C" w:rsidRPr="00F86117" w:rsidRDefault="00BB433C" w:rsidP="00AD4D26">
            <w:pPr>
              <w:pStyle w:val="TableLeft"/>
              <w:keepNext/>
              <w:keepLines/>
              <w:rPr>
                <w:rFonts w:ascii="Arial Narrow" w:hAnsi="Arial Narrow"/>
              </w:rPr>
            </w:pPr>
            <w:r w:rsidRPr="00F86117">
              <w:rPr>
                <w:rStyle w:val="SmallUnderline"/>
                <w:rFonts w:ascii="Arial Narrow" w:hAnsi="Arial Narrow"/>
              </w:rPr>
              <w:t>Main comparator</w:t>
            </w:r>
            <w:r w:rsidRPr="00F86117">
              <w:rPr>
                <w:rFonts w:ascii="Arial Narrow" w:hAnsi="Arial Narrow"/>
              </w:rPr>
              <w:t xml:space="preserve">: </w:t>
            </w:r>
            <w:proofErr w:type="spellStart"/>
            <w:r w:rsidRPr="00F86117">
              <w:rPr>
                <w:rFonts w:ascii="Arial Narrow" w:hAnsi="Arial Narrow"/>
              </w:rPr>
              <w:t>Sunitinib</w:t>
            </w:r>
            <w:proofErr w:type="spellEnd"/>
            <w:r w:rsidRPr="00F86117">
              <w:rPr>
                <w:rFonts w:ascii="Arial Narrow" w:hAnsi="Arial Narrow"/>
              </w:rPr>
              <w:t xml:space="preserve"> 50 mg orally once daily (QD) for the first 4 weeks of consecutive 6-week cycles, until disease progression or unacceptable toxicity.</w:t>
            </w:r>
          </w:p>
          <w:p w:rsidR="00BB433C" w:rsidRPr="00F86117" w:rsidRDefault="00BB433C" w:rsidP="00AD4D26">
            <w:pPr>
              <w:pStyle w:val="TableLeft"/>
              <w:keepNext/>
              <w:keepLines/>
              <w:rPr>
                <w:rFonts w:ascii="Arial Narrow" w:hAnsi="Arial Narrow"/>
              </w:rPr>
            </w:pPr>
            <w:r w:rsidRPr="00F86117">
              <w:rPr>
                <w:rStyle w:val="SmallUnderline"/>
                <w:rFonts w:ascii="Arial Narrow" w:hAnsi="Arial Narrow"/>
              </w:rPr>
              <w:t>Near market comparator</w:t>
            </w:r>
            <w:r w:rsidRPr="00F86117">
              <w:rPr>
                <w:rFonts w:ascii="Arial Narrow" w:hAnsi="Arial Narrow"/>
              </w:rPr>
              <w:t xml:space="preserve">: </w:t>
            </w:r>
            <w:proofErr w:type="spellStart"/>
            <w:r w:rsidRPr="00F86117">
              <w:rPr>
                <w:rFonts w:ascii="Arial Narrow" w:hAnsi="Arial Narrow"/>
              </w:rPr>
              <w:t>Nivolumab</w:t>
            </w:r>
            <w:proofErr w:type="spellEnd"/>
            <w:r w:rsidRPr="00F86117">
              <w:rPr>
                <w:rFonts w:ascii="Arial Narrow" w:hAnsi="Arial Narrow"/>
              </w:rPr>
              <w:t xml:space="preserve"> 3 mg/kg with </w:t>
            </w:r>
            <w:proofErr w:type="spellStart"/>
            <w:r w:rsidRPr="00F86117">
              <w:rPr>
                <w:rFonts w:ascii="Arial Narrow" w:hAnsi="Arial Narrow"/>
              </w:rPr>
              <w:t>ipilimumab</w:t>
            </w:r>
            <w:proofErr w:type="spellEnd"/>
            <w:r w:rsidRPr="00F86117">
              <w:rPr>
                <w:rFonts w:ascii="Arial Narrow" w:hAnsi="Arial Narrow"/>
              </w:rPr>
              <w:t xml:space="preserve"> 1 mg/kg intravenously every 3 weeks for the first 4 doses, followed by </w:t>
            </w:r>
            <w:proofErr w:type="spellStart"/>
            <w:r w:rsidRPr="00F86117">
              <w:rPr>
                <w:rFonts w:ascii="Arial Narrow" w:hAnsi="Arial Narrow"/>
              </w:rPr>
              <w:t>nivolumab</w:t>
            </w:r>
            <w:proofErr w:type="spellEnd"/>
            <w:r w:rsidRPr="00F86117">
              <w:rPr>
                <w:rFonts w:ascii="Arial Narrow" w:hAnsi="Arial Narrow"/>
              </w:rPr>
              <w:t xml:space="preserve"> 3 mg/kg alone every 2 weeks, for as long as clinical benefit is observed or until treatment is no longer tolerated.</w:t>
            </w:r>
          </w:p>
        </w:tc>
      </w:tr>
      <w:tr w:rsidR="00BB433C" w:rsidRPr="00F86117" w:rsidTr="00E450AE">
        <w:tc>
          <w:tcPr>
            <w:tcW w:w="0" w:type="auto"/>
          </w:tcPr>
          <w:p w:rsidR="00BB433C" w:rsidRPr="00F86117" w:rsidRDefault="00BB433C" w:rsidP="00AD4D26">
            <w:pPr>
              <w:pStyle w:val="TableLeft"/>
              <w:keepNext/>
              <w:keepLines/>
              <w:rPr>
                <w:rFonts w:ascii="Arial Narrow" w:hAnsi="Arial Narrow"/>
              </w:rPr>
            </w:pPr>
            <w:r w:rsidRPr="00F86117">
              <w:rPr>
                <w:rFonts w:ascii="Arial Narrow" w:hAnsi="Arial Narrow"/>
              </w:rPr>
              <w:t>Outcomes</w:t>
            </w:r>
          </w:p>
        </w:tc>
        <w:tc>
          <w:tcPr>
            <w:tcW w:w="7922" w:type="dxa"/>
          </w:tcPr>
          <w:p w:rsidR="00BB433C" w:rsidRPr="00F86117" w:rsidRDefault="00BB433C" w:rsidP="00AD4D26">
            <w:pPr>
              <w:pStyle w:val="TableLeft"/>
              <w:keepNext/>
              <w:keepLines/>
              <w:rPr>
                <w:rFonts w:ascii="Arial Narrow" w:hAnsi="Arial Narrow"/>
              </w:rPr>
            </w:pPr>
            <w:r w:rsidRPr="00F86117">
              <w:rPr>
                <w:rFonts w:ascii="Arial Narrow" w:hAnsi="Arial Narrow"/>
              </w:rPr>
              <w:t xml:space="preserve">Progression free survival (PFS); objective response rate (ORR); and overall survival (OS). </w:t>
            </w:r>
          </w:p>
        </w:tc>
      </w:tr>
      <w:tr w:rsidR="00BB433C" w:rsidRPr="00F86117" w:rsidTr="00E450AE">
        <w:tc>
          <w:tcPr>
            <w:tcW w:w="0" w:type="auto"/>
          </w:tcPr>
          <w:p w:rsidR="00BB433C" w:rsidRPr="00F86117" w:rsidRDefault="00BB433C" w:rsidP="00AD4D26">
            <w:pPr>
              <w:pStyle w:val="TableLeft"/>
              <w:keepNext/>
              <w:keepLines/>
              <w:rPr>
                <w:rFonts w:ascii="Arial Narrow" w:hAnsi="Arial Narrow"/>
              </w:rPr>
            </w:pPr>
            <w:r w:rsidRPr="00F86117">
              <w:rPr>
                <w:rFonts w:ascii="Arial Narrow" w:hAnsi="Arial Narrow"/>
              </w:rPr>
              <w:t>Clinical claim</w:t>
            </w:r>
          </w:p>
        </w:tc>
        <w:tc>
          <w:tcPr>
            <w:tcW w:w="7922" w:type="dxa"/>
          </w:tcPr>
          <w:p w:rsidR="00BB433C" w:rsidRPr="00F86117" w:rsidRDefault="00BB433C" w:rsidP="00AD4D26">
            <w:pPr>
              <w:pStyle w:val="TableLeft"/>
              <w:keepNext/>
              <w:keepLines/>
              <w:rPr>
                <w:rFonts w:ascii="Arial Narrow" w:hAnsi="Arial Narrow"/>
              </w:rPr>
            </w:pPr>
            <w:r w:rsidRPr="00F86117">
              <w:rPr>
                <w:rFonts w:ascii="Arial Narrow" w:hAnsi="Arial Narrow"/>
              </w:rPr>
              <w:t xml:space="preserve">In adults with previously untreated </w:t>
            </w:r>
            <w:proofErr w:type="spellStart"/>
            <w:r w:rsidRPr="00F86117">
              <w:rPr>
                <w:rFonts w:ascii="Arial Narrow" w:hAnsi="Arial Narrow"/>
              </w:rPr>
              <w:t>mRCC</w:t>
            </w:r>
            <w:proofErr w:type="spellEnd"/>
            <w:r w:rsidRPr="00F86117">
              <w:rPr>
                <w:rFonts w:ascii="Arial Narrow" w:hAnsi="Arial Narrow"/>
              </w:rPr>
              <w:t xml:space="preserve">, ECOG status of 0-2 and intermediate to poor risk classification by IMDC criteria, </w:t>
            </w:r>
            <w:proofErr w:type="spellStart"/>
            <w:r w:rsidRPr="00F86117">
              <w:rPr>
                <w:rFonts w:ascii="Arial Narrow" w:hAnsi="Arial Narrow"/>
              </w:rPr>
              <w:t>cabozantinib</w:t>
            </w:r>
            <w:proofErr w:type="spellEnd"/>
            <w:r w:rsidRPr="00F86117">
              <w:rPr>
                <w:rFonts w:ascii="Arial Narrow" w:hAnsi="Arial Narrow"/>
              </w:rPr>
              <w:t xml:space="preserve"> provides: </w:t>
            </w:r>
          </w:p>
          <w:p w:rsidR="00BB433C" w:rsidRPr="00F86117" w:rsidRDefault="00BB433C" w:rsidP="00AD4D26">
            <w:pPr>
              <w:pStyle w:val="TableBullets"/>
              <w:keepNext/>
              <w:keepLines/>
              <w:rPr>
                <w:rFonts w:ascii="Arial Narrow" w:hAnsi="Arial Narrow"/>
              </w:rPr>
            </w:pPr>
            <w:r w:rsidRPr="00F86117">
              <w:rPr>
                <w:rFonts w:ascii="Arial Narrow" w:hAnsi="Arial Narrow"/>
              </w:rPr>
              <w:t xml:space="preserve">Significantly superior PFS and ORR compared to </w:t>
            </w:r>
            <w:proofErr w:type="spellStart"/>
            <w:r w:rsidRPr="00F86117">
              <w:rPr>
                <w:rFonts w:ascii="Arial Narrow" w:hAnsi="Arial Narrow"/>
              </w:rPr>
              <w:t>sunitinib</w:t>
            </w:r>
            <w:proofErr w:type="spellEnd"/>
            <w:r w:rsidRPr="00F86117">
              <w:rPr>
                <w:rFonts w:ascii="Arial Narrow" w:hAnsi="Arial Narrow"/>
              </w:rPr>
              <w:t xml:space="preserve"> with a trend towards improved OS, and different but broadly comparable safety; </w:t>
            </w:r>
          </w:p>
          <w:p w:rsidR="00BB433C" w:rsidRPr="00F86117" w:rsidRDefault="00BB433C" w:rsidP="00AD4D26">
            <w:pPr>
              <w:pStyle w:val="TableBullets"/>
              <w:keepNext/>
              <w:keepLines/>
              <w:rPr>
                <w:rFonts w:ascii="Arial Narrow" w:hAnsi="Arial Narrow"/>
              </w:rPr>
            </w:pPr>
            <w:r w:rsidRPr="00F86117">
              <w:rPr>
                <w:rFonts w:ascii="Arial Narrow" w:hAnsi="Arial Narrow"/>
              </w:rPr>
              <w:t xml:space="preserve">Superior PFS, and non-inferior ORR and OS compared to </w:t>
            </w:r>
            <w:proofErr w:type="spellStart"/>
            <w:r w:rsidRPr="00F86117">
              <w:rPr>
                <w:rFonts w:ascii="Arial Narrow" w:hAnsi="Arial Narrow"/>
              </w:rPr>
              <w:t>nivolumab</w:t>
            </w:r>
            <w:proofErr w:type="spellEnd"/>
            <w:r w:rsidRPr="00F86117">
              <w:rPr>
                <w:rFonts w:ascii="Arial Narrow" w:hAnsi="Arial Narrow"/>
              </w:rPr>
              <w:t xml:space="preserve"> + </w:t>
            </w:r>
            <w:proofErr w:type="spellStart"/>
            <w:r w:rsidRPr="00F86117">
              <w:rPr>
                <w:rFonts w:ascii="Arial Narrow" w:hAnsi="Arial Narrow"/>
              </w:rPr>
              <w:t>ipilimumab</w:t>
            </w:r>
            <w:proofErr w:type="spellEnd"/>
            <w:r w:rsidRPr="00F86117">
              <w:rPr>
                <w:rFonts w:ascii="Arial Narrow" w:hAnsi="Arial Narrow"/>
              </w:rPr>
              <w:t>, with a potentially more tolerable safety profile</w:t>
            </w:r>
            <w:r w:rsidR="00F86117">
              <w:rPr>
                <w:rFonts w:ascii="Arial Narrow" w:hAnsi="Arial Narrow"/>
              </w:rPr>
              <w:t xml:space="preserve">. </w:t>
            </w:r>
          </w:p>
        </w:tc>
      </w:tr>
    </w:tbl>
    <w:p w:rsidR="00BB433C" w:rsidRPr="00F86117" w:rsidRDefault="00BB433C" w:rsidP="00AD4D26">
      <w:pPr>
        <w:pStyle w:val="TableFooter"/>
        <w:keepNext/>
        <w:keepLines/>
        <w:widowControl/>
      </w:pPr>
      <w:bookmarkStart w:id="3" w:name="_Toc371170700"/>
      <w:r w:rsidRPr="00F86117">
        <w:t xml:space="preserve">Abbreviations: ECOG = Eastern Cooperative Oncology Group; IMDC = International Metastatic Renal Cell Carcinoma Database Consortium Criteria; kg = kilogram; mg = milligram; </w:t>
      </w:r>
      <w:proofErr w:type="spellStart"/>
      <w:r w:rsidRPr="00F86117">
        <w:t>mRCC</w:t>
      </w:r>
      <w:proofErr w:type="spellEnd"/>
      <w:r w:rsidRPr="00F86117">
        <w:t xml:space="preserve"> = metastatic renal cell carcinoma; PFS = progression free survival; ORR = objective response rate</w:t>
      </w:r>
      <w:r w:rsidR="00E450AE" w:rsidRPr="00F86117">
        <w:t>.</w:t>
      </w:r>
    </w:p>
    <w:p w:rsidR="00BB433C" w:rsidRPr="00F86117" w:rsidRDefault="00BB433C" w:rsidP="00AD4D26">
      <w:pPr>
        <w:pStyle w:val="TableFooter"/>
        <w:keepNext/>
        <w:keepLines/>
        <w:widowControl/>
      </w:pPr>
      <w:r w:rsidRPr="00F86117">
        <w:t>Source: Table 1-1, p.18 of the submission.</w:t>
      </w:r>
    </w:p>
    <w:p w:rsidR="00992011" w:rsidRPr="00F86117" w:rsidRDefault="00BB433C" w:rsidP="0061386A">
      <w:pPr>
        <w:pStyle w:val="Heading1"/>
        <w:spacing w:before="120"/>
      </w:pPr>
      <w:bookmarkStart w:id="4" w:name="_Toc536002936"/>
      <w:bookmarkStart w:id="5" w:name="_Toc536023488"/>
      <w:r w:rsidRPr="00F86117">
        <w:t>Requested listing</w:t>
      </w:r>
      <w:bookmarkEnd w:id="3"/>
      <w:bookmarkEnd w:id="4"/>
      <w:bookmarkEnd w:id="5"/>
    </w:p>
    <w:p w:rsidR="00BB433C" w:rsidRPr="00F86117" w:rsidRDefault="00BB433C" w:rsidP="0061386A">
      <w:pPr>
        <w:pStyle w:val="ListParagraph"/>
        <w:widowControl/>
        <w:numPr>
          <w:ilvl w:val="1"/>
          <w:numId w:val="2"/>
        </w:numPr>
        <w:spacing w:before="120"/>
      </w:pPr>
      <w:r w:rsidRPr="00F86117">
        <w:t xml:space="preserve">The details of the proposed listing are summarised in Table 2. The submission proposed that a special pricing arrangement (SPA) apply, consistent with the existing </w:t>
      </w:r>
      <w:r w:rsidRPr="00F86117">
        <w:lastRenderedPageBreak/>
        <w:t xml:space="preserve">PBS listing of </w:t>
      </w:r>
      <w:proofErr w:type="spellStart"/>
      <w:r w:rsidRPr="00F86117">
        <w:t>cabozantinib</w:t>
      </w:r>
      <w:proofErr w:type="spellEnd"/>
      <w:r w:rsidRPr="00F86117">
        <w:t xml:space="preserve"> for treatment of stage IV clear cell variant RCC</w:t>
      </w:r>
      <w:r w:rsidR="004B67AD" w:rsidRPr="00F86117">
        <w:t xml:space="preserve"> following prior treatment with a </w:t>
      </w:r>
      <w:r w:rsidR="006F5587">
        <w:t>tyrosine kinase inhibitor (</w:t>
      </w:r>
      <w:r w:rsidR="004B67AD" w:rsidRPr="00F86117">
        <w:t>TKI</w:t>
      </w:r>
      <w:r w:rsidR="006F5587">
        <w:t>)</w:t>
      </w:r>
      <w:r w:rsidRPr="00F86117">
        <w:t xml:space="preserve">. The submission did not provide any further details for the SPA. The proposed effective </w:t>
      </w:r>
      <w:r w:rsidR="0019287A" w:rsidRPr="00F86117">
        <w:t>DPMQ</w:t>
      </w:r>
      <w:r w:rsidR="00ED7D89" w:rsidRPr="00F86117">
        <w:t xml:space="preserve"> </w:t>
      </w:r>
      <w:r w:rsidRPr="00F86117">
        <w:t xml:space="preserve">for </w:t>
      </w:r>
      <w:proofErr w:type="spellStart"/>
      <w:r w:rsidRPr="00F86117">
        <w:t>cabozantinib</w:t>
      </w:r>
      <w:proofErr w:type="spellEnd"/>
      <w:r w:rsidRPr="00F86117">
        <w:t xml:space="preserve"> was $</w:t>
      </w:r>
      <w:r w:rsidR="0035011A">
        <w:rPr>
          <w:noProof/>
          <w:color w:val="000000"/>
          <w:highlight w:val="black"/>
        </w:rPr>
        <w:t>'''''''''''''''</w:t>
      </w:r>
      <w:r w:rsidRPr="00F86117">
        <w:t xml:space="preserve"> with a published DPM</w:t>
      </w:r>
      <w:r w:rsidR="00E74133" w:rsidRPr="00F86117">
        <w:t>Q</w:t>
      </w:r>
      <w:r w:rsidRPr="00F86117">
        <w:t xml:space="preserve"> of $9,951.04 per 30 tablets for all three strengths (60 mg, 40 mg and 20 mg). </w:t>
      </w:r>
    </w:p>
    <w:p w:rsidR="00BB433C" w:rsidRPr="00F86117" w:rsidRDefault="00BB433C" w:rsidP="0035543C">
      <w:pPr>
        <w:keepNext/>
        <w:keepLines/>
        <w:widowControl/>
        <w:spacing w:before="240"/>
      </w:pPr>
      <w:r w:rsidRPr="00F86117">
        <w:rPr>
          <w:rStyle w:val="CommentReference"/>
        </w:rPr>
        <w:t xml:space="preserve">Table 2: Details of the proposed listing </w:t>
      </w:r>
    </w:p>
    <w:tbl>
      <w:tblPr>
        <w:tblStyle w:val="TableGrid"/>
        <w:tblW w:w="9243" w:type="dxa"/>
        <w:tblInd w:w="108" w:type="dxa"/>
        <w:tblLayout w:type="fixed"/>
        <w:tblLook w:val="04A0" w:firstRow="1" w:lastRow="0" w:firstColumn="1" w:lastColumn="0" w:noHBand="0" w:noVBand="1"/>
        <w:tblCaption w:val="Table 2: Details of the proposed listing "/>
      </w:tblPr>
      <w:tblGrid>
        <w:gridCol w:w="2078"/>
        <w:gridCol w:w="1039"/>
        <w:gridCol w:w="854"/>
        <w:gridCol w:w="1486"/>
        <w:gridCol w:w="1347"/>
        <w:gridCol w:w="1067"/>
        <w:gridCol w:w="1372"/>
      </w:tblGrid>
      <w:tr w:rsidR="00BB433C" w:rsidRPr="00F86117" w:rsidTr="0061386A">
        <w:trPr>
          <w:tblHeader/>
        </w:trPr>
        <w:tc>
          <w:tcPr>
            <w:tcW w:w="2078" w:type="dxa"/>
          </w:tcPr>
          <w:p w:rsidR="00BB433C" w:rsidRPr="00F86117" w:rsidRDefault="00BB433C" w:rsidP="0035543C">
            <w:pPr>
              <w:pStyle w:val="TableText1"/>
              <w:keepLines/>
              <w:rPr>
                <w:rStyle w:val="SmallBold"/>
                <w:rFonts w:ascii="Arial Narrow" w:hAnsi="Arial Narrow"/>
              </w:rPr>
            </w:pPr>
            <w:r w:rsidRPr="00F86117">
              <w:rPr>
                <w:rStyle w:val="SmallBold"/>
                <w:rFonts w:ascii="Arial Narrow" w:hAnsi="Arial Narrow"/>
              </w:rPr>
              <w:t>Name, restriction, manner of administration, form</w:t>
            </w:r>
          </w:p>
        </w:tc>
        <w:tc>
          <w:tcPr>
            <w:tcW w:w="1039" w:type="dxa"/>
          </w:tcPr>
          <w:p w:rsidR="00BB433C" w:rsidRPr="00F86117" w:rsidRDefault="00BB433C" w:rsidP="0035543C">
            <w:pPr>
              <w:pStyle w:val="TableText1"/>
              <w:keepLines/>
              <w:rPr>
                <w:rStyle w:val="SmallBold"/>
                <w:rFonts w:ascii="Arial Narrow" w:hAnsi="Arial Narrow"/>
              </w:rPr>
            </w:pPr>
            <w:r w:rsidRPr="00F86117">
              <w:rPr>
                <w:rStyle w:val="SmallBold"/>
                <w:rFonts w:ascii="Arial Narrow" w:hAnsi="Arial Narrow"/>
              </w:rPr>
              <w:t>Max quantity (packs)</w:t>
            </w:r>
          </w:p>
        </w:tc>
        <w:tc>
          <w:tcPr>
            <w:tcW w:w="854" w:type="dxa"/>
          </w:tcPr>
          <w:p w:rsidR="00BB433C" w:rsidRPr="00F86117" w:rsidRDefault="00BB433C" w:rsidP="0035543C">
            <w:pPr>
              <w:pStyle w:val="TableText1"/>
              <w:keepLines/>
              <w:rPr>
                <w:rStyle w:val="SmallBold"/>
                <w:rFonts w:ascii="Arial Narrow" w:hAnsi="Arial Narrow"/>
              </w:rPr>
            </w:pPr>
            <w:r w:rsidRPr="00F86117">
              <w:rPr>
                <w:rStyle w:val="SmallBold"/>
                <w:rFonts w:ascii="Arial Narrow" w:hAnsi="Arial Narrow"/>
              </w:rPr>
              <w:t>Max quantity (units)</w:t>
            </w:r>
          </w:p>
        </w:tc>
        <w:tc>
          <w:tcPr>
            <w:tcW w:w="1486" w:type="dxa"/>
          </w:tcPr>
          <w:p w:rsidR="00BB433C" w:rsidRPr="00F86117" w:rsidRDefault="00BB433C" w:rsidP="0035543C">
            <w:pPr>
              <w:pStyle w:val="TableText1"/>
              <w:keepLines/>
              <w:rPr>
                <w:rStyle w:val="SmallBold"/>
                <w:rFonts w:ascii="Arial Narrow" w:hAnsi="Arial Narrow"/>
              </w:rPr>
            </w:pPr>
            <w:r w:rsidRPr="00F86117">
              <w:rPr>
                <w:rStyle w:val="SmallBold"/>
                <w:rFonts w:ascii="Arial Narrow" w:hAnsi="Arial Narrow"/>
              </w:rPr>
              <w:t>Number of repeats</w:t>
            </w:r>
          </w:p>
        </w:tc>
        <w:tc>
          <w:tcPr>
            <w:tcW w:w="2414" w:type="dxa"/>
            <w:gridSpan w:val="2"/>
          </w:tcPr>
          <w:p w:rsidR="00BB433C" w:rsidRPr="00F86117" w:rsidRDefault="00BB433C" w:rsidP="0035543C">
            <w:pPr>
              <w:pStyle w:val="TableText1"/>
              <w:keepLines/>
              <w:rPr>
                <w:rStyle w:val="SmallBold"/>
                <w:rFonts w:ascii="Arial Narrow" w:hAnsi="Arial Narrow"/>
              </w:rPr>
            </w:pPr>
            <w:r w:rsidRPr="00F86117">
              <w:rPr>
                <w:rStyle w:val="SmallBold"/>
                <w:rFonts w:ascii="Arial Narrow" w:hAnsi="Arial Narrow"/>
              </w:rPr>
              <w:t>Dispensed price for max quantity (DPMQ)</w:t>
            </w:r>
          </w:p>
        </w:tc>
        <w:tc>
          <w:tcPr>
            <w:tcW w:w="1372" w:type="dxa"/>
          </w:tcPr>
          <w:p w:rsidR="00BB433C" w:rsidRPr="00F86117" w:rsidRDefault="00BB433C" w:rsidP="0035543C">
            <w:pPr>
              <w:pStyle w:val="TableText1"/>
              <w:keepLines/>
              <w:rPr>
                <w:rStyle w:val="SmallBold"/>
                <w:rFonts w:ascii="Arial Narrow" w:hAnsi="Arial Narrow"/>
              </w:rPr>
            </w:pPr>
            <w:r w:rsidRPr="00F86117">
              <w:rPr>
                <w:rStyle w:val="SmallBold"/>
                <w:rFonts w:ascii="Arial Narrow" w:hAnsi="Arial Narrow"/>
              </w:rPr>
              <w:t>Proprietary name and manufacturer</w:t>
            </w:r>
          </w:p>
        </w:tc>
      </w:tr>
      <w:tr w:rsidR="00BB433C" w:rsidRPr="00F86117" w:rsidTr="00D325B9">
        <w:tc>
          <w:tcPr>
            <w:tcW w:w="2078" w:type="dxa"/>
          </w:tcPr>
          <w:p w:rsidR="00BB433C" w:rsidRPr="00F86117" w:rsidRDefault="00BB433C" w:rsidP="0035543C">
            <w:pPr>
              <w:pStyle w:val="TableLeft"/>
              <w:keepNext/>
              <w:keepLines/>
              <w:rPr>
                <w:rFonts w:ascii="Arial Narrow" w:hAnsi="Arial Narrow"/>
              </w:rPr>
            </w:pPr>
            <w:r w:rsidRPr="00F86117">
              <w:rPr>
                <w:rFonts w:ascii="Arial Narrow" w:hAnsi="Arial Narrow"/>
              </w:rPr>
              <w:t>CABOZANTINIB</w:t>
            </w:r>
          </w:p>
          <w:p w:rsidR="00BB433C" w:rsidRPr="00F86117" w:rsidRDefault="00BB433C" w:rsidP="0035543C">
            <w:pPr>
              <w:pStyle w:val="TableLeft"/>
              <w:keepNext/>
              <w:keepLines/>
              <w:rPr>
                <w:rFonts w:ascii="Arial Narrow" w:hAnsi="Arial Narrow"/>
              </w:rPr>
            </w:pPr>
          </w:p>
          <w:p w:rsidR="00BB433C" w:rsidRPr="00F86117" w:rsidRDefault="00BB433C" w:rsidP="0035543C">
            <w:pPr>
              <w:pStyle w:val="TableLeft"/>
              <w:keepNext/>
              <w:keepLines/>
              <w:rPr>
                <w:rFonts w:ascii="Arial Narrow" w:hAnsi="Arial Narrow"/>
              </w:rPr>
            </w:pPr>
            <w:proofErr w:type="spellStart"/>
            <w:r w:rsidRPr="00F86117">
              <w:rPr>
                <w:rFonts w:ascii="Arial Narrow" w:hAnsi="Arial Narrow"/>
              </w:rPr>
              <w:t>Cabozantinib</w:t>
            </w:r>
            <w:proofErr w:type="spellEnd"/>
            <w:r w:rsidRPr="00F86117">
              <w:rPr>
                <w:rFonts w:ascii="Arial Narrow" w:hAnsi="Arial Narrow"/>
              </w:rPr>
              <w:t>, 60 mg tablet, 30</w:t>
            </w:r>
          </w:p>
          <w:p w:rsidR="00BB433C" w:rsidRPr="00F86117" w:rsidRDefault="00BB433C" w:rsidP="0035543C">
            <w:pPr>
              <w:pStyle w:val="TableLeft"/>
              <w:keepNext/>
              <w:keepLines/>
              <w:rPr>
                <w:rFonts w:ascii="Arial Narrow" w:hAnsi="Arial Narrow"/>
              </w:rPr>
            </w:pPr>
            <w:proofErr w:type="spellStart"/>
            <w:r w:rsidRPr="00F86117">
              <w:rPr>
                <w:rFonts w:ascii="Arial Narrow" w:hAnsi="Arial Narrow"/>
              </w:rPr>
              <w:t>Cabozantinib</w:t>
            </w:r>
            <w:proofErr w:type="spellEnd"/>
            <w:r w:rsidRPr="00F86117">
              <w:rPr>
                <w:rFonts w:ascii="Arial Narrow" w:hAnsi="Arial Narrow"/>
              </w:rPr>
              <w:t>, 40 mg tablet, 30</w:t>
            </w:r>
          </w:p>
          <w:p w:rsidR="00BB433C" w:rsidRPr="00F86117" w:rsidRDefault="00BB433C" w:rsidP="0035543C">
            <w:pPr>
              <w:pStyle w:val="TableLeft"/>
              <w:keepNext/>
              <w:keepLines/>
              <w:rPr>
                <w:rFonts w:ascii="Arial Narrow" w:hAnsi="Arial Narrow"/>
              </w:rPr>
            </w:pPr>
            <w:proofErr w:type="spellStart"/>
            <w:r w:rsidRPr="00F86117">
              <w:rPr>
                <w:rFonts w:ascii="Arial Narrow" w:hAnsi="Arial Narrow"/>
              </w:rPr>
              <w:t>Cabozantinib</w:t>
            </w:r>
            <w:proofErr w:type="spellEnd"/>
            <w:r w:rsidRPr="00F86117">
              <w:rPr>
                <w:rFonts w:ascii="Arial Narrow" w:hAnsi="Arial Narrow"/>
              </w:rPr>
              <w:t>, 20 mg tablet, 30</w:t>
            </w:r>
          </w:p>
        </w:tc>
        <w:tc>
          <w:tcPr>
            <w:tcW w:w="1039" w:type="dxa"/>
          </w:tcPr>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r w:rsidRPr="00F86117">
              <w:rPr>
                <w:rFonts w:ascii="Arial Narrow" w:hAnsi="Arial Narrow"/>
              </w:rPr>
              <w:t>1</w:t>
            </w:r>
          </w:p>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r w:rsidRPr="00F86117">
              <w:rPr>
                <w:rFonts w:ascii="Arial Narrow" w:hAnsi="Arial Narrow"/>
              </w:rPr>
              <w:t>1</w:t>
            </w:r>
          </w:p>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r w:rsidRPr="00F86117">
              <w:rPr>
                <w:rFonts w:ascii="Arial Narrow" w:hAnsi="Arial Narrow"/>
              </w:rPr>
              <w:t>1</w:t>
            </w:r>
          </w:p>
        </w:tc>
        <w:tc>
          <w:tcPr>
            <w:tcW w:w="854" w:type="dxa"/>
          </w:tcPr>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r w:rsidRPr="00F86117">
              <w:rPr>
                <w:rFonts w:ascii="Arial Narrow" w:hAnsi="Arial Narrow"/>
              </w:rPr>
              <w:t>30</w:t>
            </w:r>
          </w:p>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r w:rsidRPr="00F86117">
              <w:rPr>
                <w:rFonts w:ascii="Arial Narrow" w:hAnsi="Arial Narrow"/>
              </w:rPr>
              <w:t>30</w:t>
            </w:r>
          </w:p>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r w:rsidRPr="00F86117">
              <w:rPr>
                <w:rFonts w:ascii="Arial Narrow" w:hAnsi="Arial Narrow"/>
              </w:rPr>
              <w:t>30</w:t>
            </w:r>
          </w:p>
        </w:tc>
        <w:tc>
          <w:tcPr>
            <w:tcW w:w="1486" w:type="dxa"/>
          </w:tcPr>
          <w:p w:rsidR="00BB433C" w:rsidRPr="00F86117" w:rsidRDefault="00BB433C" w:rsidP="0035543C">
            <w:pPr>
              <w:pStyle w:val="TableCentre"/>
              <w:keepNext/>
              <w:keepLines/>
              <w:jc w:val="left"/>
              <w:rPr>
                <w:rStyle w:val="SmallItalics"/>
                <w:rFonts w:ascii="Arial Narrow" w:hAnsi="Arial Narrow"/>
                <w:i w:val="0"/>
              </w:rPr>
            </w:pPr>
          </w:p>
          <w:p w:rsidR="00BB433C" w:rsidRPr="00F86117" w:rsidRDefault="00BB433C" w:rsidP="0035543C">
            <w:pPr>
              <w:pStyle w:val="TableCentre"/>
              <w:keepNext/>
              <w:keepLines/>
              <w:jc w:val="left"/>
              <w:rPr>
                <w:rStyle w:val="SmallItalics"/>
                <w:rFonts w:ascii="Arial Narrow" w:hAnsi="Arial Narrow"/>
                <w:i w:val="0"/>
              </w:rPr>
            </w:pPr>
          </w:p>
          <w:p w:rsidR="00BB433C" w:rsidRPr="00F86117" w:rsidRDefault="00BB433C" w:rsidP="0035543C">
            <w:pPr>
              <w:pStyle w:val="TableCentre"/>
              <w:keepNext/>
              <w:keepLines/>
              <w:jc w:val="left"/>
              <w:rPr>
                <w:rStyle w:val="SmallItalics"/>
                <w:rFonts w:ascii="Arial Narrow" w:hAnsi="Arial Narrow"/>
                <w:i w:val="0"/>
              </w:rPr>
            </w:pPr>
            <w:r w:rsidRPr="00F86117">
              <w:rPr>
                <w:rStyle w:val="SmallItalics"/>
                <w:rFonts w:ascii="Arial Narrow" w:hAnsi="Arial Narrow"/>
                <w:i w:val="0"/>
              </w:rPr>
              <w:t>2 (initial phase)</w:t>
            </w:r>
          </w:p>
          <w:p w:rsidR="00BB433C" w:rsidRPr="00F86117" w:rsidRDefault="00BB433C" w:rsidP="0035543C">
            <w:pPr>
              <w:pStyle w:val="TableCentre"/>
              <w:keepNext/>
              <w:keepLines/>
              <w:jc w:val="left"/>
              <w:rPr>
                <w:rStyle w:val="SmallItalics"/>
                <w:rFonts w:ascii="Arial Narrow" w:hAnsi="Arial Narrow"/>
                <w:i w:val="0"/>
              </w:rPr>
            </w:pPr>
            <w:r w:rsidRPr="00F86117">
              <w:rPr>
                <w:rStyle w:val="SmallItalics"/>
                <w:rFonts w:ascii="Arial Narrow" w:hAnsi="Arial Narrow"/>
                <w:i w:val="0"/>
              </w:rPr>
              <w:t>5 (continuing phase)</w:t>
            </w:r>
          </w:p>
        </w:tc>
        <w:tc>
          <w:tcPr>
            <w:tcW w:w="1347" w:type="dxa"/>
          </w:tcPr>
          <w:p w:rsidR="00BB433C" w:rsidRPr="00F86117" w:rsidRDefault="00BB433C" w:rsidP="0035543C">
            <w:pPr>
              <w:pStyle w:val="TableCentre"/>
              <w:keepNext/>
              <w:keepLines/>
              <w:jc w:val="left"/>
              <w:rPr>
                <w:rStyle w:val="SmallItalics"/>
                <w:rFonts w:ascii="Arial Narrow" w:hAnsi="Arial Narrow"/>
                <w:i w:val="0"/>
              </w:rPr>
            </w:pPr>
            <w:r w:rsidRPr="00F86117">
              <w:rPr>
                <w:rStyle w:val="SmallItalics"/>
                <w:rFonts w:ascii="Arial Narrow" w:hAnsi="Arial Narrow"/>
                <w:i w:val="0"/>
              </w:rPr>
              <w:t>Published Price</w:t>
            </w:r>
          </w:p>
          <w:p w:rsidR="00BB433C" w:rsidRPr="00F86117" w:rsidRDefault="00BB433C" w:rsidP="0035543C">
            <w:pPr>
              <w:pStyle w:val="TableCentre"/>
              <w:keepNext/>
              <w:keepLines/>
              <w:jc w:val="left"/>
              <w:rPr>
                <w:rFonts w:ascii="Arial Narrow" w:hAnsi="Arial Narrow"/>
              </w:rPr>
            </w:pPr>
            <w:r w:rsidRPr="00F86117">
              <w:rPr>
                <w:rFonts w:ascii="Arial Narrow" w:hAnsi="Arial Narrow"/>
              </w:rPr>
              <w:t>$9,951.04</w:t>
            </w:r>
          </w:p>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r w:rsidRPr="00F86117">
              <w:rPr>
                <w:rFonts w:ascii="Arial Narrow" w:hAnsi="Arial Narrow"/>
              </w:rPr>
              <w:t>$9,951.04</w:t>
            </w:r>
          </w:p>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r w:rsidRPr="00F86117">
              <w:rPr>
                <w:rFonts w:ascii="Arial Narrow" w:hAnsi="Arial Narrow"/>
              </w:rPr>
              <w:t>$9,951.04</w:t>
            </w:r>
          </w:p>
          <w:p w:rsidR="00BB433C" w:rsidRPr="00F86117" w:rsidRDefault="00BB433C" w:rsidP="0035543C">
            <w:pPr>
              <w:pStyle w:val="TableCentre"/>
              <w:keepNext/>
              <w:keepLines/>
              <w:jc w:val="left"/>
              <w:rPr>
                <w:rFonts w:ascii="Arial Narrow" w:hAnsi="Arial Narrow"/>
              </w:rPr>
            </w:pPr>
          </w:p>
        </w:tc>
        <w:tc>
          <w:tcPr>
            <w:tcW w:w="1067" w:type="dxa"/>
          </w:tcPr>
          <w:p w:rsidR="00BB433C" w:rsidRPr="00F86117" w:rsidRDefault="00BB433C" w:rsidP="0035543C">
            <w:pPr>
              <w:pStyle w:val="TableCentre"/>
              <w:keepNext/>
              <w:keepLines/>
              <w:jc w:val="left"/>
              <w:rPr>
                <w:rStyle w:val="SmallItalics"/>
                <w:rFonts w:ascii="Arial Narrow" w:hAnsi="Arial Narrow"/>
                <w:i w:val="0"/>
              </w:rPr>
            </w:pPr>
            <w:r w:rsidRPr="00F86117">
              <w:rPr>
                <w:rStyle w:val="SmallItalics"/>
                <w:rFonts w:ascii="Arial Narrow" w:hAnsi="Arial Narrow"/>
                <w:i w:val="0"/>
              </w:rPr>
              <w:t>Effective Price</w:t>
            </w:r>
            <w:r w:rsidR="0019287A" w:rsidRPr="00F86117">
              <w:rPr>
                <w:rStyle w:val="SmallItalics"/>
                <w:rFonts w:ascii="Arial Narrow" w:hAnsi="Arial Narrow"/>
                <w:i w:val="0"/>
              </w:rPr>
              <w:t>*</w:t>
            </w:r>
          </w:p>
          <w:p w:rsidR="00BB433C" w:rsidRPr="00F86117" w:rsidRDefault="00BB433C" w:rsidP="0035543C">
            <w:pPr>
              <w:pStyle w:val="TableCentre"/>
              <w:keepNext/>
              <w:keepLines/>
              <w:jc w:val="left"/>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p w:rsidR="00BB433C" w:rsidRPr="00F86117" w:rsidRDefault="00BB433C" w:rsidP="0035543C">
            <w:pPr>
              <w:pStyle w:val="TableCentre"/>
              <w:keepNext/>
              <w:keepLines/>
              <w:jc w:val="left"/>
              <w:rPr>
                <w:rFonts w:ascii="Arial Narrow" w:hAnsi="Arial Narrow"/>
              </w:rPr>
            </w:pPr>
          </w:p>
          <w:p w:rsidR="00BB433C" w:rsidRPr="00F86117" w:rsidRDefault="00BB433C" w:rsidP="0035543C">
            <w:pPr>
              <w:pStyle w:val="TableCentre"/>
              <w:keepNext/>
              <w:keepLines/>
              <w:jc w:val="left"/>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c>
          <w:tcPr>
            <w:tcW w:w="1372" w:type="dxa"/>
          </w:tcPr>
          <w:p w:rsidR="00BB433C" w:rsidRPr="00F86117" w:rsidRDefault="00BB433C" w:rsidP="0035543C">
            <w:pPr>
              <w:pStyle w:val="TableLeft"/>
              <w:keepNext/>
              <w:keepLines/>
              <w:rPr>
                <w:rFonts w:ascii="Arial Narrow" w:hAnsi="Arial Narrow"/>
              </w:rPr>
            </w:pPr>
          </w:p>
          <w:p w:rsidR="00BB433C" w:rsidRPr="00F86117" w:rsidRDefault="00BB433C" w:rsidP="0035543C">
            <w:pPr>
              <w:pStyle w:val="TableLeft"/>
              <w:keepNext/>
              <w:keepLines/>
              <w:rPr>
                <w:rFonts w:ascii="Arial Narrow" w:hAnsi="Arial Narrow"/>
              </w:rPr>
            </w:pPr>
            <w:proofErr w:type="spellStart"/>
            <w:r w:rsidRPr="00F86117">
              <w:rPr>
                <w:rFonts w:ascii="Arial Narrow" w:hAnsi="Arial Narrow"/>
              </w:rPr>
              <w:t>Cabometyx</w:t>
            </w:r>
            <w:proofErr w:type="spellEnd"/>
            <w:r w:rsidRPr="00F86117">
              <w:rPr>
                <w:rFonts w:ascii="Arial Narrow" w:hAnsi="Arial Narrow"/>
              </w:rPr>
              <w:t>®</w:t>
            </w:r>
          </w:p>
          <w:p w:rsidR="00BB433C" w:rsidRPr="00F86117" w:rsidRDefault="00BB433C" w:rsidP="0035543C">
            <w:pPr>
              <w:pStyle w:val="TableLeft"/>
              <w:keepNext/>
              <w:keepLines/>
              <w:rPr>
                <w:rFonts w:ascii="Arial Narrow" w:hAnsi="Arial Narrow"/>
              </w:rPr>
            </w:pPr>
            <w:proofErr w:type="spellStart"/>
            <w:r w:rsidRPr="00F86117">
              <w:rPr>
                <w:rFonts w:ascii="Arial Narrow" w:hAnsi="Arial Narrow"/>
              </w:rPr>
              <w:t>Ipsen</w:t>
            </w:r>
            <w:proofErr w:type="spellEnd"/>
            <w:r w:rsidRPr="00F86117">
              <w:rPr>
                <w:rFonts w:ascii="Arial Narrow" w:hAnsi="Arial Narrow"/>
              </w:rPr>
              <w:t xml:space="preserve"> Pty Ltd</w:t>
            </w:r>
          </w:p>
        </w:tc>
      </w:tr>
    </w:tbl>
    <w:p w:rsidR="00BB433C" w:rsidRPr="00F86117" w:rsidRDefault="00BB433C" w:rsidP="0035543C">
      <w:pPr>
        <w:pStyle w:val="TableFooter"/>
        <w:keepNext/>
        <w:keepLines/>
        <w:widowControl/>
        <w:rPr>
          <w:sz w:val="4"/>
        </w:rPr>
      </w:pPr>
    </w:p>
    <w:p w:rsidR="00BB433C" w:rsidRPr="00F86117" w:rsidRDefault="00BB433C" w:rsidP="0035543C">
      <w:pPr>
        <w:pStyle w:val="TableFooter"/>
        <w:keepNext/>
        <w:keepLines/>
        <w:widowControl/>
        <w:rPr>
          <w:szCs w:val="18"/>
        </w:rPr>
      </w:pPr>
      <w:r w:rsidRPr="00F86117">
        <w:t xml:space="preserve">Abbreviations: mg = milligram; DPMQ = dispensed price per maximum quantity. </w:t>
      </w:r>
    </w:p>
    <w:p w:rsidR="0019287A" w:rsidRPr="00F86117" w:rsidRDefault="00BB433C" w:rsidP="0035543C">
      <w:pPr>
        <w:pStyle w:val="TableFooter"/>
        <w:keepNext/>
        <w:keepLines/>
        <w:widowControl/>
      </w:pPr>
      <w:r w:rsidRPr="00F86117">
        <w:t xml:space="preserve">Source: Table 1.3, p.34 of the submission; PB11a form. </w:t>
      </w:r>
    </w:p>
    <w:p w:rsidR="00BB433C" w:rsidRPr="00F86117" w:rsidRDefault="0019287A" w:rsidP="0061386A">
      <w:pPr>
        <w:pStyle w:val="TableFooter"/>
        <w:keepNext/>
        <w:keepLines/>
        <w:widowControl/>
      </w:pPr>
      <w:r w:rsidRPr="00F86117">
        <w:t>Note: * Calculated based on an effective AEMP price of $</w:t>
      </w:r>
      <w:r w:rsidR="0035011A">
        <w:rPr>
          <w:noProof/>
          <w:color w:val="000000"/>
          <w:highlight w:val="black"/>
        </w:rPr>
        <w:t>'''''''''''''''''''''''</w:t>
      </w:r>
      <w:r w:rsidRPr="00F86117">
        <w:t xml:space="preserve"> provided in PB11a from </w:t>
      </w:r>
      <w:r w:rsidR="00F42B11" w:rsidRPr="00F86117">
        <w:t>key d</w:t>
      </w:r>
      <w:r w:rsidRPr="00F86117">
        <w:t>ocuments of the submission.</w:t>
      </w:r>
    </w:p>
    <w:p w:rsidR="00BB433C" w:rsidRPr="00F86117" w:rsidRDefault="00BB433C" w:rsidP="0061386A">
      <w:pPr>
        <w:pStyle w:val="ListParagraph"/>
        <w:widowControl/>
        <w:numPr>
          <w:ilvl w:val="1"/>
          <w:numId w:val="2"/>
        </w:numPr>
        <w:spacing w:before="120"/>
      </w:pPr>
      <w:r w:rsidRPr="00F86117">
        <w:t xml:space="preserve">The submission proposed restrictions for initiating and continuing treatment with </w:t>
      </w:r>
      <w:proofErr w:type="spellStart"/>
      <w:r w:rsidRPr="00F86117">
        <w:t>cabozantinib</w:t>
      </w:r>
      <w:proofErr w:type="spellEnd"/>
      <w:r w:rsidRPr="00F86117">
        <w:t xml:space="preserve"> on the PBS. These are provided in Table 3 and Table 4.</w:t>
      </w:r>
    </w:p>
    <w:p w:rsidR="00BB433C" w:rsidRPr="00F86117" w:rsidRDefault="00BB433C" w:rsidP="00AD4D26">
      <w:pPr>
        <w:keepNext/>
        <w:keepLines/>
        <w:widowControl/>
        <w:spacing w:before="240"/>
        <w:rPr>
          <w:rStyle w:val="CommentReference"/>
          <w:b w:val="0"/>
        </w:rPr>
      </w:pPr>
      <w:r w:rsidRPr="00F86117">
        <w:rPr>
          <w:rStyle w:val="CommentReference"/>
        </w:rPr>
        <w:lastRenderedPageBreak/>
        <w:t xml:space="preserve">Table 3: Proposed PBS listing – treatment initiation </w:t>
      </w:r>
    </w:p>
    <w:tbl>
      <w:tblPr>
        <w:tblW w:w="9185" w:type="dxa"/>
        <w:tblInd w:w="-5" w:type="dxa"/>
        <w:tblLayout w:type="fixed"/>
        <w:tblLook w:val="0000" w:firstRow="0" w:lastRow="0" w:firstColumn="0" w:lastColumn="0" w:noHBand="0" w:noVBand="0"/>
        <w:tblCaption w:val="Table 3: Proposed PBS listing – treatment initiation "/>
      </w:tblPr>
      <w:tblGrid>
        <w:gridCol w:w="2132"/>
        <w:gridCol w:w="7053"/>
      </w:tblGrid>
      <w:tr w:rsidR="00BB433C" w:rsidRPr="00F86117" w:rsidTr="009913ED">
        <w:trPr>
          <w:cantSplit/>
          <w:trHeight w:val="199"/>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Category / program</w:t>
            </w:r>
          </w:p>
        </w:tc>
        <w:tc>
          <w:tcPr>
            <w:tcW w:w="7053"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Section 85 - General Schedule</w:t>
            </w:r>
          </w:p>
        </w:tc>
      </w:tr>
      <w:tr w:rsidR="00BB433C" w:rsidRPr="00F86117" w:rsidTr="009913ED">
        <w:trPr>
          <w:cantSplit/>
          <w:trHeight w:val="487"/>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Prescriber type</w:t>
            </w:r>
          </w:p>
        </w:tc>
        <w:tc>
          <w:tcPr>
            <w:tcW w:w="7053"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fldChar w:fldCharType="begin">
                <w:ffData>
                  <w:name w:val="Check1"/>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 xml:space="preserve">Dental  </w:t>
            </w:r>
            <w:r w:rsidRPr="00F86117">
              <w:rPr>
                <w:rFonts w:ascii="Arial Narrow" w:hAnsi="Arial Narrow"/>
                <w:szCs w:val="20"/>
              </w:rPr>
              <w:fldChar w:fldCharType="begin">
                <w:ffData>
                  <w:name w:val=""/>
                  <w:enabled/>
                  <w:calcOnExit w:val="0"/>
                  <w:checkBox>
                    <w:sizeAuto/>
                    <w:default w:val="1"/>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 xml:space="preserve">Medical Practitioners  </w:t>
            </w:r>
            <w:r w:rsidRPr="00F86117">
              <w:rPr>
                <w:rFonts w:ascii="Arial Narrow" w:hAnsi="Arial Narrow"/>
                <w:szCs w:val="20"/>
              </w:rPr>
              <w:fldChar w:fldCharType="begin">
                <w:ffData>
                  <w:name w:val="Check1"/>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Nurse Practitioners</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fldChar w:fldCharType="begin">
                <w:ffData>
                  <w:name w:val="Check1"/>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 xml:space="preserve">Optometrists  </w:t>
            </w:r>
            <w:r w:rsidRPr="00F86117">
              <w:rPr>
                <w:rFonts w:ascii="Arial Narrow" w:hAnsi="Arial Narrow"/>
                <w:szCs w:val="20"/>
              </w:rPr>
              <w:fldChar w:fldCharType="begin">
                <w:ffData>
                  <w:name w:val="Check1"/>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Midwives</w:t>
            </w:r>
          </w:p>
        </w:tc>
      </w:tr>
      <w:tr w:rsidR="00BB433C" w:rsidRPr="00F86117" w:rsidTr="009913ED">
        <w:trPr>
          <w:cantSplit/>
          <w:trHeight w:val="199"/>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proofErr w:type="spellStart"/>
            <w:r w:rsidRPr="00F86117">
              <w:rPr>
                <w:rStyle w:val="SmallBold"/>
                <w:rFonts w:ascii="Arial Narrow" w:hAnsi="Arial Narrow"/>
                <w:szCs w:val="20"/>
              </w:rPr>
              <w:t>Episodicity</w:t>
            </w:r>
            <w:proofErr w:type="spellEnd"/>
            <w:r w:rsidRPr="00F86117">
              <w:rPr>
                <w:rStyle w:val="SmallBold"/>
                <w:rFonts w:ascii="Arial Narrow" w:hAnsi="Arial Narrow"/>
                <w:szCs w:val="20"/>
              </w:rPr>
              <w:t>:</w:t>
            </w:r>
          </w:p>
        </w:tc>
        <w:tc>
          <w:tcPr>
            <w:tcW w:w="7053"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Monthly</w:t>
            </w:r>
          </w:p>
        </w:tc>
      </w:tr>
      <w:tr w:rsidR="00BB433C" w:rsidRPr="00F86117" w:rsidTr="009913ED">
        <w:trPr>
          <w:cantSplit/>
          <w:trHeight w:val="190"/>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Severity:</w:t>
            </w:r>
          </w:p>
        </w:tc>
        <w:tc>
          <w:tcPr>
            <w:tcW w:w="7053"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Stage IV</w:t>
            </w:r>
          </w:p>
        </w:tc>
      </w:tr>
      <w:tr w:rsidR="00BB433C" w:rsidRPr="00F86117" w:rsidTr="009913ED">
        <w:trPr>
          <w:cantSplit/>
          <w:trHeight w:val="163"/>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Condition:</w:t>
            </w:r>
          </w:p>
        </w:tc>
        <w:tc>
          <w:tcPr>
            <w:tcW w:w="7053"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Clear cell variant renal cell carcinoma (RCC)</w:t>
            </w:r>
          </w:p>
        </w:tc>
      </w:tr>
      <w:tr w:rsidR="00BB433C" w:rsidRPr="00F86117" w:rsidTr="009913ED">
        <w:trPr>
          <w:cantSplit/>
          <w:trHeight w:val="208"/>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PBS Indication:</w:t>
            </w:r>
          </w:p>
        </w:tc>
        <w:tc>
          <w:tcPr>
            <w:tcW w:w="7053"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Stage IV clear cell variant renal cell carcinoma (RCC)</w:t>
            </w:r>
          </w:p>
        </w:tc>
      </w:tr>
      <w:tr w:rsidR="00BB433C" w:rsidRPr="00F86117" w:rsidTr="009913ED">
        <w:trPr>
          <w:cantSplit/>
          <w:trHeight w:val="253"/>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Treatment phase:</w:t>
            </w:r>
          </w:p>
        </w:tc>
        <w:tc>
          <w:tcPr>
            <w:tcW w:w="7053"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Initial treatment</w:t>
            </w:r>
          </w:p>
        </w:tc>
      </w:tr>
      <w:tr w:rsidR="00BB433C" w:rsidRPr="00F86117" w:rsidTr="009913ED">
        <w:trPr>
          <w:cantSplit/>
          <w:trHeight w:val="1378"/>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Restriction:</w:t>
            </w:r>
          </w:p>
          <w:p w:rsidR="00BB433C" w:rsidRPr="00F86117" w:rsidRDefault="00BB433C" w:rsidP="00AD4D26">
            <w:pPr>
              <w:pStyle w:val="TableLeft"/>
              <w:keepNext/>
              <w:keepLines/>
              <w:rPr>
                <w:rStyle w:val="SmallBold"/>
                <w:rFonts w:ascii="Arial Narrow" w:hAnsi="Arial Narrow"/>
                <w:szCs w:val="20"/>
              </w:rPr>
            </w:pPr>
          </w:p>
        </w:tc>
        <w:tc>
          <w:tcPr>
            <w:tcW w:w="7053"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fldChar w:fldCharType="begin">
                <w:ffData>
                  <w:name w:val="Check1"/>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Restricted benefit</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fldChar w:fldCharType="begin">
                <w:ffData>
                  <w:name w:val=""/>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Authority Required - In Writing</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fldChar w:fldCharType="begin">
                <w:ffData>
                  <w:name w:val="Check3"/>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Authority Required - Telephone</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fldChar w:fldCharType="begin">
                <w:ffData>
                  <w:name w:val=""/>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Authority Required - Emergency</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fldChar w:fldCharType="begin">
                <w:ffData>
                  <w:name w:val=""/>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Authority Required - Electronic</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fldChar w:fldCharType="begin">
                <w:ffData>
                  <w:name w:val=""/>
                  <w:enabled/>
                  <w:calcOnExit w:val="0"/>
                  <w:checkBox>
                    <w:sizeAuto/>
                    <w:default w:val="1"/>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Streamlined</w:t>
            </w:r>
          </w:p>
        </w:tc>
      </w:tr>
      <w:tr w:rsidR="00BB433C" w:rsidRPr="00F86117" w:rsidTr="009913ED">
        <w:trPr>
          <w:cantSplit/>
          <w:trHeight w:val="360"/>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Clinical criteria:</w:t>
            </w:r>
          </w:p>
          <w:p w:rsidR="00BB433C" w:rsidRPr="00F86117" w:rsidRDefault="00BB433C" w:rsidP="00AD4D26">
            <w:pPr>
              <w:pStyle w:val="TableLeft"/>
              <w:keepNext/>
              <w:keepLines/>
              <w:rPr>
                <w:rStyle w:val="SmallBold"/>
                <w:rFonts w:ascii="Arial Narrow" w:hAnsi="Arial Narrow"/>
                <w:szCs w:val="20"/>
              </w:rPr>
            </w:pPr>
          </w:p>
        </w:tc>
        <w:tc>
          <w:tcPr>
            <w:tcW w:w="7053"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Patient must meet the International Metastatic Renal Cell Carcinoma Database Consortium (IMDC) intermediate or poor risk group criteria; AND</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Patient must have a WHO performance status of 2 or less; AND</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The treatment must be the sole PBS-subsidised tyrosine kinase inhibitor therapy for this condition.</w:t>
            </w:r>
          </w:p>
          <w:p w:rsidR="00BB433C" w:rsidRPr="00F86117" w:rsidRDefault="00BB433C" w:rsidP="00C27055">
            <w:pPr>
              <w:pStyle w:val="TableLeft"/>
              <w:keepNext/>
              <w:keepLines/>
              <w:rPr>
                <w:rFonts w:ascii="Arial Narrow" w:hAnsi="Arial Narrow"/>
                <w:szCs w:val="20"/>
              </w:rPr>
            </w:pPr>
            <w:r w:rsidRPr="00F86117">
              <w:rPr>
                <w:rFonts w:ascii="Arial Narrow" w:hAnsi="Arial Narrow"/>
                <w:szCs w:val="20"/>
              </w:rPr>
              <w:t>Patients who have</w:t>
            </w:r>
            <w:r w:rsidR="00C27055" w:rsidRPr="00F86117">
              <w:rPr>
                <w:rFonts w:ascii="Arial Narrow" w:hAnsi="Arial Narrow"/>
                <w:szCs w:val="20"/>
              </w:rPr>
              <w:t xml:space="preserve"> </w:t>
            </w:r>
            <w:r w:rsidRPr="00F86117">
              <w:rPr>
                <w:rFonts w:ascii="Arial Narrow" w:hAnsi="Arial Narrow"/>
                <w:szCs w:val="20"/>
              </w:rPr>
              <w:t xml:space="preserve">progressive disease on </w:t>
            </w:r>
            <w:proofErr w:type="spellStart"/>
            <w:r w:rsidRPr="00F86117">
              <w:rPr>
                <w:rFonts w:ascii="Arial Narrow" w:hAnsi="Arial Narrow"/>
                <w:szCs w:val="20"/>
              </w:rPr>
              <w:t>pazopanib</w:t>
            </w:r>
            <w:proofErr w:type="spellEnd"/>
            <w:r w:rsidRPr="00F86117">
              <w:rPr>
                <w:rFonts w:ascii="Arial Narrow" w:hAnsi="Arial Narrow"/>
                <w:szCs w:val="20"/>
              </w:rPr>
              <w:t xml:space="preserve"> or </w:t>
            </w:r>
            <w:proofErr w:type="spellStart"/>
            <w:r w:rsidRPr="00F86117">
              <w:rPr>
                <w:rFonts w:ascii="Arial Narrow" w:hAnsi="Arial Narrow"/>
                <w:szCs w:val="20"/>
              </w:rPr>
              <w:t>sunitinib</w:t>
            </w:r>
            <w:proofErr w:type="spellEnd"/>
            <w:r w:rsidRPr="00F86117">
              <w:rPr>
                <w:rFonts w:ascii="Arial Narrow" w:hAnsi="Arial Narrow"/>
                <w:szCs w:val="20"/>
              </w:rPr>
              <w:t xml:space="preserve"> are not eligible to receive PBS-subsidised </w:t>
            </w:r>
            <w:proofErr w:type="spellStart"/>
            <w:r w:rsidRPr="00F86117">
              <w:rPr>
                <w:rFonts w:ascii="Arial Narrow" w:hAnsi="Arial Narrow"/>
                <w:szCs w:val="20"/>
              </w:rPr>
              <w:t>cabozantinib</w:t>
            </w:r>
            <w:proofErr w:type="spellEnd"/>
            <w:r w:rsidRPr="00F86117">
              <w:rPr>
                <w:rFonts w:ascii="Arial Narrow" w:hAnsi="Arial Narrow"/>
                <w:szCs w:val="20"/>
              </w:rPr>
              <w:t xml:space="preserve"> under this restriction.</w:t>
            </w:r>
          </w:p>
        </w:tc>
      </w:tr>
      <w:tr w:rsidR="00BB433C" w:rsidRPr="00F86117" w:rsidTr="009913ED">
        <w:trPr>
          <w:cantSplit/>
          <w:trHeight w:val="235"/>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Prescriber Instructions:</w:t>
            </w:r>
          </w:p>
        </w:tc>
        <w:tc>
          <w:tcPr>
            <w:tcW w:w="7053"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 xml:space="preserve">Patients who have developed intolerance to </w:t>
            </w:r>
            <w:proofErr w:type="spellStart"/>
            <w:r w:rsidRPr="00F86117">
              <w:rPr>
                <w:rFonts w:ascii="Arial Narrow" w:hAnsi="Arial Narrow"/>
                <w:szCs w:val="20"/>
              </w:rPr>
              <w:t>sunitinib</w:t>
            </w:r>
            <w:proofErr w:type="spellEnd"/>
            <w:r w:rsidRPr="00F86117">
              <w:rPr>
                <w:rFonts w:ascii="Arial Narrow" w:hAnsi="Arial Narrow"/>
                <w:szCs w:val="20"/>
              </w:rPr>
              <w:t xml:space="preserve"> or </w:t>
            </w:r>
            <w:proofErr w:type="spellStart"/>
            <w:r w:rsidRPr="00F86117">
              <w:rPr>
                <w:rFonts w:ascii="Arial Narrow" w:hAnsi="Arial Narrow"/>
                <w:szCs w:val="20"/>
              </w:rPr>
              <w:t>pazopanib</w:t>
            </w:r>
            <w:proofErr w:type="spellEnd"/>
            <w:r w:rsidRPr="00F86117">
              <w:rPr>
                <w:rFonts w:ascii="Arial Narrow" w:hAnsi="Arial Narrow"/>
                <w:szCs w:val="20"/>
              </w:rPr>
              <w:t xml:space="preserve"> of a severity necessitating permanent treatment withdrawal are eligible to receive PBS-subsidised </w:t>
            </w:r>
            <w:proofErr w:type="spellStart"/>
            <w:r w:rsidRPr="00F86117">
              <w:rPr>
                <w:rFonts w:ascii="Arial Narrow" w:hAnsi="Arial Narrow"/>
                <w:szCs w:val="20"/>
              </w:rPr>
              <w:t>cabozantinib</w:t>
            </w:r>
            <w:proofErr w:type="spellEnd"/>
            <w:r w:rsidRPr="00F86117">
              <w:rPr>
                <w:rFonts w:ascii="Arial Narrow" w:hAnsi="Arial Narrow"/>
                <w:szCs w:val="20"/>
              </w:rPr>
              <w:t>.</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 xml:space="preserve">Patients who have progressive disease with </w:t>
            </w:r>
            <w:proofErr w:type="spellStart"/>
            <w:r w:rsidRPr="00F86117">
              <w:rPr>
                <w:rFonts w:ascii="Arial Narrow" w:hAnsi="Arial Narrow"/>
                <w:szCs w:val="20"/>
              </w:rPr>
              <w:t>pazopanib</w:t>
            </w:r>
            <w:proofErr w:type="spellEnd"/>
            <w:r w:rsidRPr="00F86117">
              <w:rPr>
                <w:rFonts w:ascii="Arial Narrow" w:hAnsi="Arial Narrow"/>
                <w:szCs w:val="20"/>
              </w:rPr>
              <w:t xml:space="preserve"> or </w:t>
            </w:r>
            <w:proofErr w:type="spellStart"/>
            <w:r w:rsidRPr="00F86117">
              <w:rPr>
                <w:rFonts w:ascii="Arial Narrow" w:hAnsi="Arial Narrow"/>
                <w:szCs w:val="20"/>
              </w:rPr>
              <w:t>sunitinib</w:t>
            </w:r>
            <w:proofErr w:type="spellEnd"/>
            <w:r w:rsidRPr="00F86117">
              <w:rPr>
                <w:rFonts w:ascii="Arial Narrow" w:hAnsi="Arial Narrow"/>
                <w:szCs w:val="20"/>
              </w:rPr>
              <w:t xml:space="preserve"> are no longer eligible for PBS-subsidised </w:t>
            </w:r>
            <w:proofErr w:type="spellStart"/>
            <w:r w:rsidRPr="00F86117">
              <w:rPr>
                <w:rFonts w:ascii="Arial Narrow" w:hAnsi="Arial Narrow"/>
                <w:szCs w:val="20"/>
              </w:rPr>
              <w:t>cabozantinib</w:t>
            </w:r>
            <w:proofErr w:type="spellEnd"/>
            <w:r w:rsidRPr="00F86117">
              <w:rPr>
                <w:rFonts w:ascii="Arial Narrow" w:hAnsi="Arial Narrow"/>
                <w:szCs w:val="20"/>
              </w:rPr>
              <w:t xml:space="preserve"> under this restriction.</w:t>
            </w:r>
          </w:p>
        </w:tc>
      </w:tr>
      <w:tr w:rsidR="00BB433C" w:rsidRPr="00F86117" w:rsidTr="009913ED">
        <w:trPr>
          <w:cantSplit/>
          <w:trHeight w:val="208"/>
        </w:trPr>
        <w:tc>
          <w:tcPr>
            <w:tcW w:w="2132"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Administrative Advice:</w:t>
            </w:r>
          </w:p>
        </w:tc>
        <w:tc>
          <w:tcPr>
            <w:tcW w:w="7053"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No increase in the maximum quantity or number of units may be authorised.</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No increase in the maximum number of repeats may be authorised.</w:t>
            </w:r>
          </w:p>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Special Pricing Arrangements apply.</w:t>
            </w:r>
          </w:p>
        </w:tc>
      </w:tr>
    </w:tbl>
    <w:p w:rsidR="00BB433C" w:rsidRPr="00F86117" w:rsidRDefault="00BB433C" w:rsidP="00AD4D26">
      <w:pPr>
        <w:pStyle w:val="TableFooter"/>
        <w:keepNext/>
        <w:keepLines/>
        <w:widowControl/>
        <w:rPr>
          <w:szCs w:val="18"/>
        </w:rPr>
      </w:pPr>
      <w:r w:rsidRPr="00F86117">
        <w:t>Abbreviations: IMDC = International Metastatic Renal Cell Carcinoma Database Consortium Criteria; PBS = Pharmaceutical Benefits Scheme</w:t>
      </w:r>
      <w:r w:rsidRPr="00F86117">
        <w:rPr>
          <w:szCs w:val="18"/>
        </w:rPr>
        <w:t xml:space="preserve">; </w:t>
      </w:r>
      <w:r w:rsidRPr="00F86117">
        <w:t>RCC = renal cell carcinoma;</w:t>
      </w:r>
      <w:r w:rsidRPr="00F86117">
        <w:rPr>
          <w:szCs w:val="18"/>
        </w:rPr>
        <w:t xml:space="preserve"> WHO = World Health Organisation</w:t>
      </w:r>
    </w:p>
    <w:p w:rsidR="00BB433C" w:rsidRPr="00F86117" w:rsidRDefault="00BB433C" w:rsidP="00AD4D26">
      <w:pPr>
        <w:pStyle w:val="TableFooter"/>
        <w:keepNext/>
        <w:keepLines/>
        <w:widowControl/>
        <w:rPr>
          <w:rStyle w:val="CommentReference"/>
          <w:b w:val="0"/>
          <w:sz w:val="18"/>
          <w:szCs w:val="22"/>
        </w:rPr>
      </w:pPr>
      <w:r w:rsidRPr="00F86117">
        <w:t xml:space="preserve">Source: </w:t>
      </w:r>
      <w:r w:rsidRPr="00F86117">
        <w:rPr>
          <w:szCs w:val="18"/>
        </w:rPr>
        <w:t>Table 1.5, p.37 of the submission.</w:t>
      </w:r>
    </w:p>
    <w:p w:rsidR="00BB433C" w:rsidRPr="00F86117" w:rsidRDefault="00BB433C" w:rsidP="00AD4D26">
      <w:pPr>
        <w:pStyle w:val="TableFooter"/>
        <w:widowControl/>
      </w:pPr>
    </w:p>
    <w:p w:rsidR="00B0135D" w:rsidRPr="00F86117" w:rsidRDefault="00B0135D" w:rsidP="00AD4D26">
      <w:pPr>
        <w:widowControl/>
        <w:jc w:val="left"/>
        <w:rPr>
          <w:rStyle w:val="CommentReference"/>
        </w:rPr>
      </w:pPr>
      <w:r w:rsidRPr="00F86117">
        <w:rPr>
          <w:rStyle w:val="CommentReference"/>
        </w:rPr>
        <w:br w:type="page"/>
      </w:r>
    </w:p>
    <w:p w:rsidR="00BB433C" w:rsidRPr="00F86117" w:rsidRDefault="00BB433C" w:rsidP="00AD4D26">
      <w:pPr>
        <w:widowControl/>
        <w:spacing w:before="240"/>
        <w:rPr>
          <w:rStyle w:val="CommentReference"/>
          <w:b w:val="0"/>
        </w:rPr>
      </w:pPr>
      <w:r w:rsidRPr="00F86117">
        <w:rPr>
          <w:rStyle w:val="CommentReference"/>
        </w:rPr>
        <w:lastRenderedPageBreak/>
        <w:t xml:space="preserve">Table 4: Proposed PBS listing – treatment continuation </w:t>
      </w:r>
    </w:p>
    <w:tbl>
      <w:tblPr>
        <w:tblW w:w="9185" w:type="dxa"/>
        <w:tblInd w:w="-5" w:type="dxa"/>
        <w:tblLayout w:type="fixed"/>
        <w:tblLook w:val="0000" w:firstRow="0" w:lastRow="0" w:firstColumn="0" w:lastColumn="0" w:noHBand="0" w:noVBand="0"/>
        <w:tblCaption w:val="Table 4: Proposed PBS listing – treatment continuation "/>
      </w:tblPr>
      <w:tblGrid>
        <w:gridCol w:w="2098"/>
        <w:gridCol w:w="7087"/>
      </w:tblGrid>
      <w:tr w:rsidR="00BB433C" w:rsidRPr="00F86117" w:rsidTr="004B67AD">
        <w:trPr>
          <w:cantSplit/>
          <w:trHeight w:val="199"/>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Category / program</w:t>
            </w: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t>Section 85 - General Schedule</w:t>
            </w:r>
          </w:p>
        </w:tc>
      </w:tr>
      <w:tr w:rsidR="00BB433C" w:rsidRPr="00F86117" w:rsidTr="004B67AD">
        <w:trPr>
          <w:cantSplit/>
          <w:trHeight w:val="487"/>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Prescriber type</w:t>
            </w: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fldChar w:fldCharType="begin">
                <w:ffData>
                  <w:name w:val="Check1"/>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 xml:space="preserve">Dental  </w:t>
            </w:r>
            <w:r w:rsidRPr="00F86117">
              <w:rPr>
                <w:rFonts w:ascii="Arial Narrow" w:hAnsi="Arial Narrow"/>
                <w:szCs w:val="20"/>
              </w:rPr>
              <w:fldChar w:fldCharType="begin">
                <w:ffData>
                  <w:name w:val=""/>
                  <w:enabled/>
                  <w:calcOnExit w:val="0"/>
                  <w:checkBox>
                    <w:sizeAuto/>
                    <w:default w:val="1"/>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 xml:space="preserve">Medical Practitioners  </w:t>
            </w:r>
            <w:r w:rsidRPr="00F86117">
              <w:rPr>
                <w:rFonts w:ascii="Arial Narrow" w:hAnsi="Arial Narrow"/>
                <w:szCs w:val="20"/>
              </w:rPr>
              <w:fldChar w:fldCharType="begin">
                <w:ffData>
                  <w:name w:val="Check1"/>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Nurse Practitioners</w:t>
            </w:r>
          </w:p>
          <w:p w:rsidR="00BB433C" w:rsidRPr="00F86117" w:rsidRDefault="00BB433C" w:rsidP="00AD4D26">
            <w:pPr>
              <w:pStyle w:val="TableLeft"/>
              <w:rPr>
                <w:rFonts w:ascii="Arial Narrow" w:hAnsi="Arial Narrow"/>
                <w:szCs w:val="20"/>
              </w:rPr>
            </w:pPr>
            <w:r w:rsidRPr="00F86117">
              <w:rPr>
                <w:rFonts w:ascii="Arial Narrow" w:hAnsi="Arial Narrow"/>
                <w:szCs w:val="20"/>
              </w:rPr>
              <w:fldChar w:fldCharType="begin">
                <w:ffData>
                  <w:name w:val="Check1"/>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 xml:space="preserve">Optometrists  </w:t>
            </w:r>
            <w:r w:rsidRPr="00F86117">
              <w:rPr>
                <w:rFonts w:ascii="Arial Narrow" w:hAnsi="Arial Narrow"/>
                <w:szCs w:val="20"/>
              </w:rPr>
              <w:fldChar w:fldCharType="begin">
                <w:ffData>
                  <w:name w:val="Check1"/>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Midwives</w:t>
            </w:r>
          </w:p>
        </w:tc>
      </w:tr>
      <w:tr w:rsidR="00BB433C" w:rsidRPr="00F86117" w:rsidTr="009913ED">
        <w:trPr>
          <w:cantSplit/>
          <w:trHeight w:val="199"/>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proofErr w:type="spellStart"/>
            <w:r w:rsidRPr="00F86117">
              <w:rPr>
                <w:rStyle w:val="SmallBold"/>
                <w:rFonts w:ascii="Arial Narrow" w:hAnsi="Arial Narrow"/>
                <w:szCs w:val="20"/>
              </w:rPr>
              <w:t>Episodicity</w:t>
            </w:r>
            <w:proofErr w:type="spellEnd"/>
            <w:r w:rsidRPr="00F86117">
              <w:rPr>
                <w:rStyle w:val="SmallBold"/>
                <w:rFonts w:ascii="Arial Narrow" w:hAnsi="Arial Narrow"/>
                <w:szCs w:val="20"/>
              </w:rPr>
              <w:t>:</w:t>
            </w: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t>Monthly</w:t>
            </w:r>
          </w:p>
        </w:tc>
      </w:tr>
      <w:tr w:rsidR="00BB433C" w:rsidRPr="00F86117" w:rsidTr="009913ED">
        <w:trPr>
          <w:cantSplit/>
          <w:trHeight w:val="190"/>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Severity:</w:t>
            </w: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t>Stage IV</w:t>
            </w:r>
          </w:p>
        </w:tc>
      </w:tr>
      <w:tr w:rsidR="00BB433C" w:rsidRPr="00F86117" w:rsidTr="009913ED">
        <w:trPr>
          <w:cantSplit/>
          <w:trHeight w:val="163"/>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Condition:</w:t>
            </w: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t>Clear cell variant renal cell carcinoma (RCC)</w:t>
            </w:r>
          </w:p>
        </w:tc>
      </w:tr>
      <w:tr w:rsidR="00BB433C" w:rsidRPr="00F86117" w:rsidTr="009913ED">
        <w:trPr>
          <w:cantSplit/>
          <w:trHeight w:val="208"/>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PBS Indication:</w:t>
            </w: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t>Stage IV clear cell variant renal cell carcinoma (RCC)</w:t>
            </w:r>
          </w:p>
        </w:tc>
      </w:tr>
      <w:tr w:rsidR="00BB433C" w:rsidRPr="00F86117" w:rsidTr="009913ED">
        <w:trPr>
          <w:cantSplit/>
          <w:trHeight w:val="55"/>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Treatment phase:</w:t>
            </w: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t>Continuing treatment beyond 3 months</w:t>
            </w:r>
          </w:p>
        </w:tc>
      </w:tr>
      <w:tr w:rsidR="00BB433C" w:rsidRPr="00F86117" w:rsidTr="009913ED">
        <w:trPr>
          <w:cantSplit/>
          <w:trHeight w:val="1360"/>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Restriction:</w:t>
            </w:r>
          </w:p>
          <w:p w:rsidR="00BB433C" w:rsidRPr="00F86117" w:rsidRDefault="00BB433C" w:rsidP="00AD4D26">
            <w:pPr>
              <w:pStyle w:val="TableLeft"/>
              <w:rPr>
                <w:rStyle w:val="SmallBold"/>
                <w:rFonts w:ascii="Arial Narrow" w:hAnsi="Arial Narrow"/>
                <w:szCs w:val="20"/>
              </w:rPr>
            </w:pP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fldChar w:fldCharType="begin">
                <w:ffData>
                  <w:name w:val="Check1"/>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Restricted benefit</w:t>
            </w:r>
          </w:p>
          <w:p w:rsidR="00BB433C" w:rsidRPr="00F86117" w:rsidRDefault="00BB433C" w:rsidP="00AD4D26">
            <w:pPr>
              <w:pStyle w:val="TableLeft"/>
              <w:rPr>
                <w:rFonts w:ascii="Arial Narrow" w:hAnsi="Arial Narrow"/>
                <w:szCs w:val="20"/>
              </w:rPr>
            </w:pPr>
            <w:r w:rsidRPr="00F86117">
              <w:rPr>
                <w:rFonts w:ascii="Arial Narrow" w:hAnsi="Arial Narrow"/>
                <w:szCs w:val="20"/>
              </w:rPr>
              <w:fldChar w:fldCharType="begin">
                <w:ffData>
                  <w:name w:val=""/>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Authority Required - In Writing</w:t>
            </w:r>
          </w:p>
          <w:p w:rsidR="00BB433C" w:rsidRPr="00F86117" w:rsidRDefault="00BB433C" w:rsidP="00AD4D26">
            <w:pPr>
              <w:pStyle w:val="TableLeft"/>
              <w:rPr>
                <w:rFonts w:ascii="Arial Narrow" w:hAnsi="Arial Narrow"/>
                <w:szCs w:val="20"/>
              </w:rPr>
            </w:pPr>
            <w:r w:rsidRPr="00F86117">
              <w:rPr>
                <w:rFonts w:ascii="Arial Narrow" w:hAnsi="Arial Narrow"/>
                <w:szCs w:val="20"/>
              </w:rPr>
              <w:fldChar w:fldCharType="begin">
                <w:ffData>
                  <w:name w:val="Check3"/>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Authority Required - Telephone</w:t>
            </w:r>
          </w:p>
          <w:p w:rsidR="00BB433C" w:rsidRPr="00F86117" w:rsidRDefault="00BB433C" w:rsidP="00AD4D26">
            <w:pPr>
              <w:pStyle w:val="TableLeft"/>
              <w:rPr>
                <w:rFonts w:ascii="Arial Narrow" w:hAnsi="Arial Narrow"/>
                <w:szCs w:val="20"/>
              </w:rPr>
            </w:pPr>
            <w:r w:rsidRPr="00F86117">
              <w:rPr>
                <w:rFonts w:ascii="Arial Narrow" w:hAnsi="Arial Narrow"/>
                <w:szCs w:val="20"/>
              </w:rPr>
              <w:fldChar w:fldCharType="begin">
                <w:ffData>
                  <w:name w:val=""/>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Authority Required - Emergency</w:t>
            </w:r>
          </w:p>
          <w:p w:rsidR="00BB433C" w:rsidRPr="00F86117" w:rsidRDefault="00BB433C" w:rsidP="00AD4D26">
            <w:pPr>
              <w:pStyle w:val="TableLeft"/>
              <w:rPr>
                <w:rFonts w:ascii="Arial Narrow" w:hAnsi="Arial Narrow"/>
                <w:szCs w:val="20"/>
              </w:rPr>
            </w:pPr>
            <w:r w:rsidRPr="00F86117">
              <w:rPr>
                <w:rFonts w:ascii="Arial Narrow" w:hAnsi="Arial Narrow"/>
                <w:szCs w:val="20"/>
              </w:rPr>
              <w:fldChar w:fldCharType="begin">
                <w:ffData>
                  <w:name w:val="Check5"/>
                  <w:enabled/>
                  <w:calcOnExit w:val="0"/>
                  <w:checkBox>
                    <w:sizeAuto/>
                    <w:default w:val="0"/>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Authority Required - Electronic</w:t>
            </w:r>
          </w:p>
          <w:p w:rsidR="00BB433C" w:rsidRPr="00F86117" w:rsidRDefault="00BB433C" w:rsidP="00AD4D26">
            <w:pPr>
              <w:pStyle w:val="TableLeft"/>
              <w:rPr>
                <w:rFonts w:ascii="Arial Narrow" w:hAnsi="Arial Narrow"/>
                <w:szCs w:val="20"/>
              </w:rPr>
            </w:pPr>
            <w:r w:rsidRPr="00F86117">
              <w:rPr>
                <w:rFonts w:ascii="Arial Narrow" w:hAnsi="Arial Narrow"/>
                <w:szCs w:val="20"/>
              </w:rPr>
              <w:fldChar w:fldCharType="begin">
                <w:ffData>
                  <w:name w:val=""/>
                  <w:enabled/>
                  <w:calcOnExit w:val="0"/>
                  <w:checkBox>
                    <w:sizeAuto/>
                    <w:default w:val="1"/>
                  </w:checkBox>
                </w:ffData>
              </w:fldChar>
            </w:r>
            <w:r w:rsidRPr="00F86117">
              <w:rPr>
                <w:rFonts w:ascii="Arial Narrow" w:hAnsi="Arial Narrow"/>
                <w:szCs w:val="20"/>
              </w:rPr>
              <w:instrText xml:space="preserve"> FORMCHECKBOX </w:instrText>
            </w:r>
            <w:r w:rsidR="0061386A">
              <w:rPr>
                <w:rFonts w:ascii="Arial Narrow" w:hAnsi="Arial Narrow"/>
                <w:szCs w:val="20"/>
              </w:rPr>
            </w:r>
            <w:r w:rsidR="0061386A">
              <w:rPr>
                <w:rFonts w:ascii="Arial Narrow" w:hAnsi="Arial Narrow"/>
                <w:szCs w:val="20"/>
              </w:rPr>
              <w:fldChar w:fldCharType="separate"/>
            </w:r>
            <w:r w:rsidRPr="00F86117">
              <w:rPr>
                <w:rFonts w:ascii="Arial Narrow" w:hAnsi="Arial Narrow"/>
                <w:szCs w:val="20"/>
              </w:rPr>
              <w:fldChar w:fldCharType="end"/>
            </w:r>
            <w:r w:rsidRPr="00F86117">
              <w:rPr>
                <w:rFonts w:ascii="Arial Narrow" w:hAnsi="Arial Narrow"/>
                <w:szCs w:val="20"/>
              </w:rPr>
              <w:t>Streamlined</w:t>
            </w:r>
          </w:p>
        </w:tc>
      </w:tr>
      <w:tr w:rsidR="00BB433C" w:rsidRPr="00F86117" w:rsidTr="009913ED">
        <w:trPr>
          <w:cantSplit/>
          <w:trHeight w:val="360"/>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Clinical criteria:</w:t>
            </w:r>
          </w:p>
          <w:p w:rsidR="00BB433C" w:rsidRPr="00F86117" w:rsidRDefault="00BB433C" w:rsidP="00AD4D26">
            <w:pPr>
              <w:pStyle w:val="TableLeft"/>
              <w:rPr>
                <w:rStyle w:val="SmallBold"/>
                <w:rFonts w:ascii="Arial Narrow" w:hAnsi="Arial Narrow"/>
                <w:szCs w:val="20"/>
              </w:rPr>
            </w:pPr>
          </w:p>
          <w:p w:rsidR="00BB433C" w:rsidRPr="00F86117" w:rsidRDefault="00BB433C" w:rsidP="00AD4D26">
            <w:pPr>
              <w:pStyle w:val="TableLeft"/>
              <w:rPr>
                <w:rStyle w:val="SmallBold"/>
                <w:rFonts w:ascii="Arial Narrow" w:hAnsi="Arial Narrow"/>
                <w:szCs w:val="20"/>
              </w:rPr>
            </w:pP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t>Patient must have received an initial authority prescription for this drug for this condition; AND</w:t>
            </w:r>
          </w:p>
          <w:p w:rsidR="00BB433C" w:rsidRPr="00F86117" w:rsidRDefault="00BB433C" w:rsidP="00AD4D26">
            <w:pPr>
              <w:pStyle w:val="TableLeft"/>
              <w:rPr>
                <w:rFonts w:ascii="Arial Narrow" w:hAnsi="Arial Narrow"/>
                <w:szCs w:val="20"/>
              </w:rPr>
            </w:pPr>
            <w:r w:rsidRPr="00F86117">
              <w:rPr>
                <w:rFonts w:ascii="Arial Narrow" w:hAnsi="Arial Narrow"/>
                <w:szCs w:val="20"/>
              </w:rPr>
              <w:t>Patient must have stable or responding disease according to the Response Evaluation Criteria In Solid Tumours (RECIST); AND</w:t>
            </w:r>
          </w:p>
          <w:p w:rsidR="00BB433C" w:rsidRPr="00F86117" w:rsidRDefault="00BB433C" w:rsidP="00AD4D26">
            <w:pPr>
              <w:pStyle w:val="TableLeft"/>
              <w:rPr>
                <w:rFonts w:ascii="Arial Narrow" w:hAnsi="Arial Narrow"/>
                <w:szCs w:val="20"/>
              </w:rPr>
            </w:pPr>
            <w:r w:rsidRPr="00F86117">
              <w:rPr>
                <w:rFonts w:ascii="Arial Narrow" w:hAnsi="Arial Narrow"/>
                <w:szCs w:val="20"/>
              </w:rPr>
              <w:t>The treatment must be the sole PBS-subsidised tyrosine kinase inhibitor therapy for this condition</w:t>
            </w:r>
            <w:r w:rsidR="00F86117">
              <w:rPr>
                <w:rFonts w:ascii="Arial Narrow" w:hAnsi="Arial Narrow"/>
                <w:szCs w:val="20"/>
              </w:rPr>
              <w:t xml:space="preserve">. </w:t>
            </w:r>
          </w:p>
        </w:tc>
      </w:tr>
      <w:tr w:rsidR="00BB433C" w:rsidRPr="00F86117" w:rsidTr="009913ED">
        <w:trPr>
          <w:cantSplit/>
          <w:trHeight w:val="163"/>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Prescriber Instructions</w:t>
            </w: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t>A patient who has progressive disease when treated with this drug is no longer eligible for PBS-subsidised treatment with this drug.</w:t>
            </w:r>
          </w:p>
          <w:p w:rsidR="00BB433C" w:rsidRPr="00F86117" w:rsidRDefault="00BB433C" w:rsidP="00AD4D26">
            <w:pPr>
              <w:pStyle w:val="TableLeft"/>
              <w:rPr>
                <w:rFonts w:ascii="Arial Narrow" w:hAnsi="Arial Narrow"/>
                <w:szCs w:val="20"/>
              </w:rPr>
            </w:pPr>
            <w:r w:rsidRPr="00F86117">
              <w:rPr>
                <w:rFonts w:ascii="Arial Narrow" w:hAnsi="Arial Narrow"/>
                <w:szCs w:val="20"/>
              </w:rPr>
              <w:t xml:space="preserve">Patients who have developed progressive disease on </w:t>
            </w:r>
            <w:proofErr w:type="spellStart"/>
            <w:r w:rsidRPr="00F86117">
              <w:rPr>
                <w:rFonts w:ascii="Arial Narrow" w:hAnsi="Arial Narrow"/>
                <w:szCs w:val="20"/>
              </w:rPr>
              <w:t>pazopanib</w:t>
            </w:r>
            <w:proofErr w:type="spellEnd"/>
            <w:r w:rsidRPr="00F86117">
              <w:rPr>
                <w:rFonts w:ascii="Arial Narrow" w:hAnsi="Arial Narrow"/>
                <w:szCs w:val="20"/>
              </w:rPr>
              <w:t xml:space="preserve"> or </w:t>
            </w:r>
            <w:proofErr w:type="spellStart"/>
            <w:r w:rsidRPr="00F86117">
              <w:rPr>
                <w:rFonts w:ascii="Arial Narrow" w:hAnsi="Arial Narrow"/>
                <w:szCs w:val="20"/>
              </w:rPr>
              <w:t>sunitinib</w:t>
            </w:r>
            <w:proofErr w:type="spellEnd"/>
            <w:r w:rsidRPr="00F86117">
              <w:rPr>
                <w:rFonts w:ascii="Arial Narrow" w:hAnsi="Arial Narrow"/>
                <w:szCs w:val="20"/>
              </w:rPr>
              <w:t xml:space="preserve"> are not eligible to receive PBS-subsidised </w:t>
            </w:r>
            <w:proofErr w:type="spellStart"/>
            <w:r w:rsidRPr="00F86117">
              <w:rPr>
                <w:rFonts w:ascii="Arial Narrow" w:hAnsi="Arial Narrow"/>
                <w:szCs w:val="20"/>
              </w:rPr>
              <w:t>cabozantinib</w:t>
            </w:r>
            <w:proofErr w:type="spellEnd"/>
            <w:r w:rsidRPr="00F86117">
              <w:rPr>
                <w:rFonts w:ascii="Arial Narrow" w:hAnsi="Arial Narrow"/>
                <w:szCs w:val="20"/>
              </w:rPr>
              <w:t xml:space="preserve"> under this PBS restriction.</w:t>
            </w:r>
          </w:p>
        </w:tc>
      </w:tr>
      <w:tr w:rsidR="00BB433C" w:rsidRPr="00F86117" w:rsidTr="009913ED">
        <w:trPr>
          <w:cantSplit/>
          <w:trHeight w:val="208"/>
        </w:trPr>
        <w:tc>
          <w:tcPr>
            <w:tcW w:w="2098"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Administrative Advice</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pStyle w:val="TableLeft"/>
              <w:rPr>
                <w:rFonts w:ascii="Arial Narrow" w:hAnsi="Arial Narrow"/>
                <w:szCs w:val="20"/>
              </w:rPr>
            </w:pPr>
            <w:r w:rsidRPr="00F86117">
              <w:rPr>
                <w:rFonts w:ascii="Arial Narrow" w:hAnsi="Arial Narrow"/>
                <w:szCs w:val="20"/>
              </w:rPr>
              <w:t>No increase in the maximum quantity or number of units may be authorised.</w:t>
            </w:r>
          </w:p>
          <w:p w:rsidR="00BB433C" w:rsidRPr="00F86117" w:rsidRDefault="00BB433C" w:rsidP="00AD4D26">
            <w:pPr>
              <w:pStyle w:val="TableLeft"/>
              <w:rPr>
                <w:rFonts w:ascii="Arial Narrow" w:hAnsi="Arial Narrow"/>
                <w:szCs w:val="20"/>
              </w:rPr>
            </w:pPr>
            <w:r w:rsidRPr="00F86117">
              <w:rPr>
                <w:rFonts w:ascii="Arial Narrow" w:hAnsi="Arial Narrow"/>
                <w:szCs w:val="20"/>
              </w:rPr>
              <w:t>No increase in the maximum number of repeats may be authorised.</w:t>
            </w:r>
          </w:p>
          <w:p w:rsidR="00BB433C" w:rsidRPr="00F86117" w:rsidRDefault="00BB433C" w:rsidP="00AD4D26">
            <w:pPr>
              <w:pStyle w:val="TableLeft"/>
              <w:rPr>
                <w:rFonts w:ascii="Arial Narrow" w:hAnsi="Arial Narrow"/>
                <w:szCs w:val="20"/>
              </w:rPr>
            </w:pPr>
            <w:r w:rsidRPr="00F86117">
              <w:rPr>
                <w:rFonts w:ascii="Arial Narrow" w:hAnsi="Arial Narrow"/>
                <w:szCs w:val="20"/>
              </w:rPr>
              <w:t>Special Pricing Arrangements apply.</w:t>
            </w:r>
          </w:p>
        </w:tc>
      </w:tr>
      <w:tr w:rsidR="00BB433C" w:rsidRPr="00F86117" w:rsidTr="009913ED">
        <w:trPr>
          <w:cantSplit/>
          <w:trHeight w:val="360"/>
        </w:trPr>
        <w:tc>
          <w:tcPr>
            <w:tcW w:w="2098"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 xml:space="preserve">Definitions </w:t>
            </w:r>
          </w:p>
        </w:tc>
        <w:tc>
          <w:tcPr>
            <w:tcW w:w="7087" w:type="dxa"/>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rPr>
                <w:rFonts w:ascii="Arial Narrow" w:hAnsi="Arial Narrow"/>
                <w:szCs w:val="20"/>
              </w:rPr>
            </w:pPr>
            <w:r w:rsidRPr="00F86117">
              <w:rPr>
                <w:rFonts w:ascii="Arial Narrow" w:hAnsi="Arial Narrow"/>
                <w:szCs w:val="20"/>
              </w:rPr>
              <w:t>RECIST is defined as follows:</w:t>
            </w:r>
          </w:p>
          <w:p w:rsidR="00BB433C" w:rsidRPr="00F86117" w:rsidRDefault="00BB433C" w:rsidP="00AD4D26">
            <w:pPr>
              <w:pStyle w:val="TableLeft"/>
              <w:rPr>
                <w:rFonts w:ascii="Arial Narrow" w:hAnsi="Arial Narrow"/>
                <w:szCs w:val="20"/>
              </w:rPr>
            </w:pPr>
            <w:r w:rsidRPr="00F86117">
              <w:rPr>
                <w:rFonts w:ascii="Arial Narrow" w:hAnsi="Arial Narrow"/>
                <w:szCs w:val="20"/>
              </w:rPr>
              <w:t>Complete response (CR) is disappearance of all target lesions.</w:t>
            </w:r>
          </w:p>
          <w:p w:rsidR="00BB433C" w:rsidRPr="00F86117" w:rsidRDefault="00BB433C" w:rsidP="00AD4D26">
            <w:pPr>
              <w:pStyle w:val="TableLeft"/>
              <w:rPr>
                <w:rFonts w:ascii="Arial Narrow" w:hAnsi="Arial Narrow"/>
                <w:szCs w:val="20"/>
              </w:rPr>
            </w:pPr>
            <w:r w:rsidRPr="00F86117">
              <w:rPr>
                <w:rFonts w:ascii="Arial Narrow" w:hAnsi="Arial Narrow"/>
                <w:szCs w:val="20"/>
              </w:rPr>
              <w:t xml:space="preserve">Partial response (PR) is a 30% decrease in the sum of the longest diameter of target lesions. </w:t>
            </w:r>
          </w:p>
          <w:p w:rsidR="00BB433C" w:rsidRPr="00F86117" w:rsidRDefault="00BB433C" w:rsidP="00AD4D26">
            <w:pPr>
              <w:pStyle w:val="TableLeft"/>
              <w:rPr>
                <w:rFonts w:ascii="Arial Narrow" w:hAnsi="Arial Narrow"/>
                <w:szCs w:val="20"/>
              </w:rPr>
            </w:pPr>
            <w:r w:rsidRPr="00F86117">
              <w:rPr>
                <w:rFonts w:ascii="Arial Narrow" w:hAnsi="Arial Narrow"/>
                <w:szCs w:val="20"/>
              </w:rPr>
              <w:t xml:space="preserve">Progressive disease (PD) is a 20% increase in the sum of the longest diameter of target lesions. </w:t>
            </w:r>
          </w:p>
          <w:p w:rsidR="00BB433C" w:rsidRPr="00F86117" w:rsidRDefault="00BB433C" w:rsidP="00AD4D26">
            <w:pPr>
              <w:pStyle w:val="TableLeft"/>
              <w:rPr>
                <w:rFonts w:ascii="Arial Narrow" w:hAnsi="Arial Narrow"/>
                <w:szCs w:val="20"/>
              </w:rPr>
            </w:pPr>
            <w:r w:rsidRPr="00F86117">
              <w:rPr>
                <w:rFonts w:ascii="Arial Narrow" w:hAnsi="Arial Narrow"/>
                <w:szCs w:val="20"/>
              </w:rPr>
              <w:t>Stable disease (SD) is small changes that do not meet above criteria.</w:t>
            </w:r>
          </w:p>
        </w:tc>
      </w:tr>
    </w:tbl>
    <w:p w:rsidR="00BB433C" w:rsidRPr="00F86117" w:rsidRDefault="00BB433C" w:rsidP="00AD4D26">
      <w:pPr>
        <w:pStyle w:val="TableFooter"/>
        <w:widowControl/>
        <w:rPr>
          <w:szCs w:val="18"/>
        </w:rPr>
      </w:pPr>
      <w:r w:rsidRPr="00F86117">
        <w:t>Abbreviations: IMDC = International Metastatic Renal Cell Carcinoma Database Consortium Criteria; PBS = Pharmaceutical Benefits Scheme</w:t>
      </w:r>
      <w:r w:rsidRPr="00F86117">
        <w:rPr>
          <w:szCs w:val="18"/>
        </w:rPr>
        <w:t xml:space="preserve">; </w:t>
      </w:r>
      <w:r w:rsidRPr="00F86117">
        <w:t>RCC = renal cell carcinoma;</w:t>
      </w:r>
      <w:r w:rsidRPr="00F86117">
        <w:rPr>
          <w:szCs w:val="18"/>
        </w:rPr>
        <w:t xml:space="preserve"> </w:t>
      </w:r>
      <w:r w:rsidRPr="00F86117">
        <w:t xml:space="preserve">RECIST = response evaluation criteria in solid </w:t>
      </w:r>
      <w:proofErr w:type="spellStart"/>
      <w:r w:rsidRPr="00F86117">
        <w:t>tumors</w:t>
      </w:r>
      <w:proofErr w:type="spellEnd"/>
      <w:r w:rsidRPr="00F86117">
        <w:t>;</w:t>
      </w:r>
      <w:r w:rsidRPr="00F86117">
        <w:rPr>
          <w:szCs w:val="18"/>
        </w:rPr>
        <w:t xml:space="preserve"> WHO = World Health Organisation</w:t>
      </w:r>
    </w:p>
    <w:p w:rsidR="00BB433C" w:rsidRPr="00F86117" w:rsidRDefault="00BB433C" w:rsidP="00AD4D26">
      <w:pPr>
        <w:pStyle w:val="TableFooter"/>
        <w:widowControl/>
        <w:rPr>
          <w:rStyle w:val="CommentReference"/>
          <w:b w:val="0"/>
          <w:sz w:val="18"/>
          <w:szCs w:val="22"/>
        </w:rPr>
      </w:pPr>
      <w:r w:rsidRPr="00F86117">
        <w:t xml:space="preserve">Source: </w:t>
      </w:r>
      <w:r w:rsidRPr="00F86117">
        <w:rPr>
          <w:szCs w:val="18"/>
        </w:rPr>
        <w:t>Table 1.5, p.37 of the submission.</w:t>
      </w:r>
    </w:p>
    <w:p w:rsidR="0035543C" w:rsidRPr="00F86117" w:rsidRDefault="00BB433C" w:rsidP="0061386A">
      <w:pPr>
        <w:pStyle w:val="ListParagraph"/>
        <w:widowControl/>
        <w:numPr>
          <w:ilvl w:val="1"/>
          <w:numId w:val="2"/>
        </w:numPr>
        <w:spacing w:before="120"/>
      </w:pPr>
      <w:r w:rsidRPr="00F86117">
        <w:t xml:space="preserve">The indication approved by the TGA is broader (advanced RCC may include more patients than those with stage IV) than the proposed PBS listing. </w:t>
      </w:r>
    </w:p>
    <w:p w:rsidR="0035543C" w:rsidRPr="00F86117" w:rsidRDefault="00E3503C" w:rsidP="0061386A">
      <w:pPr>
        <w:pStyle w:val="ListParagraph"/>
        <w:keepNext/>
        <w:keepLines/>
        <w:widowControl/>
        <w:numPr>
          <w:ilvl w:val="1"/>
          <w:numId w:val="2"/>
        </w:numPr>
        <w:spacing w:before="120"/>
      </w:pPr>
      <w:r w:rsidRPr="00F86117">
        <w:lastRenderedPageBreak/>
        <w:t>The submission requested listing in patents who are previously untreated</w:t>
      </w:r>
      <w:r w:rsidR="00E128BD" w:rsidRPr="00F86117">
        <w:t>, however the proposed restriction did not limit use to this setting</w:t>
      </w:r>
      <w:r w:rsidR="008F5AF0" w:rsidRPr="00F86117">
        <w:t xml:space="preserve"> (i.e. to limit use to the requested population, the restriction should include the clinical criterion “The condition must not have previously been treated”)</w:t>
      </w:r>
      <w:r w:rsidR="00E128BD" w:rsidRPr="00F86117">
        <w:t xml:space="preserve">. </w:t>
      </w:r>
      <w:r w:rsidR="008F5AF0" w:rsidRPr="00F86117">
        <w:t>As such</w:t>
      </w:r>
      <w:r w:rsidR="00E128BD" w:rsidRPr="00F86117">
        <w:t>, the proposed restriction would allow use in patients who have previously received NIVO+IPI.</w:t>
      </w:r>
      <w:r w:rsidR="005E130B" w:rsidRPr="00F86117">
        <w:t xml:space="preserve"> No evidence was presented for s</w:t>
      </w:r>
      <w:r w:rsidR="00772284" w:rsidRPr="00F86117">
        <w:t>uch use</w:t>
      </w:r>
      <w:r w:rsidR="00861FC6" w:rsidRPr="00F86117">
        <w:t xml:space="preserve">, which </w:t>
      </w:r>
      <w:r w:rsidR="00772284" w:rsidRPr="00F86117">
        <w:t>would be outside the TGA-registered indications, which are for:</w:t>
      </w:r>
    </w:p>
    <w:p w:rsidR="00772284" w:rsidRPr="00F86117" w:rsidRDefault="00772284" w:rsidP="0061386A">
      <w:pPr>
        <w:pStyle w:val="ListParagraph"/>
        <w:keepNext/>
        <w:keepLines/>
        <w:widowControl/>
        <w:numPr>
          <w:ilvl w:val="0"/>
          <w:numId w:val="18"/>
        </w:numPr>
        <w:spacing w:before="120"/>
        <w:ind w:left="1077" w:hanging="357"/>
      </w:pPr>
      <w:r w:rsidRPr="00F86117">
        <w:t>the treatment of advanced renal cell carcinoma (RCC) in treatment-naïve adults with intermediate or poor risk</w:t>
      </w:r>
      <w:r w:rsidR="006A3BBF" w:rsidRPr="00F86117">
        <w:t>; and</w:t>
      </w:r>
    </w:p>
    <w:p w:rsidR="00772284" w:rsidRPr="00F86117" w:rsidRDefault="00772284" w:rsidP="0061386A">
      <w:pPr>
        <w:pStyle w:val="ListParagraph"/>
        <w:keepNext/>
        <w:keepLines/>
        <w:widowControl/>
        <w:numPr>
          <w:ilvl w:val="0"/>
          <w:numId w:val="18"/>
        </w:numPr>
        <w:spacing w:before="120"/>
      </w:pPr>
      <w:proofErr w:type="gramStart"/>
      <w:r w:rsidRPr="00F86117">
        <w:t>the</w:t>
      </w:r>
      <w:proofErr w:type="gramEnd"/>
      <w:r w:rsidRPr="00F86117">
        <w:t xml:space="preserve"> treatment of advanced renal cell carcinoma (RCC) in adults following prior treatment with vascular endothelial growth factor targeted therapy.</w:t>
      </w:r>
    </w:p>
    <w:p w:rsidR="00BB433C" w:rsidRPr="00F86117" w:rsidRDefault="00BB433C" w:rsidP="0061386A">
      <w:pPr>
        <w:pStyle w:val="ListParagraph"/>
        <w:widowControl/>
        <w:numPr>
          <w:ilvl w:val="1"/>
          <w:numId w:val="2"/>
        </w:numPr>
        <w:spacing w:before="120"/>
      </w:pPr>
      <w:r w:rsidRPr="00F86117">
        <w:t xml:space="preserve">The proposed listing allows for the use of </w:t>
      </w:r>
      <w:proofErr w:type="spellStart"/>
      <w:r w:rsidRPr="00F86117">
        <w:t>cabozantinib</w:t>
      </w:r>
      <w:proofErr w:type="spellEnd"/>
      <w:r w:rsidRPr="00F86117">
        <w:t xml:space="preserve"> in patients who have developed an intolerance to </w:t>
      </w:r>
      <w:proofErr w:type="spellStart"/>
      <w:r w:rsidRPr="00F86117">
        <w:t>sunitinib</w:t>
      </w:r>
      <w:proofErr w:type="spellEnd"/>
      <w:r w:rsidRPr="00F86117">
        <w:t xml:space="preserve"> or </w:t>
      </w:r>
      <w:proofErr w:type="spellStart"/>
      <w:r w:rsidRPr="00F86117">
        <w:t>pazopanib</w:t>
      </w:r>
      <w:proofErr w:type="spellEnd"/>
      <w:r w:rsidRPr="00F86117">
        <w:t xml:space="preserve">. </w:t>
      </w:r>
      <w:r w:rsidR="00DE5BB6" w:rsidRPr="00F86117">
        <w:t>The ESC considered that</w:t>
      </w:r>
      <w:r w:rsidR="00C27055" w:rsidRPr="00F86117">
        <w:t>,</w:t>
      </w:r>
      <w:r w:rsidR="00DE5BB6" w:rsidRPr="00F86117">
        <w:t xml:space="preserve"> although there was no evidence presented for patients intolerant to </w:t>
      </w:r>
      <w:proofErr w:type="spellStart"/>
      <w:r w:rsidR="0035543C" w:rsidRPr="00F86117">
        <w:t>sunitinib</w:t>
      </w:r>
      <w:proofErr w:type="spellEnd"/>
      <w:r w:rsidR="0035543C" w:rsidRPr="00F86117">
        <w:t xml:space="preserve"> and </w:t>
      </w:r>
      <w:proofErr w:type="spellStart"/>
      <w:r w:rsidR="0035543C" w:rsidRPr="00F86117">
        <w:t>pazopanib</w:t>
      </w:r>
      <w:proofErr w:type="spellEnd"/>
      <w:r w:rsidR="00C27055" w:rsidRPr="00F86117">
        <w:t>,</w:t>
      </w:r>
      <w:r w:rsidR="0035543C" w:rsidRPr="00F86117">
        <w:t xml:space="preserve"> </w:t>
      </w:r>
      <w:r w:rsidR="00DE5BB6" w:rsidRPr="00F86117">
        <w:t xml:space="preserve">it would be appropriate to include this criteria consistent with the existing listings for </w:t>
      </w:r>
      <w:proofErr w:type="spellStart"/>
      <w:r w:rsidR="00DE5BB6" w:rsidRPr="00F86117">
        <w:t>sunitinib</w:t>
      </w:r>
      <w:proofErr w:type="spellEnd"/>
      <w:r w:rsidR="00DE5BB6" w:rsidRPr="00F86117">
        <w:t xml:space="preserve"> and </w:t>
      </w:r>
      <w:proofErr w:type="spellStart"/>
      <w:r w:rsidR="00DE5BB6" w:rsidRPr="00F86117">
        <w:t>pazopanib</w:t>
      </w:r>
      <w:proofErr w:type="spellEnd"/>
      <w:r w:rsidR="00F86117">
        <w:t xml:space="preserve">. </w:t>
      </w:r>
    </w:p>
    <w:p w:rsidR="00A32910" w:rsidRPr="00F86117" w:rsidRDefault="00A32910" w:rsidP="0061386A">
      <w:pPr>
        <w:pStyle w:val="ListParagraph"/>
        <w:keepNext/>
        <w:keepLines/>
        <w:widowControl/>
        <w:numPr>
          <w:ilvl w:val="1"/>
          <w:numId w:val="2"/>
        </w:numPr>
        <w:spacing w:before="120"/>
      </w:pPr>
      <w:r w:rsidRPr="00F86117">
        <w:t xml:space="preserve">The </w:t>
      </w:r>
      <w:proofErr w:type="spellStart"/>
      <w:r w:rsidRPr="00F86117">
        <w:t>sunitinib</w:t>
      </w:r>
      <w:proofErr w:type="spellEnd"/>
      <w:r w:rsidRPr="00F86117">
        <w:t xml:space="preserve"> listing currently includes the clinical criterion “Patients who have developed progressive disease on </w:t>
      </w:r>
      <w:proofErr w:type="spellStart"/>
      <w:r w:rsidRPr="00F86117">
        <w:t>pazopanib</w:t>
      </w:r>
      <w:proofErr w:type="spellEnd"/>
      <w:r w:rsidRPr="00F86117">
        <w:t xml:space="preserve"> are not eligible to receive PBS-subsidised </w:t>
      </w:r>
      <w:proofErr w:type="spellStart"/>
      <w:r w:rsidRPr="00F86117">
        <w:t>sunitinib</w:t>
      </w:r>
      <w:proofErr w:type="spellEnd"/>
      <w:r w:rsidRPr="00F86117">
        <w:t xml:space="preserve">” and </w:t>
      </w:r>
      <w:proofErr w:type="spellStart"/>
      <w:r w:rsidRPr="00F86117">
        <w:t>pazopanib</w:t>
      </w:r>
      <w:proofErr w:type="spellEnd"/>
      <w:r w:rsidRPr="00F86117">
        <w:t xml:space="preserve"> listing includes the clinical criterion “patients who have progressive disease on </w:t>
      </w:r>
      <w:proofErr w:type="spellStart"/>
      <w:r w:rsidRPr="00F86117">
        <w:t>sunitinib</w:t>
      </w:r>
      <w:proofErr w:type="spellEnd"/>
      <w:r w:rsidRPr="00F86117">
        <w:t xml:space="preserve"> are not eligible to receive PBS-subsidised </w:t>
      </w:r>
      <w:proofErr w:type="spellStart"/>
      <w:r w:rsidRPr="00F86117">
        <w:t>pazopanib</w:t>
      </w:r>
      <w:proofErr w:type="spellEnd"/>
      <w:r w:rsidRPr="00F86117">
        <w:t xml:space="preserve">”. </w:t>
      </w:r>
      <w:r w:rsidR="00E54CC3" w:rsidRPr="00F86117">
        <w:t>The PBAC considered that if</w:t>
      </w:r>
      <w:r w:rsidRPr="00F86117">
        <w:t xml:space="preserve"> </w:t>
      </w:r>
      <w:proofErr w:type="spellStart"/>
      <w:r w:rsidRPr="00F86117">
        <w:t>cabozantinib</w:t>
      </w:r>
      <w:proofErr w:type="spellEnd"/>
      <w:r w:rsidRPr="00F86117">
        <w:t xml:space="preserve"> is PBS listed the restrictions for </w:t>
      </w:r>
      <w:proofErr w:type="spellStart"/>
      <w:r w:rsidRPr="00F86117">
        <w:t>pazopanib</w:t>
      </w:r>
      <w:proofErr w:type="spellEnd"/>
      <w:r w:rsidRPr="00F86117">
        <w:t xml:space="preserve"> and </w:t>
      </w:r>
      <w:proofErr w:type="spellStart"/>
      <w:r w:rsidRPr="00F86117">
        <w:t>sunitinib</w:t>
      </w:r>
      <w:proofErr w:type="spellEnd"/>
      <w:r w:rsidRPr="00F86117">
        <w:t xml:space="preserve"> should </w:t>
      </w:r>
      <w:r w:rsidR="00C27055" w:rsidRPr="00F86117">
        <w:t xml:space="preserve">similarly </w:t>
      </w:r>
      <w:r w:rsidRPr="00F86117">
        <w:t xml:space="preserve">be amended to exclude </w:t>
      </w:r>
      <w:r w:rsidR="00770151" w:rsidRPr="00F86117">
        <w:t xml:space="preserve">use in </w:t>
      </w:r>
      <w:r w:rsidRPr="00F86117">
        <w:t xml:space="preserve">patients who have progressive disease on </w:t>
      </w:r>
      <w:proofErr w:type="spellStart"/>
      <w:r w:rsidRPr="00F86117">
        <w:t>cabozantinib</w:t>
      </w:r>
      <w:proofErr w:type="spellEnd"/>
      <w:r w:rsidRPr="00F86117">
        <w:t>.</w:t>
      </w:r>
    </w:p>
    <w:p w:rsidR="00003E19" w:rsidRPr="00F86117" w:rsidRDefault="00003E19" w:rsidP="0061386A">
      <w:pPr>
        <w:pStyle w:val="ListParagraph"/>
        <w:keepNext/>
        <w:keepLines/>
        <w:widowControl/>
        <w:numPr>
          <w:ilvl w:val="1"/>
          <w:numId w:val="2"/>
        </w:numPr>
        <w:spacing w:before="120"/>
      </w:pPr>
      <w:r w:rsidRPr="00F86117">
        <w:t xml:space="preserve">The submission proposed that both initial and continuing therapy restrictions would be Section 85 (General Schedule) Authority Required (STREAMLINED) items. This is consistent with the existing second line listing for </w:t>
      </w:r>
      <w:proofErr w:type="spellStart"/>
      <w:r w:rsidRPr="00F86117">
        <w:t>cabozantinib</w:t>
      </w:r>
      <w:proofErr w:type="spellEnd"/>
      <w:r w:rsidRPr="00F86117">
        <w:t xml:space="preserve">, but differs from the current restrictions for </w:t>
      </w:r>
      <w:proofErr w:type="spellStart"/>
      <w:r w:rsidRPr="00F86117">
        <w:t>sunitinib</w:t>
      </w:r>
      <w:proofErr w:type="spellEnd"/>
      <w:r w:rsidRPr="00F86117">
        <w:t xml:space="preserve"> and </w:t>
      </w:r>
      <w:proofErr w:type="spellStart"/>
      <w:r w:rsidRPr="00F86117">
        <w:t>pazopanib</w:t>
      </w:r>
      <w:proofErr w:type="spellEnd"/>
      <w:r w:rsidRPr="00F86117">
        <w:t xml:space="preserve">, for which initiation is an </w:t>
      </w:r>
      <w:r w:rsidR="00F42D50">
        <w:t>‘</w:t>
      </w:r>
      <w:r w:rsidRPr="00F86117">
        <w:t xml:space="preserve">Authority </w:t>
      </w:r>
      <w:proofErr w:type="gramStart"/>
      <w:r w:rsidRPr="00F86117">
        <w:t>Required</w:t>
      </w:r>
      <w:proofErr w:type="gramEnd"/>
      <w:r w:rsidR="00F42D50">
        <w:t>’</w:t>
      </w:r>
      <w:r w:rsidRPr="00F86117">
        <w:t xml:space="preserve"> item. The restriction for </w:t>
      </w:r>
      <w:proofErr w:type="spellStart"/>
      <w:r w:rsidRPr="00F86117">
        <w:t>nivolumab</w:t>
      </w:r>
      <w:proofErr w:type="spellEnd"/>
      <w:r w:rsidRPr="00F86117">
        <w:t xml:space="preserve"> + </w:t>
      </w:r>
      <w:proofErr w:type="spellStart"/>
      <w:r w:rsidRPr="00F86117">
        <w:t>ipilimumab</w:t>
      </w:r>
      <w:proofErr w:type="spellEnd"/>
      <w:r w:rsidRPr="00F86117">
        <w:t xml:space="preserve"> in RCC is at the streamlined level for both induction (combination) and continuing treatment. The submission argued that Australian clinicians are now experienced with prescribing the various targeted therapies for RCC and the scope for use outside the approved restrictions would be minimal. </w:t>
      </w:r>
    </w:p>
    <w:p w:rsidR="00A72B69" w:rsidRPr="00F86117" w:rsidRDefault="00A72B69" w:rsidP="0061386A">
      <w:pPr>
        <w:pStyle w:val="BodyText"/>
        <w:spacing w:before="120" w:after="120"/>
        <w:rPr>
          <w:i/>
        </w:rPr>
      </w:pPr>
      <w:r w:rsidRPr="00F86117">
        <w:rPr>
          <w:i/>
        </w:rPr>
        <w:t>For more detail on PBAC’s view, see section 7 PBAC outcome.</w:t>
      </w:r>
    </w:p>
    <w:p w:rsidR="00BB433C" w:rsidRPr="00F86117" w:rsidRDefault="00BB433C" w:rsidP="0061386A">
      <w:pPr>
        <w:pStyle w:val="Heading1"/>
        <w:spacing w:before="120"/>
      </w:pPr>
      <w:bookmarkStart w:id="6" w:name="_Toc371170701"/>
      <w:bookmarkStart w:id="7" w:name="_Toc536002937"/>
      <w:bookmarkStart w:id="8" w:name="_Toc536023489"/>
      <w:r w:rsidRPr="00F86117">
        <w:t>Background</w:t>
      </w:r>
      <w:bookmarkEnd w:id="6"/>
      <w:bookmarkEnd w:id="7"/>
      <w:bookmarkEnd w:id="8"/>
    </w:p>
    <w:p w:rsidR="00BB433C" w:rsidRPr="00F86117" w:rsidRDefault="00BB433C" w:rsidP="0061386A">
      <w:pPr>
        <w:pStyle w:val="Heading2"/>
        <w:widowControl/>
        <w:spacing w:before="120"/>
      </w:pPr>
      <w:r w:rsidRPr="00F86117">
        <w:t>Registration status</w:t>
      </w:r>
    </w:p>
    <w:p w:rsidR="00E128BD" w:rsidRPr="00F86117" w:rsidRDefault="00BB433C" w:rsidP="0061386A">
      <w:pPr>
        <w:pStyle w:val="ListParagraph"/>
        <w:widowControl/>
        <w:numPr>
          <w:ilvl w:val="1"/>
          <w:numId w:val="2"/>
        </w:numPr>
        <w:spacing w:before="120"/>
      </w:pPr>
      <w:r w:rsidRPr="00F86117">
        <w:t xml:space="preserve">In October 2018, the TGA Delegate approved registration of </w:t>
      </w:r>
      <w:proofErr w:type="spellStart"/>
      <w:r w:rsidRPr="00F86117">
        <w:t>cabozantinib</w:t>
      </w:r>
      <w:proofErr w:type="spellEnd"/>
      <w:r w:rsidRPr="00F86117">
        <w:t xml:space="preserve"> for the treatment of advanced RCC in treatment-naïve adults with intermediate or poor risk. </w:t>
      </w:r>
      <w:r w:rsidRPr="00F86117">
        <w:rPr>
          <w:bCs/>
        </w:rPr>
        <w:t>The TGA Clinical Evaluation Report was not provided with the submission</w:t>
      </w:r>
      <w:r w:rsidR="00F86117">
        <w:rPr>
          <w:bCs/>
        </w:rPr>
        <w:t xml:space="preserve">. </w:t>
      </w:r>
      <w:r w:rsidRPr="00F86117">
        <w:rPr>
          <w:bCs/>
        </w:rPr>
        <w:t xml:space="preserve"> </w:t>
      </w:r>
    </w:p>
    <w:p w:rsidR="00A72B69" w:rsidRPr="00F86117" w:rsidRDefault="00A72B69" w:rsidP="0061386A">
      <w:pPr>
        <w:pStyle w:val="BodyText"/>
        <w:spacing w:before="120" w:after="120"/>
        <w:rPr>
          <w:i/>
        </w:rPr>
      </w:pPr>
      <w:r w:rsidRPr="00F86117">
        <w:rPr>
          <w:i/>
        </w:rPr>
        <w:t>For more detail on PBAC’s view, see section 7 PBAC outcome.</w:t>
      </w:r>
    </w:p>
    <w:p w:rsidR="00BB433C" w:rsidRPr="00F86117" w:rsidRDefault="00BB433C" w:rsidP="0061386A">
      <w:pPr>
        <w:pStyle w:val="Heading1"/>
        <w:spacing w:before="120"/>
      </w:pPr>
      <w:bookmarkStart w:id="9" w:name="_Toc371170702"/>
      <w:bookmarkStart w:id="10" w:name="_Toc536002938"/>
      <w:bookmarkStart w:id="11" w:name="_Toc536023490"/>
      <w:r w:rsidRPr="00F86117">
        <w:lastRenderedPageBreak/>
        <w:t>Population and disease</w:t>
      </w:r>
      <w:bookmarkEnd w:id="9"/>
      <w:bookmarkEnd w:id="10"/>
      <w:bookmarkEnd w:id="11"/>
    </w:p>
    <w:p w:rsidR="00BB433C" w:rsidRPr="00F86117" w:rsidRDefault="00BB433C" w:rsidP="0061386A">
      <w:pPr>
        <w:pStyle w:val="ListParagraph"/>
        <w:widowControl/>
        <w:numPr>
          <w:ilvl w:val="1"/>
          <w:numId w:val="2"/>
        </w:numPr>
        <w:spacing w:before="120"/>
        <w:rPr>
          <w:rFonts w:asciiTheme="minorHAnsi" w:eastAsiaTheme="minorHAnsi" w:hAnsiTheme="minorHAnsi" w:cstheme="minorHAnsi"/>
          <w:snapToGrid/>
          <w:szCs w:val="24"/>
        </w:rPr>
      </w:pPr>
      <w:r w:rsidRPr="00F86117">
        <w:t xml:space="preserve">RCC is a type of cancer originating from the lining of renal tubules of the kidney. It is the most common form of kidney cancer accounting for 80-90% of all cases. Kidney cancer is more frequently reported in males than in females. It </w:t>
      </w:r>
      <w:r w:rsidR="00B47DD3" w:rsidRPr="00F86117">
        <w:t>has been</w:t>
      </w:r>
      <w:r w:rsidRPr="00F86117">
        <w:t xml:space="preserve"> estimated that </w:t>
      </w:r>
      <w:r w:rsidR="00E450AE" w:rsidRPr="00F86117">
        <w:t xml:space="preserve">the </w:t>
      </w:r>
      <w:r w:rsidRPr="00F86117">
        <w:t xml:space="preserve">incidence of kidney cancer </w:t>
      </w:r>
      <w:r w:rsidR="00B47DD3" w:rsidRPr="00F86117">
        <w:t>was</w:t>
      </w:r>
      <w:r w:rsidRPr="00F86117">
        <w:t xml:space="preserve"> 3,617 new cases </w:t>
      </w:r>
      <w:r w:rsidR="00B47DD3" w:rsidRPr="00F86117">
        <w:t>in 2018</w:t>
      </w:r>
      <w:r w:rsidRPr="00F86117">
        <w:t xml:space="preserve"> representing 2.6% of all new cancer cases, </w:t>
      </w:r>
      <w:r w:rsidR="00B47DD3" w:rsidRPr="00F86117">
        <w:t>with</w:t>
      </w:r>
      <w:r w:rsidRPr="00F86117">
        <w:t xml:space="preserve"> 1,069 deaths associated with this tumour type (Cancer Australia 2018).</w:t>
      </w:r>
    </w:p>
    <w:p w:rsidR="00BB433C" w:rsidRPr="00F86117" w:rsidRDefault="00BB433C" w:rsidP="0061386A">
      <w:pPr>
        <w:pStyle w:val="ListParagraph"/>
        <w:widowControl/>
        <w:numPr>
          <w:ilvl w:val="1"/>
          <w:numId w:val="2"/>
        </w:numPr>
        <w:spacing w:before="120"/>
        <w:rPr>
          <w:rFonts w:asciiTheme="minorHAnsi" w:eastAsiaTheme="minorHAnsi" w:hAnsiTheme="minorHAnsi" w:cstheme="minorHAnsi"/>
          <w:i/>
          <w:snapToGrid/>
          <w:szCs w:val="24"/>
        </w:rPr>
      </w:pPr>
      <w:r w:rsidRPr="00F86117">
        <w:rPr>
          <w:rFonts w:asciiTheme="minorHAnsi" w:eastAsiaTheme="minorHAnsi" w:hAnsiTheme="minorHAnsi" w:cstheme="minorHAnsi"/>
          <w:snapToGrid/>
          <w:szCs w:val="24"/>
        </w:rPr>
        <w:t xml:space="preserve">The submission proposed that </w:t>
      </w:r>
      <w:proofErr w:type="spellStart"/>
      <w:r w:rsidRPr="00F86117">
        <w:rPr>
          <w:rFonts w:asciiTheme="minorHAnsi" w:eastAsiaTheme="minorHAnsi" w:hAnsiTheme="minorHAnsi" w:cstheme="minorHAnsi"/>
          <w:snapToGrid/>
          <w:szCs w:val="24"/>
        </w:rPr>
        <w:t>cabozantinib</w:t>
      </w:r>
      <w:proofErr w:type="spellEnd"/>
      <w:r w:rsidRPr="00F86117">
        <w:rPr>
          <w:rFonts w:asciiTheme="minorHAnsi" w:eastAsiaTheme="minorHAnsi" w:hAnsiTheme="minorHAnsi" w:cstheme="minorHAnsi"/>
          <w:snapToGrid/>
          <w:szCs w:val="24"/>
        </w:rPr>
        <w:t xml:space="preserve"> be used as a first-line treatment for IMDC intermediate to poor risk patients with Stage IV clear cell variant RCC. This was based on the action of </w:t>
      </w:r>
      <w:proofErr w:type="spellStart"/>
      <w:r w:rsidRPr="00F86117">
        <w:rPr>
          <w:rFonts w:asciiTheme="minorHAnsi" w:eastAsiaTheme="minorHAnsi" w:hAnsiTheme="minorHAnsi" w:cstheme="minorHAnsi"/>
          <w:snapToGrid/>
          <w:szCs w:val="24"/>
        </w:rPr>
        <w:t>cabozantinib</w:t>
      </w:r>
      <w:proofErr w:type="spellEnd"/>
      <w:r w:rsidRPr="00F86117">
        <w:rPr>
          <w:rFonts w:asciiTheme="minorHAnsi" w:eastAsiaTheme="minorHAnsi" w:hAnsiTheme="minorHAnsi" w:cstheme="minorHAnsi"/>
          <w:snapToGrid/>
          <w:szCs w:val="24"/>
        </w:rPr>
        <w:t xml:space="preserve"> inhibiting certain tyrosine kinases (such as MET and AXL) in this disease. </w:t>
      </w:r>
    </w:p>
    <w:p w:rsidR="00455C56" w:rsidRPr="00F86117" w:rsidRDefault="00861FC6" w:rsidP="0061386A">
      <w:pPr>
        <w:numPr>
          <w:ilvl w:val="1"/>
          <w:numId w:val="2"/>
        </w:numPr>
        <w:spacing w:before="120" w:after="120"/>
        <w:rPr>
          <w:rFonts w:asciiTheme="minorHAnsi" w:hAnsiTheme="minorHAnsi"/>
          <w:bCs/>
        </w:rPr>
      </w:pPr>
      <w:r w:rsidRPr="00F86117">
        <w:rPr>
          <w:rFonts w:asciiTheme="minorHAnsi" w:eastAsiaTheme="minorHAnsi" w:hAnsiTheme="minorHAnsi" w:cstheme="minorHAnsi"/>
          <w:snapToGrid/>
          <w:szCs w:val="24"/>
        </w:rPr>
        <w:t xml:space="preserve">NIVO+IPI was also PBS-listed in this setting on 1 March 2019. </w:t>
      </w:r>
      <w:r w:rsidR="00455C56" w:rsidRPr="00F86117">
        <w:rPr>
          <w:rFonts w:asciiTheme="minorHAnsi" w:hAnsiTheme="minorHAnsi"/>
          <w:bCs/>
        </w:rPr>
        <w:t>The PBAC noted that the US National Comprehensive Cancer Network (NCCN) preferred regimens for first-line treatment of intermediate to poor risk RCC are (</w:t>
      </w:r>
      <w:proofErr w:type="spellStart"/>
      <w:r w:rsidR="00455C56" w:rsidRPr="00F86117">
        <w:rPr>
          <w:rFonts w:asciiTheme="minorHAnsi" w:hAnsiTheme="minorHAnsi"/>
          <w:bCs/>
        </w:rPr>
        <w:t>i</w:t>
      </w:r>
      <w:proofErr w:type="spellEnd"/>
      <w:r w:rsidR="00455C56" w:rsidRPr="00F86117">
        <w:rPr>
          <w:rFonts w:asciiTheme="minorHAnsi" w:hAnsiTheme="minorHAnsi"/>
          <w:bCs/>
        </w:rPr>
        <w:t xml:space="preserve">) NIVO+IPI (Category 1, based on high-level evidence) and (ii) </w:t>
      </w:r>
      <w:proofErr w:type="spellStart"/>
      <w:r w:rsidR="00455C56" w:rsidRPr="00F86117">
        <w:rPr>
          <w:rFonts w:asciiTheme="minorHAnsi" w:hAnsiTheme="minorHAnsi"/>
          <w:bCs/>
        </w:rPr>
        <w:t>cabozantinib</w:t>
      </w:r>
      <w:proofErr w:type="spellEnd"/>
      <w:r w:rsidR="00455C56" w:rsidRPr="00F86117">
        <w:rPr>
          <w:rFonts w:asciiTheme="minorHAnsi" w:hAnsiTheme="minorHAnsi"/>
          <w:bCs/>
        </w:rPr>
        <w:t xml:space="preserve"> (Category 2A, based on lower-level evidence). </w:t>
      </w:r>
    </w:p>
    <w:p w:rsidR="00787C27" w:rsidRPr="00F86117" w:rsidRDefault="00787C27" w:rsidP="0061386A">
      <w:pPr>
        <w:pStyle w:val="ListParagraph"/>
        <w:widowControl/>
        <w:numPr>
          <w:ilvl w:val="1"/>
          <w:numId w:val="2"/>
        </w:numPr>
        <w:spacing w:before="120"/>
        <w:rPr>
          <w:rFonts w:asciiTheme="minorHAnsi" w:eastAsiaTheme="minorHAnsi" w:hAnsiTheme="minorHAnsi" w:cstheme="minorHAnsi"/>
          <w:i/>
          <w:snapToGrid/>
          <w:szCs w:val="24"/>
        </w:rPr>
      </w:pPr>
      <w:r w:rsidRPr="00F86117">
        <w:rPr>
          <w:rFonts w:asciiTheme="minorHAnsi" w:eastAsiaTheme="minorHAnsi" w:hAnsiTheme="minorHAnsi" w:cstheme="minorHAnsi"/>
          <w:snapToGrid/>
          <w:szCs w:val="24"/>
        </w:rPr>
        <w:t xml:space="preserve">The pre-PBAC response stated that, with NIVO+IPI now available for the first-line treatment of intermediate to poor risk patients, the patients most likely to receive </w:t>
      </w:r>
      <w:proofErr w:type="spellStart"/>
      <w:r w:rsidRPr="00F86117">
        <w:rPr>
          <w:rFonts w:asciiTheme="minorHAnsi" w:eastAsiaTheme="minorHAnsi" w:hAnsiTheme="minorHAnsi" w:cstheme="minorHAnsi"/>
          <w:snapToGrid/>
          <w:szCs w:val="24"/>
        </w:rPr>
        <w:t>cabozantinib</w:t>
      </w:r>
      <w:proofErr w:type="spellEnd"/>
      <w:r w:rsidRPr="00F86117">
        <w:rPr>
          <w:rFonts w:asciiTheme="minorHAnsi" w:eastAsiaTheme="minorHAnsi" w:hAnsiTheme="minorHAnsi" w:cstheme="minorHAnsi"/>
          <w:snapToGrid/>
          <w:szCs w:val="24"/>
        </w:rPr>
        <w:t xml:space="preserve"> would be those </w:t>
      </w:r>
      <w:r w:rsidR="004A0944" w:rsidRPr="00F86117">
        <w:rPr>
          <w:rFonts w:asciiTheme="minorHAnsi" w:eastAsiaTheme="minorHAnsi" w:hAnsiTheme="minorHAnsi" w:cstheme="minorHAnsi"/>
          <w:snapToGrid/>
          <w:szCs w:val="24"/>
        </w:rPr>
        <w:t>for</w:t>
      </w:r>
      <w:r w:rsidRPr="00F86117">
        <w:rPr>
          <w:rFonts w:asciiTheme="minorHAnsi" w:eastAsiaTheme="minorHAnsi" w:hAnsiTheme="minorHAnsi" w:cstheme="minorHAnsi"/>
          <w:snapToGrid/>
          <w:szCs w:val="24"/>
        </w:rPr>
        <w:t xml:space="preserve"> whom im</w:t>
      </w:r>
      <w:r w:rsidR="005E130B" w:rsidRPr="00F86117">
        <w:rPr>
          <w:rFonts w:asciiTheme="minorHAnsi" w:eastAsiaTheme="minorHAnsi" w:hAnsiTheme="minorHAnsi" w:cstheme="minorHAnsi"/>
          <w:snapToGrid/>
          <w:szCs w:val="24"/>
        </w:rPr>
        <w:t>munotherapy is deemed inappropriate (e.g. older patients or those with an underlying immunological disorder).</w:t>
      </w:r>
    </w:p>
    <w:p w:rsidR="007B1AE5" w:rsidRPr="00F86117" w:rsidRDefault="003B67D0" w:rsidP="0061386A">
      <w:pPr>
        <w:pStyle w:val="ListParagraph"/>
        <w:widowControl/>
        <w:numPr>
          <w:ilvl w:val="1"/>
          <w:numId w:val="2"/>
        </w:numPr>
        <w:spacing w:before="120"/>
      </w:pPr>
      <w:r w:rsidRPr="00F86117">
        <w:rPr>
          <w:rFonts w:asciiTheme="minorHAnsi" w:eastAsiaTheme="minorHAnsi" w:hAnsiTheme="minorHAnsi" w:cstheme="minorHAnsi"/>
          <w:snapToGrid/>
          <w:szCs w:val="24"/>
        </w:rPr>
        <w:t xml:space="preserve">The submission </w:t>
      </w:r>
      <w:r w:rsidR="00C97706" w:rsidRPr="00F86117">
        <w:rPr>
          <w:rFonts w:asciiTheme="minorHAnsi" w:eastAsiaTheme="minorHAnsi" w:hAnsiTheme="minorHAnsi" w:cstheme="minorHAnsi"/>
          <w:snapToGrid/>
          <w:szCs w:val="24"/>
        </w:rPr>
        <w:t>included</w:t>
      </w:r>
      <w:r w:rsidRPr="00F86117">
        <w:rPr>
          <w:rFonts w:asciiTheme="minorHAnsi" w:eastAsiaTheme="minorHAnsi" w:hAnsiTheme="minorHAnsi" w:cstheme="minorHAnsi"/>
          <w:snapToGrid/>
          <w:szCs w:val="24"/>
        </w:rPr>
        <w:t xml:space="preserve"> </w:t>
      </w:r>
      <w:r w:rsidR="00C97706" w:rsidRPr="00F86117">
        <w:rPr>
          <w:rFonts w:asciiTheme="minorHAnsi" w:eastAsiaTheme="minorHAnsi" w:hAnsiTheme="minorHAnsi" w:cstheme="minorHAnsi"/>
          <w:snapToGrid/>
          <w:szCs w:val="24"/>
        </w:rPr>
        <w:t>a</w:t>
      </w:r>
      <w:r w:rsidRPr="00F86117">
        <w:rPr>
          <w:rFonts w:asciiTheme="minorHAnsi" w:eastAsiaTheme="minorHAnsi" w:hAnsiTheme="minorHAnsi" w:cstheme="minorHAnsi"/>
          <w:snapToGrid/>
          <w:szCs w:val="24"/>
        </w:rPr>
        <w:t xml:space="preserve"> treatment algorithm in which</w:t>
      </w:r>
      <w:r w:rsidR="00BA1A8B" w:rsidRPr="00F86117">
        <w:rPr>
          <w:rFonts w:asciiTheme="minorHAnsi" w:eastAsiaTheme="minorHAnsi" w:hAnsiTheme="minorHAnsi" w:cstheme="minorHAnsi"/>
          <w:snapToGrid/>
          <w:szCs w:val="24"/>
        </w:rPr>
        <w:t xml:space="preserve"> </w:t>
      </w:r>
      <w:proofErr w:type="spellStart"/>
      <w:r w:rsidR="00BA1A8B" w:rsidRPr="00F86117">
        <w:rPr>
          <w:rFonts w:asciiTheme="minorHAnsi" w:eastAsiaTheme="minorHAnsi" w:hAnsiTheme="minorHAnsi" w:cstheme="minorHAnsi"/>
          <w:snapToGrid/>
          <w:szCs w:val="24"/>
        </w:rPr>
        <w:t>cabozantinib</w:t>
      </w:r>
      <w:proofErr w:type="spellEnd"/>
      <w:r w:rsidR="00BA1A8B" w:rsidRPr="00F86117">
        <w:rPr>
          <w:rFonts w:asciiTheme="minorHAnsi" w:eastAsiaTheme="minorHAnsi" w:hAnsiTheme="minorHAnsi" w:cstheme="minorHAnsi"/>
          <w:snapToGrid/>
          <w:szCs w:val="24"/>
        </w:rPr>
        <w:t xml:space="preserve"> was proposed as</w:t>
      </w:r>
      <w:r w:rsidRPr="00F86117">
        <w:rPr>
          <w:rFonts w:asciiTheme="minorHAnsi" w:eastAsiaTheme="minorHAnsi" w:hAnsiTheme="minorHAnsi" w:cstheme="minorHAnsi"/>
          <w:snapToGrid/>
          <w:szCs w:val="24"/>
        </w:rPr>
        <w:t xml:space="preserve"> an alternative </w:t>
      </w:r>
      <w:r w:rsidR="00BA1A8B" w:rsidRPr="00F86117">
        <w:rPr>
          <w:rFonts w:asciiTheme="minorHAnsi" w:eastAsiaTheme="minorHAnsi" w:hAnsiTheme="minorHAnsi" w:cstheme="minorHAnsi"/>
          <w:snapToGrid/>
          <w:szCs w:val="24"/>
        </w:rPr>
        <w:t xml:space="preserve">to NIVO+IPI in the </w:t>
      </w:r>
      <w:r w:rsidRPr="00F86117">
        <w:rPr>
          <w:rFonts w:asciiTheme="minorHAnsi" w:eastAsiaTheme="minorHAnsi" w:hAnsiTheme="minorHAnsi" w:cstheme="minorHAnsi"/>
          <w:snapToGrid/>
          <w:szCs w:val="24"/>
        </w:rPr>
        <w:t>first line treatment</w:t>
      </w:r>
      <w:r w:rsidR="00BA1A8B" w:rsidRPr="00F86117">
        <w:rPr>
          <w:rFonts w:asciiTheme="minorHAnsi" w:eastAsiaTheme="minorHAnsi" w:hAnsiTheme="minorHAnsi" w:cstheme="minorHAnsi"/>
          <w:snapToGrid/>
          <w:szCs w:val="24"/>
        </w:rPr>
        <w:t xml:space="preserve"> of</w:t>
      </w:r>
      <w:r w:rsidRPr="00F86117">
        <w:rPr>
          <w:rFonts w:asciiTheme="minorHAnsi" w:eastAsiaTheme="minorHAnsi" w:hAnsiTheme="minorHAnsi" w:cstheme="minorHAnsi"/>
          <w:snapToGrid/>
          <w:szCs w:val="24"/>
        </w:rPr>
        <w:t xml:space="preserve"> patients who are at intermediate to poor risk, and </w:t>
      </w:r>
      <w:proofErr w:type="spellStart"/>
      <w:r w:rsidRPr="00F86117">
        <w:rPr>
          <w:rFonts w:asciiTheme="minorHAnsi" w:eastAsiaTheme="minorHAnsi" w:hAnsiTheme="minorHAnsi" w:cstheme="minorHAnsi"/>
          <w:snapToGrid/>
          <w:szCs w:val="24"/>
        </w:rPr>
        <w:t>suniti</w:t>
      </w:r>
      <w:r w:rsidR="002112F9" w:rsidRPr="00F86117">
        <w:rPr>
          <w:rFonts w:asciiTheme="minorHAnsi" w:eastAsiaTheme="minorHAnsi" w:hAnsiTheme="minorHAnsi" w:cstheme="minorHAnsi"/>
          <w:snapToGrid/>
          <w:szCs w:val="24"/>
        </w:rPr>
        <w:t>ni</w:t>
      </w:r>
      <w:r w:rsidRPr="00F86117">
        <w:rPr>
          <w:rFonts w:asciiTheme="minorHAnsi" w:eastAsiaTheme="minorHAnsi" w:hAnsiTheme="minorHAnsi" w:cstheme="minorHAnsi"/>
          <w:snapToGrid/>
          <w:szCs w:val="24"/>
        </w:rPr>
        <w:t>b</w:t>
      </w:r>
      <w:proofErr w:type="spellEnd"/>
      <w:r w:rsidRPr="00F86117">
        <w:rPr>
          <w:rFonts w:asciiTheme="minorHAnsi" w:eastAsiaTheme="minorHAnsi" w:hAnsiTheme="minorHAnsi" w:cstheme="minorHAnsi"/>
          <w:snapToGrid/>
          <w:szCs w:val="24"/>
        </w:rPr>
        <w:t xml:space="preserve"> </w:t>
      </w:r>
      <w:r w:rsidR="00C07B44" w:rsidRPr="00F86117">
        <w:rPr>
          <w:rFonts w:asciiTheme="minorHAnsi" w:eastAsiaTheme="minorHAnsi" w:hAnsiTheme="minorHAnsi" w:cstheme="minorHAnsi"/>
          <w:snapToGrid/>
          <w:szCs w:val="24"/>
        </w:rPr>
        <w:t>or</w:t>
      </w:r>
      <w:r w:rsidRPr="00F86117">
        <w:rPr>
          <w:rFonts w:asciiTheme="minorHAnsi" w:eastAsiaTheme="minorHAnsi" w:hAnsiTheme="minorHAnsi" w:cstheme="minorHAnsi"/>
          <w:snapToGrid/>
          <w:szCs w:val="24"/>
        </w:rPr>
        <w:t xml:space="preserve"> </w:t>
      </w:r>
      <w:proofErr w:type="spellStart"/>
      <w:r w:rsidRPr="00F86117">
        <w:rPr>
          <w:rFonts w:asciiTheme="minorHAnsi" w:eastAsiaTheme="minorHAnsi" w:hAnsiTheme="minorHAnsi" w:cstheme="minorHAnsi"/>
          <w:snapToGrid/>
          <w:szCs w:val="24"/>
        </w:rPr>
        <w:t>pazopanib</w:t>
      </w:r>
      <w:proofErr w:type="spellEnd"/>
      <w:r w:rsidRPr="00F86117">
        <w:rPr>
          <w:rFonts w:asciiTheme="minorHAnsi" w:eastAsiaTheme="minorHAnsi" w:hAnsiTheme="minorHAnsi" w:cstheme="minorHAnsi"/>
          <w:snapToGrid/>
          <w:szCs w:val="24"/>
        </w:rPr>
        <w:t xml:space="preserve"> are </w:t>
      </w:r>
      <w:r w:rsidR="00DD264C" w:rsidRPr="00F86117">
        <w:rPr>
          <w:rFonts w:asciiTheme="minorHAnsi" w:eastAsiaTheme="minorHAnsi" w:hAnsiTheme="minorHAnsi" w:cstheme="minorHAnsi"/>
          <w:snapToGrid/>
          <w:szCs w:val="24"/>
        </w:rPr>
        <w:t>first</w:t>
      </w:r>
      <w:r w:rsidR="006445F6" w:rsidRPr="00F86117">
        <w:rPr>
          <w:rFonts w:asciiTheme="minorHAnsi" w:eastAsiaTheme="minorHAnsi" w:hAnsiTheme="minorHAnsi" w:cstheme="minorHAnsi"/>
          <w:snapToGrid/>
          <w:szCs w:val="24"/>
        </w:rPr>
        <w:t>-</w:t>
      </w:r>
      <w:r w:rsidR="00DD264C" w:rsidRPr="00F86117">
        <w:rPr>
          <w:rFonts w:asciiTheme="minorHAnsi" w:eastAsiaTheme="minorHAnsi" w:hAnsiTheme="minorHAnsi" w:cstheme="minorHAnsi"/>
          <w:snapToGrid/>
          <w:szCs w:val="24"/>
        </w:rPr>
        <w:t>line treatment</w:t>
      </w:r>
      <w:r w:rsidR="006445F6" w:rsidRPr="00F86117">
        <w:rPr>
          <w:rFonts w:asciiTheme="minorHAnsi" w:eastAsiaTheme="minorHAnsi" w:hAnsiTheme="minorHAnsi" w:cstheme="minorHAnsi"/>
          <w:snapToGrid/>
          <w:szCs w:val="24"/>
        </w:rPr>
        <w:t>s</w:t>
      </w:r>
      <w:r w:rsidR="00DD264C" w:rsidRPr="00F86117">
        <w:rPr>
          <w:rFonts w:asciiTheme="minorHAnsi" w:eastAsiaTheme="minorHAnsi" w:hAnsiTheme="minorHAnsi" w:cstheme="minorHAnsi"/>
          <w:snapToGrid/>
          <w:szCs w:val="24"/>
        </w:rPr>
        <w:t xml:space="preserve"> for patients</w:t>
      </w:r>
      <w:r w:rsidRPr="00F86117">
        <w:rPr>
          <w:rFonts w:asciiTheme="minorHAnsi" w:eastAsiaTheme="minorHAnsi" w:hAnsiTheme="minorHAnsi" w:cstheme="minorHAnsi"/>
          <w:snapToGrid/>
          <w:szCs w:val="24"/>
        </w:rPr>
        <w:t xml:space="preserve"> at favourable to intermediate risk. </w:t>
      </w:r>
      <w:r w:rsidR="007148C9" w:rsidRPr="00F86117">
        <w:rPr>
          <w:rFonts w:asciiTheme="minorHAnsi" w:eastAsiaTheme="minorHAnsi" w:hAnsiTheme="minorHAnsi" w:cstheme="minorHAnsi"/>
          <w:snapToGrid/>
          <w:szCs w:val="24"/>
        </w:rPr>
        <w:t>In the proposed treatment algorithm, s</w:t>
      </w:r>
      <w:r w:rsidR="00C97706" w:rsidRPr="00F86117">
        <w:rPr>
          <w:rFonts w:asciiTheme="minorHAnsi" w:eastAsiaTheme="minorHAnsi" w:hAnsiTheme="minorHAnsi" w:cstheme="minorHAnsi"/>
          <w:snapToGrid/>
          <w:szCs w:val="24"/>
        </w:rPr>
        <w:t>ubsequent treatments</w:t>
      </w:r>
      <w:r w:rsidR="00854EBE" w:rsidRPr="00F86117">
        <w:rPr>
          <w:rFonts w:asciiTheme="minorHAnsi" w:eastAsiaTheme="minorHAnsi" w:hAnsiTheme="minorHAnsi" w:cstheme="minorHAnsi"/>
          <w:snapToGrid/>
          <w:szCs w:val="24"/>
        </w:rPr>
        <w:t xml:space="preserve"> </w:t>
      </w:r>
      <w:r w:rsidR="00C97706" w:rsidRPr="00F86117">
        <w:rPr>
          <w:rFonts w:asciiTheme="minorHAnsi" w:eastAsiaTheme="minorHAnsi" w:hAnsiTheme="minorHAnsi" w:cstheme="minorHAnsi"/>
          <w:snapToGrid/>
          <w:szCs w:val="24"/>
        </w:rPr>
        <w:t xml:space="preserve">included </w:t>
      </w:r>
      <w:proofErr w:type="spellStart"/>
      <w:r w:rsidR="00C97706" w:rsidRPr="00F86117">
        <w:rPr>
          <w:rFonts w:asciiTheme="minorHAnsi" w:eastAsiaTheme="minorHAnsi" w:hAnsiTheme="minorHAnsi" w:cstheme="minorHAnsi"/>
          <w:snapToGrid/>
          <w:szCs w:val="24"/>
        </w:rPr>
        <w:t>e</w:t>
      </w:r>
      <w:r w:rsidR="001F5001" w:rsidRPr="00F86117">
        <w:rPr>
          <w:rFonts w:asciiTheme="minorHAnsi" w:eastAsiaTheme="minorHAnsi" w:hAnsiTheme="minorHAnsi" w:cstheme="minorHAnsi"/>
          <w:snapToGrid/>
          <w:szCs w:val="24"/>
        </w:rPr>
        <w:t>verolimus</w:t>
      </w:r>
      <w:proofErr w:type="spellEnd"/>
      <w:r w:rsidR="001F5001" w:rsidRPr="00F86117">
        <w:rPr>
          <w:rFonts w:asciiTheme="minorHAnsi" w:eastAsiaTheme="minorHAnsi" w:hAnsiTheme="minorHAnsi" w:cstheme="minorHAnsi"/>
          <w:snapToGrid/>
          <w:szCs w:val="24"/>
        </w:rPr>
        <w:t xml:space="preserve">, </w:t>
      </w:r>
      <w:proofErr w:type="spellStart"/>
      <w:r w:rsidR="001F5001" w:rsidRPr="00F86117">
        <w:rPr>
          <w:rFonts w:asciiTheme="minorHAnsi" w:eastAsiaTheme="minorHAnsi" w:hAnsiTheme="minorHAnsi" w:cstheme="minorHAnsi"/>
          <w:snapToGrid/>
          <w:szCs w:val="24"/>
        </w:rPr>
        <w:t>sorafenib</w:t>
      </w:r>
      <w:proofErr w:type="spellEnd"/>
      <w:r w:rsidR="001F5001" w:rsidRPr="00F86117">
        <w:rPr>
          <w:rFonts w:asciiTheme="minorHAnsi" w:eastAsiaTheme="minorHAnsi" w:hAnsiTheme="minorHAnsi" w:cstheme="minorHAnsi"/>
          <w:snapToGrid/>
          <w:szCs w:val="24"/>
        </w:rPr>
        <w:t xml:space="preserve">, </w:t>
      </w:r>
      <w:proofErr w:type="spellStart"/>
      <w:r w:rsidR="001F5001" w:rsidRPr="00F86117">
        <w:rPr>
          <w:rFonts w:asciiTheme="minorHAnsi" w:eastAsiaTheme="minorHAnsi" w:hAnsiTheme="minorHAnsi" w:cstheme="minorHAnsi"/>
          <w:snapToGrid/>
          <w:szCs w:val="24"/>
        </w:rPr>
        <w:t>cabozant</w:t>
      </w:r>
      <w:r w:rsidR="002112F9" w:rsidRPr="00F86117">
        <w:rPr>
          <w:rFonts w:asciiTheme="minorHAnsi" w:eastAsiaTheme="minorHAnsi" w:hAnsiTheme="minorHAnsi" w:cstheme="minorHAnsi"/>
          <w:snapToGrid/>
          <w:szCs w:val="24"/>
        </w:rPr>
        <w:t>i</w:t>
      </w:r>
      <w:r w:rsidR="001F5001" w:rsidRPr="00F86117">
        <w:rPr>
          <w:rFonts w:asciiTheme="minorHAnsi" w:eastAsiaTheme="minorHAnsi" w:hAnsiTheme="minorHAnsi" w:cstheme="minorHAnsi"/>
          <w:snapToGrid/>
          <w:szCs w:val="24"/>
        </w:rPr>
        <w:t>nib</w:t>
      </w:r>
      <w:proofErr w:type="spellEnd"/>
      <w:r w:rsidR="001F5001" w:rsidRPr="00F86117">
        <w:rPr>
          <w:rFonts w:asciiTheme="minorHAnsi" w:eastAsiaTheme="minorHAnsi" w:hAnsiTheme="minorHAnsi" w:cstheme="minorHAnsi"/>
          <w:snapToGrid/>
          <w:szCs w:val="24"/>
        </w:rPr>
        <w:t xml:space="preserve">, </w:t>
      </w:r>
      <w:proofErr w:type="spellStart"/>
      <w:r w:rsidR="001F5001" w:rsidRPr="00F86117">
        <w:rPr>
          <w:rFonts w:asciiTheme="minorHAnsi" w:eastAsiaTheme="minorHAnsi" w:hAnsiTheme="minorHAnsi" w:cstheme="minorHAnsi"/>
          <w:snapToGrid/>
          <w:szCs w:val="24"/>
        </w:rPr>
        <w:t>axitinib</w:t>
      </w:r>
      <w:proofErr w:type="spellEnd"/>
      <w:r w:rsidR="001F5001" w:rsidRPr="00F86117">
        <w:rPr>
          <w:rFonts w:asciiTheme="minorHAnsi" w:eastAsiaTheme="minorHAnsi" w:hAnsiTheme="minorHAnsi" w:cstheme="minorHAnsi"/>
          <w:snapToGrid/>
          <w:szCs w:val="24"/>
        </w:rPr>
        <w:t xml:space="preserve"> and </w:t>
      </w:r>
      <w:proofErr w:type="spellStart"/>
      <w:r w:rsidR="001F5001" w:rsidRPr="00F86117">
        <w:rPr>
          <w:rFonts w:asciiTheme="minorHAnsi" w:eastAsiaTheme="minorHAnsi" w:hAnsiTheme="minorHAnsi" w:cstheme="minorHAnsi"/>
          <w:snapToGrid/>
          <w:szCs w:val="24"/>
        </w:rPr>
        <w:t>nivolumab</w:t>
      </w:r>
      <w:proofErr w:type="spellEnd"/>
      <w:r w:rsidR="00C97706" w:rsidRPr="00F86117">
        <w:rPr>
          <w:rFonts w:asciiTheme="minorHAnsi" w:eastAsiaTheme="minorHAnsi" w:hAnsiTheme="minorHAnsi" w:cstheme="minorHAnsi"/>
          <w:snapToGrid/>
          <w:szCs w:val="24"/>
        </w:rPr>
        <w:t xml:space="preserve">. </w:t>
      </w:r>
      <w:r w:rsidR="00854EBE" w:rsidRPr="00F86117">
        <w:rPr>
          <w:rFonts w:asciiTheme="minorHAnsi" w:eastAsiaTheme="minorHAnsi" w:hAnsiTheme="minorHAnsi" w:cstheme="minorHAnsi"/>
          <w:snapToGrid/>
          <w:szCs w:val="24"/>
        </w:rPr>
        <w:t>However,</w:t>
      </w:r>
      <w:r w:rsidR="00C24AD4" w:rsidRPr="00F86117">
        <w:rPr>
          <w:rFonts w:asciiTheme="minorHAnsi" w:eastAsiaTheme="minorHAnsi" w:hAnsiTheme="minorHAnsi" w:cstheme="minorHAnsi"/>
          <w:snapToGrid/>
          <w:szCs w:val="24"/>
        </w:rPr>
        <w:t xml:space="preserve"> the </w:t>
      </w:r>
      <w:r w:rsidR="007148C9" w:rsidRPr="00F86117">
        <w:rPr>
          <w:rFonts w:asciiTheme="minorHAnsi" w:eastAsiaTheme="minorHAnsi" w:hAnsiTheme="minorHAnsi" w:cstheme="minorHAnsi"/>
          <w:snapToGrid/>
          <w:szCs w:val="24"/>
        </w:rPr>
        <w:t xml:space="preserve">proposed algorithm did not take into account that the </w:t>
      </w:r>
      <w:r w:rsidR="00C24AD4" w:rsidRPr="00F86117">
        <w:rPr>
          <w:rFonts w:asciiTheme="minorHAnsi" w:eastAsiaTheme="minorHAnsi" w:hAnsiTheme="minorHAnsi" w:cstheme="minorHAnsi"/>
          <w:snapToGrid/>
          <w:szCs w:val="24"/>
        </w:rPr>
        <w:t>restrictions for these ‘subsequent treatments’ require patients to have received prior TKI therapy.</w:t>
      </w:r>
      <w:r w:rsidR="00854EBE" w:rsidRPr="00F86117">
        <w:rPr>
          <w:rFonts w:asciiTheme="minorHAnsi" w:eastAsiaTheme="minorHAnsi" w:hAnsiTheme="minorHAnsi" w:cstheme="minorHAnsi"/>
          <w:snapToGrid/>
          <w:szCs w:val="24"/>
        </w:rPr>
        <w:t xml:space="preserve"> </w:t>
      </w:r>
      <w:r w:rsidR="004528A9" w:rsidRPr="00F86117">
        <w:t xml:space="preserve">In its recommendation for the listing of NIVO+IPI, the PBAC recommended an amendment to the PBS restrictions applied to </w:t>
      </w:r>
      <w:proofErr w:type="spellStart"/>
      <w:r w:rsidR="004528A9" w:rsidRPr="00F86117">
        <w:t>axitinib</w:t>
      </w:r>
      <w:proofErr w:type="spellEnd"/>
      <w:r w:rsidR="004528A9" w:rsidRPr="00F86117">
        <w:t xml:space="preserve">, </w:t>
      </w:r>
      <w:proofErr w:type="spellStart"/>
      <w:r w:rsidR="004528A9" w:rsidRPr="00F86117">
        <w:t>cabozantinib</w:t>
      </w:r>
      <w:proofErr w:type="spellEnd"/>
      <w:r w:rsidR="004528A9" w:rsidRPr="00F86117">
        <w:t xml:space="preserve">, </w:t>
      </w:r>
      <w:proofErr w:type="spellStart"/>
      <w:r w:rsidR="004528A9" w:rsidRPr="00F86117">
        <w:t>sorafenib</w:t>
      </w:r>
      <w:proofErr w:type="spellEnd"/>
      <w:r w:rsidR="004528A9" w:rsidRPr="00F86117">
        <w:t xml:space="preserve">, </w:t>
      </w:r>
      <w:proofErr w:type="spellStart"/>
      <w:r w:rsidR="004528A9" w:rsidRPr="00F86117">
        <w:t>everolimus</w:t>
      </w:r>
      <w:proofErr w:type="spellEnd"/>
      <w:r w:rsidR="004528A9" w:rsidRPr="00F86117">
        <w:t xml:space="preserve">, and </w:t>
      </w:r>
      <w:proofErr w:type="spellStart"/>
      <w:r w:rsidR="004528A9" w:rsidRPr="00F86117">
        <w:t>nivolumab</w:t>
      </w:r>
      <w:proofErr w:type="spellEnd"/>
      <w:r w:rsidR="004528A9" w:rsidRPr="00F86117">
        <w:t xml:space="preserve"> monotherapy</w:t>
      </w:r>
      <w:r w:rsidR="004528A9" w:rsidRPr="00F86117" w:rsidDel="002D7014">
        <w:t xml:space="preserve"> </w:t>
      </w:r>
      <w:r w:rsidR="004528A9" w:rsidRPr="00F86117">
        <w:t>to remove the requirement for the prior TKI therapy to have been in the first-line setting</w:t>
      </w:r>
      <w:r w:rsidR="00E54CC3" w:rsidRPr="00F86117">
        <w:t xml:space="preserve"> (NIVO+IPI PSD November 2018, paragraph</w:t>
      </w:r>
      <w:r w:rsidR="00854EBE" w:rsidRPr="00F86117">
        <w:t>s</w:t>
      </w:r>
      <w:r w:rsidR="00E54CC3" w:rsidRPr="00F86117">
        <w:t xml:space="preserve"> 2.10</w:t>
      </w:r>
      <w:r w:rsidR="00854EBE" w:rsidRPr="00F86117">
        <w:t xml:space="preserve"> and 6.5</w:t>
      </w:r>
      <w:r w:rsidR="00E54CC3" w:rsidRPr="00F86117">
        <w:t>)</w:t>
      </w:r>
      <w:r w:rsidR="004528A9" w:rsidRPr="00F86117">
        <w:t xml:space="preserve">. Essentially, this means that patients are able to receive these therapies </w:t>
      </w:r>
      <w:r w:rsidR="00C24AD4" w:rsidRPr="00F86117">
        <w:t>(</w:t>
      </w:r>
      <w:proofErr w:type="spellStart"/>
      <w:r w:rsidR="00C24AD4" w:rsidRPr="00F86117">
        <w:t>everolimus</w:t>
      </w:r>
      <w:proofErr w:type="spellEnd"/>
      <w:r w:rsidR="00C24AD4" w:rsidRPr="00F86117">
        <w:t xml:space="preserve">, </w:t>
      </w:r>
      <w:proofErr w:type="spellStart"/>
      <w:r w:rsidR="00C24AD4" w:rsidRPr="00F86117">
        <w:t>sorafenib</w:t>
      </w:r>
      <w:proofErr w:type="spellEnd"/>
      <w:r w:rsidR="00C24AD4" w:rsidRPr="00F86117">
        <w:t xml:space="preserve">, </w:t>
      </w:r>
      <w:proofErr w:type="spellStart"/>
      <w:r w:rsidR="00C24AD4" w:rsidRPr="00F86117">
        <w:t>cabozantinib</w:t>
      </w:r>
      <w:proofErr w:type="spellEnd"/>
      <w:r w:rsidR="00543ED8" w:rsidRPr="00F86117">
        <w:t xml:space="preserve"> and</w:t>
      </w:r>
      <w:r w:rsidR="00C24AD4" w:rsidRPr="00F86117">
        <w:t xml:space="preserve"> </w:t>
      </w:r>
      <w:proofErr w:type="spellStart"/>
      <w:r w:rsidR="00C24AD4" w:rsidRPr="00F86117">
        <w:t>axitinib</w:t>
      </w:r>
      <w:proofErr w:type="spellEnd"/>
      <w:r w:rsidR="00C24AD4" w:rsidRPr="00F86117">
        <w:t xml:space="preserve">) </w:t>
      </w:r>
      <w:r w:rsidR="00854EBE" w:rsidRPr="00F86117">
        <w:t xml:space="preserve">either: </w:t>
      </w:r>
    </w:p>
    <w:p w:rsidR="007B1AE5" w:rsidRPr="00F86117" w:rsidRDefault="0003785F" w:rsidP="0061386A">
      <w:pPr>
        <w:pStyle w:val="ListParagraph"/>
        <w:widowControl/>
        <w:numPr>
          <w:ilvl w:val="0"/>
          <w:numId w:val="19"/>
        </w:numPr>
        <w:spacing w:before="120"/>
      </w:pPr>
      <w:r w:rsidRPr="00F86117">
        <w:t>in the second-line setting following first-line TKI (</w:t>
      </w:r>
      <w:proofErr w:type="spellStart"/>
      <w:r w:rsidRPr="00F86117">
        <w:t>sunitinib</w:t>
      </w:r>
      <w:proofErr w:type="spellEnd"/>
      <w:r w:rsidRPr="00F86117">
        <w:t xml:space="preserve"> or </w:t>
      </w:r>
      <w:proofErr w:type="spellStart"/>
      <w:r w:rsidRPr="00F86117">
        <w:t>pazopanib</w:t>
      </w:r>
      <w:proofErr w:type="spellEnd"/>
      <w:r w:rsidRPr="00F86117">
        <w:t xml:space="preserve">); or </w:t>
      </w:r>
    </w:p>
    <w:p w:rsidR="00C24AD4" w:rsidRPr="00F86117" w:rsidRDefault="004528A9" w:rsidP="0061386A">
      <w:pPr>
        <w:pStyle w:val="ListParagraph"/>
        <w:widowControl/>
        <w:numPr>
          <w:ilvl w:val="0"/>
          <w:numId w:val="19"/>
        </w:numPr>
        <w:spacing w:before="120"/>
      </w:pPr>
      <w:proofErr w:type="gramStart"/>
      <w:r w:rsidRPr="00F86117">
        <w:t>in</w:t>
      </w:r>
      <w:proofErr w:type="gramEnd"/>
      <w:r w:rsidRPr="00F86117">
        <w:t xml:space="preserve"> the third-line setting following a second-line TKI (</w:t>
      </w:r>
      <w:proofErr w:type="spellStart"/>
      <w:r w:rsidRPr="00F86117">
        <w:t>sunitinib</w:t>
      </w:r>
      <w:proofErr w:type="spellEnd"/>
      <w:r w:rsidRPr="00F86117">
        <w:t xml:space="preserve"> or </w:t>
      </w:r>
      <w:proofErr w:type="spellStart"/>
      <w:r w:rsidRPr="00F86117">
        <w:t>pazopanib</w:t>
      </w:r>
      <w:proofErr w:type="spellEnd"/>
      <w:r w:rsidRPr="00F86117">
        <w:t xml:space="preserve">) and first-line NIVO+IPI. </w:t>
      </w:r>
    </w:p>
    <w:p w:rsidR="00674F0B" w:rsidRPr="00F86117" w:rsidRDefault="004528A9" w:rsidP="0061386A">
      <w:pPr>
        <w:pStyle w:val="ListParagraph"/>
        <w:widowControl/>
        <w:numPr>
          <w:ilvl w:val="1"/>
          <w:numId w:val="2"/>
        </w:numPr>
        <w:spacing w:before="120"/>
      </w:pPr>
      <w:r w:rsidRPr="00F86117">
        <w:t>The PBAC noted that with</w:t>
      </w:r>
      <w:r w:rsidR="00C24AD4" w:rsidRPr="00F86117">
        <w:t xml:space="preserve"> the</w:t>
      </w:r>
      <w:r w:rsidRPr="00F86117">
        <w:t xml:space="preserve"> recent PBS listing of NIVO+IPI in first line RCC the current clinical place for </w:t>
      </w:r>
      <w:proofErr w:type="spellStart"/>
      <w:r w:rsidRPr="00F86117">
        <w:t>cabozantinib</w:t>
      </w:r>
      <w:proofErr w:type="spellEnd"/>
      <w:r w:rsidR="008D6C3F" w:rsidRPr="00F86117">
        <w:t xml:space="preserve"> (under the existing listing)</w:t>
      </w:r>
      <w:r w:rsidRPr="00F86117">
        <w:t>, for m</w:t>
      </w:r>
      <w:r w:rsidR="007B1AE5" w:rsidRPr="00F86117">
        <w:t>any</w:t>
      </w:r>
      <w:r w:rsidRPr="00F86117">
        <w:t xml:space="preserve"> patients, is in the third</w:t>
      </w:r>
      <w:r w:rsidR="006A3092" w:rsidRPr="00F86117">
        <w:t>-</w:t>
      </w:r>
      <w:r w:rsidRPr="00F86117">
        <w:t>line setting after NIVO+IPI followed by second</w:t>
      </w:r>
      <w:r w:rsidR="006A3092" w:rsidRPr="00F86117">
        <w:t>-</w:t>
      </w:r>
      <w:r w:rsidRPr="00F86117">
        <w:t xml:space="preserve">line </w:t>
      </w:r>
      <w:proofErr w:type="spellStart"/>
      <w:r w:rsidRPr="00F86117">
        <w:t>sunitinib</w:t>
      </w:r>
      <w:proofErr w:type="spellEnd"/>
      <w:r w:rsidRPr="00F86117">
        <w:t xml:space="preserve"> or </w:t>
      </w:r>
      <w:proofErr w:type="spellStart"/>
      <w:r w:rsidRPr="00F86117">
        <w:t>pazopanib</w:t>
      </w:r>
      <w:proofErr w:type="spellEnd"/>
      <w:r w:rsidRPr="00F86117">
        <w:t xml:space="preserve">. </w:t>
      </w:r>
      <w:r w:rsidR="00674F0B" w:rsidRPr="00F86117">
        <w:t xml:space="preserve">The pre-PBAC response noted that patients with poor risk status who progress on NIVO+IPI are not eligible for treatment with subsequent </w:t>
      </w:r>
      <w:proofErr w:type="spellStart"/>
      <w:r w:rsidR="00674F0B" w:rsidRPr="00F86117">
        <w:t>sunitinib</w:t>
      </w:r>
      <w:proofErr w:type="spellEnd"/>
      <w:r w:rsidR="00674F0B" w:rsidRPr="00F86117">
        <w:t xml:space="preserve"> or </w:t>
      </w:r>
      <w:proofErr w:type="spellStart"/>
      <w:r w:rsidR="00674F0B" w:rsidRPr="00F86117">
        <w:t>pazopanib</w:t>
      </w:r>
      <w:proofErr w:type="spellEnd"/>
      <w:r w:rsidR="00674F0B" w:rsidRPr="00F86117">
        <w:t xml:space="preserve"> under the </w:t>
      </w:r>
      <w:r w:rsidR="00674F0B" w:rsidRPr="00F86117">
        <w:lastRenderedPageBreak/>
        <w:t xml:space="preserve">current restrictions </w:t>
      </w:r>
      <w:r w:rsidR="00E45219" w:rsidRPr="00F86117">
        <w:t>(</w:t>
      </w:r>
      <w:r w:rsidR="00E671BD" w:rsidRPr="00F86117">
        <w:t xml:space="preserve">as </w:t>
      </w:r>
      <w:proofErr w:type="spellStart"/>
      <w:r w:rsidR="00E671BD" w:rsidRPr="00F86117">
        <w:t>sunitinib</w:t>
      </w:r>
      <w:proofErr w:type="spellEnd"/>
      <w:r w:rsidR="00E671BD" w:rsidRPr="00F86117">
        <w:t xml:space="preserve"> and </w:t>
      </w:r>
      <w:proofErr w:type="spellStart"/>
      <w:r w:rsidR="00E671BD" w:rsidRPr="00F86117">
        <w:t>pazopanib</w:t>
      </w:r>
      <w:proofErr w:type="spellEnd"/>
      <w:r w:rsidR="00E671BD" w:rsidRPr="00F86117">
        <w:t xml:space="preserve"> ar</w:t>
      </w:r>
      <w:r w:rsidR="00E45219" w:rsidRPr="00F86117">
        <w:t>e</w:t>
      </w:r>
      <w:r w:rsidR="00E671BD" w:rsidRPr="00F86117">
        <w:t xml:space="preserve"> PBS-listed in</w:t>
      </w:r>
      <w:r w:rsidR="00E45219" w:rsidRPr="00F86117">
        <w:t xml:space="preserve"> </w:t>
      </w:r>
      <w:r w:rsidR="006A3092" w:rsidRPr="00F86117">
        <w:t xml:space="preserve">patients with favourable to intermediate risk only); </w:t>
      </w:r>
      <w:r w:rsidR="00191957" w:rsidRPr="00F86117">
        <w:t xml:space="preserve">thus </w:t>
      </w:r>
      <w:r w:rsidR="006A3092" w:rsidRPr="00F86117">
        <w:t>poor risk patients</w:t>
      </w:r>
      <w:r w:rsidR="00674F0B" w:rsidRPr="00F86117">
        <w:t xml:space="preserve"> are only</w:t>
      </w:r>
      <w:r w:rsidR="007B116F" w:rsidRPr="00F86117">
        <w:t xml:space="preserve"> eligible for treatment with </w:t>
      </w:r>
      <w:r w:rsidR="007148C9" w:rsidRPr="00F86117">
        <w:t>‘later-</w:t>
      </w:r>
      <w:r w:rsidR="00674F0B" w:rsidRPr="00F86117">
        <w:t>line</w:t>
      </w:r>
      <w:r w:rsidR="007148C9" w:rsidRPr="00F86117">
        <w:t>’</w:t>
      </w:r>
      <w:r w:rsidR="00674F0B" w:rsidRPr="00F86117">
        <w:t xml:space="preserve"> TKIs (such as </w:t>
      </w:r>
      <w:proofErr w:type="spellStart"/>
      <w:r w:rsidR="00674F0B" w:rsidRPr="00F86117">
        <w:t>cabozantinib</w:t>
      </w:r>
      <w:proofErr w:type="spellEnd"/>
      <w:r w:rsidR="0013713A" w:rsidRPr="00F86117">
        <w:t>)</w:t>
      </w:r>
      <w:r w:rsidR="00674F0B" w:rsidRPr="00F86117">
        <w:t xml:space="preserve"> if they</w:t>
      </w:r>
      <w:r w:rsidR="0013713A" w:rsidRPr="00F86117">
        <w:t xml:space="preserve"> have</w:t>
      </w:r>
      <w:r w:rsidR="00674F0B" w:rsidRPr="00F86117">
        <w:t xml:space="preserve"> receive</w:t>
      </w:r>
      <w:r w:rsidR="0013713A" w:rsidRPr="00F86117">
        <w:t>d</w:t>
      </w:r>
      <w:r w:rsidR="00674F0B" w:rsidRPr="00F86117">
        <w:t xml:space="preserve"> </w:t>
      </w:r>
      <w:r w:rsidR="006A3092" w:rsidRPr="00F86117">
        <w:t xml:space="preserve">prior </w:t>
      </w:r>
      <w:proofErr w:type="spellStart"/>
      <w:r w:rsidR="00674F0B" w:rsidRPr="00F86117">
        <w:t>sunitinib</w:t>
      </w:r>
      <w:proofErr w:type="spellEnd"/>
      <w:r w:rsidR="00674F0B" w:rsidRPr="00F86117">
        <w:t xml:space="preserve"> or </w:t>
      </w:r>
      <w:proofErr w:type="spellStart"/>
      <w:r w:rsidR="00674F0B" w:rsidRPr="00F86117">
        <w:t>pazopanib</w:t>
      </w:r>
      <w:proofErr w:type="spellEnd"/>
      <w:r w:rsidR="00674F0B" w:rsidRPr="00F86117">
        <w:t xml:space="preserve"> despite being outside the restriction</w:t>
      </w:r>
      <w:r w:rsidR="007B116F" w:rsidRPr="00F86117">
        <w:t xml:space="preserve"> criteria</w:t>
      </w:r>
      <w:r w:rsidR="00674F0B" w:rsidRPr="00F86117">
        <w:t xml:space="preserve">. </w:t>
      </w:r>
      <w:r w:rsidR="006A3092" w:rsidRPr="00F86117">
        <w:t xml:space="preserve">The PBAC </w:t>
      </w:r>
      <w:r w:rsidR="00191957" w:rsidRPr="00F86117">
        <w:t xml:space="preserve">noted that the requirement for </w:t>
      </w:r>
      <w:proofErr w:type="spellStart"/>
      <w:r w:rsidR="00191957" w:rsidRPr="00F86117">
        <w:t>cabozantinib</w:t>
      </w:r>
      <w:proofErr w:type="spellEnd"/>
      <w:r w:rsidR="00191957" w:rsidRPr="00F86117">
        <w:t>, under the existing restriction, to be used post-TKI was based on the evidence presented in that submission, the METEOR trial, which enrolled</w:t>
      </w:r>
      <w:r w:rsidR="007B1AE5" w:rsidRPr="00F86117">
        <w:t xml:space="preserve"> patients who had received prior </w:t>
      </w:r>
      <w:r w:rsidR="002C35E6" w:rsidRPr="00F86117">
        <w:t xml:space="preserve">(VEGFR-targeted) </w:t>
      </w:r>
      <w:r w:rsidR="007B1AE5" w:rsidRPr="00F86117">
        <w:t>TKI therapy</w:t>
      </w:r>
      <w:r w:rsidR="00191957" w:rsidRPr="00F86117">
        <w:t>.</w:t>
      </w:r>
      <w:r w:rsidR="00674F0B" w:rsidRPr="00F86117">
        <w:t xml:space="preserve"> </w:t>
      </w:r>
    </w:p>
    <w:p w:rsidR="003B67D0" w:rsidRPr="00F86117" w:rsidRDefault="00674F0B" w:rsidP="0061386A">
      <w:pPr>
        <w:pStyle w:val="ListParagraph"/>
        <w:widowControl/>
        <w:numPr>
          <w:ilvl w:val="1"/>
          <w:numId w:val="2"/>
        </w:numPr>
        <w:spacing w:before="120"/>
        <w:rPr>
          <w:rFonts w:asciiTheme="minorHAnsi" w:eastAsiaTheme="minorHAnsi" w:hAnsiTheme="minorHAnsi" w:cstheme="minorHAnsi"/>
          <w:snapToGrid/>
          <w:szCs w:val="24"/>
        </w:rPr>
      </w:pPr>
      <w:r w:rsidRPr="00F86117">
        <w:rPr>
          <w:rFonts w:asciiTheme="minorHAnsi" w:eastAsiaTheme="minorHAnsi" w:hAnsiTheme="minorHAnsi" w:cstheme="minorHAnsi"/>
          <w:snapToGrid/>
          <w:szCs w:val="24"/>
        </w:rPr>
        <w:t>The PBAC noted clinical evidence</w:t>
      </w:r>
      <w:r w:rsidR="00A32910" w:rsidRPr="00F86117">
        <w:rPr>
          <w:rFonts w:asciiTheme="minorHAnsi" w:eastAsiaTheme="minorHAnsi" w:hAnsiTheme="minorHAnsi" w:cstheme="minorHAnsi"/>
          <w:snapToGrid/>
          <w:szCs w:val="24"/>
        </w:rPr>
        <w:t xml:space="preserve"> is</w:t>
      </w:r>
      <w:r w:rsidRPr="00F86117">
        <w:rPr>
          <w:rFonts w:asciiTheme="minorHAnsi" w:eastAsiaTheme="minorHAnsi" w:hAnsiTheme="minorHAnsi" w:cstheme="minorHAnsi"/>
          <w:snapToGrid/>
          <w:szCs w:val="24"/>
        </w:rPr>
        <w:t xml:space="preserve"> available for other first-line </w:t>
      </w:r>
      <w:r w:rsidR="008F29DE" w:rsidRPr="00F86117">
        <w:rPr>
          <w:rFonts w:asciiTheme="minorHAnsi" w:eastAsiaTheme="minorHAnsi" w:hAnsiTheme="minorHAnsi" w:cstheme="minorHAnsi"/>
          <w:snapToGrid/>
          <w:szCs w:val="24"/>
        </w:rPr>
        <w:t xml:space="preserve">combination </w:t>
      </w:r>
      <w:r w:rsidRPr="00F86117">
        <w:rPr>
          <w:rFonts w:asciiTheme="minorHAnsi" w:eastAsiaTheme="minorHAnsi" w:hAnsiTheme="minorHAnsi" w:cstheme="minorHAnsi"/>
          <w:snapToGrid/>
          <w:szCs w:val="24"/>
        </w:rPr>
        <w:t xml:space="preserve">regimens </w:t>
      </w:r>
      <w:r w:rsidR="008F29DE" w:rsidRPr="00F86117">
        <w:rPr>
          <w:rFonts w:asciiTheme="minorHAnsi" w:eastAsiaTheme="minorHAnsi" w:hAnsiTheme="minorHAnsi" w:cstheme="minorHAnsi"/>
          <w:snapToGrid/>
          <w:szCs w:val="24"/>
        </w:rPr>
        <w:t xml:space="preserve">showing survival benefit over </w:t>
      </w:r>
      <w:proofErr w:type="spellStart"/>
      <w:r w:rsidR="008F29DE" w:rsidRPr="00F86117">
        <w:rPr>
          <w:rFonts w:asciiTheme="minorHAnsi" w:eastAsiaTheme="minorHAnsi" w:hAnsiTheme="minorHAnsi" w:cstheme="minorHAnsi"/>
          <w:snapToGrid/>
          <w:szCs w:val="24"/>
        </w:rPr>
        <w:t>sunitinib</w:t>
      </w:r>
      <w:proofErr w:type="spellEnd"/>
      <w:r w:rsidR="008F29DE" w:rsidRPr="00F86117">
        <w:rPr>
          <w:rFonts w:asciiTheme="minorHAnsi" w:eastAsiaTheme="minorHAnsi" w:hAnsiTheme="minorHAnsi" w:cstheme="minorHAnsi"/>
          <w:snapToGrid/>
          <w:szCs w:val="24"/>
        </w:rPr>
        <w:t xml:space="preserve">, </w:t>
      </w:r>
      <w:r w:rsidRPr="00F86117">
        <w:rPr>
          <w:rFonts w:asciiTheme="minorHAnsi" w:eastAsiaTheme="minorHAnsi" w:hAnsiTheme="minorHAnsi" w:cstheme="minorHAnsi"/>
          <w:snapToGrid/>
          <w:szCs w:val="24"/>
        </w:rPr>
        <w:t xml:space="preserve">such as </w:t>
      </w:r>
      <w:proofErr w:type="spellStart"/>
      <w:r w:rsidRPr="00F86117">
        <w:rPr>
          <w:rFonts w:asciiTheme="minorHAnsi" w:eastAsiaTheme="minorHAnsi" w:hAnsiTheme="minorHAnsi" w:cstheme="minorHAnsi"/>
          <w:snapToGrid/>
          <w:szCs w:val="24"/>
        </w:rPr>
        <w:t>axitinib</w:t>
      </w:r>
      <w:proofErr w:type="spellEnd"/>
      <w:r w:rsidRPr="00F86117">
        <w:rPr>
          <w:rFonts w:asciiTheme="minorHAnsi" w:eastAsiaTheme="minorHAnsi" w:hAnsiTheme="minorHAnsi" w:cstheme="minorHAnsi"/>
          <w:snapToGrid/>
          <w:szCs w:val="24"/>
        </w:rPr>
        <w:t xml:space="preserve"> + </w:t>
      </w:r>
      <w:proofErr w:type="spellStart"/>
      <w:r w:rsidRPr="00F86117">
        <w:rPr>
          <w:rFonts w:asciiTheme="minorHAnsi" w:eastAsiaTheme="minorHAnsi" w:hAnsiTheme="minorHAnsi" w:cstheme="minorHAnsi"/>
          <w:snapToGrid/>
          <w:szCs w:val="24"/>
        </w:rPr>
        <w:t>pembrolizumab</w:t>
      </w:r>
      <w:proofErr w:type="spellEnd"/>
      <w:r w:rsidR="008F29DE" w:rsidRPr="00F86117">
        <w:rPr>
          <w:rStyle w:val="FootnoteReference"/>
          <w:rFonts w:asciiTheme="minorHAnsi" w:eastAsiaTheme="minorHAnsi" w:hAnsiTheme="minorHAnsi" w:cstheme="minorHAnsi"/>
          <w:snapToGrid/>
          <w:szCs w:val="24"/>
        </w:rPr>
        <w:footnoteReference w:id="1"/>
      </w:r>
      <w:r w:rsidR="008F29DE" w:rsidRPr="00F86117">
        <w:rPr>
          <w:rFonts w:asciiTheme="minorHAnsi" w:eastAsiaTheme="minorHAnsi" w:hAnsiTheme="minorHAnsi" w:cstheme="minorHAnsi"/>
          <w:snapToGrid/>
          <w:szCs w:val="24"/>
        </w:rPr>
        <w:t xml:space="preserve"> and others demonstrating PFS benefit over </w:t>
      </w:r>
      <w:proofErr w:type="spellStart"/>
      <w:r w:rsidR="008F29DE" w:rsidRPr="00F86117">
        <w:rPr>
          <w:rFonts w:asciiTheme="minorHAnsi" w:eastAsiaTheme="minorHAnsi" w:hAnsiTheme="minorHAnsi" w:cstheme="minorHAnsi"/>
          <w:snapToGrid/>
          <w:szCs w:val="24"/>
        </w:rPr>
        <w:t>sunitinib</w:t>
      </w:r>
      <w:proofErr w:type="spellEnd"/>
      <w:r w:rsidR="008F29DE" w:rsidRPr="00F86117">
        <w:rPr>
          <w:rFonts w:asciiTheme="minorHAnsi" w:eastAsiaTheme="minorHAnsi" w:hAnsiTheme="minorHAnsi" w:cstheme="minorHAnsi"/>
          <w:snapToGrid/>
          <w:szCs w:val="24"/>
        </w:rPr>
        <w:t xml:space="preserve">, such as </w:t>
      </w:r>
      <w:proofErr w:type="spellStart"/>
      <w:r w:rsidR="008F29DE" w:rsidRPr="00F86117">
        <w:rPr>
          <w:rFonts w:asciiTheme="minorHAnsi" w:eastAsiaTheme="minorHAnsi" w:hAnsiTheme="minorHAnsi" w:cstheme="minorHAnsi"/>
          <w:snapToGrid/>
          <w:szCs w:val="24"/>
        </w:rPr>
        <w:t>axitinib</w:t>
      </w:r>
      <w:proofErr w:type="spellEnd"/>
      <w:r w:rsidR="008F29DE" w:rsidRPr="00F86117">
        <w:rPr>
          <w:rFonts w:asciiTheme="minorHAnsi" w:eastAsiaTheme="minorHAnsi" w:hAnsiTheme="minorHAnsi" w:cstheme="minorHAnsi"/>
          <w:snapToGrid/>
          <w:szCs w:val="24"/>
        </w:rPr>
        <w:t xml:space="preserve"> + </w:t>
      </w:r>
      <w:proofErr w:type="spellStart"/>
      <w:r w:rsidR="008F29DE" w:rsidRPr="00F86117">
        <w:rPr>
          <w:rFonts w:asciiTheme="minorHAnsi" w:eastAsiaTheme="minorHAnsi" w:hAnsiTheme="minorHAnsi" w:cstheme="minorHAnsi"/>
          <w:snapToGrid/>
          <w:szCs w:val="24"/>
        </w:rPr>
        <w:t>avelumab</w:t>
      </w:r>
      <w:proofErr w:type="spellEnd"/>
      <w:r w:rsidR="008C242F" w:rsidRPr="00F86117">
        <w:rPr>
          <w:rStyle w:val="FootnoteReference"/>
          <w:rFonts w:asciiTheme="minorHAnsi" w:eastAsiaTheme="minorHAnsi" w:hAnsiTheme="minorHAnsi" w:cstheme="minorHAnsi"/>
          <w:snapToGrid/>
          <w:szCs w:val="24"/>
        </w:rPr>
        <w:footnoteReference w:id="2"/>
      </w:r>
      <w:r w:rsidR="008F29DE" w:rsidRPr="00F86117">
        <w:rPr>
          <w:rFonts w:asciiTheme="minorHAnsi" w:eastAsiaTheme="minorHAnsi" w:hAnsiTheme="minorHAnsi" w:cstheme="minorHAnsi"/>
          <w:snapToGrid/>
          <w:szCs w:val="24"/>
        </w:rPr>
        <w:t xml:space="preserve"> and bevacizumab + </w:t>
      </w:r>
      <w:proofErr w:type="spellStart"/>
      <w:r w:rsidR="008F29DE" w:rsidRPr="00F86117">
        <w:rPr>
          <w:rFonts w:asciiTheme="minorHAnsi" w:eastAsiaTheme="minorHAnsi" w:hAnsiTheme="minorHAnsi" w:cstheme="minorHAnsi"/>
          <w:snapToGrid/>
          <w:szCs w:val="24"/>
        </w:rPr>
        <w:t>atezolizumab</w:t>
      </w:r>
      <w:proofErr w:type="spellEnd"/>
      <w:r w:rsidR="00D376A9" w:rsidRPr="00F86117">
        <w:rPr>
          <w:rStyle w:val="FootnoteReference"/>
          <w:rFonts w:asciiTheme="minorHAnsi" w:eastAsiaTheme="minorHAnsi" w:hAnsiTheme="minorHAnsi" w:cstheme="minorHAnsi"/>
          <w:snapToGrid/>
          <w:szCs w:val="24"/>
        </w:rPr>
        <w:footnoteReference w:id="3"/>
      </w:r>
      <w:r w:rsidR="00A32910" w:rsidRPr="00F86117">
        <w:rPr>
          <w:rFonts w:asciiTheme="minorHAnsi" w:eastAsiaTheme="minorHAnsi" w:hAnsiTheme="minorHAnsi" w:cstheme="minorHAnsi"/>
          <w:snapToGrid/>
          <w:szCs w:val="24"/>
        </w:rPr>
        <w:t xml:space="preserve"> along with other regimens </w:t>
      </w:r>
      <w:r w:rsidR="00D376A9" w:rsidRPr="00F86117">
        <w:rPr>
          <w:rFonts w:asciiTheme="minorHAnsi" w:eastAsiaTheme="minorHAnsi" w:hAnsiTheme="minorHAnsi" w:cstheme="minorHAnsi"/>
          <w:snapToGrid/>
          <w:szCs w:val="24"/>
        </w:rPr>
        <w:t xml:space="preserve">currently </w:t>
      </w:r>
      <w:r w:rsidR="00C447F6" w:rsidRPr="00F86117">
        <w:rPr>
          <w:rFonts w:asciiTheme="minorHAnsi" w:eastAsiaTheme="minorHAnsi" w:hAnsiTheme="minorHAnsi" w:cstheme="minorHAnsi"/>
          <w:snapToGrid/>
          <w:szCs w:val="24"/>
        </w:rPr>
        <w:t>being studied</w:t>
      </w:r>
      <w:r w:rsidR="00D376A9" w:rsidRPr="00F86117">
        <w:rPr>
          <w:rFonts w:asciiTheme="minorHAnsi" w:eastAsiaTheme="minorHAnsi" w:hAnsiTheme="minorHAnsi" w:cstheme="minorHAnsi"/>
          <w:snapToGrid/>
          <w:szCs w:val="24"/>
        </w:rPr>
        <w:t xml:space="preserve">. </w:t>
      </w:r>
    </w:p>
    <w:p w:rsidR="00A72B69" w:rsidRPr="00F86117" w:rsidRDefault="00A72B69" w:rsidP="0061386A">
      <w:pPr>
        <w:pStyle w:val="BodyText"/>
        <w:spacing w:before="120" w:after="120"/>
        <w:rPr>
          <w:i/>
        </w:rPr>
      </w:pPr>
      <w:r w:rsidRPr="00F86117">
        <w:rPr>
          <w:i/>
        </w:rPr>
        <w:t>For more detail on PBAC’s view, see section 7 PBAC outcome.</w:t>
      </w:r>
    </w:p>
    <w:p w:rsidR="00BB433C" w:rsidRPr="00F86117" w:rsidRDefault="00BB433C" w:rsidP="0061386A">
      <w:pPr>
        <w:pStyle w:val="Heading1"/>
        <w:spacing w:before="120"/>
      </w:pPr>
      <w:bookmarkStart w:id="12" w:name="_Toc371170703"/>
      <w:bookmarkStart w:id="13" w:name="_Toc536002939"/>
      <w:bookmarkStart w:id="14" w:name="_Toc536023491"/>
      <w:r w:rsidRPr="00F86117">
        <w:t>Comparator</w:t>
      </w:r>
      <w:bookmarkEnd w:id="12"/>
      <w:bookmarkEnd w:id="13"/>
      <w:bookmarkEnd w:id="14"/>
    </w:p>
    <w:p w:rsidR="00BB433C" w:rsidRPr="00F86117" w:rsidRDefault="00BB433C" w:rsidP="0061386A">
      <w:pPr>
        <w:pStyle w:val="ListParagraph"/>
        <w:widowControl/>
        <w:numPr>
          <w:ilvl w:val="1"/>
          <w:numId w:val="2"/>
        </w:numPr>
        <w:spacing w:before="120"/>
      </w:pPr>
      <w:r w:rsidRPr="00F86117">
        <w:t xml:space="preserve">The submission nominated </w:t>
      </w:r>
      <w:proofErr w:type="spellStart"/>
      <w:r w:rsidRPr="00F86117">
        <w:t>sunitinib</w:t>
      </w:r>
      <w:proofErr w:type="spellEnd"/>
      <w:r w:rsidRPr="00F86117">
        <w:t xml:space="preserve"> as the main comparator on the basis that it was the market leader in the first-line treatment of patients with Stage IV RCC who are capable of receiving systemic first-line treatment</w:t>
      </w:r>
      <w:r w:rsidR="00770151" w:rsidRPr="00F86117">
        <w:t xml:space="preserve"> (at the time the submission was made)</w:t>
      </w:r>
      <w:r w:rsidRPr="00F86117">
        <w:t xml:space="preserve">. The submission further argued that </w:t>
      </w:r>
      <w:proofErr w:type="spellStart"/>
      <w:r w:rsidRPr="00F86117">
        <w:t>sunitinib</w:t>
      </w:r>
      <w:proofErr w:type="spellEnd"/>
      <w:r w:rsidRPr="00F86117">
        <w:t xml:space="preserve"> was the first PBS-listed targeted therapy for the treatment of Stage IV, clear cell variant RCC, with </w:t>
      </w:r>
      <w:proofErr w:type="spellStart"/>
      <w:r w:rsidRPr="00F86117">
        <w:t>pazopanib</w:t>
      </w:r>
      <w:proofErr w:type="spellEnd"/>
      <w:r w:rsidRPr="00F86117">
        <w:t xml:space="preserve"> listed on a </w:t>
      </w:r>
      <w:r w:rsidR="00C07B44" w:rsidRPr="00F86117">
        <w:t>non-inferiority</w:t>
      </w:r>
      <w:r w:rsidRPr="00F86117">
        <w:t xml:space="preserve"> basis to </w:t>
      </w:r>
      <w:proofErr w:type="spellStart"/>
      <w:r w:rsidRPr="00F86117">
        <w:t>sunitinib</w:t>
      </w:r>
      <w:proofErr w:type="spellEnd"/>
      <w:r w:rsidRPr="00F86117">
        <w:t xml:space="preserve"> in the first-line setting. </w:t>
      </w:r>
      <w:proofErr w:type="spellStart"/>
      <w:r w:rsidR="001F5F86" w:rsidRPr="00F86117">
        <w:t>P</w:t>
      </w:r>
      <w:r w:rsidR="002112F9" w:rsidRPr="00F86117">
        <w:t>a</w:t>
      </w:r>
      <w:r w:rsidR="001F5F86" w:rsidRPr="00F86117">
        <w:t>z</w:t>
      </w:r>
      <w:r w:rsidR="002112F9" w:rsidRPr="00F86117">
        <w:t>o</w:t>
      </w:r>
      <w:r w:rsidR="001F5F86" w:rsidRPr="00F86117">
        <w:t>panib</w:t>
      </w:r>
      <w:proofErr w:type="spellEnd"/>
      <w:r w:rsidR="001F5F86" w:rsidRPr="00F86117">
        <w:t xml:space="preserve">, as an alternative first-line therapy, remains a relevant comparator but given that </w:t>
      </w:r>
      <w:proofErr w:type="spellStart"/>
      <w:r w:rsidR="001F5F86" w:rsidRPr="00F86117">
        <w:t>p</w:t>
      </w:r>
      <w:r w:rsidR="002112F9" w:rsidRPr="00F86117">
        <w:t>a</w:t>
      </w:r>
      <w:r w:rsidR="001F5F86" w:rsidRPr="00F86117">
        <w:t>z</w:t>
      </w:r>
      <w:r w:rsidR="002112F9" w:rsidRPr="00F86117">
        <w:t>o</w:t>
      </w:r>
      <w:r w:rsidR="001F5F86" w:rsidRPr="00F86117">
        <w:t>panib</w:t>
      </w:r>
      <w:proofErr w:type="spellEnd"/>
      <w:r w:rsidR="001F5F86" w:rsidRPr="00F86117">
        <w:t xml:space="preserve"> was listed on a </w:t>
      </w:r>
      <w:r w:rsidR="00C07B44" w:rsidRPr="00F86117">
        <w:t>non-inferiority</w:t>
      </w:r>
      <w:r w:rsidR="001F5F86" w:rsidRPr="00F86117">
        <w:t xml:space="preserve"> basis with </w:t>
      </w:r>
      <w:proofErr w:type="spellStart"/>
      <w:r w:rsidR="001F5F86" w:rsidRPr="00F86117">
        <w:t>sunitinib</w:t>
      </w:r>
      <w:proofErr w:type="spellEnd"/>
      <w:r w:rsidR="001F5F86" w:rsidRPr="00F86117">
        <w:t xml:space="preserve">, the submission’s approach to the presentation of the evidence was reasonable. </w:t>
      </w:r>
      <w:r w:rsidRPr="00F86117">
        <w:t xml:space="preserve">The implications of using </w:t>
      </w:r>
      <w:proofErr w:type="spellStart"/>
      <w:r w:rsidRPr="00F86117">
        <w:t>pazopanib</w:t>
      </w:r>
      <w:proofErr w:type="spellEnd"/>
      <w:r w:rsidRPr="00F86117">
        <w:t xml:space="preserve"> as a comparator in the economic evaluation w</w:t>
      </w:r>
      <w:r w:rsidR="00E450AE" w:rsidRPr="00F86117">
        <w:t>ere</w:t>
      </w:r>
      <w:r w:rsidRPr="00F86117">
        <w:t xml:space="preserve"> tested in sensitivity analyses</w:t>
      </w:r>
      <w:r w:rsidR="00701B69" w:rsidRPr="00F86117">
        <w:t xml:space="preserve"> by the evaluator</w:t>
      </w:r>
      <w:r w:rsidRPr="00F86117">
        <w:t>.</w:t>
      </w:r>
      <w:r w:rsidR="004F50BE" w:rsidRPr="00F86117">
        <w:t xml:space="preserve"> The ESC agreed with the evaluator that </w:t>
      </w:r>
      <w:proofErr w:type="spellStart"/>
      <w:r w:rsidR="004F50BE" w:rsidRPr="00F86117">
        <w:t>sunitinib</w:t>
      </w:r>
      <w:proofErr w:type="spellEnd"/>
      <w:r w:rsidR="004F50BE" w:rsidRPr="00F86117">
        <w:t xml:space="preserve"> was a reasonable comparator and that it was reasonable as a proxy for </w:t>
      </w:r>
      <w:proofErr w:type="spellStart"/>
      <w:r w:rsidR="004F50BE" w:rsidRPr="00F86117">
        <w:t>pazopanib</w:t>
      </w:r>
      <w:proofErr w:type="spellEnd"/>
      <w:r w:rsidR="004F50BE" w:rsidRPr="00F86117">
        <w:t xml:space="preserve"> in terms of </w:t>
      </w:r>
      <w:r w:rsidR="000456CB" w:rsidRPr="00F86117">
        <w:t xml:space="preserve">the </w:t>
      </w:r>
      <w:r w:rsidR="004F50BE" w:rsidRPr="00F86117">
        <w:t>clinical evidence presented</w:t>
      </w:r>
      <w:r w:rsidR="00F86117">
        <w:t xml:space="preserve">. </w:t>
      </w:r>
    </w:p>
    <w:p w:rsidR="00BB433C" w:rsidRPr="00F86117" w:rsidRDefault="00BB433C" w:rsidP="0061386A">
      <w:pPr>
        <w:pStyle w:val="ListParagraph"/>
        <w:widowControl/>
        <w:numPr>
          <w:ilvl w:val="1"/>
          <w:numId w:val="2"/>
        </w:numPr>
        <w:spacing w:before="120"/>
        <w:rPr>
          <w:i/>
        </w:rPr>
      </w:pPr>
      <w:proofErr w:type="spellStart"/>
      <w:r w:rsidRPr="00F86117">
        <w:t>Sunitinib</w:t>
      </w:r>
      <w:proofErr w:type="spellEnd"/>
      <w:r w:rsidRPr="00F86117">
        <w:t xml:space="preserve"> is listed on the PBS for use in RCC patients of favourable to intermediate risk</w:t>
      </w:r>
      <w:r w:rsidR="00E671BD" w:rsidRPr="00F86117">
        <w:t xml:space="preserve"> (</w:t>
      </w:r>
      <w:r w:rsidR="00701B69" w:rsidRPr="00F86117">
        <w:t>but not in patients at poor risk</w:t>
      </w:r>
      <w:r w:rsidR="00E671BD" w:rsidRPr="00F86117">
        <w:t>), while</w:t>
      </w:r>
      <w:r w:rsidRPr="00F86117">
        <w:t xml:space="preserve"> the proposed restriction for </w:t>
      </w:r>
      <w:proofErr w:type="spellStart"/>
      <w:r w:rsidRPr="00F86117">
        <w:t>cabozantinib</w:t>
      </w:r>
      <w:proofErr w:type="spellEnd"/>
      <w:r w:rsidRPr="00F86117">
        <w:t xml:space="preserve"> is for patients at intermediate to poor risk. </w:t>
      </w:r>
      <w:r w:rsidR="00914163" w:rsidRPr="00F86117">
        <w:t>The PBAC</w:t>
      </w:r>
      <w:r w:rsidR="00E27C53" w:rsidRPr="00F86117">
        <w:t xml:space="preserve"> has previously</w:t>
      </w:r>
      <w:r w:rsidR="00914163" w:rsidRPr="00F86117">
        <w:t xml:space="preserve"> acknowledged that </w:t>
      </w:r>
      <w:proofErr w:type="spellStart"/>
      <w:r w:rsidR="00914163" w:rsidRPr="00F86117">
        <w:t>sunitinib</w:t>
      </w:r>
      <w:proofErr w:type="spellEnd"/>
      <w:r w:rsidR="00914163" w:rsidRPr="00F86117">
        <w:t xml:space="preserve"> (</w:t>
      </w:r>
      <w:r w:rsidR="00DF3627" w:rsidRPr="00F86117">
        <w:t xml:space="preserve">and </w:t>
      </w:r>
      <w:proofErr w:type="spellStart"/>
      <w:r w:rsidR="00914163" w:rsidRPr="00F86117">
        <w:t>pazopanib</w:t>
      </w:r>
      <w:proofErr w:type="spellEnd"/>
      <w:r w:rsidR="00914163" w:rsidRPr="00F86117">
        <w:t xml:space="preserve">) are used in clinical practice </w:t>
      </w:r>
      <w:r w:rsidR="008D0623" w:rsidRPr="00F86117">
        <w:t>in</w:t>
      </w:r>
      <w:r w:rsidR="00914163" w:rsidRPr="00F86117">
        <w:t xml:space="preserve"> patients who are at poor risk and accepted </w:t>
      </w:r>
      <w:proofErr w:type="spellStart"/>
      <w:r w:rsidR="00914163" w:rsidRPr="00F86117">
        <w:t>suni</w:t>
      </w:r>
      <w:r w:rsidR="00E27C53" w:rsidRPr="00F86117">
        <w:t>t</w:t>
      </w:r>
      <w:r w:rsidR="00914163" w:rsidRPr="00F86117">
        <w:t>i</w:t>
      </w:r>
      <w:r w:rsidR="00E27C53" w:rsidRPr="00F86117">
        <w:t>ni</w:t>
      </w:r>
      <w:r w:rsidR="00914163" w:rsidRPr="00F86117">
        <w:t>b</w:t>
      </w:r>
      <w:proofErr w:type="spellEnd"/>
      <w:r w:rsidR="00914163" w:rsidRPr="00F86117">
        <w:t xml:space="preserve"> as the appropriate comparator</w:t>
      </w:r>
      <w:r w:rsidR="00E27C53" w:rsidRPr="00F86117">
        <w:t xml:space="preserve"> in its consideration of </w:t>
      </w:r>
      <w:r w:rsidR="000F5389" w:rsidRPr="00F86117">
        <w:t>NIVO+IPI</w:t>
      </w:r>
      <w:r w:rsidR="0070112B" w:rsidRPr="00F86117">
        <w:t xml:space="preserve"> (</w:t>
      </w:r>
      <w:proofErr w:type="spellStart"/>
      <w:r w:rsidR="0070112B" w:rsidRPr="00F86117">
        <w:t>Nivolumab</w:t>
      </w:r>
      <w:proofErr w:type="spellEnd"/>
      <w:r w:rsidR="0070112B" w:rsidRPr="00F86117">
        <w:t xml:space="preserve"> plus </w:t>
      </w:r>
      <w:proofErr w:type="spellStart"/>
      <w:r w:rsidR="0070112B" w:rsidRPr="00F86117">
        <w:t>ipilimumab</w:t>
      </w:r>
      <w:proofErr w:type="spellEnd"/>
      <w:r w:rsidR="0070112B" w:rsidRPr="00F86117">
        <w:t xml:space="preserve"> PSD July 2018 PBAC)</w:t>
      </w:r>
      <w:r w:rsidR="00914163" w:rsidRPr="00F86117">
        <w:t>.</w:t>
      </w:r>
    </w:p>
    <w:p w:rsidR="00B47DD3" w:rsidRPr="00F86117" w:rsidRDefault="00BB433C" w:rsidP="0061386A">
      <w:pPr>
        <w:pStyle w:val="ListParagraph"/>
        <w:numPr>
          <w:ilvl w:val="1"/>
          <w:numId w:val="2"/>
        </w:numPr>
        <w:spacing w:before="120"/>
      </w:pPr>
      <w:r w:rsidRPr="00F86117">
        <w:t>The submission noted the potential for NIVO+IPI to become available for use in the proposed indication, and thus proposed that regimen as a near market comparator. Th</w:t>
      </w:r>
      <w:r w:rsidR="00B47DD3" w:rsidRPr="00F86117">
        <w:t>e evaluation considered that th</w:t>
      </w:r>
      <w:r w:rsidRPr="00F86117">
        <w:t>is was appropriate</w:t>
      </w:r>
      <w:r w:rsidR="00B47DD3" w:rsidRPr="00F86117">
        <w:t xml:space="preserve"> as</w:t>
      </w:r>
      <w:r w:rsidRPr="00F86117">
        <w:t xml:space="preserve"> NIVO+IPI was recommended </w:t>
      </w:r>
      <w:r w:rsidR="00E671BD" w:rsidRPr="00F86117">
        <w:lastRenderedPageBreak/>
        <w:t xml:space="preserve">in the first-line setting </w:t>
      </w:r>
      <w:r w:rsidRPr="00F86117">
        <w:t xml:space="preserve">at </w:t>
      </w:r>
      <w:r w:rsidR="00E671BD" w:rsidRPr="00F86117">
        <w:t xml:space="preserve">the </w:t>
      </w:r>
      <w:r w:rsidRPr="00F86117">
        <w:t xml:space="preserve">November 2018 </w:t>
      </w:r>
      <w:r w:rsidR="00E5345A" w:rsidRPr="00F86117">
        <w:t xml:space="preserve">PBAC </w:t>
      </w:r>
      <w:r w:rsidRPr="00F86117">
        <w:t>meeting</w:t>
      </w:r>
      <w:r w:rsidR="00073229" w:rsidRPr="00F86117">
        <w:t>.</w:t>
      </w:r>
      <w:r w:rsidR="00B47DD3" w:rsidRPr="00F86117">
        <w:t xml:space="preserve"> </w:t>
      </w:r>
    </w:p>
    <w:p w:rsidR="00A72B69" w:rsidRPr="00F86117" w:rsidRDefault="00A72B69" w:rsidP="0061386A">
      <w:pPr>
        <w:pStyle w:val="BodyText"/>
        <w:spacing w:before="120" w:after="120"/>
        <w:rPr>
          <w:i/>
        </w:rPr>
      </w:pPr>
      <w:r w:rsidRPr="00F86117">
        <w:rPr>
          <w:i/>
        </w:rPr>
        <w:t>For more detail on PBAC’s view, see section 7 PBAC outcome.</w:t>
      </w:r>
    </w:p>
    <w:p w:rsidR="00BB433C" w:rsidRPr="00F86117" w:rsidRDefault="00BB433C" w:rsidP="0061386A">
      <w:pPr>
        <w:pStyle w:val="Heading1"/>
        <w:spacing w:before="120"/>
      </w:pPr>
      <w:bookmarkStart w:id="15" w:name="_Toc371170704"/>
      <w:bookmarkStart w:id="16" w:name="_Toc536002940"/>
      <w:bookmarkStart w:id="17" w:name="_Toc536023492"/>
      <w:r w:rsidRPr="00F86117">
        <w:t>Consideration of the evidence</w:t>
      </w:r>
      <w:bookmarkEnd w:id="15"/>
      <w:bookmarkEnd w:id="16"/>
      <w:bookmarkEnd w:id="17"/>
    </w:p>
    <w:p w:rsidR="00A72B69" w:rsidRPr="00F86117" w:rsidRDefault="00A72B69" w:rsidP="0061386A">
      <w:pPr>
        <w:spacing w:before="120" w:after="120"/>
        <w:outlineLvl w:val="1"/>
        <w:rPr>
          <w:rFonts w:asciiTheme="minorHAnsi" w:hAnsiTheme="minorHAnsi"/>
          <w:b/>
          <w:bCs/>
          <w:i/>
          <w:sz w:val="28"/>
          <w:szCs w:val="28"/>
        </w:rPr>
      </w:pPr>
      <w:bookmarkStart w:id="18" w:name="_Toc371170705"/>
      <w:bookmarkStart w:id="19" w:name="_Toc536002941"/>
      <w:bookmarkStart w:id="20" w:name="_Toc536023493"/>
      <w:r w:rsidRPr="00F86117">
        <w:rPr>
          <w:rFonts w:asciiTheme="minorHAnsi" w:hAnsiTheme="minorHAnsi"/>
          <w:b/>
          <w:bCs/>
          <w:i/>
          <w:sz w:val="28"/>
          <w:szCs w:val="28"/>
        </w:rPr>
        <w:t>Sponsor hearing</w:t>
      </w:r>
    </w:p>
    <w:p w:rsidR="00E5345A" w:rsidRPr="00F86117" w:rsidRDefault="00E47F60" w:rsidP="0061386A">
      <w:pPr>
        <w:numPr>
          <w:ilvl w:val="1"/>
          <w:numId w:val="2"/>
        </w:numPr>
        <w:spacing w:before="120" w:after="120"/>
        <w:rPr>
          <w:rFonts w:asciiTheme="minorHAnsi" w:hAnsiTheme="minorHAnsi"/>
          <w:bCs/>
        </w:rPr>
      </w:pPr>
      <w:r w:rsidRPr="00F86117">
        <w:rPr>
          <w:rFonts w:asciiTheme="minorHAnsi" w:hAnsiTheme="minorHAnsi"/>
          <w:bCs/>
        </w:rPr>
        <w:t xml:space="preserve">The </w:t>
      </w:r>
      <w:r w:rsidR="00A72B69" w:rsidRPr="00F86117">
        <w:rPr>
          <w:rFonts w:asciiTheme="minorHAnsi" w:hAnsiTheme="minorHAnsi"/>
          <w:bCs/>
        </w:rPr>
        <w:t xml:space="preserve">sponsor requested a hearing for this item. The clinician </w:t>
      </w:r>
      <w:r w:rsidRPr="00F86117">
        <w:rPr>
          <w:rFonts w:asciiTheme="minorHAnsi" w:hAnsiTheme="minorHAnsi"/>
          <w:bCs/>
        </w:rPr>
        <w:t xml:space="preserve">discussed the clinical place for </w:t>
      </w:r>
      <w:proofErr w:type="spellStart"/>
      <w:r w:rsidRPr="00F86117">
        <w:rPr>
          <w:rFonts w:asciiTheme="minorHAnsi" w:hAnsiTheme="minorHAnsi"/>
          <w:bCs/>
        </w:rPr>
        <w:t>cabozantinib</w:t>
      </w:r>
      <w:proofErr w:type="spellEnd"/>
      <w:r w:rsidRPr="00F86117">
        <w:rPr>
          <w:rFonts w:asciiTheme="minorHAnsi" w:hAnsiTheme="minorHAnsi"/>
          <w:bCs/>
        </w:rPr>
        <w:t xml:space="preserve"> and the </w:t>
      </w:r>
      <w:r w:rsidR="00E5345A" w:rsidRPr="00F86117">
        <w:rPr>
          <w:rFonts w:asciiTheme="minorHAnsi" w:hAnsiTheme="minorHAnsi"/>
          <w:bCs/>
        </w:rPr>
        <w:t>clinical</w:t>
      </w:r>
      <w:r w:rsidRPr="00F86117">
        <w:rPr>
          <w:rFonts w:asciiTheme="minorHAnsi" w:hAnsiTheme="minorHAnsi"/>
          <w:bCs/>
        </w:rPr>
        <w:t xml:space="preserve"> need for effective first line treatments for patients who are not suitable for NIVO+IPI or who do not tolerate treatment with NIVO+IPI.</w:t>
      </w:r>
      <w:r w:rsidR="00E5345A" w:rsidRPr="00F86117">
        <w:rPr>
          <w:rFonts w:asciiTheme="minorHAnsi" w:hAnsiTheme="minorHAnsi"/>
          <w:bCs/>
        </w:rPr>
        <w:t xml:space="preserve"> The clinician addressed questions from the PBAC regarding the availability of trial data for newer combination therapies in first-line RCC, and </w:t>
      </w:r>
      <w:r w:rsidR="00825636" w:rsidRPr="00F86117">
        <w:rPr>
          <w:rFonts w:asciiTheme="minorHAnsi" w:hAnsiTheme="minorHAnsi"/>
          <w:bCs/>
        </w:rPr>
        <w:t xml:space="preserve">stated </w:t>
      </w:r>
      <w:r w:rsidR="00E5345A" w:rsidRPr="00F86117">
        <w:rPr>
          <w:rFonts w:asciiTheme="minorHAnsi" w:hAnsiTheme="minorHAnsi"/>
          <w:bCs/>
        </w:rPr>
        <w:t xml:space="preserve">that regardless of the availability of other immunotherapies, there will always be </w:t>
      </w:r>
      <w:r w:rsidR="00825636" w:rsidRPr="00F86117">
        <w:rPr>
          <w:rFonts w:asciiTheme="minorHAnsi" w:hAnsiTheme="minorHAnsi"/>
          <w:bCs/>
        </w:rPr>
        <w:t xml:space="preserve">a proportion of </w:t>
      </w:r>
      <w:r w:rsidR="00E5345A" w:rsidRPr="00F86117">
        <w:rPr>
          <w:rFonts w:asciiTheme="minorHAnsi" w:hAnsiTheme="minorHAnsi"/>
          <w:bCs/>
        </w:rPr>
        <w:t xml:space="preserve">patients </w:t>
      </w:r>
      <w:r w:rsidR="00825636" w:rsidRPr="00F86117">
        <w:rPr>
          <w:rFonts w:asciiTheme="minorHAnsi" w:hAnsiTheme="minorHAnsi"/>
          <w:bCs/>
        </w:rPr>
        <w:t xml:space="preserve">who are </w:t>
      </w:r>
      <w:r w:rsidR="00E5345A" w:rsidRPr="00F86117">
        <w:rPr>
          <w:rFonts w:asciiTheme="minorHAnsi" w:hAnsiTheme="minorHAnsi"/>
          <w:bCs/>
        </w:rPr>
        <w:t xml:space="preserve">not suitable for these treatments. </w:t>
      </w:r>
    </w:p>
    <w:p w:rsidR="00E5345A" w:rsidRPr="00F86117" w:rsidRDefault="00E47F60" w:rsidP="0061386A">
      <w:pPr>
        <w:numPr>
          <w:ilvl w:val="1"/>
          <w:numId w:val="2"/>
        </w:numPr>
        <w:spacing w:before="120" w:after="120"/>
        <w:rPr>
          <w:rFonts w:asciiTheme="minorHAnsi" w:hAnsiTheme="minorHAnsi"/>
          <w:bCs/>
        </w:rPr>
      </w:pPr>
      <w:r w:rsidRPr="00F86117">
        <w:rPr>
          <w:rFonts w:asciiTheme="minorHAnsi" w:hAnsiTheme="minorHAnsi"/>
          <w:bCs/>
        </w:rPr>
        <w:t xml:space="preserve">The clinician </w:t>
      </w:r>
      <w:r w:rsidR="00F42D50">
        <w:rPr>
          <w:rFonts w:asciiTheme="minorHAnsi" w:hAnsiTheme="minorHAnsi"/>
          <w:bCs/>
        </w:rPr>
        <w:t>stat</w:t>
      </w:r>
      <w:r w:rsidR="00E5345A" w:rsidRPr="00F86117">
        <w:rPr>
          <w:rFonts w:asciiTheme="minorHAnsi" w:hAnsiTheme="minorHAnsi"/>
          <w:bCs/>
        </w:rPr>
        <w:t xml:space="preserve">ed that </w:t>
      </w:r>
      <w:proofErr w:type="spellStart"/>
      <w:r w:rsidR="00E5345A" w:rsidRPr="00F86117">
        <w:rPr>
          <w:rFonts w:asciiTheme="minorHAnsi" w:hAnsiTheme="minorHAnsi"/>
          <w:bCs/>
        </w:rPr>
        <w:t>cabozantinib</w:t>
      </w:r>
      <w:proofErr w:type="spellEnd"/>
      <w:r w:rsidR="00E5345A" w:rsidRPr="00F86117">
        <w:rPr>
          <w:rFonts w:asciiTheme="minorHAnsi" w:hAnsiTheme="minorHAnsi"/>
          <w:bCs/>
        </w:rPr>
        <w:t xml:space="preserve"> has superior efficacy to </w:t>
      </w:r>
      <w:proofErr w:type="spellStart"/>
      <w:r w:rsidR="00E5345A" w:rsidRPr="00F86117">
        <w:rPr>
          <w:rFonts w:asciiTheme="minorHAnsi" w:hAnsiTheme="minorHAnsi"/>
          <w:bCs/>
        </w:rPr>
        <w:t>sunitinib</w:t>
      </w:r>
      <w:proofErr w:type="spellEnd"/>
      <w:r w:rsidR="00E5345A" w:rsidRPr="00F86117">
        <w:rPr>
          <w:rFonts w:asciiTheme="minorHAnsi" w:hAnsiTheme="minorHAnsi"/>
          <w:bCs/>
        </w:rPr>
        <w:t xml:space="preserve"> and </w:t>
      </w:r>
      <w:r w:rsidRPr="00F86117">
        <w:rPr>
          <w:rFonts w:asciiTheme="minorHAnsi" w:hAnsiTheme="minorHAnsi"/>
          <w:bCs/>
        </w:rPr>
        <w:t xml:space="preserve">noted that </w:t>
      </w:r>
      <w:r w:rsidR="00AE0970" w:rsidRPr="00F86117">
        <w:rPr>
          <w:rFonts w:asciiTheme="minorHAnsi" w:hAnsiTheme="minorHAnsi"/>
          <w:bCs/>
        </w:rPr>
        <w:t>some</w:t>
      </w:r>
      <w:r w:rsidRPr="00F86117">
        <w:rPr>
          <w:rFonts w:asciiTheme="minorHAnsi" w:hAnsiTheme="minorHAnsi"/>
          <w:bCs/>
        </w:rPr>
        <w:t xml:space="preserve"> patients </w:t>
      </w:r>
      <w:r w:rsidR="00AE0970" w:rsidRPr="00F86117">
        <w:rPr>
          <w:rFonts w:asciiTheme="minorHAnsi" w:hAnsiTheme="minorHAnsi"/>
          <w:bCs/>
        </w:rPr>
        <w:t>do not</w:t>
      </w:r>
      <w:r w:rsidRPr="00F86117">
        <w:rPr>
          <w:rFonts w:asciiTheme="minorHAnsi" w:hAnsiTheme="minorHAnsi"/>
          <w:bCs/>
        </w:rPr>
        <w:t xml:space="preserve"> receive subsequent lines of treatment after progression</w:t>
      </w:r>
      <w:r w:rsidR="00AE0970" w:rsidRPr="00F86117">
        <w:rPr>
          <w:rFonts w:asciiTheme="minorHAnsi" w:hAnsiTheme="minorHAnsi"/>
          <w:bCs/>
        </w:rPr>
        <w:t xml:space="preserve"> </w:t>
      </w:r>
      <w:r w:rsidR="00E5345A" w:rsidRPr="00F86117">
        <w:rPr>
          <w:rFonts w:asciiTheme="minorHAnsi" w:hAnsiTheme="minorHAnsi"/>
          <w:bCs/>
        </w:rPr>
        <w:t xml:space="preserve">(e.g. </w:t>
      </w:r>
      <w:r w:rsidR="00AE0970" w:rsidRPr="00F86117">
        <w:rPr>
          <w:rFonts w:asciiTheme="minorHAnsi" w:hAnsiTheme="minorHAnsi"/>
          <w:bCs/>
        </w:rPr>
        <w:t>because they become too unwell for further treatment</w:t>
      </w:r>
      <w:r w:rsidR="00E5345A" w:rsidRPr="00F86117">
        <w:rPr>
          <w:rFonts w:asciiTheme="minorHAnsi" w:hAnsiTheme="minorHAnsi"/>
          <w:bCs/>
        </w:rPr>
        <w:t>)</w:t>
      </w:r>
      <w:r w:rsidR="00AE0970" w:rsidRPr="00F86117">
        <w:rPr>
          <w:rFonts w:asciiTheme="minorHAnsi" w:hAnsiTheme="minorHAnsi"/>
          <w:bCs/>
        </w:rPr>
        <w:t xml:space="preserve"> and therefore </w:t>
      </w:r>
      <w:r w:rsidR="006A3BBF" w:rsidRPr="00F86117">
        <w:rPr>
          <w:rFonts w:asciiTheme="minorHAnsi" w:hAnsiTheme="minorHAnsi"/>
          <w:bCs/>
        </w:rPr>
        <w:t xml:space="preserve">the clinician </w:t>
      </w:r>
      <w:r w:rsidR="00E5345A" w:rsidRPr="00F86117">
        <w:rPr>
          <w:rFonts w:asciiTheme="minorHAnsi" w:hAnsiTheme="minorHAnsi"/>
          <w:bCs/>
        </w:rPr>
        <w:t xml:space="preserve">considered that </w:t>
      </w:r>
      <w:r w:rsidR="00AE0970" w:rsidRPr="00F86117">
        <w:rPr>
          <w:rFonts w:asciiTheme="minorHAnsi" w:hAnsiTheme="minorHAnsi"/>
          <w:bCs/>
        </w:rPr>
        <w:t>it is desirable to have the most effective treatment available in the first</w:t>
      </w:r>
      <w:r w:rsidR="003D1627" w:rsidRPr="00F86117">
        <w:rPr>
          <w:rFonts w:asciiTheme="minorHAnsi" w:hAnsiTheme="minorHAnsi"/>
          <w:bCs/>
        </w:rPr>
        <w:t>-</w:t>
      </w:r>
      <w:r w:rsidR="00AE0970" w:rsidRPr="00F86117">
        <w:rPr>
          <w:rFonts w:asciiTheme="minorHAnsi" w:hAnsiTheme="minorHAnsi"/>
          <w:bCs/>
        </w:rPr>
        <w:t>line setting</w:t>
      </w:r>
      <w:r w:rsidRPr="00F86117">
        <w:rPr>
          <w:rFonts w:asciiTheme="minorHAnsi" w:hAnsiTheme="minorHAnsi"/>
          <w:bCs/>
        </w:rPr>
        <w:t xml:space="preserve">. </w:t>
      </w:r>
    </w:p>
    <w:p w:rsidR="00A72B69" w:rsidRPr="00F86117" w:rsidRDefault="00255BAC" w:rsidP="0061386A">
      <w:pPr>
        <w:numPr>
          <w:ilvl w:val="1"/>
          <w:numId w:val="2"/>
        </w:numPr>
        <w:spacing w:before="120" w:after="120"/>
        <w:rPr>
          <w:rFonts w:asciiTheme="minorHAnsi" w:hAnsiTheme="minorHAnsi"/>
          <w:bCs/>
        </w:rPr>
      </w:pPr>
      <w:r w:rsidRPr="00F86117">
        <w:rPr>
          <w:rFonts w:asciiTheme="minorHAnsi" w:hAnsiTheme="minorHAnsi"/>
          <w:bCs/>
        </w:rPr>
        <w:t xml:space="preserve">The clinician also </w:t>
      </w:r>
      <w:r w:rsidR="0005338B" w:rsidRPr="00F86117">
        <w:rPr>
          <w:rFonts w:asciiTheme="minorHAnsi" w:hAnsiTheme="minorHAnsi"/>
          <w:bCs/>
        </w:rPr>
        <w:t>addressed questions from the PBAC regarding the availability of</w:t>
      </w:r>
      <w:r w:rsidRPr="00F86117">
        <w:rPr>
          <w:rFonts w:asciiTheme="minorHAnsi" w:hAnsiTheme="minorHAnsi"/>
          <w:bCs/>
        </w:rPr>
        <w:t xml:space="preserve"> </w:t>
      </w:r>
      <w:r w:rsidR="00323F04" w:rsidRPr="00F86117">
        <w:rPr>
          <w:rFonts w:asciiTheme="minorHAnsi" w:hAnsiTheme="minorHAnsi"/>
          <w:bCs/>
        </w:rPr>
        <w:t xml:space="preserve">clinical </w:t>
      </w:r>
      <w:r w:rsidRPr="00F86117">
        <w:rPr>
          <w:rFonts w:asciiTheme="minorHAnsi" w:hAnsiTheme="minorHAnsi"/>
          <w:bCs/>
        </w:rPr>
        <w:t xml:space="preserve">data for </w:t>
      </w:r>
      <w:proofErr w:type="spellStart"/>
      <w:r w:rsidRPr="00F86117">
        <w:rPr>
          <w:rFonts w:asciiTheme="minorHAnsi" w:hAnsiTheme="minorHAnsi"/>
          <w:bCs/>
        </w:rPr>
        <w:t>cabozantinib</w:t>
      </w:r>
      <w:proofErr w:type="spellEnd"/>
      <w:r w:rsidRPr="00F86117">
        <w:rPr>
          <w:rFonts w:asciiTheme="minorHAnsi" w:hAnsiTheme="minorHAnsi"/>
          <w:bCs/>
        </w:rPr>
        <w:t xml:space="preserve"> therapy following first line NIVO+IPI</w:t>
      </w:r>
      <w:r w:rsidR="0005338B" w:rsidRPr="00F86117">
        <w:rPr>
          <w:rFonts w:asciiTheme="minorHAnsi" w:hAnsiTheme="minorHAnsi"/>
          <w:bCs/>
        </w:rPr>
        <w:t>, noting that there is currently no prospective data for any TKIs in this setting, only retrospective studies.</w:t>
      </w:r>
    </w:p>
    <w:p w:rsidR="00A72B69" w:rsidRPr="00F86117" w:rsidRDefault="00A72B69" w:rsidP="0061386A">
      <w:pPr>
        <w:spacing w:before="120" w:after="120"/>
        <w:outlineLvl w:val="1"/>
        <w:rPr>
          <w:rFonts w:asciiTheme="minorHAnsi" w:hAnsiTheme="minorHAnsi"/>
          <w:b/>
          <w:bCs/>
          <w:i/>
          <w:sz w:val="28"/>
          <w:szCs w:val="28"/>
        </w:rPr>
      </w:pPr>
      <w:r w:rsidRPr="00F86117">
        <w:rPr>
          <w:rFonts w:asciiTheme="minorHAnsi" w:hAnsiTheme="minorHAnsi"/>
          <w:b/>
          <w:bCs/>
          <w:i/>
          <w:sz w:val="28"/>
          <w:szCs w:val="28"/>
        </w:rPr>
        <w:t>Consumer comments</w:t>
      </w:r>
    </w:p>
    <w:p w:rsidR="00A72B69" w:rsidRPr="00F86117" w:rsidRDefault="00A72B69" w:rsidP="0061386A">
      <w:pPr>
        <w:numPr>
          <w:ilvl w:val="1"/>
          <w:numId w:val="2"/>
        </w:numPr>
        <w:spacing w:before="120" w:after="120"/>
        <w:rPr>
          <w:rFonts w:asciiTheme="minorHAnsi" w:hAnsiTheme="minorHAnsi"/>
          <w:bCs/>
        </w:rPr>
      </w:pPr>
      <w:r w:rsidRPr="00F86117">
        <w:rPr>
          <w:rFonts w:asciiTheme="minorHAnsi" w:hAnsiTheme="minorHAnsi"/>
          <w:bCs/>
        </w:rPr>
        <w:t xml:space="preserve">The Medical Oncology Group of Australia (MOGA) expressed its support for the </w:t>
      </w:r>
      <w:proofErr w:type="spellStart"/>
      <w:r w:rsidR="001905E7" w:rsidRPr="00F86117">
        <w:rPr>
          <w:rFonts w:asciiTheme="minorHAnsi" w:hAnsiTheme="minorHAnsi"/>
          <w:bCs/>
        </w:rPr>
        <w:t>cabozantinib</w:t>
      </w:r>
      <w:proofErr w:type="spellEnd"/>
      <w:r w:rsidRPr="00F86117">
        <w:rPr>
          <w:rFonts w:asciiTheme="minorHAnsi" w:hAnsiTheme="minorHAnsi"/>
          <w:bCs/>
        </w:rPr>
        <w:t xml:space="preserve"> submission, on the basis of </w:t>
      </w:r>
      <w:r w:rsidR="001905E7" w:rsidRPr="00F86117">
        <w:rPr>
          <w:rFonts w:asciiTheme="minorHAnsi" w:hAnsiTheme="minorHAnsi"/>
          <w:bCs/>
        </w:rPr>
        <w:t>the PFS benefit shown in the CABOSUN trial</w:t>
      </w:r>
      <w:r w:rsidR="00E47F60" w:rsidRPr="00F86117">
        <w:rPr>
          <w:rFonts w:asciiTheme="minorHAnsi" w:hAnsiTheme="minorHAnsi"/>
          <w:bCs/>
        </w:rPr>
        <w:t>, n</w:t>
      </w:r>
      <w:r w:rsidR="00323F04" w:rsidRPr="00F86117">
        <w:rPr>
          <w:rFonts w:asciiTheme="minorHAnsi" w:hAnsiTheme="minorHAnsi"/>
          <w:bCs/>
        </w:rPr>
        <w:t>oting MOGA c</w:t>
      </w:r>
      <w:r w:rsidR="00E47F60" w:rsidRPr="00F86117">
        <w:rPr>
          <w:rFonts w:asciiTheme="minorHAnsi" w:hAnsiTheme="minorHAnsi"/>
          <w:bCs/>
        </w:rPr>
        <w:t>onsidered</w:t>
      </w:r>
      <w:r w:rsidR="00323F04" w:rsidRPr="00F86117">
        <w:rPr>
          <w:rFonts w:asciiTheme="minorHAnsi" w:hAnsiTheme="minorHAnsi"/>
          <w:bCs/>
        </w:rPr>
        <w:t xml:space="preserve"> it</w:t>
      </w:r>
      <w:r w:rsidR="00E47F60" w:rsidRPr="00F86117">
        <w:rPr>
          <w:rFonts w:asciiTheme="minorHAnsi" w:hAnsiTheme="minorHAnsi"/>
          <w:bCs/>
        </w:rPr>
        <w:t xml:space="preserve"> a high priority for PBS listing</w:t>
      </w:r>
      <w:r w:rsidRPr="00F86117">
        <w:rPr>
          <w:rFonts w:asciiTheme="minorHAnsi" w:hAnsiTheme="minorHAnsi"/>
          <w:bCs/>
        </w:rPr>
        <w:t xml:space="preserve">. The PBAC noted that the MOGA presented the European Society for Medical Oncology Magnitude of Clinical Benefit Scale (ESMO-MCBS) for </w:t>
      </w:r>
      <w:proofErr w:type="spellStart"/>
      <w:r w:rsidR="001905E7" w:rsidRPr="00F86117">
        <w:rPr>
          <w:rFonts w:asciiTheme="minorHAnsi" w:hAnsiTheme="minorHAnsi"/>
          <w:bCs/>
        </w:rPr>
        <w:t>cabozantinib</w:t>
      </w:r>
      <w:proofErr w:type="spellEnd"/>
      <w:r w:rsidR="001905E7" w:rsidRPr="00F86117">
        <w:rPr>
          <w:rFonts w:asciiTheme="minorHAnsi" w:hAnsiTheme="minorHAnsi"/>
          <w:bCs/>
        </w:rPr>
        <w:t>, which was limited to 3</w:t>
      </w:r>
      <w:r w:rsidRPr="00F86117">
        <w:rPr>
          <w:rFonts w:asciiTheme="minorHAnsi" w:hAnsiTheme="minorHAnsi"/>
          <w:bCs/>
        </w:rPr>
        <w:t xml:space="preserve"> (out of a maximum of 5, where 5 and 4 represent the grades with substantial improvement)</w:t>
      </w:r>
      <w:r w:rsidR="00845CC1" w:rsidRPr="00F86117">
        <w:rPr>
          <w:rFonts w:asciiTheme="minorHAnsi" w:hAnsiTheme="minorHAnsi"/>
          <w:bCs/>
          <w:vertAlign w:val="superscript"/>
        </w:rPr>
        <w:t>[</w:t>
      </w:r>
      <w:r w:rsidR="00845CC1" w:rsidRPr="00F86117">
        <w:rPr>
          <w:rStyle w:val="FootnoteReference"/>
          <w:rFonts w:asciiTheme="minorHAnsi" w:hAnsiTheme="minorHAnsi"/>
          <w:bCs/>
        </w:rPr>
        <w:footnoteReference w:id="4"/>
      </w:r>
      <w:r w:rsidRPr="00F86117">
        <w:rPr>
          <w:rFonts w:asciiTheme="minorHAnsi" w:hAnsiTheme="minorHAnsi"/>
          <w:bCs/>
          <w:vertAlign w:val="superscript"/>
        </w:rPr>
        <w:t>]</w:t>
      </w:r>
      <w:r w:rsidRPr="00F86117">
        <w:rPr>
          <w:rFonts w:asciiTheme="minorHAnsi" w:hAnsiTheme="minorHAnsi"/>
          <w:bCs/>
        </w:rPr>
        <w:t xml:space="preserve">, based on a comparison with </w:t>
      </w:r>
      <w:proofErr w:type="spellStart"/>
      <w:r w:rsidR="001905E7" w:rsidRPr="00F86117">
        <w:rPr>
          <w:rFonts w:asciiTheme="minorHAnsi" w:hAnsiTheme="minorHAnsi"/>
          <w:bCs/>
        </w:rPr>
        <w:t>sunitinib</w:t>
      </w:r>
      <w:proofErr w:type="spellEnd"/>
      <w:r w:rsidRPr="00F86117">
        <w:rPr>
          <w:rFonts w:asciiTheme="minorHAnsi" w:hAnsiTheme="minorHAnsi"/>
          <w:bCs/>
        </w:rPr>
        <w:t xml:space="preserve">. </w:t>
      </w:r>
      <w:r w:rsidR="00F53047" w:rsidRPr="00F86117">
        <w:rPr>
          <w:rFonts w:asciiTheme="minorHAnsi" w:hAnsiTheme="minorHAnsi"/>
          <w:bCs/>
        </w:rPr>
        <w:t xml:space="preserve">MOGA noted that </w:t>
      </w:r>
      <w:r w:rsidR="0095154D" w:rsidRPr="00F86117">
        <w:rPr>
          <w:rFonts w:asciiTheme="minorHAnsi" w:hAnsiTheme="minorHAnsi"/>
          <w:bCs/>
        </w:rPr>
        <w:t>the score was not upgraded to 4 since CABOSUN was a randomised phase 2 study, in which the Quality of Life (</w:t>
      </w:r>
      <w:proofErr w:type="spellStart"/>
      <w:r w:rsidR="0095154D" w:rsidRPr="00F86117">
        <w:rPr>
          <w:rFonts w:asciiTheme="minorHAnsi" w:hAnsiTheme="minorHAnsi"/>
          <w:bCs/>
        </w:rPr>
        <w:t>QoL</w:t>
      </w:r>
      <w:proofErr w:type="spellEnd"/>
      <w:r w:rsidR="0095154D" w:rsidRPr="00F86117">
        <w:rPr>
          <w:rFonts w:asciiTheme="minorHAnsi" w:hAnsiTheme="minorHAnsi"/>
          <w:bCs/>
        </w:rPr>
        <w:t>) benefit seen was based on a post-hoc analysis</w:t>
      </w:r>
      <w:r w:rsidR="00F86117">
        <w:rPr>
          <w:rFonts w:asciiTheme="minorHAnsi" w:hAnsiTheme="minorHAnsi"/>
          <w:bCs/>
        </w:rPr>
        <w:t xml:space="preserve">. </w:t>
      </w:r>
      <w:r w:rsidRPr="00F86117">
        <w:rPr>
          <w:rFonts w:asciiTheme="minorHAnsi" w:hAnsiTheme="minorHAnsi"/>
          <w:bCs/>
        </w:rPr>
        <w:t xml:space="preserve"> </w:t>
      </w:r>
    </w:p>
    <w:p w:rsidR="00A72B69" w:rsidRPr="00F86117" w:rsidRDefault="00A72B69" w:rsidP="0061386A">
      <w:pPr>
        <w:numPr>
          <w:ilvl w:val="1"/>
          <w:numId w:val="2"/>
        </w:numPr>
        <w:spacing w:before="120" w:after="120"/>
        <w:rPr>
          <w:rFonts w:asciiTheme="minorHAnsi" w:hAnsiTheme="minorHAnsi"/>
          <w:bCs/>
        </w:rPr>
      </w:pPr>
      <w:r w:rsidRPr="00F86117">
        <w:rPr>
          <w:rFonts w:asciiTheme="minorHAnsi" w:hAnsiTheme="minorHAnsi"/>
          <w:bCs/>
        </w:rPr>
        <w:t>The PBAC noted that no consumer comme</w:t>
      </w:r>
      <w:r w:rsidR="00845CC1" w:rsidRPr="00F86117">
        <w:rPr>
          <w:rFonts w:asciiTheme="minorHAnsi" w:hAnsiTheme="minorHAnsi"/>
          <w:bCs/>
        </w:rPr>
        <w:t>nts were received for this item</w:t>
      </w:r>
      <w:r w:rsidRPr="00F86117">
        <w:rPr>
          <w:rFonts w:asciiTheme="minorHAnsi" w:hAnsiTheme="minorHAnsi"/>
          <w:bCs/>
        </w:rPr>
        <w:t>.</w:t>
      </w:r>
    </w:p>
    <w:p w:rsidR="00BB433C" w:rsidRPr="00F86117" w:rsidRDefault="00BB433C" w:rsidP="0061386A">
      <w:pPr>
        <w:pStyle w:val="Heading2"/>
        <w:widowControl/>
        <w:spacing w:before="120"/>
      </w:pPr>
      <w:r w:rsidRPr="00F86117">
        <w:t>Clinical trials</w:t>
      </w:r>
      <w:bookmarkEnd w:id="18"/>
      <w:bookmarkEnd w:id="19"/>
      <w:bookmarkEnd w:id="20"/>
    </w:p>
    <w:p w:rsidR="00BB433C" w:rsidRPr="00F86117" w:rsidRDefault="00BB433C" w:rsidP="0061386A">
      <w:pPr>
        <w:pStyle w:val="ListParagraph"/>
        <w:widowControl/>
        <w:numPr>
          <w:ilvl w:val="1"/>
          <w:numId w:val="2"/>
        </w:numPr>
        <w:spacing w:before="120"/>
      </w:pPr>
      <w:r w:rsidRPr="00F86117">
        <w:rPr>
          <w:rFonts w:cs="Calibri"/>
          <w:snapToGrid/>
          <w:szCs w:val="24"/>
          <w:lang w:eastAsia="en-AU"/>
        </w:rPr>
        <w:t xml:space="preserve">The submission was based on a Phase II, head-to-head, randomised, open-label trial comparing </w:t>
      </w:r>
      <w:proofErr w:type="spellStart"/>
      <w:r w:rsidRPr="00F86117">
        <w:rPr>
          <w:rFonts w:cs="Calibri"/>
          <w:snapToGrid/>
          <w:szCs w:val="24"/>
          <w:lang w:eastAsia="en-AU"/>
        </w:rPr>
        <w:t>cabozantinib</w:t>
      </w:r>
      <w:proofErr w:type="spellEnd"/>
      <w:r w:rsidRPr="00F86117">
        <w:rPr>
          <w:rFonts w:cs="Calibri"/>
          <w:snapToGrid/>
          <w:szCs w:val="24"/>
          <w:lang w:eastAsia="en-AU"/>
        </w:rPr>
        <w:t xml:space="preserve"> to </w:t>
      </w:r>
      <w:proofErr w:type="spellStart"/>
      <w:r w:rsidRPr="00F86117">
        <w:t>sunitinib</w:t>
      </w:r>
      <w:proofErr w:type="spellEnd"/>
      <w:r w:rsidRPr="00F86117">
        <w:t xml:space="preserve"> (CABOSUN), in previously untreated patients with advanced or metastatic clear cell </w:t>
      </w:r>
      <w:r w:rsidR="00C07B44" w:rsidRPr="00F86117">
        <w:t xml:space="preserve">variant </w:t>
      </w:r>
      <w:r w:rsidRPr="00F86117">
        <w:t>RCC, with IDMC intermediate to poor risk disease (n = 157).</w:t>
      </w:r>
      <w:r w:rsidRPr="00F86117">
        <w:rPr>
          <w:rFonts w:cs="Calibri"/>
          <w:snapToGrid/>
          <w:szCs w:val="24"/>
          <w:lang w:eastAsia="en-AU"/>
        </w:rPr>
        <w:t xml:space="preserve"> </w:t>
      </w:r>
    </w:p>
    <w:p w:rsidR="00BB433C" w:rsidRPr="00F86117" w:rsidRDefault="00BB433C" w:rsidP="0061386A">
      <w:pPr>
        <w:pStyle w:val="ListParagraph"/>
        <w:widowControl/>
        <w:numPr>
          <w:ilvl w:val="1"/>
          <w:numId w:val="2"/>
        </w:numPr>
        <w:spacing w:before="120"/>
      </w:pPr>
      <w:r w:rsidRPr="00F86117">
        <w:rPr>
          <w:bCs/>
        </w:rPr>
        <w:lastRenderedPageBreak/>
        <w:t xml:space="preserve">To construct the indirect treatment comparison (ITC) against NIVO+IPI, the submission identified one trial, CheckMate214 (N=1,096) which is a Phase 3, randomised, open-label, active-controlled trial of patients with </w:t>
      </w:r>
      <w:r w:rsidRPr="00F86117">
        <w:t>previously untreated Stage IV clear cell variant RCC</w:t>
      </w:r>
      <w:r w:rsidRPr="00F86117">
        <w:rPr>
          <w:bCs/>
        </w:rPr>
        <w:t>. A subset of the population who had poor or intermediate risk in the trial (</w:t>
      </w:r>
      <w:r w:rsidR="00C07B44" w:rsidRPr="00F86117">
        <w:rPr>
          <w:bCs/>
        </w:rPr>
        <w:t>n</w:t>
      </w:r>
      <w:r w:rsidRPr="00F86117">
        <w:rPr>
          <w:bCs/>
        </w:rPr>
        <w:t>=847) was used for the ITC.</w:t>
      </w:r>
    </w:p>
    <w:p w:rsidR="00BB433C" w:rsidRPr="00F86117" w:rsidRDefault="00BB433C" w:rsidP="0061386A">
      <w:pPr>
        <w:pStyle w:val="ListParagraph"/>
        <w:widowControl/>
        <w:numPr>
          <w:ilvl w:val="1"/>
          <w:numId w:val="2"/>
        </w:numPr>
        <w:spacing w:before="120"/>
      </w:pPr>
      <w:r w:rsidRPr="00F86117">
        <w:rPr>
          <w:rFonts w:cs="Calibri"/>
          <w:snapToGrid/>
          <w:szCs w:val="24"/>
          <w:lang w:eastAsia="en-AU"/>
        </w:rPr>
        <w:t>Details of the trials presented in the submission are provided in Table 5</w:t>
      </w:r>
      <w:r w:rsidR="00F86117">
        <w:rPr>
          <w:rFonts w:cs="Calibri"/>
          <w:snapToGrid/>
          <w:szCs w:val="24"/>
          <w:lang w:eastAsia="en-AU"/>
        </w:rPr>
        <w:t xml:space="preserve">. </w:t>
      </w:r>
    </w:p>
    <w:p w:rsidR="00BB433C" w:rsidRPr="00F86117" w:rsidRDefault="00BB433C" w:rsidP="00E4613D">
      <w:pPr>
        <w:keepNext/>
        <w:keepLines/>
        <w:widowControl/>
        <w:rPr>
          <w:rStyle w:val="CommentReference"/>
        </w:rPr>
      </w:pPr>
      <w:r w:rsidRPr="00F86117">
        <w:rPr>
          <w:rStyle w:val="CommentReference"/>
        </w:rPr>
        <w:lastRenderedPageBreak/>
        <w:t>Table 5: Trials and associated reports presented in the submission</w:t>
      </w:r>
    </w:p>
    <w:tbl>
      <w:tblPr>
        <w:tblStyle w:val="TableGrid"/>
        <w:tblW w:w="5000" w:type="pct"/>
        <w:tblLook w:val="04A0" w:firstRow="1" w:lastRow="0" w:firstColumn="1" w:lastColumn="0" w:noHBand="0" w:noVBand="1"/>
        <w:tblCaption w:val="Table 5: Trials and associated reports presented in the submission"/>
      </w:tblPr>
      <w:tblGrid>
        <w:gridCol w:w="1866"/>
        <w:gridCol w:w="4857"/>
        <w:gridCol w:w="2294"/>
      </w:tblGrid>
      <w:tr w:rsidR="00BB433C" w:rsidRPr="00F86117" w:rsidTr="000456CB">
        <w:trPr>
          <w:tblHeader/>
        </w:trPr>
        <w:tc>
          <w:tcPr>
            <w:tcW w:w="870" w:type="pct"/>
            <w:tcBorders>
              <w:top w:val="single" w:sz="4" w:space="0" w:color="auto"/>
              <w:left w:val="single" w:sz="4" w:space="0" w:color="auto"/>
              <w:bottom w:val="single" w:sz="4" w:space="0" w:color="auto"/>
              <w:right w:val="single" w:sz="4" w:space="0" w:color="auto"/>
            </w:tcBorders>
          </w:tcPr>
          <w:p w:rsidR="00BB433C" w:rsidRPr="00F86117" w:rsidRDefault="00BB433C" w:rsidP="00E4613D">
            <w:pPr>
              <w:pStyle w:val="Table"/>
              <w:keepNext/>
              <w:keepLines/>
              <w:spacing w:after="120"/>
              <w:rPr>
                <w:rStyle w:val="SmallBold"/>
                <w:rFonts w:ascii="Arial Narrow" w:hAnsi="Arial Narrow" w:cstheme="minorHAnsi"/>
                <w:szCs w:val="20"/>
              </w:rPr>
            </w:pPr>
            <w:r w:rsidRPr="00F86117">
              <w:rPr>
                <w:rStyle w:val="SmallBold"/>
                <w:rFonts w:ascii="Arial Narrow" w:hAnsi="Arial Narrow" w:cstheme="minorHAnsi"/>
                <w:szCs w:val="20"/>
              </w:rPr>
              <w:t>Trial ID</w:t>
            </w:r>
          </w:p>
        </w:tc>
        <w:tc>
          <w:tcPr>
            <w:tcW w:w="2776" w:type="pct"/>
            <w:tcBorders>
              <w:top w:val="single" w:sz="4" w:space="0" w:color="auto"/>
              <w:left w:val="single" w:sz="4" w:space="0" w:color="auto"/>
              <w:bottom w:val="single" w:sz="4" w:space="0" w:color="auto"/>
              <w:right w:val="single" w:sz="4" w:space="0" w:color="auto"/>
            </w:tcBorders>
            <w:vAlign w:val="center"/>
          </w:tcPr>
          <w:p w:rsidR="00BB433C" w:rsidRPr="00F86117" w:rsidRDefault="00BB433C" w:rsidP="00E4613D">
            <w:pPr>
              <w:pStyle w:val="Table"/>
              <w:keepNext/>
              <w:keepLines/>
              <w:spacing w:after="120"/>
              <w:rPr>
                <w:rStyle w:val="SmallBold"/>
                <w:rFonts w:ascii="Arial Narrow" w:hAnsi="Arial Narrow" w:cstheme="minorHAnsi"/>
                <w:szCs w:val="20"/>
              </w:rPr>
            </w:pPr>
            <w:r w:rsidRPr="00F86117">
              <w:rPr>
                <w:rFonts w:ascii="Arial Narrow" w:hAnsi="Arial Narrow" w:cs="Times New Roman"/>
                <w:b/>
              </w:rPr>
              <w:t>Protocol title/ Publication title</w:t>
            </w:r>
          </w:p>
        </w:tc>
        <w:tc>
          <w:tcPr>
            <w:tcW w:w="1354" w:type="pct"/>
            <w:tcBorders>
              <w:top w:val="single" w:sz="4" w:space="0" w:color="auto"/>
              <w:left w:val="single" w:sz="4" w:space="0" w:color="auto"/>
              <w:bottom w:val="single" w:sz="4" w:space="0" w:color="auto"/>
              <w:right w:val="single" w:sz="4" w:space="0" w:color="auto"/>
            </w:tcBorders>
            <w:vAlign w:val="center"/>
          </w:tcPr>
          <w:p w:rsidR="00BB433C" w:rsidRPr="00F86117" w:rsidRDefault="00BB433C" w:rsidP="00E4613D">
            <w:pPr>
              <w:pStyle w:val="Table"/>
              <w:keepNext/>
              <w:keepLines/>
              <w:spacing w:after="120"/>
              <w:rPr>
                <w:rStyle w:val="SmallBold"/>
                <w:rFonts w:ascii="Arial Narrow" w:hAnsi="Arial Narrow" w:cstheme="minorHAnsi"/>
                <w:szCs w:val="20"/>
              </w:rPr>
            </w:pPr>
            <w:r w:rsidRPr="00F86117">
              <w:rPr>
                <w:rFonts w:ascii="Arial Narrow" w:hAnsi="Arial Narrow" w:cs="Times New Roman"/>
                <w:b/>
              </w:rPr>
              <w:t>Publication citation</w:t>
            </w:r>
          </w:p>
        </w:tc>
      </w:tr>
      <w:tr w:rsidR="00BB433C" w:rsidRPr="00F86117" w:rsidTr="000456CB">
        <w:tc>
          <w:tcPr>
            <w:tcW w:w="870" w:type="pct"/>
            <w:tcBorders>
              <w:top w:val="single" w:sz="4" w:space="0" w:color="auto"/>
              <w:left w:val="single" w:sz="4" w:space="0" w:color="auto"/>
              <w:bottom w:val="single" w:sz="4" w:space="0" w:color="auto"/>
              <w:right w:val="single" w:sz="4" w:space="0" w:color="auto"/>
            </w:tcBorders>
          </w:tcPr>
          <w:p w:rsidR="00BB433C" w:rsidRPr="00F86117" w:rsidRDefault="00BB433C" w:rsidP="00E4613D">
            <w:pPr>
              <w:pStyle w:val="Table"/>
              <w:keepNext/>
              <w:keepLines/>
              <w:spacing w:before="40" w:after="60"/>
              <w:rPr>
                <w:rStyle w:val="Small"/>
                <w:rFonts w:ascii="Arial Narrow" w:hAnsi="Arial Narrow" w:cstheme="minorHAnsi"/>
                <w:b/>
                <w:szCs w:val="20"/>
              </w:rPr>
            </w:pPr>
            <w:r w:rsidRPr="00F86117">
              <w:rPr>
                <w:rStyle w:val="Small"/>
                <w:rFonts w:ascii="Arial Narrow" w:hAnsi="Arial Narrow" w:cstheme="minorHAnsi"/>
                <w:b/>
                <w:szCs w:val="20"/>
              </w:rPr>
              <w:t>CABOSUN</w:t>
            </w:r>
          </w:p>
          <w:p w:rsidR="00BB433C" w:rsidRPr="00F86117" w:rsidRDefault="00BB433C" w:rsidP="00E4613D">
            <w:pPr>
              <w:pStyle w:val="Table"/>
              <w:keepNext/>
              <w:keepLines/>
              <w:spacing w:before="40" w:after="60"/>
              <w:rPr>
                <w:rStyle w:val="Small"/>
                <w:rFonts w:ascii="Arial Narrow" w:hAnsi="Arial Narrow" w:cstheme="minorHAnsi"/>
                <w:szCs w:val="20"/>
              </w:rPr>
            </w:pPr>
            <w:r w:rsidRPr="00F86117">
              <w:rPr>
                <w:rStyle w:val="Small"/>
                <w:rFonts w:ascii="Arial Narrow" w:hAnsi="Arial Narrow" w:cstheme="minorHAnsi"/>
                <w:b/>
                <w:szCs w:val="20"/>
              </w:rPr>
              <w:t>(NCT01835158 (A031203/CABOSUN)</w:t>
            </w:r>
          </w:p>
        </w:tc>
        <w:tc>
          <w:tcPr>
            <w:tcW w:w="2776" w:type="pct"/>
            <w:tcBorders>
              <w:top w:val="single" w:sz="4" w:space="0" w:color="auto"/>
              <w:left w:val="single" w:sz="4" w:space="0" w:color="auto"/>
              <w:bottom w:val="single" w:sz="4" w:space="0" w:color="auto"/>
              <w:right w:val="single" w:sz="4" w:space="0" w:color="auto"/>
            </w:tcBorders>
          </w:tcPr>
          <w:p w:rsidR="00BB433C" w:rsidRPr="00F86117" w:rsidRDefault="00BB433C" w:rsidP="00E4613D">
            <w:pPr>
              <w:pStyle w:val="Table"/>
              <w:keepNext/>
              <w:keepLines/>
              <w:spacing w:before="40" w:after="60"/>
              <w:rPr>
                <w:rStyle w:val="Small"/>
                <w:rFonts w:ascii="Arial Narrow" w:hAnsi="Arial Narrow" w:cstheme="minorHAnsi"/>
                <w:szCs w:val="20"/>
              </w:rPr>
            </w:pPr>
            <w:r w:rsidRPr="00F86117">
              <w:rPr>
                <w:rStyle w:val="Small"/>
                <w:rFonts w:ascii="Arial Narrow" w:hAnsi="Arial Narrow" w:cstheme="minorHAnsi"/>
                <w:szCs w:val="20"/>
              </w:rPr>
              <w:t>Clinical study report (CSR).</w:t>
            </w:r>
          </w:p>
          <w:p w:rsidR="00BB433C" w:rsidRPr="00F86117" w:rsidRDefault="00BB433C" w:rsidP="00E4613D">
            <w:pPr>
              <w:pStyle w:val="Table"/>
              <w:keepNext/>
              <w:keepLines/>
              <w:spacing w:before="40" w:after="60"/>
              <w:rPr>
                <w:rStyle w:val="Small"/>
                <w:rFonts w:ascii="Arial Narrow" w:hAnsi="Arial Narrow" w:cstheme="minorHAnsi"/>
                <w:szCs w:val="20"/>
              </w:rPr>
            </w:pPr>
          </w:p>
          <w:p w:rsidR="00BB433C" w:rsidRPr="00F86117" w:rsidRDefault="00BB433C" w:rsidP="00E4613D">
            <w:pPr>
              <w:pStyle w:val="Table"/>
              <w:keepNext/>
              <w:keepLines/>
              <w:spacing w:before="40" w:after="60"/>
              <w:rPr>
                <w:rStyle w:val="Small"/>
                <w:rFonts w:ascii="Arial Narrow" w:hAnsi="Arial Narrow" w:cstheme="minorHAnsi"/>
                <w:szCs w:val="20"/>
              </w:rPr>
            </w:pPr>
            <w:proofErr w:type="spellStart"/>
            <w:r w:rsidRPr="00F86117">
              <w:rPr>
                <w:rStyle w:val="Small"/>
                <w:rFonts w:ascii="Arial Narrow" w:hAnsi="Arial Narrow" w:cstheme="minorHAnsi"/>
                <w:szCs w:val="20"/>
              </w:rPr>
              <w:t>Choueiri</w:t>
            </w:r>
            <w:proofErr w:type="spellEnd"/>
            <w:r w:rsidRPr="00F86117">
              <w:rPr>
                <w:rStyle w:val="Small"/>
                <w:rFonts w:ascii="Arial Narrow" w:hAnsi="Arial Narrow" w:cstheme="minorHAnsi"/>
                <w:szCs w:val="20"/>
              </w:rPr>
              <w:t xml:space="preserve">, T. K., </w:t>
            </w:r>
            <w:proofErr w:type="spellStart"/>
            <w:r w:rsidRPr="00F86117">
              <w:rPr>
                <w:rStyle w:val="Small"/>
                <w:rFonts w:ascii="Arial Narrow" w:hAnsi="Arial Narrow" w:cstheme="minorHAnsi"/>
                <w:szCs w:val="20"/>
              </w:rPr>
              <w:t>Halabi</w:t>
            </w:r>
            <w:proofErr w:type="spellEnd"/>
            <w:r w:rsidRPr="00F86117">
              <w:rPr>
                <w:rStyle w:val="Small"/>
                <w:rFonts w:ascii="Arial Narrow" w:hAnsi="Arial Narrow" w:cstheme="minorHAnsi"/>
                <w:szCs w:val="20"/>
              </w:rPr>
              <w:t xml:space="preserve">, S., Sanford, B. et al. 2016. "PR </w:t>
            </w:r>
            <w:proofErr w:type="spellStart"/>
            <w:r w:rsidRPr="00F86117">
              <w:rPr>
                <w:rStyle w:val="Small"/>
                <w:rFonts w:ascii="Arial Narrow" w:hAnsi="Arial Narrow" w:cstheme="minorHAnsi"/>
                <w:szCs w:val="20"/>
              </w:rPr>
              <w:t>CABOzantinib</w:t>
            </w:r>
            <w:proofErr w:type="spellEnd"/>
            <w:r w:rsidRPr="00F86117">
              <w:rPr>
                <w:rStyle w:val="Small"/>
                <w:rFonts w:ascii="Arial Narrow" w:hAnsi="Arial Narrow" w:cstheme="minorHAnsi"/>
                <w:szCs w:val="20"/>
              </w:rPr>
              <w:t xml:space="preserve"> versus </w:t>
            </w:r>
            <w:proofErr w:type="spellStart"/>
            <w:r w:rsidRPr="00F86117">
              <w:rPr>
                <w:rStyle w:val="Small"/>
                <w:rFonts w:ascii="Arial Narrow" w:hAnsi="Arial Narrow" w:cstheme="minorHAnsi"/>
                <w:szCs w:val="20"/>
              </w:rPr>
              <w:t>SUNitinib</w:t>
            </w:r>
            <w:proofErr w:type="spellEnd"/>
            <w:r w:rsidRPr="00F86117">
              <w:rPr>
                <w:rStyle w:val="Small"/>
                <w:rFonts w:ascii="Arial Narrow" w:hAnsi="Arial Narrow" w:cstheme="minorHAnsi"/>
                <w:szCs w:val="20"/>
              </w:rPr>
              <w:t xml:space="preserve"> (CABOSUN) as initial targeted therapy for patients with metastatic renal cell carcinoma (</w:t>
            </w:r>
            <w:proofErr w:type="spellStart"/>
            <w:r w:rsidRPr="00F86117">
              <w:rPr>
                <w:rStyle w:val="Small"/>
                <w:rFonts w:ascii="Arial Narrow" w:hAnsi="Arial Narrow" w:cstheme="minorHAnsi"/>
                <w:szCs w:val="20"/>
              </w:rPr>
              <w:t>mRCC</w:t>
            </w:r>
            <w:proofErr w:type="spellEnd"/>
            <w:r w:rsidRPr="00F86117">
              <w:rPr>
                <w:rStyle w:val="Small"/>
                <w:rFonts w:ascii="Arial Narrow" w:hAnsi="Arial Narrow" w:cstheme="minorHAnsi"/>
                <w:szCs w:val="20"/>
              </w:rPr>
              <w:t>) of poor and intermediate risk groups: results from ALLIANCE A031203/CABOSUN trial."</w:t>
            </w:r>
          </w:p>
          <w:p w:rsidR="00BB433C" w:rsidRPr="00F86117" w:rsidRDefault="00BB433C" w:rsidP="00E4613D">
            <w:pPr>
              <w:pStyle w:val="Table"/>
              <w:keepNext/>
              <w:keepLines/>
              <w:spacing w:before="40" w:after="60"/>
              <w:rPr>
                <w:rStyle w:val="Small"/>
                <w:rFonts w:ascii="Arial Narrow" w:hAnsi="Arial Narrow" w:cstheme="minorHAnsi"/>
                <w:szCs w:val="20"/>
              </w:rPr>
            </w:pPr>
          </w:p>
          <w:p w:rsidR="00BB433C" w:rsidRPr="00F86117" w:rsidRDefault="00BB433C" w:rsidP="00E4613D">
            <w:pPr>
              <w:pStyle w:val="Table"/>
              <w:keepNext/>
              <w:keepLines/>
              <w:spacing w:before="40" w:after="60"/>
              <w:rPr>
                <w:rStyle w:val="Small"/>
                <w:rFonts w:ascii="Arial Narrow" w:hAnsi="Arial Narrow" w:cstheme="minorHAnsi"/>
                <w:szCs w:val="20"/>
              </w:rPr>
            </w:pPr>
            <w:proofErr w:type="spellStart"/>
            <w:r w:rsidRPr="00F86117">
              <w:rPr>
                <w:rStyle w:val="Small"/>
                <w:rFonts w:ascii="Arial Narrow" w:hAnsi="Arial Narrow" w:cstheme="minorHAnsi"/>
                <w:szCs w:val="20"/>
              </w:rPr>
              <w:t>Choueiri</w:t>
            </w:r>
            <w:proofErr w:type="spellEnd"/>
            <w:r w:rsidRPr="00F86117">
              <w:rPr>
                <w:rStyle w:val="Small"/>
                <w:rFonts w:ascii="Arial Narrow" w:hAnsi="Arial Narrow" w:cstheme="minorHAnsi"/>
                <w:szCs w:val="20"/>
              </w:rPr>
              <w:t xml:space="preserve"> TK, </w:t>
            </w:r>
            <w:proofErr w:type="spellStart"/>
            <w:r w:rsidRPr="00F86117">
              <w:rPr>
                <w:rStyle w:val="Small"/>
                <w:rFonts w:ascii="Arial Narrow" w:hAnsi="Arial Narrow" w:cstheme="minorHAnsi"/>
                <w:szCs w:val="20"/>
              </w:rPr>
              <w:t>Halabi</w:t>
            </w:r>
            <w:proofErr w:type="spellEnd"/>
            <w:r w:rsidRPr="00F86117">
              <w:rPr>
                <w:rStyle w:val="Small"/>
                <w:rFonts w:ascii="Arial Narrow" w:hAnsi="Arial Narrow" w:cstheme="minorHAnsi"/>
                <w:szCs w:val="20"/>
              </w:rPr>
              <w:t xml:space="preserve"> S, Sanford BL et al. 2017. "</w:t>
            </w:r>
            <w:proofErr w:type="spellStart"/>
            <w:r w:rsidRPr="00F86117">
              <w:rPr>
                <w:rStyle w:val="Small"/>
                <w:rFonts w:ascii="Arial Narrow" w:hAnsi="Arial Narrow" w:cstheme="minorHAnsi"/>
                <w:szCs w:val="20"/>
              </w:rPr>
              <w:t>Cabozantinib</w:t>
            </w:r>
            <w:proofErr w:type="spellEnd"/>
            <w:r w:rsidRPr="00F86117">
              <w:rPr>
                <w:rStyle w:val="Small"/>
                <w:rFonts w:ascii="Arial Narrow" w:hAnsi="Arial Narrow" w:cstheme="minorHAnsi"/>
                <w:szCs w:val="20"/>
              </w:rPr>
              <w:t xml:space="preserve"> Versus </w:t>
            </w:r>
            <w:proofErr w:type="spellStart"/>
            <w:r w:rsidRPr="00F86117">
              <w:rPr>
                <w:rStyle w:val="Small"/>
                <w:rFonts w:ascii="Arial Narrow" w:hAnsi="Arial Narrow" w:cstheme="minorHAnsi"/>
                <w:szCs w:val="20"/>
              </w:rPr>
              <w:t>Sunitinib</w:t>
            </w:r>
            <w:proofErr w:type="spellEnd"/>
            <w:r w:rsidRPr="00F86117">
              <w:rPr>
                <w:rStyle w:val="Small"/>
                <w:rFonts w:ascii="Arial Narrow" w:hAnsi="Arial Narrow" w:cstheme="minorHAnsi"/>
                <w:szCs w:val="20"/>
              </w:rPr>
              <w:t xml:space="preserve"> As Initial Targeted Therapy for Patients With Metastatic Renal Cell Carcinoma of Poor or Intermediate Risk: The Alliance A031203/CABOSUN </w:t>
            </w:r>
            <w:proofErr w:type="spellStart"/>
            <w:r w:rsidRPr="00F86117">
              <w:rPr>
                <w:rStyle w:val="Small"/>
                <w:rFonts w:ascii="Arial Narrow" w:hAnsi="Arial Narrow" w:cstheme="minorHAnsi"/>
                <w:szCs w:val="20"/>
              </w:rPr>
              <w:t>CABOSUN</w:t>
            </w:r>
            <w:proofErr w:type="spellEnd"/>
            <w:r w:rsidRPr="00F86117">
              <w:rPr>
                <w:rStyle w:val="Small"/>
                <w:rFonts w:ascii="Arial Narrow" w:hAnsi="Arial Narrow" w:cstheme="minorHAnsi"/>
                <w:szCs w:val="20"/>
              </w:rPr>
              <w:t xml:space="preserve"> Trial </w:t>
            </w:r>
          </w:p>
          <w:p w:rsidR="00BB433C" w:rsidRPr="00F86117" w:rsidRDefault="00BB433C" w:rsidP="00E4613D">
            <w:pPr>
              <w:pStyle w:val="Table"/>
              <w:keepNext/>
              <w:keepLines/>
              <w:spacing w:before="40" w:after="60"/>
              <w:rPr>
                <w:rStyle w:val="Small"/>
                <w:rFonts w:ascii="Arial Narrow" w:hAnsi="Arial Narrow" w:cstheme="minorHAnsi"/>
                <w:szCs w:val="20"/>
              </w:rPr>
            </w:pPr>
          </w:p>
          <w:p w:rsidR="00BB433C" w:rsidRPr="00F86117" w:rsidRDefault="00BB433C" w:rsidP="00E4613D">
            <w:pPr>
              <w:pStyle w:val="Table"/>
              <w:keepNext/>
              <w:keepLines/>
              <w:spacing w:before="40" w:after="60"/>
              <w:rPr>
                <w:rStyle w:val="Small"/>
                <w:rFonts w:ascii="Arial Narrow" w:hAnsi="Arial Narrow" w:cstheme="minorHAnsi"/>
                <w:szCs w:val="20"/>
              </w:rPr>
            </w:pPr>
            <w:proofErr w:type="spellStart"/>
            <w:r w:rsidRPr="00F86117">
              <w:rPr>
                <w:rStyle w:val="Small"/>
                <w:rFonts w:ascii="Arial Narrow" w:hAnsi="Arial Narrow" w:cstheme="minorHAnsi"/>
                <w:szCs w:val="20"/>
              </w:rPr>
              <w:t>Choueiri</w:t>
            </w:r>
            <w:proofErr w:type="spellEnd"/>
            <w:r w:rsidRPr="00F86117">
              <w:rPr>
                <w:rStyle w:val="Small"/>
                <w:rFonts w:ascii="Arial Narrow" w:hAnsi="Arial Narrow" w:cstheme="minorHAnsi"/>
                <w:szCs w:val="20"/>
              </w:rPr>
              <w:t xml:space="preserve">, T. K., Hessel, C., </w:t>
            </w:r>
            <w:proofErr w:type="spellStart"/>
            <w:r w:rsidRPr="00F86117">
              <w:rPr>
                <w:rStyle w:val="Small"/>
                <w:rFonts w:ascii="Arial Narrow" w:hAnsi="Arial Narrow" w:cstheme="minorHAnsi"/>
                <w:szCs w:val="20"/>
              </w:rPr>
              <w:t>Halabi</w:t>
            </w:r>
            <w:proofErr w:type="spellEnd"/>
            <w:r w:rsidRPr="00F86117">
              <w:rPr>
                <w:rStyle w:val="Small"/>
                <w:rFonts w:ascii="Arial Narrow" w:hAnsi="Arial Narrow" w:cstheme="minorHAnsi"/>
                <w:szCs w:val="20"/>
              </w:rPr>
              <w:t>, S. et al. 2018. "</w:t>
            </w:r>
            <w:proofErr w:type="spellStart"/>
            <w:r w:rsidRPr="00F86117">
              <w:rPr>
                <w:rStyle w:val="Small"/>
                <w:rFonts w:ascii="Arial Narrow" w:hAnsi="Arial Narrow" w:cstheme="minorHAnsi"/>
                <w:szCs w:val="20"/>
              </w:rPr>
              <w:t>Cabozantinib</w:t>
            </w:r>
            <w:proofErr w:type="spellEnd"/>
            <w:r w:rsidRPr="00F86117">
              <w:rPr>
                <w:rStyle w:val="Small"/>
                <w:rFonts w:ascii="Arial Narrow" w:hAnsi="Arial Narrow" w:cstheme="minorHAnsi"/>
                <w:szCs w:val="20"/>
              </w:rPr>
              <w:t xml:space="preserve"> versus </w:t>
            </w:r>
            <w:proofErr w:type="spellStart"/>
            <w:r w:rsidRPr="00F86117">
              <w:rPr>
                <w:rStyle w:val="Small"/>
                <w:rFonts w:ascii="Arial Narrow" w:hAnsi="Arial Narrow" w:cstheme="minorHAnsi"/>
                <w:szCs w:val="20"/>
              </w:rPr>
              <w:t>sunitinib</w:t>
            </w:r>
            <w:proofErr w:type="spellEnd"/>
            <w:r w:rsidRPr="00F86117">
              <w:rPr>
                <w:rStyle w:val="Small"/>
                <w:rFonts w:ascii="Arial Narrow" w:hAnsi="Arial Narrow" w:cstheme="minorHAnsi"/>
                <w:szCs w:val="20"/>
              </w:rPr>
              <w:t xml:space="preserve"> as initial therapy for metastatic renal cell carcinoma of intermediate or poor risk (Alliance A031203/CABOSUN </w:t>
            </w:r>
            <w:proofErr w:type="spellStart"/>
            <w:r w:rsidRPr="00F86117">
              <w:rPr>
                <w:rStyle w:val="Small"/>
                <w:rFonts w:ascii="Arial Narrow" w:hAnsi="Arial Narrow" w:cstheme="minorHAnsi"/>
                <w:szCs w:val="20"/>
              </w:rPr>
              <w:t>CABOSUN</w:t>
            </w:r>
            <w:proofErr w:type="spellEnd"/>
            <w:r w:rsidRPr="00F86117">
              <w:rPr>
                <w:rStyle w:val="Small"/>
                <w:rFonts w:ascii="Arial Narrow" w:hAnsi="Arial Narrow" w:cstheme="minorHAnsi"/>
                <w:szCs w:val="20"/>
              </w:rPr>
              <w:t xml:space="preserve"> randomised trial): progression-free survival by independent review and overall survival update."  </w:t>
            </w:r>
          </w:p>
        </w:tc>
        <w:tc>
          <w:tcPr>
            <w:tcW w:w="1354" w:type="pct"/>
            <w:tcBorders>
              <w:top w:val="single" w:sz="4" w:space="0" w:color="auto"/>
              <w:left w:val="single" w:sz="4" w:space="0" w:color="auto"/>
              <w:bottom w:val="single" w:sz="4" w:space="0" w:color="auto"/>
              <w:right w:val="single" w:sz="4" w:space="0" w:color="auto"/>
            </w:tcBorders>
          </w:tcPr>
          <w:p w:rsidR="00BB433C" w:rsidRPr="00F86117" w:rsidRDefault="00BB433C" w:rsidP="00E4613D">
            <w:pPr>
              <w:pStyle w:val="Table"/>
              <w:keepNext/>
              <w:keepLines/>
              <w:spacing w:before="40" w:after="60"/>
              <w:rPr>
                <w:rStyle w:val="Small"/>
                <w:rFonts w:ascii="Arial Narrow" w:hAnsi="Arial Narrow" w:cstheme="minorHAnsi"/>
                <w:szCs w:val="20"/>
              </w:rPr>
            </w:pPr>
            <w:r w:rsidRPr="00F86117">
              <w:rPr>
                <w:rStyle w:val="Small"/>
                <w:rFonts w:ascii="Arial Narrow" w:hAnsi="Arial Narrow" w:cstheme="minorHAnsi"/>
                <w:szCs w:val="20"/>
              </w:rPr>
              <w:t xml:space="preserve">31 July 2017 </w:t>
            </w:r>
          </w:p>
          <w:p w:rsidR="00BB433C" w:rsidRPr="00F86117" w:rsidRDefault="00BB433C" w:rsidP="00E4613D">
            <w:pPr>
              <w:pStyle w:val="Table"/>
              <w:keepNext/>
              <w:keepLines/>
              <w:spacing w:before="40" w:after="60"/>
              <w:rPr>
                <w:rStyle w:val="Small"/>
                <w:rFonts w:ascii="Arial Narrow" w:hAnsi="Arial Narrow" w:cstheme="minorHAnsi"/>
                <w:szCs w:val="20"/>
              </w:rPr>
            </w:pPr>
          </w:p>
          <w:p w:rsidR="00BB433C" w:rsidRPr="00F86117" w:rsidRDefault="00BB433C" w:rsidP="003E54EE">
            <w:pPr>
              <w:pStyle w:val="Table"/>
              <w:keepNext/>
              <w:keepLines/>
              <w:spacing w:before="40" w:after="240"/>
              <w:rPr>
                <w:rStyle w:val="Small"/>
                <w:rFonts w:ascii="Arial Narrow" w:hAnsi="Arial Narrow" w:cstheme="minorHAnsi"/>
                <w:szCs w:val="20"/>
              </w:rPr>
            </w:pPr>
            <w:r w:rsidRPr="00F86117">
              <w:rPr>
                <w:rStyle w:val="Small"/>
                <w:rFonts w:ascii="Arial Narrow" w:hAnsi="Arial Narrow" w:cstheme="minorHAnsi"/>
                <w:szCs w:val="20"/>
              </w:rPr>
              <w:t xml:space="preserve">Annals of oncology. Conference: 41st </w:t>
            </w:r>
            <w:r w:rsidRPr="00F86117">
              <w:rPr>
                <w:rStyle w:val="Small"/>
                <w:rFonts w:ascii="Arial Narrow" w:hAnsi="Arial Narrow"/>
                <w:szCs w:val="20"/>
              </w:rPr>
              <w:t>E</w:t>
            </w:r>
            <w:r w:rsidRPr="00F86117">
              <w:rPr>
                <w:rStyle w:val="Small"/>
                <w:rFonts w:ascii="Arial Narrow" w:hAnsi="Arial Narrow" w:cstheme="minorHAnsi"/>
                <w:szCs w:val="20"/>
              </w:rPr>
              <w:t xml:space="preserve">uropean </w:t>
            </w:r>
            <w:r w:rsidRPr="00F86117">
              <w:rPr>
                <w:rStyle w:val="Small"/>
                <w:rFonts w:ascii="Arial Narrow" w:hAnsi="Arial Narrow"/>
                <w:szCs w:val="20"/>
              </w:rPr>
              <w:t>S</w:t>
            </w:r>
            <w:r w:rsidRPr="00F86117">
              <w:rPr>
                <w:rStyle w:val="Small"/>
                <w:rFonts w:ascii="Arial Narrow" w:hAnsi="Arial Narrow" w:cstheme="minorHAnsi"/>
                <w:szCs w:val="20"/>
              </w:rPr>
              <w:t xml:space="preserve">ociety for </w:t>
            </w:r>
            <w:r w:rsidRPr="00F86117">
              <w:rPr>
                <w:rStyle w:val="Small"/>
                <w:rFonts w:ascii="Arial Narrow" w:hAnsi="Arial Narrow"/>
                <w:szCs w:val="20"/>
              </w:rPr>
              <w:t>M</w:t>
            </w:r>
            <w:r w:rsidRPr="00F86117">
              <w:rPr>
                <w:rStyle w:val="Small"/>
                <w:rFonts w:ascii="Arial Narrow" w:hAnsi="Arial Narrow" w:cstheme="minorHAnsi"/>
                <w:szCs w:val="20"/>
              </w:rPr>
              <w:t xml:space="preserve">edical </w:t>
            </w:r>
            <w:r w:rsidRPr="00F86117">
              <w:rPr>
                <w:rStyle w:val="Small"/>
                <w:rFonts w:ascii="Arial Narrow" w:hAnsi="Arial Narrow"/>
                <w:szCs w:val="20"/>
              </w:rPr>
              <w:t>O</w:t>
            </w:r>
            <w:r w:rsidRPr="00F86117">
              <w:rPr>
                <w:rStyle w:val="Small"/>
                <w:rFonts w:ascii="Arial Narrow" w:hAnsi="Arial Narrow" w:cstheme="minorHAnsi"/>
                <w:szCs w:val="20"/>
              </w:rPr>
              <w:t xml:space="preserve">ncology </w:t>
            </w:r>
            <w:r w:rsidRPr="00F86117">
              <w:rPr>
                <w:rStyle w:val="Small"/>
                <w:rFonts w:ascii="Arial Narrow" w:hAnsi="Arial Narrow"/>
                <w:szCs w:val="20"/>
              </w:rPr>
              <w:t>C</w:t>
            </w:r>
            <w:r w:rsidRPr="00F86117">
              <w:rPr>
                <w:rStyle w:val="Small"/>
                <w:rFonts w:ascii="Arial Narrow" w:hAnsi="Arial Narrow" w:cstheme="minorHAnsi"/>
                <w:szCs w:val="20"/>
              </w:rPr>
              <w:t>ongress, ESMO 2016. Denmark. 27 (no pagination)</w:t>
            </w:r>
          </w:p>
          <w:p w:rsidR="00BB433C" w:rsidRPr="00F86117" w:rsidRDefault="00BB433C" w:rsidP="003E54EE">
            <w:pPr>
              <w:pStyle w:val="Table"/>
              <w:keepNext/>
              <w:keepLines/>
              <w:spacing w:before="40" w:after="600"/>
              <w:rPr>
                <w:rStyle w:val="Small"/>
                <w:rFonts w:ascii="Arial Narrow" w:hAnsi="Arial Narrow" w:cstheme="minorHAnsi"/>
                <w:szCs w:val="20"/>
              </w:rPr>
            </w:pPr>
            <w:r w:rsidRPr="00F86117">
              <w:rPr>
                <w:rStyle w:val="Small"/>
                <w:rFonts w:ascii="Arial Narrow" w:hAnsi="Arial Narrow" w:cstheme="minorHAnsi"/>
                <w:szCs w:val="20"/>
              </w:rPr>
              <w:t xml:space="preserve">J </w:t>
            </w:r>
            <w:proofErr w:type="spellStart"/>
            <w:r w:rsidRPr="00F86117">
              <w:rPr>
                <w:rStyle w:val="Small"/>
                <w:rFonts w:ascii="Arial Narrow" w:hAnsi="Arial Narrow" w:cstheme="minorHAnsi"/>
                <w:szCs w:val="20"/>
              </w:rPr>
              <w:t>Clin</w:t>
            </w:r>
            <w:proofErr w:type="spellEnd"/>
            <w:r w:rsidRPr="00F86117">
              <w:rPr>
                <w:rStyle w:val="Small"/>
                <w:rFonts w:ascii="Arial Narrow" w:hAnsi="Arial Narrow" w:cstheme="minorHAnsi"/>
                <w:szCs w:val="20"/>
              </w:rPr>
              <w:t xml:space="preserve"> </w:t>
            </w:r>
            <w:proofErr w:type="spellStart"/>
            <w:r w:rsidRPr="00F86117">
              <w:rPr>
                <w:rStyle w:val="Small"/>
                <w:rFonts w:ascii="Arial Narrow" w:hAnsi="Arial Narrow" w:cstheme="minorHAnsi"/>
                <w:szCs w:val="20"/>
              </w:rPr>
              <w:t>Oncol</w:t>
            </w:r>
            <w:proofErr w:type="spellEnd"/>
            <w:r w:rsidRPr="00F86117">
              <w:rPr>
                <w:rStyle w:val="Small"/>
                <w:rFonts w:ascii="Arial Narrow" w:hAnsi="Arial Narrow" w:cstheme="minorHAnsi"/>
                <w:szCs w:val="20"/>
              </w:rPr>
              <w:t xml:space="preserve"> 35 (6):</w:t>
            </w:r>
            <w:r w:rsidRPr="00F86117">
              <w:rPr>
                <w:rStyle w:val="Small"/>
                <w:rFonts w:ascii="Arial Narrow" w:hAnsi="Arial Narrow"/>
                <w:szCs w:val="20"/>
              </w:rPr>
              <w:t xml:space="preserve"> </w:t>
            </w:r>
            <w:r w:rsidRPr="00F86117">
              <w:rPr>
                <w:rStyle w:val="Small"/>
                <w:rFonts w:ascii="Arial Narrow" w:hAnsi="Arial Narrow" w:cstheme="minorHAnsi"/>
                <w:szCs w:val="20"/>
              </w:rPr>
              <w:t xml:space="preserve">591-597 </w:t>
            </w:r>
          </w:p>
          <w:p w:rsidR="00BB433C" w:rsidRPr="00F86117" w:rsidRDefault="00BB433C" w:rsidP="00E4613D">
            <w:pPr>
              <w:pStyle w:val="Table"/>
              <w:keepNext/>
              <w:keepLines/>
              <w:spacing w:before="40" w:after="60"/>
              <w:rPr>
                <w:rStyle w:val="Small"/>
                <w:rFonts w:ascii="Arial Narrow" w:hAnsi="Arial Narrow" w:cstheme="minorHAnsi"/>
                <w:szCs w:val="20"/>
              </w:rPr>
            </w:pPr>
          </w:p>
          <w:p w:rsidR="00BB433C" w:rsidRPr="00F86117" w:rsidRDefault="00BB433C" w:rsidP="00E4613D">
            <w:pPr>
              <w:pStyle w:val="Table"/>
              <w:keepNext/>
              <w:keepLines/>
              <w:spacing w:before="40" w:after="60"/>
              <w:rPr>
                <w:rStyle w:val="Small"/>
                <w:rFonts w:ascii="Arial Narrow" w:hAnsi="Arial Narrow" w:cstheme="minorHAnsi"/>
                <w:szCs w:val="20"/>
              </w:rPr>
            </w:pPr>
            <w:r w:rsidRPr="00F86117">
              <w:rPr>
                <w:rStyle w:val="Small"/>
                <w:rFonts w:ascii="Arial Narrow" w:hAnsi="Arial Narrow" w:cstheme="minorHAnsi"/>
                <w:szCs w:val="20"/>
              </w:rPr>
              <w:t xml:space="preserve">European </w:t>
            </w:r>
            <w:r w:rsidRPr="00F86117">
              <w:rPr>
                <w:rStyle w:val="Small"/>
                <w:rFonts w:ascii="Arial Narrow" w:hAnsi="Arial Narrow"/>
                <w:szCs w:val="20"/>
              </w:rPr>
              <w:t>J C</w:t>
            </w:r>
            <w:r w:rsidRPr="00F86117">
              <w:rPr>
                <w:rStyle w:val="Small"/>
                <w:rFonts w:ascii="Arial Narrow" w:hAnsi="Arial Narrow" w:cstheme="minorHAnsi"/>
                <w:szCs w:val="20"/>
              </w:rPr>
              <w:t>ancer 94:115</w:t>
            </w:r>
            <w:r w:rsidRPr="00F86117">
              <w:rPr>
                <w:rStyle w:val="Small"/>
                <w:rFonts w:ascii="Cambria Math" w:hAnsi="Cambria Math" w:cs="Cambria Math"/>
                <w:szCs w:val="20"/>
              </w:rPr>
              <w:t>‐</w:t>
            </w:r>
            <w:r w:rsidRPr="00F86117">
              <w:rPr>
                <w:rStyle w:val="Small"/>
                <w:rFonts w:ascii="Arial Narrow" w:hAnsi="Arial Narrow" w:cstheme="minorHAnsi"/>
                <w:szCs w:val="20"/>
              </w:rPr>
              <w:t>125.</w:t>
            </w:r>
          </w:p>
        </w:tc>
      </w:tr>
      <w:tr w:rsidR="00BB433C" w:rsidRPr="00F86117" w:rsidTr="002C59F7">
        <w:tc>
          <w:tcPr>
            <w:tcW w:w="870" w:type="pct"/>
            <w:tcBorders>
              <w:top w:val="single" w:sz="4" w:space="0" w:color="auto"/>
            </w:tcBorders>
          </w:tcPr>
          <w:p w:rsidR="00BB433C" w:rsidRPr="00F86117" w:rsidRDefault="00BB433C" w:rsidP="00E4613D">
            <w:pPr>
              <w:pStyle w:val="Table"/>
              <w:keepNext/>
              <w:keepLines/>
              <w:rPr>
                <w:rStyle w:val="Small"/>
                <w:rFonts w:ascii="Arial Narrow" w:hAnsi="Arial Narrow" w:cstheme="minorHAnsi"/>
                <w:b/>
                <w:szCs w:val="20"/>
              </w:rPr>
            </w:pPr>
            <w:r w:rsidRPr="00F86117">
              <w:rPr>
                <w:rStyle w:val="Small"/>
                <w:rFonts w:ascii="Arial Narrow" w:hAnsi="Arial Narrow" w:cstheme="minorHAnsi"/>
                <w:b/>
                <w:szCs w:val="20"/>
              </w:rPr>
              <w:t>CheckMate214</w:t>
            </w:r>
          </w:p>
          <w:p w:rsidR="00BB433C" w:rsidRPr="00F86117" w:rsidRDefault="00BB433C" w:rsidP="00E4613D">
            <w:pPr>
              <w:pStyle w:val="Table"/>
              <w:keepNext/>
              <w:keepLines/>
              <w:rPr>
                <w:rStyle w:val="SmallItalics"/>
                <w:rFonts w:ascii="Arial Narrow" w:hAnsi="Arial Narrow"/>
                <w:szCs w:val="20"/>
              </w:rPr>
            </w:pPr>
            <w:r w:rsidRPr="00F86117">
              <w:rPr>
                <w:rStyle w:val="Small"/>
                <w:rFonts w:ascii="Arial Narrow" w:hAnsi="Arial Narrow" w:cstheme="minorHAnsi"/>
                <w:b/>
                <w:szCs w:val="20"/>
              </w:rPr>
              <w:t>(NCT02231749)</w:t>
            </w:r>
          </w:p>
        </w:tc>
        <w:tc>
          <w:tcPr>
            <w:tcW w:w="2776" w:type="pct"/>
            <w:tcBorders>
              <w:top w:val="single" w:sz="4" w:space="0" w:color="auto"/>
            </w:tcBorders>
          </w:tcPr>
          <w:p w:rsidR="00BB433C" w:rsidRPr="00F86117" w:rsidRDefault="00BB433C" w:rsidP="00E4613D">
            <w:pPr>
              <w:pStyle w:val="Table"/>
              <w:keepNext/>
              <w:keepLines/>
              <w:rPr>
                <w:rStyle w:val="Small"/>
                <w:rFonts w:ascii="Arial Narrow" w:hAnsi="Arial Narrow" w:cstheme="minorHAnsi"/>
                <w:szCs w:val="20"/>
              </w:rPr>
            </w:pPr>
            <w:r w:rsidRPr="00F86117">
              <w:rPr>
                <w:rStyle w:val="Small"/>
                <w:rFonts w:ascii="Arial Narrow" w:hAnsi="Arial Narrow" w:cstheme="minorHAnsi"/>
                <w:szCs w:val="20"/>
              </w:rPr>
              <w:t xml:space="preserve">Motzer RJ, </w:t>
            </w:r>
            <w:proofErr w:type="spellStart"/>
            <w:r w:rsidRPr="00F86117">
              <w:rPr>
                <w:rStyle w:val="Small"/>
                <w:rFonts w:ascii="Arial Narrow" w:hAnsi="Arial Narrow" w:cstheme="minorHAnsi"/>
                <w:szCs w:val="20"/>
              </w:rPr>
              <w:t>Tannir</w:t>
            </w:r>
            <w:proofErr w:type="spellEnd"/>
            <w:r w:rsidRPr="00F86117">
              <w:rPr>
                <w:rStyle w:val="Small"/>
                <w:rFonts w:ascii="Arial Narrow" w:hAnsi="Arial Narrow" w:cstheme="minorHAnsi"/>
                <w:szCs w:val="20"/>
              </w:rPr>
              <w:t xml:space="preserve"> NM, McDermott DF et al. 2018. "</w:t>
            </w:r>
            <w:proofErr w:type="spellStart"/>
            <w:r w:rsidRPr="00F86117">
              <w:rPr>
                <w:rStyle w:val="Small"/>
                <w:rFonts w:ascii="Arial Narrow" w:hAnsi="Arial Narrow" w:cstheme="minorHAnsi"/>
                <w:szCs w:val="20"/>
              </w:rPr>
              <w:t>Nivolumab</w:t>
            </w:r>
            <w:proofErr w:type="spellEnd"/>
            <w:r w:rsidRPr="00F86117">
              <w:rPr>
                <w:rStyle w:val="Small"/>
                <w:rFonts w:ascii="Arial Narrow" w:hAnsi="Arial Narrow" w:cstheme="minorHAnsi"/>
                <w:szCs w:val="20"/>
              </w:rPr>
              <w:t xml:space="preserve"> plus Ipilimumab versus </w:t>
            </w:r>
            <w:proofErr w:type="spellStart"/>
            <w:r w:rsidRPr="00F86117">
              <w:rPr>
                <w:rStyle w:val="Small"/>
                <w:rFonts w:ascii="Arial Narrow" w:hAnsi="Arial Narrow" w:cstheme="minorHAnsi"/>
                <w:szCs w:val="20"/>
              </w:rPr>
              <w:t>Sunitinib</w:t>
            </w:r>
            <w:proofErr w:type="spellEnd"/>
            <w:r w:rsidRPr="00F86117">
              <w:rPr>
                <w:rStyle w:val="Small"/>
                <w:rFonts w:ascii="Arial Narrow" w:hAnsi="Arial Narrow" w:cstheme="minorHAnsi"/>
                <w:szCs w:val="20"/>
              </w:rPr>
              <w:t xml:space="preserve"> in Advanced Renal-Cell Carcinoma."</w:t>
            </w:r>
          </w:p>
          <w:p w:rsidR="00BB433C" w:rsidRPr="00F86117" w:rsidRDefault="00BB433C" w:rsidP="00E4613D">
            <w:pPr>
              <w:pStyle w:val="Table"/>
              <w:keepNext/>
              <w:keepLines/>
              <w:rPr>
                <w:rStyle w:val="Small"/>
                <w:rFonts w:ascii="Arial Narrow" w:hAnsi="Arial Narrow" w:cstheme="minorHAnsi"/>
                <w:szCs w:val="20"/>
              </w:rPr>
            </w:pPr>
          </w:p>
          <w:p w:rsidR="00BB433C" w:rsidRPr="00F86117" w:rsidRDefault="00BB433C" w:rsidP="00E4613D">
            <w:pPr>
              <w:pStyle w:val="Table"/>
              <w:keepNext/>
              <w:keepLines/>
              <w:rPr>
                <w:rStyle w:val="Small"/>
                <w:rFonts w:ascii="Arial Narrow" w:hAnsi="Arial Narrow" w:cstheme="minorHAnsi"/>
                <w:szCs w:val="20"/>
              </w:rPr>
            </w:pPr>
            <w:r w:rsidRPr="00F86117">
              <w:rPr>
                <w:rStyle w:val="Small"/>
                <w:rFonts w:ascii="Arial Narrow" w:hAnsi="Arial Narrow" w:cstheme="minorHAnsi"/>
                <w:szCs w:val="20"/>
              </w:rPr>
              <w:t>Hammers, H., Sternberg, C., McDermott, D. F. et al. 2014. "A phase 3, randomised, open</w:t>
            </w:r>
            <w:r w:rsidRPr="00F86117">
              <w:rPr>
                <w:rStyle w:val="Small"/>
                <w:rFonts w:ascii="Arial Narrow" w:hAnsi="Arial Narrow"/>
                <w:szCs w:val="20"/>
              </w:rPr>
              <w:t xml:space="preserve"> </w:t>
            </w:r>
            <w:r w:rsidRPr="00F86117">
              <w:rPr>
                <w:rStyle w:val="Small"/>
                <w:rFonts w:ascii="Arial Narrow" w:hAnsi="Arial Narrow" w:cstheme="minorHAnsi"/>
                <w:szCs w:val="20"/>
              </w:rPr>
              <w:t xml:space="preserve">label study of </w:t>
            </w:r>
            <w:proofErr w:type="spellStart"/>
            <w:r w:rsidRPr="00F86117">
              <w:rPr>
                <w:rStyle w:val="Small"/>
                <w:rFonts w:ascii="Arial Narrow" w:hAnsi="Arial Narrow" w:cstheme="minorHAnsi"/>
                <w:szCs w:val="20"/>
              </w:rPr>
              <w:t>nivolumab</w:t>
            </w:r>
            <w:proofErr w:type="spellEnd"/>
            <w:r w:rsidRPr="00F86117">
              <w:rPr>
                <w:rStyle w:val="Small"/>
                <w:rFonts w:ascii="Arial Narrow" w:hAnsi="Arial Narrow" w:cstheme="minorHAnsi"/>
                <w:szCs w:val="20"/>
              </w:rPr>
              <w:t xml:space="preserve"> combined with </w:t>
            </w:r>
            <w:proofErr w:type="spellStart"/>
            <w:r w:rsidRPr="00F86117">
              <w:rPr>
                <w:rStyle w:val="Small"/>
                <w:rFonts w:ascii="Arial Narrow" w:hAnsi="Arial Narrow" w:cstheme="minorHAnsi"/>
                <w:szCs w:val="20"/>
              </w:rPr>
              <w:t>ipilimumab</w:t>
            </w:r>
            <w:proofErr w:type="spellEnd"/>
            <w:r w:rsidRPr="00F86117">
              <w:rPr>
                <w:rStyle w:val="Small"/>
                <w:rFonts w:ascii="Arial Narrow" w:hAnsi="Arial Narrow" w:cstheme="minorHAnsi"/>
                <w:szCs w:val="20"/>
              </w:rPr>
              <w:t xml:space="preserve"> versus </w:t>
            </w:r>
            <w:proofErr w:type="spellStart"/>
            <w:r w:rsidRPr="00F86117">
              <w:rPr>
                <w:rStyle w:val="Small"/>
                <w:rFonts w:ascii="Arial Narrow" w:hAnsi="Arial Narrow" w:cstheme="minorHAnsi"/>
                <w:szCs w:val="20"/>
              </w:rPr>
              <w:t>sunitinib</w:t>
            </w:r>
            <w:proofErr w:type="spellEnd"/>
            <w:r w:rsidRPr="00F86117">
              <w:rPr>
                <w:rStyle w:val="Small"/>
                <w:rFonts w:ascii="Arial Narrow" w:hAnsi="Arial Narrow" w:cstheme="minorHAnsi"/>
                <w:szCs w:val="20"/>
              </w:rPr>
              <w:t xml:space="preserve"> monotherapy in patients with previously untreated metastatic renal cell carcinoma."</w:t>
            </w:r>
          </w:p>
          <w:p w:rsidR="00BB433C" w:rsidRPr="00F86117" w:rsidRDefault="00BB433C" w:rsidP="00E4613D">
            <w:pPr>
              <w:pStyle w:val="Table"/>
              <w:keepNext/>
              <w:keepLines/>
              <w:rPr>
                <w:rStyle w:val="SmallItalics"/>
                <w:rFonts w:ascii="Arial Narrow" w:hAnsi="Arial Narrow"/>
                <w:szCs w:val="20"/>
              </w:rPr>
            </w:pPr>
          </w:p>
          <w:p w:rsidR="00BB433C" w:rsidRPr="00F86117" w:rsidRDefault="00BB433C" w:rsidP="00E4613D">
            <w:pPr>
              <w:pStyle w:val="Table"/>
              <w:keepNext/>
              <w:keepLines/>
              <w:rPr>
                <w:rStyle w:val="Small"/>
                <w:rFonts w:ascii="Arial Narrow" w:hAnsi="Arial Narrow" w:cstheme="minorHAnsi"/>
                <w:szCs w:val="20"/>
              </w:rPr>
            </w:pPr>
            <w:r w:rsidRPr="00F86117">
              <w:rPr>
                <w:rStyle w:val="Small"/>
                <w:rFonts w:ascii="Arial Narrow" w:hAnsi="Arial Narrow" w:cstheme="minorHAnsi"/>
                <w:szCs w:val="20"/>
              </w:rPr>
              <w:t xml:space="preserve">Hammers, H. J., </w:t>
            </w:r>
            <w:proofErr w:type="spellStart"/>
            <w:r w:rsidRPr="00F86117">
              <w:rPr>
                <w:rStyle w:val="Small"/>
                <w:rFonts w:ascii="Arial Narrow" w:hAnsi="Arial Narrow" w:cstheme="minorHAnsi"/>
                <w:szCs w:val="20"/>
              </w:rPr>
              <w:t>Plimack</w:t>
            </w:r>
            <w:proofErr w:type="spellEnd"/>
            <w:r w:rsidRPr="00F86117">
              <w:rPr>
                <w:rStyle w:val="Small"/>
                <w:rFonts w:ascii="Arial Narrow" w:hAnsi="Arial Narrow" w:cstheme="minorHAnsi"/>
                <w:szCs w:val="20"/>
              </w:rPr>
              <w:t>, E. R., Sternberg, C. et al. 2015. "</w:t>
            </w:r>
            <w:proofErr w:type="spellStart"/>
            <w:r w:rsidRPr="00F86117">
              <w:rPr>
                <w:rStyle w:val="Small"/>
                <w:rFonts w:ascii="Arial Narrow" w:hAnsi="Arial Narrow" w:cstheme="minorHAnsi"/>
                <w:szCs w:val="20"/>
              </w:rPr>
              <w:t>CheckMate</w:t>
            </w:r>
            <w:proofErr w:type="spellEnd"/>
            <w:r w:rsidRPr="00F86117">
              <w:rPr>
                <w:rStyle w:val="Small"/>
                <w:rFonts w:ascii="Arial Narrow" w:hAnsi="Arial Narrow" w:cstheme="minorHAnsi"/>
                <w:szCs w:val="20"/>
              </w:rPr>
              <w:t xml:space="preserve"> 214: A phase III, randomised, open-label study of </w:t>
            </w:r>
            <w:proofErr w:type="spellStart"/>
            <w:r w:rsidRPr="00F86117">
              <w:rPr>
                <w:rStyle w:val="Small"/>
                <w:rFonts w:ascii="Arial Narrow" w:hAnsi="Arial Narrow" w:cstheme="minorHAnsi"/>
                <w:szCs w:val="20"/>
              </w:rPr>
              <w:t>nivolumab</w:t>
            </w:r>
            <w:proofErr w:type="spellEnd"/>
            <w:r w:rsidRPr="00F86117">
              <w:rPr>
                <w:rStyle w:val="Small"/>
                <w:rFonts w:ascii="Arial Narrow" w:hAnsi="Arial Narrow" w:cstheme="minorHAnsi"/>
                <w:szCs w:val="20"/>
              </w:rPr>
              <w:t xml:space="preserve"> combined with </w:t>
            </w:r>
            <w:proofErr w:type="spellStart"/>
            <w:r w:rsidRPr="00F86117">
              <w:rPr>
                <w:rStyle w:val="Small"/>
                <w:rFonts w:ascii="Arial Narrow" w:hAnsi="Arial Narrow" w:cstheme="minorHAnsi"/>
                <w:szCs w:val="20"/>
              </w:rPr>
              <w:t>ipilimumab</w:t>
            </w:r>
            <w:proofErr w:type="spellEnd"/>
            <w:r w:rsidRPr="00F86117">
              <w:rPr>
                <w:rStyle w:val="Small"/>
                <w:rFonts w:ascii="Arial Narrow" w:hAnsi="Arial Narrow" w:cstheme="minorHAnsi"/>
                <w:szCs w:val="20"/>
              </w:rPr>
              <w:t xml:space="preserve"> versus </w:t>
            </w:r>
            <w:proofErr w:type="spellStart"/>
            <w:r w:rsidRPr="00F86117">
              <w:rPr>
                <w:rStyle w:val="Small"/>
                <w:rFonts w:ascii="Arial Narrow" w:hAnsi="Arial Narrow" w:cstheme="minorHAnsi"/>
                <w:szCs w:val="20"/>
              </w:rPr>
              <w:t>sunitinib</w:t>
            </w:r>
            <w:proofErr w:type="spellEnd"/>
            <w:r w:rsidRPr="00F86117">
              <w:rPr>
                <w:rStyle w:val="Small"/>
                <w:rFonts w:ascii="Arial Narrow" w:hAnsi="Arial Narrow" w:cstheme="minorHAnsi"/>
                <w:szCs w:val="20"/>
              </w:rPr>
              <w:t xml:space="preserve"> monotherapy in patients with previously untreated metastatic renal cell carcinoma."</w:t>
            </w:r>
          </w:p>
          <w:p w:rsidR="00BB433C" w:rsidRPr="00F86117" w:rsidRDefault="00BB433C" w:rsidP="00E4613D">
            <w:pPr>
              <w:pStyle w:val="Table"/>
              <w:keepNext/>
              <w:keepLines/>
              <w:rPr>
                <w:rStyle w:val="Small"/>
                <w:rFonts w:ascii="Arial Narrow" w:hAnsi="Arial Narrow" w:cstheme="minorHAnsi"/>
                <w:szCs w:val="20"/>
              </w:rPr>
            </w:pPr>
          </w:p>
          <w:p w:rsidR="00BB433C" w:rsidRPr="00F86117" w:rsidRDefault="00BB433C" w:rsidP="00E4613D">
            <w:pPr>
              <w:pStyle w:val="Table"/>
              <w:keepNext/>
              <w:keepLines/>
              <w:spacing w:before="40" w:after="60"/>
              <w:rPr>
                <w:rStyle w:val="Small"/>
                <w:rFonts w:ascii="Arial Narrow" w:hAnsi="Arial Narrow" w:cstheme="minorHAnsi"/>
                <w:szCs w:val="20"/>
              </w:rPr>
            </w:pPr>
            <w:proofErr w:type="spellStart"/>
            <w:r w:rsidRPr="00F86117">
              <w:rPr>
                <w:rStyle w:val="Small"/>
                <w:rFonts w:ascii="Arial Narrow" w:hAnsi="Arial Narrow" w:cstheme="minorHAnsi"/>
                <w:szCs w:val="20"/>
              </w:rPr>
              <w:t>Rexer</w:t>
            </w:r>
            <w:proofErr w:type="spellEnd"/>
            <w:r w:rsidRPr="00F86117">
              <w:rPr>
                <w:rStyle w:val="Small"/>
                <w:rFonts w:ascii="Arial Narrow" w:hAnsi="Arial Narrow" w:cstheme="minorHAnsi"/>
                <w:szCs w:val="20"/>
              </w:rPr>
              <w:t xml:space="preserve">, H. 2015. "[Therapy of untreated local advanced or metastatic renal cell carcinoma. Phase III, randomised, open-label study of </w:t>
            </w:r>
            <w:proofErr w:type="spellStart"/>
            <w:r w:rsidRPr="00F86117">
              <w:rPr>
                <w:rStyle w:val="Small"/>
                <w:rFonts w:ascii="Arial Narrow" w:hAnsi="Arial Narrow" w:cstheme="minorHAnsi"/>
                <w:szCs w:val="20"/>
              </w:rPr>
              <w:t>nivolumab</w:t>
            </w:r>
            <w:proofErr w:type="spellEnd"/>
            <w:r w:rsidRPr="00F86117">
              <w:rPr>
                <w:rStyle w:val="Small"/>
                <w:rFonts w:ascii="Arial Narrow" w:hAnsi="Arial Narrow" w:cstheme="minorHAnsi"/>
                <w:szCs w:val="20"/>
              </w:rPr>
              <w:t xml:space="preserve"> combined with </w:t>
            </w:r>
            <w:proofErr w:type="spellStart"/>
            <w:r w:rsidRPr="00F86117">
              <w:rPr>
                <w:rStyle w:val="Small"/>
                <w:rFonts w:ascii="Arial Narrow" w:hAnsi="Arial Narrow" w:cstheme="minorHAnsi"/>
                <w:szCs w:val="20"/>
              </w:rPr>
              <w:t>ipilimumab</w:t>
            </w:r>
            <w:proofErr w:type="spellEnd"/>
            <w:r w:rsidRPr="00F86117">
              <w:rPr>
                <w:rStyle w:val="Small"/>
                <w:rFonts w:ascii="Arial Narrow" w:hAnsi="Arial Narrow" w:cstheme="minorHAnsi"/>
                <w:szCs w:val="20"/>
              </w:rPr>
              <w:t xml:space="preserve"> versus </w:t>
            </w:r>
            <w:proofErr w:type="spellStart"/>
            <w:r w:rsidRPr="00F86117">
              <w:rPr>
                <w:rStyle w:val="Small"/>
                <w:rFonts w:ascii="Arial Narrow" w:hAnsi="Arial Narrow" w:cstheme="minorHAnsi"/>
                <w:szCs w:val="20"/>
              </w:rPr>
              <w:t>sunitinib</w:t>
            </w:r>
            <w:proofErr w:type="spellEnd"/>
            <w:r w:rsidRPr="00F86117">
              <w:rPr>
                <w:rStyle w:val="Small"/>
                <w:rFonts w:ascii="Arial Narrow" w:hAnsi="Arial Narrow" w:cstheme="minorHAnsi"/>
                <w:szCs w:val="20"/>
              </w:rPr>
              <w:t xml:space="preserve"> monotherapy in patients with previously untreated, local advanced or metastatic renal cell carcinoma (</w:t>
            </w:r>
            <w:proofErr w:type="spellStart"/>
            <w:r w:rsidRPr="00F86117">
              <w:rPr>
                <w:rStyle w:val="Small"/>
                <w:rFonts w:ascii="Arial Narrow" w:hAnsi="Arial Narrow" w:cstheme="minorHAnsi"/>
                <w:szCs w:val="20"/>
              </w:rPr>
              <w:t>CheckMate</w:t>
            </w:r>
            <w:proofErr w:type="spellEnd"/>
            <w:r w:rsidRPr="00F86117">
              <w:rPr>
                <w:rStyle w:val="Small"/>
                <w:rFonts w:ascii="Arial Narrow" w:hAnsi="Arial Narrow" w:cstheme="minorHAnsi"/>
                <w:szCs w:val="20"/>
              </w:rPr>
              <w:t xml:space="preserve"> 214 - AN 36/15 of the AUO)]."</w:t>
            </w:r>
          </w:p>
          <w:p w:rsidR="00BB433C" w:rsidRPr="00F86117" w:rsidRDefault="00BB433C" w:rsidP="00E4613D">
            <w:pPr>
              <w:pStyle w:val="Table"/>
              <w:keepNext/>
              <w:keepLines/>
              <w:spacing w:before="40" w:after="60"/>
              <w:rPr>
                <w:rStyle w:val="Small"/>
                <w:rFonts w:ascii="Arial Narrow" w:hAnsi="Arial Narrow" w:cstheme="minorHAnsi"/>
                <w:sz w:val="12"/>
                <w:szCs w:val="20"/>
              </w:rPr>
            </w:pPr>
          </w:p>
          <w:p w:rsidR="00BB433C" w:rsidRPr="00F86117" w:rsidRDefault="00BB433C" w:rsidP="00E4613D">
            <w:pPr>
              <w:pStyle w:val="Table"/>
              <w:keepNext/>
              <w:keepLines/>
              <w:rPr>
                <w:rStyle w:val="SmallItalics"/>
                <w:rFonts w:ascii="Arial Narrow" w:hAnsi="Arial Narrow"/>
                <w:i w:val="0"/>
                <w:szCs w:val="20"/>
              </w:rPr>
            </w:pPr>
            <w:proofErr w:type="spellStart"/>
            <w:r w:rsidRPr="00F86117">
              <w:rPr>
                <w:rStyle w:val="SmallItalics"/>
                <w:rFonts w:ascii="Arial Narrow" w:hAnsi="Arial Narrow"/>
                <w:i w:val="0"/>
                <w:szCs w:val="20"/>
              </w:rPr>
              <w:t>Therapie</w:t>
            </w:r>
            <w:proofErr w:type="spellEnd"/>
            <w:r w:rsidRPr="00F86117">
              <w:rPr>
                <w:rStyle w:val="SmallItalics"/>
                <w:rFonts w:ascii="Arial Narrow" w:hAnsi="Arial Narrow"/>
                <w:i w:val="0"/>
                <w:szCs w:val="20"/>
              </w:rPr>
              <w:t xml:space="preserve"> des </w:t>
            </w:r>
            <w:proofErr w:type="spellStart"/>
            <w:r w:rsidRPr="00F86117">
              <w:rPr>
                <w:rStyle w:val="SmallItalics"/>
                <w:rFonts w:ascii="Arial Narrow" w:hAnsi="Arial Narrow"/>
                <w:i w:val="0"/>
                <w:szCs w:val="20"/>
              </w:rPr>
              <w:t>unbehandelten</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lokal</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fortgeschrittenen</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oder</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metastasierten</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Nierenzellkarzinoms</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Randomisierte</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offene</w:t>
            </w:r>
            <w:proofErr w:type="spellEnd"/>
            <w:r w:rsidRPr="00F86117">
              <w:rPr>
                <w:rStyle w:val="SmallItalics"/>
                <w:rFonts w:ascii="Arial Narrow" w:hAnsi="Arial Narrow"/>
                <w:i w:val="0"/>
                <w:szCs w:val="20"/>
              </w:rPr>
              <w:t xml:space="preserve"> Phase-III-</w:t>
            </w:r>
            <w:proofErr w:type="spellStart"/>
            <w:r w:rsidRPr="00F86117">
              <w:rPr>
                <w:rStyle w:val="SmallItalics"/>
                <w:rFonts w:ascii="Arial Narrow" w:hAnsi="Arial Narrow"/>
                <w:i w:val="0"/>
                <w:szCs w:val="20"/>
              </w:rPr>
              <w:t>Studie</w:t>
            </w:r>
            <w:proofErr w:type="spellEnd"/>
            <w:r w:rsidRPr="00F86117">
              <w:rPr>
                <w:rStyle w:val="SmallItalics"/>
                <w:rFonts w:ascii="Arial Narrow" w:hAnsi="Arial Narrow"/>
                <w:i w:val="0"/>
                <w:szCs w:val="20"/>
              </w:rPr>
              <w:t xml:space="preserve"> von </w:t>
            </w:r>
            <w:proofErr w:type="spellStart"/>
            <w:r w:rsidRPr="00F86117">
              <w:rPr>
                <w:rStyle w:val="SmallItalics"/>
                <w:rFonts w:ascii="Arial Narrow" w:hAnsi="Arial Narrow"/>
                <w:i w:val="0"/>
                <w:szCs w:val="20"/>
              </w:rPr>
              <w:t>Nivolumab</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kombiniert</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mit</w:t>
            </w:r>
            <w:proofErr w:type="spellEnd"/>
            <w:r w:rsidRPr="00F86117">
              <w:rPr>
                <w:rStyle w:val="SmallItalics"/>
                <w:rFonts w:ascii="Arial Narrow" w:hAnsi="Arial Narrow"/>
                <w:i w:val="0"/>
                <w:szCs w:val="20"/>
              </w:rPr>
              <w:t xml:space="preserve"> Ipilimumab- vs. </w:t>
            </w:r>
            <w:proofErr w:type="spellStart"/>
            <w:r w:rsidRPr="00F86117">
              <w:rPr>
                <w:rStyle w:val="SmallItalics"/>
                <w:rFonts w:ascii="Arial Narrow" w:hAnsi="Arial Narrow"/>
                <w:i w:val="0"/>
                <w:szCs w:val="20"/>
              </w:rPr>
              <w:t>Sunitinib-Monotherapie</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bei</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Patienten</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mit</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unbehandeltem</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lokal</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fortgeschrittenem</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oder</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metastasiertem</w:t>
            </w:r>
            <w:proofErr w:type="spellEnd"/>
            <w:r w:rsidRPr="00F86117">
              <w:rPr>
                <w:rStyle w:val="SmallItalics"/>
                <w:rFonts w:ascii="Arial Narrow" w:hAnsi="Arial Narrow"/>
                <w:i w:val="0"/>
                <w:szCs w:val="20"/>
              </w:rPr>
              <w:t xml:space="preserve"> </w:t>
            </w:r>
            <w:proofErr w:type="spellStart"/>
            <w:r w:rsidRPr="00F86117">
              <w:rPr>
                <w:rStyle w:val="SmallItalics"/>
                <w:rFonts w:ascii="Arial Narrow" w:hAnsi="Arial Narrow"/>
                <w:i w:val="0"/>
                <w:szCs w:val="20"/>
              </w:rPr>
              <w:t>Nierenzellkarzinom</w:t>
            </w:r>
            <w:proofErr w:type="spellEnd"/>
            <w:r w:rsidRPr="00F86117">
              <w:rPr>
                <w:rStyle w:val="SmallItalics"/>
                <w:rFonts w:ascii="Arial Narrow" w:hAnsi="Arial Narrow"/>
                <w:i w:val="0"/>
                <w:szCs w:val="20"/>
              </w:rPr>
              <w:t xml:space="preserve"> </w:t>
            </w:r>
          </w:p>
        </w:tc>
        <w:tc>
          <w:tcPr>
            <w:tcW w:w="1354" w:type="pct"/>
            <w:tcBorders>
              <w:top w:val="single" w:sz="4" w:space="0" w:color="auto"/>
            </w:tcBorders>
          </w:tcPr>
          <w:p w:rsidR="00BB433C" w:rsidRPr="00F86117" w:rsidRDefault="00BB433C" w:rsidP="00AC070A">
            <w:pPr>
              <w:pStyle w:val="Table"/>
              <w:keepNext/>
              <w:keepLines/>
              <w:spacing w:after="240"/>
              <w:rPr>
                <w:rStyle w:val="Small"/>
                <w:rFonts w:ascii="Arial Narrow" w:hAnsi="Arial Narrow" w:cstheme="minorHAnsi"/>
                <w:szCs w:val="20"/>
              </w:rPr>
            </w:pPr>
            <w:r w:rsidRPr="00F86117">
              <w:rPr>
                <w:rStyle w:val="Small"/>
                <w:rFonts w:ascii="Arial Narrow" w:hAnsi="Arial Narrow" w:cstheme="minorHAnsi"/>
                <w:szCs w:val="20"/>
              </w:rPr>
              <w:t xml:space="preserve">N </w:t>
            </w:r>
            <w:proofErr w:type="spellStart"/>
            <w:r w:rsidRPr="00F86117">
              <w:rPr>
                <w:rStyle w:val="Small"/>
                <w:rFonts w:ascii="Arial Narrow" w:hAnsi="Arial Narrow" w:cstheme="minorHAnsi"/>
                <w:szCs w:val="20"/>
              </w:rPr>
              <w:t>Engl</w:t>
            </w:r>
            <w:proofErr w:type="spellEnd"/>
            <w:r w:rsidRPr="00F86117">
              <w:rPr>
                <w:rStyle w:val="Small"/>
                <w:rFonts w:ascii="Arial Narrow" w:hAnsi="Arial Narrow" w:cstheme="minorHAnsi"/>
                <w:szCs w:val="20"/>
              </w:rPr>
              <w:t xml:space="preserve"> J Med 378 (14):1277-1290</w:t>
            </w:r>
          </w:p>
          <w:p w:rsidR="00BB433C" w:rsidRPr="00F86117" w:rsidRDefault="00BB433C" w:rsidP="00E4613D">
            <w:pPr>
              <w:pStyle w:val="Table"/>
              <w:keepNext/>
              <w:keepLines/>
              <w:rPr>
                <w:rStyle w:val="Small"/>
                <w:rFonts w:ascii="Arial Narrow" w:hAnsi="Arial Narrow" w:cstheme="minorHAnsi"/>
                <w:szCs w:val="20"/>
              </w:rPr>
            </w:pPr>
          </w:p>
          <w:p w:rsidR="00BB433C" w:rsidRPr="00F86117" w:rsidRDefault="00BB433C" w:rsidP="00AC070A">
            <w:pPr>
              <w:pStyle w:val="Table"/>
              <w:keepNext/>
              <w:keepLines/>
              <w:spacing w:after="480"/>
              <w:rPr>
                <w:rStyle w:val="Small"/>
                <w:rFonts w:ascii="Arial Narrow" w:hAnsi="Arial Narrow" w:cstheme="minorHAnsi"/>
                <w:szCs w:val="20"/>
              </w:rPr>
            </w:pPr>
            <w:r w:rsidRPr="00F86117">
              <w:rPr>
                <w:rStyle w:val="Small"/>
                <w:rFonts w:ascii="Arial Narrow" w:hAnsi="Arial Narrow" w:cstheme="minorHAnsi"/>
                <w:szCs w:val="20"/>
              </w:rPr>
              <w:t>BJU International 114 (SUPPL. 4):9</w:t>
            </w:r>
          </w:p>
          <w:p w:rsidR="00BB433C" w:rsidRPr="00F86117" w:rsidRDefault="00BB433C" w:rsidP="00E4613D">
            <w:pPr>
              <w:pStyle w:val="Table"/>
              <w:keepNext/>
              <w:keepLines/>
              <w:rPr>
                <w:rStyle w:val="Small"/>
                <w:rFonts w:ascii="Arial Narrow" w:hAnsi="Arial Narrow" w:cstheme="minorHAnsi"/>
                <w:szCs w:val="20"/>
              </w:rPr>
            </w:pPr>
          </w:p>
          <w:p w:rsidR="00BB433C" w:rsidRPr="00F86117" w:rsidRDefault="00BB433C" w:rsidP="00AC070A">
            <w:pPr>
              <w:pStyle w:val="Table"/>
              <w:keepNext/>
              <w:keepLines/>
              <w:spacing w:after="560"/>
              <w:rPr>
                <w:rStyle w:val="Small"/>
                <w:rFonts w:ascii="Arial Narrow" w:hAnsi="Arial Narrow" w:cstheme="minorHAnsi"/>
                <w:szCs w:val="20"/>
              </w:rPr>
            </w:pPr>
            <w:r w:rsidRPr="00F86117">
              <w:rPr>
                <w:rStyle w:val="Small"/>
                <w:rFonts w:ascii="Arial Narrow" w:hAnsi="Arial Narrow" w:cstheme="minorHAnsi"/>
                <w:szCs w:val="20"/>
              </w:rPr>
              <w:t xml:space="preserve">Journal of Clinical </w:t>
            </w:r>
            <w:proofErr w:type="gramStart"/>
            <w:r w:rsidRPr="00F86117">
              <w:rPr>
                <w:rStyle w:val="Small"/>
                <w:rFonts w:ascii="Arial Narrow" w:hAnsi="Arial Narrow" w:cstheme="minorHAnsi"/>
                <w:szCs w:val="20"/>
              </w:rPr>
              <w:t>Oncology  33</w:t>
            </w:r>
            <w:proofErr w:type="gramEnd"/>
            <w:r w:rsidRPr="00F86117">
              <w:rPr>
                <w:rStyle w:val="Small"/>
                <w:rFonts w:ascii="Arial Narrow" w:hAnsi="Arial Narrow" w:cstheme="minorHAnsi"/>
                <w:szCs w:val="20"/>
              </w:rPr>
              <w:t xml:space="preserve"> (15 SUPPL. 1).</w:t>
            </w:r>
          </w:p>
          <w:p w:rsidR="00BB433C" w:rsidRPr="00F86117" w:rsidRDefault="00BB433C" w:rsidP="00E4613D">
            <w:pPr>
              <w:pStyle w:val="Table"/>
              <w:keepNext/>
              <w:keepLines/>
              <w:rPr>
                <w:rStyle w:val="SmallItalics"/>
                <w:rFonts w:ascii="Arial Narrow" w:hAnsi="Arial Narrow"/>
                <w:szCs w:val="20"/>
              </w:rPr>
            </w:pPr>
          </w:p>
          <w:p w:rsidR="00BB433C" w:rsidRPr="00F86117" w:rsidRDefault="00BB433C" w:rsidP="00AC070A">
            <w:pPr>
              <w:pStyle w:val="Table"/>
              <w:keepNext/>
              <w:keepLines/>
              <w:spacing w:before="40" w:after="960"/>
              <w:rPr>
                <w:rStyle w:val="Small"/>
                <w:rFonts w:ascii="Arial Narrow" w:hAnsi="Arial Narrow" w:cstheme="minorHAnsi"/>
                <w:szCs w:val="20"/>
              </w:rPr>
            </w:pPr>
            <w:proofErr w:type="spellStart"/>
            <w:r w:rsidRPr="00F86117">
              <w:rPr>
                <w:rStyle w:val="Small"/>
                <w:rFonts w:ascii="Arial Narrow" w:hAnsi="Arial Narrow" w:cstheme="minorHAnsi"/>
                <w:szCs w:val="20"/>
              </w:rPr>
              <w:t>CheckMate</w:t>
            </w:r>
            <w:proofErr w:type="spellEnd"/>
            <w:r w:rsidRPr="00F86117">
              <w:rPr>
                <w:rStyle w:val="Small"/>
                <w:rFonts w:ascii="Arial Narrow" w:hAnsi="Arial Narrow" w:cstheme="minorHAnsi"/>
                <w:szCs w:val="20"/>
              </w:rPr>
              <w:t xml:space="preserve"> 214 - AN 36/15 of the AUO)"</w:t>
            </w:r>
          </w:p>
          <w:p w:rsidR="00BB433C" w:rsidRPr="00F86117" w:rsidRDefault="00BB433C" w:rsidP="00E4613D">
            <w:pPr>
              <w:pStyle w:val="Table"/>
              <w:keepNext/>
              <w:keepLines/>
              <w:spacing w:before="40" w:after="60"/>
              <w:rPr>
                <w:rStyle w:val="Small"/>
                <w:rFonts w:ascii="Arial Narrow" w:hAnsi="Arial Narrow" w:cstheme="minorHAnsi"/>
                <w:szCs w:val="20"/>
              </w:rPr>
            </w:pPr>
          </w:p>
          <w:p w:rsidR="00BB433C" w:rsidRPr="00F86117" w:rsidRDefault="00BB433C" w:rsidP="00E4613D">
            <w:pPr>
              <w:pStyle w:val="Table"/>
              <w:keepNext/>
              <w:keepLines/>
              <w:spacing w:before="40" w:after="60"/>
              <w:rPr>
                <w:rStyle w:val="Small"/>
                <w:rFonts w:ascii="Arial Narrow" w:hAnsi="Arial Narrow" w:cstheme="minorHAnsi"/>
                <w:i/>
                <w:szCs w:val="20"/>
              </w:rPr>
            </w:pPr>
            <w:proofErr w:type="spellStart"/>
            <w:r w:rsidRPr="00F86117">
              <w:rPr>
                <w:rStyle w:val="SmallItalics"/>
                <w:rFonts w:ascii="Arial Narrow" w:hAnsi="Arial Narrow"/>
                <w:i w:val="0"/>
                <w:szCs w:val="20"/>
              </w:rPr>
              <w:t>CheckMate</w:t>
            </w:r>
            <w:proofErr w:type="spellEnd"/>
            <w:r w:rsidRPr="00F86117">
              <w:rPr>
                <w:rStyle w:val="SmallItalics"/>
                <w:rFonts w:ascii="Arial Narrow" w:hAnsi="Arial Narrow"/>
                <w:i w:val="0"/>
                <w:szCs w:val="20"/>
              </w:rPr>
              <w:t xml:space="preserve"> 214 - AN36/15 der AUO)</w:t>
            </w:r>
            <w:r w:rsidR="00F86117">
              <w:rPr>
                <w:rStyle w:val="SmallItalics"/>
                <w:rFonts w:ascii="Arial Narrow" w:hAnsi="Arial Narrow"/>
                <w:i w:val="0"/>
                <w:szCs w:val="20"/>
              </w:rPr>
              <w:t xml:space="preserve">. </w:t>
            </w:r>
            <w:r w:rsidRPr="00F86117">
              <w:rPr>
                <w:rStyle w:val="SmallItalics"/>
                <w:rFonts w:ascii="Arial Narrow" w:hAnsi="Arial Narrow"/>
                <w:i w:val="0"/>
                <w:szCs w:val="20"/>
              </w:rPr>
              <w:t>54 (10):1443-5</w:t>
            </w:r>
          </w:p>
          <w:p w:rsidR="00BB433C" w:rsidRPr="00F86117" w:rsidRDefault="00BB433C" w:rsidP="00E4613D">
            <w:pPr>
              <w:pStyle w:val="Table"/>
              <w:keepNext/>
              <w:keepLines/>
              <w:spacing w:before="40" w:after="60"/>
              <w:rPr>
                <w:rStyle w:val="Small"/>
                <w:rFonts w:ascii="Arial Narrow" w:hAnsi="Arial Narrow" w:cstheme="minorHAnsi"/>
                <w:szCs w:val="20"/>
              </w:rPr>
            </w:pPr>
          </w:p>
          <w:p w:rsidR="00BB433C" w:rsidRPr="00F86117" w:rsidRDefault="00BB433C" w:rsidP="00E4613D">
            <w:pPr>
              <w:pStyle w:val="Table"/>
              <w:keepNext/>
              <w:keepLines/>
              <w:rPr>
                <w:rStyle w:val="SmallItalics"/>
                <w:rFonts w:ascii="Arial Narrow" w:hAnsi="Arial Narrow"/>
                <w:szCs w:val="20"/>
              </w:rPr>
            </w:pPr>
          </w:p>
        </w:tc>
      </w:tr>
    </w:tbl>
    <w:p w:rsidR="00BB433C" w:rsidRPr="00F86117" w:rsidRDefault="00BB433C" w:rsidP="00E4613D">
      <w:pPr>
        <w:pStyle w:val="TableFooter"/>
        <w:keepNext/>
        <w:keepLines/>
        <w:widowControl/>
        <w:rPr>
          <w:rStyle w:val="CommentReference"/>
        </w:rPr>
      </w:pPr>
      <w:r w:rsidRPr="00F86117">
        <w:t>Source: Table 2.2, p.44-45 of the submission.</w:t>
      </w:r>
    </w:p>
    <w:p w:rsidR="00BB433C" w:rsidRPr="00F86117" w:rsidRDefault="00BB433C" w:rsidP="0061386A">
      <w:pPr>
        <w:pStyle w:val="ListParagraph"/>
        <w:widowControl/>
        <w:numPr>
          <w:ilvl w:val="1"/>
          <w:numId w:val="2"/>
        </w:numPr>
        <w:spacing w:before="120"/>
      </w:pPr>
      <w:r w:rsidRPr="00F86117">
        <w:t>The key features of the randomised trials CABOSUN and CheckMate214 are summarised in Table 6</w:t>
      </w:r>
      <w:r w:rsidR="00F86117">
        <w:t xml:space="preserve">. </w:t>
      </w:r>
    </w:p>
    <w:p w:rsidR="00BB433C" w:rsidRPr="00F86117" w:rsidRDefault="00BB433C" w:rsidP="00AD4D26">
      <w:pPr>
        <w:keepNext/>
        <w:keepLines/>
        <w:widowControl/>
        <w:rPr>
          <w:rStyle w:val="CommentReference"/>
        </w:rPr>
      </w:pPr>
      <w:r w:rsidRPr="00F86117">
        <w:rPr>
          <w:rStyle w:val="CommentReference"/>
        </w:rPr>
        <w:lastRenderedPageBreak/>
        <w:t>Table 6: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features of the included evidence"/>
      </w:tblPr>
      <w:tblGrid>
        <w:gridCol w:w="1282"/>
        <w:gridCol w:w="840"/>
        <w:gridCol w:w="1410"/>
        <w:gridCol w:w="1120"/>
        <w:gridCol w:w="1546"/>
        <w:gridCol w:w="1122"/>
        <w:gridCol w:w="1697"/>
      </w:tblGrid>
      <w:tr w:rsidR="00BB433C" w:rsidRPr="00F86117" w:rsidTr="002C59F7">
        <w:trPr>
          <w:tblHeader/>
        </w:trPr>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rPr>
                <w:b/>
              </w:rPr>
            </w:pPr>
            <w:r w:rsidRPr="00F86117">
              <w:rPr>
                <w:b/>
              </w:rPr>
              <w:t>Trial</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rPr>
                <w:b/>
              </w:rPr>
            </w:pPr>
            <w:r w:rsidRPr="00F86117">
              <w:rPr>
                <w:b/>
              </w:rPr>
              <w:t>N</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rPr>
                <w:b/>
              </w:rPr>
            </w:pPr>
            <w:r w:rsidRPr="00F86117">
              <w:rPr>
                <w:b/>
              </w:rPr>
              <w:t>Design/ duration</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rPr>
                <w:b/>
              </w:rPr>
            </w:pPr>
            <w:r w:rsidRPr="00F86117">
              <w:rPr>
                <w:b/>
              </w:rPr>
              <w:t>Risk of bias</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rPr>
                <w:b/>
              </w:rPr>
            </w:pPr>
            <w:r w:rsidRPr="00F86117">
              <w:rPr>
                <w:b/>
              </w:rPr>
              <w:t>Patient population</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rPr>
                <w:b/>
              </w:rPr>
            </w:pPr>
            <w:r w:rsidRPr="00F86117">
              <w:rPr>
                <w:b/>
              </w:rPr>
              <w:t>Outcome(s)</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rPr>
                <w:b/>
              </w:rPr>
            </w:pPr>
            <w:r w:rsidRPr="00F86117">
              <w:rPr>
                <w:b/>
              </w:rPr>
              <w:t>Use in modelled evaluation</w:t>
            </w:r>
          </w:p>
        </w:tc>
      </w:tr>
      <w:tr w:rsidR="00BB433C" w:rsidRPr="00F86117" w:rsidTr="002C59F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rPr>
                <w:b/>
              </w:rPr>
            </w:pPr>
            <w:proofErr w:type="spellStart"/>
            <w:r w:rsidRPr="00F86117">
              <w:rPr>
                <w:b/>
              </w:rPr>
              <w:t>Cabozantinib</w:t>
            </w:r>
            <w:proofErr w:type="spellEnd"/>
            <w:r w:rsidRPr="00F86117">
              <w:rPr>
                <w:b/>
              </w:rPr>
              <w:t xml:space="preserve"> vs </w:t>
            </w:r>
            <w:proofErr w:type="spellStart"/>
            <w:r w:rsidRPr="00F86117">
              <w:rPr>
                <w:b/>
              </w:rPr>
              <w:t>sunitinib</w:t>
            </w:r>
            <w:proofErr w:type="spellEnd"/>
          </w:p>
        </w:tc>
      </w:tr>
      <w:tr w:rsidR="00BB433C" w:rsidRPr="00F86117" w:rsidTr="002C59F7">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pPr>
            <w:r w:rsidRPr="00F86117">
              <w:t>CABOSUN</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pPr>
            <w:r w:rsidRPr="00F86117">
              <w:t>157</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pPr>
            <w:r w:rsidRPr="00F86117">
              <w:t>R, OL</w:t>
            </w:r>
          </w:p>
          <w:p w:rsidR="00BB433C" w:rsidRPr="00F86117" w:rsidRDefault="00BB433C" w:rsidP="00AD4D26">
            <w:pPr>
              <w:pStyle w:val="Tabletext"/>
              <w:keepNext/>
              <w:keepLines/>
              <w:jc w:val="center"/>
            </w:pPr>
            <w:r w:rsidRPr="00F86117">
              <w:t>25 months</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287A84" w:rsidP="00AD4D26">
            <w:pPr>
              <w:pStyle w:val="Tabletext"/>
              <w:keepNext/>
              <w:keepLines/>
              <w:jc w:val="center"/>
            </w:pPr>
            <w:r w:rsidRPr="00F86117">
              <w:t>High risk for performance bias; up-to moderate for remaining criteria.</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pPr>
            <w:r w:rsidRPr="00F86117">
              <w:rPr>
                <w:rFonts w:cs="Calibri"/>
                <w:szCs w:val="24"/>
                <w:lang w:eastAsia="en-AU"/>
              </w:rPr>
              <w:t xml:space="preserve">Previously untreated patients with </w:t>
            </w:r>
            <w:r w:rsidRPr="00F86117">
              <w:rPr>
                <w:bCs/>
              </w:rPr>
              <w:t>advanced or metastatic clear cell RCC, having intermediate to poor risk classification by IDMC criteria</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pPr>
            <w:r w:rsidRPr="00F86117">
              <w:t>PFS, OS, ORR, AEs</w:t>
            </w:r>
          </w:p>
        </w:tc>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BB433C" w:rsidRPr="00F86117" w:rsidRDefault="00BB433C" w:rsidP="00AD4D26">
            <w:pPr>
              <w:pStyle w:val="Tabletext"/>
              <w:keepNext/>
              <w:keepLines/>
              <w:jc w:val="center"/>
            </w:pPr>
            <w:r w:rsidRPr="00F86117">
              <w:t>PFS, OS, AEs</w:t>
            </w:r>
          </w:p>
        </w:tc>
      </w:tr>
      <w:tr w:rsidR="00BB433C" w:rsidRPr="00F86117" w:rsidTr="002C59F7">
        <w:tc>
          <w:tcPr>
            <w:tcW w:w="5000" w:type="pct"/>
            <w:gridSpan w:val="7"/>
            <w:tcBorders>
              <w:top w:val="single" w:sz="4" w:space="0" w:color="auto"/>
            </w:tcBorders>
            <w:shd w:val="clear" w:color="auto" w:fill="auto"/>
            <w:vAlign w:val="center"/>
          </w:tcPr>
          <w:p w:rsidR="00BB433C" w:rsidRPr="00F86117" w:rsidRDefault="00BB433C" w:rsidP="00AD4D26">
            <w:pPr>
              <w:pStyle w:val="Tabletext"/>
              <w:keepNext/>
              <w:keepLines/>
              <w:rPr>
                <w:b/>
              </w:rPr>
            </w:pPr>
            <w:r w:rsidRPr="00F86117">
              <w:rPr>
                <w:b/>
              </w:rPr>
              <w:t xml:space="preserve">NIVO+IPI vs </w:t>
            </w:r>
            <w:proofErr w:type="spellStart"/>
            <w:r w:rsidRPr="00F86117">
              <w:rPr>
                <w:b/>
              </w:rPr>
              <w:t>sunitinib</w:t>
            </w:r>
            <w:proofErr w:type="spellEnd"/>
          </w:p>
        </w:tc>
      </w:tr>
      <w:tr w:rsidR="00BB433C" w:rsidRPr="00F86117" w:rsidTr="00E450AE">
        <w:tc>
          <w:tcPr>
            <w:tcW w:w="711" w:type="pct"/>
            <w:shd w:val="clear" w:color="auto" w:fill="auto"/>
            <w:vAlign w:val="center"/>
          </w:tcPr>
          <w:p w:rsidR="00BB433C" w:rsidRPr="00F86117" w:rsidRDefault="00BB433C" w:rsidP="00AD4D26">
            <w:pPr>
              <w:pStyle w:val="Tabletext"/>
              <w:keepNext/>
              <w:keepLines/>
            </w:pPr>
            <w:r w:rsidRPr="00F86117">
              <w:t>CheckMate214</w:t>
            </w:r>
          </w:p>
        </w:tc>
        <w:tc>
          <w:tcPr>
            <w:tcW w:w="466" w:type="pct"/>
            <w:shd w:val="clear" w:color="auto" w:fill="auto"/>
            <w:vAlign w:val="center"/>
          </w:tcPr>
          <w:p w:rsidR="00BB433C" w:rsidRPr="00F86117" w:rsidRDefault="00BB433C" w:rsidP="00AD4D26">
            <w:pPr>
              <w:pStyle w:val="Tabletext"/>
              <w:keepNext/>
              <w:keepLines/>
              <w:jc w:val="center"/>
            </w:pPr>
            <w:r w:rsidRPr="00F86117">
              <w:t>1,096</w:t>
            </w:r>
          </w:p>
        </w:tc>
        <w:tc>
          <w:tcPr>
            <w:tcW w:w="782" w:type="pct"/>
            <w:shd w:val="clear" w:color="auto" w:fill="auto"/>
            <w:vAlign w:val="center"/>
          </w:tcPr>
          <w:p w:rsidR="00BB433C" w:rsidRPr="00F86117" w:rsidRDefault="00BB433C" w:rsidP="00AD4D26">
            <w:pPr>
              <w:pStyle w:val="Tabletext"/>
              <w:keepNext/>
              <w:keepLines/>
              <w:jc w:val="center"/>
            </w:pPr>
            <w:r w:rsidRPr="00F86117">
              <w:t>R, OL, MC</w:t>
            </w:r>
          </w:p>
          <w:p w:rsidR="00BB433C" w:rsidRPr="00F86117" w:rsidRDefault="00BB433C" w:rsidP="00AD4D26">
            <w:pPr>
              <w:pStyle w:val="Tabletext"/>
              <w:keepNext/>
              <w:keepLines/>
              <w:jc w:val="center"/>
            </w:pPr>
            <w:r w:rsidRPr="00F86117">
              <w:t>25.2 months</w:t>
            </w:r>
          </w:p>
        </w:tc>
        <w:tc>
          <w:tcPr>
            <w:tcW w:w="621" w:type="pct"/>
            <w:shd w:val="clear" w:color="auto" w:fill="auto"/>
            <w:vAlign w:val="center"/>
          </w:tcPr>
          <w:p w:rsidR="00BB433C" w:rsidRPr="00F86117" w:rsidRDefault="00287A84" w:rsidP="00AD4D26">
            <w:pPr>
              <w:pStyle w:val="Tabletext"/>
              <w:keepNext/>
              <w:keepLines/>
              <w:jc w:val="center"/>
            </w:pPr>
            <w:r w:rsidRPr="00F86117">
              <w:t>High risk for performance bias; up-to moderate for remaining criteria.</w:t>
            </w:r>
          </w:p>
        </w:tc>
        <w:tc>
          <w:tcPr>
            <w:tcW w:w="857" w:type="pct"/>
            <w:shd w:val="clear" w:color="auto" w:fill="auto"/>
            <w:vAlign w:val="center"/>
          </w:tcPr>
          <w:p w:rsidR="00BB433C" w:rsidRPr="00F86117" w:rsidRDefault="00BB433C" w:rsidP="00AD4D26">
            <w:pPr>
              <w:pStyle w:val="Tabletext"/>
              <w:keepNext/>
              <w:keepLines/>
              <w:jc w:val="center"/>
            </w:pPr>
            <w:r w:rsidRPr="00F86117">
              <w:t>Previously untreated Stage IV clear cell variant RCC who have intermediate to poor prognostic risk</w:t>
            </w:r>
          </w:p>
        </w:tc>
        <w:tc>
          <w:tcPr>
            <w:tcW w:w="622" w:type="pct"/>
            <w:shd w:val="clear" w:color="auto" w:fill="auto"/>
            <w:vAlign w:val="center"/>
          </w:tcPr>
          <w:p w:rsidR="00BB433C" w:rsidRPr="00F86117" w:rsidRDefault="00BB433C" w:rsidP="00AD4D26">
            <w:pPr>
              <w:pStyle w:val="Tabletext"/>
              <w:keepNext/>
              <w:keepLines/>
              <w:jc w:val="center"/>
            </w:pPr>
            <w:r w:rsidRPr="00F86117">
              <w:t>PFS, OS, ORR, AEs, EQ-5D</w:t>
            </w:r>
          </w:p>
        </w:tc>
        <w:tc>
          <w:tcPr>
            <w:tcW w:w="940" w:type="pct"/>
            <w:shd w:val="clear" w:color="auto" w:fill="auto"/>
            <w:vAlign w:val="center"/>
          </w:tcPr>
          <w:p w:rsidR="00BB433C" w:rsidRPr="00F86117" w:rsidRDefault="00BB433C" w:rsidP="00AD4D26">
            <w:pPr>
              <w:pStyle w:val="Tabletext"/>
              <w:keepNext/>
              <w:keepLines/>
              <w:jc w:val="center"/>
            </w:pPr>
            <w:r w:rsidRPr="00F86117">
              <w:t>Not used</w:t>
            </w:r>
          </w:p>
        </w:tc>
      </w:tr>
    </w:tbl>
    <w:p w:rsidR="00BB433C" w:rsidRPr="00F86117" w:rsidRDefault="00BB433C" w:rsidP="00AD4D26">
      <w:pPr>
        <w:pStyle w:val="TableFooter"/>
        <w:keepNext/>
        <w:keepLines/>
        <w:widowControl/>
      </w:pPr>
      <w:r w:rsidRPr="00F86117">
        <w:t xml:space="preserve">Abbreviations: AEs = adverse events; EQ-5D = </w:t>
      </w:r>
      <w:proofErr w:type="spellStart"/>
      <w:r w:rsidRPr="00F86117">
        <w:t>EuroQol</w:t>
      </w:r>
      <w:proofErr w:type="spellEnd"/>
      <w:r w:rsidRPr="00F86117">
        <w:t xml:space="preserve"> five-dimensions; MC = multi-centre; NIVO+IPI = </w:t>
      </w:r>
      <w:proofErr w:type="spellStart"/>
      <w:r w:rsidRPr="00F86117">
        <w:t>nivolumab</w:t>
      </w:r>
      <w:proofErr w:type="spellEnd"/>
      <w:r w:rsidR="002112F9" w:rsidRPr="00F86117">
        <w:t xml:space="preserve"> </w:t>
      </w:r>
      <w:r w:rsidRPr="00F86117">
        <w:t>+</w:t>
      </w:r>
      <w:r w:rsidR="002112F9" w:rsidRPr="00F86117">
        <w:t xml:space="preserve"> </w:t>
      </w:r>
      <w:proofErr w:type="spellStart"/>
      <w:r w:rsidRPr="00F86117">
        <w:t>ipilimumab</w:t>
      </w:r>
      <w:proofErr w:type="spellEnd"/>
      <w:r w:rsidRPr="00F86117">
        <w:t>; OL= open label; ORR = objective response rate; OS = overall survival; PFS = progression free survival; R = randomised.</w:t>
      </w:r>
    </w:p>
    <w:p w:rsidR="00BB433C" w:rsidRPr="00F86117" w:rsidRDefault="00BB433C" w:rsidP="00AD4D26">
      <w:pPr>
        <w:pStyle w:val="TableFooter"/>
        <w:keepNext/>
        <w:keepLines/>
        <w:widowControl/>
      </w:pPr>
      <w:r w:rsidRPr="00F86117">
        <w:t>Source: compiled during the evaluation based on Sections 2.3 and 2.4 of the submission.</w:t>
      </w:r>
    </w:p>
    <w:p w:rsidR="00BB433C" w:rsidRPr="00F86117" w:rsidRDefault="00BB433C" w:rsidP="0061386A">
      <w:pPr>
        <w:pStyle w:val="TableFooter"/>
        <w:widowControl/>
        <w:spacing w:before="120" w:after="120"/>
        <w:rPr>
          <w:sz w:val="20"/>
        </w:rPr>
      </w:pPr>
    </w:p>
    <w:p w:rsidR="00BB433C" w:rsidRPr="00F86117" w:rsidRDefault="00BB433C" w:rsidP="0061386A">
      <w:pPr>
        <w:pStyle w:val="ListParagraph"/>
        <w:widowControl/>
        <w:numPr>
          <w:ilvl w:val="1"/>
          <w:numId w:val="2"/>
        </w:numPr>
        <w:spacing w:before="120"/>
      </w:pPr>
      <w:r w:rsidRPr="00F86117">
        <w:t>CABOSUN enrolled a</w:t>
      </w:r>
      <w:r w:rsidR="00C07B44" w:rsidRPr="00F86117">
        <w:t xml:space="preserve"> relatively</w:t>
      </w:r>
      <w:r w:rsidRPr="00F86117">
        <w:t xml:space="preserve"> small number of patients. The trial was open label, and the evaluation of the primary endpoint (PFS) using RECIST v1.1 criteria was undertaken by the investigators, with subsequent retrospective review by an Independent </w:t>
      </w:r>
      <w:proofErr w:type="spellStart"/>
      <w:r w:rsidRPr="00F86117">
        <w:t>Radiographical</w:t>
      </w:r>
      <w:proofErr w:type="spellEnd"/>
      <w:r w:rsidRPr="00F86117">
        <w:t xml:space="preserve"> Committee (IRC). The PFS results assessed by the IRC were more favourable</w:t>
      </w:r>
      <w:r w:rsidR="00DA4A9D" w:rsidRPr="00F86117">
        <w:t xml:space="preserve"> to </w:t>
      </w:r>
      <w:proofErr w:type="spellStart"/>
      <w:r w:rsidR="00DA4A9D" w:rsidRPr="00F86117">
        <w:t>c</w:t>
      </w:r>
      <w:r w:rsidR="00526F72" w:rsidRPr="00F86117">
        <w:t>a</w:t>
      </w:r>
      <w:r w:rsidR="00DA4A9D" w:rsidRPr="00F86117">
        <w:t>b</w:t>
      </w:r>
      <w:r w:rsidR="00526F72" w:rsidRPr="00F86117">
        <w:t>o</w:t>
      </w:r>
      <w:r w:rsidR="00DA4A9D" w:rsidRPr="00F86117">
        <w:t>zantinib</w:t>
      </w:r>
      <w:proofErr w:type="spellEnd"/>
      <w:r w:rsidRPr="00F86117">
        <w:t xml:space="preserve"> than by the </w:t>
      </w:r>
      <w:r w:rsidR="0069501E" w:rsidRPr="00F86117">
        <w:t xml:space="preserve">(Alliance) </w:t>
      </w:r>
      <w:r w:rsidRPr="00F86117">
        <w:t>investigator</w:t>
      </w:r>
      <w:r w:rsidR="0061772C" w:rsidRPr="00F86117">
        <w:t xml:space="preserve"> assessment</w:t>
      </w:r>
      <w:r w:rsidRPr="00F86117">
        <w:t xml:space="preserve">. </w:t>
      </w:r>
    </w:p>
    <w:p w:rsidR="000576DF" w:rsidRPr="00F86117" w:rsidRDefault="00904D94" w:rsidP="0061386A">
      <w:pPr>
        <w:pStyle w:val="ListParagraph"/>
        <w:widowControl/>
        <w:numPr>
          <w:ilvl w:val="1"/>
          <w:numId w:val="2"/>
        </w:numPr>
        <w:spacing w:before="120"/>
      </w:pPr>
      <w:r w:rsidRPr="00F86117">
        <w:t>Analyses of PFS were performed based on two differen</w:t>
      </w:r>
      <w:r w:rsidR="003552DA" w:rsidRPr="00F86117">
        <w:t>t</w:t>
      </w:r>
      <w:r w:rsidRPr="00F86117">
        <w:t xml:space="preserve"> sets of censoring rules: “Alliance” (the original study investigators) rules and FDA-recommended rules</w:t>
      </w:r>
      <w:r w:rsidR="000576DF" w:rsidRPr="00F86117">
        <w:t xml:space="preserve"> (applied retrospectively</w:t>
      </w:r>
      <w:r w:rsidR="00347A1D" w:rsidRPr="00F86117">
        <w:t>, using IRC</w:t>
      </w:r>
      <w:r w:rsidR="000576DF" w:rsidRPr="00F86117">
        <w:t>)</w:t>
      </w:r>
      <w:r w:rsidRPr="00F86117">
        <w:t xml:space="preserve">. </w:t>
      </w:r>
      <w:r w:rsidR="000576DF" w:rsidRPr="00F86117">
        <w:t>The application of the FDA-recommended censoring rules for PFS reduced the number of events available for analysis, and so a</w:t>
      </w:r>
      <w:r w:rsidR="00B0505B" w:rsidRPr="00F86117">
        <w:t>n additional 5 months of follow-up data were used</w:t>
      </w:r>
      <w:r w:rsidR="000576DF" w:rsidRPr="00F86117">
        <w:t xml:space="preserve"> </w:t>
      </w:r>
      <w:r w:rsidR="00B0505B" w:rsidRPr="00F86117">
        <w:t>(data-cut of 15 September versus 11 April 2016)</w:t>
      </w:r>
      <w:r w:rsidR="000576DF" w:rsidRPr="00F86117">
        <w:t xml:space="preserve">. </w:t>
      </w:r>
      <w:r w:rsidR="00DA6C5B" w:rsidRPr="00F86117">
        <w:t xml:space="preserve">However, even with the extended </w:t>
      </w:r>
      <w:r w:rsidR="003552DA" w:rsidRPr="00F86117">
        <w:t xml:space="preserve">data-cut, the assessment of </w:t>
      </w:r>
      <w:r w:rsidR="00DA6C5B" w:rsidRPr="00F86117">
        <w:t>PFS using the FDA-recommended censoring rule</w:t>
      </w:r>
      <w:r w:rsidR="00012A32" w:rsidRPr="00F86117">
        <w:t>s</w:t>
      </w:r>
      <w:r w:rsidR="00DA6C5B" w:rsidRPr="00F86117">
        <w:t xml:space="preserve"> </w:t>
      </w:r>
      <w:r w:rsidR="00347A1D" w:rsidRPr="00F86117">
        <w:t xml:space="preserve">(and IRC assessment) </w:t>
      </w:r>
      <w:r w:rsidR="00DA6C5B" w:rsidRPr="00F86117">
        <w:t>was based on a smaller number of events (n=92; 59%) compared to the Alliance analysis using investigator assessment of PFS (n=123; 78%).</w:t>
      </w:r>
    </w:p>
    <w:p w:rsidR="00BB433C" w:rsidRPr="00F86117" w:rsidRDefault="00BB433C" w:rsidP="0061386A">
      <w:pPr>
        <w:pStyle w:val="ListParagraph"/>
        <w:widowControl/>
        <w:numPr>
          <w:ilvl w:val="1"/>
          <w:numId w:val="2"/>
        </w:numPr>
        <w:spacing w:before="120"/>
      </w:pPr>
      <w:r w:rsidRPr="00F86117">
        <w:t xml:space="preserve">There was also an imbalance of missing data for PFS assessment between </w:t>
      </w:r>
      <w:proofErr w:type="spellStart"/>
      <w:r w:rsidRPr="00F86117">
        <w:t>cabozantinib</w:t>
      </w:r>
      <w:proofErr w:type="spellEnd"/>
      <w:r w:rsidRPr="00F86117">
        <w:t xml:space="preserve"> and </w:t>
      </w:r>
      <w:proofErr w:type="spellStart"/>
      <w:r w:rsidRPr="00F86117">
        <w:t>sunitinib</w:t>
      </w:r>
      <w:proofErr w:type="spellEnd"/>
      <w:r w:rsidRPr="00F86117">
        <w:t xml:space="preserve">. </w:t>
      </w:r>
      <w:r w:rsidR="00337226" w:rsidRPr="00F86117">
        <w:t>Based on FDA censoring rules, t</w:t>
      </w:r>
      <w:r w:rsidRPr="00F86117">
        <w:t xml:space="preserve">here were 8 (11%) instances of missing data </w:t>
      </w:r>
      <w:r w:rsidR="001F5F86" w:rsidRPr="00F86117">
        <w:t xml:space="preserve">for </w:t>
      </w:r>
      <w:proofErr w:type="spellStart"/>
      <w:r w:rsidR="001F5F86" w:rsidRPr="00F86117">
        <w:t>sunitinib</w:t>
      </w:r>
      <w:proofErr w:type="spellEnd"/>
      <w:r w:rsidR="001F5F86" w:rsidRPr="00F86117">
        <w:t xml:space="preserve"> (due to </w:t>
      </w:r>
      <w:r w:rsidRPr="00F86117">
        <w:t>no baseline and post</w:t>
      </w:r>
      <w:r w:rsidR="00C07B44" w:rsidRPr="00F86117">
        <w:t>-</w:t>
      </w:r>
      <w:r w:rsidRPr="00F86117">
        <w:t xml:space="preserve">baseline ATAs (adequate tumour assessments), </w:t>
      </w:r>
      <w:r w:rsidR="00AC2830" w:rsidRPr="00F86117">
        <w:t xml:space="preserve">or </w:t>
      </w:r>
      <w:r w:rsidRPr="00F86117">
        <w:t>no post</w:t>
      </w:r>
      <w:r w:rsidR="00063221" w:rsidRPr="00F86117">
        <w:t>-</w:t>
      </w:r>
      <w:r w:rsidRPr="00F86117">
        <w:t>baseline ATAs</w:t>
      </w:r>
      <w:r w:rsidR="001F5F86" w:rsidRPr="00F86117">
        <w:t>)</w:t>
      </w:r>
      <w:r w:rsidR="007B1335" w:rsidRPr="00F86117">
        <w:t xml:space="preserve"> </w:t>
      </w:r>
      <w:r w:rsidRPr="00F86117">
        <w:t xml:space="preserve">compared to only 1 (1%) for </w:t>
      </w:r>
      <w:proofErr w:type="spellStart"/>
      <w:r w:rsidRPr="00F86117">
        <w:t>cabozantinib</w:t>
      </w:r>
      <w:proofErr w:type="spellEnd"/>
      <w:r w:rsidRPr="00F86117">
        <w:t xml:space="preserve">. </w:t>
      </w:r>
      <w:r w:rsidR="002D4D38" w:rsidRPr="00F86117">
        <w:t xml:space="preserve">The date of randomisation was assigned as the date of outcome for these missing data. </w:t>
      </w:r>
      <w:r w:rsidR="00AC2830" w:rsidRPr="00F86117">
        <w:t>T</w:t>
      </w:r>
      <w:r w:rsidRPr="00F86117">
        <w:t xml:space="preserve">here were </w:t>
      </w:r>
      <w:r w:rsidR="00AC2830" w:rsidRPr="00F86117">
        <w:t>5 (6%) instance</w:t>
      </w:r>
      <w:r w:rsidR="00337226" w:rsidRPr="00F86117">
        <w:t>s</w:t>
      </w:r>
      <w:r w:rsidR="00AC2830" w:rsidRPr="00F86117">
        <w:t xml:space="preserve"> of missing data </w:t>
      </w:r>
      <w:r w:rsidR="007B1335" w:rsidRPr="00F86117">
        <w:t xml:space="preserve">from </w:t>
      </w:r>
      <w:r w:rsidRPr="00F86117">
        <w:t>patients who had ≥ 2 missed ATAs prior to events</w:t>
      </w:r>
      <w:r w:rsidR="007B1335" w:rsidRPr="00F86117">
        <w:t xml:space="preserve">. These missing data occurred only in </w:t>
      </w:r>
      <w:proofErr w:type="spellStart"/>
      <w:r w:rsidR="007B1335" w:rsidRPr="00F86117">
        <w:t>cabozant</w:t>
      </w:r>
      <w:r w:rsidR="00C07B44" w:rsidRPr="00F86117">
        <w:t>i</w:t>
      </w:r>
      <w:r w:rsidR="007B1335" w:rsidRPr="00F86117">
        <w:t>nib</w:t>
      </w:r>
      <w:proofErr w:type="spellEnd"/>
      <w:r w:rsidR="007B1335" w:rsidRPr="00F86117">
        <w:t>. T</w:t>
      </w:r>
      <w:r w:rsidR="00816C9E" w:rsidRPr="00F86117">
        <w:t xml:space="preserve">he </w:t>
      </w:r>
      <w:r w:rsidRPr="00F86117">
        <w:t xml:space="preserve">date of outcome was assigned as </w:t>
      </w:r>
      <w:r w:rsidR="00816C9E" w:rsidRPr="00F86117">
        <w:t xml:space="preserve">the </w:t>
      </w:r>
      <w:r w:rsidRPr="00F86117">
        <w:t>date of their most recent ATA prior to the missing/inadequate assessments</w:t>
      </w:r>
      <w:r w:rsidR="007B1335" w:rsidRPr="00F86117">
        <w:t xml:space="preserve"> for these missing data. </w:t>
      </w:r>
      <w:r w:rsidRPr="00F86117">
        <w:t xml:space="preserve">The balance of censoring would thus appear to favour </w:t>
      </w:r>
      <w:proofErr w:type="spellStart"/>
      <w:r w:rsidR="0069501E" w:rsidRPr="00F86117">
        <w:t>cabozantinib</w:t>
      </w:r>
      <w:proofErr w:type="spellEnd"/>
      <w:r w:rsidR="001C471D" w:rsidRPr="00F86117">
        <w:t xml:space="preserve"> </w:t>
      </w:r>
      <w:r w:rsidRPr="00F86117">
        <w:t>for assessment of PFS.</w:t>
      </w:r>
      <w:r w:rsidR="00CE5EA9" w:rsidRPr="00F86117">
        <w:t xml:space="preserve"> However, th</w:t>
      </w:r>
      <w:r w:rsidR="00337226" w:rsidRPr="00F86117">
        <w:t>e</w:t>
      </w:r>
      <w:r w:rsidR="00CE5EA9" w:rsidRPr="00F86117">
        <w:t xml:space="preserve"> submission did not report the number of </w:t>
      </w:r>
      <w:r w:rsidR="00F52A0A" w:rsidRPr="00F86117">
        <w:t>progression</w:t>
      </w:r>
      <w:r w:rsidR="00CE5EA9" w:rsidRPr="00F86117">
        <w:t xml:space="preserve"> events </w:t>
      </w:r>
      <w:r w:rsidR="004359C6" w:rsidRPr="00F86117">
        <w:t xml:space="preserve">in each arm </w:t>
      </w:r>
      <w:r w:rsidR="00CE5EA9" w:rsidRPr="00F86117">
        <w:t xml:space="preserve">according to </w:t>
      </w:r>
      <w:r w:rsidR="00CE5EA9" w:rsidRPr="00F86117">
        <w:lastRenderedPageBreak/>
        <w:t xml:space="preserve">the </w:t>
      </w:r>
      <w:r w:rsidR="0069501E" w:rsidRPr="00F86117">
        <w:t>(</w:t>
      </w:r>
      <w:r w:rsidR="00337226" w:rsidRPr="00F86117">
        <w:t>A</w:t>
      </w:r>
      <w:r w:rsidR="00CE5EA9" w:rsidRPr="00F86117">
        <w:t>lliance</w:t>
      </w:r>
      <w:r w:rsidR="0069501E" w:rsidRPr="00F86117">
        <w:t>)</w:t>
      </w:r>
      <w:r w:rsidR="00CE5EA9" w:rsidRPr="00F86117">
        <w:t xml:space="preserve"> </w:t>
      </w:r>
      <w:r w:rsidR="0069501E" w:rsidRPr="00F86117">
        <w:t>i</w:t>
      </w:r>
      <w:r w:rsidR="00337226" w:rsidRPr="00F86117">
        <w:t xml:space="preserve">nvestigator </w:t>
      </w:r>
      <w:r w:rsidR="00CE5EA9" w:rsidRPr="00F86117">
        <w:t xml:space="preserve">definition of events. Therefore, it is not possible to assess how the </w:t>
      </w:r>
      <w:r w:rsidR="0069501E" w:rsidRPr="00F86117">
        <w:t>investigator</w:t>
      </w:r>
      <w:r w:rsidR="00CE5EA9" w:rsidRPr="00F86117">
        <w:t xml:space="preserve"> definition may have impa</w:t>
      </w:r>
      <w:r w:rsidR="0069501E" w:rsidRPr="00F86117">
        <w:t>c</w:t>
      </w:r>
      <w:r w:rsidR="00CE5EA9" w:rsidRPr="00F86117">
        <w:t xml:space="preserve">ted on the assessment of PFS relative </w:t>
      </w:r>
      <w:r w:rsidR="00337226" w:rsidRPr="00F86117">
        <w:t xml:space="preserve">to </w:t>
      </w:r>
      <w:r w:rsidR="00CE5EA9" w:rsidRPr="00F86117">
        <w:t xml:space="preserve">the </w:t>
      </w:r>
      <w:r w:rsidR="00337226" w:rsidRPr="00F86117">
        <w:t xml:space="preserve">use of </w:t>
      </w:r>
      <w:r w:rsidR="0069501E" w:rsidRPr="00F86117">
        <w:t xml:space="preserve">the </w:t>
      </w:r>
      <w:r w:rsidR="00CE5EA9" w:rsidRPr="00F86117">
        <w:t>FDA definition.</w:t>
      </w:r>
      <w:r w:rsidR="00CE5EA9" w:rsidRPr="00F86117">
        <w:rPr>
          <w:i/>
        </w:rPr>
        <w:t xml:space="preserve"> </w:t>
      </w:r>
      <w:r w:rsidR="00DA6C5B" w:rsidRPr="00F86117">
        <w:t>The</w:t>
      </w:r>
      <w:r w:rsidR="00DD7D99">
        <w:t xml:space="preserve"> Pre-Sub-Committee (</w:t>
      </w:r>
      <w:r w:rsidR="00DA6C5B" w:rsidRPr="00F86117">
        <w:t>PSCR</w:t>
      </w:r>
      <w:r w:rsidR="00DD7D99">
        <w:t>)</w:t>
      </w:r>
      <w:r w:rsidR="00DA6C5B" w:rsidRPr="00F86117">
        <w:t xml:space="preserve"> stated that sensitivity analyses </w:t>
      </w:r>
      <w:r w:rsidR="00033D2D" w:rsidRPr="00F86117">
        <w:t xml:space="preserve">were conducted on IRC-assessed PFS to evaluate the impact of potentially informative censoring. The results (p7) showed that the </w:t>
      </w:r>
      <w:r w:rsidR="003A7707" w:rsidRPr="00F86117">
        <w:t xml:space="preserve">application of the FDA </w:t>
      </w:r>
      <w:r w:rsidR="00DA6C5B" w:rsidRPr="00F86117">
        <w:t>censoring rules</w:t>
      </w:r>
      <w:r w:rsidR="00033D2D" w:rsidRPr="00F86117">
        <w:t xml:space="preserve"> likely favoured </w:t>
      </w:r>
      <w:proofErr w:type="spellStart"/>
      <w:r w:rsidR="00033D2D" w:rsidRPr="00F86117">
        <w:t>cabozantinib</w:t>
      </w:r>
      <w:proofErr w:type="spellEnd"/>
      <w:r w:rsidR="00033D2D" w:rsidRPr="00F86117">
        <w:t xml:space="preserve"> but had limited impact on the HR for PFS (varied from 0.48 (95% CI: 0.31, 0.74) to 0.53 (95% CI: 0.35, 0.81) using the most conservative censoring</w:t>
      </w:r>
      <w:r w:rsidR="003A7707" w:rsidRPr="00F86117">
        <w:t>)</w:t>
      </w:r>
      <w:r w:rsidR="00F86117">
        <w:t xml:space="preserve">. </w:t>
      </w:r>
    </w:p>
    <w:p w:rsidR="00BE5FB2" w:rsidRPr="00F86117" w:rsidRDefault="00816C9E" w:rsidP="0061386A">
      <w:pPr>
        <w:pStyle w:val="ListParagraph"/>
        <w:widowControl/>
        <w:numPr>
          <w:ilvl w:val="1"/>
          <w:numId w:val="2"/>
        </w:numPr>
        <w:shd w:val="clear" w:color="auto" w:fill="FFFFFF" w:themeFill="background1"/>
        <w:spacing w:before="120"/>
        <w:rPr>
          <w:iCs/>
        </w:rPr>
      </w:pPr>
      <w:r w:rsidRPr="00F86117">
        <w:t>Within CheckMate214, m</w:t>
      </w:r>
      <w:r w:rsidR="00BB433C" w:rsidRPr="00F86117">
        <w:t xml:space="preserve">ore patients received subsequent systemic therapies </w:t>
      </w:r>
      <w:r w:rsidRPr="00F86117">
        <w:t xml:space="preserve">following </w:t>
      </w:r>
      <w:proofErr w:type="spellStart"/>
      <w:r w:rsidR="00BB433C" w:rsidRPr="00F86117">
        <w:t>sunitinib</w:t>
      </w:r>
      <w:proofErr w:type="spellEnd"/>
      <w:r w:rsidR="00BB433C" w:rsidRPr="00F86117">
        <w:t xml:space="preserve"> than NIVO+IPI (54% versus 39%). </w:t>
      </w:r>
      <w:r w:rsidR="00BB433C" w:rsidRPr="00F86117">
        <w:rPr>
          <w:iCs/>
        </w:rPr>
        <w:t>The PBAC</w:t>
      </w:r>
      <w:r w:rsidR="00A17B82" w:rsidRPr="00F86117">
        <w:rPr>
          <w:iCs/>
        </w:rPr>
        <w:t xml:space="preserve"> previously</w:t>
      </w:r>
      <w:r w:rsidR="00BB433C" w:rsidRPr="00F86117">
        <w:rPr>
          <w:iCs/>
        </w:rPr>
        <w:t xml:space="preserve"> suggested that this difference may arise </w:t>
      </w:r>
      <w:r w:rsidR="004454A2" w:rsidRPr="00F86117">
        <w:rPr>
          <w:iCs/>
        </w:rPr>
        <w:t>because</w:t>
      </w:r>
      <w:r w:rsidR="00BB433C" w:rsidRPr="00F86117">
        <w:rPr>
          <w:iCs/>
        </w:rPr>
        <w:t xml:space="preserve"> clinicians may persist with a period of observation off all treatment to determine if a patient responds or continues to respond to NIVO+IPI, while in </w:t>
      </w:r>
      <w:r w:rsidR="004454A2" w:rsidRPr="00F86117">
        <w:rPr>
          <w:iCs/>
        </w:rPr>
        <w:t xml:space="preserve">patients treated with </w:t>
      </w:r>
      <w:proofErr w:type="spellStart"/>
      <w:r w:rsidR="00BB433C" w:rsidRPr="00F86117">
        <w:rPr>
          <w:iCs/>
        </w:rPr>
        <w:t>sunitinib</w:t>
      </w:r>
      <w:proofErr w:type="spellEnd"/>
      <w:r w:rsidR="00BB433C" w:rsidRPr="00F86117">
        <w:rPr>
          <w:iCs/>
        </w:rPr>
        <w:t xml:space="preserve"> clinicians are more likely to start a new treatment </w:t>
      </w:r>
      <w:r w:rsidR="00E74133" w:rsidRPr="00F86117">
        <w:rPr>
          <w:iCs/>
        </w:rPr>
        <w:t xml:space="preserve">immediately </w:t>
      </w:r>
      <w:r w:rsidR="00BB433C" w:rsidRPr="00F86117">
        <w:rPr>
          <w:iCs/>
        </w:rPr>
        <w:t xml:space="preserve">after cessation of </w:t>
      </w:r>
      <w:proofErr w:type="spellStart"/>
      <w:r w:rsidR="00BB433C" w:rsidRPr="00F86117">
        <w:rPr>
          <w:iCs/>
        </w:rPr>
        <w:t>sunitinib</w:t>
      </w:r>
      <w:proofErr w:type="spellEnd"/>
      <w:r w:rsidR="00BB433C" w:rsidRPr="00F86117">
        <w:rPr>
          <w:iCs/>
        </w:rPr>
        <w:t xml:space="preserve"> </w:t>
      </w:r>
      <w:r w:rsidR="00BB433C" w:rsidRPr="00F86117">
        <w:t>(</w:t>
      </w:r>
      <w:r w:rsidR="009449D2" w:rsidRPr="00F86117">
        <w:t xml:space="preserve">6.14 </w:t>
      </w:r>
      <w:proofErr w:type="spellStart"/>
      <w:r w:rsidR="00BB433C" w:rsidRPr="00F86117">
        <w:t>nivolumab</w:t>
      </w:r>
      <w:proofErr w:type="spellEnd"/>
      <w:r w:rsidR="00BB433C" w:rsidRPr="00F86117">
        <w:t xml:space="preserve"> plus </w:t>
      </w:r>
      <w:proofErr w:type="spellStart"/>
      <w:r w:rsidR="00BB433C" w:rsidRPr="00F86117">
        <w:t>ipilimumab</w:t>
      </w:r>
      <w:proofErr w:type="spellEnd"/>
      <w:r w:rsidR="00BB433C" w:rsidRPr="00F86117">
        <w:t xml:space="preserve"> PSD July 2018)</w:t>
      </w:r>
      <w:r w:rsidR="00BB433C" w:rsidRPr="00F86117">
        <w:rPr>
          <w:iCs/>
        </w:rPr>
        <w:t xml:space="preserve">. </w:t>
      </w:r>
    </w:p>
    <w:p w:rsidR="00BE5FB2" w:rsidRPr="00F86117" w:rsidRDefault="00063221" w:rsidP="0061386A">
      <w:pPr>
        <w:pStyle w:val="ListParagraph"/>
        <w:widowControl/>
        <w:numPr>
          <w:ilvl w:val="1"/>
          <w:numId w:val="2"/>
        </w:numPr>
        <w:shd w:val="clear" w:color="auto" w:fill="FFFFFF" w:themeFill="background1"/>
        <w:spacing w:before="120"/>
        <w:rPr>
          <w:iCs/>
        </w:rPr>
      </w:pPr>
      <w:r w:rsidRPr="00F86117">
        <w:rPr>
          <w:iCs/>
        </w:rPr>
        <w:t>In CABOSUN, t</w:t>
      </w:r>
      <w:r w:rsidR="00A21154" w:rsidRPr="00F86117">
        <w:rPr>
          <w:iCs/>
        </w:rPr>
        <w:t xml:space="preserve">he proportion of patients receiving any systemic non-radiation anti-cancer </w:t>
      </w:r>
      <w:r w:rsidR="00287A84" w:rsidRPr="00F86117">
        <w:rPr>
          <w:iCs/>
        </w:rPr>
        <w:t xml:space="preserve">therapy </w:t>
      </w:r>
      <w:r w:rsidR="00A21154" w:rsidRPr="00F86117">
        <w:rPr>
          <w:iCs/>
        </w:rPr>
        <w:t>followin</w:t>
      </w:r>
      <w:r w:rsidR="00BE5FB2" w:rsidRPr="00F86117">
        <w:rPr>
          <w:iCs/>
        </w:rPr>
        <w:t xml:space="preserve">g </w:t>
      </w:r>
      <w:proofErr w:type="spellStart"/>
      <w:r w:rsidR="00BE5FB2" w:rsidRPr="00F86117">
        <w:rPr>
          <w:iCs/>
        </w:rPr>
        <w:t>cabozant</w:t>
      </w:r>
      <w:r w:rsidRPr="00F86117">
        <w:rPr>
          <w:iCs/>
        </w:rPr>
        <w:t>i</w:t>
      </w:r>
      <w:r w:rsidR="00BE5FB2" w:rsidRPr="00F86117">
        <w:rPr>
          <w:iCs/>
        </w:rPr>
        <w:t>nib</w:t>
      </w:r>
      <w:proofErr w:type="spellEnd"/>
      <w:r w:rsidR="00BE5FB2" w:rsidRPr="00F86117">
        <w:rPr>
          <w:iCs/>
        </w:rPr>
        <w:t xml:space="preserve"> and </w:t>
      </w:r>
      <w:proofErr w:type="spellStart"/>
      <w:r w:rsidR="00BE5FB2" w:rsidRPr="00F86117">
        <w:rPr>
          <w:iCs/>
        </w:rPr>
        <w:t>sunitinib</w:t>
      </w:r>
      <w:proofErr w:type="spellEnd"/>
      <w:r w:rsidR="00BE5FB2" w:rsidRPr="00F86117">
        <w:rPr>
          <w:iCs/>
        </w:rPr>
        <w:t xml:space="preserve"> w</w:t>
      </w:r>
      <w:r w:rsidR="00287A84" w:rsidRPr="00F86117">
        <w:rPr>
          <w:iCs/>
        </w:rPr>
        <w:t>as</w:t>
      </w:r>
      <w:r w:rsidRPr="00F86117">
        <w:rPr>
          <w:iCs/>
        </w:rPr>
        <w:t xml:space="preserve"> similar (57% versus 58%)</w:t>
      </w:r>
      <w:r w:rsidR="00A21154" w:rsidRPr="00F86117">
        <w:rPr>
          <w:iCs/>
        </w:rPr>
        <w:t xml:space="preserve">. </w:t>
      </w:r>
      <w:r w:rsidR="00BE5FB2" w:rsidRPr="00F86117">
        <w:rPr>
          <w:iCs/>
        </w:rPr>
        <w:t>However, t</w:t>
      </w:r>
      <w:r w:rsidR="003511F9" w:rsidRPr="00F86117">
        <w:rPr>
          <w:iCs/>
        </w:rPr>
        <w:t xml:space="preserve">here was an imbalance in the patients receiving </w:t>
      </w:r>
      <w:proofErr w:type="spellStart"/>
      <w:r w:rsidR="003511F9" w:rsidRPr="00F86117">
        <w:rPr>
          <w:iCs/>
        </w:rPr>
        <w:t>everolimus</w:t>
      </w:r>
      <w:proofErr w:type="spellEnd"/>
      <w:r w:rsidR="003511F9" w:rsidRPr="00F86117">
        <w:rPr>
          <w:iCs/>
        </w:rPr>
        <w:t xml:space="preserve"> (8% and 19% in the </w:t>
      </w:r>
      <w:proofErr w:type="spellStart"/>
      <w:r w:rsidR="003511F9" w:rsidRPr="00F86117">
        <w:rPr>
          <w:iCs/>
        </w:rPr>
        <w:t>cabozantinib</w:t>
      </w:r>
      <w:proofErr w:type="spellEnd"/>
      <w:r w:rsidR="003511F9" w:rsidRPr="00F86117">
        <w:rPr>
          <w:iCs/>
        </w:rPr>
        <w:t xml:space="preserve"> and </w:t>
      </w:r>
      <w:proofErr w:type="spellStart"/>
      <w:r w:rsidR="003511F9" w:rsidRPr="00F86117">
        <w:rPr>
          <w:iCs/>
        </w:rPr>
        <w:t>sunitinib</w:t>
      </w:r>
      <w:proofErr w:type="spellEnd"/>
      <w:r w:rsidR="003511F9" w:rsidRPr="00F86117">
        <w:rPr>
          <w:iCs/>
        </w:rPr>
        <w:t xml:space="preserve"> arms, respectively) and bevacizumab (0% and 6%) across the arms.</w:t>
      </w:r>
      <w:r w:rsidR="00BE5FB2" w:rsidRPr="00F86117">
        <w:rPr>
          <w:iCs/>
        </w:rPr>
        <w:t xml:space="preserve"> Although treatment beyond progression was expressly prohibited in CABOSUN, 13% of patients in the </w:t>
      </w:r>
      <w:proofErr w:type="spellStart"/>
      <w:r w:rsidR="00BE5FB2" w:rsidRPr="00F86117">
        <w:rPr>
          <w:iCs/>
        </w:rPr>
        <w:t>sunitinib</w:t>
      </w:r>
      <w:proofErr w:type="spellEnd"/>
      <w:r w:rsidR="00BE5FB2" w:rsidRPr="00F86117">
        <w:rPr>
          <w:iCs/>
        </w:rPr>
        <w:t xml:space="preserve"> arm continued treatment after progression compared to 1% in the </w:t>
      </w:r>
      <w:proofErr w:type="spellStart"/>
      <w:r w:rsidR="00BE5FB2" w:rsidRPr="00F86117">
        <w:rPr>
          <w:iCs/>
        </w:rPr>
        <w:t>cabozantinib</w:t>
      </w:r>
      <w:proofErr w:type="spellEnd"/>
      <w:r w:rsidR="00BE5FB2" w:rsidRPr="00F86117">
        <w:rPr>
          <w:iCs/>
        </w:rPr>
        <w:t xml:space="preserve"> arm. </w:t>
      </w:r>
    </w:p>
    <w:p w:rsidR="00BB433C" w:rsidRPr="00F86117" w:rsidRDefault="00BB433C" w:rsidP="0061386A">
      <w:pPr>
        <w:pStyle w:val="Heading2"/>
        <w:widowControl/>
        <w:spacing w:before="120"/>
      </w:pPr>
      <w:bookmarkStart w:id="21" w:name="_Toc371170706"/>
      <w:bookmarkStart w:id="22" w:name="_Toc536002942"/>
      <w:bookmarkStart w:id="23" w:name="_Toc536023494"/>
      <w:r w:rsidRPr="00F86117">
        <w:lastRenderedPageBreak/>
        <w:t>Comparative effectiveness</w:t>
      </w:r>
      <w:bookmarkEnd w:id="21"/>
      <w:bookmarkEnd w:id="22"/>
      <w:bookmarkEnd w:id="23"/>
    </w:p>
    <w:p w:rsidR="00347A1D" w:rsidRPr="00F86117" w:rsidRDefault="00BB433C" w:rsidP="0061386A">
      <w:pPr>
        <w:pStyle w:val="ListParagraph"/>
        <w:keepNext/>
        <w:keepLines/>
        <w:widowControl/>
        <w:numPr>
          <w:ilvl w:val="1"/>
          <w:numId w:val="2"/>
        </w:numPr>
        <w:shd w:val="clear" w:color="auto" w:fill="FFFFFF" w:themeFill="background1"/>
        <w:spacing w:before="120"/>
        <w:contextualSpacing/>
      </w:pPr>
      <w:r w:rsidRPr="00F86117">
        <w:t xml:space="preserve">The results for PFS from both CABOSUN and CheckMate214 are presented in Table 7. </w:t>
      </w:r>
      <w:proofErr w:type="spellStart"/>
      <w:r w:rsidR="00347A1D" w:rsidRPr="00F86117">
        <w:t>Cabozantinib</w:t>
      </w:r>
      <w:proofErr w:type="spellEnd"/>
      <w:r w:rsidR="00347A1D" w:rsidRPr="00F86117">
        <w:t xml:space="preserve"> was associated with a statistically significant increase in PFS compared with </w:t>
      </w:r>
      <w:proofErr w:type="spellStart"/>
      <w:r w:rsidR="00347A1D" w:rsidRPr="00F86117">
        <w:t>sunitinib</w:t>
      </w:r>
      <w:proofErr w:type="spellEnd"/>
      <w:r w:rsidR="00347A1D" w:rsidRPr="00F86117">
        <w:t xml:space="preserve"> for b</w:t>
      </w:r>
      <w:r w:rsidRPr="00F86117">
        <w:t>oth the investigator and IRC assessment</w:t>
      </w:r>
      <w:r w:rsidR="00347A1D" w:rsidRPr="00F86117">
        <w:t>.</w:t>
      </w:r>
      <w:r w:rsidR="003136E7" w:rsidRPr="00F86117">
        <w:t xml:space="preserve"> The ESC </w:t>
      </w:r>
      <w:r w:rsidR="006F42A1" w:rsidRPr="00F86117">
        <w:t xml:space="preserve">and PBAC </w:t>
      </w:r>
      <w:r w:rsidR="003136E7" w:rsidRPr="00F86117">
        <w:t>noted that there was a substantial difference between the IRC and investigator assessed PFS</w:t>
      </w:r>
      <w:r w:rsidR="00063221" w:rsidRPr="00F86117">
        <w:t xml:space="preserve"> results</w:t>
      </w:r>
      <w:r w:rsidR="003136E7" w:rsidRPr="00F86117">
        <w:t>.</w:t>
      </w:r>
      <w:r w:rsidRPr="00F86117">
        <w:t xml:space="preserve"> </w:t>
      </w:r>
    </w:p>
    <w:p w:rsidR="00BB433C" w:rsidRPr="00F86117" w:rsidRDefault="00BB433C" w:rsidP="00AD4D26">
      <w:pPr>
        <w:pStyle w:val="TableHeading0"/>
        <w:keepLines/>
        <w:spacing w:after="0"/>
      </w:pPr>
      <w:r w:rsidRPr="00F86117">
        <w:t>Table 7: Results of progression-free survival across trials</w:t>
      </w:r>
    </w:p>
    <w:tbl>
      <w:tblPr>
        <w:tblStyle w:val="TableGrid"/>
        <w:tblW w:w="9747" w:type="dxa"/>
        <w:tblLayout w:type="fixed"/>
        <w:tblLook w:val="04A0" w:firstRow="1" w:lastRow="0" w:firstColumn="1" w:lastColumn="0" w:noHBand="0" w:noVBand="1"/>
        <w:tblCaption w:val="Table 7: Results of progression-free survival across trials"/>
      </w:tblPr>
      <w:tblGrid>
        <w:gridCol w:w="2518"/>
        <w:gridCol w:w="944"/>
        <w:gridCol w:w="1063"/>
        <w:gridCol w:w="970"/>
        <w:gridCol w:w="1003"/>
        <w:gridCol w:w="1249"/>
        <w:gridCol w:w="736"/>
        <w:gridCol w:w="1264"/>
      </w:tblGrid>
      <w:tr w:rsidR="00BB433C" w:rsidRPr="00F86117" w:rsidTr="0061386A">
        <w:trPr>
          <w:tblHeader/>
        </w:trPr>
        <w:tc>
          <w:tcPr>
            <w:tcW w:w="2518" w:type="dxa"/>
            <w:shd w:val="clear" w:color="auto" w:fill="auto"/>
            <w:vAlign w:val="center"/>
          </w:tcPr>
          <w:p w:rsidR="00BB433C" w:rsidRPr="00F86117" w:rsidRDefault="00BB433C" w:rsidP="00AD4D26">
            <w:pPr>
              <w:pStyle w:val="TableText1"/>
              <w:keepLines/>
              <w:spacing w:before="0" w:after="0"/>
              <w:rPr>
                <w:szCs w:val="20"/>
              </w:rPr>
            </w:pPr>
          </w:p>
        </w:tc>
        <w:tc>
          <w:tcPr>
            <w:tcW w:w="2007" w:type="dxa"/>
            <w:gridSpan w:val="2"/>
            <w:shd w:val="clear" w:color="auto" w:fill="auto"/>
            <w:vAlign w:val="center"/>
          </w:tcPr>
          <w:p w:rsidR="00BB433C" w:rsidRPr="00F86117" w:rsidRDefault="00BB433C" w:rsidP="00AD4D26">
            <w:pPr>
              <w:pStyle w:val="TableText1"/>
              <w:keepLines/>
              <w:spacing w:before="0" w:after="0"/>
              <w:jc w:val="center"/>
              <w:rPr>
                <w:b/>
                <w:szCs w:val="20"/>
              </w:rPr>
            </w:pPr>
            <w:r w:rsidRPr="00F86117">
              <w:rPr>
                <w:b/>
                <w:szCs w:val="20"/>
              </w:rPr>
              <w:t>Intervention</w:t>
            </w:r>
          </w:p>
        </w:tc>
        <w:tc>
          <w:tcPr>
            <w:tcW w:w="1973" w:type="dxa"/>
            <w:gridSpan w:val="2"/>
            <w:shd w:val="clear" w:color="auto" w:fill="auto"/>
            <w:vAlign w:val="center"/>
          </w:tcPr>
          <w:p w:rsidR="00BB433C" w:rsidRPr="00F86117" w:rsidRDefault="00BB433C" w:rsidP="00AD4D26">
            <w:pPr>
              <w:pStyle w:val="TableText1"/>
              <w:keepLines/>
              <w:spacing w:before="0" w:after="0"/>
              <w:jc w:val="center"/>
              <w:rPr>
                <w:b/>
                <w:szCs w:val="20"/>
              </w:rPr>
            </w:pPr>
            <w:proofErr w:type="spellStart"/>
            <w:r w:rsidRPr="00F86117">
              <w:rPr>
                <w:b/>
                <w:szCs w:val="20"/>
              </w:rPr>
              <w:t>Sunitinib</w:t>
            </w:r>
            <w:proofErr w:type="spellEnd"/>
          </w:p>
        </w:tc>
        <w:tc>
          <w:tcPr>
            <w:tcW w:w="1249" w:type="dxa"/>
            <w:vMerge w:val="restart"/>
            <w:shd w:val="clear" w:color="auto" w:fill="auto"/>
            <w:vAlign w:val="center"/>
          </w:tcPr>
          <w:p w:rsidR="00BB433C" w:rsidRPr="00F86117" w:rsidRDefault="00BB433C" w:rsidP="00AD4D26">
            <w:pPr>
              <w:pStyle w:val="TableText1"/>
              <w:keepLines/>
              <w:spacing w:before="0" w:after="0"/>
              <w:jc w:val="center"/>
              <w:rPr>
                <w:b/>
                <w:szCs w:val="20"/>
              </w:rPr>
            </w:pPr>
            <w:r w:rsidRPr="00F86117">
              <w:rPr>
                <w:rFonts w:eastAsia="Calibri" w:cs="Times New Roman"/>
                <w:b/>
                <w:szCs w:val="20"/>
                <w:lang w:eastAsia="en-AU"/>
              </w:rPr>
              <w:t xml:space="preserve">Difference in median, </w:t>
            </w:r>
            <w:proofErr w:type="spellStart"/>
            <w:r w:rsidRPr="00F86117">
              <w:rPr>
                <w:rFonts w:eastAsia="Calibri" w:cs="Times New Roman"/>
                <w:b/>
                <w:szCs w:val="20"/>
                <w:lang w:eastAsia="en-AU"/>
              </w:rPr>
              <w:t>mths</w:t>
            </w:r>
            <w:proofErr w:type="spellEnd"/>
          </w:p>
        </w:tc>
        <w:tc>
          <w:tcPr>
            <w:tcW w:w="736" w:type="dxa"/>
            <w:vMerge w:val="restart"/>
            <w:shd w:val="clear" w:color="auto" w:fill="auto"/>
            <w:vAlign w:val="center"/>
          </w:tcPr>
          <w:p w:rsidR="00BB433C" w:rsidRPr="00F86117" w:rsidRDefault="00BB433C" w:rsidP="00AD4D26">
            <w:pPr>
              <w:keepNext/>
              <w:keepLines/>
              <w:widowControl/>
              <w:jc w:val="center"/>
              <w:rPr>
                <w:rFonts w:ascii="Arial Narrow" w:hAnsi="Arial Narrow"/>
                <w:b/>
                <w:sz w:val="20"/>
                <w:szCs w:val="20"/>
                <w:vertAlign w:val="superscript"/>
              </w:rPr>
            </w:pPr>
            <w:r w:rsidRPr="00F86117">
              <w:rPr>
                <w:rFonts w:ascii="Arial Narrow" w:eastAsia="Calibri" w:hAnsi="Arial Narrow" w:cs="Times New Roman"/>
                <w:b/>
                <w:sz w:val="20"/>
                <w:szCs w:val="20"/>
                <w:lang w:eastAsia="en-AU"/>
              </w:rPr>
              <w:t>p</w:t>
            </w:r>
            <w:r w:rsidRPr="00F86117">
              <w:rPr>
                <w:rFonts w:ascii="Arial Narrow" w:eastAsia="Calibri" w:hAnsi="Arial Narrow" w:cs="Times New Roman"/>
                <w:b/>
                <w:i/>
                <w:sz w:val="20"/>
                <w:szCs w:val="20"/>
                <w:lang w:eastAsia="en-AU"/>
              </w:rPr>
              <w:t xml:space="preserve"> </w:t>
            </w:r>
            <w:proofErr w:type="spellStart"/>
            <w:r w:rsidRPr="00F86117">
              <w:rPr>
                <w:rFonts w:ascii="Arial Narrow" w:eastAsia="Calibri" w:hAnsi="Arial Narrow" w:cs="Times New Roman"/>
                <w:b/>
                <w:sz w:val="20"/>
                <w:szCs w:val="20"/>
                <w:lang w:eastAsia="en-AU"/>
              </w:rPr>
              <w:t>value</w:t>
            </w:r>
            <w:r w:rsidRPr="00F86117">
              <w:rPr>
                <w:rFonts w:ascii="Arial Narrow" w:eastAsia="Calibri" w:hAnsi="Arial Narrow" w:cs="Times New Roman"/>
                <w:b/>
                <w:sz w:val="20"/>
                <w:szCs w:val="20"/>
                <w:vertAlign w:val="superscript"/>
                <w:lang w:eastAsia="en-AU"/>
              </w:rPr>
              <w:t>a</w:t>
            </w:r>
            <w:proofErr w:type="spellEnd"/>
          </w:p>
        </w:tc>
        <w:tc>
          <w:tcPr>
            <w:tcW w:w="1264" w:type="dxa"/>
            <w:vMerge w:val="restart"/>
            <w:shd w:val="clear" w:color="auto" w:fill="auto"/>
            <w:vAlign w:val="center"/>
          </w:tcPr>
          <w:p w:rsidR="00BB433C" w:rsidRPr="00F86117" w:rsidRDefault="00BB433C" w:rsidP="00AD4D26">
            <w:pPr>
              <w:keepNext/>
              <w:keepLines/>
              <w:widowControl/>
              <w:jc w:val="center"/>
              <w:rPr>
                <w:rFonts w:ascii="Arial Narrow" w:eastAsia="Calibri" w:hAnsi="Arial Narrow" w:cs="Times New Roman"/>
                <w:b/>
                <w:sz w:val="20"/>
                <w:szCs w:val="20"/>
                <w:lang w:eastAsia="en-AU"/>
              </w:rPr>
            </w:pPr>
            <w:r w:rsidRPr="00F86117">
              <w:rPr>
                <w:rFonts w:ascii="Arial Narrow" w:eastAsia="Calibri" w:hAnsi="Arial Narrow" w:cs="Times New Roman"/>
                <w:b/>
                <w:sz w:val="20"/>
                <w:szCs w:val="20"/>
                <w:lang w:eastAsia="en-AU"/>
              </w:rPr>
              <w:t>HR</w:t>
            </w:r>
          </w:p>
          <w:p w:rsidR="00BB433C" w:rsidRPr="00F86117" w:rsidRDefault="00BB433C" w:rsidP="00AD4D26">
            <w:pPr>
              <w:keepNext/>
              <w:keepLines/>
              <w:widowControl/>
              <w:jc w:val="center"/>
              <w:rPr>
                <w:rFonts w:ascii="Arial Narrow" w:hAnsi="Arial Narrow"/>
                <w:b/>
                <w:sz w:val="20"/>
                <w:szCs w:val="20"/>
              </w:rPr>
            </w:pPr>
            <w:r w:rsidRPr="00F86117">
              <w:rPr>
                <w:rFonts w:ascii="Arial Narrow" w:eastAsia="Calibri" w:hAnsi="Arial Narrow" w:cs="Times New Roman"/>
                <w:b/>
                <w:sz w:val="20"/>
                <w:szCs w:val="20"/>
                <w:lang w:eastAsia="en-AU"/>
              </w:rPr>
              <w:t>(95% CI)</w:t>
            </w:r>
          </w:p>
        </w:tc>
      </w:tr>
      <w:tr w:rsidR="00BB433C" w:rsidRPr="00F86117" w:rsidTr="0061386A">
        <w:trPr>
          <w:tblHeader/>
        </w:trPr>
        <w:tc>
          <w:tcPr>
            <w:tcW w:w="2518" w:type="dxa"/>
            <w:shd w:val="clear" w:color="auto" w:fill="auto"/>
            <w:vAlign w:val="center"/>
          </w:tcPr>
          <w:p w:rsidR="00BB433C" w:rsidRPr="00F86117" w:rsidRDefault="00BB433C" w:rsidP="00AD4D26">
            <w:pPr>
              <w:pStyle w:val="TableText1"/>
              <w:keepLines/>
              <w:spacing w:before="0" w:after="0"/>
              <w:jc w:val="center"/>
              <w:rPr>
                <w:szCs w:val="20"/>
              </w:rPr>
            </w:pPr>
          </w:p>
        </w:tc>
        <w:tc>
          <w:tcPr>
            <w:tcW w:w="944" w:type="dxa"/>
            <w:shd w:val="clear" w:color="auto" w:fill="auto"/>
            <w:vAlign w:val="center"/>
          </w:tcPr>
          <w:p w:rsidR="00BB433C" w:rsidRPr="00F86117" w:rsidRDefault="00BB433C" w:rsidP="00AD4D26">
            <w:pPr>
              <w:pStyle w:val="TableText1"/>
              <w:keepLines/>
              <w:spacing w:before="0" w:after="0"/>
              <w:jc w:val="center"/>
              <w:rPr>
                <w:b/>
                <w:szCs w:val="20"/>
              </w:rPr>
            </w:pPr>
            <w:proofErr w:type="gramStart"/>
            <w:r w:rsidRPr="00F86117">
              <w:rPr>
                <w:rFonts w:eastAsia="Calibri" w:cs="Times New Roman"/>
                <w:b/>
                <w:szCs w:val="20"/>
                <w:lang w:eastAsia="en-AU"/>
              </w:rPr>
              <w:t>n/N</w:t>
            </w:r>
            <w:proofErr w:type="gramEnd"/>
            <w:r w:rsidRPr="00F86117">
              <w:rPr>
                <w:rFonts w:eastAsia="Calibri" w:cs="Times New Roman"/>
                <w:b/>
                <w:szCs w:val="20"/>
                <w:lang w:eastAsia="en-AU"/>
              </w:rPr>
              <w:t xml:space="preserve"> with event (%)</w:t>
            </w:r>
          </w:p>
        </w:tc>
        <w:tc>
          <w:tcPr>
            <w:tcW w:w="1063" w:type="dxa"/>
            <w:shd w:val="clear" w:color="auto" w:fill="auto"/>
            <w:vAlign w:val="center"/>
          </w:tcPr>
          <w:p w:rsidR="00BB433C" w:rsidRPr="00F86117" w:rsidRDefault="00BB433C" w:rsidP="00AD4D26">
            <w:pPr>
              <w:pStyle w:val="TableText1"/>
              <w:keepLines/>
              <w:spacing w:before="0" w:after="0"/>
              <w:jc w:val="center"/>
              <w:rPr>
                <w:rFonts w:eastAsia="Calibri" w:cs="Times New Roman"/>
                <w:b/>
                <w:szCs w:val="20"/>
                <w:lang w:eastAsia="en-AU"/>
              </w:rPr>
            </w:pPr>
            <w:r w:rsidRPr="00F86117">
              <w:rPr>
                <w:rFonts w:eastAsia="Calibri" w:cs="Times New Roman"/>
                <w:b/>
                <w:szCs w:val="20"/>
                <w:lang w:eastAsia="en-AU"/>
              </w:rPr>
              <w:t xml:space="preserve">Median </w:t>
            </w:r>
            <w:proofErr w:type="spellStart"/>
            <w:r w:rsidRPr="00F86117">
              <w:rPr>
                <w:rFonts w:eastAsia="Calibri" w:cs="Times New Roman"/>
                <w:b/>
                <w:szCs w:val="20"/>
                <w:lang w:eastAsia="en-AU"/>
              </w:rPr>
              <w:t>mths</w:t>
            </w:r>
            <w:proofErr w:type="spellEnd"/>
          </w:p>
          <w:p w:rsidR="00BB433C" w:rsidRPr="00F86117" w:rsidRDefault="00BB433C" w:rsidP="00AD4D26">
            <w:pPr>
              <w:pStyle w:val="TableText1"/>
              <w:keepLines/>
              <w:spacing w:before="0" w:after="0"/>
              <w:jc w:val="center"/>
              <w:rPr>
                <w:b/>
                <w:szCs w:val="20"/>
              </w:rPr>
            </w:pPr>
            <w:r w:rsidRPr="00F86117">
              <w:rPr>
                <w:rFonts w:eastAsia="Calibri" w:cs="Times New Roman"/>
                <w:b/>
                <w:szCs w:val="20"/>
                <w:lang w:eastAsia="en-AU"/>
              </w:rPr>
              <w:t>(95% CI)</w:t>
            </w:r>
          </w:p>
        </w:tc>
        <w:tc>
          <w:tcPr>
            <w:tcW w:w="970" w:type="dxa"/>
            <w:shd w:val="clear" w:color="auto" w:fill="auto"/>
            <w:vAlign w:val="center"/>
          </w:tcPr>
          <w:p w:rsidR="00BB433C" w:rsidRPr="00F86117" w:rsidRDefault="00BB433C" w:rsidP="00AD4D26">
            <w:pPr>
              <w:pStyle w:val="TableText1"/>
              <w:keepLines/>
              <w:spacing w:before="0" w:after="0"/>
              <w:jc w:val="center"/>
              <w:rPr>
                <w:b/>
                <w:szCs w:val="20"/>
              </w:rPr>
            </w:pPr>
            <w:proofErr w:type="gramStart"/>
            <w:r w:rsidRPr="00F86117">
              <w:rPr>
                <w:rFonts w:eastAsia="Calibri" w:cs="Times New Roman"/>
                <w:b/>
                <w:szCs w:val="20"/>
                <w:lang w:eastAsia="en-AU"/>
              </w:rPr>
              <w:t>n/N</w:t>
            </w:r>
            <w:proofErr w:type="gramEnd"/>
            <w:r w:rsidRPr="00F86117">
              <w:rPr>
                <w:rFonts w:eastAsia="Calibri" w:cs="Times New Roman"/>
                <w:b/>
                <w:szCs w:val="20"/>
                <w:lang w:eastAsia="en-AU"/>
              </w:rPr>
              <w:t xml:space="preserve"> with event (%)</w:t>
            </w:r>
          </w:p>
        </w:tc>
        <w:tc>
          <w:tcPr>
            <w:tcW w:w="1003" w:type="dxa"/>
            <w:shd w:val="clear" w:color="auto" w:fill="auto"/>
            <w:vAlign w:val="center"/>
          </w:tcPr>
          <w:p w:rsidR="00BB433C" w:rsidRPr="00F86117" w:rsidRDefault="00BB433C" w:rsidP="00AD4D26">
            <w:pPr>
              <w:pStyle w:val="TableText1"/>
              <w:keepLines/>
              <w:spacing w:before="0" w:after="0"/>
              <w:jc w:val="center"/>
              <w:rPr>
                <w:b/>
                <w:szCs w:val="20"/>
              </w:rPr>
            </w:pPr>
            <w:r w:rsidRPr="00F86117">
              <w:rPr>
                <w:rFonts w:eastAsia="Calibri" w:cs="Times New Roman"/>
                <w:b/>
                <w:szCs w:val="20"/>
                <w:lang w:eastAsia="en-AU"/>
              </w:rPr>
              <w:t xml:space="preserve">Median </w:t>
            </w:r>
            <w:proofErr w:type="spellStart"/>
            <w:r w:rsidRPr="00F86117">
              <w:rPr>
                <w:rFonts w:eastAsia="Calibri" w:cs="Times New Roman"/>
                <w:b/>
                <w:szCs w:val="20"/>
                <w:lang w:eastAsia="en-AU"/>
              </w:rPr>
              <w:t>mths</w:t>
            </w:r>
            <w:proofErr w:type="spellEnd"/>
            <w:r w:rsidRPr="00F86117">
              <w:rPr>
                <w:rFonts w:eastAsia="Calibri" w:cs="Times New Roman"/>
                <w:b/>
                <w:szCs w:val="20"/>
                <w:lang w:eastAsia="en-AU"/>
              </w:rPr>
              <w:t xml:space="preserve"> (95% CI)</w:t>
            </w:r>
          </w:p>
        </w:tc>
        <w:tc>
          <w:tcPr>
            <w:tcW w:w="1249" w:type="dxa"/>
            <w:vMerge/>
            <w:shd w:val="clear" w:color="auto" w:fill="auto"/>
            <w:vAlign w:val="center"/>
          </w:tcPr>
          <w:p w:rsidR="00BB433C" w:rsidRPr="00F86117" w:rsidRDefault="00BB433C" w:rsidP="00AD4D26">
            <w:pPr>
              <w:pStyle w:val="TableText1"/>
              <w:keepLines/>
              <w:spacing w:before="0" w:after="0"/>
              <w:jc w:val="center"/>
              <w:rPr>
                <w:b/>
                <w:szCs w:val="20"/>
              </w:rPr>
            </w:pPr>
          </w:p>
        </w:tc>
        <w:tc>
          <w:tcPr>
            <w:tcW w:w="736" w:type="dxa"/>
            <w:vMerge/>
            <w:shd w:val="clear" w:color="auto" w:fill="auto"/>
            <w:vAlign w:val="center"/>
          </w:tcPr>
          <w:p w:rsidR="00BB433C" w:rsidRPr="00F86117" w:rsidRDefault="00BB433C" w:rsidP="00AD4D26">
            <w:pPr>
              <w:keepNext/>
              <w:keepLines/>
              <w:widowControl/>
              <w:jc w:val="center"/>
              <w:rPr>
                <w:rFonts w:ascii="Arial Narrow" w:eastAsia="Calibri" w:hAnsi="Arial Narrow" w:cs="Times New Roman"/>
                <w:b/>
                <w:sz w:val="20"/>
                <w:szCs w:val="20"/>
                <w:lang w:eastAsia="en-AU"/>
              </w:rPr>
            </w:pPr>
          </w:p>
        </w:tc>
        <w:tc>
          <w:tcPr>
            <w:tcW w:w="1264" w:type="dxa"/>
            <w:vMerge/>
            <w:shd w:val="clear" w:color="auto" w:fill="auto"/>
            <w:vAlign w:val="center"/>
          </w:tcPr>
          <w:p w:rsidR="00BB433C" w:rsidRPr="00F86117" w:rsidRDefault="00BB433C" w:rsidP="00AD4D26">
            <w:pPr>
              <w:keepNext/>
              <w:keepLines/>
              <w:widowControl/>
              <w:jc w:val="center"/>
              <w:rPr>
                <w:rFonts w:ascii="Arial Narrow" w:eastAsia="Calibri" w:hAnsi="Arial Narrow" w:cs="Times New Roman"/>
                <w:b/>
                <w:sz w:val="20"/>
                <w:szCs w:val="20"/>
                <w:lang w:eastAsia="en-AU"/>
              </w:rPr>
            </w:pPr>
          </w:p>
        </w:tc>
      </w:tr>
      <w:tr w:rsidR="00BB433C" w:rsidRPr="00F86117" w:rsidTr="00033D2D">
        <w:tc>
          <w:tcPr>
            <w:tcW w:w="2518" w:type="dxa"/>
            <w:shd w:val="clear" w:color="auto" w:fill="auto"/>
          </w:tcPr>
          <w:p w:rsidR="00BB433C" w:rsidRPr="00F86117" w:rsidRDefault="00BB433C" w:rsidP="00AD4D26">
            <w:pPr>
              <w:keepNext/>
              <w:keepLines/>
              <w:widowControl/>
              <w:jc w:val="left"/>
              <w:rPr>
                <w:rFonts w:ascii="Arial Narrow" w:hAnsi="Arial Narrow" w:cs="Times New Roman"/>
                <w:sz w:val="20"/>
                <w:szCs w:val="20"/>
                <w:lang w:eastAsia="en-AU"/>
              </w:rPr>
            </w:pPr>
            <w:r w:rsidRPr="00F86117">
              <w:rPr>
                <w:rFonts w:ascii="Arial Narrow" w:hAnsi="Arial Narrow" w:cs="Times New Roman"/>
                <w:sz w:val="20"/>
                <w:szCs w:val="20"/>
                <w:lang w:eastAsia="en-AU"/>
              </w:rPr>
              <w:t>CABOSUN (IRC assessed-September 2016 data-cut-off</w:t>
            </w:r>
            <w:r w:rsidR="00033D2D" w:rsidRPr="00F86117">
              <w:rPr>
                <w:rFonts w:ascii="Arial Narrow" w:hAnsi="Arial Narrow" w:cs="Times New Roman"/>
                <w:sz w:val="20"/>
                <w:szCs w:val="20"/>
                <w:lang w:eastAsia="en-AU"/>
              </w:rPr>
              <w:t>, FDA censoring rules</w:t>
            </w:r>
            <w:r w:rsidRPr="00F86117">
              <w:rPr>
                <w:rFonts w:ascii="Arial Narrow" w:hAnsi="Arial Narrow" w:cs="Times New Roman"/>
                <w:sz w:val="20"/>
                <w:szCs w:val="20"/>
                <w:lang w:eastAsia="en-AU"/>
              </w:rPr>
              <w:t>)</w:t>
            </w:r>
          </w:p>
        </w:tc>
        <w:tc>
          <w:tcPr>
            <w:tcW w:w="944" w:type="dxa"/>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43/79 (54)</w:t>
            </w:r>
          </w:p>
        </w:tc>
        <w:tc>
          <w:tcPr>
            <w:tcW w:w="1063" w:type="dxa"/>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8.6 (6.8, 14.0)</w:t>
            </w:r>
          </w:p>
        </w:tc>
        <w:tc>
          <w:tcPr>
            <w:tcW w:w="970" w:type="dxa"/>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49/78 (63)</w:t>
            </w:r>
          </w:p>
        </w:tc>
        <w:tc>
          <w:tcPr>
            <w:tcW w:w="1003" w:type="dxa"/>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5.3 (3.0, 8.2)</w:t>
            </w:r>
          </w:p>
        </w:tc>
        <w:tc>
          <w:tcPr>
            <w:tcW w:w="1249" w:type="dxa"/>
            <w:shd w:val="clear" w:color="auto" w:fill="auto"/>
          </w:tcPr>
          <w:p w:rsidR="00BB433C" w:rsidRPr="00F86117" w:rsidRDefault="00BB433C" w:rsidP="00AD4D26">
            <w:pPr>
              <w:keepNext/>
              <w:keepLines/>
              <w:widowControl/>
              <w:jc w:val="center"/>
              <w:rPr>
                <w:rFonts w:ascii="Arial Narrow" w:hAnsi="Arial Narrow" w:cs="Times New Roman"/>
                <w:i/>
                <w:sz w:val="20"/>
                <w:szCs w:val="20"/>
                <w:lang w:eastAsia="en-AU"/>
              </w:rPr>
            </w:pPr>
            <w:r w:rsidRPr="00F86117">
              <w:rPr>
                <w:rFonts w:ascii="Arial Narrow" w:hAnsi="Arial Narrow" w:cs="Times New Roman"/>
                <w:i/>
                <w:sz w:val="20"/>
                <w:szCs w:val="20"/>
                <w:lang w:eastAsia="en-AU"/>
              </w:rPr>
              <w:t>3.3</w:t>
            </w:r>
          </w:p>
        </w:tc>
        <w:tc>
          <w:tcPr>
            <w:tcW w:w="736" w:type="dxa"/>
            <w:shd w:val="clear" w:color="auto" w:fill="auto"/>
          </w:tcPr>
          <w:p w:rsidR="00BB433C" w:rsidRPr="00F86117" w:rsidRDefault="00BB433C" w:rsidP="00AD4D26">
            <w:pPr>
              <w:keepNext/>
              <w:keepLines/>
              <w:widowControl/>
              <w:jc w:val="center"/>
              <w:rPr>
                <w:rFonts w:ascii="Arial Narrow" w:hAnsi="Arial Narrow" w:cs="Times New Roman"/>
                <w:b/>
                <w:sz w:val="20"/>
                <w:szCs w:val="20"/>
                <w:lang w:eastAsia="en-AU"/>
              </w:rPr>
            </w:pPr>
            <w:r w:rsidRPr="00F86117">
              <w:rPr>
                <w:rFonts w:ascii="Arial Narrow" w:hAnsi="Arial Narrow" w:cs="Times New Roman"/>
                <w:b/>
                <w:sz w:val="20"/>
                <w:szCs w:val="20"/>
                <w:lang w:eastAsia="en-AU"/>
              </w:rPr>
              <w:t>0.0008</w:t>
            </w:r>
          </w:p>
        </w:tc>
        <w:tc>
          <w:tcPr>
            <w:tcW w:w="1264" w:type="dxa"/>
            <w:shd w:val="clear" w:color="auto" w:fill="auto"/>
          </w:tcPr>
          <w:p w:rsidR="00BB433C" w:rsidRPr="00F86117" w:rsidRDefault="00BB433C" w:rsidP="00AD4D26">
            <w:pPr>
              <w:keepNext/>
              <w:keepLines/>
              <w:widowControl/>
              <w:jc w:val="center"/>
              <w:rPr>
                <w:rFonts w:ascii="Arial Narrow" w:hAnsi="Arial Narrow" w:cs="Times New Roman"/>
                <w:b/>
                <w:sz w:val="20"/>
                <w:szCs w:val="20"/>
                <w:lang w:eastAsia="en-AU"/>
              </w:rPr>
            </w:pPr>
            <w:r w:rsidRPr="00F86117">
              <w:rPr>
                <w:rFonts w:ascii="Arial Narrow" w:hAnsi="Arial Narrow"/>
                <w:b/>
                <w:sz w:val="20"/>
                <w:szCs w:val="20"/>
              </w:rPr>
              <w:t>0.48 (0.31, 0.74)</w:t>
            </w:r>
          </w:p>
        </w:tc>
      </w:tr>
      <w:tr w:rsidR="00BB433C" w:rsidRPr="00F86117" w:rsidTr="00033D2D">
        <w:tc>
          <w:tcPr>
            <w:tcW w:w="2518" w:type="dxa"/>
            <w:shd w:val="clear" w:color="auto" w:fill="auto"/>
          </w:tcPr>
          <w:p w:rsidR="00BB433C" w:rsidRPr="00F86117" w:rsidRDefault="00BB433C" w:rsidP="00AD4D26">
            <w:pPr>
              <w:keepNext/>
              <w:keepLines/>
              <w:widowControl/>
              <w:jc w:val="left"/>
              <w:rPr>
                <w:rFonts w:ascii="Arial Narrow" w:hAnsi="Arial Narrow" w:cs="Times New Roman"/>
                <w:sz w:val="20"/>
                <w:szCs w:val="20"/>
                <w:lang w:eastAsia="en-AU"/>
              </w:rPr>
            </w:pPr>
            <w:r w:rsidRPr="00F86117">
              <w:rPr>
                <w:rFonts w:ascii="Arial Narrow" w:hAnsi="Arial Narrow" w:cs="Times New Roman"/>
                <w:sz w:val="20"/>
                <w:szCs w:val="20"/>
                <w:lang w:eastAsia="en-AU"/>
              </w:rPr>
              <w:t>CABOSUN (investigator assessed-April 2016 data cut-off</w:t>
            </w:r>
            <w:r w:rsidR="00033D2D" w:rsidRPr="00F86117">
              <w:rPr>
                <w:rFonts w:ascii="Arial Narrow" w:hAnsi="Arial Narrow" w:cs="Times New Roman"/>
                <w:sz w:val="20"/>
                <w:szCs w:val="20"/>
                <w:lang w:eastAsia="en-AU"/>
              </w:rPr>
              <w:t>, Alliance censoring rules</w:t>
            </w:r>
            <w:r w:rsidRPr="00F86117">
              <w:rPr>
                <w:rFonts w:ascii="Arial Narrow" w:hAnsi="Arial Narrow" w:cs="Times New Roman"/>
                <w:sz w:val="20"/>
                <w:szCs w:val="20"/>
                <w:lang w:eastAsia="en-AU"/>
              </w:rPr>
              <w:t>)</w:t>
            </w:r>
          </w:p>
        </w:tc>
        <w:tc>
          <w:tcPr>
            <w:tcW w:w="944" w:type="dxa"/>
            <w:shd w:val="clear" w:color="auto" w:fill="auto"/>
          </w:tcPr>
          <w:p w:rsidR="00BB433C" w:rsidRPr="00F86117" w:rsidRDefault="00BB433C" w:rsidP="00AD4D26">
            <w:pPr>
              <w:keepNext/>
              <w:keepLines/>
              <w:widowControl/>
              <w:jc w:val="center"/>
              <w:rPr>
                <w:rFonts w:ascii="Arial Narrow" w:hAnsi="Arial Narrow" w:cs="Times New Roman"/>
                <w:sz w:val="20"/>
                <w:szCs w:val="20"/>
                <w:vertAlign w:val="superscript"/>
                <w:lang w:eastAsia="en-AU"/>
              </w:rPr>
            </w:pPr>
            <w:proofErr w:type="spellStart"/>
            <w:r w:rsidRPr="00F86117">
              <w:rPr>
                <w:rFonts w:ascii="Arial Narrow" w:hAnsi="Arial Narrow" w:cs="Times New Roman"/>
                <w:sz w:val="20"/>
                <w:szCs w:val="20"/>
                <w:lang w:eastAsia="en-AU"/>
              </w:rPr>
              <w:t>NR</w:t>
            </w:r>
            <w:r w:rsidRPr="00F86117">
              <w:rPr>
                <w:rFonts w:ascii="Arial Narrow" w:hAnsi="Arial Narrow" w:cs="Times New Roman"/>
                <w:sz w:val="20"/>
                <w:szCs w:val="20"/>
                <w:vertAlign w:val="superscript"/>
                <w:lang w:eastAsia="en-AU"/>
              </w:rPr>
              <w:t>b</w:t>
            </w:r>
            <w:proofErr w:type="spellEnd"/>
          </w:p>
        </w:tc>
        <w:tc>
          <w:tcPr>
            <w:tcW w:w="1063" w:type="dxa"/>
            <w:shd w:val="clear" w:color="auto" w:fill="auto"/>
          </w:tcPr>
          <w:p w:rsidR="00BB433C" w:rsidRPr="00F86117" w:rsidRDefault="00BB433C" w:rsidP="00AD4D26">
            <w:pPr>
              <w:keepNext/>
              <w:keepLines/>
              <w:widowControl/>
              <w:autoSpaceDE w:val="0"/>
              <w:autoSpaceDN w:val="0"/>
              <w:adjustRightInd w:val="0"/>
              <w:jc w:val="center"/>
              <w:rPr>
                <w:rFonts w:ascii="Arial Narrow" w:hAnsi="Arial Narrow" w:cs="Times New Roman"/>
                <w:sz w:val="20"/>
                <w:szCs w:val="20"/>
                <w:lang w:eastAsia="en-AU"/>
              </w:rPr>
            </w:pPr>
            <w:r w:rsidRPr="00F86117">
              <w:rPr>
                <w:rFonts w:ascii="Arial Narrow" w:hAnsi="Arial Narrow" w:cs="Times New Roman"/>
                <w:snapToGrid/>
                <w:sz w:val="20"/>
                <w:szCs w:val="20"/>
                <w:lang w:eastAsia="en-AU"/>
              </w:rPr>
              <w:t>8.2 (6.2, 8.8)</w:t>
            </w:r>
          </w:p>
        </w:tc>
        <w:tc>
          <w:tcPr>
            <w:tcW w:w="970" w:type="dxa"/>
            <w:shd w:val="clear" w:color="auto" w:fill="auto"/>
          </w:tcPr>
          <w:p w:rsidR="00BB433C" w:rsidRPr="00F86117" w:rsidRDefault="00BB433C" w:rsidP="00AD4D26">
            <w:pPr>
              <w:keepNext/>
              <w:keepLines/>
              <w:widowControl/>
              <w:jc w:val="center"/>
              <w:rPr>
                <w:rFonts w:ascii="Arial Narrow" w:hAnsi="Arial Narrow" w:cs="Times New Roman"/>
                <w:sz w:val="20"/>
                <w:szCs w:val="20"/>
                <w:vertAlign w:val="superscript"/>
                <w:lang w:eastAsia="en-AU"/>
              </w:rPr>
            </w:pPr>
            <w:proofErr w:type="spellStart"/>
            <w:r w:rsidRPr="00F86117">
              <w:rPr>
                <w:rFonts w:ascii="Arial Narrow" w:hAnsi="Arial Narrow" w:cs="Times New Roman"/>
                <w:sz w:val="20"/>
                <w:szCs w:val="20"/>
                <w:lang w:eastAsia="en-AU"/>
              </w:rPr>
              <w:t>NR</w:t>
            </w:r>
            <w:r w:rsidRPr="00F86117">
              <w:rPr>
                <w:rFonts w:ascii="Arial Narrow" w:hAnsi="Arial Narrow" w:cs="Times New Roman"/>
                <w:sz w:val="20"/>
                <w:szCs w:val="20"/>
                <w:vertAlign w:val="superscript"/>
                <w:lang w:eastAsia="en-AU"/>
              </w:rPr>
              <w:t>b</w:t>
            </w:r>
            <w:proofErr w:type="spellEnd"/>
          </w:p>
        </w:tc>
        <w:tc>
          <w:tcPr>
            <w:tcW w:w="1003" w:type="dxa"/>
            <w:shd w:val="clear" w:color="auto" w:fill="auto"/>
          </w:tcPr>
          <w:p w:rsidR="00BB433C" w:rsidRPr="00F86117" w:rsidRDefault="00BB433C" w:rsidP="00AD4D26">
            <w:pPr>
              <w:keepNext/>
              <w:keepLines/>
              <w:widowControl/>
              <w:autoSpaceDE w:val="0"/>
              <w:autoSpaceDN w:val="0"/>
              <w:adjustRightInd w:val="0"/>
              <w:jc w:val="center"/>
              <w:rPr>
                <w:rFonts w:ascii="Arial Narrow" w:hAnsi="Arial Narrow" w:cs="Times New Roman"/>
                <w:sz w:val="20"/>
                <w:szCs w:val="20"/>
                <w:lang w:eastAsia="en-AU"/>
              </w:rPr>
            </w:pPr>
            <w:r w:rsidRPr="00F86117">
              <w:rPr>
                <w:rFonts w:ascii="Arial Narrow" w:hAnsi="Arial Narrow" w:cs="Times New Roman"/>
                <w:snapToGrid/>
                <w:sz w:val="20"/>
                <w:szCs w:val="20"/>
                <w:lang w:eastAsia="en-AU"/>
              </w:rPr>
              <w:t>5.6 (3.4, 8.1)</w:t>
            </w:r>
          </w:p>
        </w:tc>
        <w:tc>
          <w:tcPr>
            <w:tcW w:w="1249" w:type="dxa"/>
            <w:shd w:val="clear" w:color="auto" w:fill="auto"/>
          </w:tcPr>
          <w:p w:rsidR="00BB433C" w:rsidRPr="00F86117" w:rsidRDefault="00BB433C" w:rsidP="00AD4D26">
            <w:pPr>
              <w:keepNext/>
              <w:keepLines/>
              <w:widowControl/>
              <w:jc w:val="center"/>
              <w:rPr>
                <w:rFonts w:ascii="Arial Narrow" w:hAnsi="Arial Narrow" w:cs="Times New Roman"/>
                <w:i/>
                <w:sz w:val="20"/>
                <w:szCs w:val="20"/>
                <w:lang w:eastAsia="en-AU"/>
              </w:rPr>
            </w:pPr>
            <w:r w:rsidRPr="00F86117">
              <w:rPr>
                <w:rFonts w:ascii="Arial Narrow" w:hAnsi="Arial Narrow" w:cs="Times New Roman"/>
                <w:i/>
                <w:sz w:val="20"/>
                <w:szCs w:val="20"/>
                <w:lang w:eastAsia="en-AU"/>
              </w:rPr>
              <w:t>2.6</w:t>
            </w:r>
          </w:p>
        </w:tc>
        <w:tc>
          <w:tcPr>
            <w:tcW w:w="736" w:type="dxa"/>
            <w:shd w:val="clear" w:color="auto" w:fill="auto"/>
          </w:tcPr>
          <w:p w:rsidR="00BB433C" w:rsidRPr="00F86117" w:rsidRDefault="00BB433C" w:rsidP="00AD4D26">
            <w:pPr>
              <w:keepNext/>
              <w:keepLines/>
              <w:widowControl/>
              <w:jc w:val="center"/>
              <w:rPr>
                <w:rFonts w:ascii="Arial Narrow" w:hAnsi="Arial Narrow" w:cs="Times New Roman"/>
                <w:b/>
                <w:sz w:val="20"/>
                <w:szCs w:val="20"/>
                <w:lang w:eastAsia="en-AU"/>
              </w:rPr>
            </w:pPr>
            <w:r w:rsidRPr="00F86117">
              <w:rPr>
                <w:rFonts w:ascii="Arial Narrow" w:hAnsi="Arial Narrow" w:cs="Times New Roman"/>
                <w:b/>
                <w:snapToGrid/>
                <w:sz w:val="20"/>
                <w:szCs w:val="20"/>
                <w:lang w:eastAsia="en-AU"/>
              </w:rPr>
              <w:t>0.012</w:t>
            </w:r>
          </w:p>
        </w:tc>
        <w:tc>
          <w:tcPr>
            <w:tcW w:w="1264" w:type="dxa"/>
            <w:shd w:val="clear" w:color="auto" w:fill="auto"/>
          </w:tcPr>
          <w:p w:rsidR="00BB433C" w:rsidRPr="00F86117" w:rsidRDefault="00BB433C" w:rsidP="00AD4D26">
            <w:pPr>
              <w:keepNext/>
              <w:keepLines/>
              <w:widowControl/>
              <w:autoSpaceDE w:val="0"/>
              <w:autoSpaceDN w:val="0"/>
              <w:adjustRightInd w:val="0"/>
              <w:jc w:val="center"/>
              <w:rPr>
                <w:rFonts w:ascii="Arial Narrow" w:hAnsi="Arial Narrow" w:cs="Times New Roman"/>
                <w:b/>
                <w:sz w:val="20"/>
                <w:szCs w:val="20"/>
                <w:lang w:eastAsia="en-AU"/>
              </w:rPr>
            </w:pPr>
            <w:r w:rsidRPr="00F86117">
              <w:rPr>
                <w:rFonts w:ascii="Arial Narrow" w:hAnsi="Arial Narrow" w:cs="Times New Roman"/>
                <w:b/>
                <w:snapToGrid/>
                <w:sz w:val="20"/>
                <w:szCs w:val="20"/>
                <w:lang w:eastAsia="en-AU"/>
              </w:rPr>
              <w:t>0.66 (0.46, 0.95)</w:t>
            </w:r>
          </w:p>
        </w:tc>
      </w:tr>
      <w:tr w:rsidR="00BB433C" w:rsidRPr="00F86117" w:rsidTr="00033D2D">
        <w:tc>
          <w:tcPr>
            <w:tcW w:w="2518" w:type="dxa"/>
            <w:shd w:val="clear" w:color="auto" w:fill="auto"/>
          </w:tcPr>
          <w:p w:rsidR="00BB433C" w:rsidRPr="00F86117" w:rsidRDefault="00BB433C" w:rsidP="00AD4D26">
            <w:pPr>
              <w:keepNext/>
              <w:keepLines/>
              <w:widowControl/>
              <w:jc w:val="left"/>
              <w:rPr>
                <w:rFonts w:ascii="Arial Narrow" w:hAnsi="Arial Narrow" w:cs="Times New Roman"/>
                <w:sz w:val="20"/>
                <w:szCs w:val="20"/>
                <w:lang w:eastAsia="en-AU"/>
              </w:rPr>
            </w:pPr>
            <w:r w:rsidRPr="00F86117">
              <w:rPr>
                <w:rFonts w:ascii="Arial Narrow" w:hAnsi="Arial Narrow" w:cs="Times New Roman"/>
                <w:sz w:val="20"/>
                <w:szCs w:val="20"/>
                <w:lang w:eastAsia="en-AU"/>
              </w:rPr>
              <w:t>CheckMate214</w:t>
            </w:r>
          </w:p>
        </w:tc>
        <w:tc>
          <w:tcPr>
            <w:tcW w:w="944" w:type="dxa"/>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NR</w:t>
            </w:r>
          </w:p>
        </w:tc>
        <w:tc>
          <w:tcPr>
            <w:tcW w:w="1063" w:type="dxa"/>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11.6 (8.7, 15.5)</w:t>
            </w:r>
          </w:p>
        </w:tc>
        <w:tc>
          <w:tcPr>
            <w:tcW w:w="970" w:type="dxa"/>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NR</w:t>
            </w:r>
          </w:p>
        </w:tc>
        <w:tc>
          <w:tcPr>
            <w:tcW w:w="1003" w:type="dxa"/>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8.4 (7.0, 10.8)</w:t>
            </w:r>
          </w:p>
        </w:tc>
        <w:tc>
          <w:tcPr>
            <w:tcW w:w="1249" w:type="dxa"/>
            <w:shd w:val="clear" w:color="auto" w:fill="auto"/>
          </w:tcPr>
          <w:p w:rsidR="00BB433C" w:rsidRPr="00F86117" w:rsidRDefault="00BB433C" w:rsidP="00AD4D26">
            <w:pPr>
              <w:keepNext/>
              <w:keepLines/>
              <w:widowControl/>
              <w:jc w:val="center"/>
              <w:rPr>
                <w:rFonts w:ascii="Arial Narrow" w:hAnsi="Arial Narrow" w:cs="Times New Roman"/>
                <w:i/>
                <w:sz w:val="20"/>
                <w:szCs w:val="20"/>
                <w:lang w:eastAsia="en-AU"/>
              </w:rPr>
            </w:pPr>
            <w:r w:rsidRPr="00F86117">
              <w:rPr>
                <w:rFonts w:ascii="Arial Narrow" w:hAnsi="Arial Narrow" w:cs="Times New Roman"/>
                <w:i/>
                <w:sz w:val="20"/>
                <w:szCs w:val="20"/>
                <w:lang w:eastAsia="en-AU"/>
              </w:rPr>
              <w:t>3.2</w:t>
            </w:r>
          </w:p>
        </w:tc>
        <w:tc>
          <w:tcPr>
            <w:tcW w:w="736" w:type="dxa"/>
            <w:shd w:val="clear" w:color="auto" w:fill="auto"/>
          </w:tcPr>
          <w:p w:rsidR="00BB433C" w:rsidRPr="00F86117" w:rsidRDefault="00BB433C" w:rsidP="00AD4D26">
            <w:pPr>
              <w:keepNext/>
              <w:keepLines/>
              <w:widowControl/>
              <w:jc w:val="center"/>
              <w:rPr>
                <w:rFonts w:ascii="Arial Narrow" w:hAnsi="Arial Narrow" w:cs="Times New Roman"/>
                <w:sz w:val="20"/>
                <w:szCs w:val="20"/>
                <w:vertAlign w:val="superscript"/>
                <w:lang w:eastAsia="en-AU"/>
              </w:rPr>
            </w:pPr>
            <w:r w:rsidRPr="00F86117">
              <w:rPr>
                <w:rFonts w:ascii="Arial Narrow" w:hAnsi="Arial Narrow"/>
                <w:sz w:val="20"/>
                <w:szCs w:val="20"/>
              </w:rPr>
              <w:t>0.03</w:t>
            </w:r>
            <w:r w:rsidRPr="00F86117">
              <w:rPr>
                <w:rFonts w:ascii="Arial Narrow" w:hAnsi="Arial Narrow"/>
                <w:sz w:val="20"/>
                <w:szCs w:val="20"/>
                <w:vertAlign w:val="superscript"/>
              </w:rPr>
              <w:t>c</w:t>
            </w:r>
          </w:p>
        </w:tc>
        <w:tc>
          <w:tcPr>
            <w:tcW w:w="1264" w:type="dxa"/>
            <w:shd w:val="clear" w:color="auto" w:fill="auto"/>
          </w:tcPr>
          <w:p w:rsidR="00BB433C" w:rsidRPr="00F86117" w:rsidRDefault="00BB433C" w:rsidP="00AD4D26">
            <w:pPr>
              <w:keepNext/>
              <w:keepLines/>
              <w:widowControl/>
              <w:jc w:val="center"/>
              <w:rPr>
                <w:rFonts w:ascii="Arial Narrow" w:hAnsi="Arial Narrow" w:cs="Times New Roman"/>
                <w:sz w:val="20"/>
                <w:szCs w:val="20"/>
                <w:vertAlign w:val="superscript"/>
                <w:lang w:eastAsia="en-AU"/>
              </w:rPr>
            </w:pPr>
            <w:r w:rsidRPr="00F86117">
              <w:rPr>
                <w:rFonts w:ascii="Arial Narrow" w:hAnsi="Arial Narrow"/>
                <w:sz w:val="20"/>
                <w:szCs w:val="20"/>
              </w:rPr>
              <w:t>0.82 (0.64, 1.05)</w:t>
            </w:r>
            <w:r w:rsidRPr="00F86117">
              <w:rPr>
                <w:rFonts w:ascii="Arial Narrow" w:hAnsi="Arial Narrow"/>
                <w:sz w:val="20"/>
                <w:szCs w:val="20"/>
                <w:vertAlign w:val="superscript"/>
              </w:rPr>
              <w:t>d</w:t>
            </w:r>
          </w:p>
        </w:tc>
      </w:tr>
    </w:tbl>
    <w:p w:rsidR="00BB433C" w:rsidRPr="00F86117" w:rsidRDefault="00BB433C" w:rsidP="00AD4D26">
      <w:pPr>
        <w:keepNext/>
        <w:keepLines/>
        <w:widowControl/>
        <w:rPr>
          <w:rFonts w:ascii="Arial Narrow" w:hAnsi="Arial Narrow"/>
          <w:sz w:val="18"/>
          <w:szCs w:val="18"/>
        </w:rPr>
      </w:pPr>
      <w:r w:rsidRPr="00F86117">
        <w:rPr>
          <w:rFonts w:ascii="Arial Narrow" w:hAnsi="Arial Narrow"/>
          <w:sz w:val="18"/>
          <w:szCs w:val="18"/>
        </w:rPr>
        <w:t xml:space="preserve">Abbreviations: CI= confidence interval; HR= hazard ratio; IRC = Independent </w:t>
      </w:r>
      <w:proofErr w:type="spellStart"/>
      <w:r w:rsidRPr="00F86117">
        <w:rPr>
          <w:rFonts w:ascii="Arial Narrow" w:hAnsi="Arial Narrow"/>
          <w:sz w:val="18"/>
          <w:szCs w:val="18"/>
        </w:rPr>
        <w:t>Radiographical</w:t>
      </w:r>
      <w:proofErr w:type="spellEnd"/>
      <w:r w:rsidRPr="00F86117">
        <w:rPr>
          <w:rFonts w:ascii="Arial Narrow" w:hAnsi="Arial Narrow"/>
          <w:sz w:val="18"/>
          <w:szCs w:val="18"/>
        </w:rPr>
        <w:t xml:space="preserve"> Committee; </w:t>
      </w:r>
      <w:proofErr w:type="spellStart"/>
      <w:r w:rsidRPr="00F86117">
        <w:rPr>
          <w:rFonts w:ascii="Arial Narrow" w:hAnsi="Arial Narrow"/>
          <w:sz w:val="18"/>
          <w:szCs w:val="18"/>
        </w:rPr>
        <w:t>mths</w:t>
      </w:r>
      <w:proofErr w:type="spellEnd"/>
      <w:r w:rsidRPr="00F86117">
        <w:rPr>
          <w:rFonts w:ascii="Arial Narrow" w:hAnsi="Arial Narrow"/>
          <w:sz w:val="18"/>
          <w:szCs w:val="18"/>
        </w:rPr>
        <w:t xml:space="preserve"> = months; n = number of participants with event; N = total participants in group; NR = not reported; PFS = progression free survival;</w:t>
      </w:r>
    </w:p>
    <w:p w:rsidR="00BB433C" w:rsidRPr="00F86117" w:rsidRDefault="00BB433C" w:rsidP="00AD4D26">
      <w:pPr>
        <w:keepNext/>
        <w:keepLines/>
        <w:widowControl/>
        <w:rPr>
          <w:rFonts w:ascii="Arial Narrow" w:hAnsi="Arial Narrow"/>
          <w:sz w:val="18"/>
          <w:szCs w:val="18"/>
        </w:rPr>
      </w:pPr>
      <w:r w:rsidRPr="00F86117">
        <w:rPr>
          <w:rFonts w:ascii="Arial Narrow" w:hAnsi="Arial Narrow"/>
          <w:sz w:val="18"/>
          <w:szCs w:val="18"/>
        </w:rPr>
        <w:t>Sources: Table 2.11, p.92; Table 2.12, p.93; and Table 2.28, p.114 of the submission.</w:t>
      </w:r>
    </w:p>
    <w:p w:rsidR="00BB433C" w:rsidRPr="00F86117" w:rsidRDefault="00BB433C" w:rsidP="00AD4D26">
      <w:pPr>
        <w:keepNext/>
        <w:keepLines/>
        <w:widowControl/>
        <w:rPr>
          <w:rFonts w:ascii="Arial Narrow" w:hAnsi="Arial Narrow"/>
          <w:sz w:val="18"/>
          <w:szCs w:val="18"/>
        </w:rPr>
      </w:pPr>
      <w:r w:rsidRPr="00F86117">
        <w:rPr>
          <w:rFonts w:ascii="Arial Narrow" w:hAnsi="Arial Narrow"/>
          <w:sz w:val="18"/>
          <w:szCs w:val="18"/>
        </w:rPr>
        <w:t xml:space="preserve">Notes: </w:t>
      </w:r>
      <w:r w:rsidRPr="00F86117">
        <w:rPr>
          <w:rFonts w:ascii="Arial Narrow" w:hAnsi="Arial Narrow"/>
          <w:sz w:val="18"/>
          <w:szCs w:val="18"/>
          <w:vertAlign w:val="superscript"/>
        </w:rPr>
        <w:t xml:space="preserve">a </w:t>
      </w:r>
      <w:r w:rsidRPr="00F86117">
        <w:rPr>
          <w:rFonts w:ascii="Arial Narrow" w:hAnsi="Arial Narrow"/>
          <w:sz w:val="18"/>
          <w:szCs w:val="18"/>
        </w:rPr>
        <w:t>Log-rank p-value (stratified)</w:t>
      </w:r>
    </w:p>
    <w:p w:rsidR="00BB433C" w:rsidRPr="00F86117" w:rsidRDefault="00BB433C" w:rsidP="00AD4D26">
      <w:pPr>
        <w:keepNext/>
        <w:keepLines/>
        <w:widowControl/>
        <w:rPr>
          <w:rFonts w:ascii="Arial Narrow" w:hAnsi="Arial Narrow"/>
          <w:sz w:val="18"/>
          <w:szCs w:val="18"/>
        </w:rPr>
      </w:pPr>
      <w:proofErr w:type="gramStart"/>
      <w:r w:rsidRPr="00F86117">
        <w:rPr>
          <w:rFonts w:ascii="Arial Narrow" w:hAnsi="Arial Narrow"/>
          <w:sz w:val="18"/>
          <w:szCs w:val="18"/>
          <w:vertAlign w:val="superscript"/>
        </w:rPr>
        <w:t>b</w:t>
      </w:r>
      <w:proofErr w:type="gramEnd"/>
      <w:r w:rsidRPr="00F86117">
        <w:rPr>
          <w:rFonts w:ascii="Arial Narrow" w:hAnsi="Arial Narrow"/>
          <w:sz w:val="18"/>
          <w:szCs w:val="18"/>
        </w:rPr>
        <w:t xml:space="preserve"> Total PFS events were 123. </w:t>
      </w:r>
      <w:r w:rsidR="009F6F55" w:rsidRPr="00F86117">
        <w:rPr>
          <w:rFonts w:ascii="Arial Narrow" w:hAnsi="Arial Narrow"/>
          <w:sz w:val="18"/>
          <w:szCs w:val="18"/>
        </w:rPr>
        <w:t>There is an explanation in the CSR</w:t>
      </w:r>
      <w:r w:rsidR="00337226" w:rsidRPr="00F86117">
        <w:rPr>
          <w:rFonts w:ascii="Arial Narrow" w:hAnsi="Arial Narrow"/>
          <w:sz w:val="18"/>
          <w:szCs w:val="18"/>
        </w:rPr>
        <w:t xml:space="preserve"> as to why events were not available per treatment group</w:t>
      </w:r>
      <w:r w:rsidR="009F6F55" w:rsidRPr="00F86117">
        <w:rPr>
          <w:rFonts w:ascii="Arial Narrow" w:hAnsi="Arial Narrow"/>
          <w:sz w:val="18"/>
          <w:szCs w:val="18"/>
        </w:rPr>
        <w:t xml:space="preserve"> – the study was conducted by a National Cancer Institute Alliance and the CSR states that “</w:t>
      </w:r>
      <w:proofErr w:type="spellStart"/>
      <w:r w:rsidR="009F6F55" w:rsidRPr="00F86117">
        <w:rPr>
          <w:rFonts w:ascii="Arial Narrow" w:hAnsi="Arial Narrow"/>
          <w:sz w:val="18"/>
          <w:szCs w:val="18"/>
        </w:rPr>
        <w:t>Exelixis</w:t>
      </w:r>
      <w:proofErr w:type="spellEnd"/>
      <w:r w:rsidR="009F6F55" w:rsidRPr="00F86117">
        <w:rPr>
          <w:rFonts w:ascii="Arial Narrow" w:hAnsi="Arial Narrow"/>
          <w:sz w:val="18"/>
          <w:szCs w:val="18"/>
        </w:rPr>
        <w:t xml:space="preserve"> did not participate in the conduct of the trial and did not have access to study data until after the top-line analyses of the study primary endpoint were performed by the Alliance in May of 2016.”</w:t>
      </w:r>
    </w:p>
    <w:p w:rsidR="00BB433C" w:rsidRPr="00F86117" w:rsidRDefault="00BB433C" w:rsidP="00AD4D26">
      <w:pPr>
        <w:pStyle w:val="Tablenotes1"/>
        <w:keepNext/>
        <w:keepLines/>
      </w:pPr>
      <w:proofErr w:type="gramStart"/>
      <w:r w:rsidRPr="00F86117">
        <w:rPr>
          <w:szCs w:val="18"/>
          <w:vertAlign w:val="superscript"/>
        </w:rPr>
        <w:t>c</w:t>
      </w:r>
      <w:proofErr w:type="gramEnd"/>
      <w:r w:rsidRPr="00F86117">
        <w:rPr>
          <w:szCs w:val="18"/>
          <w:vertAlign w:val="superscript"/>
        </w:rPr>
        <w:t xml:space="preserve"> </w:t>
      </w:r>
      <w:r w:rsidRPr="00F86117">
        <w:t xml:space="preserve">The between-group difference did not meet the </w:t>
      </w:r>
      <w:proofErr w:type="spellStart"/>
      <w:r w:rsidRPr="00F86117">
        <w:t>prespecified</w:t>
      </w:r>
      <w:proofErr w:type="spellEnd"/>
      <w:r w:rsidRPr="00F86117">
        <w:t xml:space="preserve"> threshold (P = 0.009) for statistical significance.</w:t>
      </w:r>
    </w:p>
    <w:p w:rsidR="00BB433C" w:rsidRPr="00F86117" w:rsidRDefault="00BB433C" w:rsidP="00AD4D26">
      <w:pPr>
        <w:pStyle w:val="Tablenotes1"/>
        <w:keepNext/>
        <w:keepLines/>
      </w:pPr>
      <w:proofErr w:type="gramStart"/>
      <w:r w:rsidRPr="00F86117">
        <w:rPr>
          <w:vertAlign w:val="superscript"/>
        </w:rPr>
        <w:t>d</w:t>
      </w:r>
      <w:proofErr w:type="gramEnd"/>
      <w:r w:rsidRPr="00F86117">
        <w:t xml:space="preserve"> 99.1% CI</w:t>
      </w:r>
    </w:p>
    <w:p w:rsidR="00AD4D26" w:rsidRPr="00F86117" w:rsidRDefault="00BB433C" w:rsidP="0061386A">
      <w:pPr>
        <w:pStyle w:val="Tablenotes1"/>
        <w:keepNext/>
        <w:keepLines/>
      </w:pPr>
      <w:r w:rsidRPr="00F86117">
        <w:t>Statistical differences noted in bold.</w:t>
      </w:r>
    </w:p>
    <w:p w:rsidR="00AD4D26" w:rsidRPr="0061386A" w:rsidRDefault="00BB433C" w:rsidP="0061386A">
      <w:pPr>
        <w:pStyle w:val="ListParagraph"/>
        <w:widowControl/>
        <w:numPr>
          <w:ilvl w:val="1"/>
          <w:numId w:val="2"/>
        </w:numPr>
        <w:spacing w:before="120"/>
        <w:contextualSpacing/>
      </w:pPr>
      <w:r w:rsidRPr="00F86117">
        <w:t>The IRC assessed PFS was used</w:t>
      </w:r>
      <w:r w:rsidR="00063221" w:rsidRPr="00F86117">
        <w:t>,</w:t>
      </w:r>
      <w:r w:rsidRPr="00F86117">
        <w:t xml:space="preserve"> </w:t>
      </w:r>
      <w:r w:rsidR="00063221" w:rsidRPr="00F86117">
        <w:t xml:space="preserve">rather than </w:t>
      </w:r>
      <w:r w:rsidRPr="00F86117">
        <w:t>the investigator assessed outcomes</w:t>
      </w:r>
      <w:r w:rsidR="00063221" w:rsidRPr="00F86117">
        <w:t>,</w:t>
      </w:r>
      <w:r w:rsidRPr="00F86117">
        <w:t xml:space="preserve"> in </w:t>
      </w:r>
      <w:r w:rsidR="00347A1D" w:rsidRPr="00F86117">
        <w:t>the</w:t>
      </w:r>
      <w:r w:rsidRPr="00F86117">
        <w:t xml:space="preserve"> economic </w:t>
      </w:r>
      <w:r w:rsidR="00347A1D" w:rsidRPr="00F86117">
        <w:t>evaluation</w:t>
      </w:r>
      <w:r w:rsidRPr="00F86117">
        <w:t xml:space="preserve">. These data indicated a PFS advantage for </w:t>
      </w:r>
      <w:proofErr w:type="spellStart"/>
      <w:r w:rsidRPr="00F86117">
        <w:t>cabozantinib</w:t>
      </w:r>
      <w:proofErr w:type="spellEnd"/>
      <w:r w:rsidRPr="00F86117">
        <w:t xml:space="preserve"> with a HR of 0.48 (95% CI: 0.31, 0.74)</w:t>
      </w:r>
      <w:r w:rsidR="000D623B" w:rsidRPr="00F86117">
        <w:t xml:space="preserve"> which </w:t>
      </w:r>
      <w:r w:rsidR="00287A84" w:rsidRPr="00F86117">
        <w:t>had a point estimate that was lower</w:t>
      </w:r>
      <w:r w:rsidR="00EB6981" w:rsidRPr="00F86117">
        <w:t xml:space="preserve"> than</w:t>
      </w:r>
      <w:r w:rsidR="00287A84" w:rsidRPr="00F86117">
        <w:t xml:space="preserve"> </w:t>
      </w:r>
      <w:r w:rsidR="000D623B" w:rsidRPr="00F86117">
        <w:t xml:space="preserve">the results from the investigator </w:t>
      </w:r>
      <w:r w:rsidR="00287A84" w:rsidRPr="00F86117">
        <w:t xml:space="preserve">assessment </w:t>
      </w:r>
      <w:r w:rsidR="000D623B" w:rsidRPr="00F86117">
        <w:t>at 0.66 (95% CI: 0.46, 0.95</w:t>
      </w:r>
      <w:r w:rsidR="00E4781D" w:rsidRPr="00F86117">
        <w:t>)</w:t>
      </w:r>
      <w:r w:rsidRPr="00F86117">
        <w:t>. The KM plot of PFS in CABOSUN based on the IRC assessment is shown in Figure 1.</w:t>
      </w:r>
      <w:r w:rsidR="00104E96" w:rsidRPr="00F86117">
        <w:t xml:space="preserve"> The KM plot of PFS based on the investigator assessment was no</w:t>
      </w:r>
      <w:r w:rsidR="00337226" w:rsidRPr="00F86117">
        <w:t>t</w:t>
      </w:r>
      <w:r w:rsidR="00104E96" w:rsidRPr="00F86117">
        <w:t xml:space="preserve"> available. </w:t>
      </w:r>
    </w:p>
    <w:p w:rsidR="00BB433C" w:rsidRPr="00F86117" w:rsidRDefault="00BB433C" w:rsidP="00AD4D26">
      <w:pPr>
        <w:pStyle w:val="TableHeading0"/>
      </w:pPr>
      <w:r w:rsidRPr="00F86117">
        <w:rPr>
          <w:szCs w:val="20"/>
        </w:rPr>
        <w:lastRenderedPageBreak/>
        <w:t xml:space="preserve">Figure 1: KM plot of PFS in CABOSUN </w:t>
      </w:r>
      <w:r w:rsidRPr="00F86117">
        <w:t>(IRC-determined/FDA-recommended censoring rules; ITT population)</w:t>
      </w:r>
    </w:p>
    <w:p w:rsidR="00BB433C" w:rsidRPr="00F86117" w:rsidRDefault="00BB433C" w:rsidP="00AD4D26">
      <w:pPr>
        <w:widowControl/>
      </w:pPr>
      <w:r w:rsidRPr="00F86117">
        <w:rPr>
          <w:noProof/>
          <w:lang w:eastAsia="en-AU"/>
        </w:rPr>
        <w:drawing>
          <wp:inline distT="0" distB="0" distL="0" distR="0" wp14:anchorId="7729B7FD" wp14:editId="16846DBB">
            <wp:extent cx="4924612" cy="2429253"/>
            <wp:effectExtent l="0" t="0" r="0" b="9525"/>
            <wp:docPr id="13" name="Picture 13" title="Figure 1: KM plot of PFS in CABOSUN (IRC-determined/FDA-recommended censoring rules;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0828" cy="2437252"/>
                    </a:xfrm>
                    <a:prstGeom prst="rect">
                      <a:avLst/>
                    </a:prstGeom>
                  </pic:spPr>
                </pic:pic>
              </a:graphicData>
            </a:graphic>
          </wp:inline>
        </w:drawing>
      </w:r>
    </w:p>
    <w:p w:rsidR="00BB433C" w:rsidRPr="00F86117" w:rsidRDefault="00BB433C" w:rsidP="00AD4D26">
      <w:pPr>
        <w:pStyle w:val="Default"/>
        <w:ind w:right="-154"/>
        <w:jc w:val="both"/>
        <w:rPr>
          <w:rStyle w:val="CommentReference"/>
          <w:b w:val="0"/>
          <w:lang w:val="en-AU"/>
        </w:rPr>
      </w:pPr>
      <w:r w:rsidRPr="00F86117">
        <w:rPr>
          <w:rFonts w:ascii="Arial Narrow" w:hAnsi="Arial Narrow"/>
          <w:bCs/>
          <w:sz w:val="18"/>
          <w:szCs w:val="18"/>
          <w:lang w:val="en-AU"/>
        </w:rPr>
        <w:t>Source: Figure 2-14, p.94 of the submission.</w:t>
      </w:r>
    </w:p>
    <w:p w:rsidR="00C5283A" w:rsidRPr="00F86117" w:rsidRDefault="00347A1D" w:rsidP="0061386A">
      <w:pPr>
        <w:pStyle w:val="ListParagraph"/>
        <w:widowControl/>
        <w:numPr>
          <w:ilvl w:val="1"/>
          <w:numId w:val="2"/>
        </w:numPr>
        <w:spacing w:before="120"/>
        <w:rPr>
          <w:bCs/>
        </w:rPr>
      </w:pPr>
      <w:r w:rsidRPr="00F86117">
        <w:rPr>
          <w:bCs/>
        </w:rPr>
        <w:t>In CABOSUN, t</w:t>
      </w:r>
      <w:r w:rsidR="0054040E" w:rsidRPr="00F86117">
        <w:rPr>
          <w:bCs/>
        </w:rPr>
        <w:t>he</w:t>
      </w:r>
      <w:r w:rsidR="00BB433C" w:rsidRPr="00F86117">
        <w:rPr>
          <w:bCs/>
        </w:rPr>
        <w:t xml:space="preserve"> treatment effect for </w:t>
      </w:r>
      <w:proofErr w:type="spellStart"/>
      <w:r w:rsidR="00BB433C" w:rsidRPr="00F86117">
        <w:rPr>
          <w:bCs/>
        </w:rPr>
        <w:t>cabozantinib</w:t>
      </w:r>
      <w:proofErr w:type="spellEnd"/>
      <w:r w:rsidR="00BB433C" w:rsidRPr="00F86117">
        <w:rPr>
          <w:bCs/>
        </w:rPr>
        <w:t xml:space="preserve"> compared with </w:t>
      </w:r>
      <w:proofErr w:type="spellStart"/>
      <w:r w:rsidR="00BB433C" w:rsidRPr="00F86117">
        <w:rPr>
          <w:bCs/>
        </w:rPr>
        <w:t>sunitinib</w:t>
      </w:r>
      <w:proofErr w:type="spellEnd"/>
      <w:r w:rsidR="00BB433C" w:rsidRPr="00F86117">
        <w:rPr>
          <w:bCs/>
        </w:rPr>
        <w:t xml:space="preserve"> </w:t>
      </w:r>
      <w:r w:rsidR="0054040E" w:rsidRPr="00F86117">
        <w:rPr>
          <w:bCs/>
        </w:rPr>
        <w:t xml:space="preserve">was not statistically significant </w:t>
      </w:r>
      <w:r w:rsidR="00BB433C" w:rsidRPr="00F86117">
        <w:rPr>
          <w:bCs/>
        </w:rPr>
        <w:t xml:space="preserve">in terms of OS for </w:t>
      </w:r>
      <w:r w:rsidR="000C6C07" w:rsidRPr="00F86117">
        <w:rPr>
          <w:bCs/>
        </w:rPr>
        <w:t xml:space="preserve">either </w:t>
      </w:r>
      <w:r w:rsidR="00BB433C" w:rsidRPr="00F86117">
        <w:rPr>
          <w:bCs/>
        </w:rPr>
        <w:t xml:space="preserve">the earlier data cut-off </w:t>
      </w:r>
      <w:r w:rsidR="00B67000" w:rsidRPr="00F86117">
        <w:rPr>
          <w:bCs/>
        </w:rPr>
        <w:t xml:space="preserve">of </w:t>
      </w:r>
      <w:r w:rsidR="00BB433C" w:rsidRPr="00F86117">
        <w:rPr>
          <w:bCs/>
        </w:rPr>
        <w:t>September 2016</w:t>
      </w:r>
      <w:r w:rsidR="00B67000" w:rsidRPr="00F86117">
        <w:rPr>
          <w:bCs/>
        </w:rPr>
        <w:t xml:space="preserve"> (HR=0.74; 95% CI: 0.47, 1.14)</w:t>
      </w:r>
      <w:r w:rsidR="00BB433C" w:rsidRPr="00F86117">
        <w:rPr>
          <w:bCs/>
        </w:rPr>
        <w:t xml:space="preserve"> </w:t>
      </w:r>
      <w:r w:rsidR="000C6C07" w:rsidRPr="00F86117">
        <w:rPr>
          <w:bCs/>
        </w:rPr>
        <w:t xml:space="preserve">or </w:t>
      </w:r>
      <w:r w:rsidR="00BB433C" w:rsidRPr="00F86117">
        <w:rPr>
          <w:bCs/>
        </w:rPr>
        <w:t xml:space="preserve">the </w:t>
      </w:r>
      <w:r w:rsidRPr="00F86117">
        <w:rPr>
          <w:bCs/>
        </w:rPr>
        <w:t xml:space="preserve">more </w:t>
      </w:r>
      <w:r w:rsidR="00BB433C" w:rsidRPr="00F86117">
        <w:rPr>
          <w:bCs/>
        </w:rPr>
        <w:t xml:space="preserve">recent data cut-off </w:t>
      </w:r>
      <w:r w:rsidR="00B67000" w:rsidRPr="00F86117">
        <w:rPr>
          <w:bCs/>
        </w:rPr>
        <w:t xml:space="preserve">of </w:t>
      </w:r>
      <w:r w:rsidR="00BB433C" w:rsidRPr="00F86117">
        <w:rPr>
          <w:bCs/>
        </w:rPr>
        <w:t>July 2017</w:t>
      </w:r>
      <w:r w:rsidR="0054040E" w:rsidRPr="00F86117">
        <w:rPr>
          <w:bCs/>
        </w:rPr>
        <w:t xml:space="preserve"> </w:t>
      </w:r>
      <w:r w:rsidR="00B67000" w:rsidRPr="00F86117">
        <w:rPr>
          <w:bCs/>
        </w:rPr>
        <w:t>(HR=0.80; 95% CI: 0.53, 1.21</w:t>
      </w:r>
      <w:r w:rsidRPr="00F86117">
        <w:rPr>
          <w:bCs/>
        </w:rPr>
        <w:t xml:space="preserve">), as outlined in </w:t>
      </w:r>
      <w:r w:rsidR="00BB433C" w:rsidRPr="00F86117">
        <w:rPr>
          <w:bCs/>
        </w:rPr>
        <w:t>Table 8</w:t>
      </w:r>
      <w:r w:rsidRPr="00F86117">
        <w:rPr>
          <w:bCs/>
        </w:rPr>
        <w:t>.</w:t>
      </w:r>
      <w:r w:rsidR="00EB6981" w:rsidRPr="00F86117">
        <w:rPr>
          <w:bCs/>
        </w:rPr>
        <w:t xml:space="preserve"> </w:t>
      </w:r>
    </w:p>
    <w:p w:rsidR="00BB433C" w:rsidRPr="00F86117" w:rsidRDefault="00013C0F" w:rsidP="0061386A">
      <w:pPr>
        <w:pStyle w:val="ListParagraph"/>
        <w:widowControl/>
        <w:numPr>
          <w:ilvl w:val="1"/>
          <w:numId w:val="2"/>
        </w:numPr>
        <w:spacing w:before="120"/>
        <w:contextualSpacing/>
        <w:rPr>
          <w:bCs/>
        </w:rPr>
      </w:pPr>
      <w:r w:rsidRPr="00F86117">
        <w:rPr>
          <w:bCs/>
        </w:rPr>
        <w:t xml:space="preserve">For the comparison of </w:t>
      </w:r>
      <w:proofErr w:type="spellStart"/>
      <w:r w:rsidRPr="00F86117">
        <w:rPr>
          <w:bCs/>
        </w:rPr>
        <w:t>cabozantinib</w:t>
      </w:r>
      <w:proofErr w:type="spellEnd"/>
      <w:r w:rsidRPr="00F86117">
        <w:rPr>
          <w:bCs/>
        </w:rPr>
        <w:t xml:space="preserve"> versus </w:t>
      </w:r>
      <w:proofErr w:type="spellStart"/>
      <w:r w:rsidRPr="00F86117">
        <w:rPr>
          <w:bCs/>
        </w:rPr>
        <w:t>sunitinib</w:t>
      </w:r>
      <w:proofErr w:type="spellEnd"/>
      <w:r w:rsidRPr="00F86117">
        <w:rPr>
          <w:bCs/>
        </w:rPr>
        <w:t>, t</w:t>
      </w:r>
      <w:r w:rsidR="00EB6981" w:rsidRPr="00F86117">
        <w:rPr>
          <w:bCs/>
        </w:rPr>
        <w:t>he ESC noted that</w:t>
      </w:r>
      <w:r w:rsidR="007F7BD8" w:rsidRPr="00F86117">
        <w:rPr>
          <w:bCs/>
        </w:rPr>
        <w:t xml:space="preserve"> the hazard ratio for overall survival </w:t>
      </w:r>
      <w:r w:rsidR="00EB6981" w:rsidRPr="00F86117">
        <w:rPr>
          <w:bCs/>
        </w:rPr>
        <w:t xml:space="preserve">was not statistically significant and the difference in OS compared with </w:t>
      </w:r>
      <w:proofErr w:type="spellStart"/>
      <w:r w:rsidR="00EB6981" w:rsidRPr="00F86117">
        <w:rPr>
          <w:bCs/>
        </w:rPr>
        <w:t>sunitinib</w:t>
      </w:r>
      <w:proofErr w:type="spellEnd"/>
      <w:r w:rsidR="00EB6981" w:rsidRPr="00F86117">
        <w:rPr>
          <w:bCs/>
        </w:rPr>
        <w:t xml:space="preserve"> appeared to be decreasing with additional follow-up. </w:t>
      </w:r>
      <w:r w:rsidR="00EB6981" w:rsidRPr="00F86117">
        <w:t xml:space="preserve">The ESC considered </w:t>
      </w:r>
      <w:r w:rsidR="00D34038" w:rsidRPr="00F86117">
        <w:t xml:space="preserve">that </w:t>
      </w:r>
      <w:r w:rsidR="00585570" w:rsidRPr="00F86117">
        <w:t xml:space="preserve">the data did not support a difference in OS between </w:t>
      </w:r>
      <w:proofErr w:type="spellStart"/>
      <w:r w:rsidR="00EB6981" w:rsidRPr="00F86117">
        <w:t>cabozant</w:t>
      </w:r>
      <w:r w:rsidR="00072D5C" w:rsidRPr="00F86117">
        <w:t>i</w:t>
      </w:r>
      <w:r w:rsidR="00EB6981" w:rsidRPr="00F86117">
        <w:t>nib</w:t>
      </w:r>
      <w:proofErr w:type="spellEnd"/>
      <w:r w:rsidR="00EB6981" w:rsidRPr="00F86117">
        <w:t xml:space="preserve"> </w:t>
      </w:r>
      <w:r w:rsidR="00585570" w:rsidRPr="00F86117">
        <w:t xml:space="preserve">and </w:t>
      </w:r>
      <w:proofErr w:type="spellStart"/>
      <w:r w:rsidR="00EB6981" w:rsidRPr="00F86117">
        <w:t>sunitinib</w:t>
      </w:r>
      <w:proofErr w:type="spellEnd"/>
      <w:r w:rsidR="00EB6981" w:rsidRPr="00F86117">
        <w:t>.</w:t>
      </w:r>
      <w:r w:rsidR="007F7BD8" w:rsidRPr="00F86117">
        <w:rPr>
          <w:bCs/>
        </w:rPr>
        <w:t xml:space="preserve"> </w:t>
      </w:r>
    </w:p>
    <w:p w:rsidR="00BB433C" w:rsidRPr="00F86117" w:rsidRDefault="00BB433C" w:rsidP="00AD4D26">
      <w:pPr>
        <w:pStyle w:val="TableHeading0"/>
        <w:keepLines/>
      </w:pPr>
      <w:r w:rsidRPr="00F86117">
        <w:t>Table 8: Results of overall survival across trials</w:t>
      </w:r>
    </w:p>
    <w:tbl>
      <w:tblPr>
        <w:tblStyle w:val="TableGrid"/>
        <w:tblW w:w="9252" w:type="dxa"/>
        <w:tblLook w:val="04A0" w:firstRow="1" w:lastRow="0" w:firstColumn="1" w:lastColumn="0" w:noHBand="0" w:noVBand="1"/>
        <w:tblCaption w:val="Table 8: Results of overall survival across trials"/>
      </w:tblPr>
      <w:tblGrid>
        <w:gridCol w:w="1320"/>
        <w:gridCol w:w="982"/>
        <w:gridCol w:w="1305"/>
        <w:gridCol w:w="1014"/>
        <w:gridCol w:w="1429"/>
        <w:gridCol w:w="1288"/>
        <w:gridCol w:w="850"/>
        <w:gridCol w:w="1064"/>
      </w:tblGrid>
      <w:tr w:rsidR="00BB433C" w:rsidRPr="00F86117" w:rsidTr="00337226">
        <w:trPr>
          <w:tblHeader/>
        </w:trPr>
        <w:tc>
          <w:tcPr>
            <w:tcW w:w="1320" w:type="dxa"/>
            <w:shd w:val="clear" w:color="auto" w:fill="auto"/>
            <w:vAlign w:val="center"/>
          </w:tcPr>
          <w:p w:rsidR="00BB433C" w:rsidRPr="00F86117" w:rsidRDefault="00BB433C" w:rsidP="00AD4D26">
            <w:pPr>
              <w:pStyle w:val="TableText1"/>
              <w:keepLines/>
              <w:spacing w:before="0" w:after="0"/>
              <w:rPr>
                <w:szCs w:val="20"/>
              </w:rPr>
            </w:pPr>
          </w:p>
        </w:tc>
        <w:tc>
          <w:tcPr>
            <w:tcW w:w="2287" w:type="dxa"/>
            <w:gridSpan w:val="2"/>
            <w:shd w:val="clear" w:color="auto" w:fill="auto"/>
            <w:vAlign w:val="center"/>
          </w:tcPr>
          <w:p w:rsidR="00BB433C" w:rsidRPr="00F86117" w:rsidRDefault="00BB433C" w:rsidP="00AD4D26">
            <w:pPr>
              <w:pStyle w:val="TableText1"/>
              <w:keepLines/>
              <w:spacing w:before="0" w:after="0"/>
              <w:jc w:val="center"/>
              <w:rPr>
                <w:b/>
                <w:szCs w:val="20"/>
              </w:rPr>
            </w:pPr>
            <w:r w:rsidRPr="00F86117">
              <w:rPr>
                <w:b/>
                <w:szCs w:val="20"/>
              </w:rPr>
              <w:t>Intervention</w:t>
            </w:r>
          </w:p>
        </w:tc>
        <w:tc>
          <w:tcPr>
            <w:tcW w:w="2443" w:type="dxa"/>
            <w:gridSpan w:val="2"/>
            <w:shd w:val="clear" w:color="auto" w:fill="auto"/>
            <w:vAlign w:val="center"/>
          </w:tcPr>
          <w:p w:rsidR="00BB433C" w:rsidRPr="00F86117" w:rsidRDefault="00BB433C" w:rsidP="00AD4D26">
            <w:pPr>
              <w:pStyle w:val="TableText1"/>
              <w:keepLines/>
              <w:spacing w:before="0" w:after="0"/>
              <w:jc w:val="center"/>
              <w:rPr>
                <w:b/>
                <w:szCs w:val="20"/>
              </w:rPr>
            </w:pPr>
            <w:proofErr w:type="spellStart"/>
            <w:r w:rsidRPr="00F86117">
              <w:rPr>
                <w:b/>
                <w:szCs w:val="20"/>
              </w:rPr>
              <w:t>Sunitinib</w:t>
            </w:r>
            <w:proofErr w:type="spellEnd"/>
          </w:p>
        </w:tc>
        <w:tc>
          <w:tcPr>
            <w:tcW w:w="1288" w:type="dxa"/>
            <w:vMerge w:val="restart"/>
            <w:shd w:val="clear" w:color="auto" w:fill="auto"/>
            <w:vAlign w:val="center"/>
          </w:tcPr>
          <w:p w:rsidR="00BB433C" w:rsidRPr="00F86117" w:rsidRDefault="00BB433C" w:rsidP="00AD4D26">
            <w:pPr>
              <w:pStyle w:val="TableText1"/>
              <w:keepLines/>
              <w:spacing w:before="0" w:after="0"/>
              <w:jc w:val="center"/>
              <w:rPr>
                <w:b/>
                <w:szCs w:val="20"/>
              </w:rPr>
            </w:pPr>
            <w:r w:rsidRPr="00F86117">
              <w:rPr>
                <w:rFonts w:eastAsia="Calibri" w:cs="Times New Roman"/>
                <w:b/>
                <w:szCs w:val="20"/>
                <w:lang w:eastAsia="en-AU"/>
              </w:rPr>
              <w:t xml:space="preserve">Difference in median, </w:t>
            </w:r>
            <w:proofErr w:type="spellStart"/>
            <w:r w:rsidRPr="00F86117">
              <w:rPr>
                <w:rFonts w:eastAsia="Calibri" w:cs="Times New Roman"/>
                <w:b/>
                <w:szCs w:val="20"/>
                <w:lang w:eastAsia="en-AU"/>
              </w:rPr>
              <w:t>mths</w:t>
            </w:r>
            <w:proofErr w:type="spellEnd"/>
          </w:p>
        </w:tc>
        <w:tc>
          <w:tcPr>
            <w:tcW w:w="850" w:type="dxa"/>
            <w:vMerge w:val="restart"/>
            <w:shd w:val="clear" w:color="auto" w:fill="auto"/>
            <w:vAlign w:val="center"/>
          </w:tcPr>
          <w:p w:rsidR="00BB433C" w:rsidRPr="00F86117" w:rsidRDefault="00BB433C" w:rsidP="00AD4D26">
            <w:pPr>
              <w:keepNext/>
              <w:keepLines/>
              <w:widowControl/>
              <w:jc w:val="center"/>
              <w:rPr>
                <w:rFonts w:ascii="Arial Narrow" w:hAnsi="Arial Narrow"/>
                <w:b/>
                <w:sz w:val="20"/>
                <w:szCs w:val="20"/>
                <w:vertAlign w:val="superscript"/>
              </w:rPr>
            </w:pPr>
            <w:r w:rsidRPr="00F86117">
              <w:rPr>
                <w:rFonts w:ascii="Arial Narrow" w:eastAsia="Calibri" w:hAnsi="Arial Narrow" w:cs="Times New Roman"/>
                <w:b/>
                <w:sz w:val="20"/>
                <w:szCs w:val="20"/>
                <w:lang w:eastAsia="en-AU"/>
              </w:rPr>
              <w:t>p</w:t>
            </w:r>
            <w:r w:rsidRPr="00F86117">
              <w:rPr>
                <w:rFonts w:ascii="Arial Narrow" w:eastAsia="Calibri" w:hAnsi="Arial Narrow" w:cs="Times New Roman"/>
                <w:b/>
                <w:i/>
                <w:sz w:val="20"/>
                <w:szCs w:val="20"/>
                <w:lang w:eastAsia="en-AU"/>
              </w:rPr>
              <w:t xml:space="preserve"> </w:t>
            </w:r>
            <w:proofErr w:type="spellStart"/>
            <w:r w:rsidRPr="00F86117">
              <w:rPr>
                <w:rFonts w:ascii="Arial Narrow" w:eastAsia="Calibri" w:hAnsi="Arial Narrow" w:cs="Times New Roman"/>
                <w:b/>
                <w:sz w:val="20"/>
                <w:szCs w:val="20"/>
                <w:lang w:eastAsia="en-AU"/>
              </w:rPr>
              <w:t>value</w:t>
            </w:r>
            <w:r w:rsidRPr="00F86117">
              <w:rPr>
                <w:rFonts w:ascii="Arial Narrow" w:eastAsia="Calibri" w:hAnsi="Arial Narrow" w:cs="Times New Roman"/>
                <w:b/>
                <w:sz w:val="20"/>
                <w:szCs w:val="20"/>
                <w:vertAlign w:val="superscript"/>
                <w:lang w:eastAsia="en-AU"/>
              </w:rPr>
              <w:t>a</w:t>
            </w:r>
            <w:proofErr w:type="spellEnd"/>
          </w:p>
        </w:tc>
        <w:tc>
          <w:tcPr>
            <w:tcW w:w="1064" w:type="dxa"/>
            <w:vMerge w:val="restart"/>
            <w:shd w:val="clear" w:color="auto" w:fill="auto"/>
            <w:vAlign w:val="center"/>
          </w:tcPr>
          <w:p w:rsidR="00BB433C" w:rsidRPr="00F86117" w:rsidRDefault="00BB433C" w:rsidP="00AD4D26">
            <w:pPr>
              <w:keepNext/>
              <w:keepLines/>
              <w:widowControl/>
              <w:jc w:val="center"/>
              <w:rPr>
                <w:rFonts w:ascii="Arial Narrow" w:eastAsia="Calibri" w:hAnsi="Arial Narrow" w:cs="Times New Roman"/>
                <w:b/>
                <w:sz w:val="20"/>
                <w:szCs w:val="20"/>
                <w:lang w:eastAsia="en-AU"/>
              </w:rPr>
            </w:pPr>
            <w:r w:rsidRPr="00F86117">
              <w:rPr>
                <w:rFonts w:ascii="Arial Narrow" w:eastAsia="Calibri" w:hAnsi="Arial Narrow" w:cs="Times New Roman"/>
                <w:b/>
                <w:sz w:val="20"/>
                <w:szCs w:val="20"/>
                <w:lang w:eastAsia="en-AU"/>
              </w:rPr>
              <w:t>HR</w:t>
            </w:r>
          </w:p>
          <w:p w:rsidR="00BB433C" w:rsidRPr="00F86117" w:rsidRDefault="00BB433C" w:rsidP="00AD4D26">
            <w:pPr>
              <w:keepNext/>
              <w:keepLines/>
              <w:widowControl/>
              <w:jc w:val="center"/>
              <w:rPr>
                <w:rFonts w:ascii="Arial Narrow" w:hAnsi="Arial Narrow"/>
                <w:b/>
                <w:sz w:val="20"/>
                <w:szCs w:val="20"/>
              </w:rPr>
            </w:pPr>
            <w:r w:rsidRPr="00F86117">
              <w:rPr>
                <w:rFonts w:ascii="Arial Narrow" w:eastAsia="Calibri" w:hAnsi="Arial Narrow" w:cs="Times New Roman"/>
                <w:b/>
                <w:sz w:val="20"/>
                <w:szCs w:val="20"/>
                <w:lang w:eastAsia="en-AU"/>
              </w:rPr>
              <w:t>(95% CI)</w:t>
            </w:r>
          </w:p>
        </w:tc>
      </w:tr>
      <w:tr w:rsidR="00BB433C" w:rsidRPr="00F86117" w:rsidTr="00D34038">
        <w:trPr>
          <w:tblHeader/>
        </w:trPr>
        <w:tc>
          <w:tcPr>
            <w:tcW w:w="1320" w:type="dxa"/>
            <w:tcBorders>
              <w:bottom w:val="single" w:sz="4" w:space="0" w:color="auto"/>
            </w:tcBorders>
            <w:shd w:val="clear" w:color="auto" w:fill="auto"/>
            <w:vAlign w:val="center"/>
          </w:tcPr>
          <w:p w:rsidR="00BB433C" w:rsidRPr="00F86117" w:rsidRDefault="00BB433C" w:rsidP="00AD4D26">
            <w:pPr>
              <w:pStyle w:val="TableText1"/>
              <w:keepLines/>
              <w:spacing w:before="0" w:after="0"/>
              <w:rPr>
                <w:szCs w:val="20"/>
              </w:rPr>
            </w:pPr>
          </w:p>
        </w:tc>
        <w:tc>
          <w:tcPr>
            <w:tcW w:w="982" w:type="dxa"/>
            <w:tcBorders>
              <w:bottom w:val="single" w:sz="4" w:space="0" w:color="auto"/>
            </w:tcBorders>
            <w:shd w:val="clear" w:color="auto" w:fill="auto"/>
            <w:vAlign w:val="center"/>
          </w:tcPr>
          <w:p w:rsidR="00BB433C" w:rsidRPr="00F86117" w:rsidRDefault="00BB433C" w:rsidP="00AD4D26">
            <w:pPr>
              <w:pStyle w:val="TableText1"/>
              <w:keepLines/>
              <w:spacing w:before="0" w:after="0"/>
              <w:jc w:val="center"/>
              <w:rPr>
                <w:b/>
                <w:szCs w:val="20"/>
              </w:rPr>
            </w:pPr>
            <w:proofErr w:type="gramStart"/>
            <w:r w:rsidRPr="00F86117">
              <w:rPr>
                <w:rFonts w:eastAsia="Calibri" w:cs="Times New Roman"/>
                <w:b/>
                <w:szCs w:val="20"/>
                <w:lang w:eastAsia="en-AU"/>
              </w:rPr>
              <w:t>n</w:t>
            </w:r>
            <w:proofErr w:type="gramEnd"/>
            <w:r w:rsidRPr="00F86117">
              <w:rPr>
                <w:rFonts w:eastAsia="Calibri" w:cs="Times New Roman"/>
                <w:b/>
                <w:szCs w:val="20"/>
                <w:lang w:eastAsia="en-AU"/>
              </w:rPr>
              <w:t xml:space="preserve"> with event (%)</w:t>
            </w:r>
          </w:p>
        </w:tc>
        <w:tc>
          <w:tcPr>
            <w:tcW w:w="1305" w:type="dxa"/>
            <w:tcBorders>
              <w:bottom w:val="single" w:sz="4" w:space="0" w:color="auto"/>
            </w:tcBorders>
            <w:shd w:val="clear" w:color="auto" w:fill="auto"/>
            <w:vAlign w:val="center"/>
          </w:tcPr>
          <w:p w:rsidR="00BB433C" w:rsidRPr="00F86117" w:rsidRDefault="00BB433C" w:rsidP="00AD4D26">
            <w:pPr>
              <w:pStyle w:val="TableText1"/>
              <w:keepLines/>
              <w:spacing w:before="0" w:after="0"/>
              <w:jc w:val="center"/>
              <w:rPr>
                <w:rFonts w:eastAsia="Calibri" w:cs="Times New Roman"/>
                <w:b/>
                <w:szCs w:val="20"/>
                <w:lang w:eastAsia="en-AU"/>
              </w:rPr>
            </w:pPr>
            <w:r w:rsidRPr="00F86117">
              <w:rPr>
                <w:rFonts w:eastAsia="Calibri" w:cs="Times New Roman"/>
                <w:b/>
                <w:szCs w:val="20"/>
                <w:lang w:eastAsia="en-AU"/>
              </w:rPr>
              <w:t xml:space="preserve">Median </w:t>
            </w:r>
            <w:proofErr w:type="spellStart"/>
            <w:r w:rsidRPr="00F86117">
              <w:rPr>
                <w:rFonts w:eastAsia="Calibri" w:cs="Times New Roman"/>
                <w:b/>
                <w:szCs w:val="20"/>
                <w:lang w:eastAsia="en-AU"/>
              </w:rPr>
              <w:t>mths</w:t>
            </w:r>
            <w:proofErr w:type="spellEnd"/>
          </w:p>
          <w:p w:rsidR="00BB433C" w:rsidRPr="00F86117" w:rsidRDefault="00BB433C" w:rsidP="00AD4D26">
            <w:pPr>
              <w:pStyle w:val="TableText1"/>
              <w:keepLines/>
              <w:spacing w:before="0" w:after="0"/>
              <w:jc w:val="center"/>
              <w:rPr>
                <w:b/>
                <w:szCs w:val="20"/>
              </w:rPr>
            </w:pPr>
            <w:r w:rsidRPr="00F86117">
              <w:rPr>
                <w:rFonts w:eastAsia="Calibri" w:cs="Times New Roman"/>
                <w:b/>
                <w:szCs w:val="20"/>
                <w:lang w:eastAsia="en-AU"/>
              </w:rPr>
              <w:t>(95% CI)</w:t>
            </w:r>
          </w:p>
        </w:tc>
        <w:tc>
          <w:tcPr>
            <w:tcW w:w="1014" w:type="dxa"/>
            <w:tcBorders>
              <w:bottom w:val="single" w:sz="4" w:space="0" w:color="auto"/>
            </w:tcBorders>
            <w:shd w:val="clear" w:color="auto" w:fill="auto"/>
            <w:vAlign w:val="center"/>
          </w:tcPr>
          <w:p w:rsidR="00BB433C" w:rsidRPr="00F86117" w:rsidRDefault="00BB433C" w:rsidP="00AD4D26">
            <w:pPr>
              <w:pStyle w:val="TableText1"/>
              <w:keepLines/>
              <w:spacing w:before="0" w:after="0"/>
              <w:jc w:val="center"/>
              <w:rPr>
                <w:b/>
                <w:szCs w:val="20"/>
              </w:rPr>
            </w:pPr>
            <w:proofErr w:type="gramStart"/>
            <w:r w:rsidRPr="00F86117">
              <w:rPr>
                <w:rFonts w:eastAsia="Calibri" w:cs="Times New Roman"/>
                <w:b/>
                <w:szCs w:val="20"/>
                <w:lang w:eastAsia="en-AU"/>
              </w:rPr>
              <w:t>n</w:t>
            </w:r>
            <w:proofErr w:type="gramEnd"/>
            <w:r w:rsidRPr="00F86117">
              <w:rPr>
                <w:rFonts w:eastAsia="Calibri" w:cs="Times New Roman"/>
                <w:b/>
                <w:szCs w:val="20"/>
                <w:lang w:eastAsia="en-AU"/>
              </w:rPr>
              <w:t xml:space="preserve"> with event (%)</w:t>
            </w:r>
          </w:p>
        </w:tc>
        <w:tc>
          <w:tcPr>
            <w:tcW w:w="1429" w:type="dxa"/>
            <w:tcBorders>
              <w:bottom w:val="single" w:sz="4" w:space="0" w:color="auto"/>
            </w:tcBorders>
            <w:shd w:val="clear" w:color="auto" w:fill="auto"/>
            <w:vAlign w:val="center"/>
          </w:tcPr>
          <w:p w:rsidR="00BB433C" w:rsidRPr="00F86117" w:rsidRDefault="00BB433C" w:rsidP="00AD4D26">
            <w:pPr>
              <w:pStyle w:val="TableText1"/>
              <w:keepLines/>
              <w:spacing w:before="0" w:after="0"/>
              <w:jc w:val="center"/>
              <w:rPr>
                <w:b/>
                <w:szCs w:val="20"/>
              </w:rPr>
            </w:pPr>
            <w:r w:rsidRPr="00F86117">
              <w:rPr>
                <w:rFonts w:eastAsia="Calibri" w:cs="Times New Roman"/>
                <w:b/>
                <w:szCs w:val="20"/>
                <w:lang w:eastAsia="en-AU"/>
              </w:rPr>
              <w:t xml:space="preserve">Median </w:t>
            </w:r>
            <w:proofErr w:type="spellStart"/>
            <w:r w:rsidRPr="00F86117">
              <w:rPr>
                <w:rFonts w:eastAsia="Calibri" w:cs="Times New Roman"/>
                <w:b/>
                <w:szCs w:val="20"/>
                <w:lang w:eastAsia="en-AU"/>
              </w:rPr>
              <w:t>mths</w:t>
            </w:r>
            <w:proofErr w:type="spellEnd"/>
            <w:r w:rsidRPr="00F86117">
              <w:rPr>
                <w:rFonts w:eastAsia="Calibri" w:cs="Times New Roman"/>
                <w:b/>
                <w:szCs w:val="20"/>
                <w:lang w:eastAsia="en-AU"/>
              </w:rPr>
              <w:t xml:space="preserve"> (95% CI)</w:t>
            </w:r>
          </w:p>
        </w:tc>
        <w:tc>
          <w:tcPr>
            <w:tcW w:w="1288" w:type="dxa"/>
            <w:vMerge/>
            <w:tcBorders>
              <w:bottom w:val="single" w:sz="4" w:space="0" w:color="auto"/>
            </w:tcBorders>
            <w:shd w:val="clear" w:color="auto" w:fill="auto"/>
            <w:vAlign w:val="center"/>
          </w:tcPr>
          <w:p w:rsidR="00BB433C" w:rsidRPr="00F86117" w:rsidRDefault="00BB433C" w:rsidP="00AD4D26">
            <w:pPr>
              <w:pStyle w:val="TableText1"/>
              <w:keepLines/>
              <w:spacing w:before="0" w:after="0"/>
              <w:rPr>
                <w:b/>
                <w:szCs w:val="20"/>
              </w:rPr>
            </w:pPr>
          </w:p>
        </w:tc>
        <w:tc>
          <w:tcPr>
            <w:tcW w:w="850" w:type="dxa"/>
            <w:vMerge/>
            <w:tcBorders>
              <w:bottom w:val="single" w:sz="4" w:space="0" w:color="auto"/>
            </w:tcBorders>
            <w:shd w:val="clear" w:color="auto" w:fill="auto"/>
            <w:vAlign w:val="center"/>
          </w:tcPr>
          <w:p w:rsidR="00BB433C" w:rsidRPr="00F86117" w:rsidRDefault="00BB433C" w:rsidP="00AD4D26">
            <w:pPr>
              <w:keepNext/>
              <w:keepLines/>
              <w:widowControl/>
              <w:rPr>
                <w:rFonts w:ascii="Arial Narrow" w:eastAsia="Calibri" w:hAnsi="Arial Narrow" w:cs="Times New Roman"/>
                <w:b/>
                <w:sz w:val="20"/>
                <w:szCs w:val="20"/>
                <w:lang w:eastAsia="en-AU"/>
              </w:rPr>
            </w:pPr>
          </w:p>
        </w:tc>
        <w:tc>
          <w:tcPr>
            <w:tcW w:w="1064" w:type="dxa"/>
            <w:vMerge/>
            <w:tcBorders>
              <w:bottom w:val="single" w:sz="4" w:space="0" w:color="auto"/>
            </w:tcBorders>
            <w:shd w:val="clear" w:color="auto" w:fill="auto"/>
            <w:vAlign w:val="center"/>
          </w:tcPr>
          <w:p w:rsidR="00BB433C" w:rsidRPr="00F86117" w:rsidRDefault="00BB433C" w:rsidP="00AD4D26">
            <w:pPr>
              <w:keepNext/>
              <w:keepLines/>
              <w:widowControl/>
              <w:rPr>
                <w:rFonts w:ascii="Arial Narrow" w:eastAsia="Calibri" w:hAnsi="Arial Narrow" w:cs="Times New Roman"/>
                <w:b/>
                <w:sz w:val="20"/>
                <w:szCs w:val="20"/>
                <w:lang w:eastAsia="en-AU"/>
              </w:rPr>
            </w:pPr>
          </w:p>
        </w:tc>
      </w:tr>
      <w:tr w:rsidR="00BB433C" w:rsidRPr="00F86117" w:rsidTr="00D34038">
        <w:tc>
          <w:tcPr>
            <w:tcW w:w="1320"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left"/>
              <w:rPr>
                <w:rFonts w:ascii="Arial Narrow" w:hAnsi="Arial Narrow" w:cs="Times New Roman"/>
                <w:sz w:val="20"/>
                <w:szCs w:val="20"/>
                <w:lang w:eastAsia="en-AU"/>
              </w:rPr>
            </w:pPr>
            <w:r w:rsidRPr="00F86117">
              <w:rPr>
                <w:rFonts w:ascii="Arial Narrow" w:hAnsi="Arial Narrow" w:cs="Times New Roman"/>
                <w:sz w:val="20"/>
                <w:szCs w:val="20"/>
                <w:lang w:eastAsia="en-AU"/>
              </w:rPr>
              <w:t>CABOSUN (September 2016 cut-off)</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38 (48)</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30.3 (14.6, NE)</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45 (58)</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21.0 (16.3, 27.0)</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0.1700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0.74 (0.47, 1.14)</w:t>
            </w:r>
          </w:p>
        </w:tc>
      </w:tr>
      <w:tr w:rsidR="00BB433C" w:rsidRPr="00F86117" w:rsidTr="00D34038">
        <w:tc>
          <w:tcPr>
            <w:tcW w:w="1320"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left"/>
              <w:rPr>
                <w:rFonts w:ascii="Arial Narrow" w:hAnsi="Arial Narrow" w:cs="Times New Roman"/>
                <w:sz w:val="20"/>
                <w:szCs w:val="20"/>
                <w:lang w:eastAsia="en-AU"/>
              </w:rPr>
            </w:pPr>
            <w:r w:rsidRPr="00F86117">
              <w:rPr>
                <w:rFonts w:ascii="Arial Narrow" w:hAnsi="Arial Narrow" w:cs="Times New Roman"/>
                <w:sz w:val="20"/>
                <w:szCs w:val="20"/>
                <w:lang w:eastAsia="en-AU"/>
              </w:rPr>
              <w:t>CABOSUN (July 2017 cut-off)</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43 (54)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26.6 (14.6</w:t>
            </w:r>
            <w:r w:rsidR="0054040E" w:rsidRPr="00F86117">
              <w:rPr>
                <w:rFonts w:ascii="Arial Narrow" w:hAnsi="Arial Narrow" w:cs="Times New Roman"/>
                <w:sz w:val="20"/>
                <w:szCs w:val="20"/>
                <w:lang w:eastAsia="en-AU"/>
              </w:rPr>
              <w:t xml:space="preserve">, </w:t>
            </w:r>
            <w:r w:rsidRPr="00F86117">
              <w:rPr>
                <w:rFonts w:ascii="Arial Narrow" w:hAnsi="Arial Narrow" w:cs="Times New Roman"/>
                <w:sz w:val="20"/>
                <w:szCs w:val="20"/>
                <w:lang w:eastAsia="en-AU"/>
              </w:rPr>
              <w:t>NE)</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47 (60)</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21.2 (16.3</w:t>
            </w:r>
            <w:r w:rsidR="0054040E" w:rsidRPr="00F86117">
              <w:rPr>
                <w:rFonts w:ascii="Arial Narrow" w:hAnsi="Arial Narrow" w:cs="Times New Roman"/>
                <w:sz w:val="20"/>
                <w:szCs w:val="20"/>
                <w:lang w:eastAsia="en-AU"/>
              </w:rPr>
              <w:t xml:space="preserve">, </w:t>
            </w:r>
            <w:r w:rsidRPr="00F86117">
              <w:rPr>
                <w:rFonts w:ascii="Arial Narrow" w:hAnsi="Arial Narrow" w:cs="Times New Roman"/>
                <w:sz w:val="20"/>
                <w:szCs w:val="20"/>
                <w:lang w:eastAsia="en-AU"/>
              </w:rPr>
              <w:t>27.4)</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0.29</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0.80 (0.53</w:t>
            </w:r>
            <w:r w:rsidR="0054040E" w:rsidRPr="00F86117">
              <w:rPr>
                <w:rFonts w:ascii="Arial Narrow" w:hAnsi="Arial Narrow" w:cs="Times New Roman"/>
                <w:sz w:val="20"/>
                <w:szCs w:val="20"/>
                <w:lang w:eastAsia="en-AU"/>
              </w:rPr>
              <w:t xml:space="preserve">, </w:t>
            </w:r>
            <w:r w:rsidRPr="00F86117">
              <w:rPr>
                <w:rFonts w:ascii="Arial Narrow" w:hAnsi="Arial Narrow" w:cs="Times New Roman"/>
                <w:sz w:val="20"/>
                <w:szCs w:val="20"/>
                <w:lang w:eastAsia="en-AU"/>
              </w:rPr>
              <w:t>1.21)</w:t>
            </w:r>
          </w:p>
        </w:tc>
      </w:tr>
      <w:tr w:rsidR="00BB433C" w:rsidRPr="00F86117" w:rsidTr="00D34038">
        <w:tc>
          <w:tcPr>
            <w:tcW w:w="1320"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left"/>
              <w:rPr>
                <w:rFonts w:ascii="Arial Narrow" w:hAnsi="Arial Narrow" w:cs="Times New Roman"/>
                <w:sz w:val="20"/>
                <w:szCs w:val="20"/>
                <w:lang w:eastAsia="en-AU"/>
              </w:rPr>
            </w:pPr>
            <w:r w:rsidRPr="00F86117">
              <w:rPr>
                <w:rFonts w:ascii="Arial Narrow" w:hAnsi="Arial Narrow" w:cs="Times New Roman"/>
                <w:sz w:val="20"/>
                <w:szCs w:val="20"/>
                <w:lang w:eastAsia="en-AU"/>
              </w:rPr>
              <w:t>CheckMate214</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140 (32.9)</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NR (28.2, NE)</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188 (44.5)</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sz w:val="20"/>
                <w:szCs w:val="20"/>
              </w:rPr>
              <w:t>26.0 (22.1, 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sz w:val="20"/>
                <w:szCs w:val="20"/>
                <w:lang w:eastAsia="en-AU"/>
              </w:rPr>
            </w:pPr>
            <w:r w:rsidRPr="00F86117">
              <w:rPr>
                <w:rFonts w:ascii="Arial Narrow" w:hAnsi="Arial Narrow" w:cs="Times New Roman"/>
                <w:sz w:val="20"/>
                <w:szCs w:val="20"/>
                <w:lang w:eastAsia="en-AU"/>
              </w:rPr>
              <w:t>NE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b/>
                <w:sz w:val="20"/>
                <w:szCs w:val="20"/>
                <w:lang w:eastAsia="en-AU"/>
              </w:rPr>
            </w:pPr>
            <w:r w:rsidRPr="00F86117">
              <w:rPr>
                <w:rFonts w:ascii="Arial Narrow" w:hAnsi="Arial Narrow"/>
                <w:b/>
                <w:sz w:val="20"/>
                <w:szCs w:val="20"/>
              </w:rPr>
              <w:t>&lt;0.001</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BB433C" w:rsidRPr="00F86117" w:rsidRDefault="00BB433C" w:rsidP="00AD4D26">
            <w:pPr>
              <w:keepNext/>
              <w:keepLines/>
              <w:widowControl/>
              <w:jc w:val="center"/>
              <w:rPr>
                <w:rFonts w:ascii="Arial Narrow" w:hAnsi="Arial Narrow" w:cs="Times New Roman"/>
                <w:b/>
                <w:sz w:val="20"/>
                <w:szCs w:val="20"/>
                <w:lang w:eastAsia="en-AU"/>
              </w:rPr>
            </w:pPr>
            <w:r w:rsidRPr="00F86117">
              <w:rPr>
                <w:rFonts w:ascii="Arial Narrow" w:hAnsi="Arial Narrow"/>
                <w:b/>
                <w:sz w:val="20"/>
                <w:szCs w:val="20"/>
              </w:rPr>
              <w:t>0.63 (0.44, 0.89)</w:t>
            </w:r>
            <w:r w:rsidRPr="00F86117">
              <w:rPr>
                <w:rFonts w:ascii="Arial Narrow" w:hAnsi="Arial Narrow"/>
                <w:b/>
                <w:sz w:val="20"/>
                <w:szCs w:val="20"/>
                <w:vertAlign w:val="superscript"/>
              </w:rPr>
              <w:t>b</w:t>
            </w:r>
          </w:p>
        </w:tc>
      </w:tr>
    </w:tbl>
    <w:p w:rsidR="00BB433C" w:rsidRPr="00F86117" w:rsidRDefault="00BB433C" w:rsidP="00AD4D26">
      <w:pPr>
        <w:keepNext/>
        <w:keepLines/>
        <w:widowControl/>
        <w:rPr>
          <w:rFonts w:ascii="Arial Narrow" w:hAnsi="Arial Narrow"/>
          <w:sz w:val="18"/>
          <w:szCs w:val="18"/>
        </w:rPr>
      </w:pPr>
      <w:r w:rsidRPr="00F86117">
        <w:rPr>
          <w:rFonts w:ascii="Arial Narrow" w:hAnsi="Arial Narrow"/>
          <w:sz w:val="18"/>
          <w:szCs w:val="18"/>
        </w:rPr>
        <w:t>Abbreviations: CI= confidence interval; HR= hazard ratio; n = number of participants with event; N = total participants in group; NE = not estimable; PFS = progression free survival;</w:t>
      </w:r>
    </w:p>
    <w:p w:rsidR="00BB433C" w:rsidRPr="00F86117" w:rsidRDefault="00BB433C" w:rsidP="00AD4D26">
      <w:pPr>
        <w:keepNext/>
        <w:keepLines/>
        <w:widowControl/>
        <w:rPr>
          <w:rFonts w:ascii="Arial Narrow" w:hAnsi="Arial Narrow"/>
          <w:sz w:val="18"/>
          <w:szCs w:val="18"/>
        </w:rPr>
      </w:pPr>
      <w:r w:rsidRPr="00F86117">
        <w:rPr>
          <w:rFonts w:ascii="Arial Narrow" w:hAnsi="Arial Narrow"/>
          <w:sz w:val="18"/>
          <w:szCs w:val="18"/>
        </w:rPr>
        <w:t>Sources: Table 2.20, p.103; Figure 2.16, p.104 &amp; p 103; and Table 2.29, p.115 of the submission.</w:t>
      </w:r>
    </w:p>
    <w:p w:rsidR="00BB433C" w:rsidRPr="00F86117" w:rsidRDefault="00BB433C" w:rsidP="00AD4D26">
      <w:pPr>
        <w:keepNext/>
        <w:keepLines/>
        <w:widowControl/>
        <w:rPr>
          <w:rFonts w:ascii="Arial Narrow" w:hAnsi="Arial Narrow"/>
          <w:sz w:val="18"/>
          <w:szCs w:val="18"/>
        </w:rPr>
      </w:pPr>
      <w:proofErr w:type="gramStart"/>
      <w:r w:rsidRPr="00F86117">
        <w:rPr>
          <w:rFonts w:ascii="Arial Narrow" w:hAnsi="Arial Narrow"/>
          <w:sz w:val="18"/>
          <w:szCs w:val="18"/>
          <w:vertAlign w:val="superscript"/>
        </w:rPr>
        <w:t>a</w:t>
      </w:r>
      <w:proofErr w:type="gramEnd"/>
      <w:r w:rsidRPr="00F86117">
        <w:rPr>
          <w:rFonts w:ascii="Arial Narrow" w:hAnsi="Arial Narrow"/>
          <w:sz w:val="18"/>
          <w:szCs w:val="18"/>
          <w:vertAlign w:val="superscript"/>
        </w:rPr>
        <w:t xml:space="preserve"> </w:t>
      </w:r>
      <w:r w:rsidRPr="00F86117">
        <w:rPr>
          <w:rFonts w:ascii="Arial Narrow" w:hAnsi="Arial Narrow"/>
          <w:sz w:val="18"/>
          <w:szCs w:val="18"/>
        </w:rPr>
        <w:t>Log-rank p-value (stratified)</w:t>
      </w:r>
    </w:p>
    <w:p w:rsidR="00BB433C" w:rsidRPr="00F86117" w:rsidRDefault="00BB433C" w:rsidP="00AD4D26">
      <w:pPr>
        <w:pStyle w:val="Tablenotes1"/>
        <w:keepNext/>
        <w:keepLines/>
      </w:pPr>
      <w:proofErr w:type="gramStart"/>
      <w:r w:rsidRPr="00F86117">
        <w:rPr>
          <w:szCs w:val="18"/>
          <w:vertAlign w:val="superscript"/>
        </w:rPr>
        <w:t>b</w:t>
      </w:r>
      <w:proofErr w:type="gramEnd"/>
      <w:r w:rsidRPr="00F86117">
        <w:rPr>
          <w:szCs w:val="18"/>
          <w:vertAlign w:val="superscript"/>
        </w:rPr>
        <w:t xml:space="preserve"> </w:t>
      </w:r>
      <w:r w:rsidRPr="00F86117">
        <w:rPr>
          <w:szCs w:val="18"/>
        </w:rPr>
        <w:t>99.8%</w:t>
      </w:r>
      <w:r w:rsidRPr="00F86117">
        <w:t xml:space="preserve"> CI</w:t>
      </w:r>
    </w:p>
    <w:p w:rsidR="00BB433C" w:rsidRPr="00F86117" w:rsidRDefault="00BB433C" w:rsidP="00AD4D26">
      <w:pPr>
        <w:pStyle w:val="Tablenotes1"/>
        <w:keepNext/>
        <w:keepLines/>
      </w:pPr>
      <w:r w:rsidRPr="00F86117">
        <w:t>Statistical differences noted in bold.</w:t>
      </w:r>
    </w:p>
    <w:p w:rsidR="00BB433C" w:rsidRPr="00F86117" w:rsidRDefault="00BB433C" w:rsidP="0061386A">
      <w:pPr>
        <w:pStyle w:val="ListParagraph"/>
        <w:widowControl/>
        <w:numPr>
          <w:ilvl w:val="1"/>
          <w:numId w:val="2"/>
        </w:numPr>
        <w:spacing w:before="120"/>
      </w:pPr>
      <w:r w:rsidRPr="00F86117">
        <w:t xml:space="preserve">The OS outcome from the </w:t>
      </w:r>
      <w:r w:rsidR="00D54929" w:rsidRPr="00F86117">
        <w:t xml:space="preserve">September 2016 </w:t>
      </w:r>
      <w:r w:rsidRPr="00F86117">
        <w:t xml:space="preserve">data cut-off </w:t>
      </w:r>
      <w:r w:rsidR="00816C9E" w:rsidRPr="00F86117">
        <w:t xml:space="preserve">for CABOSUN </w:t>
      </w:r>
      <w:r w:rsidRPr="00F86117">
        <w:t>was used in both the clinical and econ</w:t>
      </w:r>
      <w:r w:rsidR="00816C9E" w:rsidRPr="00F86117">
        <w:t>omic sections of the submission</w:t>
      </w:r>
      <w:r w:rsidRPr="00F86117">
        <w:t xml:space="preserve"> (being slightly numerically better than the results </w:t>
      </w:r>
      <w:r w:rsidR="008A7F22" w:rsidRPr="00F86117">
        <w:t>from</w:t>
      </w:r>
      <w:r w:rsidRPr="00F86117">
        <w:t xml:space="preserve"> the </w:t>
      </w:r>
      <w:r w:rsidR="00D54929" w:rsidRPr="00F86117">
        <w:t>July 2017</w:t>
      </w:r>
      <w:r w:rsidRPr="00F86117">
        <w:t xml:space="preserve"> cut-off). The KM plot</w:t>
      </w:r>
      <w:r w:rsidR="001024CD" w:rsidRPr="00F86117">
        <w:t>s</w:t>
      </w:r>
      <w:r w:rsidRPr="00F86117">
        <w:t xml:space="preserve"> of OS in CABOSUN </w:t>
      </w:r>
      <w:r w:rsidR="001024CD" w:rsidRPr="00F86117">
        <w:t>from both data-cuts</w:t>
      </w:r>
      <w:r w:rsidRPr="00F86117">
        <w:t xml:space="preserve"> </w:t>
      </w:r>
      <w:r w:rsidR="001024CD" w:rsidRPr="00F86117">
        <w:t>are</w:t>
      </w:r>
      <w:r w:rsidRPr="00F86117">
        <w:t xml:space="preserve"> shown in Figure</w:t>
      </w:r>
      <w:r w:rsidR="001024CD" w:rsidRPr="00F86117">
        <w:t>s</w:t>
      </w:r>
      <w:r w:rsidRPr="00F86117">
        <w:t xml:space="preserve"> 2</w:t>
      </w:r>
      <w:r w:rsidR="001024CD" w:rsidRPr="00F86117">
        <w:t xml:space="preserve"> and 3</w:t>
      </w:r>
      <w:r w:rsidRPr="00F86117">
        <w:t>.</w:t>
      </w:r>
      <w:r w:rsidR="00711741" w:rsidRPr="00F86117">
        <w:t xml:space="preserve"> The use </w:t>
      </w:r>
      <w:r w:rsidR="00557EED" w:rsidRPr="00F86117">
        <w:t xml:space="preserve">of </w:t>
      </w:r>
      <w:r w:rsidR="00711741" w:rsidRPr="00F86117">
        <w:t xml:space="preserve">September 2016 data cut-off was </w:t>
      </w:r>
      <w:r w:rsidR="00711741" w:rsidRPr="00F86117">
        <w:lastRenderedPageBreak/>
        <w:t xml:space="preserve">not justified and was inconsistent with the use of PFS outcomes </w:t>
      </w:r>
      <w:r w:rsidR="006506B9" w:rsidRPr="00F86117">
        <w:t>that w</w:t>
      </w:r>
      <w:r w:rsidR="001024CD" w:rsidRPr="00F86117">
        <w:t>ere</w:t>
      </w:r>
      <w:r w:rsidR="006506B9" w:rsidRPr="00F86117">
        <w:t xml:space="preserve"> derived </w:t>
      </w:r>
      <w:r w:rsidR="00711741" w:rsidRPr="00F86117">
        <w:t>from the most recent</w:t>
      </w:r>
      <w:r w:rsidR="00257E8F" w:rsidRPr="00F86117">
        <w:t xml:space="preserve"> data</w:t>
      </w:r>
      <w:r w:rsidR="00711741" w:rsidRPr="00F86117">
        <w:t xml:space="preserve"> cut-off. </w:t>
      </w:r>
    </w:p>
    <w:p w:rsidR="00BB433C" w:rsidRPr="00F86117" w:rsidRDefault="00BB433C" w:rsidP="0061386A">
      <w:pPr>
        <w:pStyle w:val="ListParagraph"/>
        <w:widowControl/>
        <w:numPr>
          <w:ilvl w:val="1"/>
          <w:numId w:val="2"/>
        </w:numPr>
        <w:spacing w:before="120"/>
      </w:pPr>
      <w:r w:rsidRPr="00F86117">
        <w:t>The OS results could be confounded from subsequent anticancer treatments utilised by a high proportion of patients</w:t>
      </w:r>
      <w:r w:rsidR="00816C9E" w:rsidRPr="00F86117">
        <w:t xml:space="preserve"> in both groups</w:t>
      </w:r>
      <w:r w:rsidRPr="00F86117">
        <w:t>, together with the imbalance in types of treatments received in the respective study groups</w:t>
      </w:r>
      <w:r w:rsidR="00816C9E" w:rsidRPr="00F86117">
        <w:t xml:space="preserve"> within CABOSUN</w:t>
      </w:r>
      <w:r w:rsidRPr="00F86117">
        <w:t>. The direction of bias is uncertain given the lack of details</w:t>
      </w:r>
      <w:r w:rsidR="0069501E" w:rsidRPr="00F86117">
        <w:t xml:space="preserve"> provided on outcomes following subsequent treatments</w:t>
      </w:r>
      <w:r w:rsidR="00585570" w:rsidRPr="00F86117">
        <w:t>.</w:t>
      </w:r>
    </w:p>
    <w:p w:rsidR="00BB433C" w:rsidRPr="00F86117" w:rsidRDefault="00BB433C" w:rsidP="00AD4D26">
      <w:pPr>
        <w:pStyle w:val="TableHeading0"/>
      </w:pPr>
      <w:r w:rsidRPr="00F86117">
        <w:t>Figure 2: Kaplan-Meier plot of OS in CABOSUN (</w:t>
      </w:r>
      <w:r w:rsidR="001024CD" w:rsidRPr="00F86117">
        <w:t xml:space="preserve">more recent </w:t>
      </w:r>
      <w:r w:rsidRPr="00F86117">
        <w:t>data cut-off (</w:t>
      </w:r>
      <w:r w:rsidR="001024CD" w:rsidRPr="00F86117">
        <w:t>July 2017</w:t>
      </w:r>
      <w:r w:rsidRPr="00F86117">
        <w:t>)/ITT population)</w:t>
      </w:r>
    </w:p>
    <w:p w:rsidR="00BB433C" w:rsidRPr="00F86117" w:rsidRDefault="00BB433C" w:rsidP="00AD4D26">
      <w:pPr>
        <w:widowControl/>
      </w:pPr>
      <w:r w:rsidRPr="00F86117">
        <w:rPr>
          <w:noProof/>
          <w:lang w:eastAsia="en-AU"/>
        </w:rPr>
        <w:drawing>
          <wp:inline distT="0" distB="0" distL="0" distR="0" wp14:anchorId="71726C7B" wp14:editId="4DB8AACF">
            <wp:extent cx="4613835" cy="2244918"/>
            <wp:effectExtent l="0" t="0" r="0" b="3175"/>
            <wp:docPr id="14" name="Picture 14" title="Figure 2: Kaplan-Meier plot of OS in CABOSUN (more recent data cut-off (July 2017)/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26579" cy="2251119"/>
                    </a:xfrm>
                    <a:prstGeom prst="rect">
                      <a:avLst/>
                    </a:prstGeom>
                  </pic:spPr>
                </pic:pic>
              </a:graphicData>
            </a:graphic>
          </wp:inline>
        </w:drawing>
      </w:r>
    </w:p>
    <w:p w:rsidR="00BB433C" w:rsidRPr="00F86117" w:rsidRDefault="00BB433C" w:rsidP="00AD4D26">
      <w:pPr>
        <w:pStyle w:val="Default"/>
        <w:ind w:right="-154"/>
        <w:jc w:val="both"/>
        <w:rPr>
          <w:rFonts w:ascii="Arial Narrow" w:hAnsi="Arial Narrow"/>
          <w:bCs/>
          <w:sz w:val="18"/>
          <w:szCs w:val="18"/>
          <w:lang w:val="en-AU"/>
        </w:rPr>
      </w:pPr>
      <w:r w:rsidRPr="00F86117">
        <w:rPr>
          <w:rFonts w:ascii="Arial Narrow" w:hAnsi="Arial Narrow"/>
          <w:bCs/>
          <w:sz w:val="18"/>
          <w:szCs w:val="18"/>
          <w:lang w:val="en-AU"/>
        </w:rPr>
        <w:t>Source: Figure 2-16, p.104 of the submission.</w:t>
      </w:r>
    </w:p>
    <w:p w:rsidR="00AD4D26" w:rsidRPr="00F86117" w:rsidRDefault="00AD4D26" w:rsidP="00347A1D">
      <w:pPr>
        <w:pStyle w:val="TableHeading0"/>
        <w:keepNext w:val="0"/>
      </w:pPr>
    </w:p>
    <w:p w:rsidR="00BB2144" w:rsidRPr="00F86117" w:rsidRDefault="00BB2144" w:rsidP="00AD4D26">
      <w:pPr>
        <w:pStyle w:val="TableHeading0"/>
      </w:pPr>
      <w:r w:rsidRPr="00F86117">
        <w:t>Figure</w:t>
      </w:r>
      <w:r w:rsidR="00063674" w:rsidRPr="00F86117">
        <w:t xml:space="preserve"> 3</w:t>
      </w:r>
      <w:r w:rsidRPr="00F86117">
        <w:t>: Kaplan-Meier plot of OS in CABOSUN (late data cut-off (September 2016)/ITT population)</w:t>
      </w:r>
      <w:r w:rsidR="000C6C07" w:rsidRPr="00F86117" w:rsidDel="000C6C07">
        <w:t xml:space="preserve"> </w:t>
      </w:r>
      <w:r w:rsidR="001024CD" w:rsidRPr="00F86117">
        <w:t>– used in economic model</w:t>
      </w:r>
    </w:p>
    <w:p w:rsidR="00BB2144" w:rsidRPr="00F86117" w:rsidRDefault="00BB2144" w:rsidP="00AD4D26">
      <w:pPr>
        <w:pStyle w:val="TableHeading0"/>
      </w:pPr>
      <w:r w:rsidRPr="00F86117">
        <w:rPr>
          <w:noProof/>
          <w:lang w:eastAsia="en-AU"/>
        </w:rPr>
        <w:drawing>
          <wp:inline distT="0" distB="0" distL="0" distR="0" wp14:anchorId="55801D80" wp14:editId="263DBF01">
            <wp:extent cx="5732145" cy="2780030"/>
            <wp:effectExtent l="0" t="0" r="1905" b="1270"/>
            <wp:docPr id="16" name="Picture 16" title="Figure 3: Kaplan-Meier plot of OS in CABOSUN (late data cut-off (September 2016)/ITT population) – used in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2780030"/>
                    </a:xfrm>
                    <a:prstGeom prst="rect">
                      <a:avLst/>
                    </a:prstGeom>
                  </pic:spPr>
                </pic:pic>
              </a:graphicData>
            </a:graphic>
          </wp:inline>
        </w:drawing>
      </w:r>
    </w:p>
    <w:p w:rsidR="00434766" w:rsidRPr="00F86117" w:rsidRDefault="00434766" w:rsidP="00AD4D26">
      <w:pPr>
        <w:pStyle w:val="Default"/>
        <w:ind w:right="-154"/>
        <w:jc w:val="both"/>
        <w:rPr>
          <w:rFonts w:ascii="Arial Narrow" w:hAnsi="Arial Narrow"/>
          <w:bCs/>
          <w:sz w:val="18"/>
          <w:szCs w:val="18"/>
          <w:lang w:val="en-AU"/>
        </w:rPr>
      </w:pPr>
      <w:r w:rsidRPr="00F86117">
        <w:rPr>
          <w:rFonts w:ascii="Arial Narrow" w:hAnsi="Arial Narrow"/>
          <w:bCs/>
          <w:sz w:val="18"/>
          <w:szCs w:val="18"/>
          <w:lang w:val="en-AU"/>
        </w:rPr>
        <w:t>Source: Figure 4, p.101 of the CSR.</w:t>
      </w:r>
    </w:p>
    <w:p w:rsidR="00BB433C" w:rsidRPr="00F86117" w:rsidRDefault="00BB433C" w:rsidP="0061386A">
      <w:pPr>
        <w:pStyle w:val="ListParagraph"/>
        <w:widowControl/>
        <w:numPr>
          <w:ilvl w:val="1"/>
          <w:numId w:val="2"/>
        </w:numPr>
        <w:spacing w:before="120"/>
      </w:pPr>
      <w:r w:rsidRPr="00F86117">
        <w:t xml:space="preserve">Both CABOSUN and CheckMate214 reported higher ORR </w:t>
      </w:r>
      <w:r w:rsidR="00816C9E" w:rsidRPr="00F86117">
        <w:t xml:space="preserve">for their investigational therapies compared with </w:t>
      </w:r>
      <w:proofErr w:type="spellStart"/>
      <w:r w:rsidR="00816C9E" w:rsidRPr="00F86117">
        <w:t>sunitinib</w:t>
      </w:r>
      <w:proofErr w:type="spellEnd"/>
      <w:r w:rsidR="00816C9E" w:rsidRPr="00F86117">
        <w:t xml:space="preserve"> with differences of 11.3% for </w:t>
      </w:r>
      <w:proofErr w:type="spellStart"/>
      <w:r w:rsidRPr="00F86117">
        <w:t>cabozantinib</w:t>
      </w:r>
      <w:proofErr w:type="spellEnd"/>
      <w:r w:rsidRPr="00F86117">
        <w:t xml:space="preserve"> (95% CI: 0.4, 22.2; stratified 2-sided p-value = 0.0406) and </w:t>
      </w:r>
      <w:r w:rsidR="00816C9E" w:rsidRPr="00F86117">
        <w:t xml:space="preserve">15% for </w:t>
      </w:r>
      <w:r w:rsidRPr="00F86117">
        <w:t>NIVO+IPI (</w:t>
      </w:r>
      <w:r w:rsidR="00816C9E" w:rsidRPr="00F86117">
        <w:t>CI not reported</w:t>
      </w:r>
      <w:r w:rsidRPr="00F86117">
        <w:t>)</w:t>
      </w:r>
      <w:r w:rsidR="00B270C3" w:rsidRPr="00F86117">
        <w:t>,</w:t>
      </w:r>
      <w:r w:rsidRPr="00F86117">
        <w:t xml:space="preserve"> </w:t>
      </w:r>
      <w:r w:rsidR="00816C9E" w:rsidRPr="00F86117">
        <w:t>respectively.</w:t>
      </w:r>
    </w:p>
    <w:p w:rsidR="0013777E" w:rsidRPr="00F86117" w:rsidRDefault="0013777E" w:rsidP="0061386A">
      <w:pPr>
        <w:pStyle w:val="ListParagraph"/>
        <w:widowControl/>
        <w:numPr>
          <w:ilvl w:val="1"/>
          <w:numId w:val="2"/>
        </w:numPr>
        <w:spacing w:before="120"/>
      </w:pPr>
      <w:r w:rsidRPr="00F86117">
        <w:lastRenderedPageBreak/>
        <w:t xml:space="preserve">The PBAC noted that no </w:t>
      </w:r>
      <w:proofErr w:type="spellStart"/>
      <w:r w:rsidRPr="00F86117">
        <w:t>QoL</w:t>
      </w:r>
      <w:proofErr w:type="spellEnd"/>
      <w:r w:rsidRPr="00F86117">
        <w:t xml:space="preserve"> data were collected in the CABOSUN trial. The PBAC noted a </w:t>
      </w:r>
      <w:r w:rsidR="00A57425">
        <w:t>q</w:t>
      </w:r>
      <w:r w:rsidRPr="00F86117">
        <w:t>uality-adjusted time without symptoms of disease or toxicity of treatment (Q-</w:t>
      </w:r>
      <w:proofErr w:type="spellStart"/>
      <w:r w:rsidRPr="00F86117">
        <w:t>TWiST</w:t>
      </w:r>
      <w:proofErr w:type="spellEnd"/>
      <w:r w:rsidRPr="00F86117">
        <w:t>) analysis was presented in the submission. This was a post-hoc analysis based on time without grade 3-4 AEs</w:t>
      </w:r>
      <w:r w:rsidR="009652BF" w:rsidRPr="00F86117">
        <w:t xml:space="preserve"> or progression</w:t>
      </w:r>
      <w:r w:rsidRPr="00F86117">
        <w:t>. However, the PBAC considered that th</w:t>
      </w:r>
      <w:r w:rsidR="002429D2" w:rsidRPr="00F86117">
        <w:t>ese</w:t>
      </w:r>
      <w:r w:rsidRPr="00F86117">
        <w:t xml:space="preserve"> data w</w:t>
      </w:r>
      <w:r w:rsidR="002429D2" w:rsidRPr="00F86117">
        <w:t>ere</w:t>
      </w:r>
      <w:r w:rsidRPr="00F86117">
        <w:t xml:space="preserve"> not informative as it was a post-hoc analysis of time without grade 3-4 AEs</w:t>
      </w:r>
      <w:r w:rsidR="009652BF" w:rsidRPr="00F86117">
        <w:t xml:space="preserve"> or progression</w:t>
      </w:r>
      <w:r w:rsidRPr="00F86117">
        <w:t xml:space="preserve">, </w:t>
      </w:r>
      <w:r w:rsidR="00C45381">
        <w:t xml:space="preserve">which </w:t>
      </w:r>
      <w:r w:rsidR="002C0CEF">
        <w:t>failed to</w:t>
      </w:r>
      <w:r w:rsidR="00C45381">
        <w:t xml:space="preserve"> incorporate</w:t>
      </w:r>
      <w:r w:rsidR="00C45381" w:rsidRPr="00F86117">
        <w:t xml:space="preserve"> </w:t>
      </w:r>
      <w:r w:rsidR="003E5E93">
        <w:t xml:space="preserve">data regarding the presence or </w:t>
      </w:r>
      <w:r w:rsidRPr="00F86117">
        <w:t>absence of symptom</w:t>
      </w:r>
      <w:r w:rsidR="004571C3">
        <w:t>s of disease</w:t>
      </w:r>
      <w:r w:rsidRPr="00F86117">
        <w:t>.</w:t>
      </w:r>
    </w:p>
    <w:p w:rsidR="001024CD" w:rsidRPr="00F86117" w:rsidRDefault="001024CD" w:rsidP="0061386A">
      <w:pPr>
        <w:widowControl/>
        <w:spacing w:before="120" w:after="120"/>
        <w:rPr>
          <w:u w:val="single"/>
        </w:rPr>
      </w:pPr>
      <w:r w:rsidRPr="00F86117">
        <w:rPr>
          <w:u w:val="single"/>
        </w:rPr>
        <w:t xml:space="preserve">Indirect treatment comparison </w:t>
      </w:r>
    </w:p>
    <w:p w:rsidR="000C6C07" w:rsidRPr="00F86117" w:rsidRDefault="00016A09" w:rsidP="0061386A">
      <w:pPr>
        <w:pStyle w:val="ListParagraph"/>
        <w:widowControl/>
        <w:numPr>
          <w:ilvl w:val="1"/>
          <w:numId w:val="2"/>
        </w:numPr>
        <w:spacing w:before="120"/>
      </w:pPr>
      <w:r w:rsidRPr="00F86117">
        <w:t>For the ITC, t</w:t>
      </w:r>
      <w:r w:rsidR="00DD67CC" w:rsidRPr="00F86117">
        <w:t xml:space="preserve">he </w:t>
      </w:r>
      <w:r w:rsidR="00592CFB" w:rsidRPr="00F86117">
        <w:t>evaluation and the ESC considered that the</w:t>
      </w:r>
      <w:r w:rsidR="005E7D67" w:rsidRPr="00F86117">
        <w:t xml:space="preserve"> transitivity</w:t>
      </w:r>
      <w:r w:rsidR="00592CFB" w:rsidRPr="00F86117">
        <w:t xml:space="preserve"> assumption may not hold</w:t>
      </w:r>
      <w:r w:rsidR="00DD67CC" w:rsidRPr="00F86117">
        <w:t xml:space="preserve"> </w:t>
      </w:r>
      <w:r w:rsidR="000C6C07" w:rsidRPr="00F86117">
        <w:t xml:space="preserve">due to </w:t>
      </w:r>
      <w:r w:rsidR="00592CFB" w:rsidRPr="00F86117">
        <w:t xml:space="preserve">differences in </w:t>
      </w:r>
      <w:r w:rsidR="000C6C07" w:rsidRPr="00F86117">
        <w:t xml:space="preserve">the patient populations and treatment practices. CABOSUN included patients with ECOG </w:t>
      </w:r>
      <w:r w:rsidR="0069501E" w:rsidRPr="00F86117">
        <w:t>performance status (</w:t>
      </w:r>
      <w:r w:rsidR="000C6C07" w:rsidRPr="00F86117">
        <w:t>PS</w:t>
      </w:r>
      <w:r w:rsidR="0069501E" w:rsidRPr="00F86117">
        <w:t>)</w:t>
      </w:r>
      <w:r w:rsidR="000C6C07" w:rsidRPr="00F86117">
        <w:t xml:space="preserve"> of 0-2; 20 (13%) patients in CABOSUN had </w:t>
      </w:r>
      <w:r w:rsidR="00337226" w:rsidRPr="00F86117">
        <w:t xml:space="preserve">an </w:t>
      </w:r>
      <w:r w:rsidR="000C6C07" w:rsidRPr="00F86117">
        <w:t xml:space="preserve">ECOG score of 2. In contrast, CheckMate214 included only patients with a </w:t>
      </w:r>
      <w:proofErr w:type="spellStart"/>
      <w:r w:rsidR="000C6C07" w:rsidRPr="00F86117">
        <w:t>Karnofsky</w:t>
      </w:r>
      <w:proofErr w:type="spellEnd"/>
      <w:r w:rsidR="000C6C07" w:rsidRPr="00F86117">
        <w:t xml:space="preserve"> PS of at least 70%, equating to 0-1 on the ECOG</w:t>
      </w:r>
      <w:r w:rsidR="00337226" w:rsidRPr="00F86117">
        <w:t xml:space="preserve"> scale</w:t>
      </w:r>
      <w:r w:rsidR="000C6C07" w:rsidRPr="00F86117">
        <w:t xml:space="preserve">. Thus, it is likely that patients in CABOSUN had a poorer performance status which might bias against </w:t>
      </w:r>
      <w:proofErr w:type="spellStart"/>
      <w:r w:rsidR="000C6C07" w:rsidRPr="00F86117">
        <w:t>cabozantinib</w:t>
      </w:r>
      <w:proofErr w:type="spellEnd"/>
      <w:r w:rsidR="000C6C07" w:rsidRPr="00F86117">
        <w:t xml:space="preserve">. </w:t>
      </w:r>
      <w:r w:rsidR="003D755E" w:rsidRPr="00F86117">
        <w:t xml:space="preserve">The PSCR noted that the median PFS in the </w:t>
      </w:r>
      <w:proofErr w:type="spellStart"/>
      <w:r w:rsidR="003D755E" w:rsidRPr="00F86117">
        <w:t>sunitinib</w:t>
      </w:r>
      <w:proofErr w:type="spellEnd"/>
      <w:r w:rsidR="003D755E" w:rsidRPr="00F86117">
        <w:t xml:space="preserve"> arm</w:t>
      </w:r>
      <w:r w:rsidRPr="00F86117">
        <w:t xml:space="preserve"> of CABOSUN</w:t>
      </w:r>
      <w:r w:rsidR="003D755E" w:rsidRPr="00F86117">
        <w:t xml:space="preserve"> was consistent with median PFS reported in a real world setting for patients with intermediate to poor prognosis (5.6 months, </w:t>
      </w:r>
      <w:proofErr w:type="spellStart"/>
      <w:r w:rsidR="003D755E" w:rsidRPr="00F86117">
        <w:t>Ko</w:t>
      </w:r>
      <w:proofErr w:type="spellEnd"/>
      <w:r w:rsidR="003D755E" w:rsidRPr="00F86117">
        <w:t xml:space="preserve"> JJ, 2014).</w:t>
      </w:r>
      <w:r w:rsidR="003D755E" w:rsidRPr="00F86117">
        <w:rPr>
          <w:i/>
        </w:rPr>
        <w:t xml:space="preserve"> </w:t>
      </w:r>
      <w:r w:rsidR="000C6C07" w:rsidRPr="00F86117">
        <w:t>There were difference</w:t>
      </w:r>
      <w:r w:rsidR="00A73185" w:rsidRPr="00F86117">
        <w:t>s</w:t>
      </w:r>
      <w:r w:rsidR="000C6C07" w:rsidRPr="00F86117">
        <w:t xml:space="preserve"> in treatment duration </w:t>
      </w:r>
      <w:r w:rsidR="00337226" w:rsidRPr="00F86117">
        <w:t xml:space="preserve">for </w:t>
      </w:r>
      <w:proofErr w:type="spellStart"/>
      <w:r w:rsidR="00337226" w:rsidRPr="00F86117">
        <w:t>sunitinib</w:t>
      </w:r>
      <w:proofErr w:type="spellEnd"/>
      <w:r w:rsidR="000C6C07" w:rsidRPr="00F86117">
        <w:t xml:space="preserve"> (median </w:t>
      </w:r>
      <w:r w:rsidR="00337226" w:rsidRPr="00F86117">
        <w:t xml:space="preserve">of </w:t>
      </w:r>
      <w:r w:rsidR="000C6C07" w:rsidRPr="00F86117">
        <w:t>3.1 months</w:t>
      </w:r>
      <w:r w:rsidR="00337226" w:rsidRPr="00F86117">
        <w:t xml:space="preserve"> for CABOSUN compared with 6.4 months in </w:t>
      </w:r>
      <w:r w:rsidR="000C6C07" w:rsidRPr="00F86117">
        <w:t>CheckMate214</w:t>
      </w:r>
      <w:r w:rsidR="00337226" w:rsidRPr="00F86117">
        <w:t>, albeit</w:t>
      </w:r>
      <w:r w:rsidR="000C6C07" w:rsidRPr="00F86117">
        <w:t xml:space="preserve"> including </w:t>
      </w:r>
      <w:r w:rsidR="00337226" w:rsidRPr="00F86117">
        <w:t xml:space="preserve">the </w:t>
      </w:r>
      <w:r w:rsidR="000C6C07" w:rsidRPr="00F86117">
        <w:t>favourable risk group</w:t>
      </w:r>
      <w:r w:rsidR="00337226" w:rsidRPr="00F86117">
        <w:t xml:space="preserve"> in the latter</w:t>
      </w:r>
      <w:r w:rsidR="000C6C07" w:rsidRPr="00F86117">
        <w:t xml:space="preserve">), and subsequent treatments after disease progression. It is unknown if the shorter duration of therapy biased against </w:t>
      </w:r>
      <w:proofErr w:type="spellStart"/>
      <w:r w:rsidR="000C6C07" w:rsidRPr="00F86117">
        <w:t>cabozantinib</w:t>
      </w:r>
      <w:proofErr w:type="spellEnd"/>
      <w:r w:rsidR="000C6C07" w:rsidRPr="00F86117">
        <w:t xml:space="preserve">, or reflected the poorer </w:t>
      </w:r>
      <w:r w:rsidR="003C3631" w:rsidRPr="00F86117">
        <w:t xml:space="preserve">performance </w:t>
      </w:r>
      <w:r w:rsidR="000C6C07" w:rsidRPr="00F86117">
        <w:t>status</w:t>
      </w:r>
      <w:r w:rsidR="00337226" w:rsidRPr="00F86117">
        <w:t xml:space="preserve"> </w:t>
      </w:r>
      <w:r w:rsidR="003C3631" w:rsidRPr="00F86117">
        <w:t xml:space="preserve">of patients </w:t>
      </w:r>
      <w:r w:rsidR="00337226" w:rsidRPr="00F86117">
        <w:t>in the CABOSUN study</w:t>
      </w:r>
      <w:r w:rsidR="000C6C07" w:rsidRPr="00F86117">
        <w:t>.</w:t>
      </w:r>
    </w:p>
    <w:p w:rsidR="009B3B79" w:rsidRPr="00F86117" w:rsidRDefault="000C6C07" w:rsidP="0061386A">
      <w:pPr>
        <w:pStyle w:val="ListParagraph"/>
        <w:widowControl/>
        <w:numPr>
          <w:ilvl w:val="1"/>
          <w:numId w:val="2"/>
        </w:numPr>
        <w:spacing w:before="120"/>
      </w:pPr>
      <w:r w:rsidRPr="00F86117">
        <w:t>In addition, comparison of the primary outcomes (RECIST</w:t>
      </w:r>
      <w:r w:rsidR="002112F9" w:rsidRPr="00F86117">
        <w:t>-</w:t>
      </w:r>
      <w:r w:rsidRPr="00F86117">
        <w:t xml:space="preserve">assessed PFS) was confounded in that the use of that outcome is considered to be biased against immunotherapies. </w:t>
      </w:r>
      <w:r w:rsidR="00132290" w:rsidRPr="00F86117">
        <w:t xml:space="preserve">In its consideration of the previous submission for </w:t>
      </w:r>
      <w:proofErr w:type="spellStart"/>
      <w:r w:rsidR="00132290" w:rsidRPr="00F86117">
        <w:t>cabozantinib</w:t>
      </w:r>
      <w:proofErr w:type="spellEnd"/>
      <w:r w:rsidR="00132290" w:rsidRPr="00F86117">
        <w:t xml:space="preserve"> (in the post-TKI treatment setting), t</w:t>
      </w:r>
      <w:r w:rsidR="00AD7A2B" w:rsidRPr="00F86117">
        <w:t xml:space="preserve">he PBAC </w:t>
      </w:r>
      <w:r w:rsidR="00132290" w:rsidRPr="00F86117">
        <w:t>considere</w:t>
      </w:r>
      <w:r w:rsidR="00AD7A2B" w:rsidRPr="00F86117">
        <w:t xml:space="preserve">d that “As tumour responses to immunotherapies can occur after conventional RECIST-defined progressive disease (i.e. the tumour flare effect), RECIST-defined PFS is not a reliable measure of the clinical effectiveness of </w:t>
      </w:r>
      <w:proofErr w:type="spellStart"/>
      <w:r w:rsidR="00AD7A2B" w:rsidRPr="00F86117">
        <w:t>nivolumab</w:t>
      </w:r>
      <w:proofErr w:type="spellEnd"/>
      <w:r w:rsidR="00AD7A2B" w:rsidRPr="00F86117">
        <w:t>”</w:t>
      </w:r>
      <w:r w:rsidR="004E5103" w:rsidRPr="00F86117">
        <w:t xml:space="preserve"> (</w:t>
      </w:r>
      <w:r w:rsidR="00C670B6" w:rsidRPr="00F86117">
        <w:t xml:space="preserve">Paragraph 6.12, </w:t>
      </w:r>
      <w:proofErr w:type="spellStart"/>
      <w:r w:rsidR="004E5103" w:rsidRPr="00F86117">
        <w:t>Cabozantinib</w:t>
      </w:r>
      <w:proofErr w:type="spellEnd"/>
      <w:r w:rsidR="004E5103" w:rsidRPr="00F86117">
        <w:t xml:space="preserve"> PSD December 2017)</w:t>
      </w:r>
      <w:r w:rsidR="00AD7A2B" w:rsidRPr="00F86117">
        <w:t>.</w:t>
      </w:r>
      <w:r w:rsidR="009B3B79" w:rsidRPr="00F86117">
        <w:t xml:space="preserve"> </w:t>
      </w:r>
      <w:r w:rsidRPr="00F86117">
        <w:t>Thus, a comparison of primary outcomes based on RECIST defined PFS would bias against NIVO+IPI.</w:t>
      </w:r>
      <w:r w:rsidR="003D755E" w:rsidRPr="00F86117">
        <w:t xml:space="preserve"> The ESC agreed with the evaluator that</w:t>
      </w:r>
      <w:r w:rsidR="007956CE" w:rsidRPr="00F86117">
        <w:t xml:space="preserve"> the</w:t>
      </w:r>
      <w:r w:rsidR="003D755E" w:rsidRPr="00F86117">
        <w:t xml:space="preserve"> </w:t>
      </w:r>
      <w:r w:rsidR="00BD3659" w:rsidRPr="00F86117">
        <w:t xml:space="preserve">indirect </w:t>
      </w:r>
      <w:r w:rsidR="003D755E" w:rsidRPr="00F86117">
        <w:t xml:space="preserve">comparison </w:t>
      </w:r>
      <w:r w:rsidR="007956CE" w:rsidRPr="00F86117">
        <w:t>based on</w:t>
      </w:r>
      <w:r w:rsidR="003D755E" w:rsidRPr="00F86117">
        <w:t xml:space="preserve"> PFS was </w:t>
      </w:r>
      <w:r w:rsidR="00BD3659" w:rsidRPr="00F86117">
        <w:t xml:space="preserve">biased in favour of </w:t>
      </w:r>
      <w:proofErr w:type="spellStart"/>
      <w:r w:rsidR="00BD3659" w:rsidRPr="00F86117">
        <w:t>cabozant</w:t>
      </w:r>
      <w:r w:rsidR="00072D5C" w:rsidRPr="00F86117">
        <w:t>i</w:t>
      </w:r>
      <w:r w:rsidR="00BD3659" w:rsidRPr="00F86117">
        <w:t>nib</w:t>
      </w:r>
      <w:proofErr w:type="spellEnd"/>
      <w:r w:rsidR="003D755E" w:rsidRPr="00F86117">
        <w:t xml:space="preserve"> due to the potential tumour flare effect </w:t>
      </w:r>
      <w:r w:rsidR="00BD3659" w:rsidRPr="00F86117">
        <w:t xml:space="preserve">for NIVO+IPI </w:t>
      </w:r>
      <w:r w:rsidR="003D755E" w:rsidRPr="00F86117">
        <w:t>and</w:t>
      </w:r>
      <w:r w:rsidR="00073A3B" w:rsidRPr="00F86117">
        <w:t xml:space="preserve"> the ESC</w:t>
      </w:r>
      <w:r w:rsidR="003D755E" w:rsidRPr="00F86117">
        <w:t xml:space="preserve"> considered that OS is a more</w:t>
      </w:r>
      <w:r w:rsidR="00073A3B" w:rsidRPr="00F86117">
        <w:t xml:space="preserve"> meaningful outcome for the comparison </w:t>
      </w:r>
      <w:r w:rsidR="00C670B6" w:rsidRPr="00F86117">
        <w:t xml:space="preserve">of </w:t>
      </w:r>
      <w:proofErr w:type="spellStart"/>
      <w:r w:rsidR="003D755E" w:rsidRPr="00F86117">
        <w:t>cabozant</w:t>
      </w:r>
      <w:r w:rsidR="00072D5C" w:rsidRPr="00F86117">
        <w:t>i</w:t>
      </w:r>
      <w:r w:rsidR="003D755E" w:rsidRPr="00F86117">
        <w:t>nib</w:t>
      </w:r>
      <w:proofErr w:type="spellEnd"/>
      <w:r w:rsidR="003D755E" w:rsidRPr="00F86117">
        <w:t xml:space="preserve"> with NIVO+IPI</w:t>
      </w:r>
      <w:r w:rsidR="00F86117">
        <w:t xml:space="preserve">. </w:t>
      </w:r>
    </w:p>
    <w:p w:rsidR="00BB433C" w:rsidRPr="00F86117" w:rsidRDefault="00BB433C" w:rsidP="0061386A">
      <w:pPr>
        <w:pStyle w:val="ListParagraph"/>
        <w:widowControl/>
        <w:numPr>
          <w:ilvl w:val="1"/>
          <w:numId w:val="2"/>
        </w:numPr>
        <w:spacing w:before="120"/>
      </w:pPr>
      <w:r w:rsidRPr="00F86117">
        <w:t xml:space="preserve">The results of the ITC between </w:t>
      </w:r>
      <w:proofErr w:type="spellStart"/>
      <w:r w:rsidRPr="00F86117">
        <w:t>cabozantinib</w:t>
      </w:r>
      <w:proofErr w:type="spellEnd"/>
      <w:r w:rsidRPr="00F86117">
        <w:t xml:space="preserve"> and NIVO+IPI are summarised in Table 9. These results showed a </w:t>
      </w:r>
      <w:r w:rsidR="00F91888" w:rsidRPr="00F86117">
        <w:t xml:space="preserve">statistically </w:t>
      </w:r>
      <w:r w:rsidRPr="00F86117">
        <w:t xml:space="preserve">significant treatment effect for </w:t>
      </w:r>
      <w:proofErr w:type="spellStart"/>
      <w:r w:rsidRPr="00F86117">
        <w:t>cabozantinib</w:t>
      </w:r>
      <w:proofErr w:type="spellEnd"/>
      <w:r w:rsidRPr="00F86117">
        <w:t xml:space="preserve"> compared with NI</w:t>
      </w:r>
      <w:r w:rsidR="00816C9E" w:rsidRPr="00F86117">
        <w:t>V</w:t>
      </w:r>
      <w:r w:rsidRPr="00F86117">
        <w:t xml:space="preserve">O+IPI for PFS, but </w:t>
      </w:r>
      <w:r w:rsidR="0054040E" w:rsidRPr="00F86117">
        <w:t>it was not stat</w:t>
      </w:r>
      <w:r w:rsidR="00F91888" w:rsidRPr="00F86117">
        <w:t xml:space="preserve">istically </w:t>
      </w:r>
      <w:r w:rsidRPr="00F86117">
        <w:t xml:space="preserve">significant for OS. The results </w:t>
      </w:r>
      <w:r w:rsidR="000C6C07" w:rsidRPr="00F86117">
        <w:t>with respect to PFS are not meaningful g</w:t>
      </w:r>
      <w:r w:rsidRPr="00F86117">
        <w:t>iven</w:t>
      </w:r>
      <w:r w:rsidR="009E12FA" w:rsidRPr="00F86117">
        <w:t>:</w:t>
      </w:r>
      <w:r w:rsidRPr="00F86117">
        <w:t xml:space="preserve"> the uncertainty within CABOSUN</w:t>
      </w:r>
      <w:r w:rsidR="009E12FA" w:rsidRPr="00F86117">
        <w:t>;</w:t>
      </w:r>
      <w:r w:rsidR="000C6C07" w:rsidRPr="00F86117">
        <w:t xml:space="preserve"> </w:t>
      </w:r>
      <w:r w:rsidR="009E12FA" w:rsidRPr="00F86117">
        <w:t xml:space="preserve">that </w:t>
      </w:r>
      <w:r w:rsidR="00A73185" w:rsidRPr="00F86117">
        <w:t>PFS may not be an accurate measure of benefit for NIVO+IPI</w:t>
      </w:r>
      <w:r w:rsidR="009E12FA" w:rsidRPr="00F86117">
        <w:t>;</w:t>
      </w:r>
      <w:r w:rsidR="00A73185" w:rsidRPr="00F86117">
        <w:t xml:space="preserve"> </w:t>
      </w:r>
      <w:r w:rsidRPr="00F86117">
        <w:t xml:space="preserve">and </w:t>
      </w:r>
      <w:r w:rsidR="009E12FA" w:rsidRPr="00F86117">
        <w:t xml:space="preserve">the </w:t>
      </w:r>
      <w:r w:rsidRPr="00F86117">
        <w:t xml:space="preserve">issues of transitivity between CABOSUN and CheckMate214. The </w:t>
      </w:r>
      <w:r w:rsidR="00132290" w:rsidRPr="00F86117">
        <w:t xml:space="preserve">transitivity concerns are highlighted by the differences in </w:t>
      </w:r>
      <w:r w:rsidRPr="00F86117">
        <w:t xml:space="preserve">median PFS between the </w:t>
      </w:r>
      <w:proofErr w:type="spellStart"/>
      <w:r w:rsidRPr="00F86117">
        <w:t>sunitinib</w:t>
      </w:r>
      <w:proofErr w:type="spellEnd"/>
      <w:r w:rsidRPr="00F86117">
        <w:t xml:space="preserve"> arms of the two studies </w:t>
      </w:r>
      <w:r w:rsidR="00132290" w:rsidRPr="00F86117">
        <w:t xml:space="preserve">(i.e. the median PFS with </w:t>
      </w:r>
      <w:proofErr w:type="spellStart"/>
      <w:r w:rsidR="00132290" w:rsidRPr="00F86117">
        <w:t>sunitinib</w:t>
      </w:r>
      <w:proofErr w:type="spellEnd"/>
      <w:r w:rsidR="00132290" w:rsidRPr="00F86117">
        <w:t xml:space="preserve"> was 5.3 months in CABOSUN but 8.4 months in CheckMate214). </w:t>
      </w:r>
      <w:r w:rsidRPr="00F86117">
        <w:t xml:space="preserve">There </w:t>
      </w:r>
      <w:r w:rsidR="00816C9E" w:rsidRPr="00F86117">
        <w:t>wa</w:t>
      </w:r>
      <w:r w:rsidRPr="00F86117">
        <w:t>s insufficient evidence to conclude that</w:t>
      </w:r>
      <w:r w:rsidR="00A526AD" w:rsidRPr="00F86117">
        <w:t xml:space="preserve"> there was a </w:t>
      </w:r>
      <w:r w:rsidR="00A526AD" w:rsidRPr="00F86117">
        <w:lastRenderedPageBreak/>
        <w:t>statistically significant difference between</w:t>
      </w:r>
      <w:r w:rsidRPr="00F86117">
        <w:t xml:space="preserve"> </w:t>
      </w:r>
      <w:proofErr w:type="spellStart"/>
      <w:r w:rsidRPr="00F86117">
        <w:t>cabozantinib</w:t>
      </w:r>
      <w:proofErr w:type="spellEnd"/>
      <w:r w:rsidRPr="00F86117">
        <w:t xml:space="preserve"> and NIVO+IPI in ORR.</w:t>
      </w:r>
      <w:r w:rsidR="003D755E" w:rsidRPr="00F86117">
        <w:t xml:space="preserve"> The</w:t>
      </w:r>
      <w:r w:rsidR="00073A3B" w:rsidRPr="00F86117">
        <w:t xml:space="preserve"> PSCR</w:t>
      </w:r>
      <w:r w:rsidR="00364331" w:rsidRPr="00F86117">
        <w:t xml:space="preserve"> stated </w:t>
      </w:r>
      <w:r w:rsidR="00B950D2" w:rsidRPr="00F86117">
        <w:t xml:space="preserve">that the “key issues of transitivity in the ITC largely are due to subtle differences in the comparability of the patient populations and treatment practices” and that some of the differences might bias against </w:t>
      </w:r>
      <w:proofErr w:type="spellStart"/>
      <w:r w:rsidR="00B950D2" w:rsidRPr="00F86117">
        <w:t>cabozantinib</w:t>
      </w:r>
      <w:proofErr w:type="spellEnd"/>
      <w:r w:rsidR="00B950D2" w:rsidRPr="00F86117">
        <w:t xml:space="preserve">. Overall, the PSCR </w:t>
      </w:r>
      <w:r w:rsidR="00073A3B" w:rsidRPr="00F86117">
        <w:t>contended that despite</w:t>
      </w:r>
      <w:r w:rsidR="003D755E" w:rsidRPr="00F86117">
        <w:t xml:space="preserve"> differences in the patient populations, the comparison remains informative as to the likely comparative clinical effect. The ESC agreed with the evaluator that the</w:t>
      </w:r>
      <w:r w:rsidR="00465B91" w:rsidRPr="00F86117">
        <w:t xml:space="preserve"> indirect comparison was difficult to interpret due to transitivity issues</w:t>
      </w:r>
      <w:r w:rsidR="00584523" w:rsidRPr="00F86117">
        <w:t xml:space="preserve"> between the trials</w:t>
      </w:r>
      <w:r w:rsidR="00465B91" w:rsidRPr="00F86117">
        <w:t xml:space="preserve">. The ESC </w:t>
      </w:r>
      <w:r w:rsidR="00DA700A" w:rsidRPr="00F86117">
        <w:t>noted that it appeared that OS</w:t>
      </w:r>
      <w:r w:rsidR="00073A3B" w:rsidRPr="00F86117">
        <w:t xml:space="preserve"> </w:t>
      </w:r>
      <w:r w:rsidR="00465B91" w:rsidRPr="00F86117">
        <w:t xml:space="preserve">for </w:t>
      </w:r>
      <w:proofErr w:type="spellStart"/>
      <w:r w:rsidR="00465B91" w:rsidRPr="00F86117">
        <w:t>cabozant</w:t>
      </w:r>
      <w:r w:rsidR="00072D5C" w:rsidRPr="00F86117">
        <w:t>i</w:t>
      </w:r>
      <w:r w:rsidR="00465B91" w:rsidRPr="00F86117">
        <w:t>nib</w:t>
      </w:r>
      <w:proofErr w:type="spellEnd"/>
      <w:r w:rsidR="00465B91" w:rsidRPr="00F86117">
        <w:t xml:space="preserve"> may be inferior to NIVO+IPI</w:t>
      </w:r>
      <w:r w:rsidR="00073A3B" w:rsidRPr="00F86117">
        <w:t xml:space="preserve"> and considered that t</w:t>
      </w:r>
      <w:r w:rsidR="00584523" w:rsidRPr="00F86117">
        <w:t xml:space="preserve">his would be </w:t>
      </w:r>
      <w:r w:rsidR="00467457" w:rsidRPr="00F86117">
        <w:t>consistent with the results of trials of immunotherapies compared with other tyrosine kinase inhibitors (TKIs) that have found superior OS with immunotherapies versus TKIs.</w:t>
      </w:r>
      <w:r w:rsidR="003D755E" w:rsidRPr="00F86117">
        <w:t xml:space="preserve"> </w:t>
      </w:r>
    </w:p>
    <w:p w:rsidR="00BB433C" w:rsidRPr="00F86117" w:rsidRDefault="00BB433C" w:rsidP="00AD4D26">
      <w:pPr>
        <w:keepNext/>
        <w:keepLines/>
        <w:widowControl/>
        <w:rPr>
          <w:rStyle w:val="CommentReference"/>
          <w:b w:val="0"/>
        </w:rPr>
      </w:pPr>
      <w:r w:rsidRPr="00F86117">
        <w:rPr>
          <w:rStyle w:val="CommentReference"/>
        </w:rPr>
        <w:lastRenderedPageBreak/>
        <w:t>Table 9: Results of the indirect comparison for PFS, OS, and ORR</w:t>
      </w:r>
    </w:p>
    <w:tbl>
      <w:tblPr>
        <w:tblStyle w:val="TableGrid"/>
        <w:tblW w:w="5000" w:type="pct"/>
        <w:tblLook w:val="04A0" w:firstRow="1" w:lastRow="0" w:firstColumn="1" w:lastColumn="0" w:noHBand="0" w:noVBand="1"/>
        <w:tblCaption w:val="Figure 3: Kaplan-Meier plot of OS in CABOSUN (late data cut-off (September 2016)/ITT population) – used in economic model"/>
      </w:tblPr>
      <w:tblGrid>
        <w:gridCol w:w="1320"/>
        <w:gridCol w:w="1055"/>
        <w:gridCol w:w="1141"/>
        <w:gridCol w:w="1141"/>
        <w:gridCol w:w="1483"/>
        <w:gridCol w:w="1267"/>
        <w:gridCol w:w="1610"/>
      </w:tblGrid>
      <w:tr w:rsidR="00BB433C" w:rsidRPr="00F86117" w:rsidTr="0061386A">
        <w:trPr>
          <w:tblHeader/>
        </w:trPr>
        <w:tc>
          <w:tcPr>
            <w:tcW w:w="1295" w:type="pct"/>
            <w:gridSpan w:val="2"/>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PFS</w:t>
            </w:r>
          </w:p>
        </w:tc>
        <w:tc>
          <w:tcPr>
            <w:tcW w:w="637" w:type="pct"/>
            <w:tcBorders>
              <w:top w:val="single" w:sz="4" w:space="0" w:color="auto"/>
              <w:left w:val="single" w:sz="4" w:space="0" w:color="auto"/>
              <w:bottom w:val="single" w:sz="4" w:space="0" w:color="auto"/>
              <w:right w:val="single" w:sz="4" w:space="0" w:color="auto"/>
            </w:tcBorders>
            <w:vAlign w:val="center"/>
          </w:tcPr>
          <w:p w:rsidR="00BB433C" w:rsidRPr="00F86117" w:rsidRDefault="00BB433C" w:rsidP="00AD4D26">
            <w:pPr>
              <w:pStyle w:val="Tabletext"/>
              <w:keepNext/>
              <w:keepLines/>
              <w:jc w:val="center"/>
              <w:rPr>
                <w:b/>
                <w:iCs/>
                <w:szCs w:val="20"/>
              </w:rPr>
            </w:pPr>
            <w:r w:rsidRPr="00F86117">
              <w:rPr>
                <w:b/>
                <w:iCs/>
                <w:szCs w:val="20"/>
              </w:rPr>
              <w:t>Proposed medicine</w:t>
            </w:r>
          </w:p>
          <w:p w:rsidR="00BB433C" w:rsidRPr="00F86117" w:rsidRDefault="00BB433C" w:rsidP="00AD4D26">
            <w:pPr>
              <w:pStyle w:val="TableLeft"/>
              <w:keepNext/>
              <w:keepLines/>
              <w:jc w:val="center"/>
              <w:rPr>
                <w:rStyle w:val="SmallBold"/>
                <w:rFonts w:ascii="Arial Narrow" w:hAnsi="Arial Narrow"/>
                <w:szCs w:val="20"/>
              </w:rPr>
            </w:pPr>
            <w:proofErr w:type="gramStart"/>
            <w:r w:rsidRPr="00F86117">
              <w:rPr>
                <w:rFonts w:ascii="Arial Narrow" w:hAnsi="Arial Narrow"/>
                <w:b/>
                <w:iCs/>
                <w:szCs w:val="20"/>
              </w:rPr>
              <w:t>n/N</w:t>
            </w:r>
            <w:proofErr w:type="gramEnd"/>
            <w:r w:rsidRPr="00F86117">
              <w:rPr>
                <w:rFonts w:ascii="Arial Narrow" w:hAnsi="Arial Narrow"/>
                <w:b/>
                <w:iCs/>
                <w:szCs w:val="20"/>
              </w:rPr>
              <w:t xml:space="preserve"> (%)</w:t>
            </w:r>
          </w:p>
        </w:tc>
        <w:tc>
          <w:tcPr>
            <w:tcW w:w="637" w:type="pct"/>
            <w:tcBorders>
              <w:top w:val="single" w:sz="4" w:space="0" w:color="auto"/>
              <w:left w:val="single" w:sz="4" w:space="0" w:color="auto"/>
              <w:bottom w:val="single" w:sz="4" w:space="0" w:color="auto"/>
              <w:right w:val="single" w:sz="4" w:space="0" w:color="auto"/>
            </w:tcBorders>
            <w:vAlign w:val="center"/>
          </w:tcPr>
          <w:p w:rsidR="00BB433C" w:rsidRPr="00F86117" w:rsidRDefault="00BB433C" w:rsidP="00AD4D26">
            <w:pPr>
              <w:pStyle w:val="Tabletext"/>
              <w:keepNext/>
              <w:keepLines/>
              <w:jc w:val="center"/>
              <w:rPr>
                <w:b/>
                <w:szCs w:val="20"/>
              </w:rPr>
            </w:pPr>
            <w:r w:rsidRPr="00F86117">
              <w:rPr>
                <w:b/>
                <w:szCs w:val="20"/>
              </w:rPr>
              <w:t>Common reference</w:t>
            </w:r>
          </w:p>
          <w:p w:rsidR="00BB433C" w:rsidRPr="00F86117" w:rsidRDefault="00BB433C" w:rsidP="00AD4D26">
            <w:pPr>
              <w:pStyle w:val="TableLeft"/>
              <w:keepNext/>
              <w:keepLines/>
              <w:jc w:val="center"/>
              <w:rPr>
                <w:rStyle w:val="SmallBold"/>
                <w:rFonts w:ascii="Arial Narrow" w:hAnsi="Arial Narrow"/>
                <w:szCs w:val="20"/>
              </w:rPr>
            </w:pPr>
            <w:proofErr w:type="gramStart"/>
            <w:r w:rsidRPr="00F86117">
              <w:rPr>
                <w:rFonts w:ascii="Arial Narrow" w:hAnsi="Arial Narrow"/>
                <w:b/>
                <w:szCs w:val="20"/>
              </w:rPr>
              <w:t>n/N</w:t>
            </w:r>
            <w:proofErr w:type="gramEnd"/>
            <w:r w:rsidRPr="00F86117">
              <w:rPr>
                <w:rFonts w:ascii="Arial Narrow" w:hAnsi="Arial Narrow"/>
                <w:b/>
                <w:szCs w:val="20"/>
              </w:rPr>
              <w:t xml:space="preserve"> (%)</w:t>
            </w:r>
          </w:p>
        </w:tc>
        <w:tc>
          <w:tcPr>
            <w:tcW w:w="82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Absolute difference</w:t>
            </w:r>
          </w:p>
        </w:tc>
        <w:tc>
          <w:tcPr>
            <w:tcW w:w="1604" w:type="pct"/>
            <w:gridSpan w:val="2"/>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HR (95% CI)</w:t>
            </w:r>
          </w:p>
        </w:tc>
      </w:tr>
      <w:tr w:rsidR="00BB433C" w:rsidRPr="00F86117" w:rsidTr="009903D2">
        <w:tc>
          <w:tcPr>
            <w:tcW w:w="719" w:type="pct"/>
            <w:vMerge w:val="restar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CABOSUN</w:t>
            </w:r>
          </w:p>
        </w:tc>
        <w:tc>
          <w:tcPr>
            <w:tcW w:w="576"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Progressed</w:t>
            </w:r>
          </w:p>
        </w:tc>
        <w:tc>
          <w:tcPr>
            <w:tcW w:w="63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43 (54)</w:t>
            </w:r>
          </w:p>
        </w:tc>
        <w:tc>
          <w:tcPr>
            <w:tcW w:w="63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49 (63)</w:t>
            </w:r>
          </w:p>
        </w:tc>
        <w:tc>
          <w:tcPr>
            <w:tcW w:w="82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p>
        </w:tc>
        <w:tc>
          <w:tcPr>
            <w:tcW w:w="1604" w:type="pct"/>
            <w:gridSpan w:val="2"/>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w:t>
            </w:r>
          </w:p>
        </w:tc>
      </w:tr>
      <w:tr w:rsidR="00BB433C" w:rsidRPr="00F86117" w:rsidTr="009903D2">
        <w:tc>
          <w:tcPr>
            <w:tcW w:w="719" w:type="pct"/>
            <w:vMerge/>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p>
        </w:tc>
        <w:tc>
          <w:tcPr>
            <w:tcW w:w="576"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Median months PFS</w:t>
            </w:r>
          </w:p>
        </w:tc>
        <w:tc>
          <w:tcPr>
            <w:tcW w:w="63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8.6 (6.8, 14.0)</w:t>
            </w:r>
          </w:p>
        </w:tc>
        <w:tc>
          <w:tcPr>
            <w:tcW w:w="63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5.3 (3.0, 8.2)</w:t>
            </w:r>
          </w:p>
        </w:tc>
        <w:tc>
          <w:tcPr>
            <w:tcW w:w="82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3.3</w:t>
            </w:r>
          </w:p>
        </w:tc>
        <w:tc>
          <w:tcPr>
            <w:tcW w:w="1604" w:type="pct"/>
            <w:gridSpan w:val="2"/>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b/>
                <w:szCs w:val="20"/>
              </w:rPr>
            </w:pPr>
            <w:r w:rsidRPr="00F86117">
              <w:rPr>
                <w:rFonts w:ascii="Arial Narrow" w:hAnsi="Arial Narrow"/>
                <w:b/>
                <w:szCs w:val="20"/>
              </w:rPr>
              <w:t>0.48 (0.31, 0.74)</w:t>
            </w:r>
          </w:p>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b/>
                <w:szCs w:val="20"/>
              </w:rPr>
              <w:t>P=0.0008</w:t>
            </w:r>
          </w:p>
        </w:tc>
      </w:tr>
      <w:tr w:rsidR="00BB433C" w:rsidRPr="00F86117" w:rsidTr="009903D2">
        <w:tc>
          <w:tcPr>
            <w:tcW w:w="719" w:type="pct"/>
            <w:vMerge w:val="restar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CheckMate214</w:t>
            </w:r>
          </w:p>
        </w:tc>
        <w:tc>
          <w:tcPr>
            <w:tcW w:w="576"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Progressed</w:t>
            </w:r>
          </w:p>
        </w:tc>
        <w:tc>
          <w:tcPr>
            <w:tcW w:w="63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NR</w:t>
            </w:r>
          </w:p>
        </w:tc>
        <w:tc>
          <w:tcPr>
            <w:tcW w:w="63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NR</w:t>
            </w:r>
          </w:p>
        </w:tc>
        <w:tc>
          <w:tcPr>
            <w:tcW w:w="82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NE</w:t>
            </w:r>
          </w:p>
        </w:tc>
        <w:tc>
          <w:tcPr>
            <w:tcW w:w="1604" w:type="pct"/>
            <w:gridSpan w:val="2"/>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w:t>
            </w:r>
          </w:p>
        </w:tc>
      </w:tr>
      <w:tr w:rsidR="00BB433C" w:rsidRPr="00F86117" w:rsidTr="009903D2">
        <w:tc>
          <w:tcPr>
            <w:tcW w:w="719" w:type="pct"/>
            <w:vMerge/>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p>
        </w:tc>
        <w:tc>
          <w:tcPr>
            <w:tcW w:w="576"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Median months PFS</w:t>
            </w:r>
          </w:p>
        </w:tc>
        <w:tc>
          <w:tcPr>
            <w:tcW w:w="63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11.6 (8.7, 15.5)</w:t>
            </w:r>
          </w:p>
        </w:tc>
        <w:tc>
          <w:tcPr>
            <w:tcW w:w="63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8.4 (7.0, 10.8)</w:t>
            </w:r>
          </w:p>
        </w:tc>
        <w:tc>
          <w:tcPr>
            <w:tcW w:w="827" w:type="pct"/>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3.2</w:t>
            </w:r>
          </w:p>
        </w:tc>
        <w:tc>
          <w:tcPr>
            <w:tcW w:w="1604" w:type="pct"/>
            <w:gridSpan w:val="2"/>
            <w:tcBorders>
              <w:top w:val="single" w:sz="4" w:space="0" w:color="auto"/>
              <w:left w:val="single" w:sz="4" w:space="0" w:color="auto"/>
              <w:bottom w:val="single" w:sz="4" w:space="0" w:color="auto"/>
              <w:right w:val="single" w:sz="4" w:space="0" w:color="auto"/>
            </w:tcBorders>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0.82* (0.64, 1.05)</w:t>
            </w:r>
          </w:p>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P=0.03**</w:t>
            </w:r>
          </w:p>
        </w:tc>
      </w:tr>
      <w:tr w:rsidR="00BB433C" w:rsidRPr="00F86117" w:rsidTr="009903D2">
        <w:tc>
          <w:tcPr>
            <w:tcW w:w="3396" w:type="pct"/>
            <w:gridSpan w:val="5"/>
            <w:tcBorders>
              <w:top w:val="single" w:sz="4" w:space="0" w:color="auto"/>
            </w:tcBorders>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Indirect estimate of relative treatment effect</w:t>
            </w:r>
          </w:p>
        </w:tc>
        <w:tc>
          <w:tcPr>
            <w:tcW w:w="1604" w:type="pct"/>
            <w:gridSpan w:val="2"/>
            <w:tcBorders>
              <w:top w:val="single" w:sz="4" w:space="0" w:color="auto"/>
            </w:tcBorders>
          </w:tcPr>
          <w:p w:rsidR="00BB433C" w:rsidRPr="00F86117" w:rsidRDefault="00BB433C"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0.585 (0.355, 0.966)</w:t>
            </w:r>
          </w:p>
        </w:tc>
      </w:tr>
      <w:tr w:rsidR="000D1298" w:rsidRPr="00F86117" w:rsidTr="009903D2">
        <w:tc>
          <w:tcPr>
            <w:tcW w:w="1295" w:type="pct"/>
            <w:gridSpan w:val="2"/>
          </w:tcPr>
          <w:p w:rsidR="000D1298" w:rsidRPr="00F86117" w:rsidRDefault="000D1298" w:rsidP="00AD4D26">
            <w:pPr>
              <w:pStyle w:val="TableLeft"/>
              <w:keepNext/>
              <w:keepLines/>
              <w:rPr>
                <w:rStyle w:val="SmallBold"/>
                <w:rFonts w:ascii="Arial Narrow" w:hAnsi="Arial Narrow"/>
                <w:szCs w:val="20"/>
              </w:rPr>
            </w:pPr>
            <w:r w:rsidRPr="00F86117">
              <w:rPr>
                <w:rStyle w:val="SmallBold"/>
                <w:rFonts w:ascii="Arial Narrow" w:hAnsi="Arial Narrow"/>
                <w:szCs w:val="20"/>
              </w:rPr>
              <w:t>OS</w:t>
            </w:r>
          </w:p>
        </w:tc>
        <w:tc>
          <w:tcPr>
            <w:tcW w:w="637" w:type="pct"/>
            <w:vAlign w:val="center"/>
          </w:tcPr>
          <w:p w:rsidR="000D1298" w:rsidRPr="00F86117" w:rsidRDefault="000D1298" w:rsidP="00AD4D26">
            <w:pPr>
              <w:pStyle w:val="Tabletext"/>
              <w:keepNext/>
              <w:keepLines/>
              <w:jc w:val="center"/>
              <w:rPr>
                <w:b/>
                <w:iCs/>
                <w:szCs w:val="20"/>
              </w:rPr>
            </w:pPr>
            <w:r w:rsidRPr="00F86117">
              <w:rPr>
                <w:b/>
                <w:iCs/>
                <w:szCs w:val="20"/>
              </w:rPr>
              <w:t>Proposed medicine</w:t>
            </w:r>
          </w:p>
          <w:p w:rsidR="000D1298" w:rsidRPr="00F86117" w:rsidRDefault="000D1298" w:rsidP="00AD4D26">
            <w:pPr>
              <w:pStyle w:val="TableLeft"/>
              <w:keepNext/>
              <w:keepLines/>
              <w:jc w:val="center"/>
              <w:rPr>
                <w:rStyle w:val="SmallBold"/>
                <w:rFonts w:ascii="Arial Narrow" w:hAnsi="Arial Narrow"/>
                <w:szCs w:val="20"/>
              </w:rPr>
            </w:pPr>
            <w:proofErr w:type="gramStart"/>
            <w:r w:rsidRPr="00F86117">
              <w:rPr>
                <w:rFonts w:ascii="Arial Narrow" w:hAnsi="Arial Narrow"/>
                <w:b/>
                <w:iCs/>
                <w:szCs w:val="20"/>
              </w:rPr>
              <w:t>n/N</w:t>
            </w:r>
            <w:proofErr w:type="gramEnd"/>
            <w:r w:rsidRPr="00F86117">
              <w:rPr>
                <w:rFonts w:ascii="Arial Narrow" w:hAnsi="Arial Narrow"/>
                <w:b/>
                <w:iCs/>
                <w:szCs w:val="20"/>
              </w:rPr>
              <w:t xml:space="preserve"> (%)</w:t>
            </w:r>
          </w:p>
        </w:tc>
        <w:tc>
          <w:tcPr>
            <w:tcW w:w="637" w:type="pct"/>
            <w:vAlign w:val="center"/>
          </w:tcPr>
          <w:p w:rsidR="000D1298" w:rsidRPr="00F86117" w:rsidRDefault="000D1298" w:rsidP="00AD4D26">
            <w:pPr>
              <w:pStyle w:val="Tabletext"/>
              <w:keepNext/>
              <w:keepLines/>
              <w:jc w:val="center"/>
              <w:rPr>
                <w:b/>
                <w:szCs w:val="20"/>
              </w:rPr>
            </w:pPr>
            <w:r w:rsidRPr="00F86117">
              <w:rPr>
                <w:b/>
                <w:szCs w:val="20"/>
              </w:rPr>
              <w:t>Common reference</w:t>
            </w:r>
          </w:p>
          <w:p w:rsidR="000D1298" w:rsidRPr="00F86117" w:rsidRDefault="000D1298" w:rsidP="00AD4D26">
            <w:pPr>
              <w:pStyle w:val="TableLeft"/>
              <w:keepNext/>
              <w:keepLines/>
              <w:jc w:val="center"/>
              <w:rPr>
                <w:rStyle w:val="SmallBold"/>
                <w:rFonts w:ascii="Arial Narrow" w:hAnsi="Arial Narrow"/>
                <w:szCs w:val="20"/>
              </w:rPr>
            </w:pPr>
            <w:proofErr w:type="gramStart"/>
            <w:r w:rsidRPr="00F86117">
              <w:rPr>
                <w:rFonts w:ascii="Arial Narrow" w:hAnsi="Arial Narrow"/>
                <w:b/>
                <w:szCs w:val="20"/>
              </w:rPr>
              <w:t>n/N</w:t>
            </w:r>
            <w:proofErr w:type="gramEnd"/>
            <w:r w:rsidRPr="00F86117">
              <w:rPr>
                <w:rFonts w:ascii="Arial Narrow" w:hAnsi="Arial Narrow"/>
                <w:b/>
                <w:szCs w:val="20"/>
              </w:rPr>
              <w:t xml:space="preserve"> (%)</w:t>
            </w:r>
          </w:p>
        </w:tc>
        <w:tc>
          <w:tcPr>
            <w:tcW w:w="827" w:type="pct"/>
          </w:tcPr>
          <w:p w:rsidR="000D1298" w:rsidRPr="00F86117" w:rsidRDefault="000D1298"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Absolute difference</w:t>
            </w:r>
          </w:p>
        </w:tc>
        <w:tc>
          <w:tcPr>
            <w:tcW w:w="1604" w:type="pct"/>
            <w:gridSpan w:val="2"/>
          </w:tcPr>
          <w:p w:rsidR="000D1298" w:rsidRPr="00F86117" w:rsidRDefault="000D1298"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HR (95% CI)</w:t>
            </w:r>
          </w:p>
          <w:p w:rsidR="000D1298" w:rsidRPr="00F86117" w:rsidRDefault="000D1298" w:rsidP="00AD4D26">
            <w:pPr>
              <w:pStyle w:val="TableLeft"/>
              <w:keepNext/>
              <w:keepLines/>
              <w:jc w:val="center"/>
              <w:rPr>
                <w:rStyle w:val="SmallBold"/>
                <w:rFonts w:ascii="Arial Narrow" w:hAnsi="Arial Narrow"/>
                <w:szCs w:val="20"/>
              </w:rPr>
            </w:pPr>
          </w:p>
          <w:p w:rsidR="000D1298" w:rsidRPr="00F86117" w:rsidRDefault="000D1298" w:rsidP="00AD4D26">
            <w:pPr>
              <w:pStyle w:val="TableLeft"/>
              <w:keepNext/>
              <w:keepLines/>
              <w:jc w:val="center"/>
              <w:rPr>
                <w:rStyle w:val="SmallBold"/>
                <w:rFonts w:ascii="Arial Narrow" w:hAnsi="Arial Narrow"/>
                <w:szCs w:val="20"/>
              </w:rPr>
            </w:pPr>
          </w:p>
        </w:tc>
      </w:tr>
      <w:tr w:rsidR="000D1298" w:rsidRPr="00F86117" w:rsidTr="009903D2">
        <w:tc>
          <w:tcPr>
            <w:tcW w:w="719" w:type="pct"/>
            <w:vMerge w:val="restart"/>
          </w:tcPr>
          <w:p w:rsidR="000D1298" w:rsidRPr="00F86117" w:rsidRDefault="000D1298" w:rsidP="00AD4D26">
            <w:pPr>
              <w:pStyle w:val="TableLeft"/>
              <w:keepNext/>
              <w:keepLines/>
              <w:rPr>
                <w:rFonts w:ascii="Arial Narrow" w:hAnsi="Arial Narrow"/>
                <w:szCs w:val="20"/>
              </w:rPr>
            </w:pPr>
            <w:r w:rsidRPr="00F86117">
              <w:rPr>
                <w:rFonts w:ascii="Arial Narrow" w:hAnsi="Arial Narrow"/>
                <w:szCs w:val="20"/>
              </w:rPr>
              <w:t>CABOSUN</w:t>
            </w:r>
          </w:p>
        </w:tc>
        <w:tc>
          <w:tcPr>
            <w:tcW w:w="576" w:type="pct"/>
          </w:tcPr>
          <w:p w:rsidR="000D1298" w:rsidRPr="00F86117" w:rsidRDefault="000D1298" w:rsidP="00AD4D26">
            <w:pPr>
              <w:pStyle w:val="TableLeft"/>
              <w:keepNext/>
              <w:keepLines/>
              <w:rPr>
                <w:rFonts w:ascii="Arial Narrow" w:hAnsi="Arial Narrow"/>
                <w:szCs w:val="20"/>
              </w:rPr>
            </w:pPr>
            <w:r w:rsidRPr="00F86117">
              <w:rPr>
                <w:rFonts w:ascii="Arial Narrow" w:hAnsi="Arial Narrow"/>
                <w:szCs w:val="20"/>
              </w:rPr>
              <w:t xml:space="preserve">Death </w:t>
            </w:r>
          </w:p>
        </w:tc>
        <w:tc>
          <w:tcPr>
            <w:tcW w:w="637" w:type="pct"/>
          </w:tcPr>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38/79 (48.1)</w:t>
            </w:r>
          </w:p>
        </w:tc>
        <w:tc>
          <w:tcPr>
            <w:tcW w:w="637" w:type="pct"/>
          </w:tcPr>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45/78 (57.7)</w:t>
            </w:r>
          </w:p>
        </w:tc>
        <w:tc>
          <w:tcPr>
            <w:tcW w:w="827" w:type="pct"/>
          </w:tcPr>
          <w:p w:rsidR="000D1298" w:rsidRPr="00F86117" w:rsidRDefault="000D1298" w:rsidP="00AD4D26">
            <w:pPr>
              <w:pStyle w:val="TableLeft"/>
              <w:keepNext/>
              <w:keepLines/>
              <w:jc w:val="center"/>
              <w:rPr>
                <w:rFonts w:ascii="Arial Narrow" w:hAnsi="Arial Narrow"/>
                <w:szCs w:val="20"/>
              </w:rPr>
            </w:pPr>
          </w:p>
        </w:tc>
        <w:tc>
          <w:tcPr>
            <w:tcW w:w="1604" w:type="pct"/>
            <w:gridSpan w:val="2"/>
          </w:tcPr>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w:t>
            </w:r>
          </w:p>
        </w:tc>
      </w:tr>
      <w:tr w:rsidR="000D1298" w:rsidRPr="00F86117" w:rsidTr="009903D2">
        <w:tc>
          <w:tcPr>
            <w:tcW w:w="719" w:type="pct"/>
            <w:vMerge/>
          </w:tcPr>
          <w:p w:rsidR="000D1298" w:rsidRPr="00F86117" w:rsidRDefault="000D1298" w:rsidP="00AD4D26">
            <w:pPr>
              <w:pStyle w:val="TableLeft"/>
              <w:keepNext/>
              <w:keepLines/>
              <w:rPr>
                <w:rFonts w:ascii="Arial Narrow" w:hAnsi="Arial Narrow"/>
                <w:szCs w:val="20"/>
              </w:rPr>
            </w:pPr>
          </w:p>
        </w:tc>
        <w:tc>
          <w:tcPr>
            <w:tcW w:w="576" w:type="pct"/>
          </w:tcPr>
          <w:p w:rsidR="000D1298" w:rsidRPr="00F86117" w:rsidRDefault="000D1298" w:rsidP="00AD4D26">
            <w:pPr>
              <w:pStyle w:val="TableLeft"/>
              <w:keepNext/>
              <w:keepLines/>
              <w:rPr>
                <w:rFonts w:ascii="Arial Narrow" w:hAnsi="Arial Narrow"/>
                <w:szCs w:val="20"/>
              </w:rPr>
            </w:pPr>
            <w:r w:rsidRPr="00F86117">
              <w:rPr>
                <w:rFonts w:ascii="Arial Narrow" w:hAnsi="Arial Narrow"/>
                <w:szCs w:val="20"/>
              </w:rPr>
              <w:t>Median months OS</w:t>
            </w:r>
          </w:p>
        </w:tc>
        <w:tc>
          <w:tcPr>
            <w:tcW w:w="637" w:type="pct"/>
          </w:tcPr>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30.3 (14.6, NE)</w:t>
            </w:r>
          </w:p>
        </w:tc>
        <w:tc>
          <w:tcPr>
            <w:tcW w:w="637" w:type="pct"/>
          </w:tcPr>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21.0 (16.3, 27.0)</w:t>
            </w:r>
          </w:p>
        </w:tc>
        <w:tc>
          <w:tcPr>
            <w:tcW w:w="827" w:type="pct"/>
          </w:tcPr>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9.3</w:t>
            </w:r>
          </w:p>
        </w:tc>
        <w:tc>
          <w:tcPr>
            <w:tcW w:w="1604" w:type="pct"/>
            <w:gridSpan w:val="2"/>
          </w:tcPr>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0.74 (0.47, 1.14)</w:t>
            </w:r>
          </w:p>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P=0.17</w:t>
            </w:r>
          </w:p>
        </w:tc>
      </w:tr>
      <w:tr w:rsidR="005F29F3" w:rsidRPr="00F86117" w:rsidTr="009903D2">
        <w:tc>
          <w:tcPr>
            <w:tcW w:w="719" w:type="pct"/>
            <w:vMerge w:val="restart"/>
          </w:tcPr>
          <w:p w:rsidR="005F29F3" w:rsidRPr="00F86117" w:rsidRDefault="005F29F3" w:rsidP="00AD4D26">
            <w:pPr>
              <w:pStyle w:val="TableLeft"/>
              <w:keepNext/>
              <w:keepLines/>
              <w:rPr>
                <w:rFonts w:ascii="Arial Narrow" w:hAnsi="Arial Narrow"/>
                <w:szCs w:val="20"/>
              </w:rPr>
            </w:pPr>
            <w:r w:rsidRPr="00F86117">
              <w:rPr>
                <w:rFonts w:ascii="Arial Narrow" w:hAnsi="Arial Narrow"/>
                <w:szCs w:val="20"/>
              </w:rPr>
              <w:t>CheckMate214</w:t>
            </w:r>
          </w:p>
        </w:tc>
        <w:tc>
          <w:tcPr>
            <w:tcW w:w="576" w:type="pct"/>
          </w:tcPr>
          <w:p w:rsidR="005F29F3" w:rsidRPr="00F86117" w:rsidRDefault="005F29F3" w:rsidP="00AD4D26">
            <w:pPr>
              <w:pStyle w:val="TableLeft"/>
              <w:keepNext/>
              <w:keepLines/>
              <w:rPr>
                <w:rFonts w:ascii="Arial Narrow" w:hAnsi="Arial Narrow"/>
                <w:szCs w:val="20"/>
              </w:rPr>
            </w:pPr>
            <w:r w:rsidRPr="00F86117">
              <w:rPr>
                <w:rFonts w:ascii="Arial Narrow" w:hAnsi="Arial Narrow"/>
                <w:szCs w:val="20"/>
              </w:rPr>
              <w:t xml:space="preserve">Death </w:t>
            </w:r>
          </w:p>
        </w:tc>
        <w:tc>
          <w:tcPr>
            <w:tcW w:w="637" w:type="pct"/>
          </w:tcPr>
          <w:p w:rsidR="005F29F3" w:rsidRPr="00F86117" w:rsidRDefault="005F29F3" w:rsidP="00AD4D26">
            <w:pPr>
              <w:pStyle w:val="TableLeft"/>
              <w:keepNext/>
              <w:keepLines/>
              <w:jc w:val="center"/>
              <w:rPr>
                <w:rFonts w:ascii="Arial Narrow" w:hAnsi="Arial Narrow"/>
                <w:szCs w:val="20"/>
              </w:rPr>
            </w:pPr>
            <w:r w:rsidRPr="00F86117">
              <w:rPr>
                <w:rFonts w:ascii="Arial Narrow" w:hAnsi="Arial Narrow"/>
                <w:szCs w:val="20"/>
              </w:rPr>
              <w:t>140/425 (32.9)</w:t>
            </w:r>
          </w:p>
        </w:tc>
        <w:tc>
          <w:tcPr>
            <w:tcW w:w="637" w:type="pct"/>
          </w:tcPr>
          <w:p w:rsidR="005F29F3" w:rsidRPr="00F86117" w:rsidRDefault="005F29F3" w:rsidP="00AD4D26">
            <w:pPr>
              <w:pStyle w:val="TableLeft"/>
              <w:keepNext/>
              <w:keepLines/>
              <w:jc w:val="center"/>
              <w:rPr>
                <w:rFonts w:ascii="Arial Narrow" w:hAnsi="Arial Narrow"/>
                <w:szCs w:val="20"/>
              </w:rPr>
            </w:pPr>
            <w:r w:rsidRPr="00F86117">
              <w:rPr>
                <w:rFonts w:ascii="Arial Narrow" w:hAnsi="Arial Narrow"/>
                <w:szCs w:val="20"/>
              </w:rPr>
              <w:t>188/422 (44.6)</w:t>
            </w:r>
          </w:p>
        </w:tc>
        <w:tc>
          <w:tcPr>
            <w:tcW w:w="827" w:type="pct"/>
          </w:tcPr>
          <w:p w:rsidR="005F29F3" w:rsidRPr="00F86117" w:rsidRDefault="005F29F3" w:rsidP="00AD4D26">
            <w:pPr>
              <w:pStyle w:val="TableLeft"/>
              <w:keepNext/>
              <w:keepLines/>
              <w:jc w:val="center"/>
              <w:rPr>
                <w:rFonts w:ascii="Arial Narrow" w:hAnsi="Arial Narrow"/>
                <w:szCs w:val="20"/>
              </w:rPr>
            </w:pPr>
          </w:p>
        </w:tc>
        <w:tc>
          <w:tcPr>
            <w:tcW w:w="1604" w:type="pct"/>
            <w:gridSpan w:val="2"/>
          </w:tcPr>
          <w:p w:rsidR="005F29F3" w:rsidRPr="00F86117" w:rsidRDefault="005F29F3" w:rsidP="00AD4D26">
            <w:pPr>
              <w:pStyle w:val="TableLeft"/>
              <w:keepNext/>
              <w:keepLines/>
              <w:jc w:val="center"/>
              <w:rPr>
                <w:rFonts w:ascii="Arial Narrow" w:hAnsi="Arial Narrow"/>
                <w:szCs w:val="20"/>
              </w:rPr>
            </w:pPr>
            <w:r w:rsidRPr="00F86117">
              <w:rPr>
                <w:rFonts w:ascii="Arial Narrow" w:hAnsi="Arial Narrow"/>
                <w:szCs w:val="20"/>
              </w:rPr>
              <w:t>-</w:t>
            </w:r>
          </w:p>
        </w:tc>
      </w:tr>
      <w:tr w:rsidR="000D1298" w:rsidRPr="00F86117" w:rsidTr="009903D2">
        <w:tc>
          <w:tcPr>
            <w:tcW w:w="719" w:type="pct"/>
            <w:vMerge/>
          </w:tcPr>
          <w:p w:rsidR="000D1298" w:rsidRPr="00F86117" w:rsidRDefault="000D1298" w:rsidP="00AD4D26">
            <w:pPr>
              <w:pStyle w:val="TableLeft"/>
              <w:keepNext/>
              <w:keepLines/>
              <w:rPr>
                <w:rFonts w:ascii="Arial Narrow" w:hAnsi="Arial Narrow"/>
                <w:szCs w:val="20"/>
              </w:rPr>
            </w:pPr>
          </w:p>
        </w:tc>
        <w:tc>
          <w:tcPr>
            <w:tcW w:w="576" w:type="pct"/>
          </w:tcPr>
          <w:p w:rsidR="000D1298" w:rsidRPr="00F86117" w:rsidRDefault="000D1298" w:rsidP="00AD4D26">
            <w:pPr>
              <w:pStyle w:val="TableLeft"/>
              <w:keepNext/>
              <w:keepLines/>
              <w:rPr>
                <w:rFonts w:ascii="Arial Narrow" w:hAnsi="Arial Narrow"/>
                <w:szCs w:val="20"/>
              </w:rPr>
            </w:pPr>
            <w:r w:rsidRPr="00F86117">
              <w:rPr>
                <w:rFonts w:ascii="Arial Narrow" w:hAnsi="Arial Narrow"/>
                <w:szCs w:val="20"/>
              </w:rPr>
              <w:t>Median months OS</w:t>
            </w:r>
          </w:p>
        </w:tc>
        <w:tc>
          <w:tcPr>
            <w:tcW w:w="637" w:type="pct"/>
          </w:tcPr>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NR (28.2, NE)</w:t>
            </w:r>
          </w:p>
        </w:tc>
        <w:tc>
          <w:tcPr>
            <w:tcW w:w="637" w:type="pct"/>
          </w:tcPr>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26.0 (22.1, NE)</w:t>
            </w:r>
          </w:p>
        </w:tc>
        <w:tc>
          <w:tcPr>
            <w:tcW w:w="827" w:type="pct"/>
          </w:tcPr>
          <w:p w:rsidR="000D1298" w:rsidRPr="00F86117" w:rsidRDefault="000D1298" w:rsidP="00AD4D26">
            <w:pPr>
              <w:pStyle w:val="TableLeft"/>
              <w:keepNext/>
              <w:keepLines/>
              <w:jc w:val="center"/>
              <w:rPr>
                <w:rFonts w:ascii="Arial Narrow" w:hAnsi="Arial Narrow"/>
                <w:szCs w:val="20"/>
              </w:rPr>
            </w:pPr>
            <w:r w:rsidRPr="00F86117">
              <w:rPr>
                <w:rFonts w:ascii="Arial Narrow" w:hAnsi="Arial Narrow"/>
                <w:szCs w:val="20"/>
              </w:rPr>
              <w:t>NE</w:t>
            </w:r>
          </w:p>
        </w:tc>
        <w:tc>
          <w:tcPr>
            <w:tcW w:w="1604" w:type="pct"/>
            <w:gridSpan w:val="2"/>
          </w:tcPr>
          <w:p w:rsidR="000D1298" w:rsidRPr="00F86117" w:rsidRDefault="000D1298" w:rsidP="00AD4D26">
            <w:pPr>
              <w:pStyle w:val="TableLeft"/>
              <w:keepNext/>
              <w:keepLines/>
              <w:jc w:val="center"/>
              <w:rPr>
                <w:rFonts w:ascii="Arial Narrow" w:eastAsia="OTNEJMScalaSansLF" w:hAnsi="Arial Narrow"/>
                <w:b/>
                <w:szCs w:val="20"/>
              </w:rPr>
            </w:pPr>
            <w:r w:rsidRPr="00F86117">
              <w:rPr>
                <w:rFonts w:ascii="Arial Narrow" w:eastAsia="OTNEJMScalaSansLF" w:hAnsi="Arial Narrow"/>
                <w:b/>
                <w:szCs w:val="20"/>
              </w:rPr>
              <w:t>0.63 (0.44–0.89)***</w:t>
            </w:r>
          </w:p>
          <w:p w:rsidR="000D1298" w:rsidRPr="00F86117" w:rsidRDefault="000D1298" w:rsidP="00AD4D26">
            <w:pPr>
              <w:pStyle w:val="TableLeft"/>
              <w:keepNext/>
              <w:keepLines/>
              <w:jc w:val="center"/>
              <w:rPr>
                <w:rFonts w:ascii="Arial Narrow" w:eastAsia="OTNEJMScalaSansLF" w:hAnsi="Arial Narrow"/>
                <w:szCs w:val="20"/>
              </w:rPr>
            </w:pPr>
            <w:r w:rsidRPr="00F86117">
              <w:rPr>
                <w:rFonts w:ascii="Arial Narrow" w:eastAsia="OTNEJMScalaSansLF" w:hAnsi="Arial Narrow"/>
                <w:b/>
                <w:szCs w:val="20"/>
              </w:rPr>
              <w:t>P&lt;0.001</w:t>
            </w:r>
          </w:p>
        </w:tc>
      </w:tr>
      <w:tr w:rsidR="005F29F3" w:rsidRPr="00F86117" w:rsidTr="009903D2">
        <w:tc>
          <w:tcPr>
            <w:tcW w:w="3396" w:type="pct"/>
            <w:gridSpan w:val="5"/>
          </w:tcPr>
          <w:p w:rsidR="005F29F3" w:rsidRPr="00F86117" w:rsidRDefault="005F29F3" w:rsidP="00AD4D26">
            <w:pPr>
              <w:pStyle w:val="TableLeft"/>
              <w:keepNext/>
              <w:keepLines/>
              <w:rPr>
                <w:rStyle w:val="SmallBold"/>
                <w:rFonts w:ascii="Arial Narrow" w:hAnsi="Arial Narrow"/>
                <w:szCs w:val="20"/>
              </w:rPr>
            </w:pPr>
            <w:r w:rsidRPr="00F86117">
              <w:rPr>
                <w:rStyle w:val="SmallBold"/>
                <w:rFonts w:ascii="Arial Narrow" w:hAnsi="Arial Narrow"/>
                <w:szCs w:val="20"/>
              </w:rPr>
              <w:t>Indirect estimate of relative treatment effect</w:t>
            </w:r>
          </w:p>
        </w:tc>
        <w:tc>
          <w:tcPr>
            <w:tcW w:w="1604" w:type="pct"/>
            <w:gridSpan w:val="2"/>
          </w:tcPr>
          <w:p w:rsidR="005F29F3" w:rsidRPr="00F86117" w:rsidRDefault="005F29F3" w:rsidP="00AD4D26">
            <w:pPr>
              <w:pStyle w:val="TableLeft"/>
              <w:keepNext/>
              <w:keepLines/>
              <w:jc w:val="center"/>
              <w:rPr>
                <w:rStyle w:val="SmallBold"/>
                <w:rFonts w:ascii="Arial Narrow" w:hAnsi="Arial Narrow"/>
                <w:b w:val="0"/>
                <w:szCs w:val="20"/>
              </w:rPr>
            </w:pPr>
            <w:r w:rsidRPr="00F86117">
              <w:rPr>
                <w:rStyle w:val="SmallBold"/>
                <w:rFonts w:ascii="Arial Narrow" w:hAnsi="Arial Narrow"/>
                <w:b w:val="0"/>
                <w:szCs w:val="20"/>
              </w:rPr>
              <w:t>1.13</w:t>
            </w:r>
            <w:r w:rsidR="00406BD5" w:rsidRPr="00F86117">
              <w:rPr>
                <w:rStyle w:val="SmallBold"/>
                <w:rFonts w:ascii="Arial Narrow" w:hAnsi="Arial Narrow"/>
                <w:b w:val="0"/>
                <w:szCs w:val="20"/>
              </w:rPr>
              <w:t xml:space="preserve"> </w:t>
            </w:r>
            <w:r w:rsidRPr="00F86117">
              <w:rPr>
                <w:rStyle w:val="SmallBold"/>
                <w:rFonts w:ascii="Arial Narrow" w:hAnsi="Arial Narrow"/>
                <w:b w:val="0"/>
                <w:szCs w:val="20"/>
              </w:rPr>
              <w:t>(0.80, 1.56)</w:t>
            </w:r>
          </w:p>
        </w:tc>
      </w:tr>
      <w:tr w:rsidR="00BB433C" w:rsidRPr="00F86117" w:rsidTr="009903D2">
        <w:tc>
          <w:tcPr>
            <w:tcW w:w="1295" w:type="pct"/>
            <w:gridSpan w:val="2"/>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ORR</w:t>
            </w:r>
          </w:p>
        </w:tc>
        <w:tc>
          <w:tcPr>
            <w:tcW w:w="637" w:type="pct"/>
            <w:vAlign w:val="center"/>
          </w:tcPr>
          <w:p w:rsidR="00BB433C" w:rsidRPr="00F86117" w:rsidRDefault="00BB433C" w:rsidP="00AD4D26">
            <w:pPr>
              <w:pStyle w:val="Tabletext"/>
              <w:keepNext/>
              <w:keepLines/>
              <w:jc w:val="center"/>
              <w:rPr>
                <w:b/>
                <w:iCs/>
                <w:szCs w:val="20"/>
              </w:rPr>
            </w:pPr>
            <w:r w:rsidRPr="00F86117">
              <w:rPr>
                <w:b/>
                <w:iCs/>
                <w:szCs w:val="20"/>
              </w:rPr>
              <w:t>Proposed medicine</w:t>
            </w:r>
          </w:p>
          <w:p w:rsidR="00BB433C" w:rsidRPr="00F86117" w:rsidRDefault="00BB433C" w:rsidP="00AD4D26">
            <w:pPr>
              <w:pStyle w:val="TableLeft"/>
              <w:keepNext/>
              <w:keepLines/>
              <w:jc w:val="center"/>
              <w:rPr>
                <w:rStyle w:val="SmallBold"/>
                <w:rFonts w:ascii="Arial Narrow" w:hAnsi="Arial Narrow"/>
                <w:szCs w:val="20"/>
              </w:rPr>
            </w:pPr>
            <w:proofErr w:type="gramStart"/>
            <w:r w:rsidRPr="00F86117">
              <w:rPr>
                <w:rFonts w:ascii="Arial Narrow" w:hAnsi="Arial Narrow"/>
                <w:b/>
                <w:iCs/>
                <w:szCs w:val="20"/>
              </w:rPr>
              <w:t>n/N</w:t>
            </w:r>
            <w:proofErr w:type="gramEnd"/>
            <w:r w:rsidRPr="00F86117">
              <w:rPr>
                <w:rFonts w:ascii="Arial Narrow" w:hAnsi="Arial Narrow"/>
                <w:b/>
                <w:iCs/>
                <w:szCs w:val="20"/>
              </w:rPr>
              <w:t xml:space="preserve"> (%)</w:t>
            </w:r>
          </w:p>
        </w:tc>
        <w:tc>
          <w:tcPr>
            <w:tcW w:w="637" w:type="pct"/>
            <w:vAlign w:val="center"/>
          </w:tcPr>
          <w:p w:rsidR="00BB433C" w:rsidRPr="00F86117" w:rsidRDefault="00BB433C" w:rsidP="00AD4D26">
            <w:pPr>
              <w:pStyle w:val="Tabletext"/>
              <w:keepNext/>
              <w:keepLines/>
              <w:jc w:val="center"/>
              <w:rPr>
                <w:b/>
                <w:szCs w:val="20"/>
              </w:rPr>
            </w:pPr>
            <w:r w:rsidRPr="00F86117">
              <w:rPr>
                <w:b/>
                <w:szCs w:val="20"/>
              </w:rPr>
              <w:t>Common reference</w:t>
            </w:r>
          </w:p>
          <w:p w:rsidR="00BB433C" w:rsidRPr="00F86117" w:rsidRDefault="00BB433C" w:rsidP="00AD4D26">
            <w:pPr>
              <w:pStyle w:val="TableLeft"/>
              <w:keepNext/>
              <w:keepLines/>
              <w:jc w:val="center"/>
              <w:rPr>
                <w:rStyle w:val="SmallBold"/>
                <w:rFonts w:ascii="Arial Narrow" w:hAnsi="Arial Narrow"/>
                <w:szCs w:val="20"/>
              </w:rPr>
            </w:pPr>
            <w:proofErr w:type="gramStart"/>
            <w:r w:rsidRPr="00F86117">
              <w:rPr>
                <w:rFonts w:ascii="Arial Narrow" w:hAnsi="Arial Narrow"/>
                <w:b/>
                <w:szCs w:val="20"/>
              </w:rPr>
              <w:t>n/N</w:t>
            </w:r>
            <w:proofErr w:type="gramEnd"/>
            <w:r w:rsidRPr="00F86117">
              <w:rPr>
                <w:rFonts w:ascii="Arial Narrow" w:hAnsi="Arial Narrow"/>
                <w:b/>
                <w:szCs w:val="20"/>
              </w:rPr>
              <w:t xml:space="preserve"> (%)</w:t>
            </w:r>
          </w:p>
        </w:tc>
        <w:tc>
          <w:tcPr>
            <w:tcW w:w="827" w:type="pct"/>
          </w:tcPr>
          <w:p w:rsidR="00BB433C" w:rsidRPr="00F86117" w:rsidRDefault="00BB433C"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Absolute difference</w:t>
            </w:r>
          </w:p>
        </w:tc>
        <w:tc>
          <w:tcPr>
            <w:tcW w:w="707" w:type="pct"/>
          </w:tcPr>
          <w:p w:rsidR="00BB433C" w:rsidRPr="00F86117" w:rsidRDefault="00BB433C"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OR (95% CI)</w:t>
            </w:r>
          </w:p>
          <w:p w:rsidR="00BB433C" w:rsidRPr="00F86117" w:rsidRDefault="00BB433C" w:rsidP="00AD4D26">
            <w:pPr>
              <w:pStyle w:val="TableLeft"/>
              <w:keepNext/>
              <w:keepLines/>
              <w:jc w:val="center"/>
              <w:rPr>
                <w:rStyle w:val="SmallBold"/>
                <w:rFonts w:ascii="Arial Narrow" w:hAnsi="Arial Narrow"/>
                <w:szCs w:val="20"/>
              </w:rPr>
            </w:pPr>
          </w:p>
        </w:tc>
        <w:tc>
          <w:tcPr>
            <w:tcW w:w="897" w:type="pct"/>
          </w:tcPr>
          <w:p w:rsidR="00BB433C" w:rsidRPr="00F86117" w:rsidRDefault="00BB433C"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RR (95% CI)</w:t>
            </w:r>
          </w:p>
        </w:tc>
      </w:tr>
      <w:tr w:rsidR="00BB433C" w:rsidRPr="00F86117" w:rsidTr="009903D2">
        <w:trPr>
          <w:trHeight w:val="469"/>
        </w:trPr>
        <w:tc>
          <w:tcPr>
            <w:tcW w:w="1295" w:type="pct"/>
            <w:gridSpan w:val="2"/>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CABOSUN</w:t>
            </w:r>
          </w:p>
        </w:tc>
        <w:tc>
          <w:tcPr>
            <w:tcW w:w="637" w:type="pct"/>
            <w:vAlign w:val="center"/>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16/79 (20.0)</w:t>
            </w:r>
          </w:p>
        </w:tc>
        <w:tc>
          <w:tcPr>
            <w:tcW w:w="637" w:type="pct"/>
            <w:vAlign w:val="center"/>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7/78 (9.0)</w:t>
            </w:r>
          </w:p>
        </w:tc>
        <w:tc>
          <w:tcPr>
            <w:tcW w:w="827" w:type="pct"/>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11%</w:t>
            </w:r>
          </w:p>
        </w:tc>
        <w:tc>
          <w:tcPr>
            <w:tcW w:w="707" w:type="pct"/>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2.5760</w:t>
            </w:r>
          </w:p>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(0.9955, 6.6658)</w:t>
            </w:r>
          </w:p>
        </w:tc>
        <w:tc>
          <w:tcPr>
            <w:tcW w:w="897" w:type="pct"/>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2.2568</w:t>
            </w:r>
          </w:p>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(0.9828, 5.1821)</w:t>
            </w:r>
          </w:p>
        </w:tc>
      </w:tr>
      <w:tr w:rsidR="00BB433C" w:rsidRPr="00F86117" w:rsidTr="009903D2">
        <w:trPr>
          <w:trHeight w:val="469"/>
        </w:trPr>
        <w:tc>
          <w:tcPr>
            <w:tcW w:w="1295" w:type="pct"/>
            <w:gridSpan w:val="2"/>
          </w:tcPr>
          <w:p w:rsidR="00BB433C" w:rsidRPr="00F86117" w:rsidRDefault="00BB433C" w:rsidP="00AD4D26">
            <w:pPr>
              <w:pStyle w:val="TableLeft"/>
              <w:keepNext/>
              <w:keepLines/>
              <w:rPr>
                <w:rFonts w:ascii="Arial Narrow" w:hAnsi="Arial Narrow"/>
                <w:szCs w:val="20"/>
              </w:rPr>
            </w:pPr>
            <w:r w:rsidRPr="00F86117">
              <w:rPr>
                <w:rFonts w:ascii="Arial Narrow" w:hAnsi="Arial Narrow"/>
                <w:szCs w:val="20"/>
              </w:rPr>
              <w:t>CheckMate214</w:t>
            </w:r>
          </w:p>
        </w:tc>
        <w:tc>
          <w:tcPr>
            <w:tcW w:w="637" w:type="pct"/>
            <w:vAlign w:val="center"/>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177/425 (42.0)</w:t>
            </w:r>
          </w:p>
        </w:tc>
        <w:tc>
          <w:tcPr>
            <w:tcW w:w="637" w:type="pct"/>
            <w:vAlign w:val="center"/>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112/422 (27.0)</w:t>
            </w:r>
          </w:p>
        </w:tc>
        <w:tc>
          <w:tcPr>
            <w:tcW w:w="827" w:type="pct"/>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15%</w:t>
            </w:r>
          </w:p>
        </w:tc>
        <w:tc>
          <w:tcPr>
            <w:tcW w:w="707" w:type="pct"/>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1.9754</w:t>
            </w:r>
          </w:p>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(1.4787, 2.6391)</w:t>
            </w:r>
          </w:p>
        </w:tc>
        <w:tc>
          <w:tcPr>
            <w:tcW w:w="897" w:type="pct"/>
          </w:tcPr>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1.5692</w:t>
            </w:r>
          </w:p>
          <w:p w:rsidR="00BB433C" w:rsidRPr="00F86117" w:rsidRDefault="00BB433C" w:rsidP="00AD4D26">
            <w:pPr>
              <w:pStyle w:val="TableLeft"/>
              <w:keepNext/>
              <w:keepLines/>
              <w:jc w:val="center"/>
              <w:rPr>
                <w:rFonts w:ascii="Arial Narrow" w:hAnsi="Arial Narrow"/>
                <w:szCs w:val="20"/>
              </w:rPr>
            </w:pPr>
            <w:r w:rsidRPr="00F86117">
              <w:rPr>
                <w:rFonts w:ascii="Arial Narrow" w:hAnsi="Arial Narrow"/>
                <w:szCs w:val="20"/>
              </w:rPr>
              <w:t>(1.2917, 1.9063)</w:t>
            </w:r>
          </w:p>
        </w:tc>
      </w:tr>
      <w:tr w:rsidR="00BB433C" w:rsidRPr="00F86117" w:rsidTr="009903D2">
        <w:tc>
          <w:tcPr>
            <w:tcW w:w="3396" w:type="pct"/>
            <w:gridSpan w:val="5"/>
          </w:tcPr>
          <w:p w:rsidR="00BB433C" w:rsidRPr="00F86117" w:rsidRDefault="00BB433C" w:rsidP="00AD4D26">
            <w:pPr>
              <w:pStyle w:val="TableLeft"/>
              <w:keepNext/>
              <w:keepLines/>
              <w:rPr>
                <w:rStyle w:val="SmallBold"/>
                <w:rFonts w:ascii="Arial Narrow" w:hAnsi="Arial Narrow"/>
                <w:szCs w:val="20"/>
              </w:rPr>
            </w:pPr>
            <w:r w:rsidRPr="00F86117">
              <w:rPr>
                <w:rStyle w:val="SmallBold"/>
                <w:rFonts w:ascii="Arial Narrow" w:hAnsi="Arial Narrow"/>
                <w:szCs w:val="20"/>
              </w:rPr>
              <w:t>Indirect estimate of relative treatment effect</w:t>
            </w:r>
          </w:p>
        </w:tc>
        <w:tc>
          <w:tcPr>
            <w:tcW w:w="707" w:type="pct"/>
          </w:tcPr>
          <w:p w:rsidR="00BB433C" w:rsidRPr="00F86117" w:rsidRDefault="00BB433C" w:rsidP="00AD4D26">
            <w:pPr>
              <w:pStyle w:val="TableLeft"/>
              <w:keepNext/>
              <w:keepLines/>
              <w:jc w:val="center"/>
              <w:rPr>
                <w:rStyle w:val="SmallBold"/>
                <w:rFonts w:ascii="Arial Narrow" w:hAnsi="Arial Narrow"/>
                <w:b w:val="0"/>
                <w:szCs w:val="20"/>
              </w:rPr>
            </w:pPr>
            <w:r w:rsidRPr="00F86117">
              <w:rPr>
                <w:rStyle w:val="SmallBold"/>
                <w:rFonts w:ascii="Arial Narrow" w:hAnsi="Arial Narrow"/>
                <w:b w:val="0"/>
                <w:szCs w:val="20"/>
              </w:rPr>
              <w:t>1.304</w:t>
            </w:r>
          </w:p>
          <w:p w:rsidR="00BB433C" w:rsidRPr="00F86117" w:rsidRDefault="00BB433C" w:rsidP="00AD4D26">
            <w:pPr>
              <w:pStyle w:val="TableLeft"/>
              <w:keepNext/>
              <w:keepLines/>
              <w:jc w:val="center"/>
              <w:rPr>
                <w:rStyle w:val="SmallBold"/>
                <w:rFonts w:ascii="Arial Narrow" w:hAnsi="Arial Narrow"/>
                <w:b w:val="0"/>
                <w:szCs w:val="20"/>
              </w:rPr>
            </w:pPr>
            <w:r w:rsidRPr="00F86117">
              <w:rPr>
                <w:rStyle w:val="SmallBold"/>
                <w:rFonts w:ascii="Arial Narrow" w:hAnsi="Arial Narrow"/>
                <w:b w:val="0"/>
                <w:szCs w:val="20"/>
              </w:rPr>
              <w:t>(0.483, 3.523)</w:t>
            </w:r>
          </w:p>
        </w:tc>
        <w:tc>
          <w:tcPr>
            <w:tcW w:w="897" w:type="pct"/>
          </w:tcPr>
          <w:p w:rsidR="00BB433C" w:rsidRPr="00F86117" w:rsidRDefault="00BB433C" w:rsidP="00AD4D26">
            <w:pPr>
              <w:pStyle w:val="TableLeft"/>
              <w:keepNext/>
              <w:keepLines/>
              <w:jc w:val="center"/>
              <w:rPr>
                <w:rStyle w:val="SmallBold"/>
                <w:rFonts w:ascii="Arial Narrow" w:hAnsi="Arial Narrow"/>
                <w:b w:val="0"/>
                <w:szCs w:val="20"/>
              </w:rPr>
            </w:pPr>
            <w:r w:rsidRPr="00F86117">
              <w:rPr>
                <w:rStyle w:val="SmallBold"/>
                <w:rFonts w:ascii="Arial Narrow" w:hAnsi="Arial Narrow"/>
                <w:b w:val="0"/>
                <w:szCs w:val="20"/>
              </w:rPr>
              <w:t>1.438</w:t>
            </w:r>
          </w:p>
          <w:p w:rsidR="00BB433C" w:rsidRPr="00F86117" w:rsidRDefault="00BB433C" w:rsidP="00AD4D26">
            <w:pPr>
              <w:pStyle w:val="TableLeft"/>
              <w:keepNext/>
              <w:keepLines/>
              <w:jc w:val="center"/>
              <w:rPr>
                <w:rStyle w:val="SmallBold"/>
                <w:rFonts w:ascii="Arial Narrow" w:hAnsi="Arial Narrow"/>
                <w:b w:val="0"/>
                <w:szCs w:val="20"/>
              </w:rPr>
            </w:pPr>
            <w:r w:rsidRPr="00F86117">
              <w:rPr>
                <w:rStyle w:val="SmallBold"/>
                <w:rFonts w:ascii="Arial Narrow" w:hAnsi="Arial Narrow"/>
                <w:b w:val="0"/>
                <w:szCs w:val="20"/>
              </w:rPr>
              <w:t>(0.612, 3.377)</w:t>
            </w:r>
          </w:p>
        </w:tc>
      </w:tr>
    </w:tbl>
    <w:p w:rsidR="00BB433C" w:rsidRPr="00F86117" w:rsidRDefault="00BB433C" w:rsidP="00AD4D26">
      <w:pPr>
        <w:pStyle w:val="TableFooter"/>
        <w:keepNext/>
        <w:keepLines/>
        <w:widowControl/>
      </w:pPr>
      <w:r w:rsidRPr="00F86117">
        <w:t>Abbreviations: CI= confidence interval; HR= hazard ratio; n = number of participants with event; N = total participants in group; NE = not estimable; NR = not reported; PFS = progression free survival; OR = odd ratio; ORR = objective response rate; OS = overall survival; RR = relative risk</w:t>
      </w:r>
    </w:p>
    <w:p w:rsidR="00BB433C" w:rsidRPr="00F86117" w:rsidRDefault="00BB433C" w:rsidP="00AD4D26">
      <w:pPr>
        <w:pStyle w:val="TableFooter"/>
        <w:keepNext/>
        <w:keepLines/>
        <w:widowControl/>
      </w:pPr>
      <w:r w:rsidRPr="00F86117">
        <w:t>Source: Table 2.43, p.145; Table 2.44, p.146; Table 2.45, p.146 of the submission; and developed for the Commentary</w:t>
      </w:r>
    </w:p>
    <w:p w:rsidR="00BB433C" w:rsidRPr="00F86117" w:rsidRDefault="00BB433C" w:rsidP="00AD4D26">
      <w:pPr>
        <w:pStyle w:val="TableFooter"/>
        <w:keepNext/>
        <w:keepLines/>
        <w:widowControl/>
      </w:pPr>
      <w:r w:rsidRPr="00F86117">
        <w:t>Notes: * 99.1% CI for CheckMate214</w:t>
      </w:r>
    </w:p>
    <w:p w:rsidR="00BB433C" w:rsidRPr="00F86117" w:rsidRDefault="00BB433C" w:rsidP="00AD4D26">
      <w:pPr>
        <w:pStyle w:val="TableFooter"/>
        <w:keepNext/>
        <w:keepLines/>
        <w:widowControl/>
      </w:pPr>
      <w:r w:rsidRPr="00F86117">
        <w:t xml:space="preserve">** The between-group difference did not meet the </w:t>
      </w:r>
      <w:proofErr w:type="spellStart"/>
      <w:r w:rsidRPr="00F86117">
        <w:t>prespecified</w:t>
      </w:r>
      <w:proofErr w:type="spellEnd"/>
      <w:r w:rsidRPr="00F86117">
        <w:t xml:space="preserve"> threshold (P = 0.009) for statistical significance.</w:t>
      </w:r>
    </w:p>
    <w:p w:rsidR="00BB433C" w:rsidRPr="00F86117" w:rsidRDefault="00BB433C" w:rsidP="00AD4D26">
      <w:pPr>
        <w:pStyle w:val="TableFooter"/>
        <w:keepNext/>
        <w:keepLines/>
        <w:widowControl/>
      </w:pPr>
      <w:r w:rsidRPr="00F86117">
        <w:t>*** 99.8% CI for CheckMate214</w:t>
      </w:r>
    </w:p>
    <w:p w:rsidR="00BB433C" w:rsidRPr="00F86117" w:rsidRDefault="00BB433C" w:rsidP="00AD4D26">
      <w:pPr>
        <w:pStyle w:val="Tablenotes1"/>
        <w:keepNext/>
        <w:keepLines/>
      </w:pPr>
      <w:r w:rsidRPr="00F86117">
        <w:t>Statistical differences noted in bold.</w:t>
      </w:r>
    </w:p>
    <w:p w:rsidR="00584523" w:rsidRPr="00F86117" w:rsidRDefault="00BB433C" w:rsidP="0061386A">
      <w:pPr>
        <w:pStyle w:val="ListParagraph"/>
        <w:widowControl/>
        <w:numPr>
          <w:ilvl w:val="1"/>
          <w:numId w:val="2"/>
        </w:numPr>
        <w:shd w:val="clear" w:color="auto" w:fill="FFFFFF" w:themeFill="background1"/>
        <w:spacing w:before="120"/>
        <w:rPr>
          <w:iCs/>
        </w:rPr>
      </w:pPr>
      <w:r w:rsidRPr="00F86117">
        <w:t xml:space="preserve">There are unlikely to be sufficient differences between </w:t>
      </w:r>
      <w:r w:rsidR="00CC2F7C" w:rsidRPr="00F86117">
        <w:t>CABOSUN</w:t>
      </w:r>
      <w:r w:rsidRPr="00F86117">
        <w:t xml:space="preserve"> and </w:t>
      </w:r>
      <w:r w:rsidR="001C6CF3" w:rsidRPr="00F86117">
        <w:t xml:space="preserve">the </w:t>
      </w:r>
      <w:r w:rsidRPr="00F86117">
        <w:t>Australia</w:t>
      </w:r>
      <w:r w:rsidR="001C6CF3" w:rsidRPr="00F86117">
        <w:t>n</w:t>
      </w:r>
      <w:r w:rsidRPr="00F86117">
        <w:t xml:space="preserve"> treatment setting that would result in a difference in the treatment effect</w:t>
      </w:r>
      <w:r w:rsidR="005F29F3" w:rsidRPr="00F86117">
        <w:t xml:space="preserve">. </w:t>
      </w:r>
      <w:r w:rsidR="00CC2F7C" w:rsidRPr="00F86117">
        <w:t>The trial included several medicines for post-progression treatment that are not available for RCC on the PBS. The direction of the potential bias is unclear.</w:t>
      </w:r>
      <w:r w:rsidR="00584523" w:rsidRPr="00F86117">
        <w:t xml:space="preserve"> </w:t>
      </w:r>
      <w:r w:rsidR="00584523" w:rsidRPr="00F86117">
        <w:rPr>
          <w:iCs/>
        </w:rPr>
        <w:t xml:space="preserve">The ESC considered that, in general, the clinical trial data </w:t>
      </w:r>
      <w:r w:rsidR="0059349D" w:rsidRPr="00F86117">
        <w:rPr>
          <w:iCs/>
        </w:rPr>
        <w:t xml:space="preserve">are </w:t>
      </w:r>
      <w:r w:rsidR="00584523" w:rsidRPr="00F86117">
        <w:rPr>
          <w:iCs/>
        </w:rPr>
        <w:t xml:space="preserve">applicable to the proposed PBS population, however the subsequent treatments </w:t>
      </w:r>
      <w:r w:rsidR="00DA700A" w:rsidRPr="00F86117">
        <w:rPr>
          <w:iCs/>
        </w:rPr>
        <w:t xml:space="preserve">used in CABOSUN </w:t>
      </w:r>
      <w:r w:rsidR="00584523" w:rsidRPr="00F86117">
        <w:rPr>
          <w:iCs/>
        </w:rPr>
        <w:t xml:space="preserve">do not necessarily reflect those likely to be used in practice. The ESC considered that patients treated with a TKI in first line </w:t>
      </w:r>
      <w:r w:rsidR="00DA700A" w:rsidRPr="00F86117">
        <w:rPr>
          <w:iCs/>
        </w:rPr>
        <w:t xml:space="preserve">treatment of RCC </w:t>
      </w:r>
      <w:r w:rsidR="00584523" w:rsidRPr="00F86117">
        <w:rPr>
          <w:iCs/>
        </w:rPr>
        <w:t xml:space="preserve">are likely to be treated with immunotherapy on progression. </w:t>
      </w:r>
    </w:p>
    <w:p w:rsidR="00BB433C" w:rsidRPr="00F86117" w:rsidRDefault="00BB433C" w:rsidP="0061386A">
      <w:pPr>
        <w:pStyle w:val="Heading2"/>
        <w:widowControl/>
        <w:spacing w:before="120"/>
      </w:pPr>
      <w:bookmarkStart w:id="24" w:name="_Toc371170707"/>
      <w:bookmarkStart w:id="25" w:name="_Toc536002943"/>
      <w:bookmarkStart w:id="26" w:name="_Toc536023495"/>
      <w:r w:rsidRPr="00F86117">
        <w:lastRenderedPageBreak/>
        <w:t>Comparative harms</w:t>
      </w:r>
      <w:bookmarkEnd w:id="24"/>
      <w:bookmarkEnd w:id="25"/>
      <w:bookmarkEnd w:id="26"/>
    </w:p>
    <w:p w:rsidR="00BB433C" w:rsidRPr="00F86117" w:rsidRDefault="00BB433C" w:rsidP="0061386A">
      <w:pPr>
        <w:pStyle w:val="ListParagraph"/>
        <w:widowControl/>
        <w:numPr>
          <w:ilvl w:val="1"/>
          <w:numId w:val="2"/>
        </w:numPr>
        <w:spacing w:before="120"/>
        <w:rPr>
          <w:i/>
        </w:rPr>
      </w:pPr>
      <w:r w:rsidRPr="00F86117">
        <w:t xml:space="preserve">A summary of the key adverse events reported in CABOSUN is provided in Table 10. The occurrence of overall adverse events (AEs) was similar in </w:t>
      </w:r>
      <w:r w:rsidR="00A25652" w:rsidRPr="00F86117">
        <w:t xml:space="preserve">the </w:t>
      </w:r>
      <w:proofErr w:type="spellStart"/>
      <w:r w:rsidRPr="00F86117">
        <w:t>cabozantinib</w:t>
      </w:r>
      <w:proofErr w:type="spellEnd"/>
      <w:r w:rsidRPr="00F86117">
        <w:t xml:space="preserve"> </w:t>
      </w:r>
      <w:r w:rsidR="00A25652" w:rsidRPr="00F86117">
        <w:t xml:space="preserve">arm </w:t>
      </w:r>
      <w:r w:rsidRPr="00F86117">
        <w:t xml:space="preserve">compared to </w:t>
      </w:r>
      <w:proofErr w:type="spellStart"/>
      <w:r w:rsidRPr="00F86117">
        <w:t>sunitinib</w:t>
      </w:r>
      <w:proofErr w:type="spellEnd"/>
      <w:r w:rsidRPr="00F86117">
        <w:t xml:space="preserve">. AEs of potential clinical importance were diarrhoea, hypertension and hypothyroidism (higher in </w:t>
      </w:r>
      <w:proofErr w:type="spellStart"/>
      <w:r w:rsidRPr="00F86117">
        <w:t>cabozantinib</w:t>
      </w:r>
      <w:proofErr w:type="spellEnd"/>
      <w:r w:rsidRPr="00F86117">
        <w:t xml:space="preserve">), and decreased neutrophil count (higher in </w:t>
      </w:r>
      <w:proofErr w:type="spellStart"/>
      <w:r w:rsidRPr="00F86117">
        <w:t>sunitinib</w:t>
      </w:r>
      <w:proofErr w:type="spellEnd"/>
      <w:r w:rsidRPr="00F86117">
        <w:t>), although all occurrences of these AEs were Grade 1-2.</w:t>
      </w:r>
      <w:r w:rsidR="00584523" w:rsidRPr="00F86117">
        <w:t xml:space="preserve"> The ESC considered that decreased neutrophil counts</w:t>
      </w:r>
      <w:r w:rsidR="00597E12" w:rsidRPr="00F86117">
        <w:t>, in the absence of febrile neutropenia,</w:t>
      </w:r>
      <w:r w:rsidR="00584523" w:rsidRPr="00F86117">
        <w:t xml:space="preserve"> were unlikely to have a significant clinical impact on patients.</w:t>
      </w:r>
    </w:p>
    <w:p w:rsidR="00BB433C" w:rsidRPr="00F86117" w:rsidRDefault="00BB433C" w:rsidP="00AD4D26">
      <w:pPr>
        <w:keepNext/>
        <w:keepLines/>
        <w:widowControl/>
        <w:rPr>
          <w:rStyle w:val="CommentReference"/>
          <w:b w:val="0"/>
        </w:rPr>
      </w:pPr>
      <w:r w:rsidRPr="00F86117">
        <w:rPr>
          <w:rStyle w:val="CommentReference"/>
        </w:rPr>
        <w:t>Table 10: Summa</w:t>
      </w:r>
      <w:r w:rsidR="00D325B9" w:rsidRPr="00F86117">
        <w:rPr>
          <w:rStyle w:val="CommentReference"/>
        </w:rPr>
        <w:t>ry of key adverse events in CABO</w:t>
      </w:r>
      <w:r w:rsidRPr="00F86117">
        <w:rPr>
          <w:rStyle w:val="CommentReference"/>
        </w:rPr>
        <w:t>SUN</w:t>
      </w:r>
    </w:p>
    <w:tbl>
      <w:tblPr>
        <w:tblStyle w:val="TableGrid"/>
        <w:tblW w:w="5000" w:type="pct"/>
        <w:tblLook w:val="04A0" w:firstRow="1" w:lastRow="0" w:firstColumn="1" w:lastColumn="0" w:noHBand="0" w:noVBand="1"/>
        <w:tblCaption w:val="Table 10: Summary of key adverse events in CABOSUN"/>
      </w:tblPr>
      <w:tblGrid>
        <w:gridCol w:w="3428"/>
        <w:gridCol w:w="1273"/>
        <w:gridCol w:w="1966"/>
        <w:gridCol w:w="2350"/>
      </w:tblGrid>
      <w:tr w:rsidR="00BB433C" w:rsidRPr="00F86117" w:rsidTr="0059349D">
        <w:trPr>
          <w:tblHeader/>
        </w:trPr>
        <w:tc>
          <w:tcPr>
            <w:tcW w:w="1901" w:type="pct"/>
            <w:vMerge w:val="restart"/>
          </w:tcPr>
          <w:p w:rsidR="00BB433C" w:rsidRPr="00F86117" w:rsidRDefault="00BB433C" w:rsidP="00AD4D26">
            <w:pPr>
              <w:pStyle w:val="TableLeft"/>
              <w:rPr>
                <w:rFonts w:ascii="Arial Narrow" w:hAnsi="Arial Narrow"/>
                <w:b/>
                <w:szCs w:val="20"/>
              </w:rPr>
            </w:pPr>
            <w:proofErr w:type="gramStart"/>
            <w:r w:rsidRPr="00F86117">
              <w:rPr>
                <w:rFonts w:ascii="Arial Narrow" w:hAnsi="Arial Narrow"/>
                <w:b/>
                <w:szCs w:val="20"/>
              </w:rPr>
              <w:t>n</w:t>
            </w:r>
            <w:proofErr w:type="gramEnd"/>
            <w:r w:rsidRPr="00F86117">
              <w:rPr>
                <w:rFonts w:ascii="Arial Narrow" w:hAnsi="Arial Narrow"/>
                <w:b/>
                <w:szCs w:val="20"/>
              </w:rPr>
              <w:t xml:space="preserve"> (%)</w:t>
            </w:r>
          </w:p>
        </w:tc>
        <w:tc>
          <w:tcPr>
            <w:tcW w:w="706" w:type="pct"/>
            <w:tcBorders>
              <w:bottom w:val="nil"/>
            </w:tcBorders>
          </w:tcPr>
          <w:p w:rsidR="00BB433C" w:rsidRPr="00F86117" w:rsidRDefault="00BB433C" w:rsidP="00AD4D26">
            <w:pPr>
              <w:pStyle w:val="TableLeft"/>
              <w:jc w:val="center"/>
              <w:rPr>
                <w:rStyle w:val="SmallBold"/>
                <w:rFonts w:ascii="Arial Narrow" w:hAnsi="Arial Narrow"/>
                <w:szCs w:val="20"/>
              </w:rPr>
            </w:pPr>
            <w:proofErr w:type="spellStart"/>
            <w:r w:rsidRPr="00F86117">
              <w:rPr>
                <w:rStyle w:val="SmallBold"/>
                <w:rFonts w:ascii="Arial Narrow" w:hAnsi="Arial Narrow"/>
                <w:szCs w:val="20"/>
              </w:rPr>
              <w:t>Cabozantinib</w:t>
            </w:r>
            <w:proofErr w:type="spellEnd"/>
          </w:p>
          <w:p w:rsidR="00BB433C" w:rsidRPr="00F86117" w:rsidRDefault="00BB433C" w:rsidP="00AD4D26">
            <w:pPr>
              <w:pStyle w:val="TableLeft"/>
              <w:jc w:val="center"/>
              <w:rPr>
                <w:rStyle w:val="SmallBold"/>
                <w:rFonts w:ascii="Arial Narrow" w:hAnsi="Arial Narrow"/>
                <w:szCs w:val="20"/>
              </w:rPr>
            </w:pPr>
            <w:proofErr w:type="gramStart"/>
            <w:r w:rsidRPr="00F86117">
              <w:rPr>
                <w:rStyle w:val="SmallBold"/>
                <w:rFonts w:ascii="Arial Narrow" w:hAnsi="Arial Narrow"/>
                <w:szCs w:val="20"/>
              </w:rPr>
              <w:t>n</w:t>
            </w:r>
            <w:proofErr w:type="gramEnd"/>
            <w:r w:rsidRPr="00F86117">
              <w:rPr>
                <w:rStyle w:val="SmallBold"/>
                <w:rFonts w:ascii="Arial Narrow" w:hAnsi="Arial Narrow"/>
                <w:szCs w:val="20"/>
              </w:rPr>
              <w:t xml:space="preserve"> (%)</w:t>
            </w:r>
          </w:p>
        </w:tc>
        <w:tc>
          <w:tcPr>
            <w:tcW w:w="1090" w:type="pct"/>
            <w:tcBorders>
              <w:bottom w:val="nil"/>
            </w:tcBorders>
          </w:tcPr>
          <w:p w:rsidR="00BB433C" w:rsidRPr="00F86117" w:rsidRDefault="00BB433C" w:rsidP="00AD4D26">
            <w:pPr>
              <w:pStyle w:val="TableLeft"/>
              <w:jc w:val="center"/>
              <w:rPr>
                <w:rStyle w:val="SmallBold"/>
                <w:rFonts w:ascii="Arial Narrow" w:hAnsi="Arial Narrow"/>
                <w:szCs w:val="20"/>
              </w:rPr>
            </w:pPr>
            <w:proofErr w:type="spellStart"/>
            <w:r w:rsidRPr="00F86117">
              <w:rPr>
                <w:rStyle w:val="SmallBold"/>
                <w:rFonts w:ascii="Arial Narrow" w:hAnsi="Arial Narrow"/>
                <w:szCs w:val="20"/>
              </w:rPr>
              <w:t>Sunitinib</w:t>
            </w:r>
            <w:proofErr w:type="spellEnd"/>
          </w:p>
          <w:p w:rsidR="00BB433C" w:rsidRPr="00F86117" w:rsidRDefault="00BB433C" w:rsidP="00AD4D26">
            <w:pPr>
              <w:pStyle w:val="TableLeft"/>
              <w:jc w:val="center"/>
              <w:rPr>
                <w:rStyle w:val="SmallBold"/>
                <w:rFonts w:ascii="Arial Narrow" w:hAnsi="Arial Narrow"/>
                <w:szCs w:val="20"/>
              </w:rPr>
            </w:pPr>
            <w:proofErr w:type="gramStart"/>
            <w:r w:rsidRPr="00F86117">
              <w:rPr>
                <w:rStyle w:val="SmallBold"/>
                <w:rFonts w:ascii="Arial Narrow" w:hAnsi="Arial Narrow"/>
                <w:szCs w:val="20"/>
              </w:rPr>
              <w:t>n</w:t>
            </w:r>
            <w:proofErr w:type="gramEnd"/>
            <w:r w:rsidRPr="00F86117">
              <w:rPr>
                <w:rStyle w:val="SmallBold"/>
                <w:rFonts w:ascii="Arial Narrow" w:hAnsi="Arial Narrow"/>
                <w:szCs w:val="20"/>
              </w:rPr>
              <w:t xml:space="preserve"> (%)</w:t>
            </w:r>
          </w:p>
        </w:tc>
        <w:tc>
          <w:tcPr>
            <w:tcW w:w="1303" w:type="pct"/>
            <w:vMerge w:val="restart"/>
          </w:tcPr>
          <w:p w:rsidR="00BB433C" w:rsidRPr="00F86117" w:rsidRDefault="00BB433C" w:rsidP="00AD4D26">
            <w:pPr>
              <w:pStyle w:val="TableLeft"/>
              <w:jc w:val="center"/>
              <w:rPr>
                <w:rStyle w:val="SmallBold"/>
                <w:rFonts w:ascii="Arial Narrow" w:hAnsi="Arial Narrow"/>
                <w:szCs w:val="20"/>
              </w:rPr>
            </w:pPr>
            <w:r w:rsidRPr="00F86117">
              <w:rPr>
                <w:rStyle w:val="SmallBold"/>
                <w:rFonts w:ascii="Arial Narrow" w:hAnsi="Arial Narrow"/>
                <w:szCs w:val="20"/>
              </w:rPr>
              <w:t>RD (95% CI)</w:t>
            </w:r>
          </w:p>
        </w:tc>
      </w:tr>
      <w:tr w:rsidR="00BB433C" w:rsidRPr="00F86117" w:rsidTr="0059349D">
        <w:trPr>
          <w:tblHeader/>
        </w:trPr>
        <w:tc>
          <w:tcPr>
            <w:tcW w:w="1901" w:type="pct"/>
            <w:vMerge/>
          </w:tcPr>
          <w:p w:rsidR="00BB433C" w:rsidRPr="00F86117" w:rsidRDefault="00BB433C" w:rsidP="00AD4D26">
            <w:pPr>
              <w:pStyle w:val="TableLeft"/>
              <w:rPr>
                <w:rFonts w:ascii="Arial Narrow" w:hAnsi="Arial Narrow"/>
                <w:szCs w:val="20"/>
              </w:rPr>
            </w:pPr>
          </w:p>
        </w:tc>
        <w:tc>
          <w:tcPr>
            <w:tcW w:w="706" w:type="pct"/>
            <w:tcBorders>
              <w:top w:val="nil"/>
            </w:tcBorders>
          </w:tcPr>
          <w:p w:rsidR="00BB433C" w:rsidRPr="00F86117" w:rsidRDefault="00BB433C" w:rsidP="00AD4D26">
            <w:pPr>
              <w:pStyle w:val="TableLeft"/>
              <w:jc w:val="center"/>
              <w:rPr>
                <w:rStyle w:val="SmallBold"/>
                <w:rFonts w:ascii="Arial Narrow" w:hAnsi="Arial Narrow"/>
                <w:szCs w:val="20"/>
              </w:rPr>
            </w:pPr>
            <w:r w:rsidRPr="00F86117">
              <w:rPr>
                <w:rStyle w:val="SmallBold"/>
                <w:rFonts w:ascii="Arial Narrow" w:hAnsi="Arial Narrow"/>
                <w:szCs w:val="20"/>
              </w:rPr>
              <w:t>N=78</w:t>
            </w:r>
          </w:p>
        </w:tc>
        <w:tc>
          <w:tcPr>
            <w:tcW w:w="1090" w:type="pct"/>
            <w:tcBorders>
              <w:top w:val="nil"/>
            </w:tcBorders>
          </w:tcPr>
          <w:p w:rsidR="00BB433C" w:rsidRPr="00F86117" w:rsidRDefault="00BB433C" w:rsidP="00AD4D26">
            <w:pPr>
              <w:pStyle w:val="TableLeft"/>
              <w:jc w:val="center"/>
              <w:rPr>
                <w:rStyle w:val="SmallBold"/>
                <w:rFonts w:ascii="Arial Narrow" w:hAnsi="Arial Narrow"/>
                <w:szCs w:val="20"/>
              </w:rPr>
            </w:pPr>
            <w:r w:rsidRPr="00F86117">
              <w:rPr>
                <w:rStyle w:val="SmallBold"/>
                <w:rFonts w:ascii="Arial Narrow" w:hAnsi="Arial Narrow"/>
                <w:szCs w:val="20"/>
              </w:rPr>
              <w:t>N=72</w:t>
            </w:r>
          </w:p>
        </w:tc>
        <w:tc>
          <w:tcPr>
            <w:tcW w:w="1303" w:type="pct"/>
            <w:vMerge/>
          </w:tcPr>
          <w:p w:rsidR="00BB433C" w:rsidRPr="00F86117" w:rsidRDefault="00BB433C" w:rsidP="00AD4D26">
            <w:pPr>
              <w:pStyle w:val="TableLeft"/>
              <w:jc w:val="center"/>
              <w:rPr>
                <w:rStyle w:val="SmallBold"/>
                <w:rFonts w:ascii="Arial Narrow" w:hAnsi="Arial Narrow"/>
                <w:szCs w:val="20"/>
              </w:rPr>
            </w:pPr>
          </w:p>
        </w:tc>
      </w:tr>
      <w:tr w:rsidR="00BB433C" w:rsidRPr="00F86117" w:rsidTr="00721310">
        <w:trPr>
          <w:trHeight w:val="180"/>
        </w:trPr>
        <w:tc>
          <w:tcPr>
            <w:tcW w:w="1901" w:type="pct"/>
          </w:tcPr>
          <w:p w:rsidR="00BB433C" w:rsidRPr="00F86117" w:rsidRDefault="00BB433C" w:rsidP="00AD4D26">
            <w:pPr>
              <w:pStyle w:val="TableLeft"/>
              <w:rPr>
                <w:rFonts w:ascii="Arial Narrow" w:hAnsi="Arial Narrow"/>
                <w:szCs w:val="20"/>
              </w:rPr>
            </w:pPr>
            <w:r w:rsidRPr="00F86117">
              <w:rPr>
                <w:rFonts w:ascii="Arial Narrow" w:hAnsi="Arial Narrow"/>
                <w:szCs w:val="20"/>
              </w:rPr>
              <w:t>Any AEs</w:t>
            </w:r>
          </w:p>
        </w:tc>
        <w:tc>
          <w:tcPr>
            <w:tcW w:w="706" w:type="pct"/>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75 (96)</w:t>
            </w:r>
          </w:p>
        </w:tc>
        <w:tc>
          <w:tcPr>
            <w:tcW w:w="1090" w:type="pct"/>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71 (99)</w:t>
            </w:r>
          </w:p>
        </w:tc>
        <w:tc>
          <w:tcPr>
            <w:tcW w:w="1303" w:type="pct"/>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-0.02 (-0.08, 0.03)</w:t>
            </w:r>
          </w:p>
        </w:tc>
      </w:tr>
      <w:tr w:rsidR="00BB433C" w:rsidRPr="00F86117" w:rsidTr="00721310">
        <w:trPr>
          <w:trHeight w:val="180"/>
        </w:trPr>
        <w:tc>
          <w:tcPr>
            <w:tcW w:w="1901" w:type="pct"/>
          </w:tcPr>
          <w:p w:rsidR="00BB433C" w:rsidRPr="00F86117" w:rsidRDefault="00BB433C" w:rsidP="00AD4D26">
            <w:pPr>
              <w:pStyle w:val="TableLeft"/>
              <w:rPr>
                <w:rFonts w:ascii="Arial Narrow" w:hAnsi="Arial Narrow"/>
                <w:szCs w:val="20"/>
              </w:rPr>
            </w:pPr>
            <w:r w:rsidRPr="00F86117">
              <w:rPr>
                <w:rFonts w:ascii="Arial Narrow" w:hAnsi="Arial Narrow"/>
                <w:szCs w:val="20"/>
              </w:rPr>
              <w:t xml:space="preserve">Grade 3-4 </w:t>
            </w:r>
          </w:p>
        </w:tc>
        <w:tc>
          <w:tcPr>
            <w:tcW w:w="706" w:type="pct"/>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53 (68)</w:t>
            </w:r>
          </w:p>
        </w:tc>
        <w:tc>
          <w:tcPr>
            <w:tcW w:w="1090" w:type="pct"/>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47 (65)</w:t>
            </w:r>
          </w:p>
        </w:tc>
        <w:tc>
          <w:tcPr>
            <w:tcW w:w="1303" w:type="pct"/>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0.03 (-0.12, 0.18)</w:t>
            </w:r>
          </w:p>
        </w:tc>
      </w:tr>
      <w:tr w:rsidR="00BB433C" w:rsidRPr="00F86117" w:rsidTr="00721310">
        <w:trPr>
          <w:trHeight w:val="180"/>
        </w:trPr>
        <w:tc>
          <w:tcPr>
            <w:tcW w:w="1901" w:type="pct"/>
          </w:tcPr>
          <w:p w:rsidR="00BB433C" w:rsidRPr="00F86117" w:rsidRDefault="00BB433C" w:rsidP="00AD4D26">
            <w:pPr>
              <w:pStyle w:val="TableLeft"/>
              <w:rPr>
                <w:rFonts w:ascii="Arial Narrow" w:hAnsi="Arial Narrow"/>
                <w:szCs w:val="20"/>
              </w:rPr>
            </w:pPr>
            <w:r w:rsidRPr="00F86117">
              <w:rPr>
                <w:rFonts w:ascii="Arial Narrow" w:hAnsi="Arial Narrow"/>
                <w:szCs w:val="20"/>
              </w:rPr>
              <w:t>SAEs</w:t>
            </w:r>
          </w:p>
        </w:tc>
        <w:tc>
          <w:tcPr>
            <w:tcW w:w="706" w:type="pct"/>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38 (49)</w:t>
            </w:r>
          </w:p>
        </w:tc>
        <w:tc>
          <w:tcPr>
            <w:tcW w:w="1090" w:type="pct"/>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37 (51)</w:t>
            </w:r>
          </w:p>
        </w:tc>
        <w:tc>
          <w:tcPr>
            <w:tcW w:w="1303" w:type="pct"/>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-0.02 (-0.19, 0.13)</w:t>
            </w:r>
          </w:p>
        </w:tc>
      </w:tr>
      <w:tr w:rsidR="00BB433C" w:rsidRPr="00F86117" w:rsidTr="00721310">
        <w:trPr>
          <w:trHeight w:val="180"/>
        </w:trPr>
        <w:tc>
          <w:tcPr>
            <w:tcW w:w="1901" w:type="pct"/>
          </w:tcPr>
          <w:p w:rsidR="00BB433C" w:rsidRPr="00F86117" w:rsidRDefault="00BB433C" w:rsidP="00AD4D26">
            <w:pPr>
              <w:pStyle w:val="TableLeft"/>
              <w:rPr>
                <w:rFonts w:ascii="Arial Narrow" w:hAnsi="Arial Narrow"/>
                <w:szCs w:val="20"/>
              </w:rPr>
            </w:pPr>
            <w:r w:rsidRPr="00F86117">
              <w:rPr>
                <w:rFonts w:ascii="Arial Narrow" w:hAnsi="Arial Narrow"/>
                <w:szCs w:val="20"/>
              </w:rPr>
              <w:t>Discontinuation due to AEs/Complications</w:t>
            </w:r>
          </w:p>
        </w:tc>
        <w:tc>
          <w:tcPr>
            <w:tcW w:w="706" w:type="pct"/>
            <w:vAlign w:val="bottom"/>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16 (21)</w:t>
            </w:r>
          </w:p>
        </w:tc>
        <w:tc>
          <w:tcPr>
            <w:tcW w:w="1090" w:type="pct"/>
            <w:vAlign w:val="bottom"/>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16 (22)</w:t>
            </w:r>
          </w:p>
        </w:tc>
        <w:tc>
          <w:tcPr>
            <w:tcW w:w="1303" w:type="pct"/>
          </w:tcPr>
          <w:p w:rsidR="00BB433C" w:rsidRPr="00F86117" w:rsidRDefault="00BB433C" w:rsidP="00AD4D26">
            <w:pPr>
              <w:pStyle w:val="TableLeft"/>
              <w:jc w:val="center"/>
              <w:rPr>
                <w:rStyle w:val="SmallBold"/>
                <w:rFonts w:ascii="Arial Narrow" w:hAnsi="Arial Narrow"/>
                <w:szCs w:val="20"/>
              </w:rPr>
            </w:pPr>
            <w:r w:rsidRPr="00F86117">
              <w:rPr>
                <w:rFonts w:ascii="Arial Narrow" w:hAnsi="Arial Narrow"/>
                <w:szCs w:val="20"/>
              </w:rPr>
              <w:t>-0.02 (-0.15, 0.11)</w:t>
            </w:r>
          </w:p>
        </w:tc>
      </w:tr>
      <w:tr w:rsidR="00BB433C" w:rsidRPr="00F86117" w:rsidTr="00E450AE">
        <w:trPr>
          <w:trHeight w:val="180"/>
        </w:trPr>
        <w:tc>
          <w:tcPr>
            <w:tcW w:w="5000" w:type="pct"/>
            <w:gridSpan w:val="4"/>
          </w:tcPr>
          <w:p w:rsidR="00BB433C" w:rsidRPr="00F86117" w:rsidRDefault="00BB433C" w:rsidP="00AD4D26">
            <w:pPr>
              <w:pStyle w:val="TableLeft"/>
              <w:rPr>
                <w:rStyle w:val="SmallBold"/>
                <w:rFonts w:ascii="Arial Narrow" w:hAnsi="Arial Narrow"/>
                <w:szCs w:val="20"/>
              </w:rPr>
            </w:pPr>
            <w:r w:rsidRPr="00F86117">
              <w:rPr>
                <w:rStyle w:val="SmallBold"/>
                <w:rFonts w:ascii="Arial Narrow" w:hAnsi="Arial Narrow"/>
                <w:szCs w:val="20"/>
              </w:rPr>
              <w:t>Any grade</w:t>
            </w:r>
          </w:p>
        </w:tc>
      </w:tr>
      <w:tr w:rsidR="00BB433C" w:rsidRPr="00F86117" w:rsidTr="00721310">
        <w:tc>
          <w:tcPr>
            <w:tcW w:w="3697" w:type="pct"/>
            <w:gridSpan w:val="3"/>
            <w:shd w:val="clear" w:color="auto" w:fill="FFFFFF" w:themeFill="background1"/>
          </w:tcPr>
          <w:p w:rsidR="00BB433C" w:rsidRPr="00F86117" w:rsidRDefault="00BB433C" w:rsidP="00AD4D26">
            <w:pPr>
              <w:pStyle w:val="TableLeft"/>
              <w:rPr>
                <w:rStyle w:val="SmallItalics"/>
                <w:rFonts w:ascii="Arial Narrow" w:hAnsi="Arial Narrow"/>
                <w:b/>
                <w:i w:val="0"/>
                <w:szCs w:val="20"/>
              </w:rPr>
            </w:pPr>
            <w:r w:rsidRPr="00F86117">
              <w:rPr>
                <w:rStyle w:val="SmallItalics"/>
                <w:rFonts w:ascii="Arial Narrow" w:hAnsi="Arial Narrow"/>
                <w:b/>
                <w:i w:val="0"/>
                <w:szCs w:val="20"/>
              </w:rPr>
              <w:t>Solicited AEs</w:t>
            </w:r>
          </w:p>
        </w:tc>
        <w:tc>
          <w:tcPr>
            <w:tcW w:w="1303" w:type="pct"/>
            <w:shd w:val="clear" w:color="auto" w:fill="FFFFFF" w:themeFill="background1"/>
          </w:tcPr>
          <w:p w:rsidR="00BB433C" w:rsidRPr="00F86117" w:rsidRDefault="00BB433C" w:rsidP="00AD4D26">
            <w:pPr>
              <w:pStyle w:val="TableLeft"/>
              <w:jc w:val="center"/>
              <w:rPr>
                <w:rStyle w:val="SmallItalics"/>
                <w:rFonts w:ascii="Arial Narrow" w:hAnsi="Arial Narrow"/>
                <w:i w:val="0"/>
                <w:szCs w:val="20"/>
              </w:rPr>
            </w:pPr>
          </w:p>
        </w:tc>
      </w:tr>
      <w:tr w:rsidR="00BB433C" w:rsidRPr="00F86117" w:rsidTr="00721310">
        <w:tc>
          <w:tcPr>
            <w:tcW w:w="1901" w:type="pct"/>
          </w:tcPr>
          <w:p w:rsidR="00BB433C" w:rsidRPr="00F86117" w:rsidRDefault="00BB433C" w:rsidP="00AD4D26">
            <w:pPr>
              <w:pStyle w:val="TableLeft"/>
              <w:rPr>
                <w:rFonts w:ascii="Arial Narrow" w:hAnsi="Arial Narrow"/>
                <w:szCs w:val="20"/>
              </w:rPr>
            </w:pPr>
            <w:r w:rsidRPr="00F86117">
              <w:rPr>
                <w:rFonts w:ascii="Arial Narrow" w:hAnsi="Arial Narrow"/>
                <w:szCs w:val="20"/>
              </w:rPr>
              <w:t>Diarrhoea</w:t>
            </w:r>
          </w:p>
        </w:tc>
        <w:tc>
          <w:tcPr>
            <w:tcW w:w="706" w:type="pct"/>
          </w:tcPr>
          <w:p w:rsidR="00BB433C" w:rsidRPr="00F86117" w:rsidRDefault="00BB433C" w:rsidP="00AD4D26">
            <w:pPr>
              <w:pStyle w:val="TableLeft"/>
              <w:jc w:val="center"/>
              <w:rPr>
                <w:rFonts w:ascii="Arial Narrow" w:hAnsi="Arial Narrow"/>
                <w:strike/>
                <w:szCs w:val="20"/>
              </w:rPr>
            </w:pPr>
            <w:r w:rsidRPr="00F86117">
              <w:rPr>
                <w:rFonts w:ascii="Arial Narrow" w:hAnsi="Arial Narrow"/>
                <w:szCs w:val="20"/>
              </w:rPr>
              <w:t>57 (73)</w:t>
            </w:r>
          </w:p>
        </w:tc>
        <w:tc>
          <w:tcPr>
            <w:tcW w:w="1090" w:type="pct"/>
          </w:tcPr>
          <w:p w:rsidR="00BB433C" w:rsidRPr="00F86117" w:rsidRDefault="00BB433C" w:rsidP="00AD4D26">
            <w:pPr>
              <w:pStyle w:val="TableLeft"/>
              <w:jc w:val="center"/>
              <w:rPr>
                <w:rFonts w:ascii="Arial Narrow" w:hAnsi="Arial Narrow"/>
                <w:strike/>
                <w:szCs w:val="20"/>
              </w:rPr>
            </w:pPr>
            <w:r w:rsidRPr="00F86117">
              <w:rPr>
                <w:rFonts w:ascii="Arial Narrow" w:hAnsi="Arial Narrow"/>
                <w:szCs w:val="20"/>
              </w:rPr>
              <w:t>39 (54)</w:t>
            </w:r>
          </w:p>
        </w:tc>
        <w:tc>
          <w:tcPr>
            <w:tcW w:w="1303" w:type="pct"/>
          </w:tcPr>
          <w:p w:rsidR="00BB433C" w:rsidRPr="00F86117" w:rsidRDefault="00BB433C" w:rsidP="00AD4D26">
            <w:pPr>
              <w:pStyle w:val="TableLeft"/>
              <w:jc w:val="center"/>
              <w:rPr>
                <w:rFonts w:ascii="Arial Narrow" w:hAnsi="Arial Narrow"/>
                <w:b/>
                <w:szCs w:val="20"/>
              </w:rPr>
            </w:pPr>
            <w:r w:rsidRPr="00F86117">
              <w:rPr>
                <w:rFonts w:ascii="Arial Narrow" w:hAnsi="Arial Narrow" w:cs="Calibri"/>
                <w:b/>
                <w:bCs/>
              </w:rPr>
              <w:t>0.19 (0.04, 0.34)</w:t>
            </w:r>
          </w:p>
        </w:tc>
      </w:tr>
      <w:tr w:rsidR="00BB433C" w:rsidRPr="00F86117" w:rsidTr="00721310">
        <w:tc>
          <w:tcPr>
            <w:tcW w:w="1901" w:type="pct"/>
          </w:tcPr>
          <w:p w:rsidR="00BB433C" w:rsidRPr="00F86117" w:rsidRDefault="00BB433C" w:rsidP="00AD4D26">
            <w:pPr>
              <w:pStyle w:val="TableLeft"/>
              <w:rPr>
                <w:rFonts w:ascii="Arial Narrow" w:hAnsi="Arial Narrow"/>
                <w:szCs w:val="20"/>
              </w:rPr>
            </w:pPr>
            <w:r w:rsidRPr="00F86117">
              <w:rPr>
                <w:rFonts w:ascii="Arial Narrow" w:hAnsi="Arial Narrow"/>
                <w:szCs w:val="20"/>
              </w:rPr>
              <w:t>Hypertension</w:t>
            </w:r>
          </w:p>
        </w:tc>
        <w:tc>
          <w:tcPr>
            <w:tcW w:w="706" w:type="pct"/>
          </w:tcPr>
          <w:p w:rsidR="00BB433C" w:rsidRPr="00F86117" w:rsidRDefault="00BB433C" w:rsidP="00AD4D26">
            <w:pPr>
              <w:pStyle w:val="TableLeft"/>
              <w:jc w:val="center"/>
              <w:rPr>
                <w:rFonts w:ascii="Arial Narrow" w:hAnsi="Arial Narrow"/>
                <w:strike/>
                <w:szCs w:val="20"/>
              </w:rPr>
            </w:pPr>
            <w:r w:rsidRPr="00F86117">
              <w:rPr>
                <w:rFonts w:ascii="Arial Narrow" w:hAnsi="Arial Narrow"/>
                <w:szCs w:val="20"/>
              </w:rPr>
              <w:t>52 (67)</w:t>
            </w:r>
          </w:p>
        </w:tc>
        <w:tc>
          <w:tcPr>
            <w:tcW w:w="1090" w:type="pct"/>
          </w:tcPr>
          <w:p w:rsidR="00BB433C" w:rsidRPr="00F86117" w:rsidRDefault="00BB433C" w:rsidP="00AD4D26">
            <w:pPr>
              <w:pStyle w:val="TableLeft"/>
              <w:jc w:val="center"/>
              <w:rPr>
                <w:rFonts w:ascii="Arial Narrow" w:hAnsi="Arial Narrow"/>
                <w:strike/>
                <w:szCs w:val="20"/>
              </w:rPr>
            </w:pPr>
            <w:r w:rsidRPr="00F86117">
              <w:rPr>
                <w:rFonts w:ascii="Arial Narrow" w:hAnsi="Arial Narrow"/>
                <w:szCs w:val="20"/>
              </w:rPr>
              <w:t>32 (44)</w:t>
            </w:r>
          </w:p>
        </w:tc>
        <w:tc>
          <w:tcPr>
            <w:tcW w:w="1303" w:type="pct"/>
          </w:tcPr>
          <w:p w:rsidR="00BB433C" w:rsidRPr="00F86117" w:rsidRDefault="00BB433C" w:rsidP="00AD4D26">
            <w:pPr>
              <w:pStyle w:val="TableLeft"/>
              <w:jc w:val="center"/>
              <w:rPr>
                <w:rFonts w:ascii="Arial Narrow" w:hAnsi="Arial Narrow"/>
                <w:b/>
                <w:szCs w:val="20"/>
                <w:highlight w:val="yellow"/>
              </w:rPr>
            </w:pPr>
            <w:r w:rsidRPr="00F86117">
              <w:rPr>
                <w:rFonts w:ascii="Arial Narrow" w:hAnsi="Arial Narrow" w:cs="Calibri"/>
                <w:b/>
                <w:bCs/>
              </w:rPr>
              <w:t>0.22 (0.06, 0.38)</w:t>
            </w:r>
          </w:p>
        </w:tc>
      </w:tr>
      <w:tr w:rsidR="00721310" w:rsidRPr="00F86117" w:rsidTr="00721310">
        <w:tc>
          <w:tcPr>
            <w:tcW w:w="1901" w:type="pct"/>
          </w:tcPr>
          <w:p w:rsidR="00721310" w:rsidRPr="00F86117" w:rsidRDefault="002112F9" w:rsidP="00AD4D26">
            <w:pPr>
              <w:pStyle w:val="TableLeft"/>
              <w:rPr>
                <w:rFonts w:ascii="Arial Narrow" w:hAnsi="Arial Narrow"/>
                <w:szCs w:val="20"/>
              </w:rPr>
            </w:pPr>
            <w:r w:rsidRPr="00F86117">
              <w:rPr>
                <w:rFonts w:ascii="Arial Narrow" w:hAnsi="Arial Narrow"/>
                <w:szCs w:val="20"/>
              </w:rPr>
              <w:t>Reduced neutrophil count</w:t>
            </w:r>
          </w:p>
        </w:tc>
        <w:tc>
          <w:tcPr>
            <w:tcW w:w="706" w:type="pct"/>
          </w:tcPr>
          <w:p w:rsidR="00721310" w:rsidRPr="00F86117" w:rsidRDefault="00721310" w:rsidP="00AD4D26">
            <w:pPr>
              <w:pStyle w:val="TableLeft"/>
              <w:jc w:val="center"/>
              <w:rPr>
                <w:rFonts w:ascii="Arial Narrow" w:hAnsi="Arial Narrow"/>
                <w:szCs w:val="20"/>
              </w:rPr>
            </w:pPr>
            <w:r w:rsidRPr="00F86117">
              <w:rPr>
                <w:rFonts w:ascii="Arial Narrow" w:hAnsi="Arial Narrow"/>
                <w:szCs w:val="20"/>
              </w:rPr>
              <w:t>12 (15)</w:t>
            </w:r>
          </w:p>
        </w:tc>
        <w:tc>
          <w:tcPr>
            <w:tcW w:w="1090" w:type="pct"/>
          </w:tcPr>
          <w:p w:rsidR="00721310" w:rsidRPr="00F86117" w:rsidRDefault="00721310" w:rsidP="00AD4D26">
            <w:pPr>
              <w:pStyle w:val="TableLeft"/>
              <w:jc w:val="center"/>
              <w:rPr>
                <w:rFonts w:ascii="Arial Narrow" w:hAnsi="Arial Narrow"/>
                <w:szCs w:val="20"/>
              </w:rPr>
            </w:pPr>
            <w:r w:rsidRPr="00F86117">
              <w:rPr>
                <w:rFonts w:ascii="Arial Narrow" w:hAnsi="Arial Narrow"/>
                <w:szCs w:val="20"/>
              </w:rPr>
              <w:t>25 (35)</w:t>
            </w:r>
          </w:p>
        </w:tc>
        <w:tc>
          <w:tcPr>
            <w:tcW w:w="1303" w:type="pct"/>
          </w:tcPr>
          <w:p w:rsidR="00721310" w:rsidRPr="00F86117" w:rsidRDefault="00721310" w:rsidP="00AD4D26">
            <w:pPr>
              <w:pStyle w:val="TableLeft"/>
              <w:jc w:val="center"/>
              <w:rPr>
                <w:rFonts w:ascii="Arial Narrow" w:hAnsi="Arial Narrow" w:cs="Calibri"/>
                <w:b/>
                <w:bCs/>
              </w:rPr>
            </w:pPr>
            <w:r w:rsidRPr="00F86117">
              <w:rPr>
                <w:rFonts w:ascii="Arial Narrow" w:hAnsi="Arial Narrow" w:cs="Calibri"/>
                <w:b/>
                <w:bCs/>
              </w:rPr>
              <w:t>-0.19 (-0.33, -0.06)</w:t>
            </w:r>
          </w:p>
        </w:tc>
      </w:tr>
      <w:tr w:rsidR="00721310" w:rsidRPr="00F86117" w:rsidTr="00721310">
        <w:tc>
          <w:tcPr>
            <w:tcW w:w="3697" w:type="pct"/>
            <w:gridSpan w:val="3"/>
          </w:tcPr>
          <w:p w:rsidR="00721310" w:rsidRPr="00F86117" w:rsidRDefault="00721310" w:rsidP="00AD4D26">
            <w:pPr>
              <w:pStyle w:val="TableLeft"/>
              <w:rPr>
                <w:rFonts w:ascii="Arial Narrow" w:hAnsi="Arial Narrow"/>
                <w:b/>
                <w:szCs w:val="20"/>
              </w:rPr>
            </w:pPr>
            <w:r w:rsidRPr="00F86117">
              <w:rPr>
                <w:rStyle w:val="SmallItalics"/>
                <w:rFonts w:ascii="Arial Narrow" w:hAnsi="Arial Narrow"/>
                <w:b/>
                <w:i w:val="0"/>
                <w:szCs w:val="20"/>
              </w:rPr>
              <w:t>Unsolicited AEs reported in &gt;15% patients in either treatment arm</w:t>
            </w:r>
          </w:p>
        </w:tc>
        <w:tc>
          <w:tcPr>
            <w:tcW w:w="1303" w:type="pct"/>
          </w:tcPr>
          <w:p w:rsidR="00721310" w:rsidRPr="00F86117" w:rsidRDefault="00721310" w:rsidP="00AD4D26">
            <w:pPr>
              <w:pStyle w:val="TableLeft"/>
              <w:jc w:val="center"/>
              <w:rPr>
                <w:rStyle w:val="SmallItalics"/>
                <w:rFonts w:ascii="Arial Narrow" w:hAnsi="Arial Narrow"/>
                <w:i w:val="0"/>
                <w:szCs w:val="20"/>
              </w:rPr>
            </w:pPr>
          </w:p>
        </w:tc>
      </w:tr>
      <w:tr w:rsidR="003C3631" w:rsidRPr="00F86117" w:rsidTr="003C3631">
        <w:tc>
          <w:tcPr>
            <w:tcW w:w="1901" w:type="pct"/>
          </w:tcPr>
          <w:p w:rsidR="003C3631" w:rsidRPr="00F86117" w:rsidRDefault="00F52A0A" w:rsidP="00AD4D26">
            <w:pPr>
              <w:pStyle w:val="TableLeft"/>
              <w:rPr>
                <w:rFonts w:ascii="Arial Narrow" w:hAnsi="Arial Narrow"/>
                <w:szCs w:val="20"/>
              </w:rPr>
            </w:pPr>
            <w:r w:rsidRPr="00F86117">
              <w:rPr>
                <w:rFonts w:ascii="Arial Narrow" w:hAnsi="Arial Narrow"/>
                <w:szCs w:val="20"/>
              </w:rPr>
              <w:t>Hypothyroidism</w:t>
            </w:r>
          </w:p>
        </w:tc>
        <w:tc>
          <w:tcPr>
            <w:tcW w:w="706" w:type="pct"/>
          </w:tcPr>
          <w:p w:rsidR="003C3631" w:rsidRPr="00F86117" w:rsidRDefault="003C3631" w:rsidP="00AD4D26">
            <w:pPr>
              <w:pStyle w:val="TableLeft"/>
              <w:jc w:val="center"/>
              <w:rPr>
                <w:rFonts w:ascii="Arial Narrow" w:hAnsi="Arial Narrow"/>
                <w:szCs w:val="20"/>
              </w:rPr>
            </w:pPr>
            <w:r w:rsidRPr="00F86117">
              <w:rPr>
                <w:rFonts w:ascii="Arial Narrow" w:hAnsi="Arial Narrow"/>
                <w:szCs w:val="20"/>
              </w:rPr>
              <w:t>18 (23)</w:t>
            </w:r>
          </w:p>
        </w:tc>
        <w:tc>
          <w:tcPr>
            <w:tcW w:w="1090" w:type="pct"/>
          </w:tcPr>
          <w:p w:rsidR="003C3631" w:rsidRPr="00F86117" w:rsidRDefault="003C3631" w:rsidP="00AD4D26">
            <w:pPr>
              <w:pStyle w:val="TableLeft"/>
              <w:jc w:val="center"/>
              <w:rPr>
                <w:rFonts w:ascii="Arial Narrow" w:hAnsi="Arial Narrow"/>
                <w:szCs w:val="20"/>
              </w:rPr>
            </w:pPr>
            <w:r w:rsidRPr="00F86117">
              <w:rPr>
                <w:rFonts w:ascii="Arial Narrow" w:hAnsi="Arial Narrow"/>
                <w:szCs w:val="20"/>
              </w:rPr>
              <w:t>4 (5.6)</w:t>
            </w:r>
          </w:p>
        </w:tc>
        <w:tc>
          <w:tcPr>
            <w:tcW w:w="1303" w:type="pct"/>
          </w:tcPr>
          <w:p w:rsidR="003C3631" w:rsidRPr="00F86117" w:rsidRDefault="003C3631" w:rsidP="00AD4D26">
            <w:pPr>
              <w:pStyle w:val="TableLeft"/>
              <w:jc w:val="center"/>
              <w:rPr>
                <w:rFonts w:ascii="Arial Narrow" w:hAnsi="Arial Narrow" w:cs="Calibri"/>
                <w:b/>
                <w:bCs/>
              </w:rPr>
            </w:pPr>
            <w:r w:rsidRPr="00F86117">
              <w:rPr>
                <w:rFonts w:ascii="Arial Narrow" w:hAnsi="Arial Narrow" w:cs="Calibri"/>
                <w:b/>
                <w:bCs/>
              </w:rPr>
              <w:t>0.18 (0.06, 0.29)</w:t>
            </w:r>
          </w:p>
        </w:tc>
      </w:tr>
    </w:tbl>
    <w:p w:rsidR="00BB433C" w:rsidRPr="00F86117" w:rsidRDefault="00BB433C" w:rsidP="00AD4D26">
      <w:pPr>
        <w:pStyle w:val="TableFooter"/>
        <w:widowControl/>
      </w:pPr>
      <w:r w:rsidRPr="00F86117">
        <w:rPr>
          <w:szCs w:val="18"/>
        </w:rPr>
        <w:t xml:space="preserve">Abbreviations: AEs = adverse events; </w:t>
      </w:r>
      <w:r w:rsidRPr="00F86117">
        <w:rPr>
          <w:rFonts w:eastAsia="Calibri"/>
        </w:rPr>
        <w:t>CI = confidence interval; n = number of participants reporting data; N = total participants in group; RD = risk difference; RR = relative risk; SAEs = serious adverse events</w:t>
      </w:r>
    </w:p>
    <w:p w:rsidR="00BB433C" w:rsidRPr="00F86117" w:rsidRDefault="00BB433C" w:rsidP="00AD4D26">
      <w:pPr>
        <w:pStyle w:val="TableFooter"/>
        <w:widowControl/>
        <w:rPr>
          <w:szCs w:val="18"/>
        </w:rPr>
      </w:pPr>
      <w:r w:rsidRPr="00F86117">
        <w:rPr>
          <w:szCs w:val="18"/>
        </w:rPr>
        <w:t>Source: Compiled during the evaluation based on Table 2.34, p.124; Table 2.36, p.126; Table 2.37, p.128-129 of the submission</w:t>
      </w:r>
      <w:r w:rsidR="00B92627" w:rsidRPr="00F86117">
        <w:rPr>
          <w:szCs w:val="18"/>
        </w:rPr>
        <w:t>.</w:t>
      </w:r>
    </w:p>
    <w:p w:rsidR="00BB433C" w:rsidRPr="00F86117" w:rsidRDefault="00BB433C" w:rsidP="00AD4D26">
      <w:pPr>
        <w:pStyle w:val="TableFooter"/>
        <w:widowControl/>
      </w:pPr>
      <w:r w:rsidRPr="00F86117">
        <w:t xml:space="preserve">Note: Statistical differences noted in bold. </w:t>
      </w:r>
      <w:r w:rsidRPr="00F86117">
        <w:rPr>
          <w:szCs w:val="18"/>
        </w:rPr>
        <w:t>The evaluators estimated risk difference (RD and 95% CI) for each types of AEs.</w:t>
      </w:r>
      <w:r w:rsidR="004602DA" w:rsidRPr="00F86117">
        <w:rPr>
          <w:szCs w:val="18"/>
        </w:rPr>
        <w:t xml:space="preserve"> </w:t>
      </w:r>
      <w:r w:rsidR="00531BCA" w:rsidRPr="00F86117">
        <w:rPr>
          <w:szCs w:val="18"/>
        </w:rPr>
        <w:t xml:space="preserve">AEs that were considered ‘expected’ per the protocol and presence/ absence and severity were </w:t>
      </w:r>
      <w:r w:rsidR="002112F9" w:rsidRPr="00F86117">
        <w:rPr>
          <w:szCs w:val="18"/>
        </w:rPr>
        <w:t>referred</w:t>
      </w:r>
      <w:r w:rsidR="00531BCA" w:rsidRPr="00F86117">
        <w:rPr>
          <w:szCs w:val="18"/>
        </w:rPr>
        <w:t xml:space="preserve"> as solicited while other AEs were collected as unsolicited events (the CSR p.9).</w:t>
      </w:r>
    </w:p>
    <w:p w:rsidR="00BB433C" w:rsidRPr="00F86117" w:rsidRDefault="00BB433C" w:rsidP="0061386A">
      <w:pPr>
        <w:pStyle w:val="ListParagraph"/>
        <w:widowControl/>
        <w:numPr>
          <w:ilvl w:val="1"/>
          <w:numId w:val="2"/>
        </w:numPr>
        <w:spacing w:before="120"/>
      </w:pPr>
      <w:r w:rsidRPr="00F86117">
        <w:t xml:space="preserve">A summary for safety between </w:t>
      </w:r>
      <w:proofErr w:type="spellStart"/>
      <w:r w:rsidRPr="00F86117">
        <w:t>cabozantinib</w:t>
      </w:r>
      <w:proofErr w:type="spellEnd"/>
      <w:r w:rsidRPr="00F86117">
        <w:t xml:space="preserve"> and NIVO+IPI was based on a naïve comparison of the evidence. There was no difference in terms of </w:t>
      </w:r>
      <w:r w:rsidR="000939B1" w:rsidRPr="00F86117">
        <w:t>the number of patients with at least one</w:t>
      </w:r>
      <w:r w:rsidRPr="00F86117">
        <w:t xml:space="preserve"> AE</w:t>
      </w:r>
      <w:r w:rsidRPr="00F86117">
        <w:rPr>
          <w:i/>
        </w:rPr>
        <w:t xml:space="preserve"> </w:t>
      </w:r>
      <w:r w:rsidRPr="00F86117">
        <w:t xml:space="preserve">between </w:t>
      </w:r>
      <w:proofErr w:type="spellStart"/>
      <w:r w:rsidRPr="00F86117">
        <w:t>cabozantinib</w:t>
      </w:r>
      <w:proofErr w:type="spellEnd"/>
      <w:r w:rsidRPr="00F86117">
        <w:t xml:space="preserve"> and NIVO+IPI. Of all AEs identified from the trials, 11 specific types of AEs were reported</w:t>
      </w:r>
      <w:r w:rsidR="00622B79" w:rsidRPr="00F86117">
        <w:t xml:space="preserve"> </w:t>
      </w:r>
      <w:r w:rsidR="00024DFA" w:rsidRPr="00F86117">
        <w:t>(Table 11</w:t>
      </w:r>
      <w:r w:rsidR="00622B79" w:rsidRPr="00F86117">
        <w:t>)</w:t>
      </w:r>
      <w:r w:rsidRPr="00F86117">
        <w:t xml:space="preserve">, among which the incidence of 10 (except for </w:t>
      </w:r>
      <w:r w:rsidRPr="00F86117">
        <w:rPr>
          <w:lang w:eastAsia="en-AU"/>
        </w:rPr>
        <w:t>hypothyroidism</w:t>
      </w:r>
      <w:r w:rsidRPr="00F86117">
        <w:t xml:space="preserve">) was higher </w:t>
      </w:r>
      <w:r w:rsidR="00432A34" w:rsidRPr="00F86117">
        <w:t>with</w:t>
      </w:r>
      <w:r w:rsidRPr="00F86117">
        <w:t xml:space="preserve"> </w:t>
      </w:r>
      <w:proofErr w:type="spellStart"/>
      <w:r w:rsidRPr="00F86117">
        <w:t>cabozantinib</w:t>
      </w:r>
      <w:proofErr w:type="spellEnd"/>
      <w:r w:rsidRPr="00F86117">
        <w:t xml:space="preserve"> than NIVO+IPI. </w:t>
      </w:r>
    </w:p>
    <w:p w:rsidR="00622B79" w:rsidRPr="00F86117" w:rsidRDefault="00622B79" w:rsidP="00AD4D26">
      <w:pPr>
        <w:keepNext/>
        <w:keepLines/>
        <w:widowControl/>
        <w:rPr>
          <w:rFonts w:ascii="Arial Narrow" w:hAnsi="Arial Narrow"/>
          <w:b/>
          <w:sz w:val="20"/>
        </w:rPr>
      </w:pPr>
      <w:r w:rsidRPr="00F86117">
        <w:rPr>
          <w:rFonts w:ascii="Arial Narrow" w:hAnsi="Arial Narrow"/>
          <w:b/>
          <w:sz w:val="20"/>
        </w:rPr>
        <w:lastRenderedPageBreak/>
        <w:t xml:space="preserve">Table </w:t>
      </w:r>
      <w:r w:rsidR="00024DFA" w:rsidRPr="00F86117">
        <w:rPr>
          <w:rFonts w:ascii="Arial Narrow" w:hAnsi="Arial Narrow"/>
          <w:b/>
          <w:sz w:val="20"/>
        </w:rPr>
        <w:t>11</w:t>
      </w:r>
      <w:r w:rsidRPr="00F86117">
        <w:rPr>
          <w:rFonts w:ascii="Arial Narrow" w:hAnsi="Arial Narrow"/>
          <w:b/>
          <w:sz w:val="20"/>
        </w:rPr>
        <w:t>: Summary of key adverse events between CABOSUN and CheckMate214</w:t>
      </w:r>
    </w:p>
    <w:tbl>
      <w:tblPr>
        <w:tblW w:w="5000" w:type="pct"/>
        <w:tblLook w:val="04A0" w:firstRow="1" w:lastRow="0" w:firstColumn="1" w:lastColumn="0" w:noHBand="0" w:noVBand="1"/>
        <w:tblCaption w:val="Table 11: Summary of key adverse events between CABOSUN and CheckMate214"/>
      </w:tblPr>
      <w:tblGrid>
        <w:gridCol w:w="3955"/>
        <w:gridCol w:w="1248"/>
        <w:gridCol w:w="1316"/>
        <w:gridCol w:w="1183"/>
        <w:gridCol w:w="1315"/>
      </w:tblGrid>
      <w:tr w:rsidR="00622B79" w:rsidRPr="00F86117" w:rsidTr="005161BF">
        <w:trPr>
          <w:cantSplit/>
          <w:trHeight w:val="255"/>
          <w:tblHeader/>
        </w:trPr>
        <w:tc>
          <w:tcPr>
            <w:tcW w:w="2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 </w:t>
            </w:r>
          </w:p>
          <w:p w:rsidR="00622B79" w:rsidRPr="00F86117" w:rsidRDefault="00622B79" w:rsidP="00AD4D26">
            <w:pPr>
              <w:pStyle w:val="TableLeft"/>
              <w:keepNext/>
              <w:keepLines/>
              <w:rPr>
                <w:rFonts w:ascii="Arial Narrow" w:hAnsi="Arial Narrow"/>
                <w:b/>
                <w:szCs w:val="20"/>
                <w:lang w:eastAsia="en-AU"/>
              </w:rPr>
            </w:pPr>
            <w:r w:rsidRPr="00F86117">
              <w:rPr>
                <w:rFonts w:ascii="Arial Narrow" w:hAnsi="Arial Narrow"/>
                <w:b/>
                <w:szCs w:val="20"/>
                <w:lang w:eastAsia="en-AU"/>
              </w:rPr>
              <w:t> AEs</w:t>
            </w:r>
          </w:p>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 </w:t>
            </w:r>
          </w:p>
        </w:tc>
        <w:tc>
          <w:tcPr>
            <w:tcW w:w="1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CABOSUN</w:t>
            </w:r>
          </w:p>
        </w:tc>
        <w:tc>
          <w:tcPr>
            <w:tcW w:w="13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CheckMate214</w:t>
            </w:r>
          </w:p>
        </w:tc>
      </w:tr>
      <w:tr w:rsidR="00622B79" w:rsidRPr="00F86117" w:rsidTr="005161BF">
        <w:trPr>
          <w:cantSplit/>
          <w:trHeight w:val="255"/>
          <w:tblHeader/>
        </w:trPr>
        <w:tc>
          <w:tcPr>
            <w:tcW w:w="21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Style w:val="SmallBold"/>
                <w:rFonts w:ascii="Arial Narrow" w:hAnsi="Arial Narrow"/>
                <w:szCs w:val="20"/>
              </w:rPr>
            </w:pPr>
            <w:proofErr w:type="spellStart"/>
            <w:r w:rsidRPr="00F86117">
              <w:rPr>
                <w:rStyle w:val="SmallBold"/>
                <w:rFonts w:ascii="Arial Narrow" w:eastAsia="OTNEJMScalaSansLF" w:hAnsi="Arial Narrow"/>
                <w:szCs w:val="20"/>
              </w:rPr>
              <w:t>Cabozantinib</w:t>
            </w:r>
            <w:proofErr w:type="spellEnd"/>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Style w:val="SmallBold"/>
                <w:rFonts w:ascii="Arial Narrow" w:hAnsi="Arial Narrow"/>
                <w:szCs w:val="20"/>
              </w:rPr>
            </w:pPr>
            <w:proofErr w:type="spellStart"/>
            <w:r w:rsidRPr="00F86117">
              <w:rPr>
                <w:rStyle w:val="SmallBold"/>
                <w:rFonts w:ascii="Arial Narrow" w:hAnsi="Arial Narrow"/>
                <w:szCs w:val="20"/>
              </w:rPr>
              <w:t>Sunitinib</w:t>
            </w:r>
            <w:proofErr w:type="spellEnd"/>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NIVO+IPI</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Style w:val="SmallBold"/>
                <w:rFonts w:ascii="Arial Narrow" w:hAnsi="Arial Narrow"/>
                <w:szCs w:val="20"/>
              </w:rPr>
            </w:pPr>
            <w:proofErr w:type="spellStart"/>
            <w:r w:rsidRPr="00F86117">
              <w:rPr>
                <w:rStyle w:val="SmallBold"/>
                <w:rFonts w:ascii="Arial Narrow" w:hAnsi="Arial Narrow"/>
                <w:szCs w:val="20"/>
              </w:rPr>
              <w:t>Sunitinib</w:t>
            </w:r>
            <w:proofErr w:type="spellEnd"/>
          </w:p>
        </w:tc>
      </w:tr>
      <w:tr w:rsidR="00622B79" w:rsidRPr="00F86117" w:rsidTr="00F400AB">
        <w:trPr>
          <w:cantSplit/>
          <w:trHeight w:val="255"/>
          <w:tblHeader/>
        </w:trPr>
        <w:tc>
          <w:tcPr>
            <w:tcW w:w="21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N=78</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N=72</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N=547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Style w:val="SmallBold"/>
                <w:rFonts w:ascii="Arial Narrow" w:hAnsi="Arial Narrow"/>
                <w:szCs w:val="20"/>
              </w:rPr>
            </w:pPr>
            <w:r w:rsidRPr="00F86117">
              <w:rPr>
                <w:rStyle w:val="SmallBold"/>
                <w:rFonts w:ascii="Arial Narrow" w:hAnsi="Arial Narrow"/>
                <w:szCs w:val="20"/>
              </w:rPr>
              <w:t>N=535</w:t>
            </w:r>
          </w:p>
        </w:tc>
      </w:tr>
      <w:tr w:rsidR="001F3015" w:rsidRPr="00F86117" w:rsidTr="00467457">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tcPr>
          <w:p w:rsidR="001F3015" w:rsidRPr="00F86117" w:rsidRDefault="001F3015" w:rsidP="00AD4D26">
            <w:pPr>
              <w:pStyle w:val="TableLeft"/>
              <w:keepNext/>
              <w:keepLines/>
              <w:rPr>
                <w:rFonts w:ascii="Arial Narrow" w:hAnsi="Arial Narrow"/>
                <w:szCs w:val="20"/>
                <w:lang w:eastAsia="en-AU"/>
              </w:rPr>
            </w:pPr>
            <w:r w:rsidRPr="00F86117">
              <w:rPr>
                <w:rFonts w:ascii="Arial Narrow" w:hAnsi="Arial Narrow"/>
                <w:szCs w:val="20"/>
                <w:lang w:eastAsia="en-AU"/>
              </w:rPr>
              <w:t>Any AE</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1F3015" w:rsidRPr="00F86117" w:rsidRDefault="001F3015"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75 (96)</w:t>
            </w: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1F3015" w:rsidRPr="00F86117" w:rsidRDefault="001F3015"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71 (99)</w:t>
            </w:r>
          </w:p>
        </w:tc>
        <w:tc>
          <w:tcPr>
            <w:tcW w:w="656" w:type="pct"/>
            <w:tcBorders>
              <w:top w:val="nil"/>
              <w:left w:val="nil"/>
              <w:bottom w:val="single" w:sz="4" w:space="0" w:color="auto"/>
              <w:right w:val="single" w:sz="4" w:space="0" w:color="auto"/>
            </w:tcBorders>
            <w:shd w:val="clear" w:color="auto" w:fill="auto"/>
            <w:vAlign w:val="center"/>
          </w:tcPr>
          <w:p w:rsidR="001F3015" w:rsidRPr="00F86117" w:rsidRDefault="001F3015"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509 (93)</w:t>
            </w:r>
          </w:p>
        </w:tc>
        <w:tc>
          <w:tcPr>
            <w:tcW w:w="729" w:type="pct"/>
            <w:tcBorders>
              <w:top w:val="nil"/>
              <w:left w:val="nil"/>
              <w:bottom w:val="single" w:sz="4" w:space="0" w:color="auto"/>
              <w:right w:val="single" w:sz="4" w:space="0" w:color="auto"/>
            </w:tcBorders>
            <w:shd w:val="clear" w:color="auto" w:fill="auto"/>
            <w:vAlign w:val="center"/>
          </w:tcPr>
          <w:p w:rsidR="001F3015" w:rsidRPr="00F86117" w:rsidRDefault="001F3015"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521 (97)</w:t>
            </w:r>
          </w:p>
        </w:tc>
      </w:tr>
      <w:tr w:rsidR="007A4A06" w:rsidRPr="00F86117" w:rsidTr="00592CF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tcPr>
          <w:p w:rsidR="007A4A06" w:rsidRPr="00F86117" w:rsidRDefault="007A4A06" w:rsidP="00AD4D26">
            <w:pPr>
              <w:pStyle w:val="TableLeft"/>
              <w:keepNext/>
              <w:keepLines/>
              <w:rPr>
                <w:rFonts w:ascii="Arial Narrow" w:hAnsi="Arial Narrow"/>
                <w:szCs w:val="20"/>
                <w:lang w:eastAsia="en-AU"/>
              </w:rPr>
            </w:pPr>
            <w:r w:rsidRPr="00F86117">
              <w:rPr>
                <w:rFonts w:ascii="Arial Narrow" w:hAnsi="Arial Narrow"/>
                <w:szCs w:val="20"/>
                <w:lang w:eastAsia="en-AU"/>
              </w:rPr>
              <w:t>Grade 3-4 AEs</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7A4A06" w:rsidRPr="00F86117" w:rsidRDefault="007A4A06"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53 (68)</w:t>
            </w:r>
          </w:p>
        </w:tc>
        <w:tc>
          <w:tcPr>
            <w:tcW w:w="730" w:type="pct"/>
            <w:tcBorders>
              <w:top w:val="single" w:sz="4" w:space="0" w:color="auto"/>
              <w:left w:val="single" w:sz="4" w:space="0" w:color="auto"/>
              <w:bottom w:val="single" w:sz="4" w:space="0" w:color="auto"/>
              <w:right w:val="single" w:sz="4" w:space="0" w:color="auto"/>
            </w:tcBorders>
            <w:shd w:val="clear" w:color="auto" w:fill="auto"/>
          </w:tcPr>
          <w:p w:rsidR="007A4A06" w:rsidRPr="00F86117" w:rsidRDefault="007A4A06"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47 (65)</w:t>
            </w:r>
          </w:p>
        </w:tc>
        <w:tc>
          <w:tcPr>
            <w:tcW w:w="656" w:type="pct"/>
            <w:tcBorders>
              <w:right w:val="single" w:sz="4" w:space="0" w:color="auto"/>
            </w:tcBorders>
            <w:vAlign w:val="center"/>
          </w:tcPr>
          <w:p w:rsidR="007A4A06" w:rsidRPr="00F86117" w:rsidRDefault="007A4A06"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357 (65)</w:t>
            </w:r>
          </w:p>
        </w:tc>
        <w:tc>
          <w:tcPr>
            <w:tcW w:w="729" w:type="pct"/>
            <w:tcBorders>
              <w:left w:val="single" w:sz="4" w:space="0" w:color="auto"/>
            </w:tcBorders>
            <w:vAlign w:val="center"/>
          </w:tcPr>
          <w:p w:rsidR="007A4A06" w:rsidRPr="00F86117" w:rsidRDefault="007A4A06"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407 (76)</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Diarrhoea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57 (73)</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39 (54)</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145 (27)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278 (52)</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Hypertension</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52 (67)</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32 (44)</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12 (2)</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216 (40)</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Fatigue</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50 (64)</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49 (68)</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202 (37)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264 (49)</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 xml:space="preserve">Palmar-Plantar </w:t>
            </w:r>
            <w:proofErr w:type="spellStart"/>
            <w:r w:rsidRPr="00F86117">
              <w:rPr>
                <w:rFonts w:ascii="Arial Narrow" w:hAnsi="Arial Narrow"/>
                <w:szCs w:val="20"/>
                <w:lang w:eastAsia="en-AU"/>
              </w:rPr>
              <w:t>erythrodysaesthesia</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33 (42)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23 (32)</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5 (&lt;1)</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231 (43)</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proofErr w:type="spellStart"/>
            <w:r w:rsidRPr="00F86117">
              <w:rPr>
                <w:rFonts w:ascii="Arial Narrow" w:hAnsi="Arial Narrow"/>
                <w:szCs w:val="20"/>
                <w:lang w:eastAsia="en-AU"/>
              </w:rPr>
              <w:t>Dysgeusia</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32 (41)</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21 (29)</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31 (6)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179 (33)</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Stomatitis</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29 (37)</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21 (29)</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23 (4)</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149 (28)</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Nausea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24 (31)</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26 (36)</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109 (20)</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202 (38)</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Anaemia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23 (29)</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32 (44)</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34 (6)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83 (16)</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Dyspepsia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18 (23)</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12 (17)</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15 (3)</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96 (18)</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Vomiting</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18 (23)</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16 (22)</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59 (11)</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110 (21)</w:t>
            </w:r>
          </w:p>
        </w:tc>
      </w:tr>
      <w:tr w:rsidR="00622B79" w:rsidRPr="00F86117" w:rsidTr="00F400AB">
        <w:trPr>
          <w:cantSplit/>
          <w:trHeight w:val="255"/>
        </w:trPr>
        <w:tc>
          <w:tcPr>
            <w:tcW w:w="2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rPr>
                <w:rFonts w:ascii="Arial Narrow" w:hAnsi="Arial Narrow"/>
                <w:szCs w:val="20"/>
                <w:lang w:eastAsia="en-AU"/>
              </w:rPr>
            </w:pPr>
            <w:r w:rsidRPr="00F86117">
              <w:rPr>
                <w:rFonts w:ascii="Arial Narrow" w:hAnsi="Arial Narrow"/>
                <w:szCs w:val="20"/>
                <w:lang w:eastAsia="en-AU"/>
              </w:rPr>
              <w:t>Hypothyroidism</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17 (22)</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hAnsi="Arial Narrow"/>
                <w:szCs w:val="20"/>
                <w:lang w:eastAsia="en-AU"/>
              </w:rPr>
              <w:t>4 (5.6)</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85 (16)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2B79" w:rsidRPr="00F86117" w:rsidRDefault="00622B79" w:rsidP="00AD4D26">
            <w:pPr>
              <w:pStyle w:val="TableLeft"/>
              <w:keepNext/>
              <w:keepLines/>
              <w:jc w:val="center"/>
              <w:rPr>
                <w:rFonts w:ascii="Arial Narrow" w:hAnsi="Arial Narrow"/>
                <w:szCs w:val="20"/>
                <w:lang w:eastAsia="en-AU"/>
              </w:rPr>
            </w:pPr>
            <w:r w:rsidRPr="00F86117">
              <w:rPr>
                <w:rFonts w:ascii="Arial Narrow" w:eastAsia="OTNEJMScalaSansLF" w:hAnsi="Arial Narrow"/>
                <w:szCs w:val="20"/>
                <w:lang w:eastAsia="en-AU"/>
              </w:rPr>
              <w:t>134 (25)</w:t>
            </w:r>
          </w:p>
        </w:tc>
      </w:tr>
    </w:tbl>
    <w:p w:rsidR="00622B79" w:rsidRPr="00F86117" w:rsidRDefault="00622B79" w:rsidP="00AD4D26">
      <w:pPr>
        <w:pStyle w:val="TableFooter"/>
        <w:keepNext/>
        <w:keepLines/>
        <w:widowControl/>
      </w:pPr>
      <w:r w:rsidRPr="00F86117">
        <w:t xml:space="preserve">Abbreviations: AE = adverse event; CI = confidence interval; N = total participants in group; NIVO+IPI = </w:t>
      </w:r>
      <w:proofErr w:type="spellStart"/>
      <w:r w:rsidRPr="00F86117">
        <w:t>nivolumab</w:t>
      </w:r>
      <w:proofErr w:type="spellEnd"/>
      <w:r w:rsidR="002112F9" w:rsidRPr="00F86117">
        <w:t xml:space="preserve"> </w:t>
      </w:r>
      <w:r w:rsidRPr="00F86117">
        <w:t>+</w:t>
      </w:r>
      <w:r w:rsidR="002112F9" w:rsidRPr="00F86117">
        <w:t xml:space="preserve"> </w:t>
      </w:r>
      <w:proofErr w:type="spellStart"/>
      <w:r w:rsidRPr="00F86117">
        <w:t>ipilimumab</w:t>
      </w:r>
      <w:proofErr w:type="spellEnd"/>
      <w:r w:rsidRPr="00F86117">
        <w:t xml:space="preserve"> </w:t>
      </w:r>
    </w:p>
    <w:p w:rsidR="00622B79" w:rsidRPr="00F86117" w:rsidRDefault="00622B79" w:rsidP="00AD4D26">
      <w:pPr>
        <w:pStyle w:val="TableFooter"/>
        <w:keepNext/>
        <w:keepLines/>
        <w:widowControl/>
      </w:pPr>
      <w:r w:rsidRPr="00F86117">
        <w:t xml:space="preserve">Source: </w:t>
      </w:r>
      <w:r w:rsidR="00755D3A" w:rsidRPr="00F86117">
        <w:t>T</w:t>
      </w:r>
      <w:r w:rsidRPr="00F86117">
        <w:t>able</w:t>
      </w:r>
      <w:r w:rsidR="001F3015" w:rsidRPr="00F86117">
        <w:t>s</w:t>
      </w:r>
      <w:r w:rsidRPr="00F86117">
        <w:t xml:space="preserve"> 2.46 p.147</w:t>
      </w:r>
      <w:r w:rsidR="001F3015" w:rsidRPr="00F86117">
        <w:t xml:space="preserve">, 2.36 p.126 </w:t>
      </w:r>
      <w:r w:rsidRPr="00F86117">
        <w:t>of the submission</w:t>
      </w:r>
      <w:r w:rsidR="007A4A06" w:rsidRPr="00F86117">
        <w:t>, Table 6 NIVO+IPI Public Summary Document, July 2018</w:t>
      </w:r>
      <w:r w:rsidRPr="00F86117">
        <w:t>.</w:t>
      </w:r>
    </w:p>
    <w:p w:rsidR="00BB433C" w:rsidRPr="00F86117" w:rsidRDefault="00BB433C" w:rsidP="0061386A">
      <w:pPr>
        <w:pStyle w:val="Heading2"/>
        <w:widowControl/>
        <w:spacing w:before="120"/>
      </w:pPr>
      <w:bookmarkStart w:id="27" w:name="_Toc371170708"/>
      <w:bookmarkStart w:id="28" w:name="_Toc536002944"/>
      <w:bookmarkStart w:id="29" w:name="_Toc536023496"/>
      <w:r w:rsidRPr="00F86117">
        <w:t>Benefits/harms</w:t>
      </w:r>
      <w:bookmarkEnd w:id="27"/>
      <w:bookmarkEnd w:id="28"/>
      <w:bookmarkEnd w:id="29"/>
    </w:p>
    <w:p w:rsidR="00BB433C" w:rsidRPr="00F86117" w:rsidRDefault="00BB433C" w:rsidP="0061386A">
      <w:pPr>
        <w:pStyle w:val="ListParagraph"/>
        <w:widowControl/>
        <w:numPr>
          <w:ilvl w:val="1"/>
          <w:numId w:val="2"/>
        </w:numPr>
        <w:spacing w:before="120"/>
      </w:pPr>
      <w:r w:rsidRPr="00F86117">
        <w:t xml:space="preserve">A summary of the comparative benefits and harms for </w:t>
      </w:r>
      <w:proofErr w:type="spellStart"/>
      <w:r w:rsidRPr="00F86117">
        <w:t>cabozantinib</w:t>
      </w:r>
      <w:proofErr w:type="spellEnd"/>
      <w:r w:rsidRPr="00F86117">
        <w:t xml:space="preserve"> versus </w:t>
      </w:r>
      <w:proofErr w:type="spellStart"/>
      <w:r w:rsidRPr="00F86117">
        <w:t>sunitinib</w:t>
      </w:r>
      <w:proofErr w:type="spellEnd"/>
      <w:r w:rsidRPr="00F86117">
        <w:t xml:space="preserve"> is presented in Table </w:t>
      </w:r>
      <w:r w:rsidR="00024DFA" w:rsidRPr="00F86117">
        <w:t>12</w:t>
      </w:r>
      <w:r w:rsidRPr="00F86117">
        <w:t xml:space="preserve">. </w:t>
      </w:r>
    </w:p>
    <w:p w:rsidR="008431D4" w:rsidRPr="00F86117" w:rsidRDefault="008431D4" w:rsidP="00AD4D26">
      <w:pPr>
        <w:keepNext/>
        <w:keepLines/>
        <w:widowControl/>
        <w:rPr>
          <w:rStyle w:val="CommentReference"/>
        </w:rPr>
      </w:pPr>
      <w:r w:rsidRPr="00F86117">
        <w:rPr>
          <w:rStyle w:val="CommentReference"/>
        </w:rPr>
        <w:t>Table 1</w:t>
      </w:r>
      <w:r w:rsidR="00024DFA" w:rsidRPr="00F86117">
        <w:rPr>
          <w:rStyle w:val="CommentReference"/>
        </w:rPr>
        <w:t>2</w:t>
      </w:r>
      <w:r w:rsidRPr="00F86117">
        <w:rPr>
          <w:rStyle w:val="CommentReference"/>
        </w:rPr>
        <w:t xml:space="preserve">: Summary of comparative benefits and harms for </w:t>
      </w:r>
      <w:proofErr w:type="spellStart"/>
      <w:r w:rsidRPr="00F86117">
        <w:rPr>
          <w:rStyle w:val="CommentReference"/>
        </w:rPr>
        <w:t>cabozantinib</w:t>
      </w:r>
      <w:proofErr w:type="spellEnd"/>
      <w:r w:rsidRPr="00F86117">
        <w:rPr>
          <w:rStyle w:val="CommentReference"/>
        </w:rPr>
        <w:t xml:space="preserve"> versus </w:t>
      </w:r>
      <w:proofErr w:type="spellStart"/>
      <w:r w:rsidRPr="00F86117">
        <w:rPr>
          <w:rStyle w:val="CommentReference"/>
        </w:rPr>
        <w:t>sunitinib</w:t>
      </w:r>
      <w:proofErr w:type="spellEnd"/>
    </w:p>
    <w:tbl>
      <w:tblPr>
        <w:tblStyle w:val="TableGrid"/>
        <w:tblW w:w="4938" w:type="pct"/>
        <w:tblInd w:w="28" w:type="dxa"/>
        <w:tblLayout w:type="fixed"/>
        <w:tblCellMar>
          <w:left w:w="28" w:type="dxa"/>
          <w:right w:w="28" w:type="dxa"/>
        </w:tblCellMar>
        <w:tblLook w:val="04A0" w:firstRow="1" w:lastRow="0" w:firstColumn="1" w:lastColumn="0" w:noHBand="0" w:noVBand="1"/>
        <w:tblCaption w:val="Table 12: Summary of comparative benefits and harms for cabozantinib versus sunitinib"/>
      </w:tblPr>
      <w:tblGrid>
        <w:gridCol w:w="2434"/>
        <w:gridCol w:w="39"/>
        <w:gridCol w:w="1345"/>
        <w:gridCol w:w="45"/>
        <w:gridCol w:w="1496"/>
        <w:gridCol w:w="1134"/>
        <w:gridCol w:w="942"/>
        <w:gridCol w:w="52"/>
        <w:gridCol w:w="1418"/>
      </w:tblGrid>
      <w:tr w:rsidR="008431D4" w:rsidRPr="00F86117" w:rsidTr="0061386A">
        <w:trPr>
          <w:trHeight w:val="20"/>
          <w:tblHeader/>
        </w:trPr>
        <w:tc>
          <w:tcPr>
            <w:tcW w:w="5000" w:type="pct"/>
            <w:gridSpan w:val="9"/>
            <w:shd w:val="clear" w:color="auto" w:fill="auto"/>
          </w:tcPr>
          <w:p w:rsidR="008431D4" w:rsidRPr="00F86117" w:rsidRDefault="008431D4" w:rsidP="00AD4D26">
            <w:pPr>
              <w:pStyle w:val="TableText1"/>
              <w:keepNext w:val="0"/>
              <w:spacing w:before="0" w:after="0"/>
              <w:rPr>
                <w:b/>
                <w:u w:val="single"/>
              </w:rPr>
            </w:pPr>
            <w:r w:rsidRPr="00F86117">
              <w:rPr>
                <w:b/>
                <w:u w:val="single"/>
              </w:rPr>
              <w:t>Benefits</w:t>
            </w:r>
          </w:p>
        </w:tc>
      </w:tr>
      <w:tr w:rsidR="008431D4" w:rsidRPr="00F86117" w:rsidTr="00F400AB">
        <w:trPr>
          <w:trHeight w:val="20"/>
        </w:trPr>
        <w:tc>
          <w:tcPr>
            <w:tcW w:w="5000" w:type="pct"/>
            <w:gridSpan w:val="9"/>
            <w:shd w:val="clear" w:color="auto" w:fill="auto"/>
          </w:tcPr>
          <w:p w:rsidR="008431D4" w:rsidRPr="00F86117" w:rsidRDefault="008431D4" w:rsidP="00AD4D26">
            <w:pPr>
              <w:pStyle w:val="TableText1"/>
              <w:keepNext w:val="0"/>
              <w:spacing w:before="0" w:after="0"/>
              <w:rPr>
                <w:b/>
              </w:rPr>
            </w:pPr>
            <w:r w:rsidRPr="00F86117">
              <w:rPr>
                <w:b/>
              </w:rPr>
              <w:t>Progression free survival (median duration of follow up 25 months)</w:t>
            </w:r>
          </w:p>
        </w:tc>
      </w:tr>
      <w:tr w:rsidR="008431D4" w:rsidRPr="00F86117" w:rsidTr="00330E62">
        <w:trPr>
          <w:trHeight w:val="20"/>
        </w:trPr>
        <w:tc>
          <w:tcPr>
            <w:tcW w:w="1367" w:type="pct"/>
            <w:shd w:val="clear" w:color="auto" w:fill="auto"/>
          </w:tcPr>
          <w:p w:rsidR="008431D4" w:rsidRPr="00F86117" w:rsidRDefault="008431D4" w:rsidP="00AD4D26">
            <w:pPr>
              <w:pStyle w:val="TableText1"/>
              <w:keepNext w:val="0"/>
              <w:spacing w:before="0" w:after="0"/>
              <w:rPr>
                <w:b/>
              </w:rPr>
            </w:pPr>
            <w:r w:rsidRPr="00F86117">
              <w:rPr>
                <w:b/>
              </w:rPr>
              <w:t>Event</w:t>
            </w:r>
          </w:p>
        </w:tc>
        <w:tc>
          <w:tcPr>
            <w:tcW w:w="802" w:type="pct"/>
            <w:gridSpan w:val="3"/>
            <w:shd w:val="clear" w:color="auto" w:fill="auto"/>
          </w:tcPr>
          <w:p w:rsidR="008431D4" w:rsidRPr="00F86117" w:rsidRDefault="008431D4" w:rsidP="00AD4D26">
            <w:pPr>
              <w:pStyle w:val="TableText1"/>
              <w:keepNext w:val="0"/>
              <w:spacing w:before="0" w:after="0"/>
              <w:jc w:val="center"/>
              <w:rPr>
                <w:b/>
              </w:rPr>
            </w:pPr>
            <w:proofErr w:type="spellStart"/>
            <w:r w:rsidRPr="00F86117">
              <w:rPr>
                <w:b/>
              </w:rPr>
              <w:t>Cabozantinib</w:t>
            </w:r>
            <w:proofErr w:type="spellEnd"/>
          </w:p>
        </w:tc>
        <w:tc>
          <w:tcPr>
            <w:tcW w:w="840" w:type="pct"/>
            <w:shd w:val="clear" w:color="auto" w:fill="auto"/>
          </w:tcPr>
          <w:p w:rsidR="008431D4" w:rsidRPr="00F86117" w:rsidRDefault="008431D4" w:rsidP="00AD4D26">
            <w:pPr>
              <w:pStyle w:val="TableText1"/>
              <w:keepNext w:val="0"/>
              <w:spacing w:before="0" w:after="0"/>
              <w:jc w:val="center"/>
              <w:rPr>
                <w:b/>
              </w:rPr>
            </w:pPr>
            <w:proofErr w:type="spellStart"/>
            <w:r w:rsidRPr="00F86117">
              <w:rPr>
                <w:b/>
              </w:rPr>
              <w:t>Sunitinib</w:t>
            </w:r>
            <w:proofErr w:type="spellEnd"/>
          </w:p>
        </w:tc>
        <w:tc>
          <w:tcPr>
            <w:tcW w:w="1195" w:type="pct"/>
            <w:gridSpan w:val="3"/>
            <w:shd w:val="clear" w:color="auto" w:fill="auto"/>
          </w:tcPr>
          <w:p w:rsidR="008431D4" w:rsidRPr="00F86117" w:rsidRDefault="008431D4" w:rsidP="00AD4D26">
            <w:pPr>
              <w:pStyle w:val="TableText1"/>
              <w:keepNext w:val="0"/>
              <w:spacing w:before="0" w:after="0"/>
              <w:jc w:val="center"/>
              <w:rPr>
                <w:rFonts w:asciiTheme="minorHAnsi" w:hAnsiTheme="minorHAnsi"/>
                <w:b/>
              </w:rPr>
            </w:pPr>
            <w:r w:rsidRPr="00F86117">
              <w:rPr>
                <w:b/>
              </w:rPr>
              <w:t>Absolute Difference</w:t>
            </w:r>
          </w:p>
        </w:tc>
        <w:tc>
          <w:tcPr>
            <w:tcW w:w="796" w:type="pct"/>
            <w:tcBorders>
              <w:bottom w:val="single" w:sz="4" w:space="0" w:color="auto"/>
            </w:tcBorders>
            <w:shd w:val="clear" w:color="auto" w:fill="auto"/>
          </w:tcPr>
          <w:p w:rsidR="008431D4" w:rsidRPr="00F86117" w:rsidRDefault="008431D4" w:rsidP="00AD4D26">
            <w:pPr>
              <w:pStyle w:val="TableText1"/>
              <w:keepNext w:val="0"/>
              <w:spacing w:before="0" w:after="0"/>
              <w:jc w:val="center"/>
              <w:rPr>
                <w:b/>
              </w:rPr>
            </w:pPr>
            <w:r w:rsidRPr="00F86117">
              <w:rPr>
                <w:b/>
              </w:rPr>
              <w:t>HR (95% CI)</w:t>
            </w:r>
          </w:p>
        </w:tc>
      </w:tr>
      <w:tr w:rsidR="008431D4" w:rsidRPr="00F86117" w:rsidTr="00330E62">
        <w:trPr>
          <w:trHeight w:val="20"/>
        </w:trPr>
        <w:tc>
          <w:tcPr>
            <w:tcW w:w="1367" w:type="pct"/>
            <w:shd w:val="clear" w:color="auto" w:fill="auto"/>
          </w:tcPr>
          <w:p w:rsidR="008431D4" w:rsidRPr="00F86117" w:rsidRDefault="008431D4" w:rsidP="00AD4D26">
            <w:pPr>
              <w:pStyle w:val="TableText1"/>
              <w:keepNext w:val="0"/>
              <w:spacing w:before="0" w:after="0"/>
            </w:pPr>
            <w:r w:rsidRPr="00F86117">
              <w:t>Progressed, n (%)</w:t>
            </w:r>
          </w:p>
        </w:tc>
        <w:tc>
          <w:tcPr>
            <w:tcW w:w="802" w:type="pct"/>
            <w:gridSpan w:val="3"/>
            <w:shd w:val="clear" w:color="auto" w:fill="auto"/>
          </w:tcPr>
          <w:p w:rsidR="008431D4" w:rsidRPr="00F86117" w:rsidRDefault="008431D4" w:rsidP="00AD4D26">
            <w:pPr>
              <w:pStyle w:val="TableText1"/>
              <w:keepNext w:val="0"/>
              <w:spacing w:before="0" w:after="0"/>
              <w:jc w:val="center"/>
            </w:pPr>
            <w:r w:rsidRPr="00F86117">
              <w:rPr>
                <w:rFonts w:cs="Times New Roman"/>
                <w:szCs w:val="20"/>
              </w:rPr>
              <w:t>40/79 (54)</w:t>
            </w:r>
          </w:p>
        </w:tc>
        <w:tc>
          <w:tcPr>
            <w:tcW w:w="840" w:type="pct"/>
            <w:shd w:val="clear" w:color="auto" w:fill="auto"/>
          </w:tcPr>
          <w:p w:rsidR="008431D4" w:rsidRPr="00F86117" w:rsidRDefault="008431D4" w:rsidP="00AD4D26">
            <w:pPr>
              <w:pStyle w:val="TableText1"/>
              <w:keepNext w:val="0"/>
              <w:spacing w:before="0" w:after="0"/>
              <w:jc w:val="center"/>
            </w:pPr>
            <w:r w:rsidRPr="00F86117">
              <w:rPr>
                <w:rFonts w:cs="Times New Roman"/>
                <w:szCs w:val="20"/>
              </w:rPr>
              <w:t>43/78 (63)</w:t>
            </w:r>
          </w:p>
        </w:tc>
        <w:tc>
          <w:tcPr>
            <w:tcW w:w="1195" w:type="pct"/>
            <w:gridSpan w:val="3"/>
            <w:shd w:val="clear" w:color="auto" w:fill="auto"/>
          </w:tcPr>
          <w:p w:rsidR="008431D4" w:rsidRPr="00F86117" w:rsidRDefault="008431D4" w:rsidP="00AD4D26">
            <w:pPr>
              <w:pStyle w:val="TableText1"/>
              <w:keepNext w:val="0"/>
              <w:spacing w:before="0" w:after="0"/>
              <w:jc w:val="center"/>
            </w:pPr>
          </w:p>
        </w:tc>
        <w:tc>
          <w:tcPr>
            <w:tcW w:w="796" w:type="pct"/>
            <w:tcBorders>
              <w:bottom w:val="nil"/>
            </w:tcBorders>
            <w:shd w:val="clear" w:color="auto" w:fill="auto"/>
          </w:tcPr>
          <w:p w:rsidR="008431D4" w:rsidRPr="00F86117" w:rsidRDefault="008431D4" w:rsidP="00AD4D26">
            <w:pPr>
              <w:pStyle w:val="TableText1"/>
              <w:keepNext w:val="0"/>
              <w:spacing w:before="0" w:after="0"/>
              <w:jc w:val="center"/>
              <w:rPr>
                <w:b/>
                <w:szCs w:val="20"/>
              </w:rPr>
            </w:pPr>
            <w:r w:rsidRPr="00F86117">
              <w:rPr>
                <w:b/>
                <w:szCs w:val="20"/>
              </w:rPr>
              <w:t>0.48 (0.31, 0.74)</w:t>
            </w:r>
          </w:p>
          <w:p w:rsidR="008431D4" w:rsidRPr="00F86117" w:rsidRDefault="008431D4" w:rsidP="00AD4D26">
            <w:pPr>
              <w:pStyle w:val="TableText1"/>
              <w:keepNext w:val="0"/>
              <w:spacing w:before="0" w:after="0"/>
              <w:jc w:val="center"/>
            </w:pPr>
            <w:r w:rsidRPr="00F86117">
              <w:rPr>
                <w:b/>
                <w:szCs w:val="20"/>
              </w:rPr>
              <w:t>P=0.0008</w:t>
            </w:r>
          </w:p>
        </w:tc>
      </w:tr>
      <w:tr w:rsidR="008431D4" w:rsidRPr="00F86117" w:rsidTr="00330E62">
        <w:trPr>
          <w:trHeight w:val="20"/>
        </w:trPr>
        <w:tc>
          <w:tcPr>
            <w:tcW w:w="1367" w:type="pct"/>
            <w:shd w:val="clear" w:color="auto" w:fill="auto"/>
          </w:tcPr>
          <w:p w:rsidR="008431D4" w:rsidRPr="00F86117" w:rsidRDefault="008431D4" w:rsidP="00AD4D26">
            <w:pPr>
              <w:pStyle w:val="TableText1"/>
              <w:keepNext w:val="0"/>
              <w:spacing w:before="0" w:after="0"/>
            </w:pPr>
            <w:r w:rsidRPr="00F86117">
              <w:t>% not progressed at 12 months (95% CI)</w:t>
            </w:r>
          </w:p>
        </w:tc>
        <w:tc>
          <w:tcPr>
            <w:tcW w:w="802" w:type="pct"/>
            <w:gridSpan w:val="3"/>
            <w:shd w:val="clear" w:color="auto" w:fill="auto"/>
          </w:tcPr>
          <w:p w:rsidR="008431D4" w:rsidRPr="00F86117" w:rsidRDefault="008431D4" w:rsidP="00AD4D26">
            <w:pPr>
              <w:pStyle w:val="TableText1"/>
              <w:keepNext w:val="0"/>
              <w:spacing w:before="0" w:after="0"/>
              <w:jc w:val="center"/>
            </w:pPr>
            <w:r w:rsidRPr="00F86117">
              <w:rPr>
                <w:szCs w:val="20"/>
              </w:rPr>
              <w:t>43.1 (NR)</w:t>
            </w:r>
          </w:p>
        </w:tc>
        <w:tc>
          <w:tcPr>
            <w:tcW w:w="840" w:type="pct"/>
            <w:shd w:val="clear" w:color="auto" w:fill="auto"/>
          </w:tcPr>
          <w:p w:rsidR="008431D4" w:rsidRPr="00F86117" w:rsidRDefault="008431D4" w:rsidP="00AD4D26">
            <w:pPr>
              <w:pStyle w:val="TableText1"/>
              <w:keepNext w:val="0"/>
              <w:spacing w:before="0" w:after="0"/>
              <w:jc w:val="center"/>
            </w:pPr>
            <w:r w:rsidRPr="00F86117">
              <w:rPr>
                <w:szCs w:val="20"/>
              </w:rPr>
              <w:t>21.1 (NR)</w:t>
            </w:r>
          </w:p>
        </w:tc>
        <w:tc>
          <w:tcPr>
            <w:tcW w:w="1195" w:type="pct"/>
            <w:gridSpan w:val="3"/>
            <w:shd w:val="clear" w:color="auto" w:fill="auto"/>
          </w:tcPr>
          <w:p w:rsidR="008431D4" w:rsidRPr="00F86117" w:rsidRDefault="008431D4" w:rsidP="00AD4D26">
            <w:pPr>
              <w:pStyle w:val="TableText1"/>
              <w:keepNext w:val="0"/>
              <w:spacing w:before="0" w:after="0"/>
              <w:jc w:val="center"/>
            </w:pPr>
            <w:r w:rsidRPr="00F86117">
              <w:rPr>
                <w:rFonts w:cs="Times New Roman"/>
                <w:szCs w:val="20"/>
              </w:rPr>
              <w:t>22.0</w:t>
            </w:r>
          </w:p>
        </w:tc>
        <w:tc>
          <w:tcPr>
            <w:tcW w:w="796" w:type="pct"/>
            <w:tcBorders>
              <w:top w:val="nil"/>
              <w:bottom w:val="nil"/>
            </w:tcBorders>
            <w:shd w:val="clear" w:color="auto" w:fill="auto"/>
          </w:tcPr>
          <w:p w:rsidR="008431D4" w:rsidRPr="00F86117" w:rsidRDefault="008431D4" w:rsidP="00AD4D26">
            <w:pPr>
              <w:pStyle w:val="TableText1"/>
              <w:keepNext w:val="0"/>
              <w:spacing w:before="0" w:after="0"/>
              <w:jc w:val="center"/>
            </w:pPr>
          </w:p>
        </w:tc>
      </w:tr>
      <w:tr w:rsidR="008431D4" w:rsidRPr="00F86117" w:rsidTr="00330E62">
        <w:trPr>
          <w:trHeight w:val="20"/>
        </w:trPr>
        <w:tc>
          <w:tcPr>
            <w:tcW w:w="1367" w:type="pct"/>
            <w:shd w:val="clear" w:color="auto" w:fill="auto"/>
          </w:tcPr>
          <w:p w:rsidR="008431D4" w:rsidRPr="00F86117" w:rsidRDefault="008431D4" w:rsidP="00AD4D26">
            <w:pPr>
              <w:pStyle w:val="TableText1"/>
              <w:keepNext w:val="0"/>
              <w:spacing w:before="0" w:after="0"/>
            </w:pPr>
            <w:r w:rsidRPr="00F86117">
              <w:t>% not progressed at 18 months (95% CI)</w:t>
            </w:r>
          </w:p>
        </w:tc>
        <w:tc>
          <w:tcPr>
            <w:tcW w:w="802" w:type="pct"/>
            <w:gridSpan w:val="3"/>
            <w:shd w:val="clear" w:color="auto" w:fill="auto"/>
          </w:tcPr>
          <w:p w:rsidR="008431D4" w:rsidRPr="00F86117" w:rsidRDefault="008431D4" w:rsidP="00AD4D26">
            <w:pPr>
              <w:pStyle w:val="TableText1"/>
              <w:keepNext w:val="0"/>
              <w:spacing w:before="0" w:after="0"/>
              <w:jc w:val="center"/>
              <w:rPr>
                <w:szCs w:val="20"/>
              </w:rPr>
            </w:pPr>
            <w:r w:rsidRPr="00F86117">
              <w:rPr>
                <w:szCs w:val="20"/>
              </w:rPr>
              <w:t>31.4 (NR)</w:t>
            </w:r>
          </w:p>
        </w:tc>
        <w:tc>
          <w:tcPr>
            <w:tcW w:w="840" w:type="pct"/>
            <w:shd w:val="clear" w:color="auto" w:fill="auto"/>
          </w:tcPr>
          <w:p w:rsidR="008431D4" w:rsidRPr="00F86117" w:rsidRDefault="008431D4" w:rsidP="00AD4D26">
            <w:pPr>
              <w:pStyle w:val="TableText1"/>
              <w:keepNext w:val="0"/>
              <w:spacing w:before="0" w:after="0"/>
              <w:jc w:val="center"/>
              <w:rPr>
                <w:szCs w:val="20"/>
              </w:rPr>
            </w:pPr>
            <w:r w:rsidRPr="00F86117">
              <w:rPr>
                <w:szCs w:val="20"/>
              </w:rPr>
              <w:t>8.0 (NR)</w:t>
            </w:r>
          </w:p>
        </w:tc>
        <w:tc>
          <w:tcPr>
            <w:tcW w:w="1195" w:type="pct"/>
            <w:gridSpan w:val="3"/>
            <w:shd w:val="clear" w:color="auto" w:fill="auto"/>
          </w:tcPr>
          <w:p w:rsidR="008431D4" w:rsidRPr="00F86117" w:rsidRDefault="008431D4" w:rsidP="00AD4D26">
            <w:pPr>
              <w:pStyle w:val="TableText1"/>
              <w:keepNext w:val="0"/>
              <w:spacing w:before="0" w:after="0"/>
              <w:jc w:val="center"/>
              <w:rPr>
                <w:rFonts w:cs="Times New Roman"/>
                <w:szCs w:val="20"/>
              </w:rPr>
            </w:pPr>
            <w:r w:rsidRPr="00F86117">
              <w:rPr>
                <w:rFonts w:cs="Times New Roman"/>
                <w:szCs w:val="20"/>
              </w:rPr>
              <w:t>23.4</w:t>
            </w:r>
          </w:p>
        </w:tc>
        <w:tc>
          <w:tcPr>
            <w:tcW w:w="796" w:type="pct"/>
            <w:tcBorders>
              <w:top w:val="nil"/>
            </w:tcBorders>
            <w:shd w:val="clear" w:color="auto" w:fill="auto"/>
          </w:tcPr>
          <w:p w:rsidR="008431D4" w:rsidRPr="00F86117" w:rsidRDefault="008431D4" w:rsidP="00AD4D26">
            <w:pPr>
              <w:pStyle w:val="TableText1"/>
              <w:keepNext w:val="0"/>
              <w:spacing w:before="0" w:after="0"/>
              <w:jc w:val="center"/>
            </w:pPr>
          </w:p>
        </w:tc>
      </w:tr>
      <w:tr w:rsidR="008431D4" w:rsidRPr="00F86117" w:rsidTr="00F400AB">
        <w:trPr>
          <w:trHeight w:val="20"/>
        </w:trPr>
        <w:tc>
          <w:tcPr>
            <w:tcW w:w="5000" w:type="pct"/>
            <w:gridSpan w:val="9"/>
            <w:shd w:val="clear" w:color="auto" w:fill="auto"/>
          </w:tcPr>
          <w:p w:rsidR="008431D4" w:rsidRPr="00F86117" w:rsidRDefault="008431D4" w:rsidP="00AD4D26">
            <w:pPr>
              <w:pStyle w:val="TableText1"/>
              <w:keepNext w:val="0"/>
              <w:spacing w:before="0" w:after="0"/>
            </w:pPr>
            <w:r w:rsidRPr="00F86117">
              <w:rPr>
                <w:b/>
              </w:rPr>
              <w:t>Overall survival (median duration of follow up 28.9 months)</w:t>
            </w:r>
          </w:p>
        </w:tc>
      </w:tr>
      <w:tr w:rsidR="008431D4" w:rsidRPr="00F86117" w:rsidTr="00330E62">
        <w:trPr>
          <w:trHeight w:val="20"/>
        </w:trPr>
        <w:tc>
          <w:tcPr>
            <w:tcW w:w="1367" w:type="pct"/>
            <w:shd w:val="clear" w:color="auto" w:fill="auto"/>
          </w:tcPr>
          <w:p w:rsidR="008431D4" w:rsidRPr="00F86117" w:rsidRDefault="008431D4" w:rsidP="00AD4D26">
            <w:pPr>
              <w:pStyle w:val="TableText1"/>
              <w:keepNext w:val="0"/>
              <w:spacing w:before="0" w:after="0"/>
            </w:pPr>
            <w:r w:rsidRPr="00F86117">
              <w:t xml:space="preserve">Deaths, n (%) </w:t>
            </w:r>
          </w:p>
        </w:tc>
        <w:tc>
          <w:tcPr>
            <w:tcW w:w="802" w:type="pct"/>
            <w:gridSpan w:val="3"/>
            <w:shd w:val="clear" w:color="auto" w:fill="auto"/>
          </w:tcPr>
          <w:p w:rsidR="008431D4" w:rsidRPr="00F86117" w:rsidRDefault="008431D4" w:rsidP="00AD4D26">
            <w:pPr>
              <w:pStyle w:val="TableText1"/>
              <w:keepNext w:val="0"/>
              <w:spacing w:before="0" w:after="0"/>
              <w:jc w:val="center"/>
            </w:pPr>
            <w:r w:rsidRPr="00F86117">
              <w:rPr>
                <w:szCs w:val="20"/>
              </w:rPr>
              <w:t>38 (48)</w:t>
            </w:r>
          </w:p>
        </w:tc>
        <w:tc>
          <w:tcPr>
            <w:tcW w:w="840" w:type="pct"/>
            <w:shd w:val="clear" w:color="auto" w:fill="auto"/>
          </w:tcPr>
          <w:p w:rsidR="008431D4" w:rsidRPr="00F86117" w:rsidRDefault="008431D4" w:rsidP="00AD4D26">
            <w:pPr>
              <w:pStyle w:val="TableText1"/>
              <w:keepNext w:val="0"/>
              <w:spacing w:before="0" w:after="0"/>
              <w:jc w:val="center"/>
            </w:pPr>
            <w:r w:rsidRPr="00F86117">
              <w:rPr>
                <w:szCs w:val="20"/>
              </w:rPr>
              <w:t>45 (58)</w:t>
            </w:r>
          </w:p>
        </w:tc>
        <w:tc>
          <w:tcPr>
            <w:tcW w:w="1195" w:type="pct"/>
            <w:gridSpan w:val="3"/>
            <w:shd w:val="clear" w:color="auto" w:fill="auto"/>
          </w:tcPr>
          <w:p w:rsidR="008431D4" w:rsidRPr="00F86117" w:rsidRDefault="008431D4" w:rsidP="00AD4D26">
            <w:pPr>
              <w:pStyle w:val="TableText1"/>
              <w:keepNext w:val="0"/>
              <w:spacing w:before="0" w:after="0"/>
              <w:jc w:val="center"/>
            </w:pPr>
          </w:p>
        </w:tc>
        <w:tc>
          <w:tcPr>
            <w:tcW w:w="796" w:type="pct"/>
            <w:tcBorders>
              <w:bottom w:val="nil"/>
            </w:tcBorders>
            <w:shd w:val="clear" w:color="auto" w:fill="auto"/>
          </w:tcPr>
          <w:p w:rsidR="008431D4" w:rsidRPr="00F86117" w:rsidRDefault="008431D4" w:rsidP="00AD4D26">
            <w:pPr>
              <w:pStyle w:val="TableText1"/>
              <w:keepNext w:val="0"/>
              <w:spacing w:before="0" w:after="0"/>
              <w:jc w:val="center"/>
              <w:rPr>
                <w:szCs w:val="20"/>
              </w:rPr>
            </w:pPr>
            <w:r w:rsidRPr="00F86117">
              <w:rPr>
                <w:szCs w:val="20"/>
              </w:rPr>
              <w:t>0.74 (0.47, 1.14)</w:t>
            </w:r>
          </w:p>
          <w:p w:rsidR="008431D4" w:rsidRPr="00F86117" w:rsidRDefault="008431D4" w:rsidP="00AD4D26">
            <w:pPr>
              <w:pStyle w:val="TableText1"/>
              <w:keepNext w:val="0"/>
              <w:spacing w:before="0" w:after="0"/>
              <w:jc w:val="center"/>
            </w:pPr>
            <w:r w:rsidRPr="00F86117">
              <w:rPr>
                <w:szCs w:val="20"/>
              </w:rPr>
              <w:t>P=0.17</w:t>
            </w:r>
          </w:p>
        </w:tc>
      </w:tr>
      <w:tr w:rsidR="008431D4" w:rsidRPr="00F86117" w:rsidTr="00330E62">
        <w:trPr>
          <w:trHeight w:val="20"/>
        </w:trPr>
        <w:tc>
          <w:tcPr>
            <w:tcW w:w="1367" w:type="pct"/>
            <w:shd w:val="clear" w:color="auto" w:fill="auto"/>
          </w:tcPr>
          <w:p w:rsidR="008431D4" w:rsidRPr="00F86117" w:rsidRDefault="008431D4" w:rsidP="00AD4D26">
            <w:pPr>
              <w:pStyle w:val="TableText1"/>
              <w:keepNext w:val="0"/>
              <w:spacing w:before="0" w:after="0"/>
            </w:pPr>
            <w:r w:rsidRPr="00F86117">
              <w:t xml:space="preserve">% Alive at 12 months (95% CI) </w:t>
            </w:r>
          </w:p>
        </w:tc>
        <w:tc>
          <w:tcPr>
            <w:tcW w:w="802" w:type="pct"/>
            <w:gridSpan w:val="3"/>
            <w:shd w:val="clear" w:color="auto" w:fill="auto"/>
          </w:tcPr>
          <w:p w:rsidR="008431D4" w:rsidRPr="00F86117" w:rsidRDefault="008431D4" w:rsidP="00AD4D26">
            <w:pPr>
              <w:pStyle w:val="TableText1"/>
              <w:keepNext w:val="0"/>
              <w:spacing w:before="0" w:after="0"/>
              <w:jc w:val="center"/>
            </w:pPr>
            <w:r w:rsidRPr="00F86117">
              <w:rPr>
                <w:szCs w:val="20"/>
              </w:rPr>
              <w:t>75.6 (NR)</w:t>
            </w:r>
          </w:p>
        </w:tc>
        <w:tc>
          <w:tcPr>
            <w:tcW w:w="840" w:type="pct"/>
            <w:shd w:val="clear" w:color="auto" w:fill="auto"/>
          </w:tcPr>
          <w:p w:rsidR="008431D4" w:rsidRPr="00F86117" w:rsidRDefault="008431D4" w:rsidP="00AD4D26">
            <w:pPr>
              <w:pStyle w:val="TableText1"/>
              <w:keepNext w:val="0"/>
              <w:spacing w:before="0" w:after="0"/>
              <w:jc w:val="center"/>
            </w:pPr>
            <w:r w:rsidRPr="00F86117">
              <w:rPr>
                <w:szCs w:val="20"/>
              </w:rPr>
              <w:t>68.9 (NR)</w:t>
            </w:r>
          </w:p>
        </w:tc>
        <w:tc>
          <w:tcPr>
            <w:tcW w:w="1195" w:type="pct"/>
            <w:gridSpan w:val="3"/>
            <w:shd w:val="clear" w:color="auto" w:fill="auto"/>
          </w:tcPr>
          <w:p w:rsidR="008431D4" w:rsidRPr="00F86117" w:rsidRDefault="008431D4" w:rsidP="00AD4D26">
            <w:pPr>
              <w:pStyle w:val="TableText1"/>
              <w:keepNext w:val="0"/>
              <w:spacing w:before="0" w:after="0"/>
              <w:jc w:val="center"/>
            </w:pPr>
            <w:r w:rsidRPr="00F86117">
              <w:t>6.7</w:t>
            </w:r>
          </w:p>
        </w:tc>
        <w:tc>
          <w:tcPr>
            <w:tcW w:w="796" w:type="pct"/>
            <w:tcBorders>
              <w:top w:val="nil"/>
              <w:bottom w:val="nil"/>
            </w:tcBorders>
            <w:shd w:val="clear" w:color="auto" w:fill="auto"/>
          </w:tcPr>
          <w:p w:rsidR="008431D4" w:rsidRPr="00F86117" w:rsidRDefault="008431D4" w:rsidP="00AD4D26">
            <w:pPr>
              <w:pStyle w:val="TableText1"/>
              <w:keepNext w:val="0"/>
              <w:spacing w:before="0" w:after="0"/>
              <w:jc w:val="center"/>
            </w:pPr>
          </w:p>
        </w:tc>
      </w:tr>
      <w:tr w:rsidR="008431D4" w:rsidRPr="00F86117" w:rsidTr="00330E62">
        <w:trPr>
          <w:trHeight w:val="20"/>
        </w:trPr>
        <w:tc>
          <w:tcPr>
            <w:tcW w:w="1367" w:type="pct"/>
            <w:shd w:val="clear" w:color="auto" w:fill="auto"/>
          </w:tcPr>
          <w:p w:rsidR="008431D4" w:rsidRPr="00F86117" w:rsidRDefault="008431D4" w:rsidP="00AD4D26">
            <w:pPr>
              <w:pStyle w:val="TableText1"/>
              <w:keepNext w:val="0"/>
              <w:spacing w:before="0" w:after="0"/>
            </w:pPr>
            <w:r w:rsidRPr="00F86117">
              <w:t>% Alive at 24 months (95% CI)</w:t>
            </w:r>
          </w:p>
        </w:tc>
        <w:tc>
          <w:tcPr>
            <w:tcW w:w="802" w:type="pct"/>
            <w:gridSpan w:val="3"/>
            <w:shd w:val="clear" w:color="auto" w:fill="auto"/>
          </w:tcPr>
          <w:p w:rsidR="008431D4" w:rsidRPr="00F86117" w:rsidRDefault="008431D4" w:rsidP="00AD4D26">
            <w:pPr>
              <w:pStyle w:val="TableText1"/>
              <w:keepNext w:val="0"/>
              <w:spacing w:before="0" w:after="0"/>
              <w:jc w:val="center"/>
              <w:rPr>
                <w:szCs w:val="20"/>
              </w:rPr>
            </w:pPr>
            <w:r w:rsidRPr="00F86117">
              <w:rPr>
                <w:szCs w:val="20"/>
              </w:rPr>
              <w:t>55.8 (NR)</w:t>
            </w:r>
          </w:p>
        </w:tc>
        <w:tc>
          <w:tcPr>
            <w:tcW w:w="840" w:type="pct"/>
            <w:shd w:val="clear" w:color="auto" w:fill="auto"/>
          </w:tcPr>
          <w:p w:rsidR="008431D4" w:rsidRPr="00F86117" w:rsidRDefault="008431D4" w:rsidP="00AD4D26">
            <w:pPr>
              <w:pStyle w:val="TableText1"/>
              <w:keepNext w:val="0"/>
              <w:spacing w:before="0" w:after="0"/>
              <w:jc w:val="center"/>
              <w:rPr>
                <w:szCs w:val="20"/>
              </w:rPr>
            </w:pPr>
            <w:r w:rsidRPr="00F86117">
              <w:rPr>
                <w:szCs w:val="20"/>
              </w:rPr>
              <w:t>43.3 (NR)</w:t>
            </w:r>
          </w:p>
        </w:tc>
        <w:tc>
          <w:tcPr>
            <w:tcW w:w="1195" w:type="pct"/>
            <w:gridSpan w:val="3"/>
            <w:shd w:val="clear" w:color="auto" w:fill="auto"/>
          </w:tcPr>
          <w:p w:rsidR="008431D4" w:rsidRPr="00F86117" w:rsidRDefault="008431D4" w:rsidP="00AD4D26">
            <w:pPr>
              <w:pStyle w:val="TableText1"/>
              <w:keepNext w:val="0"/>
              <w:spacing w:before="0" w:after="0"/>
              <w:jc w:val="center"/>
            </w:pPr>
            <w:r w:rsidRPr="00F86117">
              <w:t>12.5</w:t>
            </w:r>
          </w:p>
        </w:tc>
        <w:tc>
          <w:tcPr>
            <w:tcW w:w="796" w:type="pct"/>
            <w:tcBorders>
              <w:top w:val="nil"/>
            </w:tcBorders>
            <w:shd w:val="clear" w:color="auto" w:fill="auto"/>
          </w:tcPr>
          <w:p w:rsidR="008431D4" w:rsidRPr="00F86117" w:rsidRDefault="008431D4" w:rsidP="00AD4D26">
            <w:pPr>
              <w:pStyle w:val="TableText1"/>
              <w:keepNext w:val="0"/>
              <w:spacing w:before="0" w:after="0"/>
              <w:jc w:val="center"/>
            </w:pPr>
          </w:p>
        </w:tc>
      </w:tr>
      <w:tr w:rsidR="008431D4" w:rsidRPr="00F86117" w:rsidTr="00F400AB">
        <w:trPr>
          <w:trHeight w:val="20"/>
        </w:trPr>
        <w:tc>
          <w:tcPr>
            <w:tcW w:w="5000" w:type="pct"/>
            <w:gridSpan w:val="9"/>
            <w:shd w:val="clear" w:color="auto" w:fill="auto"/>
          </w:tcPr>
          <w:p w:rsidR="008431D4" w:rsidRPr="00F86117" w:rsidRDefault="008431D4" w:rsidP="00AD4D26">
            <w:pPr>
              <w:pStyle w:val="TableText1"/>
              <w:keepNext w:val="0"/>
              <w:spacing w:before="0" w:after="0"/>
              <w:rPr>
                <w:b/>
              </w:rPr>
            </w:pPr>
            <w:r w:rsidRPr="00F86117">
              <w:rPr>
                <w:b/>
              </w:rPr>
              <w:t>Harms (median duration of follow up 25 months)</w:t>
            </w:r>
          </w:p>
        </w:tc>
      </w:tr>
      <w:tr w:rsidR="00BE2DDA" w:rsidRPr="00F86117" w:rsidTr="00C27055">
        <w:trPr>
          <w:trHeight w:val="20"/>
        </w:trPr>
        <w:tc>
          <w:tcPr>
            <w:tcW w:w="1389" w:type="pct"/>
            <w:gridSpan w:val="2"/>
            <w:vMerge w:val="restart"/>
            <w:shd w:val="clear" w:color="auto" w:fill="auto"/>
          </w:tcPr>
          <w:p w:rsidR="00BE2DDA" w:rsidRPr="00F86117" w:rsidRDefault="00BE2DDA" w:rsidP="00AD4D26">
            <w:pPr>
              <w:pStyle w:val="TableText1"/>
              <w:keepNext w:val="0"/>
              <w:spacing w:before="0" w:after="0"/>
            </w:pPr>
            <w:r w:rsidRPr="00F86117">
              <w:rPr>
                <w:b/>
              </w:rPr>
              <w:t>Potentially clinically relevant adverse events (any grade)</w:t>
            </w:r>
          </w:p>
        </w:tc>
        <w:tc>
          <w:tcPr>
            <w:tcW w:w="755" w:type="pct"/>
            <w:vMerge w:val="restart"/>
            <w:shd w:val="clear" w:color="auto" w:fill="auto"/>
          </w:tcPr>
          <w:p w:rsidR="00BE2DDA" w:rsidRPr="00F86117" w:rsidRDefault="00BE2DDA" w:rsidP="00AD4D26">
            <w:pPr>
              <w:pStyle w:val="TableText1"/>
              <w:keepNext w:val="0"/>
              <w:spacing w:before="0" w:after="0"/>
              <w:jc w:val="center"/>
              <w:rPr>
                <w:b/>
              </w:rPr>
            </w:pPr>
            <w:proofErr w:type="spellStart"/>
            <w:r w:rsidRPr="00F86117">
              <w:rPr>
                <w:b/>
              </w:rPr>
              <w:t>Cabozantinib</w:t>
            </w:r>
            <w:proofErr w:type="spellEnd"/>
            <w:r w:rsidRPr="00F86117">
              <w:rPr>
                <w:b/>
              </w:rPr>
              <w:t xml:space="preserve"> (N=78)</w:t>
            </w:r>
          </w:p>
        </w:tc>
        <w:tc>
          <w:tcPr>
            <w:tcW w:w="865" w:type="pct"/>
            <w:gridSpan w:val="2"/>
            <w:vMerge w:val="restart"/>
            <w:shd w:val="clear" w:color="auto" w:fill="auto"/>
          </w:tcPr>
          <w:p w:rsidR="00BE2DDA" w:rsidRPr="00F86117" w:rsidRDefault="00BE2DDA" w:rsidP="00AD4D26">
            <w:pPr>
              <w:pStyle w:val="TableText1"/>
              <w:keepNext w:val="0"/>
              <w:spacing w:before="0" w:after="0"/>
              <w:jc w:val="center"/>
              <w:rPr>
                <w:b/>
              </w:rPr>
            </w:pPr>
            <w:proofErr w:type="spellStart"/>
            <w:r w:rsidRPr="00F86117">
              <w:rPr>
                <w:b/>
              </w:rPr>
              <w:t>Sunitinib</w:t>
            </w:r>
            <w:proofErr w:type="spellEnd"/>
            <w:r w:rsidRPr="00F86117">
              <w:rPr>
                <w:b/>
              </w:rPr>
              <w:t xml:space="preserve"> </w:t>
            </w:r>
          </w:p>
          <w:p w:rsidR="00BE2DDA" w:rsidRPr="00F86117" w:rsidRDefault="00BE2DDA" w:rsidP="00AD4D26">
            <w:pPr>
              <w:pStyle w:val="TableText1"/>
              <w:keepNext w:val="0"/>
              <w:spacing w:before="0" w:after="0"/>
              <w:jc w:val="center"/>
              <w:rPr>
                <w:b/>
              </w:rPr>
            </w:pPr>
            <w:r w:rsidRPr="00F86117">
              <w:rPr>
                <w:b/>
              </w:rPr>
              <w:t>(N=72)</w:t>
            </w:r>
          </w:p>
        </w:tc>
        <w:tc>
          <w:tcPr>
            <w:tcW w:w="1166" w:type="pct"/>
            <w:gridSpan w:val="2"/>
            <w:shd w:val="clear" w:color="auto" w:fill="auto"/>
          </w:tcPr>
          <w:p w:rsidR="00BE2DDA" w:rsidRPr="00F86117" w:rsidRDefault="00BE2DDA" w:rsidP="00AD4D26">
            <w:pPr>
              <w:pStyle w:val="TableText1"/>
              <w:keepNext w:val="0"/>
              <w:spacing w:before="0" w:after="0"/>
              <w:jc w:val="center"/>
              <w:rPr>
                <w:b/>
              </w:rPr>
            </w:pPr>
            <w:r w:rsidRPr="00F86117">
              <w:rPr>
                <w:b/>
              </w:rPr>
              <w:t>Events/100 patients</w:t>
            </w:r>
          </w:p>
        </w:tc>
        <w:tc>
          <w:tcPr>
            <w:tcW w:w="825" w:type="pct"/>
            <w:gridSpan w:val="2"/>
            <w:vMerge w:val="restart"/>
            <w:shd w:val="clear" w:color="auto" w:fill="auto"/>
          </w:tcPr>
          <w:p w:rsidR="00BE2DDA" w:rsidRPr="00F86117" w:rsidRDefault="00BE2DDA" w:rsidP="00AD4D26">
            <w:pPr>
              <w:pStyle w:val="TableText1"/>
              <w:keepNext w:val="0"/>
              <w:spacing w:before="0" w:after="0"/>
              <w:jc w:val="center"/>
              <w:rPr>
                <w:b/>
              </w:rPr>
            </w:pPr>
            <w:r w:rsidRPr="00F86117">
              <w:rPr>
                <w:b/>
              </w:rPr>
              <w:t>RD %</w:t>
            </w:r>
          </w:p>
          <w:p w:rsidR="00BE2DDA" w:rsidRPr="00F86117" w:rsidRDefault="00BE2DDA" w:rsidP="00AD4D26">
            <w:pPr>
              <w:pStyle w:val="TableText1"/>
              <w:keepNext w:val="0"/>
              <w:spacing w:before="0" w:after="0"/>
              <w:jc w:val="center"/>
              <w:rPr>
                <w:b/>
              </w:rPr>
            </w:pPr>
            <w:r w:rsidRPr="00F86117">
              <w:rPr>
                <w:b/>
              </w:rPr>
              <w:t>(95% CI)</w:t>
            </w:r>
          </w:p>
        </w:tc>
      </w:tr>
      <w:tr w:rsidR="00BE2DDA" w:rsidRPr="00F86117" w:rsidTr="00C27055">
        <w:trPr>
          <w:trHeight w:val="20"/>
        </w:trPr>
        <w:tc>
          <w:tcPr>
            <w:tcW w:w="1389" w:type="pct"/>
            <w:gridSpan w:val="2"/>
            <w:vMerge/>
            <w:shd w:val="clear" w:color="auto" w:fill="auto"/>
          </w:tcPr>
          <w:p w:rsidR="00BE2DDA" w:rsidRPr="00F86117" w:rsidRDefault="00BE2DDA" w:rsidP="00AD4D26">
            <w:pPr>
              <w:pStyle w:val="TableText1"/>
              <w:keepNext w:val="0"/>
              <w:spacing w:before="0" w:after="0"/>
            </w:pPr>
          </w:p>
        </w:tc>
        <w:tc>
          <w:tcPr>
            <w:tcW w:w="755" w:type="pct"/>
            <w:vMerge/>
            <w:shd w:val="clear" w:color="auto" w:fill="auto"/>
          </w:tcPr>
          <w:p w:rsidR="00BE2DDA" w:rsidRPr="00F86117" w:rsidRDefault="00BE2DDA" w:rsidP="00AD4D26">
            <w:pPr>
              <w:pStyle w:val="TableText1"/>
              <w:keepNext w:val="0"/>
              <w:spacing w:before="0" w:after="0"/>
              <w:jc w:val="center"/>
            </w:pPr>
          </w:p>
        </w:tc>
        <w:tc>
          <w:tcPr>
            <w:tcW w:w="865" w:type="pct"/>
            <w:gridSpan w:val="2"/>
            <w:vMerge/>
            <w:shd w:val="clear" w:color="auto" w:fill="auto"/>
          </w:tcPr>
          <w:p w:rsidR="00BE2DDA" w:rsidRPr="00F86117" w:rsidRDefault="00BE2DDA" w:rsidP="00AD4D26">
            <w:pPr>
              <w:pStyle w:val="TableText1"/>
              <w:keepNext w:val="0"/>
              <w:spacing w:before="0" w:after="0"/>
              <w:jc w:val="center"/>
            </w:pPr>
          </w:p>
        </w:tc>
        <w:tc>
          <w:tcPr>
            <w:tcW w:w="637" w:type="pct"/>
            <w:shd w:val="clear" w:color="auto" w:fill="auto"/>
          </w:tcPr>
          <w:p w:rsidR="00BE2DDA" w:rsidRPr="00F86117" w:rsidRDefault="00BE2DDA" w:rsidP="00AD4D26">
            <w:pPr>
              <w:pStyle w:val="TableText1"/>
              <w:keepNext w:val="0"/>
              <w:spacing w:before="0" w:after="0"/>
              <w:jc w:val="center"/>
              <w:rPr>
                <w:b/>
              </w:rPr>
            </w:pPr>
            <w:proofErr w:type="spellStart"/>
            <w:r w:rsidRPr="00F86117">
              <w:rPr>
                <w:b/>
              </w:rPr>
              <w:t>Cabozantinib</w:t>
            </w:r>
            <w:proofErr w:type="spellEnd"/>
          </w:p>
        </w:tc>
        <w:tc>
          <w:tcPr>
            <w:tcW w:w="529" w:type="pct"/>
            <w:shd w:val="clear" w:color="auto" w:fill="auto"/>
          </w:tcPr>
          <w:p w:rsidR="00BE2DDA" w:rsidRPr="00F86117" w:rsidRDefault="00BE2DDA" w:rsidP="00AD4D26">
            <w:pPr>
              <w:pStyle w:val="TableText1"/>
              <w:keepNext w:val="0"/>
              <w:spacing w:before="0" w:after="0"/>
              <w:jc w:val="center"/>
              <w:rPr>
                <w:b/>
              </w:rPr>
            </w:pPr>
            <w:proofErr w:type="spellStart"/>
            <w:r w:rsidRPr="00F86117">
              <w:rPr>
                <w:b/>
              </w:rPr>
              <w:t>Sunitinib</w:t>
            </w:r>
            <w:proofErr w:type="spellEnd"/>
          </w:p>
        </w:tc>
        <w:tc>
          <w:tcPr>
            <w:tcW w:w="825" w:type="pct"/>
            <w:gridSpan w:val="2"/>
            <w:vMerge/>
            <w:shd w:val="clear" w:color="auto" w:fill="auto"/>
          </w:tcPr>
          <w:p w:rsidR="00BE2DDA" w:rsidRPr="00F86117" w:rsidRDefault="00BE2DDA" w:rsidP="00AD4D26">
            <w:pPr>
              <w:pStyle w:val="TableText1"/>
              <w:keepNext w:val="0"/>
              <w:spacing w:before="0" w:after="0"/>
              <w:jc w:val="center"/>
            </w:pPr>
          </w:p>
        </w:tc>
      </w:tr>
      <w:tr w:rsidR="008431D4" w:rsidRPr="00F86117" w:rsidTr="00F400AB">
        <w:trPr>
          <w:trHeight w:val="20"/>
        </w:trPr>
        <w:tc>
          <w:tcPr>
            <w:tcW w:w="1389" w:type="pct"/>
            <w:gridSpan w:val="2"/>
          </w:tcPr>
          <w:p w:rsidR="008431D4" w:rsidRPr="00F86117" w:rsidRDefault="008431D4" w:rsidP="00AD4D26">
            <w:pPr>
              <w:pStyle w:val="TableText1"/>
              <w:keepNext w:val="0"/>
              <w:spacing w:before="0" w:after="0"/>
              <w:rPr>
                <w:rFonts w:eastAsia="Calibri" w:cs="Times New Roman"/>
                <w:szCs w:val="20"/>
              </w:rPr>
            </w:pPr>
            <w:r w:rsidRPr="00F86117">
              <w:rPr>
                <w:szCs w:val="20"/>
              </w:rPr>
              <w:t>Diarrhoea</w:t>
            </w:r>
          </w:p>
        </w:tc>
        <w:tc>
          <w:tcPr>
            <w:tcW w:w="755" w:type="pct"/>
          </w:tcPr>
          <w:p w:rsidR="008431D4" w:rsidRPr="00F86117" w:rsidRDefault="008431D4" w:rsidP="00AD4D26">
            <w:pPr>
              <w:pStyle w:val="TableText1"/>
              <w:keepNext w:val="0"/>
              <w:spacing w:before="0" w:after="0"/>
              <w:jc w:val="center"/>
              <w:rPr>
                <w:rFonts w:eastAsia="Calibri" w:cs="Times New Roman"/>
                <w:szCs w:val="20"/>
              </w:rPr>
            </w:pPr>
            <w:r w:rsidRPr="00F86117">
              <w:rPr>
                <w:szCs w:val="20"/>
              </w:rPr>
              <w:t>57</w:t>
            </w:r>
          </w:p>
        </w:tc>
        <w:tc>
          <w:tcPr>
            <w:tcW w:w="865" w:type="pct"/>
            <w:gridSpan w:val="2"/>
          </w:tcPr>
          <w:p w:rsidR="008431D4" w:rsidRPr="00F86117" w:rsidRDefault="008431D4" w:rsidP="00AD4D26">
            <w:pPr>
              <w:pStyle w:val="TableText1"/>
              <w:keepNext w:val="0"/>
              <w:spacing w:before="0" w:after="0"/>
              <w:jc w:val="center"/>
              <w:rPr>
                <w:rFonts w:eastAsia="Calibri" w:cs="Times New Roman"/>
                <w:szCs w:val="20"/>
              </w:rPr>
            </w:pPr>
            <w:r w:rsidRPr="00F86117">
              <w:rPr>
                <w:szCs w:val="20"/>
              </w:rPr>
              <w:t>39</w:t>
            </w:r>
          </w:p>
        </w:tc>
        <w:tc>
          <w:tcPr>
            <w:tcW w:w="637" w:type="pct"/>
            <w:shd w:val="clear" w:color="auto" w:fill="auto"/>
          </w:tcPr>
          <w:p w:rsidR="008431D4" w:rsidRPr="00F86117" w:rsidRDefault="008431D4" w:rsidP="00AD4D26">
            <w:pPr>
              <w:pStyle w:val="TableText1"/>
              <w:keepNext w:val="0"/>
              <w:spacing w:before="0" w:after="0"/>
              <w:jc w:val="center"/>
            </w:pPr>
            <w:r w:rsidRPr="00F86117">
              <w:t>73</w:t>
            </w:r>
          </w:p>
        </w:tc>
        <w:tc>
          <w:tcPr>
            <w:tcW w:w="529" w:type="pct"/>
            <w:shd w:val="clear" w:color="auto" w:fill="auto"/>
          </w:tcPr>
          <w:p w:rsidR="008431D4" w:rsidRPr="00F86117" w:rsidRDefault="008431D4" w:rsidP="00AD4D26">
            <w:pPr>
              <w:pStyle w:val="TableText1"/>
              <w:keepNext w:val="0"/>
              <w:spacing w:before="0" w:after="0"/>
              <w:jc w:val="center"/>
            </w:pPr>
            <w:r w:rsidRPr="00F86117">
              <w:t>54</w:t>
            </w:r>
          </w:p>
        </w:tc>
        <w:tc>
          <w:tcPr>
            <w:tcW w:w="825" w:type="pct"/>
            <w:gridSpan w:val="2"/>
            <w:shd w:val="clear" w:color="auto" w:fill="auto"/>
          </w:tcPr>
          <w:p w:rsidR="008431D4" w:rsidRPr="00F86117" w:rsidRDefault="008431D4" w:rsidP="00AD4D26">
            <w:pPr>
              <w:pStyle w:val="TableText1"/>
              <w:keepNext w:val="0"/>
              <w:spacing w:before="0" w:after="0"/>
              <w:jc w:val="center"/>
              <w:rPr>
                <w:b/>
              </w:rPr>
            </w:pPr>
            <w:r w:rsidRPr="00F86117">
              <w:rPr>
                <w:rFonts w:cs="Calibri"/>
                <w:b/>
                <w:bCs/>
              </w:rPr>
              <w:t>0.19 (0.04, 0.34)</w:t>
            </w:r>
          </w:p>
        </w:tc>
      </w:tr>
      <w:tr w:rsidR="008431D4" w:rsidRPr="00F86117" w:rsidTr="00F400AB">
        <w:trPr>
          <w:trHeight w:val="20"/>
        </w:trPr>
        <w:tc>
          <w:tcPr>
            <w:tcW w:w="1389" w:type="pct"/>
            <w:gridSpan w:val="2"/>
          </w:tcPr>
          <w:p w:rsidR="008431D4" w:rsidRPr="00F86117" w:rsidRDefault="008431D4" w:rsidP="00AD4D26">
            <w:pPr>
              <w:pStyle w:val="TableText1"/>
              <w:keepNext w:val="0"/>
              <w:spacing w:before="0" w:after="0"/>
              <w:rPr>
                <w:rFonts w:eastAsia="Calibri" w:cs="Times New Roman"/>
                <w:szCs w:val="20"/>
              </w:rPr>
            </w:pPr>
            <w:r w:rsidRPr="00F86117">
              <w:rPr>
                <w:szCs w:val="20"/>
              </w:rPr>
              <w:t>Hypertension</w:t>
            </w:r>
          </w:p>
        </w:tc>
        <w:tc>
          <w:tcPr>
            <w:tcW w:w="755" w:type="pct"/>
          </w:tcPr>
          <w:p w:rsidR="008431D4" w:rsidRPr="00F86117" w:rsidRDefault="008431D4" w:rsidP="00AD4D26">
            <w:pPr>
              <w:pStyle w:val="TableText1"/>
              <w:keepNext w:val="0"/>
              <w:spacing w:before="0" w:after="0"/>
              <w:jc w:val="center"/>
              <w:rPr>
                <w:rFonts w:eastAsia="Calibri" w:cs="Times New Roman"/>
                <w:szCs w:val="20"/>
              </w:rPr>
            </w:pPr>
            <w:r w:rsidRPr="00F86117">
              <w:rPr>
                <w:szCs w:val="20"/>
              </w:rPr>
              <w:t>52</w:t>
            </w:r>
          </w:p>
        </w:tc>
        <w:tc>
          <w:tcPr>
            <w:tcW w:w="865" w:type="pct"/>
            <w:gridSpan w:val="2"/>
          </w:tcPr>
          <w:p w:rsidR="008431D4" w:rsidRPr="00F86117" w:rsidRDefault="008431D4" w:rsidP="00AD4D26">
            <w:pPr>
              <w:pStyle w:val="TableText1"/>
              <w:keepNext w:val="0"/>
              <w:spacing w:before="0" w:after="0"/>
              <w:jc w:val="center"/>
              <w:rPr>
                <w:rFonts w:eastAsia="Calibri" w:cs="Times New Roman"/>
                <w:szCs w:val="20"/>
              </w:rPr>
            </w:pPr>
            <w:r w:rsidRPr="00F86117">
              <w:rPr>
                <w:szCs w:val="20"/>
              </w:rPr>
              <w:t>32</w:t>
            </w:r>
          </w:p>
        </w:tc>
        <w:tc>
          <w:tcPr>
            <w:tcW w:w="637" w:type="pct"/>
            <w:shd w:val="clear" w:color="auto" w:fill="auto"/>
          </w:tcPr>
          <w:p w:rsidR="008431D4" w:rsidRPr="00F86117" w:rsidRDefault="008431D4" w:rsidP="00AD4D26">
            <w:pPr>
              <w:pStyle w:val="TableText1"/>
              <w:keepNext w:val="0"/>
              <w:spacing w:before="0" w:after="0"/>
              <w:jc w:val="center"/>
            </w:pPr>
            <w:r w:rsidRPr="00F86117">
              <w:t>67</w:t>
            </w:r>
          </w:p>
        </w:tc>
        <w:tc>
          <w:tcPr>
            <w:tcW w:w="529" w:type="pct"/>
            <w:shd w:val="clear" w:color="auto" w:fill="auto"/>
          </w:tcPr>
          <w:p w:rsidR="008431D4" w:rsidRPr="00F86117" w:rsidRDefault="008431D4" w:rsidP="00AD4D26">
            <w:pPr>
              <w:pStyle w:val="TableText1"/>
              <w:keepNext w:val="0"/>
              <w:spacing w:before="0" w:after="0"/>
              <w:jc w:val="center"/>
            </w:pPr>
            <w:r w:rsidRPr="00F86117">
              <w:t>44</w:t>
            </w:r>
          </w:p>
        </w:tc>
        <w:tc>
          <w:tcPr>
            <w:tcW w:w="825" w:type="pct"/>
            <w:gridSpan w:val="2"/>
            <w:shd w:val="clear" w:color="auto" w:fill="auto"/>
          </w:tcPr>
          <w:p w:rsidR="008431D4" w:rsidRPr="00F86117" w:rsidRDefault="008431D4" w:rsidP="00AD4D26">
            <w:pPr>
              <w:pStyle w:val="TableText1"/>
              <w:keepNext w:val="0"/>
              <w:spacing w:before="0" w:after="0"/>
              <w:jc w:val="center"/>
              <w:rPr>
                <w:b/>
              </w:rPr>
            </w:pPr>
            <w:r w:rsidRPr="00F86117">
              <w:rPr>
                <w:rFonts w:cs="Calibri"/>
                <w:b/>
                <w:bCs/>
              </w:rPr>
              <w:t>0.22 (0.06, 0.38)</w:t>
            </w:r>
          </w:p>
        </w:tc>
      </w:tr>
      <w:tr w:rsidR="008431D4" w:rsidRPr="00F86117" w:rsidTr="00F400AB">
        <w:trPr>
          <w:trHeight w:val="20"/>
        </w:trPr>
        <w:tc>
          <w:tcPr>
            <w:tcW w:w="1389" w:type="pct"/>
            <w:gridSpan w:val="2"/>
          </w:tcPr>
          <w:p w:rsidR="008431D4" w:rsidRPr="00F86117" w:rsidRDefault="008431D4" w:rsidP="00AD4D26">
            <w:pPr>
              <w:pStyle w:val="TableText1"/>
              <w:keepNext w:val="0"/>
              <w:spacing w:before="0" w:after="0"/>
            </w:pPr>
            <w:r w:rsidRPr="00F86117">
              <w:rPr>
                <w:szCs w:val="20"/>
              </w:rPr>
              <w:t>Hypothyroidism</w:t>
            </w:r>
          </w:p>
        </w:tc>
        <w:tc>
          <w:tcPr>
            <w:tcW w:w="755" w:type="pct"/>
          </w:tcPr>
          <w:p w:rsidR="008431D4" w:rsidRPr="00F86117" w:rsidRDefault="008431D4" w:rsidP="00AD4D26">
            <w:pPr>
              <w:pStyle w:val="TableText1"/>
              <w:keepNext w:val="0"/>
              <w:spacing w:before="0" w:after="0"/>
              <w:jc w:val="center"/>
            </w:pPr>
            <w:r w:rsidRPr="00F86117">
              <w:rPr>
                <w:szCs w:val="20"/>
              </w:rPr>
              <w:t>18</w:t>
            </w:r>
          </w:p>
        </w:tc>
        <w:tc>
          <w:tcPr>
            <w:tcW w:w="865" w:type="pct"/>
            <w:gridSpan w:val="2"/>
          </w:tcPr>
          <w:p w:rsidR="008431D4" w:rsidRPr="00F86117" w:rsidRDefault="008431D4" w:rsidP="00AD4D26">
            <w:pPr>
              <w:pStyle w:val="TableText1"/>
              <w:keepNext w:val="0"/>
              <w:spacing w:before="0" w:after="0"/>
              <w:jc w:val="center"/>
            </w:pPr>
            <w:r w:rsidRPr="00F86117">
              <w:rPr>
                <w:szCs w:val="20"/>
              </w:rPr>
              <w:t>4</w:t>
            </w:r>
          </w:p>
        </w:tc>
        <w:tc>
          <w:tcPr>
            <w:tcW w:w="637" w:type="pct"/>
            <w:shd w:val="clear" w:color="auto" w:fill="auto"/>
          </w:tcPr>
          <w:p w:rsidR="008431D4" w:rsidRPr="00F86117" w:rsidRDefault="008431D4" w:rsidP="00AD4D26">
            <w:pPr>
              <w:pStyle w:val="TableText1"/>
              <w:keepNext w:val="0"/>
              <w:spacing w:before="0" w:after="0"/>
              <w:jc w:val="center"/>
            </w:pPr>
            <w:r w:rsidRPr="00F86117">
              <w:t>23</w:t>
            </w:r>
          </w:p>
        </w:tc>
        <w:tc>
          <w:tcPr>
            <w:tcW w:w="529" w:type="pct"/>
            <w:shd w:val="clear" w:color="auto" w:fill="auto"/>
          </w:tcPr>
          <w:p w:rsidR="008431D4" w:rsidRPr="00F86117" w:rsidRDefault="008431D4" w:rsidP="00AD4D26">
            <w:pPr>
              <w:pStyle w:val="TableText1"/>
              <w:keepNext w:val="0"/>
              <w:spacing w:before="0" w:after="0"/>
              <w:jc w:val="center"/>
            </w:pPr>
            <w:r w:rsidRPr="00F86117">
              <w:t>5.6</w:t>
            </w:r>
          </w:p>
        </w:tc>
        <w:tc>
          <w:tcPr>
            <w:tcW w:w="825" w:type="pct"/>
            <w:gridSpan w:val="2"/>
            <w:shd w:val="clear" w:color="auto" w:fill="auto"/>
          </w:tcPr>
          <w:p w:rsidR="008431D4" w:rsidRPr="00F86117" w:rsidRDefault="008431D4" w:rsidP="00AD4D26">
            <w:pPr>
              <w:pStyle w:val="TableText1"/>
              <w:keepNext w:val="0"/>
              <w:spacing w:before="0" w:after="0"/>
              <w:jc w:val="center"/>
              <w:rPr>
                <w:b/>
              </w:rPr>
            </w:pPr>
            <w:r w:rsidRPr="00F86117">
              <w:rPr>
                <w:rFonts w:cs="Calibri"/>
                <w:b/>
                <w:bCs/>
              </w:rPr>
              <w:t>0.18 (0.06, 0.29)</w:t>
            </w:r>
          </w:p>
        </w:tc>
      </w:tr>
      <w:tr w:rsidR="008431D4" w:rsidRPr="00F86117" w:rsidTr="00F400AB">
        <w:trPr>
          <w:trHeight w:val="20"/>
        </w:trPr>
        <w:tc>
          <w:tcPr>
            <w:tcW w:w="1389" w:type="pct"/>
            <w:gridSpan w:val="2"/>
          </w:tcPr>
          <w:p w:rsidR="008431D4" w:rsidRPr="00F86117" w:rsidRDefault="008431D4" w:rsidP="00AD4D26">
            <w:pPr>
              <w:pStyle w:val="TableText1"/>
              <w:keepNext w:val="0"/>
              <w:spacing w:before="0" w:after="0"/>
            </w:pPr>
            <w:r w:rsidRPr="00F86117">
              <w:rPr>
                <w:szCs w:val="20"/>
              </w:rPr>
              <w:t>Neutrophil</w:t>
            </w:r>
            <w:r w:rsidR="00280D7B" w:rsidRPr="00F86117">
              <w:rPr>
                <w:szCs w:val="20"/>
              </w:rPr>
              <w:t xml:space="preserve"> count decreased</w:t>
            </w:r>
          </w:p>
        </w:tc>
        <w:tc>
          <w:tcPr>
            <w:tcW w:w="755" w:type="pct"/>
          </w:tcPr>
          <w:p w:rsidR="008431D4" w:rsidRPr="00F86117" w:rsidRDefault="008431D4" w:rsidP="00AD4D26">
            <w:pPr>
              <w:pStyle w:val="TableText1"/>
              <w:keepNext w:val="0"/>
              <w:spacing w:before="0" w:after="0"/>
              <w:jc w:val="center"/>
            </w:pPr>
            <w:r w:rsidRPr="00F86117">
              <w:rPr>
                <w:szCs w:val="20"/>
              </w:rPr>
              <w:t>12</w:t>
            </w:r>
          </w:p>
        </w:tc>
        <w:tc>
          <w:tcPr>
            <w:tcW w:w="865" w:type="pct"/>
            <w:gridSpan w:val="2"/>
          </w:tcPr>
          <w:p w:rsidR="008431D4" w:rsidRPr="00F86117" w:rsidRDefault="008431D4" w:rsidP="00AD4D26">
            <w:pPr>
              <w:pStyle w:val="TableText1"/>
              <w:keepNext w:val="0"/>
              <w:spacing w:before="0" w:after="0"/>
              <w:jc w:val="center"/>
            </w:pPr>
            <w:r w:rsidRPr="00F86117">
              <w:rPr>
                <w:szCs w:val="20"/>
              </w:rPr>
              <w:t>25</w:t>
            </w:r>
          </w:p>
        </w:tc>
        <w:tc>
          <w:tcPr>
            <w:tcW w:w="637" w:type="pct"/>
            <w:shd w:val="clear" w:color="auto" w:fill="auto"/>
          </w:tcPr>
          <w:p w:rsidR="008431D4" w:rsidRPr="00F86117" w:rsidRDefault="008431D4" w:rsidP="00AD4D26">
            <w:pPr>
              <w:pStyle w:val="TableText1"/>
              <w:keepNext w:val="0"/>
              <w:spacing w:before="0" w:after="0"/>
              <w:jc w:val="center"/>
            </w:pPr>
            <w:r w:rsidRPr="00F86117">
              <w:t>15</w:t>
            </w:r>
          </w:p>
        </w:tc>
        <w:tc>
          <w:tcPr>
            <w:tcW w:w="529" w:type="pct"/>
            <w:shd w:val="clear" w:color="auto" w:fill="auto"/>
          </w:tcPr>
          <w:p w:rsidR="008431D4" w:rsidRPr="00F86117" w:rsidRDefault="008431D4" w:rsidP="00AD4D26">
            <w:pPr>
              <w:pStyle w:val="TableText1"/>
              <w:keepNext w:val="0"/>
              <w:spacing w:before="0" w:after="0"/>
              <w:jc w:val="center"/>
            </w:pPr>
            <w:r w:rsidRPr="00F86117">
              <w:t>35</w:t>
            </w:r>
          </w:p>
        </w:tc>
        <w:tc>
          <w:tcPr>
            <w:tcW w:w="825" w:type="pct"/>
            <w:gridSpan w:val="2"/>
            <w:shd w:val="clear" w:color="auto" w:fill="auto"/>
          </w:tcPr>
          <w:p w:rsidR="008431D4" w:rsidRPr="00F86117" w:rsidRDefault="008431D4" w:rsidP="00AD4D26">
            <w:pPr>
              <w:pStyle w:val="TableText1"/>
              <w:keepNext w:val="0"/>
              <w:spacing w:before="0" w:after="0"/>
              <w:jc w:val="center"/>
              <w:rPr>
                <w:b/>
              </w:rPr>
            </w:pPr>
            <w:r w:rsidRPr="00F86117">
              <w:rPr>
                <w:rFonts w:cs="Calibri"/>
                <w:b/>
                <w:bCs/>
              </w:rPr>
              <w:t>-0.19 (-0.33, -0.06)</w:t>
            </w:r>
          </w:p>
        </w:tc>
      </w:tr>
    </w:tbl>
    <w:p w:rsidR="008431D4" w:rsidRPr="00F86117" w:rsidRDefault="008431D4" w:rsidP="00AD4D26">
      <w:pPr>
        <w:pStyle w:val="TableFooter"/>
        <w:widowControl/>
      </w:pPr>
      <w:r w:rsidRPr="00F86117">
        <w:t>Abbreviations: n=number; CI, confidence interval; NR=not reported; RD = risk difference; RR = risk ratio</w:t>
      </w:r>
    </w:p>
    <w:p w:rsidR="008431D4" w:rsidRPr="00F86117" w:rsidRDefault="008431D4" w:rsidP="00AD4D26">
      <w:pPr>
        <w:pStyle w:val="TableFooter"/>
        <w:widowControl/>
      </w:pPr>
      <w:r w:rsidRPr="00F86117">
        <w:t>Source: Compiled during the evaluation using Table 2.12, p.93; Table 2.20, p.103; Table 2.34, p.124; Table 2.37, p.128-129.</w:t>
      </w:r>
    </w:p>
    <w:p w:rsidR="008431D4" w:rsidRPr="00F86117" w:rsidRDefault="008431D4" w:rsidP="00AD4D26">
      <w:pPr>
        <w:pStyle w:val="TableFooter"/>
        <w:widowControl/>
        <w:rPr>
          <w:rStyle w:val="CommentReference"/>
        </w:rPr>
      </w:pPr>
      <w:r w:rsidRPr="00F86117">
        <w:t>Note: Statistical differences noted in bold. Progression was defined by IRC assessment.</w:t>
      </w:r>
    </w:p>
    <w:p w:rsidR="008431D4" w:rsidRPr="00F86117" w:rsidRDefault="008431D4" w:rsidP="0061386A">
      <w:pPr>
        <w:widowControl/>
        <w:spacing w:before="120" w:after="120"/>
        <w:rPr>
          <w:rStyle w:val="CommentReference"/>
        </w:rPr>
      </w:pPr>
    </w:p>
    <w:p w:rsidR="008431D4" w:rsidRPr="00F86117" w:rsidRDefault="008431D4" w:rsidP="0061386A">
      <w:pPr>
        <w:pStyle w:val="ListParagraph"/>
        <w:widowControl/>
        <w:numPr>
          <w:ilvl w:val="1"/>
          <w:numId w:val="2"/>
        </w:numPr>
        <w:spacing w:before="120"/>
      </w:pPr>
      <w:r w:rsidRPr="00F86117">
        <w:lastRenderedPageBreak/>
        <w:t xml:space="preserve">On the basis of the direct evidence presented by the submission, for every 100 patients treated with </w:t>
      </w:r>
      <w:proofErr w:type="spellStart"/>
      <w:r w:rsidRPr="00F86117">
        <w:t>cabozantinib</w:t>
      </w:r>
      <w:proofErr w:type="spellEnd"/>
      <w:r w:rsidRPr="00F86117">
        <w:t xml:space="preserve"> in comparison with </w:t>
      </w:r>
      <w:proofErr w:type="spellStart"/>
      <w:r w:rsidRPr="00F86117">
        <w:t>sunitinib</w:t>
      </w:r>
      <w:proofErr w:type="spellEnd"/>
      <w:r w:rsidRPr="00F86117">
        <w:t>:</w:t>
      </w:r>
    </w:p>
    <w:p w:rsidR="008431D4" w:rsidRPr="00F86117" w:rsidRDefault="008431D4" w:rsidP="0061386A">
      <w:pPr>
        <w:pStyle w:val="ListParagraph"/>
        <w:widowControl/>
        <w:numPr>
          <w:ilvl w:val="0"/>
          <w:numId w:val="1"/>
        </w:numPr>
        <w:spacing w:before="120"/>
        <w:ind w:left="1077" w:hanging="357"/>
      </w:pPr>
      <w:r w:rsidRPr="00F86117">
        <w:rPr>
          <w:rFonts w:cs="Calibri"/>
          <w:snapToGrid/>
          <w:szCs w:val="24"/>
          <w:lang w:eastAsia="en-AU"/>
        </w:rPr>
        <w:t>Approximately 22 additional patients will be progression-free at 12 months.</w:t>
      </w:r>
    </w:p>
    <w:p w:rsidR="008431D4" w:rsidRPr="00F86117" w:rsidRDefault="008431D4" w:rsidP="0061386A">
      <w:pPr>
        <w:pStyle w:val="ListParagraph"/>
        <w:widowControl/>
        <w:numPr>
          <w:ilvl w:val="0"/>
          <w:numId w:val="1"/>
        </w:numPr>
        <w:spacing w:before="120"/>
        <w:ind w:left="1077" w:hanging="357"/>
      </w:pPr>
      <w:r w:rsidRPr="00F86117">
        <w:t>Approximately 19 additional patients will experience diarrhoea.</w:t>
      </w:r>
    </w:p>
    <w:p w:rsidR="008431D4" w:rsidRPr="00F86117" w:rsidRDefault="008431D4" w:rsidP="0061386A">
      <w:pPr>
        <w:pStyle w:val="ListParagraph"/>
        <w:widowControl/>
        <w:numPr>
          <w:ilvl w:val="0"/>
          <w:numId w:val="1"/>
        </w:numPr>
        <w:spacing w:before="120"/>
        <w:ind w:left="1077" w:hanging="357"/>
      </w:pPr>
      <w:r w:rsidRPr="00F86117">
        <w:t>Approximately 22 additional patients will experience hypertension (high blood pressure).</w:t>
      </w:r>
    </w:p>
    <w:p w:rsidR="008431D4" w:rsidRPr="00F86117" w:rsidRDefault="008431D4" w:rsidP="0061386A">
      <w:pPr>
        <w:pStyle w:val="ListParagraph"/>
        <w:widowControl/>
        <w:numPr>
          <w:ilvl w:val="0"/>
          <w:numId w:val="1"/>
        </w:numPr>
        <w:spacing w:before="120"/>
        <w:ind w:left="1077" w:hanging="357"/>
      </w:pPr>
      <w:r w:rsidRPr="00F86117">
        <w:t>Approximately 18 additional patients will experience hypothyroidism (an underactive thyroid gland).</w:t>
      </w:r>
    </w:p>
    <w:p w:rsidR="00432A34" w:rsidRPr="00F86117" w:rsidRDefault="00432A34" w:rsidP="0061386A">
      <w:pPr>
        <w:pStyle w:val="ListParagraph"/>
        <w:widowControl/>
        <w:numPr>
          <w:ilvl w:val="0"/>
          <w:numId w:val="1"/>
        </w:numPr>
        <w:spacing w:before="120"/>
        <w:ind w:left="1077" w:hanging="357"/>
      </w:pPr>
      <w:r w:rsidRPr="00F86117">
        <w:t xml:space="preserve">Approximately 19 fewer patients will experience a decreased neutrophil count (low white blood cell count). </w:t>
      </w:r>
    </w:p>
    <w:p w:rsidR="00BB433C" w:rsidRPr="00F86117" w:rsidRDefault="00BB433C" w:rsidP="0061386A">
      <w:pPr>
        <w:pStyle w:val="Heading2"/>
        <w:widowControl/>
        <w:spacing w:before="120"/>
      </w:pPr>
      <w:bookmarkStart w:id="30" w:name="_Toc371170709"/>
      <w:bookmarkStart w:id="31" w:name="_Toc536002945"/>
      <w:bookmarkStart w:id="32" w:name="_Toc536023497"/>
      <w:r w:rsidRPr="00F86117">
        <w:t>Clinical claim</w:t>
      </w:r>
      <w:bookmarkEnd w:id="30"/>
      <w:bookmarkEnd w:id="31"/>
      <w:bookmarkEnd w:id="32"/>
    </w:p>
    <w:p w:rsidR="00C50B51" w:rsidRPr="00F86117" w:rsidRDefault="00C50B51" w:rsidP="0061386A">
      <w:pPr>
        <w:widowControl/>
        <w:spacing w:before="120" w:after="120"/>
        <w:rPr>
          <w:u w:val="single"/>
        </w:rPr>
      </w:pPr>
      <w:proofErr w:type="spellStart"/>
      <w:r w:rsidRPr="00F86117">
        <w:rPr>
          <w:u w:val="single"/>
        </w:rPr>
        <w:t>Cabozantinib</w:t>
      </w:r>
      <w:proofErr w:type="spellEnd"/>
      <w:r w:rsidRPr="00F86117">
        <w:rPr>
          <w:u w:val="single"/>
        </w:rPr>
        <w:t xml:space="preserve"> versus </w:t>
      </w:r>
      <w:proofErr w:type="spellStart"/>
      <w:r w:rsidRPr="00F86117">
        <w:rPr>
          <w:u w:val="single"/>
        </w:rPr>
        <w:t>sunitinib</w:t>
      </w:r>
      <w:proofErr w:type="spellEnd"/>
    </w:p>
    <w:p w:rsidR="00C50B51" w:rsidRPr="00F86117" w:rsidRDefault="00BB433C" w:rsidP="0061386A">
      <w:pPr>
        <w:pStyle w:val="ListParagraph"/>
        <w:widowControl/>
        <w:numPr>
          <w:ilvl w:val="1"/>
          <w:numId w:val="2"/>
        </w:numPr>
        <w:spacing w:before="120"/>
      </w:pPr>
      <w:r w:rsidRPr="00F86117">
        <w:t xml:space="preserve">The submission described </w:t>
      </w:r>
      <w:proofErr w:type="spellStart"/>
      <w:r w:rsidRPr="00F86117">
        <w:t>cabozantinib</w:t>
      </w:r>
      <w:proofErr w:type="spellEnd"/>
      <w:r w:rsidRPr="00F86117">
        <w:t xml:space="preserve"> as superior in PFS and ORR, with a trend towards improved OS, and different but broadly comparable safety</w:t>
      </w:r>
      <w:r w:rsidR="00A20EB9" w:rsidRPr="00F86117">
        <w:t xml:space="preserve"> relative</w:t>
      </w:r>
      <w:r w:rsidRPr="00F86117">
        <w:t xml:space="preserve"> to </w:t>
      </w:r>
      <w:proofErr w:type="spellStart"/>
      <w:r w:rsidRPr="00F86117">
        <w:t>sunitinib</w:t>
      </w:r>
      <w:proofErr w:type="spellEnd"/>
      <w:r w:rsidRPr="00F86117">
        <w:t xml:space="preserve">. The </w:t>
      </w:r>
      <w:r w:rsidR="00114552">
        <w:t xml:space="preserve">evaluation considered that the </w:t>
      </w:r>
      <w:r w:rsidRPr="00F86117">
        <w:t>claim for the PFS and ORR treatment effects presented in the submission was adequately supported by the evidence presented. However, the magnitude of the PFS gain remains uncertain given the small number of patients enrolled in the trial, the high number of unevaluable events and issues of potential bias. The claim for OS was not supported. There was no statistically significant difference with respect to OS, potentially due to being underpowered for this endpoint and differences in subsequent treatments</w:t>
      </w:r>
      <w:r w:rsidR="006F5E02" w:rsidRPr="00F86117">
        <w:t xml:space="preserve"> between </w:t>
      </w:r>
      <w:r w:rsidR="003C3631" w:rsidRPr="00F86117">
        <w:t>study</w:t>
      </w:r>
      <w:r w:rsidR="006F5E02" w:rsidRPr="00F86117">
        <w:t xml:space="preserve"> arms</w:t>
      </w:r>
      <w:r w:rsidR="00A20EB9" w:rsidRPr="00F86117">
        <w:t>.</w:t>
      </w:r>
      <w:r w:rsidRPr="00F86117">
        <w:t xml:space="preserve"> </w:t>
      </w:r>
      <w:r w:rsidR="00C50B51" w:rsidRPr="00F86117">
        <w:t xml:space="preserve">The ESC considered that there was reasonable evidence of an improvement in PFS and ORR compared with </w:t>
      </w:r>
      <w:proofErr w:type="spellStart"/>
      <w:r w:rsidR="00C50B51" w:rsidRPr="00F86117">
        <w:t>sunitinib</w:t>
      </w:r>
      <w:proofErr w:type="spellEnd"/>
      <w:r w:rsidR="00C50B51" w:rsidRPr="00F86117">
        <w:t>, though the magnitude of improv</w:t>
      </w:r>
      <w:r w:rsidR="00467457" w:rsidRPr="00F86117">
        <w:t>e</w:t>
      </w:r>
      <w:r w:rsidR="00C50B51" w:rsidRPr="00F86117">
        <w:t>ment was uncertain</w:t>
      </w:r>
      <w:r w:rsidR="00ED307B" w:rsidRPr="00F86117">
        <w:t xml:space="preserve"> given the small number of patients enrolled in the trial (CABOSUN), and potential biases in the censoring of events for PFS</w:t>
      </w:r>
      <w:r w:rsidR="00C50B51" w:rsidRPr="00F86117">
        <w:t>. The ESC considered that a difference in OS was not supported by the evidence presented.</w:t>
      </w:r>
      <w:r w:rsidR="00ED307B" w:rsidRPr="00F86117">
        <w:t xml:space="preserve"> The ESC noted that additional data cuts indicated that the difference in OS appeared to be decreasing with additional follow-up and considered that the data did not support a difference in OS between </w:t>
      </w:r>
      <w:proofErr w:type="spellStart"/>
      <w:r w:rsidR="00ED307B" w:rsidRPr="00F86117">
        <w:t>cabozantinib</w:t>
      </w:r>
      <w:proofErr w:type="spellEnd"/>
      <w:r w:rsidR="00ED307B" w:rsidRPr="00F86117">
        <w:t xml:space="preserve"> and </w:t>
      </w:r>
      <w:proofErr w:type="spellStart"/>
      <w:r w:rsidR="00ED307B" w:rsidRPr="00F86117">
        <w:t>sunitinib</w:t>
      </w:r>
      <w:proofErr w:type="spellEnd"/>
      <w:r w:rsidR="00ED307B" w:rsidRPr="00F86117">
        <w:t xml:space="preserve">. </w:t>
      </w:r>
      <w:r w:rsidR="0095154D" w:rsidRPr="00F86117">
        <w:t xml:space="preserve">The ESC considered that given the uncertain magnitude of PFS benefit for </w:t>
      </w:r>
      <w:proofErr w:type="spellStart"/>
      <w:r w:rsidR="0095154D" w:rsidRPr="00F86117">
        <w:t>cabozantinib</w:t>
      </w:r>
      <w:proofErr w:type="spellEnd"/>
      <w:r w:rsidR="0095154D" w:rsidRPr="00F86117">
        <w:t xml:space="preserve"> over </w:t>
      </w:r>
      <w:proofErr w:type="spellStart"/>
      <w:r w:rsidR="0095154D" w:rsidRPr="00F86117">
        <w:t>sunitinib</w:t>
      </w:r>
      <w:proofErr w:type="spellEnd"/>
      <w:r w:rsidR="0095154D" w:rsidRPr="00F86117">
        <w:t xml:space="preserve"> and the lack of OS benefit, a cost-minimisation analysis versus </w:t>
      </w:r>
      <w:proofErr w:type="spellStart"/>
      <w:r w:rsidR="0095154D" w:rsidRPr="00F86117">
        <w:t>sunitinib</w:t>
      </w:r>
      <w:proofErr w:type="spellEnd"/>
      <w:r w:rsidR="0095154D" w:rsidRPr="00F86117">
        <w:t xml:space="preserve"> and </w:t>
      </w:r>
      <w:proofErr w:type="spellStart"/>
      <w:r w:rsidR="0095154D" w:rsidRPr="00F86117">
        <w:t>pazopanib</w:t>
      </w:r>
      <w:proofErr w:type="spellEnd"/>
      <w:r w:rsidR="0095154D" w:rsidRPr="00F86117">
        <w:t xml:space="preserve"> may be a more appropriate approach. The Pre-PB</w:t>
      </w:r>
      <w:r w:rsidR="008C01F5" w:rsidRPr="00F86117">
        <w:t>AC response argued that this would</w:t>
      </w:r>
      <w:r w:rsidR="0095154D" w:rsidRPr="00F86117">
        <w:t xml:space="preserve"> not </w:t>
      </w:r>
      <w:r w:rsidR="008C01F5" w:rsidRPr="00F86117">
        <w:t xml:space="preserve">be </w:t>
      </w:r>
      <w:r w:rsidR="0095154D" w:rsidRPr="00F86117">
        <w:t xml:space="preserve">an appropriate approach because there was a statistically significant PFS benefit for </w:t>
      </w:r>
      <w:proofErr w:type="spellStart"/>
      <w:r w:rsidR="0095154D" w:rsidRPr="00F86117">
        <w:t>cabozantinib</w:t>
      </w:r>
      <w:proofErr w:type="spellEnd"/>
      <w:r w:rsidR="0095154D" w:rsidRPr="00F86117">
        <w:t xml:space="preserve"> in the CABOSUN trial and </w:t>
      </w:r>
      <w:proofErr w:type="spellStart"/>
      <w:r w:rsidR="0095154D" w:rsidRPr="00F86117">
        <w:t>QoL</w:t>
      </w:r>
      <w:proofErr w:type="spellEnd"/>
      <w:r w:rsidR="0095154D" w:rsidRPr="00F86117">
        <w:t xml:space="preserve"> advantage demonstrated in the </w:t>
      </w:r>
      <w:proofErr w:type="spellStart"/>
      <w:r w:rsidR="0095154D" w:rsidRPr="00F86117">
        <w:t>QTWiST</w:t>
      </w:r>
      <w:proofErr w:type="spellEnd"/>
      <w:r w:rsidR="0095154D" w:rsidRPr="00F86117">
        <w:t xml:space="preserve"> analysis.</w:t>
      </w:r>
      <w:r w:rsidR="0095154D" w:rsidRPr="00F86117">
        <w:rPr>
          <w:i/>
        </w:rPr>
        <w:t xml:space="preserve"> </w:t>
      </w:r>
    </w:p>
    <w:p w:rsidR="00ED307B" w:rsidRPr="00F86117" w:rsidRDefault="00BB433C" w:rsidP="0061386A">
      <w:pPr>
        <w:pStyle w:val="ListParagraph"/>
        <w:widowControl/>
        <w:numPr>
          <w:ilvl w:val="1"/>
          <w:numId w:val="2"/>
        </w:numPr>
        <w:spacing w:before="120"/>
      </w:pPr>
      <w:r w:rsidRPr="00F86117">
        <w:t xml:space="preserve">The </w:t>
      </w:r>
      <w:r w:rsidR="004F59D7" w:rsidRPr="00F86117">
        <w:t xml:space="preserve">evaluation considered that the </w:t>
      </w:r>
      <w:r w:rsidRPr="00F86117">
        <w:t xml:space="preserve">claim of different but broadly comparable safety might be justifiable but </w:t>
      </w:r>
      <w:r w:rsidR="006F5E02" w:rsidRPr="00F86117">
        <w:t xml:space="preserve">is </w:t>
      </w:r>
      <w:r w:rsidRPr="00F86117">
        <w:t xml:space="preserve">uncertain based on the small number of patients. </w:t>
      </w:r>
      <w:r w:rsidR="00ED307B" w:rsidRPr="00F86117">
        <w:t xml:space="preserve">The ESC noted that there were slight differences in the types of adverse events experienced with </w:t>
      </w:r>
      <w:proofErr w:type="spellStart"/>
      <w:r w:rsidR="00ED307B" w:rsidRPr="00F86117">
        <w:t>cabozantinib</w:t>
      </w:r>
      <w:proofErr w:type="spellEnd"/>
      <w:r w:rsidR="00ED307B" w:rsidRPr="00F86117">
        <w:t xml:space="preserve"> and </w:t>
      </w:r>
      <w:proofErr w:type="spellStart"/>
      <w:r w:rsidR="00ED307B" w:rsidRPr="00F86117">
        <w:t>sunitinib</w:t>
      </w:r>
      <w:proofErr w:type="spellEnd"/>
      <w:r w:rsidR="00ED307B" w:rsidRPr="00F86117">
        <w:t xml:space="preserve"> but considered that overall their safety profiles, and rates of adverse events, appear to be broadly similar.</w:t>
      </w:r>
    </w:p>
    <w:p w:rsidR="00993A52" w:rsidRPr="00F86117" w:rsidRDefault="00993A52" w:rsidP="0061386A">
      <w:pPr>
        <w:pStyle w:val="ListParagraph"/>
        <w:widowControl/>
        <w:numPr>
          <w:ilvl w:val="1"/>
          <w:numId w:val="2"/>
        </w:numPr>
        <w:spacing w:before="120"/>
      </w:pPr>
      <w:r w:rsidRPr="00F86117">
        <w:lastRenderedPageBreak/>
        <w:t xml:space="preserve">The PBAC considered that the claim of superior PFS was supported, however the magnitude of the PFS benefit was uncertain and likely overestimated in the trial data presented. The PBAC considered that the claim for a trend towards improved OS was not supported by the evidence presented. </w:t>
      </w:r>
    </w:p>
    <w:p w:rsidR="005D1B0B" w:rsidRPr="00F86117" w:rsidRDefault="005D1B0B" w:rsidP="0061386A">
      <w:pPr>
        <w:pStyle w:val="ListParagraph"/>
        <w:widowControl/>
        <w:numPr>
          <w:ilvl w:val="1"/>
          <w:numId w:val="2"/>
        </w:numPr>
        <w:spacing w:before="120"/>
      </w:pPr>
      <w:r w:rsidRPr="00F86117">
        <w:t xml:space="preserve">The PBAC considered that the claim of non-inferior comparative safety to </w:t>
      </w:r>
      <w:proofErr w:type="spellStart"/>
      <w:r w:rsidRPr="00F86117">
        <w:t>sunitinib</w:t>
      </w:r>
      <w:proofErr w:type="spellEnd"/>
      <w:r w:rsidRPr="00F86117">
        <w:t xml:space="preserve"> appeared reasonable, though the data were limited</w:t>
      </w:r>
      <w:r w:rsidR="009442F9" w:rsidRPr="00F86117">
        <w:t xml:space="preserve"> due to the small number of patients enrolled in the trial</w:t>
      </w:r>
      <w:r w:rsidRPr="00F86117">
        <w:t>.</w:t>
      </w:r>
    </w:p>
    <w:p w:rsidR="00972D50" w:rsidRPr="00F86117" w:rsidRDefault="00972D50" w:rsidP="0061386A">
      <w:pPr>
        <w:widowControl/>
        <w:spacing w:before="120" w:after="120"/>
        <w:rPr>
          <w:u w:val="single"/>
        </w:rPr>
      </w:pPr>
      <w:proofErr w:type="spellStart"/>
      <w:r w:rsidRPr="00F86117">
        <w:rPr>
          <w:u w:val="single"/>
        </w:rPr>
        <w:t>Cabozantinib</w:t>
      </w:r>
      <w:proofErr w:type="spellEnd"/>
      <w:r w:rsidRPr="00F86117">
        <w:rPr>
          <w:u w:val="single"/>
        </w:rPr>
        <w:t xml:space="preserve"> versus NIVO+IPI</w:t>
      </w:r>
    </w:p>
    <w:p w:rsidR="00B950D2" w:rsidRPr="00F86117" w:rsidRDefault="00BB433C" w:rsidP="0061386A">
      <w:pPr>
        <w:pStyle w:val="ListParagraph"/>
        <w:widowControl/>
        <w:numPr>
          <w:ilvl w:val="1"/>
          <w:numId w:val="2"/>
        </w:numPr>
        <w:spacing w:before="120"/>
      </w:pPr>
      <w:r w:rsidRPr="00F86117">
        <w:t xml:space="preserve">The submission described </w:t>
      </w:r>
      <w:proofErr w:type="spellStart"/>
      <w:r w:rsidRPr="00F86117">
        <w:t>cabozantinib</w:t>
      </w:r>
      <w:proofErr w:type="spellEnd"/>
      <w:r w:rsidRPr="00F86117">
        <w:t xml:space="preserve"> as superior in PFS, and non-inferior in ORR and OS compared to NIVO+IPI, with a potentially more tolerable safety profile. Th</w:t>
      </w:r>
      <w:r w:rsidR="00114552">
        <w:t>e evaluation considered that th</w:t>
      </w:r>
      <w:r w:rsidRPr="00F86117">
        <w:t>is claim was not adequately supported by the evidence presented. The evidence from</w:t>
      </w:r>
      <w:r w:rsidR="00A20EB9" w:rsidRPr="00F86117">
        <w:t xml:space="preserve"> the</w:t>
      </w:r>
      <w:r w:rsidRPr="00F86117">
        <w:t xml:space="preserve"> ITC indicated a superior PFS treatment effect for </w:t>
      </w:r>
      <w:proofErr w:type="spellStart"/>
      <w:r w:rsidRPr="00F86117">
        <w:t>cabozantinib</w:t>
      </w:r>
      <w:proofErr w:type="spellEnd"/>
      <w:r w:rsidRPr="00F86117">
        <w:t xml:space="preserve"> compared with NIVO+IPI. </w:t>
      </w:r>
      <w:r w:rsidR="001C6CF3" w:rsidRPr="00F86117">
        <w:t>Notably, PFS may not be an a</w:t>
      </w:r>
      <w:r w:rsidR="00902016" w:rsidRPr="00F86117">
        <w:t>ppropriate</w:t>
      </w:r>
      <w:r w:rsidR="001C6CF3" w:rsidRPr="00F86117">
        <w:t xml:space="preserve"> assessment of benefit for immunotherapies (due to pseudo</w:t>
      </w:r>
      <w:r w:rsidR="00467457" w:rsidRPr="00F86117">
        <w:t>-</w:t>
      </w:r>
      <w:r w:rsidR="001C6CF3" w:rsidRPr="00F86117">
        <w:t xml:space="preserve">progression), favouring </w:t>
      </w:r>
      <w:proofErr w:type="spellStart"/>
      <w:r w:rsidR="001C6CF3" w:rsidRPr="00F86117">
        <w:t>cabozantinib</w:t>
      </w:r>
      <w:proofErr w:type="spellEnd"/>
      <w:r w:rsidR="001C6CF3" w:rsidRPr="00F86117">
        <w:t xml:space="preserve"> in the comparison with </w:t>
      </w:r>
      <w:r w:rsidRPr="00F86117">
        <w:t>NIVO+IPI.</w:t>
      </w:r>
      <w:r w:rsidR="00012133" w:rsidRPr="00F86117">
        <w:t xml:space="preserve"> </w:t>
      </w:r>
      <w:r w:rsidRPr="00F86117">
        <w:t xml:space="preserve">Moreover, there were transitivity issues between the studies as evidenced by the difference in </w:t>
      </w:r>
      <w:r w:rsidR="001C6CF3" w:rsidRPr="00F86117">
        <w:t xml:space="preserve">magnitude of the </w:t>
      </w:r>
      <w:r w:rsidR="00012133" w:rsidRPr="00F86117">
        <w:t xml:space="preserve">results </w:t>
      </w:r>
      <w:r w:rsidRPr="00F86117">
        <w:t xml:space="preserve">for the common reference, </w:t>
      </w:r>
      <w:proofErr w:type="spellStart"/>
      <w:r w:rsidRPr="00F86117">
        <w:t>sunitinib</w:t>
      </w:r>
      <w:proofErr w:type="spellEnd"/>
      <w:r w:rsidRPr="00F86117">
        <w:t xml:space="preserve">. </w:t>
      </w:r>
      <w:r w:rsidR="00B950D2" w:rsidRPr="00F86117">
        <w:t xml:space="preserve">The ESC considered that the comparison with NIVO+IPI was not informative given the transitivity issues between trials and because </w:t>
      </w:r>
      <w:r w:rsidR="00467457" w:rsidRPr="00F86117">
        <w:t xml:space="preserve">RECIST-assessed </w:t>
      </w:r>
      <w:r w:rsidR="00B950D2" w:rsidRPr="00F86117">
        <w:t>PFS is not an appropriate outcome for comparison</w:t>
      </w:r>
      <w:r w:rsidR="0059779F" w:rsidRPr="00F86117">
        <w:t>s</w:t>
      </w:r>
      <w:r w:rsidR="00B950D2" w:rsidRPr="00F86117">
        <w:t xml:space="preserve"> with NIVO+IPI.</w:t>
      </w:r>
    </w:p>
    <w:p w:rsidR="00A20EB9" w:rsidRPr="00F86117" w:rsidRDefault="00BB433C" w:rsidP="0061386A">
      <w:pPr>
        <w:pStyle w:val="ListParagraph"/>
        <w:widowControl/>
        <w:numPr>
          <w:ilvl w:val="1"/>
          <w:numId w:val="2"/>
        </w:numPr>
        <w:spacing w:before="120"/>
      </w:pPr>
      <w:r w:rsidRPr="00F86117">
        <w:t xml:space="preserve">The </w:t>
      </w:r>
      <w:r w:rsidR="00432A34" w:rsidRPr="00F86117">
        <w:t xml:space="preserve">evaluation and ESC considered that the </w:t>
      </w:r>
      <w:r w:rsidRPr="00F86117">
        <w:t xml:space="preserve">claim that </w:t>
      </w:r>
      <w:proofErr w:type="spellStart"/>
      <w:r w:rsidRPr="00F86117">
        <w:t>cabozantinib</w:t>
      </w:r>
      <w:proofErr w:type="spellEnd"/>
      <w:r w:rsidRPr="00F86117">
        <w:t xml:space="preserve"> ha</w:t>
      </w:r>
      <w:r w:rsidR="00432A34" w:rsidRPr="00F86117">
        <w:t>s</w:t>
      </w:r>
      <w:r w:rsidRPr="00F86117">
        <w:t xml:space="preserve"> a more tolerable safety profile </w:t>
      </w:r>
      <w:r w:rsidR="00432A34" w:rsidRPr="00F86117">
        <w:t xml:space="preserve">than NIVO+IPI </w:t>
      </w:r>
      <w:r w:rsidRPr="00F86117">
        <w:t xml:space="preserve">was not supported by the </w:t>
      </w:r>
      <w:r w:rsidR="00432A34" w:rsidRPr="00F86117">
        <w:t xml:space="preserve">evidence. </w:t>
      </w:r>
      <w:r w:rsidR="00797B94" w:rsidRPr="00F86117">
        <w:t>The ESC noted that immunotherapy is associated with severe toxicity in a proportion of patients whereas TKIs tend to be associated with less severe events but these events are experienced by nearly all patients</w:t>
      </w:r>
      <w:r w:rsidR="00F86117">
        <w:t xml:space="preserve">. </w:t>
      </w:r>
      <w:r w:rsidR="00467457" w:rsidRPr="00F86117">
        <w:t xml:space="preserve"> </w:t>
      </w:r>
    </w:p>
    <w:p w:rsidR="005D1B0B" w:rsidRPr="00F86117" w:rsidRDefault="00601B5C" w:rsidP="0061386A">
      <w:pPr>
        <w:pStyle w:val="ListParagraph"/>
        <w:widowControl/>
        <w:numPr>
          <w:ilvl w:val="1"/>
          <w:numId w:val="2"/>
        </w:numPr>
        <w:spacing w:before="120"/>
      </w:pPr>
      <w:r w:rsidRPr="00F86117">
        <w:t xml:space="preserve">The PBAC considered that the claim of superior comparative effectiveness </w:t>
      </w:r>
      <w:r w:rsidR="005D1B0B" w:rsidRPr="00F86117">
        <w:t>in terms of PFS and the claim of non-inferior comparative effectiveness in terms of ORR and OS compared with NIVO+IPI were</w:t>
      </w:r>
      <w:r w:rsidRPr="00F86117">
        <w:t xml:space="preserve"> not adequately supported by the data. </w:t>
      </w:r>
    </w:p>
    <w:p w:rsidR="00601B5C" w:rsidRPr="00F86117" w:rsidRDefault="00601B5C" w:rsidP="0061386A">
      <w:pPr>
        <w:pStyle w:val="ListParagraph"/>
        <w:widowControl/>
        <w:numPr>
          <w:ilvl w:val="1"/>
          <w:numId w:val="2"/>
        </w:numPr>
        <w:spacing w:before="120"/>
      </w:pPr>
      <w:r w:rsidRPr="00F86117">
        <w:t xml:space="preserve">The PBAC considered that the claim of </w:t>
      </w:r>
      <w:r w:rsidR="005D1B0B" w:rsidRPr="00F86117">
        <w:t xml:space="preserve">superior safety </w:t>
      </w:r>
      <w:r w:rsidR="00196D3B" w:rsidRPr="00F86117">
        <w:t xml:space="preserve">compared </w:t>
      </w:r>
      <w:r w:rsidR="005D1B0B" w:rsidRPr="00F86117">
        <w:t xml:space="preserve">to NIVO+IPI was not adequately supported by the data. </w:t>
      </w:r>
    </w:p>
    <w:p w:rsidR="00BB433C" w:rsidRPr="00F86117" w:rsidRDefault="00BB433C" w:rsidP="0061386A">
      <w:pPr>
        <w:pStyle w:val="Heading2"/>
        <w:widowControl/>
        <w:spacing w:before="120"/>
        <w:rPr>
          <w:i w:val="0"/>
        </w:rPr>
      </w:pPr>
      <w:bookmarkStart w:id="33" w:name="_Toc371170710"/>
      <w:bookmarkStart w:id="34" w:name="_Toc536002946"/>
      <w:bookmarkStart w:id="35" w:name="_Toc536023498"/>
      <w:r w:rsidRPr="00F86117">
        <w:rPr>
          <w:i w:val="0"/>
        </w:rPr>
        <w:t>Economic analysis</w:t>
      </w:r>
      <w:bookmarkEnd w:id="33"/>
      <w:bookmarkEnd w:id="34"/>
      <w:bookmarkEnd w:id="35"/>
      <w:r w:rsidRPr="00F86117">
        <w:rPr>
          <w:i w:val="0"/>
        </w:rPr>
        <w:t xml:space="preserve"> </w:t>
      </w:r>
    </w:p>
    <w:p w:rsidR="00BB433C" w:rsidRPr="00F86117" w:rsidRDefault="00BB433C" w:rsidP="0061386A">
      <w:pPr>
        <w:pStyle w:val="ListParagraph"/>
        <w:widowControl/>
        <w:numPr>
          <w:ilvl w:val="1"/>
          <w:numId w:val="2"/>
        </w:numPr>
        <w:spacing w:before="120"/>
        <w:rPr>
          <w:i/>
        </w:rPr>
      </w:pPr>
      <w:r w:rsidRPr="00F86117">
        <w:t xml:space="preserve">The submission presented a CUA comparing </w:t>
      </w:r>
      <w:proofErr w:type="spellStart"/>
      <w:r w:rsidRPr="00F86117">
        <w:t>cabozantinib</w:t>
      </w:r>
      <w:proofErr w:type="spellEnd"/>
      <w:r w:rsidRPr="00F86117">
        <w:t xml:space="preserve"> with </w:t>
      </w:r>
      <w:proofErr w:type="spellStart"/>
      <w:r w:rsidRPr="00F86117">
        <w:t>sunitinib</w:t>
      </w:r>
      <w:proofErr w:type="spellEnd"/>
      <w:r w:rsidRPr="00F86117">
        <w:t xml:space="preserve">, as outlined in Table </w:t>
      </w:r>
      <w:r w:rsidR="00024DFA" w:rsidRPr="00F86117">
        <w:t>13</w:t>
      </w:r>
      <w:r w:rsidRPr="00F86117">
        <w:t xml:space="preserve">. </w:t>
      </w:r>
      <w:r w:rsidR="00924F91" w:rsidRPr="00F86117">
        <w:t xml:space="preserve">The ESC considered that given the uncertain magnitude of PFS benefit for </w:t>
      </w:r>
      <w:proofErr w:type="spellStart"/>
      <w:r w:rsidR="00924F91" w:rsidRPr="00F86117">
        <w:t>cabozantinib</w:t>
      </w:r>
      <w:proofErr w:type="spellEnd"/>
      <w:r w:rsidR="00924F91" w:rsidRPr="00F86117">
        <w:t xml:space="preserve"> over </w:t>
      </w:r>
      <w:proofErr w:type="spellStart"/>
      <w:r w:rsidR="00924F91" w:rsidRPr="00F86117">
        <w:t>sunitinib</w:t>
      </w:r>
      <w:proofErr w:type="spellEnd"/>
      <w:r w:rsidR="00924F91" w:rsidRPr="00F86117">
        <w:t xml:space="preserve"> and the lack of OS benefit, a cost-minimisation analysis versus </w:t>
      </w:r>
      <w:proofErr w:type="spellStart"/>
      <w:r w:rsidR="00924F91" w:rsidRPr="00F86117">
        <w:t>sunitinib</w:t>
      </w:r>
      <w:proofErr w:type="spellEnd"/>
      <w:r w:rsidR="00924F91" w:rsidRPr="00F86117">
        <w:t xml:space="preserve"> and </w:t>
      </w:r>
      <w:proofErr w:type="spellStart"/>
      <w:r w:rsidR="00924F91" w:rsidRPr="00F86117">
        <w:t>pazopanib</w:t>
      </w:r>
      <w:proofErr w:type="spellEnd"/>
      <w:r w:rsidR="00924F91" w:rsidRPr="00F86117">
        <w:t xml:space="preserve"> may be a more appropriate approach.</w:t>
      </w:r>
      <w:r w:rsidR="00DA31B0" w:rsidRPr="00F86117">
        <w:t xml:space="preserve"> </w:t>
      </w:r>
    </w:p>
    <w:p w:rsidR="000045E2" w:rsidRPr="00F86117" w:rsidRDefault="00BB433C" w:rsidP="0061386A">
      <w:pPr>
        <w:pStyle w:val="ListParagraph"/>
        <w:widowControl/>
        <w:numPr>
          <w:ilvl w:val="1"/>
          <w:numId w:val="2"/>
        </w:numPr>
        <w:spacing w:before="120"/>
      </w:pPr>
      <w:r w:rsidRPr="00F86117">
        <w:t>Extrapolation of outcomes was based on a small number of patients with limited follow-up time (within CABOS</w:t>
      </w:r>
      <w:r w:rsidR="00A20EB9" w:rsidRPr="00F86117">
        <w:t>U</w:t>
      </w:r>
      <w:r w:rsidRPr="00F86117">
        <w:t xml:space="preserve">N), leading to uncertain estimates. Extrapolation functions were applied independently for </w:t>
      </w:r>
      <w:proofErr w:type="spellStart"/>
      <w:r w:rsidRPr="00F86117">
        <w:t>cabozantinib</w:t>
      </w:r>
      <w:proofErr w:type="spellEnd"/>
      <w:r w:rsidRPr="00F86117">
        <w:t xml:space="preserve"> and </w:t>
      </w:r>
      <w:proofErr w:type="spellStart"/>
      <w:r w:rsidRPr="00F86117">
        <w:t>sunitinib</w:t>
      </w:r>
      <w:proofErr w:type="spellEnd"/>
      <w:r w:rsidRPr="00F86117">
        <w:t xml:space="preserve">; this was not supported by </w:t>
      </w:r>
      <w:r w:rsidR="00C76EA9" w:rsidRPr="00F86117">
        <w:t xml:space="preserve">some of </w:t>
      </w:r>
      <w:r w:rsidRPr="00F86117">
        <w:t>the test</w:t>
      </w:r>
      <w:r w:rsidR="00C76EA9" w:rsidRPr="00F86117">
        <w:t>s</w:t>
      </w:r>
      <w:r w:rsidRPr="00F86117">
        <w:t xml:space="preserve"> of proportional hazards</w:t>
      </w:r>
      <w:r w:rsidR="00EA7133" w:rsidRPr="00F86117">
        <w:t xml:space="preserve"> (PH) provided by the submission (e.g. empirical tests suggested that PH h</w:t>
      </w:r>
      <w:r w:rsidR="00902016" w:rsidRPr="00F86117">
        <w:t>e</w:t>
      </w:r>
      <w:r w:rsidR="00EA7133" w:rsidRPr="00F86117">
        <w:t>ld for PFS, OS and TTD</w:t>
      </w:r>
      <w:r w:rsidR="00980454" w:rsidRPr="00F86117">
        <w:t>,</w:t>
      </w:r>
      <w:r w:rsidR="00EA7133" w:rsidRPr="00F86117">
        <w:t xml:space="preserve"> </w:t>
      </w:r>
      <w:r w:rsidR="00980454" w:rsidRPr="00F86117">
        <w:t>h</w:t>
      </w:r>
      <w:r w:rsidR="00EA7133" w:rsidRPr="00F86117">
        <w:t xml:space="preserve">owever, the results between </w:t>
      </w:r>
      <w:proofErr w:type="spellStart"/>
      <w:r w:rsidR="00EA7133" w:rsidRPr="00F86117">
        <w:t>Schoenfeld</w:t>
      </w:r>
      <w:proofErr w:type="spellEnd"/>
      <w:r w:rsidR="00EA7133" w:rsidRPr="00F86117">
        <w:t xml:space="preserve"> residuals</w:t>
      </w:r>
      <w:r w:rsidR="00EB24DA" w:rsidRPr="00F86117">
        <w:t xml:space="preserve"> test</w:t>
      </w:r>
      <w:r w:rsidR="00EA7133" w:rsidRPr="00F86117">
        <w:t xml:space="preserve"> and log-log plot</w:t>
      </w:r>
      <w:r w:rsidR="00EB24DA" w:rsidRPr="00F86117">
        <w:t>s</w:t>
      </w:r>
      <w:r w:rsidR="00EA7133" w:rsidRPr="00F86117">
        <w:t xml:space="preserve"> were inconsistent)</w:t>
      </w:r>
      <w:r w:rsidRPr="00F86117">
        <w:t xml:space="preserve">. </w:t>
      </w:r>
    </w:p>
    <w:p w:rsidR="003A4486" w:rsidRPr="00F86117" w:rsidRDefault="00BB433C" w:rsidP="0061386A">
      <w:pPr>
        <w:pStyle w:val="ListParagraph"/>
        <w:widowControl/>
        <w:numPr>
          <w:ilvl w:val="1"/>
          <w:numId w:val="2"/>
        </w:numPr>
        <w:spacing w:before="120"/>
      </w:pPr>
      <w:r w:rsidRPr="00F86117">
        <w:lastRenderedPageBreak/>
        <w:t>The chosen parametric distributions</w:t>
      </w:r>
      <w:r w:rsidR="000045E2" w:rsidRPr="00F86117">
        <w:t xml:space="preserve"> used to extrapolate the outcomes</w:t>
      </w:r>
      <w:r w:rsidRPr="00F86117">
        <w:t xml:space="preserve"> were not sufficiently justified. </w:t>
      </w:r>
      <w:r w:rsidR="005942B8" w:rsidRPr="00F86117">
        <w:t xml:space="preserve">The choice of distribution was based on AIC and BIC criteria. It is unclear from the submission whether clinical plausibility was used to justify the appropriateness of different distributions. </w:t>
      </w:r>
      <w:r w:rsidR="000045E2" w:rsidRPr="00F86117">
        <w:t>In particular, the choice of distribution for OS was uncertain; t</w:t>
      </w:r>
      <w:r w:rsidR="002910B5" w:rsidRPr="00F86117">
        <w:t xml:space="preserve">he choice of log-normal distribution was likely to provide </w:t>
      </w:r>
      <w:r w:rsidR="000045E2" w:rsidRPr="00F86117">
        <w:t xml:space="preserve">an overly </w:t>
      </w:r>
      <w:r w:rsidR="002910B5" w:rsidRPr="00F86117">
        <w:t xml:space="preserve">optimistic result </w:t>
      </w:r>
      <w:r w:rsidR="000045E2" w:rsidRPr="00F86117">
        <w:t>for</w:t>
      </w:r>
      <w:r w:rsidR="002910B5" w:rsidRPr="00F86117">
        <w:t xml:space="preserve"> OS </w:t>
      </w:r>
      <w:r w:rsidR="002E62A6" w:rsidRPr="00F86117">
        <w:t>(i</w:t>
      </w:r>
      <w:r w:rsidR="002112F9" w:rsidRPr="00F86117">
        <w:t>.</w:t>
      </w:r>
      <w:r w:rsidR="002E62A6" w:rsidRPr="00F86117">
        <w:t>e. potentially underestimate mortality rate</w:t>
      </w:r>
      <w:r w:rsidR="00B92627" w:rsidRPr="00F86117">
        <w:t>)</w:t>
      </w:r>
      <w:r w:rsidR="000045E2" w:rsidRPr="00F86117">
        <w:t xml:space="preserve">. Moreover, the model applied extrapolated data for the entirety of the time-horizon (10 years), did not include the directly observed KM data and assumed an ongoing treatment effect. </w:t>
      </w:r>
      <w:r w:rsidR="00C255EB" w:rsidRPr="00F86117">
        <w:t>A</w:t>
      </w:r>
      <w:r w:rsidR="00902016" w:rsidRPr="00F86117">
        <w:t xml:space="preserve"> </w:t>
      </w:r>
      <w:r w:rsidR="0039201D" w:rsidRPr="00F86117">
        <w:t>shorter</w:t>
      </w:r>
      <w:r w:rsidR="00333A68" w:rsidRPr="00F86117">
        <w:t xml:space="preserve"> time horizon </w:t>
      </w:r>
      <w:r w:rsidR="0039201D" w:rsidRPr="00F86117">
        <w:t xml:space="preserve">and/or applying convergence for OS </w:t>
      </w:r>
      <w:r w:rsidR="00C255EB" w:rsidRPr="00F86117">
        <w:t>would have been more</w:t>
      </w:r>
      <w:r w:rsidR="00333A68" w:rsidRPr="00F86117">
        <w:t xml:space="preserve"> appropriate. </w:t>
      </w:r>
      <w:r w:rsidR="00EC2F77" w:rsidRPr="00F86117">
        <w:t>The ESC</w:t>
      </w:r>
      <w:r w:rsidR="00DA700A" w:rsidRPr="00F86117">
        <w:t xml:space="preserve"> also</w:t>
      </w:r>
      <w:r w:rsidR="00EC2F77" w:rsidRPr="00F86117">
        <w:t xml:space="preserve"> noted that the modelled OS d</w:t>
      </w:r>
      <w:r w:rsidR="00B625C0" w:rsidRPr="00F86117">
        <w:t>id not</w:t>
      </w:r>
      <w:r w:rsidR="00EC2F77" w:rsidRPr="00F86117">
        <w:t xml:space="preserve"> </w:t>
      </w:r>
      <w:r w:rsidR="00022612" w:rsidRPr="00F86117">
        <w:t>reliably reflect</w:t>
      </w:r>
      <w:r w:rsidR="00EC2F77" w:rsidRPr="00F86117">
        <w:t xml:space="preserve"> the </w:t>
      </w:r>
      <w:r w:rsidR="005179AB" w:rsidRPr="00F86117">
        <w:t xml:space="preserve">Kaplan-Meier </w:t>
      </w:r>
      <w:r w:rsidR="00EC2F77" w:rsidRPr="00F86117">
        <w:t xml:space="preserve">OS </w:t>
      </w:r>
      <w:r w:rsidR="005179AB" w:rsidRPr="00F86117">
        <w:t xml:space="preserve">curve </w:t>
      </w:r>
      <w:r w:rsidR="00EC2F77" w:rsidRPr="00F86117">
        <w:t>from the CABOSUN trial</w:t>
      </w:r>
      <w:r w:rsidR="00B625C0" w:rsidRPr="00F86117">
        <w:t xml:space="preserve"> (per the figure below)</w:t>
      </w:r>
      <w:r w:rsidR="00EC2F77" w:rsidRPr="00F86117">
        <w:t>.</w:t>
      </w:r>
    </w:p>
    <w:p w:rsidR="008E0CE8" w:rsidRPr="00F86117" w:rsidRDefault="008E0CE8" w:rsidP="00432A34">
      <w:pPr>
        <w:pStyle w:val="ListParagraph"/>
        <w:keepNext/>
        <w:keepLines/>
        <w:widowControl/>
        <w:spacing w:before="120" w:after="0"/>
        <w:ind w:hanging="578"/>
        <w:rPr>
          <w:rFonts w:ascii="Arial Narrow" w:hAnsi="Arial Narrow"/>
          <w:sz w:val="20"/>
          <w:szCs w:val="20"/>
        </w:rPr>
      </w:pPr>
      <w:r w:rsidRPr="00F86117">
        <w:rPr>
          <w:rFonts w:ascii="Arial Narrow" w:hAnsi="Arial Narrow"/>
          <w:b/>
          <w:sz w:val="20"/>
          <w:szCs w:val="20"/>
        </w:rPr>
        <w:t>Figure 4: KM curves for OS and PFS from CABOSUN versus the extrapolation assumed in the</w:t>
      </w:r>
      <w:r w:rsidRPr="00F86117">
        <w:rPr>
          <w:rFonts w:ascii="Arial Narrow" w:hAnsi="Arial Narrow"/>
          <w:sz w:val="20"/>
          <w:szCs w:val="20"/>
        </w:rPr>
        <w:t xml:space="preserve"> </w:t>
      </w:r>
      <w:r w:rsidRPr="00F86117">
        <w:rPr>
          <w:rFonts w:ascii="Arial Narrow" w:hAnsi="Arial Narrow"/>
          <w:b/>
          <w:sz w:val="20"/>
          <w:szCs w:val="20"/>
        </w:rPr>
        <w:t>model</w:t>
      </w:r>
    </w:p>
    <w:p w:rsidR="00C835F9" w:rsidRPr="00F86117" w:rsidRDefault="00C835F9" w:rsidP="00AD4D26">
      <w:pPr>
        <w:pStyle w:val="ListParagraph"/>
        <w:keepNext/>
        <w:keepLines/>
        <w:widowControl/>
        <w:spacing w:after="0"/>
        <w:ind w:hanging="578"/>
      </w:pPr>
      <w:r w:rsidRPr="00F86117">
        <w:rPr>
          <w:noProof/>
          <w:lang w:eastAsia="en-AU"/>
        </w:rPr>
        <w:drawing>
          <wp:inline distT="0" distB="0" distL="0" distR="0" wp14:anchorId="74EB0661" wp14:editId="0157752D">
            <wp:extent cx="4276725" cy="3235604"/>
            <wp:effectExtent l="0" t="0" r="0" b="3175"/>
            <wp:docPr id="1" name="Picture 1" title="Figure 4: KM curves for OS and PFS from CABOSUN versus the extrapolation assumed in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8639" cy="3252183"/>
                    </a:xfrm>
                    <a:prstGeom prst="rect">
                      <a:avLst/>
                    </a:prstGeom>
                    <a:noFill/>
                  </pic:spPr>
                </pic:pic>
              </a:graphicData>
            </a:graphic>
          </wp:inline>
        </w:drawing>
      </w:r>
    </w:p>
    <w:p w:rsidR="008E0CE8" w:rsidRPr="00F86117" w:rsidRDefault="008E0CE8" w:rsidP="00AD4D26">
      <w:pPr>
        <w:pStyle w:val="ListParagraph"/>
        <w:keepNext/>
        <w:keepLines/>
        <w:widowControl/>
        <w:rPr>
          <w:rFonts w:ascii="Arial Narrow" w:hAnsi="Arial Narrow"/>
          <w:sz w:val="18"/>
          <w:szCs w:val="18"/>
        </w:rPr>
      </w:pPr>
      <w:r w:rsidRPr="00F86117">
        <w:rPr>
          <w:rFonts w:ascii="Arial Narrow" w:hAnsi="Arial Narrow"/>
          <w:sz w:val="18"/>
          <w:szCs w:val="18"/>
        </w:rPr>
        <w:t xml:space="preserve">Source: ‘3A. Control panel’ worksheet, ‘Attachment 7 – Section 3 – Economic </w:t>
      </w:r>
      <w:proofErr w:type="gramStart"/>
      <w:r w:rsidRPr="00F86117">
        <w:rPr>
          <w:rFonts w:ascii="Arial Narrow" w:hAnsi="Arial Narrow"/>
          <w:sz w:val="18"/>
          <w:szCs w:val="18"/>
        </w:rPr>
        <w:t>model.xls’</w:t>
      </w:r>
      <w:proofErr w:type="gramEnd"/>
    </w:p>
    <w:p w:rsidR="00EC2F77" w:rsidRPr="00F86117" w:rsidRDefault="00EC2F77" w:rsidP="00AD4D26">
      <w:pPr>
        <w:pStyle w:val="ListParagraph"/>
        <w:widowControl/>
        <w:numPr>
          <w:ilvl w:val="1"/>
          <w:numId w:val="2"/>
        </w:numPr>
      </w:pPr>
      <w:r w:rsidRPr="00F86117">
        <w:t>The ESC noted that the utilities used in the model were taken from</w:t>
      </w:r>
      <w:r w:rsidR="0008128F" w:rsidRPr="00F86117">
        <w:t xml:space="preserve"> </w:t>
      </w:r>
      <w:r w:rsidRPr="00F86117">
        <w:t>a study that appeared to have a healthier population tha</w:t>
      </w:r>
      <w:r w:rsidR="00ED2035" w:rsidRPr="00F86117">
        <w:t>n</w:t>
      </w:r>
      <w:r w:rsidRPr="00F86117">
        <w:t xml:space="preserve"> the likely PBS population</w:t>
      </w:r>
      <w:r w:rsidR="00B67C39" w:rsidRPr="00F86117">
        <w:t xml:space="preserve"> as it included a significant proportion of patients with favourable risk and recruited only patients with ECOG status 0 or 1 (Motzer, 2007). The ESC</w:t>
      </w:r>
      <w:r w:rsidRPr="00F86117">
        <w:t xml:space="preserve"> considered that the utility values appear to be higher than would be expected for this population.</w:t>
      </w:r>
    </w:p>
    <w:p w:rsidR="00BB433C" w:rsidRPr="00F86117" w:rsidRDefault="00BB433C" w:rsidP="00AD4D26">
      <w:pPr>
        <w:keepNext/>
        <w:keepLines/>
        <w:widowControl/>
        <w:rPr>
          <w:rStyle w:val="CommentReference"/>
        </w:rPr>
      </w:pPr>
      <w:r w:rsidRPr="00F86117">
        <w:rPr>
          <w:rStyle w:val="CommentReference"/>
        </w:rPr>
        <w:lastRenderedPageBreak/>
        <w:t>Table 1</w:t>
      </w:r>
      <w:r w:rsidR="00024DFA" w:rsidRPr="00F86117">
        <w:rPr>
          <w:rStyle w:val="CommentReference"/>
        </w:rPr>
        <w:t>3</w:t>
      </w:r>
      <w:r w:rsidRPr="00F86117">
        <w:rPr>
          <w:rStyle w:val="CommentReference"/>
        </w:rPr>
        <w:t>: Key components of the economic evaluation</w:t>
      </w:r>
    </w:p>
    <w:tbl>
      <w:tblPr>
        <w:tblStyle w:val="TableGrid"/>
        <w:tblW w:w="0" w:type="auto"/>
        <w:tblLook w:val="04A0" w:firstRow="1" w:lastRow="0" w:firstColumn="1" w:lastColumn="0" w:noHBand="0" w:noVBand="1"/>
        <w:tblCaption w:val="Table 13: Key components of the economic evaluation"/>
      </w:tblPr>
      <w:tblGrid>
        <w:gridCol w:w="2883"/>
        <w:gridCol w:w="6134"/>
      </w:tblGrid>
      <w:tr w:rsidR="00BB433C" w:rsidRPr="00F86117" w:rsidTr="00E450AE">
        <w:trPr>
          <w:tblHeader/>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BB433C" w:rsidRPr="00F86117" w:rsidRDefault="00BB433C" w:rsidP="00AD4D26">
            <w:pPr>
              <w:pStyle w:val="TableLeft"/>
              <w:keepNext/>
              <w:keepLines/>
              <w:rPr>
                <w:rFonts w:ascii="Arial Narrow" w:hAnsi="Arial Narrow"/>
                <w:b/>
                <w:lang w:bidi="en-US"/>
              </w:rPr>
            </w:pPr>
            <w:r w:rsidRPr="00F86117">
              <w:rPr>
                <w:rFonts w:ascii="Arial Narrow" w:hAnsi="Arial Narrow"/>
                <w:b/>
              </w:rPr>
              <w:t>Component</w:t>
            </w:r>
          </w:p>
        </w:tc>
        <w:tc>
          <w:tcPr>
            <w:tcW w:w="6299" w:type="dxa"/>
            <w:tcBorders>
              <w:top w:val="single" w:sz="4" w:space="0" w:color="auto"/>
              <w:left w:val="single" w:sz="4" w:space="0" w:color="auto"/>
              <w:bottom w:val="single" w:sz="4" w:space="0" w:color="auto"/>
              <w:right w:val="single" w:sz="4" w:space="0" w:color="auto"/>
            </w:tcBorders>
            <w:shd w:val="clear" w:color="auto" w:fill="auto"/>
            <w:hideMark/>
          </w:tcPr>
          <w:p w:rsidR="00BB433C" w:rsidRPr="00F86117" w:rsidRDefault="00BB433C" w:rsidP="00AD4D26">
            <w:pPr>
              <w:pStyle w:val="TableLeft"/>
              <w:keepNext/>
              <w:keepLines/>
              <w:rPr>
                <w:rFonts w:ascii="Arial Narrow" w:hAnsi="Arial Narrow"/>
                <w:b/>
              </w:rPr>
            </w:pPr>
            <w:r w:rsidRPr="00F86117">
              <w:rPr>
                <w:rFonts w:ascii="Arial Narrow" w:hAnsi="Arial Narrow"/>
                <w:b/>
              </w:rPr>
              <w:t>Description</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Type(s) of analysis</w:t>
            </w:r>
          </w:p>
        </w:tc>
        <w:tc>
          <w:tcPr>
            <w:tcW w:w="6299"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Cost-utility analysis.</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Outcomes</w:t>
            </w:r>
          </w:p>
        </w:tc>
        <w:tc>
          <w:tcPr>
            <w:tcW w:w="6299"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Cost per quality adjusted life years gained and cost per life year gained.</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Time horizon</w:t>
            </w:r>
          </w:p>
        </w:tc>
        <w:tc>
          <w:tcPr>
            <w:tcW w:w="6299"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10 years</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Method(s) used to generate results</w:t>
            </w:r>
          </w:p>
        </w:tc>
        <w:tc>
          <w:tcPr>
            <w:tcW w:w="6299"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Partitioned survival model.</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Health states</w:t>
            </w:r>
          </w:p>
        </w:tc>
        <w:tc>
          <w:tcPr>
            <w:tcW w:w="6299"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Stable disease, progressive disease, death.</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Cycle length</w:t>
            </w:r>
          </w:p>
        </w:tc>
        <w:tc>
          <w:tcPr>
            <w:tcW w:w="6299"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Four weeks (28 days), half cycle corrected.</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Health state movements</w:t>
            </w:r>
          </w:p>
        </w:tc>
        <w:tc>
          <w:tcPr>
            <w:tcW w:w="6299"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Based on survival curves for PFS and OS from the CABOSUN trial (individual patient data). Time to treatment discontinuation estimates applied for a costing-based scenario analysis.</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Quality of life</w:t>
            </w:r>
          </w:p>
        </w:tc>
        <w:tc>
          <w:tcPr>
            <w:tcW w:w="6299" w:type="dxa"/>
            <w:tcBorders>
              <w:top w:val="single" w:sz="4" w:space="0" w:color="auto"/>
              <w:left w:val="single" w:sz="4" w:space="0" w:color="auto"/>
              <w:bottom w:val="single" w:sz="4" w:space="0" w:color="auto"/>
              <w:right w:val="single" w:sz="4" w:space="0" w:color="auto"/>
            </w:tcBorders>
            <w:hideMark/>
          </w:tcPr>
          <w:p w:rsidR="004156CC" w:rsidRPr="00F86117" w:rsidRDefault="003C6E02" w:rsidP="00AD4D26">
            <w:pPr>
              <w:pStyle w:val="TableLeft"/>
              <w:keepNext/>
              <w:keepLines/>
              <w:rPr>
                <w:rFonts w:ascii="Arial Narrow" w:hAnsi="Arial Narrow"/>
              </w:rPr>
            </w:pPr>
            <w:r w:rsidRPr="00F86117">
              <w:rPr>
                <w:rFonts w:ascii="Arial Narrow" w:hAnsi="Arial Narrow"/>
              </w:rPr>
              <w:t>B</w:t>
            </w:r>
            <w:r w:rsidR="00BB433C" w:rsidRPr="00F86117">
              <w:rPr>
                <w:rFonts w:ascii="Arial Narrow" w:hAnsi="Arial Narrow"/>
              </w:rPr>
              <w:t>ased on estimates from the literature</w:t>
            </w:r>
            <w:r w:rsidRPr="00F86117">
              <w:rPr>
                <w:rFonts w:ascii="Arial Narrow" w:hAnsi="Arial Narrow"/>
              </w:rPr>
              <w:t>s</w:t>
            </w:r>
            <w:r w:rsidR="00073909" w:rsidRPr="00F86117">
              <w:rPr>
                <w:rFonts w:ascii="Arial Narrow" w:hAnsi="Arial Narrow"/>
              </w:rPr>
              <w:t xml:space="preserve">: </w:t>
            </w:r>
            <w:r w:rsidR="001B201A" w:rsidRPr="00F86117">
              <w:rPr>
                <w:rFonts w:ascii="Arial Narrow" w:hAnsi="Arial Narrow"/>
              </w:rPr>
              <w:t>Utility values of progression free of 0.77 and p</w:t>
            </w:r>
            <w:r w:rsidR="00073909" w:rsidRPr="00F86117">
              <w:rPr>
                <w:rFonts w:ascii="Arial Narrow" w:hAnsi="Arial Narrow"/>
              </w:rPr>
              <w:t xml:space="preserve">ost-progression </w:t>
            </w:r>
            <w:r w:rsidR="001B201A" w:rsidRPr="00F86117">
              <w:rPr>
                <w:rFonts w:ascii="Arial Narrow" w:hAnsi="Arial Narrow"/>
              </w:rPr>
              <w:t>of</w:t>
            </w:r>
            <w:r w:rsidR="00073909" w:rsidRPr="00F86117">
              <w:rPr>
                <w:rFonts w:ascii="Arial Narrow" w:hAnsi="Arial Narrow"/>
              </w:rPr>
              <w:t xml:space="preserve"> 0.72</w:t>
            </w:r>
            <w:r w:rsidR="001B201A" w:rsidRPr="00F86117">
              <w:rPr>
                <w:rFonts w:ascii="Arial Narrow" w:hAnsi="Arial Narrow"/>
              </w:rPr>
              <w:t xml:space="preserve"> from </w:t>
            </w:r>
            <w:r w:rsidR="007746BD" w:rsidRPr="00F86117">
              <w:rPr>
                <w:rFonts w:ascii="Arial Narrow" w:hAnsi="Arial Narrow"/>
              </w:rPr>
              <w:t>‘</w:t>
            </w:r>
            <w:proofErr w:type="spellStart"/>
            <w:r w:rsidR="001B201A" w:rsidRPr="00F86117">
              <w:rPr>
                <w:rFonts w:ascii="Arial Narrow" w:hAnsi="Arial Narrow"/>
              </w:rPr>
              <w:t>Sunitinib</w:t>
            </w:r>
            <w:proofErr w:type="spellEnd"/>
            <w:r w:rsidR="001B201A" w:rsidRPr="00F86117">
              <w:rPr>
                <w:rFonts w:ascii="Arial Narrow" w:hAnsi="Arial Narrow"/>
              </w:rPr>
              <w:t xml:space="preserve"> NICE STA</w:t>
            </w:r>
            <w:r w:rsidR="007746BD" w:rsidRPr="00F86117">
              <w:rPr>
                <w:rFonts w:ascii="Arial Narrow" w:hAnsi="Arial Narrow"/>
              </w:rPr>
              <w:t>’</w:t>
            </w:r>
            <w:r w:rsidRPr="00F86117">
              <w:rPr>
                <w:rFonts w:ascii="Arial Narrow" w:hAnsi="Arial Narrow"/>
              </w:rPr>
              <w:t>; and</w:t>
            </w:r>
            <w:r w:rsidR="002112F9" w:rsidRPr="00F86117">
              <w:rPr>
                <w:rFonts w:ascii="Arial Narrow" w:hAnsi="Arial Narrow"/>
              </w:rPr>
              <w:t xml:space="preserve"> </w:t>
            </w:r>
            <w:r w:rsidRPr="00F86117">
              <w:rPr>
                <w:rFonts w:ascii="Arial Narrow" w:hAnsi="Arial Narrow"/>
              </w:rPr>
              <w:t>d</w:t>
            </w:r>
            <w:r w:rsidR="00073909" w:rsidRPr="00F86117">
              <w:rPr>
                <w:rFonts w:ascii="Arial Narrow" w:hAnsi="Arial Narrow"/>
              </w:rPr>
              <w:t>isutility value of -0.04</w:t>
            </w:r>
            <w:r w:rsidR="001B201A" w:rsidRPr="00F86117">
              <w:rPr>
                <w:rFonts w:ascii="Arial Narrow" w:hAnsi="Arial Narrow"/>
              </w:rPr>
              <w:t xml:space="preserve"> from </w:t>
            </w:r>
            <w:r w:rsidR="007746BD" w:rsidRPr="00F86117">
              <w:rPr>
                <w:rFonts w:ascii="Arial Narrow" w:hAnsi="Arial Narrow"/>
              </w:rPr>
              <w:t>‘</w:t>
            </w:r>
            <w:r w:rsidR="001B201A" w:rsidRPr="00F86117">
              <w:rPr>
                <w:rFonts w:ascii="Arial Narrow" w:hAnsi="Arial Narrow"/>
              </w:rPr>
              <w:t>METEOR study</w:t>
            </w:r>
            <w:r w:rsidR="007746BD" w:rsidRPr="00F86117">
              <w:rPr>
                <w:rFonts w:ascii="Arial Narrow" w:hAnsi="Arial Narrow"/>
              </w:rPr>
              <w:t>’</w:t>
            </w:r>
            <w:r w:rsidR="001B201A" w:rsidRPr="00F86117">
              <w:rPr>
                <w:rFonts w:ascii="Arial Narrow" w:hAnsi="Arial Narrow"/>
              </w:rPr>
              <w:t>.</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Resource utilisation</w:t>
            </w:r>
          </w:p>
        </w:tc>
        <w:tc>
          <w:tcPr>
            <w:tcW w:w="6299"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 xml:space="preserve">Based on the available literature, review of published economic models. </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Post-progression disease costs</w:t>
            </w:r>
          </w:p>
        </w:tc>
        <w:tc>
          <w:tcPr>
            <w:tcW w:w="6299"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i/>
              </w:rPr>
            </w:pPr>
            <w:r w:rsidRPr="00F86117">
              <w:rPr>
                <w:rFonts w:ascii="Arial Narrow" w:hAnsi="Arial Narrow"/>
              </w:rPr>
              <w:t>Subsequent therapies, based on subsequent therapies as reported in the CABOSUN trial. These may not reflect the therapies available in the second-line setting for RCC.</w:t>
            </w:r>
          </w:p>
        </w:tc>
      </w:tr>
      <w:tr w:rsidR="00BB433C" w:rsidRPr="00F86117" w:rsidTr="00E450AE">
        <w:tc>
          <w:tcPr>
            <w:tcW w:w="2943"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Software</w:t>
            </w:r>
          </w:p>
        </w:tc>
        <w:tc>
          <w:tcPr>
            <w:tcW w:w="6299" w:type="dxa"/>
            <w:tcBorders>
              <w:top w:val="single" w:sz="4" w:space="0" w:color="auto"/>
              <w:left w:val="single" w:sz="4" w:space="0" w:color="auto"/>
              <w:bottom w:val="single" w:sz="4" w:space="0" w:color="auto"/>
              <w:right w:val="single" w:sz="4" w:space="0" w:color="auto"/>
            </w:tcBorders>
            <w:hideMark/>
          </w:tcPr>
          <w:p w:rsidR="00BB433C" w:rsidRPr="00F86117" w:rsidRDefault="00BB433C" w:rsidP="00AD4D26">
            <w:pPr>
              <w:pStyle w:val="TableLeft"/>
              <w:keepNext/>
              <w:keepLines/>
              <w:rPr>
                <w:rFonts w:ascii="Arial Narrow" w:hAnsi="Arial Narrow"/>
              </w:rPr>
            </w:pPr>
            <w:r w:rsidRPr="00F86117">
              <w:rPr>
                <w:rFonts w:ascii="Arial Narrow" w:hAnsi="Arial Narrow"/>
              </w:rPr>
              <w:t>Microsoft Excel 2010</w:t>
            </w:r>
          </w:p>
        </w:tc>
      </w:tr>
    </w:tbl>
    <w:p w:rsidR="00BB433C" w:rsidRPr="00F86117" w:rsidRDefault="00BB433C" w:rsidP="00AD4D26">
      <w:pPr>
        <w:pStyle w:val="TableFooter"/>
        <w:keepNext/>
        <w:keepLines/>
        <w:widowControl/>
      </w:pPr>
      <w:r w:rsidRPr="00F86117">
        <w:t>Abbreviations: PFS = progression-free survival; OS = overall survival</w:t>
      </w:r>
      <w:r w:rsidR="00073909" w:rsidRPr="00F86117">
        <w:t>; STA = single technology appraisal</w:t>
      </w:r>
    </w:p>
    <w:p w:rsidR="00BB433C" w:rsidRPr="00F86117" w:rsidRDefault="00BB433C" w:rsidP="00AD4D26">
      <w:pPr>
        <w:pStyle w:val="TableFooter"/>
        <w:keepNext/>
        <w:keepLines/>
        <w:widowControl/>
      </w:pPr>
      <w:r w:rsidRPr="00F86117">
        <w:t>Source: Table 3.2, p. 159 of the submission</w:t>
      </w:r>
    </w:p>
    <w:p w:rsidR="001071B3" w:rsidRPr="00F86117" w:rsidRDefault="001071B3" w:rsidP="0061386A">
      <w:pPr>
        <w:pStyle w:val="ListParagraph"/>
        <w:widowControl/>
        <w:numPr>
          <w:ilvl w:val="1"/>
          <w:numId w:val="2"/>
        </w:numPr>
        <w:spacing w:before="120"/>
      </w:pPr>
      <w:r w:rsidRPr="00F86117">
        <w:t>A summary of the model results is presented in Table 14, with the key drivers summarised in Table 15.</w:t>
      </w:r>
      <w:r w:rsidR="003E4D1F" w:rsidRPr="00F86117">
        <w:t xml:space="preserve"> </w:t>
      </w:r>
      <w:r w:rsidR="00572A4F" w:rsidRPr="00F86117">
        <w:t>T</w:t>
      </w:r>
      <w:r w:rsidR="003E4D1F" w:rsidRPr="00F86117">
        <w:t xml:space="preserve">he estimates in Table 14 are based on the </w:t>
      </w:r>
      <w:proofErr w:type="spellStart"/>
      <w:r w:rsidR="003E4D1F" w:rsidRPr="00F86117">
        <w:t>cabozantinib</w:t>
      </w:r>
      <w:proofErr w:type="spellEnd"/>
      <w:r w:rsidR="003E4D1F" w:rsidRPr="00F86117">
        <w:t xml:space="preserve"> effective prices and the submission’s assumed effective prices for </w:t>
      </w:r>
      <w:proofErr w:type="spellStart"/>
      <w:r w:rsidR="003C3631" w:rsidRPr="00F86117">
        <w:t>sunitinib</w:t>
      </w:r>
      <w:proofErr w:type="spellEnd"/>
      <w:r w:rsidR="003C3631" w:rsidRPr="00F86117">
        <w:t xml:space="preserve"> and </w:t>
      </w:r>
      <w:proofErr w:type="spellStart"/>
      <w:r w:rsidR="003C3631" w:rsidRPr="00F86117">
        <w:t>nivolumab</w:t>
      </w:r>
      <w:proofErr w:type="spellEnd"/>
      <w:r w:rsidR="003E4D1F" w:rsidRPr="00F86117">
        <w:t xml:space="preserve">. </w:t>
      </w:r>
    </w:p>
    <w:p w:rsidR="001071B3" w:rsidRPr="00F86117" w:rsidRDefault="001071B3" w:rsidP="00AD4D26">
      <w:pPr>
        <w:keepNext/>
        <w:keepLines/>
        <w:widowControl/>
        <w:rPr>
          <w:vertAlign w:val="superscript"/>
        </w:rPr>
      </w:pPr>
      <w:r w:rsidRPr="00F86117">
        <w:rPr>
          <w:rStyle w:val="CommentReference"/>
        </w:rPr>
        <w:t>Table 14: Results of the economic evaluation</w:t>
      </w:r>
      <w:r w:rsidR="00EA6F77" w:rsidRPr="00F86117">
        <w:rPr>
          <w:rStyle w:val="CommentReference"/>
        </w:rPr>
        <w:t xml:space="preserve"> (assumed effective prices – as per submission)</w:t>
      </w:r>
      <w:r w:rsidR="002112F9" w:rsidRPr="00F86117">
        <w:rPr>
          <w:rStyle w:val="CommentReference"/>
        </w:rPr>
        <w:t xml:space="preserve"> </w:t>
      </w:r>
      <w:r w:rsidR="002112F9" w:rsidRPr="00F86117">
        <w:rPr>
          <w:rStyle w:val="CommentReference"/>
          <w:vertAlign w:val="superscript"/>
        </w:rPr>
        <w:t>a</w:t>
      </w:r>
    </w:p>
    <w:tbl>
      <w:tblPr>
        <w:tblStyle w:val="TableGrid"/>
        <w:tblW w:w="0" w:type="auto"/>
        <w:tblLook w:val="04A0" w:firstRow="1" w:lastRow="0" w:firstColumn="1" w:lastColumn="0" w:noHBand="0" w:noVBand="1"/>
        <w:tblCaption w:val="Table 14: Results of the economic evaluation (assumed effective prices – as per submission) "/>
      </w:tblPr>
      <w:tblGrid>
        <w:gridCol w:w="2248"/>
        <w:gridCol w:w="2265"/>
        <w:gridCol w:w="2245"/>
        <w:gridCol w:w="2259"/>
      </w:tblGrid>
      <w:tr w:rsidR="001071B3" w:rsidRPr="00F86117" w:rsidTr="0061386A">
        <w:trPr>
          <w:tblHeader/>
        </w:trPr>
        <w:tc>
          <w:tcPr>
            <w:tcW w:w="2305" w:type="dxa"/>
          </w:tcPr>
          <w:p w:rsidR="001071B3" w:rsidRPr="00F86117" w:rsidRDefault="001071B3" w:rsidP="00AD4D26">
            <w:pPr>
              <w:pStyle w:val="TableLeft"/>
              <w:keepNext/>
              <w:keepLines/>
              <w:rPr>
                <w:rStyle w:val="SmallBold"/>
                <w:rFonts w:ascii="Arial Narrow" w:hAnsi="Arial Narrow"/>
                <w:lang w:bidi="en-US"/>
              </w:rPr>
            </w:pPr>
          </w:p>
        </w:tc>
        <w:tc>
          <w:tcPr>
            <w:tcW w:w="2315" w:type="dxa"/>
            <w:hideMark/>
          </w:tcPr>
          <w:p w:rsidR="001071B3" w:rsidRPr="00F86117" w:rsidRDefault="001071B3" w:rsidP="00AD4D26">
            <w:pPr>
              <w:pStyle w:val="TableLeft"/>
              <w:keepNext/>
              <w:keepLines/>
              <w:jc w:val="center"/>
              <w:rPr>
                <w:rStyle w:val="SmallBold"/>
                <w:rFonts w:ascii="Arial Narrow" w:hAnsi="Arial Narrow"/>
              </w:rPr>
            </w:pPr>
            <w:proofErr w:type="spellStart"/>
            <w:r w:rsidRPr="00F86117">
              <w:rPr>
                <w:rStyle w:val="SmallBold"/>
                <w:rFonts w:ascii="Arial Narrow" w:hAnsi="Arial Narrow"/>
              </w:rPr>
              <w:t>Cabozantinib</w:t>
            </w:r>
            <w:proofErr w:type="spellEnd"/>
          </w:p>
        </w:tc>
        <w:tc>
          <w:tcPr>
            <w:tcW w:w="2309" w:type="dxa"/>
            <w:hideMark/>
          </w:tcPr>
          <w:p w:rsidR="001071B3" w:rsidRPr="00F86117" w:rsidRDefault="001071B3" w:rsidP="00AD4D26">
            <w:pPr>
              <w:pStyle w:val="TableLeft"/>
              <w:keepNext/>
              <w:keepLines/>
              <w:jc w:val="center"/>
              <w:rPr>
                <w:rStyle w:val="SmallBold"/>
                <w:rFonts w:ascii="Arial Narrow" w:hAnsi="Arial Narrow"/>
              </w:rPr>
            </w:pPr>
            <w:proofErr w:type="spellStart"/>
            <w:r w:rsidRPr="00F86117">
              <w:rPr>
                <w:rStyle w:val="SmallBold"/>
                <w:rFonts w:ascii="Arial Narrow" w:hAnsi="Arial Narrow"/>
              </w:rPr>
              <w:t>Sunitinib</w:t>
            </w:r>
            <w:proofErr w:type="spellEnd"/>
          </w:p>
        </w:tc>
        <w:tc>
          <w:tcPr>
            <w:tcW w:w="2314" w:type="dxa"/>
            <w:hideMark/>
          </w:tcPr>
          <w:p w:rsidR="001071B3" w:rsidRPr="00F86117" w:rsidRDefault="001071B3" w:rsidP="00AD4D26">
            <w:pPr>
              <w:pStyle w:val="TableLeft"/>
              <w:keepNext/>
              <w:keepLines/>
              <w:jc w:val="center"/>
              <w:rPr>
                <w:rStyle w:val="SmallBold"/>
                <w:rFonts w:ascii="Arial Narrow" w:hAnsi="Arial Narrow"/>
              </w:rPr>
            </w:pPr>
            <w:r w:rsidRPr="00F86117">
              <w:rPr>
                <w:rStyle w:val="SmallBold"/>
                <w:rFonts w:ascii="Arial Narrow" w:hAnsi="Arial Narrow"/>
              </w:rPr>
              <w:t>Incremental</w:t>
            </w:r>
          </w:p>
        </w:tc>
      </w:tr>
      <w:tr w:rsidR="001071B3" w:rsidRPr="00F86117" w:rsidTr="00861281">
        <w:tc>
          <w:tcPr>
            <w:tcW w:w="2305" w:type="dxa"/>
            <w:hideMark/>
          </w:tcPr>
          <w:p w:rsidR="001071B3" w:rsidRPr="00F86117" w:rsidRDefault="001071B3" w:rsidP="00AD4D26">
            <w:pPr>
              <w:pStyle w:val="TableLeft"/>
              <w:keepNext/>
              <w:keepLines/>
              <w:rPr>
                <w:rFonts w:ascii="Arial Narrow" w:hAnsi="Arial Narrow"/>
              </w:rPr>
            </w:pPr>
            <w:r w:rsidRPr="00F86117">
              <w:rPr>
                <w:rFonts w:ascii="Arial Narrow" w:hAnsi="Arial Narrow"/>
              </w:rPr>
              <w:t>Life Years</w:t>
            </w:r>
          </w:p>
        </w:tc>
        <w:tc>
          <w:tcPr>
            <w:tcW w:w="2315" w:type="dxa"/>
            <w:hideMark/>
          </w:tcPr>
          <w:p w:rsidR="001071B3" w:rsidRPr="0035011A" w:rsidRDefault="0035011A" w:rsidP="00AD4D26">
            <w:pPr>
              <w:pStyle w:val="TableLeft"/>
              <w:keepNext/>
              <w:keepLines/>
              <w:jc w:val="center"/>
              <w:rPr>
                <w:rFonts w:ascii="Arial Narrow" w:hAnsi="Arial Narrow"/>
                <w:highlight w:val="black"/>
              </w:rPr>
            </w:pPr>
            <w:r>
              <w:rPr>
                <w:rFonts w:ascii="Arial Narrow" w:hAnsi="Arial Narrow"/>
                <w:noProof/>
                <w:color w:val="000000"/>
                <w:highlight w:val="black"/>
              </w:rPr>
              <w:t>''''''''''</w:t>
            </w:r>
          </w:p>
        </w:tc>
        <w:tc>
          <w:tcPr>
            <w:tcW w:w="2309" w:type="dxa"/>
            <w:hideMark/>
          </w:tcPr>
          <w:p w:rsidR="001071B3" w:rsidRPr="0035011A" w:rsidRDefault="0035011A" w:rsidP="00AD4D26">
            <w:pPr>
              <w:pStyle w:val="TableLeft"/>
              <w:keepNext/>
              <w:keepLines/>
              <w:jc w:val="center"/>
              <w:rPr>
                <w:rFonts w:ascii="Arial Narrow" w:hAnsi="Arial Narrow"/>
                <w:highlight w:val="black"/>
              </w:rPr>
            </w:pPr>
            <w:r>
              <w:rPr>
                <w:rFonts w:ascii="Arial Narrow" w:hAnsi="Arial Narrow"/>
                <w:noProof/>
                <w:color w:val="000000"/>
                <w:highlight w:val="black"/>
              </w:rPr>
              <w:t>''''''''''''</w:t>
            </w:r>
          </w:p>
        </w:tc>
        <w:tc>
          <w:tcPr>
            <w:tcW w:w="2314" w:type="dxa"/>
            <w:hideMark/>
          </w:tcPr>
          <w:p w:rsidR="001071B3" w:rsidRPr="00F86117" w:rsidRDefault="001071B3" w:rsidP="00AD4D26">
            <w:pPr>
              <w:pStyle w:val="TableLeft"/>
              <w:keepNext/>
              <w:keepLines/>
              <w:jc w:val="center"/>
              <w:rPr>
                <w:rFonts w:ascii="Arial Narrow" w:hAnsi="Arial Narrow"/>
              </w:rPr>
            </w:pPr>
            <w:r w:rsidRPr="00F86117">
              <w:rPr>
                <w:rFonts w:ascii="Arial Narrow" w:hAnsi="Arial Narrow"/>
              </w:rPr>
              <w:t>0.37</w:t>
            </w:r>
          </w:p>
        </w:tc>
      </w:tr>
      <w:tr w:rsidR="001071B3" w:rsidRPr="00F86117" w:rsidTr="00A12794">
        <w:tc>
          <w:tcPr>
            <w:tcW w:w="2305" w:type="dxa"/>
            <w:hideMark/>
          </w:tcPr>
          <w:p w:rsidR="001071B3" w:rsidRPr="00F86117" w:rsidRDefault="001071B3" w:rsidP="00AD4D26">
            <w:pPr>
              <w:pStyle w:val="TableLeft"/>
              <w:keepNext/>
              <w:keepLines/>
              <w:rPr>
                <w:rFonts w:ascii="Arial Narrow" w:hAnsi="Arial Narrow"/>
              </w:rPr>
            </w:pPr>
            <w:r w:rsidRPr="00F86117">
              <w:rPr>
                <w:rFonts w:ascii="Arial Narrow" w:hAnsi="Arial Narrow"/>
              </w:rPr>
              <w:t>QALYs</w:t>
            </w:r>
          </w:p>
        </w:tc>
        <w:tc>
          <w:tcPr>
            <w:tcW w:w="2315" w:type="dxa"/>
            <w:tcBorders>
              <w:bottom w:val="single" w:sz="4" w:space="0" w:color="auto"/>
            </w:tcBorders>
            <w:hideMark/>
          </w:tcPr>
          <w:p w:rsidR="001071B3" w:rsidRPr="0035011A" w:rsidRDefault="0035011A" w:rsidP="00AD4D26">
            <w:pPr>
              <w:pStyle w:val="TableLeft"/>
              <w:keepNext/>
              <w:keepLines/>
              <w:jc w:val="center"/>
              <w:rPr>
                <w:rFonts w:ascii="Arial Narrow" w:hAnsi="Arial Narrow"/>
                <w:highlight w:val="black"/>
              </w:rPr>
            </w:pPr>
            <w:r>
              <w:rPr>
                <w:rFonts w:ascii="Arial Narrow" w:hAnsi="Arial Narrow"/>
                <w:noProof/>
                <w:color w:val="000000"/>
                <w:highlight w:val="black"/>
              </w:rPr>
              <w:t>''''''''''''</w:t>
            </w:r>
          </w:p>
        </w:tc>
        <w:tc>
          <w:tcPr>
            <w:tcW w:w="2309" w:type="dxa"/>
            <w:tcBorders>
              <w:bottom w:val="single" w:sz="4" w:space="0" w:color="auto"/>
            </w:tcBorders>
            <w:hideMark/>
          </w:tcPr>
          <w:p w:rsidR="001071B3" w:rsidRPr="0035011A" w:rsidRDefault="0035011A" w:rsidP="00AD4D26">
            <w:pPr>
              <w:pStyle w:val="TableLeft"/>
              <w:keepNext/>
              <w:keepLines/>
              <w:jc w:val="center"/>
              <w:rPr>
                <w:rFonts w:ascii="Arial Narrow" w:hAnsi="Arial Narrow"/>
                <w:highlight w:val="black"/>
              </w:rPr>
            </w:pPr>
            <w:r>
              <w:rPr>
                <w:rFonts w:ascii="Arial Narrow" w:hAnsi="Arial Narrow"/>
                <w:noProof/>
                <w:color w:val="000000"/>
                <w:highlight w:val="black"/>
              </w:rPr>
              <w:t>'''''''''''</w:t>
            </w:r>
          </w:p>
        </w:tc>
        <w:tc>
          <w:tcPr>
            <w:tcW w:w="2314" w:type="dxa"/>
            <w:tcBorders>
              <w:bottom w:val="single" w:sz="4" w:space="0" w:color="auto"/>
            </w:tcBorders>
            <w:hideMark/>
          </w:tcPr>
          <w:p w:rsidR="001071B3" w:rsidRPr="00F86117" w:rsidRDefault="001071B3" w:rsidP="00AD4D26">
            <w:pPr>
              <w:pStyle w:val="TableLeft"/>
              <w:keepNext/>
              <w:keepLines/>
              <w:jc w:val="center"/>
              <w:rPr>
                <w:rFonts w:ascii="Arial Narrow" w:hAnsi="Arial Narrow"/>
              </w:rPr>
            </w:pPr>
            <w:r w:rsidRPr="00F86117">
              <w:rPr>
                <w:rFonts w:ascii="Arial Narrow" w:hAnsi="Arial Narrow"/>
              </w:rPr>
              <w:t>0.30</w:t>
            </w:r>
          </w:p>
        </w:tc>
      </w:tr>
      <w:tr w:rsidR="00A12794" w:rsidRPr="00F86117" w:rsidTr="00A12794">
        <w:tc>
          <w:tcPr>
            <w:tcW w:w="2305" w:type="dxa"/>
          </w:tcPr>
          <w:p w:rsidR="00A12794" w:rsidRPr="00F86117" w:rsidRDefault="00A12794" w:rsidP="00AD4D26">
            <w:pPr>
              <w:pStyle w:val="TableLeft"/>
              <w:keepNext/>
              <w:keepLines/>
              <w:rPr>
                <w:rFonts w:ascii="Arial Narrow" w:hAnsi="Arial Narrow"/>
              </w:rPr>
            </w:pPr>
            <w:r w:rsidRPr="00F86117">
              <w:rPr>
                <w:rFonts w:ascii="Arial Narrow" w:hAnsi="Arial Narrow"/>
              </w:rPr>
              <w:t>Pre-progression drug costs</w:t>
            </w:r>
          </w:p>
        </w:tc>
        <w:tc>
          <w:tcPr>
            <w:tcW w:w="2315" w:type="dxa"/>
            <w:tcBorders>
              <w:top w:val="single" w:sz="4" w:space="0" w:color="auto"/>
              <w:left w:val="single" w:sz="4" w:space="0" w:color="BFBFBF"/>
              <w:bottom w:val="single" w:sz="4" w:space="0" w:color="auto"/>
              <w:right w:val="single" w:sz="4" w:space="0" w:color="auto"/>
            </w:tcBorders>
            <w:shd w:val="clear" w:color="auto" w:fill="auto"/>
            <w:vAlign w:val="bottom"/>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bottom"/>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r>
      <w:tr w:rsidR="00A12794" w:rsidRPr="00F86117" w:rsidTr="00A12794">
        <w:tc>
          <w:tcPr>
            <w:tcW w:w="2305" w:type="dxa"/>
          </w:tcPr>
          <w:p w:rsidR="00A12794" w:rsidRPr="00F86117" w:rsidRDefault="00A12794" w:rsidP="00AD4D26">
            <w:pPr>
              <w:pStyle w:val="TableLeft"/>
              <w:keepNext/>
              <w:keepLines/>
              <w:rPr>
                <w:rFonts w:ascii="Arial Narrow" w:hAnsi="Arial Narrow"/>
              </w:rPr>
            </w:pPr>
            <w:r w:rsidRPr="00F86117">
              <w:rPr>
                <w:rFonts w:ascii="Arial Narrow" w:hAnsi="Arial Narrow"/>
              </w:rPr>
              <w:t>Post-progression drug costs</w:t>
            </w:r>
          </w:p>
        </w:tc>
        <w:tc>
          <w:tcPr>
            <w:tcW w:w="2315" w:type="dxa"/>
            <w:tcBorders>
              <w:top w:val="single" w:sz="4" w:space="0" w:color="auto"/>
              <w:left w:val="single" w:sz="4" w:space="0" w:color="BFBFBF"/>
              <w:bottom w:val="single" w:sz="4" w:space="0" w:color="auto"/>
              <w:right w:val="single" w:sz="4" w:space="0" w:color="auto"/>
            </w:tcBorders>
            <w:shd w:val="clear" w:color="auto" w:fill="auto"/>
            <w:vAlign w:val="bottom"/>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bottom"/>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r>
      <w:tr w:rsidR="00A12794" w:rsidRPr="00F86117" w:rsidTr="00A12794">
        <w:tc>
          <w:tcPr>
            <w:tcW w:w="2305" w:type="dxa"/>
          </w:tcPr>
          <w:p w:rsidR="00A12794" w:rsidRPr="00F86117" w:rsidRDefault="00A12794" w:rsidP="00AD4D26">
            <w:pPr>
              <w:pStyle w:val="TableLeft"/>
              <w:keepNext/>
              <w:keepLines/>
              <w:rPr>
                <w:rFonts w:ascii="Arial Narrow" w:hAnsi="Arial Narrow"/>
              </w:rPr>
            </w:pPr>
            <w:r w:rsidRPr="00F86117">
              <w:rPr>
                <w:rFonts w:ascii="Arial Narrow" w:hAnsi="Arial Narrow"/>
              </w:rPr>
              <w:t>Other costs</w:t>
            </w:r>
          </w:p>
        </w:tc>
        <w:tc>
          <w:tcPr>
            <w:tcW w:w="2315" w:type="dxa"/>
            <w:tcBorders>
              <w:top w:val="single" w:sz="4" w:space="0" w:color="auto"/>
              <w:left w:val="nil"/>
              <w:bottom w:val="single" w:sz="4" w:space="0" w:color="auto"/>
              <w:right w:val="single" w:sz="4" w:space="0" w:color="auto"/>
            </w:tcBorders>
            <w:shd w:val="clear" w:color="auto" w:fill="auto"/>
            <w:vAlign w:val="bottom"/>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bottom"/>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r>
      <w:tr w:rsidR="00A12794" w:rsidRPr="00F86117" w:rsidTr="00A12794">
        <w:tc>
          <w:tcPr>
            <w:tcW w:w="2305" w:type="dxa"/>
            <w:hideMark/>
          </w:tcPr>
          <w:p w:rsidR="00A12794" w:rsidRPr="00F86117" w:rsidRDefault="00A12794" w:rsidP="00AD4D26">
            <w:pPr>
              <w:pStyle w:val="TableLeft"/>
              <w:keepNext/>
              <w:keepLines/>
              <w:rPr>
                <w:rFonts w:ascii="Arial Narrow" w:hAnsi="Arial Narrow"/>
              </w:rPr>
            </w:pPr>
            <w:r w:rsidRPr="00F86117">
              <w:rPr>
                <w:rFonts w:ascii="Arial Narrow" w:hAnsi="Arial Narrow"/>
              </w:rPr>
              <w:t>Total Costs</w:t>
            </w:r>
          </w:p>
        </w:tc>
        <w:tc>
          <w:tcPr>
            <w:tcW w:w="2315" w:type="dxa"/>
            <w:tcBorders>
              <w:top w:val="single" w:sz="4" w:space="0" w:color="auto"/>
            </w:tcBorders>
            <w:hideMark/>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c>
          <w:tcPr>
            <w:tcW w:w="2309" w:type="dxa"/>
            <w:tcBorders>
              <w:top w:val="single" w:sz="4" w:space="0" w:color="auto"/>
            </w:tcBorders>
            <w:hideMark/>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c>
          <w:tcPr>
            <w:tcW w:w="2314" w:type="dxa"/>
            <w:tcBorders>
              <w:top w:val="single" w:sz="4" w:space="0" w:color="auto"/>
            </w:tcBorders>
            <w:hideMark/>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r>
      <w:tr w:rsidR="00A12794" w:rsidRPr="00F86117" w:rsidTr="00861281">
        <w:tc>
          <w:tcPr>
            <w:tcW w:w="6929" w:type="dxa"/>
            <w:gridSpan w:val="3"/>
            <w:hideMark/>
          </w:tcPr>
          <w:p w:rsidR="00A12794" w:rsidRPr="00F86117" w:rsidRDefault="00A12794" w:rsidP="00AD4D26">
            <w:pPr>
              <w:pStyle w:val="TableLeft"/>
              <w:keepNext/>
              <w:keepLines/>
              <w:rPr>
                <w:rFonts w:ascii="Arial Narrow" w:hAnsi="Arial Narrow"/>
              </w:rPr>
            </w:pPr>
            <w:r w:rsidRPr="00F86117">
              <w:rPr>
                <w:rFonts w:ascii="Arial Narrow" w:hAnsi="Arial Narrow"/>
              </w:rPr>
              <w:t>ICER (cost per LYG)</w:t>
            </w:r>
          </w:p>
        </w:tc>
        <w:tc>
          <w:tcPr>
            <w:tcW w:w="2314" w:type="dxa"/>
            <w:hideMark/>
          </w:tcPr>
          <w:p w:rsidR="00A12794" w:rsidRPr="00F86117" w:rsidRDefault="00A12794" w:rsidP="00AD4D26">
            <w:pPr>
              <w:pStyle w:val="TableLeft"/>
              <w:keepNext/>
              <w:keepLines/>
              <w:jc w:val="center"/>
              <w:rPr>
                <w:rFonts w:ascii="Arial Narrow" w:hAnsi="Arial Narrow"/>
              </w:rPr>
            </w:pPr>
            <w:r w:rsidRPr="00F86117">
              <w:rPr>
                <w:rFonts w:ascii="Arial Narrow" w:hAnsi="Arial Narrow"/>
              </w:rPr>
              <w:t>$</w:t>
            </w:r>
            <w:r w:rsidR="0035011A">
              <w:rPr>
                <w:rFonts w:ascii="Arial Narrow" w:hAnsi="Arial Narrow"/>
                <w:noProof/>
                <w:color w:val="000000"/>
                <w:highlight w:val="black"/>
              </w:rPr>
              <w:t>''''''''''''''''</w:t>
            </w:r>
          </w:p>
        </w:tc>
      </w:tr>
      <w:tr w:rsidR="00A12794" w:rsidRPr="00F86117" w:rsidTr="00861281">
        <w:tc>
          <w:tcPr>
            <w:tcW w:w="6929" w:type="dxa"/>
            <w:gridSpan w:val="3"/>
            <w:hideMark/>
          </w:tcPr>
          <w:p w:rsidR="00A12794" w:rsidRPr="00F86117" w:rsidRDefault="00A12794" w:rsidP="00AD4D26">
            <w:pPr>
              <w:pStyle w:val="TableLeft"/>
              <w:keepNext/>
              <w:keepLines/>
              <w:rPr>
                <w:rFonts w:ascii="Arial Narrow" w:hAnsi="Arial Narrow"/>
                <w:b/>
              </w:rPr>
            </w:pPr>
            <w:r w:rsidRPr="00F86117">
              <w:rPr>
                <w:rFonts w:ascii="Arial Narrow" w:hAnsi="Arial Narrow"/>
                <w:b/>
              </w:rPr>
              <w:t>ICER (cost per QALY gained)</w:t>
            </w:r>
          </w:p>
        </w:tc>
        <w:tc>
          <w:tcPr>
            <w:tcW w:w="2314" w:type="dxa"/>
            <w:hideMark/>
          </w:tcPr>
          <w:p w:rsidR="00A12794" w:rsidRPr="00F86117" w:rsidRDefault="00A12794" w:rsidP="00AD4D26">
            <w:pPr>
              <w:pStyle w:val="TableLeft"/>
              <w:keepNext/>
              <w:keepLines/>
              <w:jc w:val="center"/>
              <w:rPr>
                <w:rFonts w:ascii="Arial Narrow" w:hAnsi="Arial Narrow"/>
                <w:b/>
              </w:rPr>
            </w:pPr>
            <w:r w:rsidRPr="00F86117">
              <w:rPr>
                <w:rFonts w:ascii="Arial Narrow" w:hAnsi="Arial Narrow"/>
                <w:b/>
              </w:rPr>
              <w:t>$</w:t>
            </w:r>
            <w:r w:rsidR="0035011A">
              <w:rPr>
                <w:rFonts w:ascii="Arial Narrow" w:hAnsi="Arial Narrow"/>
                <w:b/>
                <w:noProof/>
                <w:color w:val="000000"/>
                <w:highlight w:val="black"/>
              </w:rPr>
              <w:t>''''''''''''''</w:t>
            </w:r>
          </w:p>
        </w:tc>
      </w:tr>
    </w:tbl>
    <w:p w:rsidR="001071B3" w:rsidRPr="00F86117" w:rsidRDefault="001071B3" w:rsidP="00AD4D26">
      <w:pPr>
        <w:pStyle w:val="TableFooter"/>
        <w:keepNext/>
        <w:keepLines/>
        <w:widowControl/>
      </w:pPr>
      <w:r w:rsidRPr="00F86117">
        <w:rPr>
          <w:rStyle w:val="FontBold"/>
          <w:rFonts w:ascii="Arial Narrow" w:hAnsi="Arial Narrow"/>
          <w:b w:val="0"/>
          <w:sz w:val="18"/>
        </w:rPr>
        <w:t xml:space="preserve">Abbreviations: </w:t>
      </w:r>
      <w:r w:rsidRPr="00F86117">
        <w:t xml:space="preserve">ICER= incremental cost effectiveness ratio; LYG = life years gained; QALYs= quality adjusted life years. </w:t>
      </w:r>
    </w:p>
    <w:p w:rsidR="00572A4F" w:rsidRPr="00F86117" w:rsidRDefault="001071B3" w:rsidP="00AD4D26">
      <w:pPr>
        <w:pStyle w:val="TableFooter"/>
        <w:keepNext/>
        <w:keepLines/>
        <w:widowControl/>
      </w:pPr>
      <w:r w:rsidRPr="00F86117">
        <w:t>Source: Table 3.41, p.217 of the submission.</w:t>
      </w:r>
    </w:p>
    <w:p w:rsidR="002112F9" w:rsidRPr="00F86117" w:rsidRDefault="002112F9" w:rsidP="00AD4D26">
      <w:pPr>
        <w:pStyle w:val="TableFooter"/>
        <w:keepNext/>
        <w:keepLines/>
        <w:widowControl/>
      </w:pPr>
      <w:proofErr w:type="gramStart"/>
      <w:r w:rsidRPr="00F86117">
        <w:rPr>
          <w:vertAlign w:val="superscript"/>
        </w:rPr>
        <w:t>a</w:t>
      </w:r>
      <w:proofErr w:type="gramEnd"/>
      <w:r w:rsidRPr="00F86117">
        <w:t xml:space="preserve"> Note: this base case was replicated in the economic model presented in the submission by copying cells C37-C44 of the “3A. Control Panel” worksheet into cells C28-C35 of the same worksheet.</w:t>
      </w:r>
    </w:p>
    <w:p w:rsidR="001071B3" w:rsidRPr="00F86117" w:rsidRDefault="001071B3" w:rsidP="00AD4D26">
      <w:pPr>
        <w:widowControl/>
      </w:pPr>
    </w:p>
    <w:p w:rsidR="001071B3" w:rsidRPr="00F86117" w:rsidRDefault="001071B3" w:rsidP="00AD4D26">
      <w:pPr>
        <w:keepNext/>
        <w:keepLines/>
        <w:widowControl/>
        <w:rPr>
          <w:rStyle w:val="CommentReference"/>
        </w:rPr>
      </w:pPr>
      <w:r w:rsidRPr="00F86117">
        <w:rPr>
          <w:rStyle w:val="CommentReference"/>
        </w:rPr>
        <w:lastRenderedPageBreak/>
        <w:t>Table 15: Key drivers of the model</w:t>
      </w:r>
      <w:r w:rsidR="00572A4F" w:rsidRPr="00F86117">
        <w:rPr>
          <w:rStyle w:val="CommentReference"/>
        </w:rPr>
        <w:t xml:space="preserve"> – as per submission’s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drivers of the model – as per submission’s estimates"/>
      </w:tblPr>
      <w:tblGrid>
        <w:gridCol w:w="1713"/>
        <w:gridCol w:w="4619"/>
        <w:gridCol w:w="2685"/>
      </w:tblGrid>
      <w:tr w:rsidR="001071B3" w:rsidRPr="00F86117" w:rsidTr="00861281">
        <w:trPr>
          <w:tblHeader/>
        </w:trPr>
        <w:tc>
          <w:tcPr>
            <w:tcW w:w="950" w:type="pct"/>
            <w:shd w:val="clear" w:color="auto" w:fill="auto"/>
            <w:vAlign w:val="center"/>
          </w:tcPr>
          <w:p w:rsidR="001071B3" w:rsidRPr="00F86117" w:rsidRDefault="001071B3" w:rsidP="00AD4D26">
            <w:pPr>
              <w:pStyle w:val="Tabletext"/>
              <w:keepNext/>
              <w:keepLines/>
              <w:rPr>
                <w:b/>
              </w:rPr>
            </w:pPr>
            <w:r w:rsidRPr="00F86117">
              <w:rPr>
                <w:b/>
              </w:rPr>
              <w:t>Description</w:t>
            </w:r>
          </w:p>
        </w:tc>
        <w:tc>
          <w:tcPr>
            <w:tcW w:w="2561" w:type="pct"/>
            <w:shd w:val="clear" w:color="auto" w:fill="auto"/>
            <w:vAlign w:val="center"/>
          </w:tcPr>
          <w:p w:rsidR="001071B3" w:rsidRPr="00F86117" w:rsidRDefault="001071B3" w:rsidP="00AD4D26">
            <w:pPr>
              <w:pStyle w:val="Tabletext"/>
              <w:keepNext/>
              <w:keepLines/>
              <w:jc w:val="center"/>
              <w:rPr>
                <w:b/>
              </w:rPr>
            </w:pPr>
            <w:r w:rsidRPr="00F86117">
              <w:rPr>
                <w:b/>
              </w:rPr>
              <w:t>Method/Value</w:t>
            </w:r>
          </w:p>
        </w:tc>
        <w:tc>
          <w:tcPr>
            <w:tcW w:w="1489" w:type="pct"/>
            <w:shd w:val="clear" w:color="auto" w:fill="auto"/>
            <w:vAlign w:val="center"/>
          </w:tcPr>
          <w:p w:rsidR="001071B3" w:rsidRPr="00F86117" w:rsidRDefault="001071B3" w:rsidP="00AD4D26">
            <w:pPr>
              <w:pStyle w:val="Tabletext"/>
              <w:keepNext/>
              <w:keepLines/>
              <w:jc w:val="center"/>
              <w:rPr>
                <w:b/>
              </w:rPr>
            </w:pPr>
            <w:r w:rsidRPr="00F86117">
              <w:rPr>
                <w:b/>
              </w:rPr>
              <w:t>Impact</w:t>
            </w:r>
          </w:p>
          <w:p w:rsidR="001071B3" w:rsidRPr="00F86117" w:rsidRDefault="001071B3" w:rsidP="001A7B75">
            <w:pPr>
              <w:pStyle w:val="Tabletext"/>
              <w:keepNext/>
              <w:keepLines/>
              <w:jc w:val="center"/>
              <w:rPr>
                <w:b/>
              </w:rPr>
            </w:pPr>
            <w:r w:rsidRPr="00F86117">
              <w:rPr>
                <w:b/>
              </w:rPr>
              <w:t xml:space="preserve">(Base case: </w:t>
            </w:r>
            <w:r w:rsidR="001A7B75">
              <w:rPr>
                <w:b/>
              </w:rPr>
              <w:t>$45,000 - $75,000/QALY</w:t>
            </w:r>
            <w:r w:rsidRPr="00F86117">
              <w:rPr>
                <w:b/>
              </w:rPr>
              <w:t>)</w:t>
            </w:r>
          </w:p>
        </w:tc>
      </w:tr>
      <w:tr w:rsidR="001071B3" w:rsidRPr="00F86117" w:rsidTr="00861281">
        <w:tc>
          <w:tcPr>
            <w:tcW w:w="950" w:type="pct"/>
            <w:shd w:val="clear" w:color="auto" w:fill="auto"/>
            <w:vAlign w:val="center"/>
          </w:tcPr>
          <w:p w:rsidR="001071B3" w:rsidRPr="00F86117" w:rsidRDefault="001071B3" w:rsidP="00AD4D26">
            <w:pPr>
              <w:pStyle w:val="Tabletext"/>
              <w:keepNext/>
              <w:keepLines/>
            </w:pPr>
            <w:r w:rsidRPr="00F86117">
              <w:t>Time horizon</w:t>
            </w:r>
          </w:p>
        </w:tc>
        <w:tc>
          <w:tcPr>
            <w:tcW w:w="2561" w:type="pct"/>
            <w:shd w:val="clear" w:color="auto" w:fill="auto"/>
            <w:vAlign w:val="center"/>
          </w:tcPr>
          <w:p w:rsidR="001071B3" w:rsidRPr="00F86117" w:rsidRDefault="001071B3" w:rsidP="00AD4D26">
            <w:pPr>
              <w:pStyle w:val="Tabletext"/>
              <w:keepNext/>
              <w:keepLines/>
            </w:pPr>
            <w:r w:rsidRPr="00F86117">
              <w:t>10 years</w:t>
            </w:r>
          </w:p>
        </w:tc>
        <w:tc>
          <w:tcPr>
            <w:tcW w:w="1489" w:type="pct"/>
            <w:shd w:val="clear" w:color="auto" w:fill="auto"/>
            <w:vAlign w:val="center"/>
          </w:tcPr>
          <w:p w:rsidR="001071B3" w:rsidRPr="00F86117" w:rsidRDefault="001071B3" w:rsidP="00AD4D26">
            <w:pPr>
              <w:pStyle w:val="Tabletext"/>
              <w:keepNext/>
              <w:keepLines/>
            </w:pPr>
            <w:r w:rsidRPr="00F86117">
              <w:t xml:space="preserve">Moderate, favours </w:t>
            </w:r>
            <w:proofErr w:type="spellStart"/>
            <w:r w:rsidRPr="00F86117">
              <w:t>cabozantinib</w:t>
            </w:r>
            <w:proofErr w:type="spellEnd"/>
          </w:p>
          <w:p w:rsidR="001071B3" w:rsidRPr="00F86117" w:rsidRDefault="001071B3" w:rsidP="00BD2B34">
            <w:pPr>
              <w:pStyle w:val="Tabletext"/>
              <w:keepNext/>
              <w:keepLines/>
            </w:pPr>
            <w:r w:rsidRPr="00F86117">
              <w:t>(</w:t>
            </w:r>
            <w:r w:rsidR="00BD2B34">
              <w:t xml:space="preserve">$45,000 - $75,000/QALY </w:t>
            </w:r>
            <w:r w:rsidRPr="00F86117">
              <w:t>at 7 years)</w:t>
            </w:r>
          </w:p>
        </w:tc>
      </w:tr>
      <w:tr w:rsidR="001071B3" w:rsidRPr="00F86117" w:rsidTr="00861281">
        <w:tc>
          <w:tcPr>
            <w:tcW w:w="950" w:type="pct"/>
            <w:shd w:val="clear" w:color="auto" w:fill="auto"/>
            <w:vAlign w:val="center"/>
          </w:tcPr>
          <w:p w:rsidR="001071B3" w:rsidRPr="00F86117" w:rsidRDefault="001071B3" w:rsidP="00AD4D26">
            <w:pPr>
              <w:pStyle w:val="Tabletext"/>
              <w:keepNext/>
              <w:keepLines/>
            </w:pPr>
            <w:r w:rsidRPr="00F86117">
              <w:t>Treatment effects</w:t>
            </w:r>
          </w:p>
        </w:tc>
        <w:tc>
          <w:tcPr>
            <w:tcW w:w="2561" w:type="pct"/>
            <w:shd w:val="clear" w:color="auto" w:fill="auto"/>
            <w:vAlign w:val="center"/>
          </w:tcPr>
          <w:p w:rsidR="001071B3" w:rsidRPr="00F86117" w:rsidRDefault="001071B3" w:rsidP="00AD4D26">
            <w:pPr>
              <w:pStyle w:val="Tabletext"/>
              <w:keepNext/>
              <w:keepLines/>
            </w:pPr>
            <w:r w:rsidRPr="00F86117">
              <w:t>Treatment effects for both PFS and OS continued beyond 25 months of trial period for up to 10 years</w:t>
            </w:r>
          </w:p>
        </w:tc>
        <w:tc>
          <w:tcPr>
            <w:tcW w:w="1489" w:type="pct"/>
            <w:shd w:val="clear" w:color="auto" w:fill="auto"/>
            <w:vAlign w:val="center"/>
          </w:tcPr>
          <w:p w:rsidR="001071B3" w:rsidRPr="00F86117" w:rsidRDefault="001071B3" w:rsidP="00AD4D26">
            <w:pPr>
              <w:pStyle w:val="Tabletext"/>
              <w:keepNext/>
              <w:keepLines/>
            </w:pPr>
            <w:r w:rsidRPr="00F86117">
              <w:t xml:space="preserve">High, favours </w:t>
            </w:r>
            <w:proofErr w:type="spellStart"/>
            <w:r w:rsidRPr="00F86117">
              <w:t>cabozantinib</w:t>
            </w:r>
            <w:proofErr w:type="spellEnd"/>
          </w:p>
          <w:p w:rsidR="001071B3" w:rsidRPr="00F86117" w:rsidRDefault="001071B3" w:rsidP="00AD4D26">
            <w:pPr>
              <w:pStyle w:val="Tabletext"/>
              <w:keepNext/>
              <w:keepLines/>
            </w:pPr>
            <w:r w:rsidRPr="00F86117">
              <w:t>(</w:t>
            </w:r>
            <w:r w:rsidR="0064508E">
              <w:t>$45,000 - $75,000/QALY</w:t>
            </w:r>
            <w:r w:rsidR="0040479E" w:rsidRPr="00F86117">
              <w:t xml:space="preserve"> with convergence between 30 months and 7.5 years</w:t>
            </w:r>
            <w:r w:rsidRPr="00F86117">
              <w:t>)</w:t>
            </w:r>
          </w:p>
        </w:tc>
      </w:tr>
      <w:tr w:rsidR="001071B3" w:rsidRPr="00F86117" w:rsidTr="00861281">
        <w:tc>
          <w:tcPr>
            <w:tcW w:w="950" w:type="pct"/>
            <w:shd w:val="clear" w:color="auto" w:fill="auto"/>
            <w:vAlign w:val="center"/>
          </w:tcPr>
          <w:p w:rsidR="001071B3" w:rsidRPr="00F86117" w:rsidRDefault="001071B3" w:rsidP="00AD4D26">
            <w:pPr>
              <w:pStyle w:val="Tabletext"/>
              <w:keepNext/>
              <w:keepLines/>
            </w:pPr>
            <w:r w:rsidRPr="00F86117">
              <w:t>Second-line treatment</w:t>
            </w:r>
          </w:p>
        </w:tc>
        <w:tc>
          <w:tcPr>
            <w:tcW w:w="2561" w:type="pct"/>
            <w:shd w:val="clear" w:color="auto" w:fill="auto"/>
            <w:vAlign w:val="center"/>
          </w:tcPr>
          <w:p w:rsidR="001071B3" w:rsidRPr="00F86117" w:rsidRDefault="001071B3" w:rsidP="00AD4D26">
            <w:pPr>
              <w:pStyle w:val="Tabletext"/>
              <w:keepNext/>
              <w:keepLines/>
            </w:pPr>
            <w:r w:rsidRPr="00F86117">
              <w:rPr>
                <w:rFonts w:cstheme="minorHAnsi"/>
                <w:szCs w:val="20"/>
              </w:rPr>
              <w:t>Second-line treatments in the model were assumed to be the same as used in CABOSUN</w:t>
            </w:r>
          </w:p>
        </w:tc>
        <w:tc>
          <w:tcPr>
            <w:tcW w:w="1489" w:type="pct"/>
            <w:shd w:val="clear" w:color="auto" w:fill="auto"/>
            <w:vAlign w:val="center"/>
          </w:tcPr>
          <w:p w:rsidR="001071B3" w:rsidRPr="00F86117" w:rsidRDefault="001071B3" w:rsidP="00AD4D26">
            <w:pPr>
              <w:pStyle w:val="Tabletext"/>
              <w:keepNext/>
              <w:keepLines/>
            </w:pPr>
            <w:r w:rsidRPr="00F86117">
              <w:t xml:space="preserve">High, favours of </w:t>
            </w:r>
            <w:proofErr w:type="spellStart"/>
            <w:r w:rsidRPr="00F86117">
              <w:t>cabozantinib</w:t>
            </w:r>
            <w:proofErr w:type="spellEnd"/>
          </w:p>
          <w:p w:rsidR="001071B3" w:rsidRPr="00F86117" w:rsidRDefault="001071B3" w:rsidP="0064508E">
            <w:pPr>
              <w:pStyle w:val="Tabletext"/>
              <w:keepNext/>
              <w:keepLines/>
            </w:pPr>
            <w:r w:rsidRPr="00F86117">
              <w:t>(</w:t>
            </w:r>
            <w:r w:rsidR="0064508E">
              <w:t xml:space="preserve">$75,000 - $105,000 </w:t>
            </w:r>
            <w:r w:rsidRPr="00F86117">
              <w:t>PBS medicines only)</w:t>
            </w:r>
          </w:p>
        </w:tc>
      </w:tr>
      <w:tr w:rsidR="001071B3" w:rsidRPr="00F86117" w:rsidTr="00861281">
        <w:tc>
          <w:tcPr>
            <w:tcW w:w="950" w:type="pct"/>
            <w:shd w:val="clear" w:color="auto" w:fill="auto"/>
            <w:vAlign w:val="center"/>
          </w:tcPr>
          <w:p w:rsidR="001071B3" w:rsidRPr="00F86117" w:rsidRDefault="001071B3" w:rsidP="00AD4D26">
            <w:pPr>
              <w:pStyle w:val="Tabletext"/>
              <w:keepNext/>
              <w:keepLines/>
            </w:pPr>
            <w:r w:rsidRPr="00F86117">
              <w:rPr>
                <w:rFonts w:cstheme="minorHAnsi"/>
                <w:szCs w:val="20"/>
              </w:rPr>
              <w:t>Average weight of patients</w:t>
            </w:r>
          </w:p>
        </w:tc>
        <w:tc>
          <w:tcPr>
            <w:tcW w:w="2561" w:type="pct"/>
            <w:shd w:val="clear" w:color="auto" w:fill="auto"/>
            <w:vAlign w:val="center"/>
          </w:tcPr>
          <w:p w:rsidR="001071B3" w:rsidRPr="00F86117" w:rsidRDefault="001071B3" w:rsidP="00AD4D26">
            <w:pPr>
              <w:pStyle w:val="Tabletext"/>
              <w:keepNext/>
              <w:keepLines/>
            </w:pPr>
            <w:r w:rsidRPr="00F86117">
              <w:t>89.7 kg as in CABOSUN</w:t>
            </w:r>
          </w:p>
        </w:tc>
        <w:tc>
          <w:tcPr>
            <w:tcW w:w="1489" w:type="pct"/>
            <w:shd w:val="clear" w:color="auto" w:fill="auto"/>
            <w:vAlign w:val="center"/>
          </w:tcPr>
          <w:p w:rsidR="001071B3" w:rsidRPr="00F86117" w:rsidRDefault="001071B3" w:rsidP="00AD4D26">
            <w:pPr>
              <w:pStyle w:val="Tabletext"/>
              <w:keepNext/>
              <w:keepLines/>
            </w:pPr>
            <w:r w:rsidRPr="00F86117">
              <w:t xml:space="preserve">Moderate, favours of </w:t>
            </w:r>
            <w:proofErr w:type="spellStart"/>
            <w:r w:rsidRPr="00F86117">
              <w:t>cabozantinib</w:t>
            </w:r>
            <w:proofErr w:type="spellEnd"/>
          </w:p>
          <w:p w:rsidR="001071B3" w:rsidRPr="00F86117" w:rsidRDefault="001071B3" w:rsidP="00AD4D26">
            <w:pPr>
              <w:pStyle w:val="Tabletext"/>
              <w:keepNext/>
              <w:keepLines/>
            </w:pPr>
            <w:r w:rsidRPr="00F86117">
              <w:t>(</w:t>
            </w:r>
            <w:r w:rsidR="00DD7F71">
              <w:t>$45,000 - $75,000/QALY</w:t>
            </w:r>
            <w:r w:rsidR="00DD7F71" w:rsidRPr="00F86117" w:rsidDel="00DD7F71">
              <w:t xml:space="preserve"> </w:t>
            </w:r>
            <w:r w:rsidRPr="00F86117">
              <w:t xml:space="preserve">at 80 </w:t>
            </w:r>
            <w:proofErr w:type="spellStart"/>
            <w:r w:rsidRPr="00F86117">
              <w:t>kgs</w:t>
            </w:r>
            <w:proofErr w:type="spellEnd"/>
            <w:r w:rsidRPr="00F86117">
              <w:t>)</w:t>
            </w:r>
          </w:p>
        </w:tc>
      </w:tr>
      <w:tr w:rsidR="001071B3" w:rsidRPr="00F86117" w:rsidTr="00861281">
        <w:tc>
          <w:tcPr>
            <w:tcW w:w="950" w:type="pct"/>
            <w:shd w:val="clear" w:color="auto" w:fill="auto"/>
            <w:vAlign w:val="center"/>
          </w:tcPr>
          <w:p w:rsidR="001071B3" w:rsidRPr="00F86117" w:rsidRDefault="001071B3" w:rsidP="00AD4D26">
            <w:pPr>
              <w:pStyle w:val="Tabletext"/>
              <w:keepNext/>
              <w:keepLines/>
            </w:pPr>
            <w:r w:rsidRPr="00F86117">
              <w:t>Extrapolation</w:t>
            </w:r>
          </w:p>
        </w:tc>
        <w:tc>
          <w:tcPr>
            <w:tcW w:w="2561" w:type="pct"/>
            <w:shd w:val="clear" w:color="auto" w:fill="auto"/>
            <w:vAlign w:val="center"/>
          </w:tcPr>
          <w:p w:rsidR="001071B3" w:rsidRPr="00F86117" w:rsidRDefault="001071B3" w:rsidP="00AD4D26">
            <w:pPr>
              <w:pStyle w:val="Tabletext"/>
              <w:keepNext/>
              <w:keepLines/>
            </w:pPr>
            <w:r w:rsidRPr="00F86117">
              <w:t xml:space="preserve">Log-normal was used for PFS and OS in </w:t>
            </w:r>
            <w:proofErr w:type="spellStart"/>
            <w:r w:rsidRPr="00F86117">
              <w:t>cabozantinib</w:t>
            </w:r>
            <w:proofErr w:type="spellEnd"/>
            <w:r w:rsidRPr="00F86117">
              <w:t xml:space="preserve"> and </w:t>
            </w:r>
            <w:proofErr w:type="spellStart"/>
            <w:r w:rsidRPr="00F86117">
              <w:t>sunitinib</w:t>
            </w:r>
            <w:proofErr w:type="spellEnd"/>
          </w:p>
        </w:tc>
        <w:tc>
          <w:tcPr>
            <w:tcW w:w="1489" w:type="pct"/>
            <w:shd w:val="clear" w:color="auto" w:fill="auto"/>
            <w:vAlign w:val="center"/>
          </w:tcPr>
          <w:p w:rsidR="001071B3" w:rsidRPr="00F86117" w:rsidRDefault="001071B3" w:rsidP="00AD4D26">
            <w:pPr>
              <w:pStyle w:val="Tabletext"/>
              <w:keepNext/>
              <w:keepLines/>
            </w:pPr>
            <w:r w:rsidRPr="00F86117">
              <w:t xml:space="preserve">High – bias depends on functional form </w:t>
            </w:r>
          </w:p>
          <w:p w:rsidR="001071B3" w:rsidRPr="00F86117" w:rsidRDefault="001071B3" w:rsidP="00AC3D47">
            <w:pPr>
              <w:pStyle w:val="Tabletext"/>
              <w:keepNext/>
              <w:keepLines/>
            </w:pPr>
            <w:r w:rsidRPr="00F86117">
              <w:t xml:space="preserve">(Weibull </w:t>
            </w:r>
            <w:r w:rsidR="00DD7F71">
              <w:t>$45,000 - $75,000/QALY</w:t>
            </w:r>
            <w:r w:rsidRPr="00F86117">
              <w:t xml:space="preserve">, generalised gamma </w:t>
            </w:r>
            <w:r w:rsidR="00AC3D47">
              <w:t>$15,000 - $$=45,000/QALY</w:t>
            </w:r>
            <w:r w:rsidRPr="00F86117">
              <w:t>)</w:t>
            </w:r>
          </w:p>
        </w:tc>
      </w:tr>
    </w:tbl>
    <w:p w:rsidR="001071B3" w:rsidRPr="00F86117" w:rsidRDefault="001071B3" w:rsidP="00AD4D26">
      <w:pPr>
        <w:pStyle w:val="TableFooter"/>
        <w:keepNext/>
        <w:keepLines/>
        <w:widowControl/>
      </w:pPr>
      <w:r w:rsidRPr="00F86117">
        <w:t>Abbreviations: OS=overall survival; PBS=Pharmaceutical Benefits Scheme; PFS=progression free survival.</w:t>
      </w:r>
    </w:p>
    <w:p w:rsidR="001071B3" w:rsidRPr="00F86117" w:rsidRDefault="001071B3" w:rsidP="00AD4D26">
      <w:pPr>
        <w:pStyle w:val="TableFooter"/>
        <w:keepNext/>
        <w:keepLines/>
        <w:widowControl/>
      </w:pPr>
      <w:r w:rsidRPr="00F86117">
        <w:t>Source: compiled during the evaluation</w:t>
      </w:r>
    </w:p>
    <w:p w:rsidR="001D7928" w:rsidRPr="00F86117" w:rsidRDefault="00D671EF" w:rsidP="0061386A">
      <w:pPr>
        <w:pStyle w:val="ListParagraph"/>
        <w:widowControl/>
        <w:numPr>
          <w:ilvl w:val="1"/>
          <w:numId w:val="2"/>
        </w:numPr>
        <w:spacing w:before="120"/>
      </w:pPr>
      <w:r w:rsidRPr="00F86117">
        <w:t>The model was sensitive to the assumption of a difference in the treatment effect over the entire model time-horizon</w:t>
      </w:r>
      <w:r w:rsidR="0058186F" w:rsidRPr="00F86117">
        <w:t xml:space="preserve">. </w:t>
      </w:r>
      <w:r w:rsidRPr="00F86117">
        <w:t xml:space="preserve">Assuming an ongoing treatment effect for the 10-year time-horizon was uncertain given that data </w:t>
      </w:r>
      <w:r w:rsidR="00980454" w:rsidRPr="00F86117">
        <w:t xml:space="preserve">were </w:t>
      </w:r>
      <w:r w:rsidRPr="00F86117">
        <w:t>only available from CABOSUN for up to a median follow-up of 25 and 28.9 months for PFS and OS respectively.</w:t>
      </w:r>
      <w:r w:rsidR="0077432E" w:rsidRPr="00F86117">
        <w:t xml:space="preserve"> </w:t>
      </w:r>
      <w:r w:rsidR="00F00958" w:rsidRPr="00F86117">
        <w:t xml:space="preserve">The PSCR </w:t>
      </w:r>
      <w:r w:rsidR="00E02C41" w:rsidRPr="00F86117">
        <w:t>noted that a 10</w:t>
      </w:r>
      <w:r w:rsidR="00F00958" w:rsidRPr="00F86117">
        <w:t xml:space="preserve"> year time horizon was chosen to be consistent with the economic model used to inform the PBAC approval of </w:t>
      </w:r>
      <w:proofErr w:type="spellStart"/>
      <w:r w:rsidR="00F00958" w:rsidRPr="00F86117">
        <w:t>sunitinib</w:t>
      </w:r>
      <w:proofErr w:type="spellEnd"/>
      <w:r w:rsidR="00F00958" w:rsidRPr="00F86117">
        <w:t xml:space="preserve">, however the PBAC considered that </w:t>
      </w:r>
      <w:r w:rsidR="00C453AA" w:rsidRPr="00F86117">
        <w:t>the estimate of OS over the 10 year</w:t>
      </w:r>
      <w:r w:rsidR="00F00958" w:rsidRPr="00F86117">
        <w:t xml:space="preserve"> time horizon in the </w:t>
      </w:r>
      <w:proofErr w:type="spellStart"/>
      <w:r w:rsidR="00F00958" w:rsidRPr="00F86117">
        <w:t>sunitinib</w:t>
      </w:r>
      <w:proofErr w:type="spellEnd"/>
      <w:r w:rsidR="00F00958" w:rsidRPr="00F86117">
        <w:t xml:space="preserve"> model was uncertain and </w:t>
      </w:r>
      <w:r w:rsidR="00E02C41" w:rsidRPr="00F86117">
        <w:t xml:space="preserve">noted </w:t>
      </w:r>
      <w:r w:rsidR="00F00958" w:rsidRPr="00F86117">
        <w:t>that a shorte</w:t>
      </w:r>
      <w:r w:rsidR="00C453AA" w:rsidRPr="00F86117">
        <w:t>ne</w:t>
      </w:r>
      <w:r w:rsidR="00F00958" w:rsidRPr="00F86117">
        <w:t xml:space="preserve">d time horizon would </w:t>
      </w:r>
      <w:r w:rsidR="00E02C41" w:rsidRPr="00F86117">
        <w:t>make</w:t>
      </w:r>
      <w:r w:rsidR="00F00958" w:rsidRPr="00F86117">
        <w:t xml:space="preserve"> the ICER</w:t>
      </w:r>
      <w:r w:rsidR="00E02C41" w:rsidRPr="00F86117">
        <w:t xml:space="preserve"> less favourable</w:t>
      </w:r>
      <w:r w:rsidR="00F00958" w:rsidRPr="00F86117">
        <w:t xml:space="preserve"> (</w:t>
      </w:r>
      <w:proofErr w:type="spellStart"/>
      <w:r w:rsidR="00F00958" w:rsidRPr="00F86117">
        <w:t>Sunitinib</w:t>
      </w:r>
      <w:proofErr w:type="spellEnd"/>
      <w:r w:rsidR="00F00958" w:rsidRPr="00F86117">
        <w:t xml:space="preserve"> PSD, </w:t>
      </w:r>
      <w:r w:rsidR="00E02C41" w:rsidRPr="00F86117">
        <w:t xml:space="preserve">March 2008 p5). </w:t>
      </w:r>
      <w:r w:rsidR="00EC2F77" w:rsidRPr="00F86117">
        <w:t xml:space="preserve">The ESC considered that the use of a 10 year time-horizon </w:t>
      </w:r>
      <w:r w:rsidR="00C453AA" w:rsidRPr="00F86117">
        <w:t xml:space="preserve">in the model </w:t>
      </w:r>
      <w:r w:rsidR="00EC2F77" w:rsidRPr="00F86117">
        <w:t>magnified the uncertainty around post-progression treatment</w:t>
      </w:r>
      <w:r w:rsidR="00C453AA" w:rsidRPr="00F86117">
        <w:t xml:space="preserve"> costs and benefits</w:t>
      </w:r>
      <w:r w:rsidR="00EC2F77" w:rsidRPr="00F86117">
        <w:t>.</w:t>
      </w:r>
      <w:r w:rsidR="0058186F" w:rsidRPr="00F86117">
        <w:t xml:space="preserve"> The ESC noted that a re-specified analysis with convergence of OS, PFS and TTD beginning at 30 months, with convergence at 7.5 years, resulted in an ICER of $</w:t>
      </w:r>
      <w:r w:rsidR="002D4FE5">
        <w:t>45,000 - $75,000/</w:t>
      </w:r>
      <w:proofErr w:type="gramStart"/>
      <w:r w:rsidR="002D4FE5">
        <w:t>QALY</w:t>
      </w:r>
      <w:r w:rsidR="002D4FE5" w:rsidRPr="00F86117" w:rsidDel="002D4FE5">
        <w:t xml:space="preserve"> </w:t>
      </w:r>
      <w:r w:rsidR="0058186F" w:rsidRPr="00F86117">
        <w:t>.</w:t>
      </w:r>
      <w:proofErr w:type="gramEnd"/>
      <w:r w:rsidR="008C01F5" w:rsidRPr="00F86117">
        <w:t xml:space="preserve"> </w:t>
      </w:r>
    </w:p>
    <w:p w:rsidR="004F20EA" w:rsidRPr="00F86117" w:rsidRDefault="001071B3" w:rsidP="0061386A">
      <w:pPr>
        <w:pStyle w:val="ListParagraph"/>
        <w:widowControl/>
        <w:numPr>
          <w:ilvl w:val="1"/>
          <w:numId w:val="2"/>
        </w:numPr>
        <w:spacing w:before="120"/>
      </w:pPr>
      <w:r w:rsidRPr="00F86117">
        <w:t xml:space="preserve">The model results were also sensitive to the types of second-line treatments included in the analysis; including only medicines that are PBS listed for second-line treatment for Stage IV RCC increased the ICER to </w:t>
      </w:r>
      <w:r w:rsidR="00827949">
        <w:t xml:space="preserve">$75,000 - $105,000/QALY </w:t>
      </w:r>
      <w:r w:rsidRPr="00F86117">
        <w:t>(</w:t>
      </w:r>
      <w:r w:rsidR="003C3C8E" w:rsidRPr="00F86117">
        <w:t>44</w:t>
      </w:r>
      <w:r w:rsidRPr="00F86117">
        <w:t xml:space="preserve">% relative to base-case). </w:t>
      </w:r>
      <w:r w:rsidR="00E02C41" w:rsidRPr="00F86117">
        <w:t>The PSCR contested that while not funded by the PBS the treatments excluded in this scenario are available for patients and can be funded by the patient. The ESC considered that</w:t>
      </w:r>
      <w:r w:rsidR="00407A1C" w:rsidRPr="00F86117">
        <w:t>, while it was appropriate to include subsequent treatment costs for patients likely to receive subsequent therapies,</w:t>
      </w:r>
      <w:r w:rsidR="00E02C41" w:rsidRPr="00F86117">
        <w:t xml:space="preserve"> it was not appropriate </w:t>
      </w:r>
      <w:r w:rsidR="00407A1C" w:rsidRPr="00F86117">
        <w:t xml:space="preserve">for </w:t>
      </w:r>
      <w:r w:rsidR="00EA128C" w:rsidRPr="00F86117">
        <w:t xml:space="preserve">the </w:t>
      </w:r>
      <w:r w:rsidR="00E02C41" w:rsidRPr="00F86117">
        <w:t xml:space="preserve">cost </w:t>
      </w:r>
      <w:r w:rsidR="00EA128C" w:rsidRPr="00F86117">
        <w:t>o</w:t>
      </w:r>
      <w:r w:rsidR="00407A1C" w:rsidRPr="00F86117">
        <w:t xml:space="preserve">f non-PBS subsidised therapies to </w:t>
      </w:r>
      <w:r w:rsidR="00E02C41" w:rsidRPr="00F86117">
        <w:t xml:space="preserve">be included in the model. </w:t>
      </w:r>
      <w:r w:rsidR="00407A1C" w:rsidRPr="00F86117">
        <w:t>(For example, the model included subsequent therapy costs for bevacizumab of $</w:t>
      </w:r>
      <w:r w:rsidR="0035011A">
        <w:rPr>
          <w:noProof/>
          <w:color w:val="000000"/>
          <w:highlight w:val="black"/>
        </w:rPr>
        <w:t>'''''''''''</w:t>
      </w:r>
      <w:r w:rsidR="00407A1C" w:rsidRPr="00F86117">
        <w:t xml:space="preserve"> per cycle, </w:t>
      </w:r>
      <w:r w:rsidR="004F20EA" w:rsidRPr="00F86117">
        <w:t>which was significantly higher than the cost assumed for any PBS-subsidised therapies</w:t>
      </w:r>
      <w:r w:rsidR="00407A1C" w:rsidRPr="00F86117">
        <w:t xml:space="preserve">.) </w:t>
      </w:r>
      <w:r w:rsidR="001D7928" w:rsidRPr="00F86117">
        <w:t xml:space="preserve">Assuming the same cost </w:t>
      </w:r>
      <w:r w:rsidR="004620D8" w:rsidRPr="00F86117">
        <w:t xml:space="preserve">per cycle </w:t>
      </w:r>
      <w:r w:rsidR="001D7928" w:rsidRPr="00F86117">
        <w:t xml:space="preserve">of subsequent treatments in both arms and </w:t>
      </w:r>
      <w:r w:rsidR="001D7928" w:rsidRPr="00F86117">
        <w:lastRenderedPageBreak/>
        <w:t xml:space="preserve">convergence of the OS, PFS and TTD curves between 30 months and 7.5 years resulted in an ICER of </w:t>
      </w:r>
      <w:r w:rsidR="008F672A">
        <w:t>$105,000 - $200,000/</w:t>
      </w:r>
      <w:r w:rsidR="001D7928" w:rsidRPr="00F86117">
        <w:t xml:space="preserve"> QALY. </w:t>
      </w:r>
      <w:r w:rsidR="001508A7" w:rsidRPr="00F86117">
        <w:t xml:space="preserve">The Pre-PBAC response argued that patients in the </w:t>
      </w:r>
      <w:proofErr w:type="spellStart"/>
      <w:r w:rsidR="001508A7" w:rsidRPr="00F86117">
        <w:t>sunitinib</w:t>
      </w:r>
      <w:proofErr w:type="spellEnd"/>
      <w:r w:rsidR="001508A7" w:rsidRPr="00F86117">
        <w:t xml:space="preserve"> arm would be eligible for treatment with </w:t>
      </w:r>
      <w:proofErr w:type="spellStart"/>
      <w:r w:rsidR="001508A7" w:rsidRPr="00F86117">
        <w:t>nivolumab</w:t>
      </w:r>
      <w:proofErr w:type="spellEnd"/>
      <w:r w:rsidR="001508A7" w:rsidRPr="00F86117">
        <w:t xml:space="preserve"> or </w:t>
      </w:r>
      <w:proofErr w:type="spellStart"/>
      <w:r w:rsidR="001508A7" w:rsidRPr="00F86117">
        <w:t>cabozantinib</w:t>
      </w:r>
      <w:proofErr w:type="spellEnd"/>
      <w:r w:rsidR="001508A7" w:rsidRPr="00F86117">
        <w:t xml:space="preserve"> post-progression, whereas patients in the </w:t>
      </w:r>
      <w:proofErr w:type="spellStart"/>
      <w:r w:rsidR="001508A7" w:rsidRPr="00F86117">
        <w:t>cabozantinib</w:t>
      </w:r>
      <w:proofErr w:type="spellEnd"/>
      <w:r w:rsidR="001508A7" w:rsidRPr="00F86117">
        <w:t xml:space="preserve"> arm would only be eligible for </w:t>
      </w:r>
      <w:proofErr w:type="spellStart"/>
      <w:r w:rsidR="001508A7" w:rsidRPr="00F86117">
        <w:t>nivolumab</w:t>
      </w:r>
      <w:proofErr w:type="spellEnd"/>
      <w:r w:rsidR="001508A7" w:rsidRPr="00F86117">
        <w:t xml:space="preserve"> and therefore it was reasonable for post-progression costs to be higher for the </w:t>
      </w:r>
      <w:proofErr w:type="spellStart"/>
      <w:r w:rsidR="001508A7" w:rsidRPr="00F86117">
        <w:t>sunitinib</w:t>
      </w:r>
      <w:proofErr w:type="spellEnd"/>
      <w:r w:rsidR="001508A7" w:rsidRPr="00F86117">
        <w:t xml:space="preserve"> arm.</w:t>
      </w:r>
    </w:p>
    <w:p w:rsidR="004F20EA" w:rsidRPr="00F86117" w:rsidRDefault="001D7928" w:rsidP="0061386A">
      <w:pPr>
        <w:pStyle w:val="ListParagraph"/>
        <w:widowControl/>
        <w:numPr>
          <w:ilvl w:val="1"/>
          <w:numId w:val="2"/>
        </w:numPr>
        <w:spacing w:before="120"/>
      </w:pPr>
      <w:r w:rsidRPr="00F86117">
        <w:t>The ESC noted that the model was very sensitive to the post-progression costs applied</w:t>
      </w:r>
      <w:r w:rsidR="00A12794" w:rsidRPr="00F86117">
        <w:t>, and the duration over which they were applied</w:t>
      </w:r>
      <w:r w:rsidR="00EC2F77" w:rsidRPr="00F86117">
        <w:t>. The ESC considered that there was a high degree of uncertainty around the post-progression costs which appear to be over-estimated due to</w:t>
      </w:r>
      <w:r w:rsidR="00221363" w:rsidRPr="00F86117">
        <w:t xml:space="preserve">: </w:t>
      </w:r>
      <w:r w:rsidR="00EC2F77" w:rsidRPr="00F86117">
        <w:t xml:space="preserve">inclusion of </w:t>
      </w:r>
      <w:proofErr w:type="spellStart"/>
      <w:r w:rsidR="00EC2F77" w:rsidRPr="00F86117">
        <w:t>sunitinib</w:t>
      </w:r>
      <w:proofErr w:type="spellEnd"/>
      <w:r w:rsidR="00EC2F77" w:rsidRPr="00F86117">
        <w:t xml:space="preserve"> use post-progression in 21% of </w:t>
      </w:r>
      <w:proofErr w:type="spellStart"/>
      <w:r w:rsidR="00EC2F77" w:rsidRPr="00F86117">
        <w:t>sunitinib</w:t>
      </w:r>
      <w:proofErr w:type="spellEnd"/>
      <w:r w:rsidR="00EC2F77" w:rsidRPr="00F86117">
        <w:t xml:space="preserve"> patients</w:t>
      </w:r>
      <w:r w:rsidR="00695118" w:rsidRPr="00F86117">
        <w:t>;</w:t>
      </w:r>
      <w:r w:rsidR="00EC2F77" w:rsidRPr="00F86117">
        <w:t xml:space="preserve"> inclusion of drugs not listed on the PBS</w:t>
      </w:r>
      <w:r w:rsidR="00695118" w:rsidRPr="00F86117">
        <w:t xml:space="preserve">; </w:t>
      </w:r>
      <w:r w:rsidR="00EC2F77" w:rsidRPr="00F86117">
        <w:t xml:space="preserve">and the assumption that patients </w:t>
      </w:r>
      <w:r w:rsidR="00B07B49" w:rsidRPr="00F86117">
        <w:t xml:space="preserve">who receive subsequent therapies </w:t>
      </w:r>
      <w:r w:rsidR="00EC2F77" w:rsidRPr="00F86117">
        <w:t>continue to be treated</w:t>
      </w:r>
      <w:r w:rsidR="004620D8" w:rsidRPr="00F86117">
        <w:t xml:space="preserve"> </w:t>
      </w:r>
      <w:r w:rsidR="00EC2F77" w:rsidRPr="00F86117">
        <w:t>until death</w:t>
      </w:r>
      <w:r w:rsidR="0087279B" w:rsidRPr="00F86117">
        <w:t xml:space="preserve"> (i.e. patients who received a subsequent therapy in the CABOSUN trial </w:t>
      </w:r>
      <w:r w:rsidR="00ED1795" w:rsidRPr="00F86117">
        <w:t xml:space="preserve">(which were 63% of patients in the </w:t>
      </w:r>
      <w:proofErr w:type="spellStart"/>
      <w:r w:rsidR="00ED1795" w:rsidRPr="00F86117">
        <w:t>cabozantinib</w:t>
      </w:r>
      <w:proofErr w:type="spellEnd"/>
      <w:r w:rsidR="00ED1795" w:rsidRPr="00F86117">
        <w:t xml:space="preserve"> arm and 67% in the </w:t>
      </w:r>
      <w:proofErr w:type="spellStart"/>
      <w:r w:rsidR="00ED1795" w:rsidRPr="00F86117">
        <w:t>sunitinib</w:t>
      </w:r>
      <w:proofErr w:type="spellEnd"/>
      <w:r w:rsidR="00ED1795" w:rsidRPr="00F86117">
        <w:t xml:space="preserve"> arm) </w:t>
      </w:r>
      <w:r w:rsidR="0087279B" w:rsidRPr="00F86117">
        <w:t>were assumed to continue receiving subsequent therapies for every cycle that they remained in the post-progression health state)</w:t>
      </w:r>
      <w:r w:rsidRPr="00F86117">
        <w:t xml:space="preserve">. </w:t>
      </w:r>
      <w:r w:rsidR="00A12794" w:rsidRPr="00F86117">
        <w:t xml:space="preserve">This resulted in </w:t>
      </w:r>
      <w:r w:rsidR="0087279B" w:rsidRPr="00F86117">
        <w:t xml:space="preserve">a </w:t>
      </w:r>
      <w:r w:rsidR="00A12794" w:rsidRPr="00F86117">
        <w:t xml:space="preserve">high </w:t>
      </w:r>
      <w:r w:rsidR="0087279B" w:rsidRPr="00F86117">
        <w:t>total cost</w:t>
      </w:r>
      <w:r w:rsidR="00A12794" w:rsidRPr="00F86117">
        <w:t xml:space="preserve"> for post-progression therapies</w:t>
      </w:r>
      <w:r w:rsidR="0087279B" w:rsidRPr="00F86117">
        <w:t xml:space="preserve"> (of $</w:t>
      </w:r>
      <w:r w:rsidR="0035011A">
        <w:rPr>
          <w:noProof/>
          <w:color w:val="000000"/>
          <w:highlight w:val="black"/>
        </w:rPr>
        <w:t>'''''''''''''</w:t>
      </w:r>
      <w:r w:rsidR="0087279B" w:rsidRPr="00F86117">
        <w:t xml:space="preserve"> and $</w:t>
      </w:r>
      <w:r w:rsidR="0035011A">
        <w:rPr>
          <w:noProof/>
          <w:color w:val="000000"/>
          <w:highlight w:val="black"/>
        </w:rPr>
        <w:t>''''''''''''''</w:t>
      </w:r>
      <w:r w:rsidR="0087279B" w:rsidRPr="00F86117">
        <w:t xml:space="preserve"> per patient in the </w:t>
      </w:r>
      <w:proofErr w:type="spellStart"/>
      <w:r w:rsidR="0087279B" w:rsidRPr="00F86117">
        <w:t>cabozantinib</w:t>
      </w:r>
      <w:proofErr w:type="spellEnd"/>
      <w:r w:rsidR="0087279B" w:rsidRPr="00F86117">
        <w:t xml:space="preserve"> and </w:t>
      </w:r>
      <w:proofErr w:type="spellStart"/>
      <w:r w:rsidR="0087279B" w:rsidRPr="00F86117">
        <w:t>sunitinib</w:t>
      </w:r>
      <w:proofErr w:type="spellEnd"/>
      <w:r w:rsidR="0087279B" w:rsidRPr="00F86117">
        <w:t xml:space="preserve"> arms, respectively, see Table 14). Costs were higher in the </w:t>
      </w:r>
      <w:proofErr w:type="spellStart"/>
      <w:r w:rsidR="0087279B" w:rsidRPr="00F86117">
        <w:t>sunitinib</w:t>
      </w:r>
      <w:proofErr w:type="spellEnd"/>
      <w:r w:rsidR="0087279B" w:rsidRPr="00F86117">
        <w:t xml:space="preserve"> arm because patients were in the post-progression health state for longer, and a higher cost per cycle was estimated (largely due to the higher use of non-PBS subsidised therapies such as bevacizumab in the </w:t>
      </w:r>
      <w:proofErr w:type="spellStart"/>
      <w:r w:rsidR="0087279B" w:rsidRPr="00F86117">
        <w:t>sunitinib</w:t>
      </w:r>
      <w:proofErr w:type="spellEnd"/>
      <w:r w:rsidR="0087279B" w:rsidRPr="00F86117">
        <w:t xml:space="preserve"> arm).</w:t>
      </w:r>
      <w:r w:rsidR="008C01F5" w:rsidRPr="00F86117">
        <w:t xml:space="preserve"> </w:t>
      </w:r>
    </w:p>
    <w:p w:rsidR="001508A7" w:rsidRPr="00F86117" w:rsidRDefault="001D7928" w:rsidP="0061386A">
      <w:pPr>
        <w:pStyle w:val="ListParagraph"/>
        <w:widowControl/>
        <w:numPr>
          <w:ilvl w:val="1"/>
          <w:numId w:val="2"/>
        </w:numPr>
        <w:spacing w:before="120"/>
      </w:pPr>
      <w:r w:rsidRPr="00F86117">
        <w:t>The model</w:t>
      </w:r>
      <w:r w:rsidR="005450AC" w:rsidRPr="00F86117">
        <w:t xml:space="preserve"> </w:t>
      </w:r>
      <w:r w:rsidR="0077432E" w:rsidRPr="00F86117">
        <w:t xml:space="preserve">was also </w:t>
      </w:r>
      <w:r w:rsidR="001071B3" w:rsidRPr="00F86117">
        <w:t xml:space="preserve">sensitive to the average weight of patients (ICER = </w:t>
      </w:r>
      <w:r w:rsidR="008F672A">
        <w:t>$45,000 - $75,000/QALY</w:t>
      </w:r>
      <w:r w:rsidR="008F672A" w:rsidRPr="00F86117" w:rsidDel="008F672A">
        <w:t xml:space="preserve"> </w:t>
      </w:r>
      <w:r w:rsidR="005450AC" w:rsidRPr="00F86117">
        <w:t>if 80 </w:t>
      </w:r>
      <w:r w:rsidR="001071B3" w:rsidRPr="00F86117">
        <w:t xml:space="preserve">kg) </w:t>
      </w:r>
      <w:r w:rsidRPr="00F86117">
        <w:t xml:space="preserve">as this was relevant to dosing (and therefore cost) for </w:t>
      </w:r>
      <w:r w:rsidR="00221363" w:rsidRPr="00F86117">
        <w:t>some</w:t>
      </w:r>
      <w:r w:rsidRPr="00F86117">
        <w:t xml:space="preserve"> second line treatments</w:t>
      </w:r>
      <w:r w:rsidR="00221363" w:rsidRPr="00F86117">
        <w:t>.</w:t>
      </w:r>
      <w:r w:rsidR="001508A7" w:rsidRPr="00F86117">
        <w:t xml:space="preserve"> The pre-PBAC response noted that the weight used in the economic model (89.7kg) was based on the mean weight of patients randomised into the CABOSUN trial.</w:t>
      </w:r>
    </w:p>
    <w:p w:rsidR="00E94F94" w:rsidRPr="00F86117" w:rsidRDefault="0043171D" w:rsidP="0061386A">
      <w:pPr>
        <w:pStyle w:val="ListParagraph"/>
        <w:widowControl/>
        <w:numPr>
          <w:ilvl w:val="1"/>
          <w:numId w:val="2"/>
        </w:numPr>
        <w:spacing w:before="120"/>
      </w:pPr>
      <w:r w:rsidRPr="00F86117">
        <w:t xml:space="preserve">As outlined in the Public Summary Document for </w:t>
      </w:r>
      <w:proofErr w:type="spellStart"/>
      <w:r w:rsidRPr="00F86117">
        <w:t>pazopanib</w:t>
      </w:r>
      <w:proofErr w:type="spellEnd"/>
      <w:r w:rsidRPr="00F86117">
        <w:t xml:space="preserve"> from March 2012, </w:t>
      </w:r>
      <w:proofErr w:type="spellStart"/>
      <w:r w:rsidR="00E94F94" w:rsidRPr="00F86117">
        <w:t>pazopanib</w:t>
      </w:r>
      <w:proofErr w:type="spellEnd"/>
      <w:r w:rsidR="00E94F94" w:rsidRPr="00F86117">
        <w:t xml:space="preserve"> </w:t>
      </w:r>
      <w:r w:rsidRPr="00F86117">
        <w:t xml:space="preserve">has a lower effective price than </w:t>
      </w:r>
      <w:proofErr w:type="spellStart"/>
      <w:r w:rsidR="00E94F94" w:rsidRPr="00F86117">
        <w:t>sunitinib</w:t>
      </w:r>
      <w:proofErr w:type="spellEnd"/>
      <w:r w:rsidR="00477135" w:rsidRPr="00F86117">
        <w:t>.</w:t>
      </w:r>
      <w:r w:rsidR="00E94F94" w:rsidRPr="00F86117">
        <w:t xml:space="preserve"> </w:t>
      </w:r>
      <w:proofErr w:type="spellStart"/>
      <w:r w:rsidR="00E94F94" w:rsidRPr="00F86117">
        <w:t>Pazopanib</w:t>
      </w:r>
      <w:proofErr w:type="spellEnd"/>
      <w:r w:rsidR="00E94F94" w:rsidRPr="00F86117">
        <w:t xml:space="preserve"> was also a relevant comparator; the ICER/QALY increased when a 50%:50% split of use of </w:t>
      </w:r>
      <w:proofErr w:type="spellStart"/>
      <w:r w:rsidR="00E94F94" w:rsidRPr="00F86117">
        <w:t>sunitinib</w:t>
      </w:r>
      <w:proofErr w:type="spellEnd"/>
      <w:r w:rsidR="00E94F94" w:rsidRPr="00F86117">
        <w:t xml:space="preserve"> and </w:t>
      </w:r>
      <w:proofErr w:type="spellStart"/>
      <w:r w:rsidR="00E94F94" w:rsidRPr="00F86117">
        <w:t>pazopanib</w:t>
      </w:r>
      <w:proofErr w:type="spellEnd"/>
      <w:r w:rsidR="00E94F94" w:rsidRPr="00F86117">
        <w:t xml:space="preserve"> was used.</w:t>
      </w:r>
      <w:r w:rsidR="00E94F94" w:rsidRPr="00F86117">
        <w:rPr>
          <w:highlight w:val="magenta"/>
        </w:rPr>
        <w:t xml:space="preserve"> </w:t>
      </w:r>
    </w:p>
    <w:p w:rsidR="00BB433C" w:rsidRPr="00F86117" w:rsidRDefault="00BB433C" w:rsidP="00AD4D26">
      <w:pPr>
        <w:keepNext/>
        <w:widowControl/>
        <w:rPr>
          <w:rStyle w:val="CommentReference"/>
          <w:b w:val="0"/>
        </w:rPr>
      </w:pPr>
      <w:r w:rsidRPr="00F86117">
        <w:rPr>
          <w:rStyle w:val="CommentReference"/>
        </w:rPr>
        <w:t>Table 1</w:t>
      </w:r>
      <w:r w:rsidR="00EA6F77" w:rsidRPr="00F86117">
        <w:rPr>
          <w:rStyle w:val="CommentReference"/>
        </w:rPr>
        <w:t>6</w:t>
      </w:r>
      <w:r w:rsidRPr="00F86117">
        <w:rPr>
          <w:rStyle w:val="CommentReference"/>
        </w:rPr>
        <w:t>: Key results of sensitivity analyses</w:t>
      </w:r>
      <w:r w:rsidR="00DB5527" w:rsidRPr="00F86117">
        <w:rPr>
          <w:rStyle w:val="CommentReference"/>
        </w:rPr>
        <w:t xml:space="preserve"> from the submission</w:t>
      </w:r>
    </w:p>
    <w:tbl>
      <w:tblPr>
        <w:tblStyle w:val="TableGrid"/>
        <w:tblW w:w="5000" w:type="pct"/>
        <w:tblLook w:val="04A0" w:firstRow="1" w:lastRow="0" w:firstColumn="1" w:lastColumn="0" w:noHBand="0" w:noVBand="1"/>
        <w:tblCaption w:val="Table 16: Key results of sensitivity analyses from the submission"/>
      </w:tblPr>
      <w:tblGrid>
        <w:gridCol w:w="2352"/>
        <w:gridCol w:w="1592"/>
        <w:gridCol w:w="2205"/>
        <w:gridCol w:w="1895"/>
        <w:gridCol w:w="973"/>
      </w:tblGrid>
      <w:tr w:rsidR="00BB433C" w:rsidRPr="00F86117" w:rsidTr="0061386A">
        <w:trPr>
          <w:tblHeader/>
        </w:trPr>
        <w:tc>
          <w:tcPr>
            <w:tcW w:w="1308" w:type="pct"/>
            <w:hideMark/>
          </w:tcPr>
          <w:p w:rsidR="00BB433C" w:rsidRPr="00F86117" w:rsidRDefault="00BB433C" w:rsidP="00AD4D26">
            <w:pPr>
              <w:pStyle w:val="TableLeft"/>
              <w:keepNext/>
              <w:rPr>
                <w:rStyle w:val="SmallBold"/>
                <w:rFonts w:ascii="Arial Narrow" w:hAnsi="Arial Narrow"/>
                <w:szCs w:val="20"/>
                <w:lang w:bidi="en-US"/>
              </w:rPr>
            </w:pPr>
          </w:p>
        </w:tc>
        <w:tc>
          <w:tcPr>
            <w:tcW w:w="886" w:type="pct"/>
          </w:tcPr>
          <w:p w:rsidR="00BB433C" w:rsidRPr="00F86117" w:rsidRDefault="00BB433C" w:rsidP="00AD4D26">
            <w:pPr>
              <w:keepNext/>
              <w:widowControl/>
              <w:jc w:val="center"/>
              <w:rPr>
                <w:rFonts w:ascii="Arial Narrow" w:hAnsi="Arial Narrow"/>
                <w:b/>
                <w:sz w:val="20"/>
                <w:szCs w:val="20"/>
              </w:rPr>
            </w:pPr>
            <w:r w:rsidRPr="00F86117">
              <w:rPr>
                <w:rFonts w:ascii="Arial Narrow" w:hAnsi="Arial Narrow"/>
                <w:b/>
                <w:sz w:val="20"/>
                <w:szCs w:val="20"/>
              </w:rPr>
              <w:t>Base case value</w:t>
            </w:r>
          </w:p>
        </w:tc>
        <w:tc>
          <w:tcPr>
            <w:tcW w:w="1226" w:type="pct"/>
          </w:tcPr>
          <w:p w:rsidR="00BB433C" w:rsidRPr="00F86117" w:rsidRDefault="00BB433C" w:rsidP="00AD4D26">
            <w:pPr>
              <w:pStyle w:val="TableLeft"/>
              <w:keepNext/>
              <w:jc w:val="center"/>
              <w:rPr>
                <w:rStyle w:val="SmallBold"/>
                <w:rFonts w:ascii="Arial Narrow" w:hAnsi="Arial Narrow"/>
                <w:szCs w:val="20"/>
              </w:rPr>
            </w:pPr>
            <w:r w:rsidRPr="00F86117">
              <w:rPr>
                <w:rStyle w:val="SmallBold"/>
                <w:rFonts w:ascii="Arial Narrow" w:hAnsi="Arial Narrow"/>
              </w:rPr>
              <w:t>Variation tested</w:t>
            </w:r>
          </w:p>
        </w:tc>
        <w:tc>
          <w:tcPr>
            <w:tcW w:w="1054" w:type="pct"/>
            <w:hideMark/>
          </w:tcPr>
          <w:p w:rsidR="00BB433C" w:rsidRPr="00F86117" w:rsidRDefault="00BB433C" w:rsidP="00AD4D26">
            <w:pPr>
              <w:pStyle w:val="TableLeft"/>
              <w:keepNext/>
              <w:jc w:val="center"/>
              <w:rPr>
                <w:rStyle w:val="SmallBold"/>
                <w:rFonts w:ascii="Arial Narrow" w:hAnsi="Arial Narrow"/>
                <w:szCs w:val="20"/>
              </w:rPr>
            </w:pPr>
            <w:r w:rsidRPr="00F86117">
              <w:rPr>
                <w:rStyle w:val="SmallBold"/>
                <w:rFonts w:ascii="Arial Narrow" w:hAnsi="Arial Narrow"/>
              </w:rPr>
              <w:t>ICER ($/QALY</w:t>
            </w:r>
            <w:r w:rsidRPr="00F86117">
              <w:rPr>
                <w:rStyle w:val="SmallBold"/>
                <w:rFonts w:ascii="Arial Narrow" w:hAnsi="Arial Narrow"/>
                <w:szCs w:val="20"/>
              </w:rPr>
              <w:t>)</w:t>
            </w:r>
          </w:p>
        </w:tc>
        <w:tc>
          <w:tcPr>
            <w:tcW w:w="526" w:type="pct"/>
          </w:tcPr>
          <w:p w:rsidR="00BB433C" w:rsidRPr="00F86117" w:rsidRDefault="00BB433C" w:rsidP="00AD4D26">
            <w:pPr>
              <w:pStyle w:val="TableLeft"/>
              <w:keepNext/>
              <w:jc w:val="center"/>
              <w:rPr>
                <w:rStyle w:val="SmallBold"/>
                <w:rFonts w:ascii="Arial Narrow" w:hAnsi="Arial Narrow"/>
                <w:szCs w:val="20"/>
              </w:rPr>
            </w:pPr>
            <w:r w:rsidRPr="00F86117">
              <w:rPr>
                <w:rStyle w:val="SmallBold"/>
                <w:rFonts w:ascii="Arial Narrow" w:hAnsi="Arial Narrow"/>
                <w:szCs w:val="20"/>
              </w:rPr>
              <w:t>%</w:t>
            </w:r>
            <w:r w:rsidRPr="00F86117">
              <w:rPr>
                <w:rStyle w:val="SmallBold"/>
                <w:rFonts w:ascii="Arial Narrow" w:hAnsi="Arial Narrow"/>
              </w:rPr>
              <w:t>Change in I</w:t>
            </w:r>
            <w:r w:rsidRPr="00F86117">
              <w:rPr>
                <w:rStyle w:val="SmallBold"/>
                <w:rFonts w:ascii="Arial Narrow" w:hAnsi="Arial Narrow"/>
                <w:szCs w:val="20"/>
              </w:rPr>
              <w:t>CER</w:t>
            </w:r>
          </w:p>
        </w:tc>
      </w:tr>
      <w:tr w:rsidR="00ED4AF5" w:rsidRPr="00F86117" w:rsidTr="0061386A">
        <w:tc>
          <w:tcPr>
            <w:tcW w:w="5000" w:type="pct"/>
            <w:gridSpan w:val="5"/>
          </w:tcPr>
          <w:p w:rsidR="00ED4AF5" w:rsidRPr="00F86117" w:rsidRDefault="00ED4AF5" w:rsidP="00AD4D26">
            <w:pPr>
              <w:pStyle w:val="TableCentre"/>
              <w:keepNext/>
              <w:jc w:val="left"/>
              <w:rPr>
                <w:rFonts w:ascii="Arial Narrow" w:hAnsi="Arial Narrow"/>
                <w:b/>
                <w:szCs w:val="20"/>
              </w:rPr>
            </w:pPr>
            <w:r w:rsidRPr="00F86117">
              <w:rPr>
                <w:rFonts w:ascii="Arial Narrow" w:hAnsi="Arial Narrow"/>
                <w:b/>
                <w:szCs w:val="20"/>
              </w:rPr>
              <w:t>Sensitivity analyses presented by submission – assumed effective prices</w:t>
            </w:r>
          </w:p>
        </w:tc>
      </w:tr>
      <w:tr w:rsidR="00BB433C" w:rsidRPr="00F86117" w:rsidTr="0061386A">
        <w:tc>
          <w:tcPr>
            <w:tcW w:w="1308" w:type="pct"/>
          </w:tcPr>
          <w:p w:rsidR="00BB433C" w:rsidRPr="00F86117" w:rsidRDefault="00BB433C" w:rsidP="00AD4D26">
            <w:pPr>
              <w:pStyle w:val="TableLeft"/>
              <w:keepNext/>
              <w:rPr>
                <w:rFonts w:ascii="Arial Narrow" w:hAnsi="Arial Narrow"/>
                <w:szCs w:val="20"/>
              </w:rPr>
            </w:pPr>
          </w:p>
        </w:tc>
        <w:tc>
          <w:tcPr>
            <w:tcW w:w="886" w:type="pct"/>
          </w:tcPr>
          <w:p w:rsidR="00BB433C" w:rsidRPr="00F86117" w:rsidRDefault="00BB433C" w:rsidP="00AD4D26">
            <w:pPr>
              <w:pStyle w:val="TableCentre"/>
              <w:keepNext/>
              <w:rPr>
                <w:rFonts w:ascii="Arial Narrow" w:hAnsi="Arial Narrow"/>
                <w:szCs w:val="20"/>
              </w:rPr>
            </w:pPr>
          </w:p>
        </w:tc>
        <w:tc>
          <w:tcPr>
            <w:tcW w:w="1226" w:type="pct"/>
          </w:tcPr>
          <w:p w:rsidR="00BB433C" w:rsidRPr="00F86117" w:rsidRDefault="00BB433C" w:rsidP="00AD4D26">
            <w:pPr>
              <w:pStyle w:val="TableCentre"/>
              <w:keepNext/>
              <w:rPr>
                <w:rFonts w:ascii="Arial Narrow" w:hAnsi="Arial Narrow"/>
                <w:szCs w:val="20"/>
              </w:rPr>
            </w:pPr>
          </w:p>
        </w:tc>
        <w:tc>
          <w:tcPr>
            <w:tcW w:w="1054" w:type="pct"/>
            <w:hideMark/>
          </w:tcPr>
          <w:p w:rsidR="00BB433C" w:rsidRPr="00F86117" w:rsidRDefault="00BB433C" w:rsidP="00AD4D26">
            <w:pPr>
              <w:pStyle w:val="TableCentre"/>
              <w:keepNext/>
              <w:rPr>
                <w:rFonts w:ascii="Arial Narrow" w:hAnsi="Arial Narrow"/>
                <w:szCs w:val="20"/>
              </w:rPr>
            </w:pPr>
            <w:r w:rsidRPr="00F86117">
              <w:rPr>
                <w:rFonts w:ascii="Arial Narrow" w:hAnsi="Arial Narrow"/>
                <w:szCs w:val="20"/>
              </w:rPr>
              <w:t>$</w:t>
            </w:r>
            <w:r w:rsidR="0035011A">
              <w:rPr>
                <w:rFonts w:ascii="Arial Narrow" w:hAnsi="Arial Narrow"/>
                <w:noProof/>
                <w:color w:val="000000"/>
                <w:highlight w:val="black"/>
              </w:rPr>
              <w:t>''''''''''''''''</w:t>
            </w:r>
          </w:p>
        </w:tc>
        <w:tc>
          <w:tcPr>
            <w:tcW w:w="526" w:type="pct"/>
          </w:tcPr>
          <w:p w:rsidR="00BB433C" w:rsidRPr="00F86117" w:rsidRDefault="00BB433C" w:rsidP="00AD4D26">
            <w:pPr>
              <w:pStyle w:val="TableCentre"/>
              <w:keepNext/>
              <w:rPr>
                <w:rFonts w:ascii="Arial Narrow" w:hAnsi="Arial Narrow"/>
                <w:szCs w:val="20"/>
              </w:rPr>
            </w:pPr>
            <w:r w:rsidRPr="00F86117">
              <w:rPr>
                <w:rFonts w:ascii="Arial Narrow" w:hAnsi="Arial Narrow"/>
                <w:szCs w:val="20"/>
              </w:rPr>
              <w:t>Reference</w:t>
            </w:r>
          </w:p>
        </w:tc>
      </w:tr>
      <w:tr w:rsidR="00BB433C" w:rsidRPr="00F86117" w:rsidTr="0061386A">
        <w:tc>
          <w:tcPr>
            <w:tcW w:w="1308" w:type="pct"/>
            <w:hideMark/>
          </w:tcPr>
          <w:p w:rsidR="00BB433C" w:rsidRPr="00F86117" w:rsidRDefault="003E3ABA" w:rsidP="00AD4D26">
            <w:pPr>
              <w:pStyle w:val="TableLeft"/>
              <w:keepNext/>
              <w:rPr>
                <w:rFonts w:ascii="Arial Narrow" w:hAnsi="Arial Narrow"/>
                <w:szCs w:val="20"/>
                <w:lang w:bidi="en-US"/>
              </w:rPr>
            </w:pPr>
            <w:r w:rsidRPr="00F86117">
              <w:rPr>
                <w:rFonts w:ascii="Arial Narrow" w:hAnsi="Arial Narrow"/>
                <w:szCs w:val="20"/>
              </w:rPr>
              <w:t>Time horizon</w:t>
            </w:r>
          </w:p>
        </w:tc>
        <w:tc>
          <w:tcPr>
            <w:tcW w:w="886" w:type="pct"/>
          </w:tcPr>
          <w:p w:rsidR="00BB433C" w:rsidRPr="00F86117" w:rsidRDefault="00BB433C" w:rsidP="00AD4D26">
            <w:pPr>
              <w:pStyle w:val="TableCentre"/>
              <w:keepNext/>
              <w:rPr>
                <w:rFonts w:ascii="Arial Narrow" w:hAnsi="Arial Narrow"/>
                <w:szCs w:val="20"/>
              </w:rPr>
            </w:pPr>
            <w:r w:rsidRPr="00F86117">
              <w:rPr>
                <w:rFonts w:ascii="Arial Narrow" w:hAnsi="Arial Narrow"/>
              </w:rPr>
              <w:t>10 years</w:t>
            </w:r>
          </w:p>
        </w:tc>
        <w:tc>
          <w:tcPr>
            <w:tcW w:w="1226" w:type="pct"/>
          </w:tcPr>
          <w:p w:rsidR="00BB433C" w:rsidRPr="00F86117" w:rsidRDefault="00BB433C" w:rsidP="00AD4D26">
            <w:pPr>
              <w:pStyle w:val="TableLeft"/>
              <w:keepNext/>
              <w:jc w:val="center"/>
              <w:rPr>
                <w:rFonts w:ascii="Arial Narrow" w:hAnsi="Arial Narrow"/>
                <w:szCs w:val="20"/>
                <w:lang w:bidi="en-US"/>
              </w:rPr>
            </w:pPr>
            <w:r w:rsidRPr="00F86117">
              <w:rPr>
                <w:rFonts w:ascii="Arial Narrow" w:hAnsi="Arial Narrow"/>
                <w:szCs w:val="20"/>
              </w:rPr>
              <w:t>7 years</w:t>
            </w:r>
          </w:p>
        </w:tc>
        <w:tc>
          <w:tcPr>
            <w:tcW w:w="1054" w:type="pct"/>
            <w:hideMark/>
          </w:tcPr>
          <w:p w:rsidR="00BB433C" w:rsidRPr="00F86117" w:rsidRDefault="00BB433C" w:rsidP="00AD4D26">
            <w:pPr>
              <w:keepNext/>
              <w:widowControl/>
              <w:jc w:val="center"/>
              <w:rPr>
                <w:rFonts w:ascii="Arial Narrow" w:hAnsi="Arial Narrow"/>
                <w:sz w:val="20"/>
                <w:szCs w:val="20"/>
              </w:rPr>
            </w:pPr>
            <w:r w:rsidRPr="00F86117">
              <w:rPr>
                <w:rFonts w:ascii="Arial Narrow" w:hAnsi="Arial Narrow"/>
                <w:sz w:val="20"/>
                <w:szCs w:val="20"/>
              </w:rPr>
              <w:t>$</w:t>
            </w:r>
            <w:r w:rsidR="0035011A">
              <w:rPr>
                <w:rFonts w:ascii="Arial Narrow" w:hAnsi="Arial Narrow"/>
                <w:noProof/>
                <w:color w:val="000000"/>
                <w:sz w:val="20"/>
                <w:szCs w:val="20"/>
                <w:highlight w:val="black"/>
              </w:rPr>
              <w:t>'''''''''''''''''</w:t>
            </w:r>
          </w:p>
        </w:tc>
        <w:tc>
          <w:tcPr>
            <w:tcW w:w="526" w:type="pct"/>
          </w:tcPr>
          <w:p w:rsidR="00BB433C" w:rsidRPr="00F86117" w:rsidRDefault="00BB433C" w:rsidP="00AD4D26">
            <w:pPr>
              <w:pStyle w:val="TableCentre"/>
              <w:keepNext/>
              <w:rPr>
                <w:rFonts w:ascii="Arial Narrow" w:hAnsi="Arial Narrow"/>
                <w:szCs w:val="20"/>
              </w:rPr>
            </w:pPr>
            <w:r w:rsidRPr="00F86117">
              <w:rPr>
                <w:rFonts w:ascii="Arial Narrow" w:hAnsi="Arial Narrow"/>
              </w:rPr>
              <w:t>14%</w:t>
            </w:r>
          </w:p>
        </w:tc>
      </w:tr>
      <w:tr w:rsidR="0076029B" w:rsidRPr="00F86117" w:rsidTr="0061386A">
        <w:tc>
          <w:tcPr>
            <w:tcW w:w="5000" w:type="pct"/>
            <w:gridSpan w:val="5"/>
            <w:hideMark/>
          </w:tcPr>
          <w:p w:rsidR="0076029B" w:rsidRPr="00F86117" w:rsidRDefault="0076029B" w:rsidP="00AD4D26">
            <w:pPr>
              <w:pStyle w:val="TableCentre"/>
              <w:keepNext/>
              <w:jc w:val="left"/>
              <w:rPr>
                <w:rFonts w:ascii="Arial Narrow" w:hAnsi="Arial Narrow"/>
                <w:szCs w:val="20"/>
              </w:rPr>
            </w:pPr>
            <w:r w:rsidRPr="00F86117">
              <w:rPr>
                <w:rFonts w:ascii="Arial Narrow" w:hAnsi="Arial Narrow"/>
                <w:szCs w:val="20"/>
              </w:rPr>
              <w:t>P</w:t>
            </w:r>
            <w:r w:rsidRPr="00F86117">
              <w:rPr>
                <w:rFonts w:ascii="Arial Narrow" w:hAnsi="Arial Narrow"/>
              </w:rPr>
              <w:t>arametric f</w:t>
            </w:r>
            <w:r w:rsidRPr="00F86117">
              <w:rPr>
                <w:rFonts w:ascii="Arial Narrow" w:hAnsi="Arial Narrow"/>
                <w:szCs w:val="20"/>
              </w:rPr>
              <w:t>unctions</w:t>
            </w:r>
            <w:r w:rsidRPr="00F86117">
              <w:rPr>
                <w:rFonts w:ascii="Arial Narrow" w:hAnsi="Arial Narrow"/>
              </w:rPr>
              <w:t xml:space="preserve">: </w:t>
            </w:r>
          </w:p>
        </w:tc>
      </w:tr>
      <w:tr w:rsidR="00BB433C" w:rsidRPr="00F86117" w:rsidTr="0061386A">
        <w:tc>
          <w:tcPr>
            <w:tcW w:w="1308" w:type="pct"/>
            <w:hideMark/>
          </w:tcPr>
          <w:p w:rsidR="00BB433C" w:rsidRPr="00F86117" w:rsidRDefault="00BB433C" w:rsidP="00AD4D26">
            <w:pPr>
              <w:pStyle w:val="TableLeft"/>
              <w:rPr>
                <w:rFonts w:ascii="Arial Narrow" w:hAnsi="Arial Narrow"/>
                <w:szCs w:val="20"/>
                <w:lang w:bidi="en-US"/>
              </w:rPr>
            </w:pPr>
            <w:r w:rsidRPr="00F86117">
              <w:rPr>
                <w:rFonts w:ascii="Arial Narrow" w:hAnsi="Arial Narrow"/>
                <w:szCs w:val="20"/>
              </w:rPr>
              <w:t xml:space="preserve">PFS, OS &amp; TTD: </w:t>
            </w:r>
            <w:r w:rsidRPr="00F86117">
              <w:rPr>
                <w:rFonts w:ascii="Arial Narrow" w:hAnsi="Arial Narrow"/>
              </w:rPr>
              <w:t>Independent curves</w:t>
            </w:r>
          </w:p>
        </w:tc>
        <w:tc>
          <w:tcPr>
            <w:tcW w:w="886" w:type="pct"/>
          </w:tcPr>
          <w:p w:rsidR="00BB433C" w:rsidRPr="00F86117" w:rsidRDefault="00BB433C" w:rsidP="00AD4D26">
            <w:pPr>
              <w:pStyle w:val="TableCentre"/>
              <w:rPr>
                <w:rFonts w:ascii="Arial Narrow" w:hAnsi="Arial Narrow"/>
                <w:szCs w:val="20"/>
              </w:rPr>
            </w:pPr>
            <w:r w:rsidRPr="00F86117">
              <w:rPr>
                <w:rFonts w:ascii="Arial Narrow" w:hAnsi="Arial Narrow"/>
              </w:rPr>
              <w:t>Log-normal</w:t>
            </w:r>
          </w:p>
        </w:tc>
        <w:tc>
          <w:tcPr>
            <w:tcW w:w="1226" w:type="pct"/>
          </w:tcPr>
          <w:p w:rsidR="00BB433C" w:rsidRPr="00F86117" w:rsidRDefault="00BB433C" w:rsidP="00AD4D26">
            <w:pPr>
              <w:pStyle w:val="TableCentre"/>
              <w:rPr>
                <w:rFonts w:ascii="Arial Narrow" w:hAnsi="Arial Narrow"/>
                <w:szCs w:val="20"/>
              </w:rPr>
            </w:pPr>
            <w:r w:rsidRPr="00F86117">
              <w:rPr>
                <w:rFonts w:ascii="Arial Narrow" w:hAnsi="Arial Narrow"/>
              </w:rPr>
              <w:t>Weibull</w:t>
            </w:r>
          </w:p>
        </w:tc>
        <w:tc>
          <w:tcPr>
            <w:tcW w:w="1054" w:type="pct"/>
            <w:hideMark/>
          </w:tcPr>
          <w:p w:rsidR="00BB433C" w:rsidRPr="00F86117" w:rsidRDefault="00BB433C" w:rsidP="00AD4D26">
            <w:pPr>
              <w:pStyle w:val="TableCentre"/>
              <w:rPr>
                <w:rFonts w:ascii="Arial Narrow" w:hAnsi="Arial Narrow"/>
                <w:szCs w:val="20"/>
              </w:rPr>
            </w:pPr>
            <w:r w:rsidRPr="00F86117">
              <w:rPr>
                <w:rFonts w:ascii="Arial Narrow" w:hAnsi="Arial Narrow"/>
                <w:szCs w:val="20"/>
              </w:rPr>
              <w:t>$</w:t>
            </w:r>
            <w:r w:rsidR="0035011A">
              <w:rPr>
                <w:rFonts w:ascii="Arial Narrow" w:hAnsi="Arial Narrow"/>
                <w:noProof/>
                <w:color w:val="000000"/>
                <w:highlight w:val="black"/>
              </w:rPr>
              <w:t>''''''''''''''''</w:t>
            </w:r>
          </w:p>
        </w:tc>
        <w:tc>
          <w:tcPr>
            <w:tcW w:w="526" w:type="pct"/>
          </w:tcPr>
          <w:p w:rsidR="00BB433C" w:rsidRPr="00F86117" w:rsidRDefault="00BB433C" w:rsidP="00AD4D26">
            <w:pPr>
              <w:pStyle w:val="TableCentre"/>
              <w:rPr>
                <w:rFonts w:ascii="Arial Narrow" w:hAnsi="Arial Narrow"/>
                <w:szCs w:val="20"/>
              </w:rPr>
            </w:pPr>
            <w:r w:rsidRPr="00F86117">
              <w:rPr>
                <w:rFonts w:ascii="Arial Narrow" w:hAnsi="Arial Narrow"/>
              </w:rPr>
              <w:t>21</w:t>
            </w:r>
            <w:r w:rsidRPr="00F86117">
              <w:rPr>
                <w:rFonts w:ascii="Arial Narrow" w:hAnsi="Arial Narrow"/>
                <w:szCs w:val="20"/>
              </w:rPr>
              <w:t>%</w:t>
            </w:r>
          </w:p>
        </w:tc>
      </w:tr>
      <w:tr w:rsidR="00BB433C" w:rsidRPr="00F86117" w:rsidTr="0061386A">
        <w:tc>
          <w:tcPr>
            <w:tcW w:w="1308" w:type="pct"/>
            <w:hideMark/>
          </w:tcPr>
          <w:p w:rsidR="00BB433C" w:rsidRPr="00F86117" w:rsidRDefault="00BB433C" w:rsidP="00AD4D26">
            <w:pPr>
              <w:pStyle w:val="TableLeft"/>
              <w:rPr>
                <w:rFonts w:ascii="Arial Narrow" w:hAnsi="Arial Narrow"/>
                <w:szCs w:val="20"/>
                <w:lang w:bidi="en-US"/>
              </w:rPr>
            </w:pPr>
            <w:r w:rsidRPr="00F86117">
              <w:rPr>
                <w:rFonts w:ascii="Arial Narrow" w:hAnsi="Arial Narrow"/>
              </w:rPr>
              <w:t>PFS, OS &amp; TTD: Independent curves</w:t>
            </w:r>
          </w:p>
        </w:tc>
        <w:tc>
          <w:tcPr>
            <w:tcW w:w="886" w:type="pct"/>
          </w:tcPr>
          <w:p w:rsidR="00BB433C" w:rsidRPr="00F86117" w:rsidRDefault="00BB433C" w:rsidP="00AD4D26">
            <w:pPr>
              <w:pStyle w:val="TableCentre"/>
              <w:rPr>
                <w:rFonts w:ascii="Arial Narrow" w:hAnsi="Arial Narrow"/>
                <w:szCs w:val="20"/>
              </w:rPr>
            </w:pPr>
            <w:r w:rsidRPr="00F86117">
              <w:rPr>
                <w:rFonts w:ascii="Arial Narrow" w:hAnsi="Arial Narrow"/>
              </w:rPr>
              <w:t>Log-normal</w:t>
            </w:r>
          </w:p>
        </w:tc>
        <w:tc>
          <w:tcPr>
            <w:tcW w:w="1226" w:type="pct"/>
          </w:tcPr>
          <w:p w:rsidR="00BB433C" w:rsidRPr="00F86117" w:rsidRDefault="00BB433C" w:rsidP="00AD4D26">
            <w:pPr>
              <w:pStyle w:val="TableCentre"/>
              <w:rPr>
                <w:rFonts w:ascii="Arial Narrow" w:hAnsi="Arial Narrow"/>
                <w:szCs w:val="20"/>
              </w:rPr>
            </w:pPr>
            <w:r w:rsidRPr="00F86117">
              <w:rPr>
                <w:rFonts w:ascii="Arial Narrow" w:hAnsi="Arial Narrow"/>
              </w:rPr>
              <w:t>Generalised gamma</w:t>
            </w:r>
          </w:p>
        </w:tc>
        <w:tc>
          <w:tcPr>
            <w:tcW w:w="1054" w:type="pct"/>
            <w:hideMark/>
          </w:tcPr>
          <w:p w:rsidR="00BB433C" w:rsidRPr="00F86117" w:rsidRDefault="00BB433C" w:rsidP="00AD4D26">
            <w:pPr>
              <w:pStyle w:val="TableCentre"/>
              <w:rPr>
                <w:rFonts w:ascii="Arial Narrow" w:hAnsi="Arial Narrow"/>
                <w:szCs w:val="20"/>
              </w:rPr>
            </w:pPr>
            <w:r w:rsidRPr="00F86117">
              <w:rPr>
                <w:rFonts w:ascii="Arial Narrow" w:hAnsi="Arial Narrow"/>
                <w:szCs w:val="20"/>
              </w:rPr>
              <w:t>$</w:t>
            </w:r>
            <w:r w:rsidR="0035011A">
              <w:rPr>
                <w:rFonts w:ascii="Arial Narrow" w:hAnsi="Arial Narrow"/>
                <w:noProof/>
                <w:color w:val="000000"/>
                <w:highlight w:val="black"/>
              </w:rPr>
              <w:t>''''''''''''''''</w:t>
            </w:r>
          </w:p>
        </w:tc>
        <w:tc>
          <w:tcPr>
            <w:tcW w:w="526" w:type="pct"/>
          </w:tcPr>
          <w:p w:rsidR="00BB433C" w:rsidRPr="00F86117" w:rsidRDefault="00BB433C" w:rsidP="00AD4D26">
            <w:pPr>
              <w:pStyle w:val="TableCentre"/>
              <w:rPr>
                <w:rFonts w:ascii="Arial Narrow" w:hAnsi="Arial Narrow"/>
                <w:szCs w:val="20"/>
              </w:rPr>
            </w:pPr>
            <w:r w:rsidRPr="00F86117">
              <w:rPr>
                <w:rFonts w:ascii="Arial Narrow" w:hAnsi="Arial Narrow"/>
                <w:szCs w:val="20"/>
              </w:rPr>
              <w:t>-</w:t>
            </w:r>
            <w:r w:rsidRPr="00F86117">
              <w:rPr>
                <w:rFonts w:ascii="Arial Narrow" w:hAnsi="Arial Narrow"/>
              </w:rPr>
              <w:t>28</w:t>
            </w:r>
            <w:r w:rsidRPr="00F86117">
              <w:rPr>
                <w:rFonts w:ascii="Arial Narrow" w:hAnsi="Arial Narrow"/>
                <w:szCs w:val="20"/>
              </w:rPr>
              <w:t>%</w:t>
            </w:r>
          </w:p>
        </w:tc>
      </w:tr>
      <w:tr w:rsidR="00BB433C" w:rsidRPr="00F86117" w:rsidTr="0061386A">
        <w:tc>
          <w:tcPr>
            <w:tcW w:w="1308" w:type="pct"/>
          </w:tcPr>
          <w:p w:rsidR="00BB433C" w:rsidRPr="00F86117" w:rsidRDefault="00BB433C" w:rsidP="00AD4D26">
            <w:pPr>
              <w:pStyle w:val="TableLeft"/>
              <w:rPr>
                <w:rFonts w:ascii="Arial Narrow" w:hAnsi="Arial Narrow"/>
                <w:szCs w:val="20"/>
              </w:rPr>
            </w:pPr>
            <w:r w:rsidRPr="00F86117">
              <w:rPr>
                <w:rFonts w:ascii="Arial Narrow" w:hAnsi="Arial Narrow"/>
                <w:szCs w:val="20"/>
              </w:rPr>
              <w:t xml:space="preserve">PFS, OS &amp; TTD: </w:t>
            </w:r>
            <w:r w:rsidRPr="00F86117">
              <w:rPr>
                <w:rFonts w:ascii="Arial Narrow" w:hAnsi="Arial Narrow"/>
              </w:rPr>
              <w:t>Joint curves</w:t>
            </w:r>
          </w:p>
        </w:tc>
        <w:tc>
          <w:tcPr>
            <w:tcW w:w="886" w:type="pct"/>
          </w:tcPr>
          <w:p w:rsidR="00BB433C" w:rsidRPr="00F86117" w:rsidRDefault="00BB433C" w:rsidP="00AD4D26">
            <w:pPr>
              <w:pStyle w:val="TableCentre"/>
              <w:rPr>
                <w:rFonts w:ascii="Arial Narrow" w:hAnsi="Arial Narrow"/>
                <w:szCs w:val="20"/>
              </w:rPr>
            </w:pPr>
            <w:r w:rsidRPr="00F86117">
              <w:rPr>
                <w:rFonts w:ascii="Arial Narrow" w:hAnsi="Arial Narrow"/>
              </w:rPr>
              <w:t>Independently estimated</w:t>
            </w:r>
          </w:p>
        </w:tc>
        <w:tc>
          <w:tcPr>
            <w:tcW w:w="1226" w:type="pct"/>
          </w:tcPr>
          <w:p w:rsidR="00BB433C" w:rsidRPr="00F86117" w:rsidRDefault="00BB433C" w:rsidP="00AD4D26">
            <w:pPr>
              <w:pStyle w:val="TableCentre"/>
              <w:rPr>
                <w:rFonts w:ascii="Arial Narrow" w:hAnsi="Arial Narrow"/>
                <w:szCs w:val="20"/>
              </w:rPr>
            </w:pPr>
            <w:r w:rsidRPr="00F86117">
              <w:rPr>
                <w:rFonts w:ascii="Arial Narrow" w:hAnsi="Arial Narrow"/>
              </w:rPr>
              <w:t>Jointly estimated (proportional hazards)</w:t>
            </w:r>
          </w:p>
        </w:tc>
        <w:tc>
          <w:tcPr>
            <w:tcW w:w="1054" w:type="pct"/>
          </w:tcPr>
          <w:p w:rsidR="00BB433C" w:rsidRPr="00F86117" w:rsidRDefault="00BB433C" w:rsidP="00AD4D26">
            <w:pPr>
              <w:pStyle w:val="TableCentre"/>
              <w:rPr>
                <w:rFonts w:ascii="Arial Narrow" w:hAnsi="Arial Narrow"/>
                <w:szCs w:val="20"/>
              </w:rPr>
            </w:pPr>
            <w:r w:rsidRPr="00F86117">
              <w:rPr>
                <w:rFonts w:ascii="Arial Narrow" w:hAnsi="Arial Narrow"/>
              </w:rPr>
              <w:t>$</w:t>
            </w:r>
            <w:r w:rsidR="0035011A">
              <w:rPr>
                <w:rFonts w:ascii="Arial Narrow" w:hAnsi="Arial Narrow"/>
                <w:noProof/>
                <w:color w:val="000000"/>
                <w:highlight w:val="black"/>
              </w:rPr>
              <w:t>''''''''''''''''</w:t>
            </w:r>
          </w:p>
        </w:tc>
        <w:tc>
          <w:tcPr>
            <w:tcW w:w="526" w:type="pct"/>
          </w:tcPr>
          <w:p w:rsidR="00BB433C" w:rsidRPr="00F86117" w:rsidRDefault="00BB433C" w:rsidP="00AD4D26">
            <w:pPr>
              <w:pStyle w:val="TableCentre"/>
              <w:rPr>
                <w:rFonts w:ascii="Arial Narrow" w:hAnsi="Arial Narrow"/>
                <w:szCs w:val="20"/>
              </w:rPr>
            </w:pPr>
            <w:r w:rsidRPr="00F86117">
              <w:rPr>
                <w:rFonts w:ascii="Arial Narrow" w:hAnsi="Arial Narrow"/>
              </w:rPr>
              <w:t>20%</w:t>
            </w:r>
          </w:p>
        </w:tc>
      </w:tr>
      <w:tr w:rsidR="003B799A" w:rsidRPr="00F86117" w:rsidTr="0061386A">
        <w:tc>
          <w:tcPr>
            <w:tcW w:w="5000" w:type="pct"/>
            <w:gridSpan w:val="5"/>
          </w:tcPr>
          <w:p w:rsidR="003B799A" w:rsidRPr="00F86117" w:rsidRDefault="003B799A" w:rsidP="00AD4D26">
            <w:pPr>
              <w:pStyle w:val="TableCentre"/>
              <w:jc w:val="left"/>
              <w:rPr>
                <w:rFonts w:ascii="Arial Narrow" w:hAnsi="Arial Narrow"/>
                <w:szCs w:val="20"/>
              </w:rPr>
            </w:pPr>
            <w:r w:rsidRPr="00F86117">
              <w:rPr>
                <w:rFonts w:ascii="Arial Narrow" w:hAnsi="Arial Narrow"/>
                <w:szCs w:val="20"/>
              </w:rPr>
              <w:t>OS Difference</w:t>
            </w:r>
          </w:p>
        </w:tc>
      </w:tr>
      <w:tr w:rsidR="00BB433C" w:rsidRPr="00F86117" w:rsidTr="0061386A">
        <w:tc>
          <w:tcPr>
            <w:tcW w:w="1308" w:type="pct"/>
          </w:tcPr>
          <w:p w:rsidR="00BB433C" w:rsidRPr="00F86117" w:rsidRDefault="00BB433C" w:rsidP="00AD4D26">
            <w:pPr>
              <w:pStyle w:val="TableLeft"/>
              <w:rPr>
                <w:rFonts w:ascii="Arial Narrow" w:hAnsi="Arial Narrow"/>
                <w:szCs w:val="20"/>
              </w:rPr>
            </w:pPr>
            <w:r w:rsidRPr="00F86117">
              <w:rPr>
                <w:rFonts w:ascii="Arial Narrow" w:hAnsi="Arial Narrow"/>
                <w:szCs w:val="20"/>
              </w:rPr>
              <w:t xml:space="preserve">Modelled based on </w:t>
            </w:r>
            <w:proofErr w:type="spellStart"/>
            <w:r w:rsidRPr="00F86117">
              <w:rPr>
                <w:rFonts w:ascii="Arial Narrow" w:hAnsi="Arial Narrow"/>
                <w:szCs w:val="20"/>
              </w:rPr>
              <w:t>cabozantinib</w:t>
            </w:r>
            <w:proofErr w:type="spellEnd"/>
          </w:p>
        </w:tc>
        <w:tc>
          <w:tcPr>
            <w:tcW w:w="886" w:type="pct"/>
          </w:tcPr>
          <w:p w:rsidR="00BB433C" w:rsidRPr="00F86117" w:rsidRDefault="00BB433C" w:rsidP="00AD4D26">
            <w:pPr>
              <w:pStyle w:val="TableCentre"/>
              <w:rPr>
                <w:rFonts w:ascii="Arial Narrow" w:hAnsi="Arial Narrow"/>
                <w:szCs w:val="20"/>
              </w:rPr>
            </w:pPr>
            <w:r w:rsidRPr="00F86117">
              <w:rPr>
                <w:rFonts w:ascii="Arial Narrow" w:hAnsi="Arial Narrow"/>
                <w:szCs w:val="20"/>
              </w:rPr>
              <w:t>Ind. curves based on CABOSUN</w:t>
            </w:r>
          </w:p>
        </w:tc>
        <w:tc>
          <w:tcPr>
            <w:tcW w:w="1226" w:type="pct"/>
          </w:tcPr>
          <w:p w:rsidR="00BB433C" w:rsidRPr="00F86117" w:rsidRDefault="00BB433C" w:rsidP="00AD4D26">
            <w:pPr>
              <w:pStyle w:val="TableCentre"/>
              <w:rPr>
                <w:rFonts w:ascii="Arial Narrow" w:hAnsi="Arial Narrow"/>
                <w:szCs w:val="20"/>
              </w:rPr>
            </w:pPr>
            <w:proofErr w:type="spellStart"/>
            <w:r w:rsidRPr="00F86117">
              <w:rPr>
                <w:rFonts w:ascii="Arial Narrow" w:hAnsi="Arial Narrow"/>
                <w:szCs w:val="20"/>
              </w:rPr>
              <w:t>Cabozantinib</w:t>
            </w:r>
            <w:proofErr w:type="spellEnd"/>
            <w:r w:rsidRPr="00F86117">
              <w:rPr>
                <w:rFonts w:ascii="Arial Narrow" w:hAnsi="Arial Narrow"/>
                <w:szCs w:val="20"/>
              </w:rPr>
              <w:t xml:space="preserve"> OS applied to both groups</w:t>
            </w:r>
          </w:p>
        </w:tc>
        <w:tc>
          <w:tcPr>
            <w:tcW w:w="1054" w:type="pct"/>
          </w:tcPr>
          <w:p w:rsidR="00BB433C" w:rsidRPr="00F86117" w:rsidRDefault="00BB433C" w:rsidP="00AD4D26">
            <w:pPr>
              <w:pStyle w:val="TableCentre"/>
              <w:rPr>
                <w:rFonts w:ascii="Arial Narrow" w:hAnsi="Arial Narrow"/>
                <w:szCs w:val="20"/>
              </w:rPr>
            </w:pPr>
            <w:r w:rsidRPr="00F86117">
              <w:rPr>
                <w:rFonts w:ascii="Arial Narrow" w:hAnsi="Arial Narrow"/>
                <w:szCs w:val="20"/>
              </w:rPr>
              <w:t>Dominant</w:t>
            </w:r>
            <w:r w:rsidR="00B16C14" w:rsidRPr="00F86117">
              <w:rPr>
                <w:rFonts w:ascii="Arial Narrow" w:hAnsi="Arial Narrow"/>
                <w:szCs w:val="20"/>
              </w:rPr>
              <w:t xml:space="preserve"> </w:t>
            </w:r>
          </w:p>
        </w:tc>
        <w:tc>
          <w:tcPr>
            <w:tcW w:w="526" w:type="pct"/>
          </w:tcPr>
          <w:p w:rsidR="00BB433C" w:rsidRPr="00F86117" w:rsidRDefault="00BB433C" w:rsidP="00AD4D26">
            <w:pPr>
              <w:pStyle w:val="TableCentre"/>
              <w:rPr>
                <w:rFonts w:ascii="Arial Narrow" w:hAnsi="Arial Narrow"/>
                <w:szCs w:val="20"/>
              </w:rPr>
            </w:pPr>
          </w:p>
        </w:tc>
      </w:tr>
      <w:tr w:rsidR="00BB433C" w:rsidRPr="00F86117" w:rsidTr="0061386A">
        <w:tc>
          <w:tcPr>
            <w:tcW w:w="1308" w:type="pct"/>
          </w:tcPr>
          <w:p w:rsidR="00BB433C" w:rsidRPr="00F86117" w:rsidRDefault="00BB433C" w:rsidP="00AD4D26">
            <w:pPr>
              <w:pStyle w:val="TableLeft"/>
              <w:rPr>
                <w:rFonts w:ascii="Arial Narrow" w:hAnsi="Arial Narrow"/>
                <w:szCs w:val="20"/>
              </w:rPr>
            </w:pPr>
            <w:r w:rsidRPr="00F86117">
              <w:rPr>
                <w:rFonts w:ascii="Arial Narrow" w:hAnsi="Arial Narrow"/>
                <w:szCs w:val="20"/>
              </w:rPr>
              <w:lastRenderedPageBreak/>
              <w:t xml:space="preserve">Modelled based on </w:t>
            </w:r>
            <w:proofErr w:type="spellStart"/>
            <w:r w:rsidRPr="00F86117">
              <w:rPr>
                <w:rFonts w:ascii="Arial Narrow" w:hAnsi="Arial Narrow"/>
                <w:szCs w:val="20"/>
              </w:rPr>
              <w:t>sunitinib</w:t>
            </w:r>
            <w:proofErr w:type="spellEnd"/>
          </w:p>
        </w:tc>
        <w:tc>
          <w:tcPr>
            <w:tcW w:w="886" w:type="pct"/>
          </w:tcPr>
          <w:p w:rsidR="00BB433C" w:rsidRPr="00F86117" w:rsidRDefault="00BB433C" w:rsidP="00AD4D26">
            <w:pPr>
              <w:pStyle w:val="TableCentre"/>
              <w:rPr>
                <w:rFonts w:ascii="Arial Narrow" w:hAnsi="Arial Narrow"/>
                <w:szCs w:val="20"/>
              </w:rPr>
            </w:pPr>
            <w:r w:rsidRPr="00F86117">
              <w:rPr>
                <w:rFonts w:ascii="Arial Narrow" w:hAnsi="Arial Narrow"/>
                <w:szCs w:val="20"/>
              </w:rPr>
              <w:t>Ind. curves based on CABOSUN</w:t>
            </w:r>
          </w:p>
        </w:tc>
        <w:tc>
          <w:tcPr>
            <w:tcW w:w="1226" w:type="pct"/>
          </w:tcPr>
          <w:p w:rsidR="00BB433C" w:rsidRPr="00F86117" w:rsidRDefault="00BB433C" w:rsidP="00AD4D26">
            <w:pPr>
              <w:pStyle w:val="TableCentre"/>
              <w:rPr>
                <w:rFonts w:ascii="Arial Narrow" w:hAnsi="Arial Narrow"/>
                <w:szCs w:val="20"/>
              </w:rPr>
            </w:pPr>
            <w:proofErr w:type="spellStart"/>
            <w:r w:rsidRPr="00F86117">
              <w:rPr>
                <w:rFonts w:ascii="Arial Narrow" w:hAnsi="Arial Narrow"/>
                <w:szCs w:val="20"/>
              </w:rPr>
              <w:t>Sunitinib</w:t>
            </w:r>
            <w:proofErr w:type="spellEnd"/>
            <w:r w:rsidRPr="00F86117">
              <w:rPr>
                <w:rFonts w:ascii="Arial Narrow" w:hAnsi="Arial Narrow"/>
                <w:szCs w:val="20"/>
              </w:rPr>
              <w:t xml:space="preserve"> OS applied to both groups</w:t>
            </w:r>
          </w:p>
        </w:tc>
        <w:tc>
          <w:tcPr>
            <w:tcW w:w="1054" w:type="pct"/>
          </w:tcPr>
          <w:p w:rsidR="00BB433C" w:rsidRPr="00F86117" w:rsidRDefault="00BB433C" w:rsidP="00AD4D26">
            <w:pPr>
              <w:pStyle w:val="TableCentre"/>
              <w:rPr>
                <w:rFonts w:ascii="Arial Narrow" w:hAnsi="Arial Narrow"/>
                <w:szCs w:val="20"/>
              </w:rPr>
            </w:pPr>
            <w:r w:rsidRPr="00F86117">
              <w:rPr>
                <w:rFonts w:ascii="Arial Narrow" w:hAnsi="Arial Narrow"/>
              </w:rPr>
              <w:t>$</w:t>
            </w:r>
            <w:r w:rsidR="0035011A">
              <w:rPr>
                <w:rFonts w:ascii="Arial Narrow" w:hAnsi="Arial Narrow"/>
                <w:noProof/>
                <w:color w:val="000000"/>
                <w:highlight w:val="black"/>
              </w:rPr>
              <w:t>''''''''''''''''</w:t>
            </w:r>
          </w:p>
        </w:tc>
        <w:tc>
          <w:tcPr>
            <w:tcW w:w="526" w:type="pct"/>
          </w:tcPr>
          <w:p w:rsidR="00BB433C" w:rsidRPr="00F86117" w:rsidRDefault="00BB433C" w:rsidP="00AD4D26">
            <w:pPr>
              <w:pStyle w:val="TableCentre"/>
              <w:rPr>
                <w:rFonts w:ascii="Arial Narrow" w:hAnsi="Arial Narrow"/>
                <w:szCs w:val="20"/>
              </w:rPr>
            </w:pPr>
            <w:r w:rsidRPr="00F86117">
              <w:rPr>
                <w:rFonts w:ascii="Arial Narrow" w:hAnsi="Arial Narrow"/>
              </w:rPr>
              <w:t>-29%</w:t>
            </w:r>
          </w:p>
        </w:tc>
      </w:tr>
      <w:tr w:rsidR="00BB433C" w:rsidRPr="00F86117" w:rsidTr="0061386A">
        <w:tc>
          <w:tcPr>
            <w:tcW w:w="1308" w:type="pct"/>
          </w:tcPr>
          <w:p w:rsidR="00BB433C" w:rsidRPr="00F86117" w:rsidRDefault="00BB433C" w:rsidP="00AD4D26">
            <w:pPr>
              <w:pStyle w:val="TableLeft"/>
              <w:rPr>
                <w:rFonts w:ascii="Arial Narrow" w:hAnsi="Arial Narrow"/>
                <w:szCs w:val="20"/>
              </w:rPr>
            </w:pPr>
            <w:r w:rsidRPr="00F86117">
              <w:rPr>
                <w:rFonts w:ascii="Arial Narrow" w:hAnsi="Arial Narrow"/>
                <w:szCs w:val="20"/>
              </w:rPr>
              <w:t xml:space="preserve">Modelled based on </w:t>
            </w:r>
            <w:proofErr w:type="spellStart"/>
            <w:r w:rsidRPr="00F86117">
              <w:rPr>
                <w:rFonts w:ascii="Arial Narrow" w:hAnsi="Arial Narrow"/>
                <w:szCs w:val="20"/>
              </w:rPr>
              <w:t>Ruis</w:t>
            </w:r>
            <w:proofErr w:type="spellEnd"/>
            <w:r w:rsidRPr="00F86117">
              <w:rPr>
                <w:rFonts w:ascii="Arial Narrow" w:hAnsi="Arial Narrow"/>
                <w:szCs w:val="20"/>
              </w:rPr>
              <w:t xml:space="preserve"> Morales (2016)</w:t>
            </w:r>
          </w:p>
        </w:tc>
        <w:tc>
          <w:tcPr>
            <w:tcW w:w="886" w:type="pct"/>
          </w:tcPr>
          <w:p w:rsidR="00BB433C" w:rsidRPr="00F86117" w:rsidRDefault="00BB433C" w:rsidP="00AD4D26">
            <w:pPr>
              <w:pStyle w:val="TableCentre"/>
              <w:rPr>
                <w:rFonts w:ascii="Arial Narrow" w:hAnsi="Arial Narrow"/>
                <w:szCs w:val="20"/>
              </w:rPr>
            </w:pPr>
            <w:r w:rsidRPr="00F86117">
              <w:rPr>
                <w:rFonts w:ascii="Arial Narrow" w:hAnsi="Arial Narrow"/>
                <w:szCs w:val="20"/>
              </w:rPr>
              <w:t>Ind. curves based on CABOSUN</w:t>
            </w:r>
          </w:p>
        </w:tc>
        <w:tc>
          <w:tcPr>
            <w:tcW w:w="1226" w:type="pct"/>
          </w:tcPr>
          <w:p w:rsidR="00BB433C" w:rsidRPr="00F86117" w:rsidRDefault="00BB433C" w:rsidP="00AD4D26">
            <w:pPr>
              <w:pStyle w:val="TableCentre"/>
              <w:rPr>
                <w:rFonts w:ascii="Arial Narrow" w:hAnsi="Arial Narrow"/>
                <w:szCs w:val="20"/>
              </w:rPr>
            </w:pPr>
            <w:r w:rsidRPr="00F86117">
              <w:rPr>
                <w:rFonts w:ascii="Arial Narrow" w:hAnsi="Arial Narrow"/>
                <w:szCs w:val="20"/>
              </w:rPr>
              <w:t xml:space="preserve">Modelled based on </w:t>
            </w:r>
            <w:proofErr w:type="spellStart"/>
            <w:r w:rsidRPr="00F86117">
              <w:rPr>
                <w:rFonts w:ascii="Arial Narrow" w:hAnsi="Arial Narrow"/>
                <w:szCs w:val="20"/>
              </w:rPr>
              <w:t>Ruis</w:t>
            </w:r>
            <w:proofErr w:type="spellEnd"/>
            <w:r w:rsidRPr="00F86117">
              <w:rPr>
                <w:rFonts w:ascii="Arial Narrow" w:hAnsi="Arial Narrow"/>
                <w:szCs w:val="20"/>
              </w:rPr>
              <w:t xml:space="preserve"> Morales (2016)</w:t>
            </w:r>
          </w:p>
        </w:tc>
        <w:tc>
          <w:tcPr>
            <w:tcW w:w="1054" w:type="pct"/>
          </w:tcPr>
          <w:p w:rsidR="00BB433C" w:rsidRPr="00F86117" w:rsidRDefault="00BB433C" w:rsidP="00AD4D26">
            <w:pPr>
              <w:pStyle w:val="TableCentre"/>
              <w:rPr>
                <w:rFonts w:ascii="Arial Narrow" w:hAnsi="Arial Narrow"/>
                <w:szCs w:val="20"/>
              </w:rPr>
            </w:pPr>
            <w:r w:rsidRPr="00F86117">
              <w:rPr>
                <w:rFonts w:ascii="Arial Narrow" w:hAnsi="Arial Narrow"/>
              </w:rPr>
              <w:t>$</w:t>
            </w:r>
            <w:r w:rsidR="0035011A">
              <w:rPr>
                <w:rFonts w:ascii="Arial Narrow" w:hAnsi="Arial Narrow"/>
                <w:noProof/>
                <w:color w:val="000000"/>
                <w:highlight w:val="black"/>
              </w:rPr>
              <w:t>'''''''''''''''''</w:t>
            </w:r>
          </w:p>
        </w:tc>
        <w:tc>
          <w:tcPr>
            <w:tcW w:w="526" w:type="pct"/>
          </w:tcPr>
          <w:p w:rsidR="00BB433C" w:rsidRPr="00F86117" w:rsidRDefault="00BB433C" w:rsidP="00AD4D26">
            <w:pPr>
              <w:pStyle w:val="TableCentre"/>
              <w:rPr>
                <w:rFonts w:ascii="Arial Narrow" w:hAnsi="Arial Narrow"/>
                <w:szCs w:val="20"/>
              </w:rPr>
            </w:pPr>
            <w:r w:rsidRPr="00F86117">
              <w:rPr>
                <w:rFonts w:ascii="Arial Narrow" w:hAnsi="Arial Narrow"/>
              </w:rPr>
              <w:t>-81%</w:t>
            </w:r>
          </w:p>
        </w:tc>
      </w:tr>
      <w:tr w:rsidR="003E3ABA" w:rsidRPr="00F86117" w:rsidTr="0061386A">
        <w:tc>
          <w:tcPr>
            <w:tcW w:w="1308" w:type="pct"/>
            <w:vMerge w:val="restart"/>
          </w:tcPr>
          <w:p w:rsidR="003E3ABA" w:rsidRPr="00F86117" w:rsidRDefault="003E3ABA" w:rsidP="00AD4D26">
            <w:pPr>
              <w:pStyle w:val="TableLeft"/>
              <w:rPr>
                <w:rFonts w:ascii="Arial Narrow" w:hAnsi="Arial Narrow"/>
                <w:szCs w:val="20"/>
                <w:lang w:bidi="en-US"/>
              </w:rPr>
            </w:pPr>
            <w:r w:rsidRPr="00F86117">
              <w:rPr>
                <w:rFonts w:ascii="Arial Narrow" w:hAnsi="Arial Narrow"/>
                <w:szCs w:val="20"/>
              </w:rPr>
              <w:t>Utilities estimates</w:t>
            </w:r>
          </w:p>
          <w:p w:rsidR="003E3ABA" w:rsidRPr="00F86117" w:rsidRDefault="003E3ABA" w:rsidP="00AD4D26">
            <w:pPr>
              <w:pStyle w:val="TableLeft"/>
              <w:tabs>
                <w:tab w:val="left" w:pos="3428"/>
              </w:tabs>
              <w:rPr>
                <w:rFonts w:ascii="Arial Narrow" w:hAnsi="Arial Narrow"/>
                <w:szCs w:val="20"/>
                <w:lang w:bidi="en-US"/>
              </w:rPr>
            </w:pPr>
          </w:p>
          <w:p w:rsidR="003E3ABA" w:rsidRPr="00F86117" w:rsidRDefault="003E3ABA" w:rsidP="00AD4D26">
            <w:pPr>
              <w:pStyle w:val="TableLeft"/>
              <w:rPr>
                <w:rFonts w:ascii="Arial Narrow" w:hAnsi="Arial Narrow"/>
                <w:szCs w:val="20"/>
                <w:lang w:bidi="en-US"/>
              </w:rPr>
            </w:pPr>
          </w:p>
        </w:tc>
        <w:tc>
          <w:tcPr>
            <w:tcW w:w="886" w:type="pct"/>
          </w:tcPr>
          <w:p w:rsidR="003E3ABA" w:rsidRPr="00F86117" w:rsidRDefault="003E3ABA" w:rsidP="00AD4D26">
            <w:pPr>
              <w:pStyle w:val="TableCentre"/>
              <w:rPr>
                <w:rFonts w:ascii="Arial Narrow" w:hAnsi="Arial Narrow"/>
                <w:szCs w:val="20"/>
              </w:rPr>
            </w:pPr>
            <w:proofErr w:type="spellStart"/>
            <w:r w:rsidRPr="00F86117">
              <w:rPr>
                <w:rFonts w:ascii="Arial Narrow" w:hAnsi="Arial Narrow"/>
              </w:rPr>
              <w:t>Sunitinib</w:t>
            </w:r>
            <w:proofErr w:type="spellEnd"/>
            <w:r w:rsidRPr="00F86117">
              <w:rPr>
                <w:rFonts w:ascii="Arial Narrow" w:hAnsi="Arial Narrow"/>
              </w:rPr>
              <w:t xml:space="preserve"> NICE STA</w:t>
            </w:r>
          </w:p>
        </w:tc>
        <w:tc>
          <w:tcPr>
            <w:tcW w:w="1226" w:type="pct"/>
          </w:tcPr>
          <w:p w:rsidR="003E3ABA" w:rsidRPr="00F86117" w:rsidRDefault="003E3ABA" w:rsidP="00AD4D26">
            <w:pPr>
              <w:pStyle w:val="TableCentre"/>
              <w:rPr>
                <w:rFonts w:ascii="Arial Narrow" w:hAnsi="Arial Narrow"/>
                <w:szCs w:val="20"/>
              </w:rPr>
            </w:pPr>
            <w:r w:rsidRPr="00F86117">
              <w:rPr>
                <w:rFonts w:ascii="Arial Narrow" w:hAnsi="Arial Narrow"/>
                <w:szCs w:val="20"/>
              </w:rPr>
              <w:t xml:space="preserve">   Health states: </w:t>
            </w:r>
            <w:proofErr w:type="spellStart"/>
            <w:r w:rsidRPr="00F86117">
              <w:rPr>
                <w:rFonts w:ascii="Arial Narrow" w:hAnsi="Arial Narrow"/>
                <w:szCs w:val="20"/>
              </w:rPr>
              <w:t>Swinburn</w:t>
            </w:r>
            <w:proofErr w:type="spellEnd"/>
            <w:r w:rsidRPr="00F86117">
              <w:rPr>
                <w:rFonts w:ascii="Arial Narrow" w:hAnsi="Arial Narrow"/>
                <w:szCs w:val="20"/>
              </w:rPr>
              <w:t xml:space="preserve"> et al (2010)</w:t>
            </w:r>
          </w:p>
        </w:tc>
        <w:tc>
          <w:tcPr>
            <w:tcW w:w="1054" w:type="pct"/>
            <w:hideMark/>
          </w:tcPr>
          <w:p w:rsidR="003E3ABA" w:rsidRPr="00F86117" w:rsidRDefault="003E3ABA" w:rsidP="00AD4D26">
            <w:pPr>
              <w:pStyle w:val="TableCentre"/>
              <w:rPr>
                <w:rFonts w:ascii="Arial Narrow" w:hAnsi="Arial Narrow"/>
                <w:szCs w:val="20"/>
              </w:rPr>
            </w:pPr>
            <w:r w:rsidRPr="00F86117">
              <w:rPr>
                <w:rFonts w:ascii="Arial Narrow" w:hAnsi="Arial Narrow" w:cs="Calibri"/>
                <w:color w:val="000000"/>
                <w:szCs w:val="20"/>
              </w:rPr>
              <w:t>$</w:t>
            </w:r>
            <w:r w:rsidR="0035011A">
              <w:rPr>
                <w:rFonts w:ascii="Arial Narrow" w:hAnsi="Arial Narrow" w:cs="Calibri"/>
                <w:noProof/>
                <w:color w:val="000000"/>
                <w:szCs w:val="20"/>
                <w:highlight w:val="black"/>
              </w:rPr>
              <w:t>''''''''''''''''''</w:t>
            </w:r>
          </w:p>
        </w:tc>
        <w:tc>
          <w:tcPr>
            <w:tcW w:w="526" w:type="pct"/>
          </w:tcPr>
          <w:p w:rsidR="003E3ABA" w:rsidRPr="00F86117" w:rsidRDefault="003E3ABA" w:rsidP="00AD4D26">
            <w:pPr>
              <w:pStyle w:val="TableCentre"/>
              <w:rPr>
                <w:rFonts w:ascii="Arial Narrow" w:hAnsi="Arial Narrow"/>
                <w:szCs w:val="20"/>
              </w:rPr>
            </w:pPr>
            <w:r w:rsidRPr="00F86117">
              <w:rPr>
                <w:rFonts w:ascii="Arial Narrow" w:hAnsi="Arial Narrow"/>
                <w:szCs w:val="20"/>
              </w:rPr>
              <w:t>-30%</w:t>
            </w:r>
          </w:p>
        </w:tc>
      </w:tr>
      <w:tr w:rsidR="003E3ABA" w:rsidRPr="00F86117" w:rsidTr="0061386A">
        <w:tc>
          <w:tcPr>
            <w:tcW w:w="1308" w:type="pct"/>
            <w:vMerge/>
          </w:tcPr>
          <w:p w:rsidR="003E3ABA" w:rsidRPr="00F86117" w:rsidRDefault="003E3ABA" w:rsidP="00AD4D26">
            <w:pPr>
              <w:pStyle w:val="TableLeft"/>
              <w:rPr>
                <w:rFonts w:ascii="Arial Narrow" w:hAnsi="Arial Narrow"/>
                <w:szCs w:val="20"/>
                <w:lang w:bidi="en-US"/>
              </w:rPr>
            </w:pPr>
          </w:p>
        </w:tc>
        <w:tc>
          <w:tcPr>
            <w:tcW w:w="886" w:type="pct"/>
          </w:tcPr>
          <w:p w:rsidR="003E3ABA" w:rsidRPr="00F86117" w:rsidRDefault="003E3ABA" w:rsidP="00AD4D26">
            <w:pPr>
              <w:pStyle w:val="TableCentre"/>
              <w:rPr>
                <w:rFonts w:ascii="Arial Narrow" w:hAnsi="Arial Narrow"/>
                <w:szCs w:val="20"/>
              </w:rPr>
            </w:pPr>
            <w:proofErr w:type="spellStart"/>
            <w:r w:rsidRPr="00F86117">
              <w:rPr>
                <w:rFonts w:ascii="Arial Narrow" w:hAnsi="Arial Narrow"/>
              </w:rPr>
              <w:t>Sunitinib</w:t>
            </w:r>
            <w:proofErr w:type="spellEnd"/>
            <w:r w:rsidRPr="00F86117">
              <w:rPr>
                <w:rFonts w:ascii="Arial Narrow" w:hAnsi="Arial Narrow"/>
              </w:rPr>
              <w:t xml:space="preserve"> NICE STA</w:t>
            </w:r>
          </w:p>
        </w:tc>
        <w:tc>
          <w:tcPr>
            <w:tcW w:w="1226" w:type="pct"/>
          </w:tcPr>
          <w:p w:rsidR="003E3ABA" w:rsidRPr="00F86117" w:rsidRDefault="003E3ABA" w:rsidP="00AD4D26">
            <w:pPr>
              <w:pStyle w:val="TableCentre"/>
              <w:rPr>
                <w:rFonts w:ascii="Arial Narrow" w:hAnsi="Arial Narrow"/>
                <w:szCs w:val="20"/>
              </w:rPr>
            </w:pPr>
            <w:r w:rsidRPr="00F86117">
              <w:rPr>
                <w:rFonts w:ascii="Arial Narrow" w:hAnsi="Arial Narrow"/>
                <w:szCs w:val="20"/>
              </w:rPr>
              <w:t xml:space="preserve">   Health states: Hoyle et al (2010)</w:t>
            </w:r>
          </w:p>
        </w:tc>
        <w:tc>
          <w:tcPr>
            <w:tcW w:w="1054" w:type="pct"/>
            <w:hideMark/>
          </w:tcPr>
          <w:p w:rsidR="003E3ABA" w:rsidRPr="00F86117" w:rsidRDefault="003E3ABA" w:rsidP="00AD4D26">
            <w:pPr>
              <w:pStyle w:val="TableCentre"/>
              <w:rPr>
                <w:rFonts w:ascii="Arial Narrow" w:hAnsi="Arial Narrow"/>
                <w:szCs w:val="20"/>
              </w:rPr>
            </w:pPr>
            <w:r w:rsidRPr="00F86117">
              <w:rPr>
                <w:rFonts w:ascii="Arial Narrow" w:hAnsi="Arial Narrow" w:cs="Calibri"/>
                <w:color w:val="000000"/>
                <w:szCs w:val="20"/>
              </w:rPr>
              <w:t>$</w:t>
            </w:r>
            <w:r w:rsidR="0035011A">
              <w:rPr>
                <w:rFonts w:ascii="Arial Narrow" w:hAnsi="Arial Narrow" w:cs="Calibri"/>
                <w:noProof/>
                <w:color w:val="000000"/>
                <w:szCs w:val="20"/>
                <w:highlight w:val="black"/>
              </w:rPr>
              <w:t>''''''''''''''''</w:t>
            </w:r>
          </w:p>
        </w:tc>
        <w:tc>
          <w:tcPr>
            <w:tcW w:w="526" w:type="pct"/>
          </w:tcPr>
          <w:p w:rsidR="003E3ABA" w:rsidRPr="00F86117" w:rsidRDefault="003E3ABA" w:rsidP="00AD4D26">
            <w:pPr>
              <w:pStyle w:val="TableCentre"/>
              <w:rPr>
                <w:rFonts w:ascii="Arial Narrow" w:hAnsi="Arial Narrow"/>
                <w:szCs w:val="20"/>
              </w:rPr>
            </w:pPr>
            <w:r w:rsidRPr="00F86117">
              <w:rPr>
                <w:rFonts w:ascii="Arial Narrow" w:hAnsi="Arial Narrow"/>
                <w:szCs w:val="20"/>
              </w:rPr>
              <w:t>12%</w:t>
            </w:r>
          </w:p>
        </w:tc>
      </w:tr>
      <w:tr w:rsidR="003E3ABA" w:rsidRPr="00F86117" w:rsidTr="0061386A">
        <w:trPr>
          <w:trHeight w:val="58"/>
        </w:trPr>
        <w:tc>
          <w:tcPr>
            <w:tcW w:w="1308" w:type="pct"/>
            <w:vMerge/>
          </w:tcPr>
          <w:p w:rsidR="003E3ABA" w:rsidRPr="00F86117" w:rsidRDefault="003E3ABA" w:rsidP="00AD4D26">
            <w:pPr>
              <w:pStyle w:val="TableLeft"/>
              <w:rPr>
                <w:rFonts w:ascii="Arial Narrow" w:hAnsi="Arial Narrow"/>
                <w:szCs w:val="20"/>
                <w:lang w:bidi="en-US"/>
              </w:rPr>
            </w:pPr>
          </w:p>
        </w:tc>
        <w:tc>
          <w:tcPr>
            <w:tcW w:w="886" w:type="pct"/>
          </w:tcPr>
          <w:p w:rsidR="003E3ABA" w:rsidRPr="00F86117" w:rsidRDefault="003E3ABA" w:rsidP="00AD4D26">
            <w:pPr>
              <w:pStyle w:val="TableCentre"/>
              <w:rPr>
                <w:rFonts w:ascii="Arial Narrow" w:hAnsi="Arial Narrow"/>
                <w:szCs w:val="20"/>
              </w:rPr>
            </w:pPr>
            <w:proofErr w:type="spellStart"/>
            <w:r w:rsidRPr="00F86117">
              <w:rPr>
                <w:rFonts w:ascii="Arial Narrow" w:hAnsi="Arial Narrow"/>
              </w:rPr>
              <w:t>Sunitinib</w:t>
            </w:r>
            <w:proofErr w:type="spellEnd"/>
            <w:r w:rsidRPr="00F86117">
              <w:rPr>
                <w:rFonts w:ascii="Arial Narrow" w:hAnsi="Arial Narrow"/>
              </w:rPr>
              <w:t xml:space="preserve"> NICE STA</w:t>
            </w:r>
          </w:p>
        </w:tc>
        <w:tc>
          <w:tcPr>
            <w:tcW w:w="1226" w:type="pct"/>
          </w:tcPr>
          <w:p w:rsidR="003E3ABA" w:rsidRPr="00F86117" w:rsidRDefault="003E3ABA" w:rsidP="00AD4D26">
            <w:pPr>
              <w:pStyle w:val="TableCentre"/>
              <w:rPr>
                <w:rFonts w:ascii="Arial Narrow" w:hAnsi="Arial Narrow"/>
                <w:szCs w:val="20"/>
              </w:rPr>
            </w:pPr>
            <w:r w:rsidRPr="00F86117">
              <w:rPr>
                <w:rFonts w:ascii="Arial Narrow" w:hAnsi="Arial Narrow"/>
                <w:szCs w:val="20"/>
              </w:rPr>
              <w:t xml:space="preserve">   Health states: Castello et al (2009)</w:t>
            </w:r>
          </w:p>
        </w:tc>
        <w:tc>
          <w:tcPr>
            <w:tcW w:w="1054" w:type="pct"/>
            <w:hideMark/>
          </w:tcPr>
          <w:p w:rsidR="003E3ABA" w:rsidRPr="00F86117" w:rsidRDefault="003E3ABA" w:rsidP="00AD4D26">
            <w:pPr>
              <w:pStyle w:val="TableCentre"/>
              <w:rPr>
                <w:rFonts w:ascii="Arial Narrow" w:hAnsi="Arial Narrow"/>
                <w:szCs w:val="20"/>
              </w:rPr>
            </w:pPr>
            <w:r w:rsidRPr="00F86117">
              <w:rPr>
                <w:rFonts w:ascii="Arial Narrow" w:hAnsi="Arial Narrow" w:cs="Calibri"/>
                <w:color w:val="000000"/>
                <w:szCs w:val="20"/>
              </w:rPr>
              <w:t>$</w:t>
            </w:r>
            <w:r w:rsidR="0035011A">
              <w:rPr>
                <w:rFonts w:ascii="Arial Narrow" w:hAnsi="Arial Narrow" w:cs="Calibri"/>
                <w:noProof/>
                <w:color w:val="000000"/>
                <w:szCs w:val="20"/>
                <w:highlight w:val="black"/>
              </w:rPr>
              <w:t>''''''''''''''''</w:t>
            </w:r>
          </w:p>
        </w:tc>
        <w:tc>
          <w:tcPr>
            <w:tcW w:w="526" w:type="pct"/>
          </w:tcPr>
          <w:p w:rsidR="003E3ABA" w:rsidRPr="00F86117" w:rsidRDefault="003E3ABA" w:rsidP="00AD4D26">
            <w:pPr>
              <w:pStyle w:val="TableCentre"/>
              <w:rPr>
                <w:rFonts w:ascii="Arial Narrow" w:hAnsi="Arial Narrow"/>
                <w:szCs w:val="20"/>
              </w:rPr>
            </w:pPr>
            <w:r w:rsidRPr="00F86117">
              <w:rPr>
                <w:rFonts w:ascii="Arial Narrow" w:hAnsi="Arial Narrow"/>
                <w:szCs w:val="20"/>
              </w:rPr>
              <w:t>-14%</w:t>
            </w:r>
          </w:p>
        </w:tc>
      </w:tr>
      <w:tr w:rsidR="003E3ABA" w:rsidRPr="00F86117" w:rsidTr="0061386A">
        <w:trPr>
          <w:trHeight w:val="58"/>
        </w:trPr>
        <w:tc>
          <w:tcPr>
            <w:tcW w:w="5000" w:type="pct"/>
            <w:gridSpan w:val="5"/>
          </w:tcPr>
          <w:p w:rsidR="003E3ABA" w:rsidRPr="00F86117" w:rsidRDefault="003E3ABA" w:rsidP="00AD4D26">
            <w:pPr>
              <w:pStyle w:val="TableCentre"/>
              <w:jc w:val="left"/>
              <w:rPr>
                <w:rFonts w:ascii="Arial Narrow" w:hAnsi="Arial Narrow"/>
                <w:szCs w:val="20"/>
              </w:rPr>
            </w:pPr>
            <w:r w:rsidRPr="00F86117">
              <w:rPr>
                <w:rFonts w:ascii="Arial Narrow" w:hAnsi="Arial Narrow"/>
                <w:b/>
              </w:rPr>
              <w:t>Sensitivity analyses developed or updated by Commentary</w:t>
            </w:r>
          </w:p>
        </w:tc>
      </w:tr>
      <w:tr w:rsidR="00300F5F" w:rsidRPr="00F86117" w:rsidTr="0061386A">
        <w:trPr>
          <w:trHeight w:val="58"/>
        </w:trPr>
        <w:tc>
          <w:tcPr>
            <w:tcW w:w="1308" w:type="pct"/>
          </w:tcPr>
          <w:p w:rsidR="00300F5F" w:rsidRPr="00F86117" w:rsidRDefault="00300F5F" w:rsidP="00AD4D26">
            <w:pPr>
              <w:pStyle w:val="TableLeft"/>
              <w:rPr>
                <w:rFonts w:ascii="Arial Narrow" w:hAnsi="Arial Narrow"/>
                <w:szCs w:val="20"/>
              </w:rPr>
            </w:pPr>
            <w:r w:rsidRPr="00F86117">
              <w:rPr>
                <w:rFonts w:ascii="Arial Narrow" w:hAnsi="Arial Narrow" w:cstheme="minorHAnsi"/>
                <w:szCs w:val="20"/>
              </w:rPr>
              <w:t>Average weight of patients</w:t>
            </w:r>
          </w:p>
        </w:tc>
        <w:tc>
          <w:tcPr>
            <w:tcW w:w="886" w:type="pct"/>
          </w:tcPr>
          <w:p w:rsidR="00300F5F" w:rsidRPr="00F86117" w:rsidRDefault="00300F5F" w:rsidP="00AD4D26">
            <w:pPr>
              <w:pStyle w:val="TableCentre"/>
              <w:rPr>
                <w:rFonts w:ascii="Arial Narrow" w:hAnsi="Arial Narrow"/>
              </w:rPr>
            </w:pPr>
            <w:r w:rsidRPr="00F86117">
              <w:rPr>
                <w:rFonts w:ascii="Arial Narrow" w:hAnsi="Arial Narrow" w:cstheme="minorHAnsi"/>
                <w:szCs w:val="20"/>
              </w:rPr>
              <w:t>89.7 kg</w:t>
            </w:r>
          </w:p>
        </w:tc>
        <w:tc>
          <w:tcPr>
            <w:tcW w:w="1226" w:type="pct"/>
          </w:tcPr>
          <w:p w:rsidR="00300F5F" w:rsidRPr="00F86117" w:rsidRDefault="00300F5F" w:rsidP="00AD4D26">
            <w:pPr>
              <w:pStyle w:val="TableCentre"/>
              <w:rPr>
                <w:rFonts w:ascii="Arial Narrow" w:hAnsi="Arial Narrow"/>
              </w:rPr>
            </w:pPr>
            <w:r w:rsidRPr="00F86117">
              <w:rPr>
                <w:rFonts w:ascii="Arial Narrow" w:hAnsi="Arial Narrow" w:cstheme="minorHAnsi"/>
                <w:szCs w:val="20"/>
              </w:rPr>
              <w:t>80 kg</w:t>
            </w:r>
          </w:p>
        </w:tc>
        <w:tc>
          <w:tcPr>
            <w:tcW w:w="1054" w:type="pct"/>
          </w:tcPr>
          <w:p w:rsidR="00300F5F" w:rsidRPr="00F86117" w:rsidRDefault="00300F5F" w:rsidP="00AD4D26">
            <w:pPr>
              <w:pStyle w:val="TableCentre"/>
              <w:rPr>
                <w:rFonts w:ascii="Arial Narrow" w:hAnsi="Arial Narrow" w:cs="Calibri"/>
                <w:color w:val="000000"/>
                <w:szCs w:val="20"/>
              </w:rPr>
            </w:pPr>
            <w:r w:rsidRPr="00F86117">
              <w:rPr>
                <w:rFonts w:ascii="Arial Narrow" w:hAnsi="Arial Narrow" w:cstheme="minorHAnsi"/>
              </w:rPr>
              <w:t>$</w:t>
            </w:r>
            <w:r w:rsidR="0035011A">
              <w:rPr>
                <w:rFonts w:ascii="Arial Narrow" w:hAnsi="Arial Narrow" w:cstheme="minorHAnsi"/>
                <w:noProof/>
                <w:color w:val="000000"/>
                <w:szCs w:val="20"/>
                <w:highlight w:val="black"/>
              </w:rPr>
              <w:t>'''''''''''''''</w:t>
            </w:r>
          </w:p>
        </w:tc>
        <w:tc>
          <w:tcPr>
            <w:tcW w:w="526" w:type="pct"/>
          </w:tcPr>
          <w:p w:rsidR="00300F5F" w:rsidRPr="00F86117" w:rsidRDefault="00300F5F" w:rsidP="00AD4D26">
            <w:pPr>
              <w:pStyle w:val="TableCentre"/>
              <w:rPr>
                <w:rFonts w:ascii="Arial Narrow" w:hAnsi="Arial Narrow"/>
                <w:szCs w:val="20"/>
              </w:rPr>
            </w:pPr>
            <w:r w:rsidRPr="00F86117">
              <w:rPr>
                <w:rFonts w:ascii="Arial Narrow" w:hAnsi="Arial Narrow" w:cstheme="minorHAnsi"/>
                <w:szCs w:val="20"/>
              </w:rPr>
              <w:t>11%</w:t>
            </w:r>
          </w:p>
        </w:tc>
      </w:tr>
      <w:tr w:rsidR="00237878" w:rsidRPr="00F86117" w:rsidTr="0061386A">
        <w:trPr>
          <w:trHeight w:val="58"/>
        </w:trPr>
        <w:tc>
          <w:tcPr>
            <w:tcW w:w="5000" w:type="pct"/>
            <w:gridSpan w:val="5"/>
            <w:tcBorders>
              <w:bottom w:val="single" w:sz="4" w:space="0" w:color="auto"/>
            </w:tcBorders>
          </w:tcPr>
          <w:p w:rsidR="00237878" w:rsidRPr="00F86117" w:rsidRDefault="00237878" w:rsidP="00AD4D26">
            <w:pPr>
              <w:pStyle w:val="TableCentre"/>
              <w:keepNext/>
              <w:keepLines/>
              <w:jc w:val="left"/>
              <w:rPr>
                <w:rFonts w:ascii="Arial Narrow" w:hAnsi="Arial Narrow" w:cstheme="minorHAnsi"/>
                <w:b/>
                <w:szCs w:val="20"/>
              </w:rPr>
            </w:pPr>
            <w:r w:rsidRPr="00F86117">
              <w:rPr>
                <w:rFonts w:ascii="Arial Narrow" w:hAnsi="Arial Narrow" w:cstheme="minorHAnsi"/>
                <w:b/>
                <w:szCs w:val="20"/>
              </w:rPr>
              <w:t>Additional sensitivity analyses considered by ESC</w:t>
            </w:r>
            <w:r w:rsidR="00E0517A" w:rsidRPr="00F86117">
              <w:rPr>
                <w:rFonts w:ascii="Arial Narrow" w:hAnsi="Arial Narrow" w:cstheme="minorHAnsi"/>
                <w:b/>
                <w:szCs w:val="20"/>
              </w:rPr>
              <w:t xml:space="preserve"> </w:t>
            </w:r>
          </w:p>
        </w:tc>
      </w:tr>
      <w:tr w:rsidR="00237878" w:rsidRPr="00F86117" w:rsidTr="0061386A">
        <w:trPr>
          <w:trHeight w:val="58"/>
        </w:trPr>
        <w:tc>
          <w:tcPr>
            <w:tcW w:w="1308" w:type="pct"/>
            <w:tcBorders>
              <w:top w:val="single" w:sz="4" w:space="0" w:color="auto"/>
              <w:left w:val="single" w:sz="4" w:space="0" w:color="auto"/>
              <w:bottom w:val="single" w:sz="4" w:space="0" w:color="auto"/>
              <w:right w:val="single" w:sz="4" w:space="0" w:color="auto"/>
            </w:tcBorders>
          </w:tcPr>
          <w:p w:rsidR="00237878" w:rsidRPr="00F86117" w:rsidRDefault="00AD62D7" w:rsidP="00AD4D26">
            <w:pPr>
              <w:pStyle w:val="TableLeft"/>
              <w:keepNext/>
              <w:keepLines/>
              <w:rPr>
                <w:rFonts w:ascii="Arial Narrow" w:hAnsi="Arial Narrow" w:cstheme="minorHAnsi"/>
                <w:szCs w:val="20"/>
              </w:rPr>
            </w:pPr>
            <w:r w:rsidRPr="00F86117">
              <w:rPr>
                <w:rFonts w:ascii="Arial Narrow" w:hAnsi="Arial Narrow" w:cstheme="minorHAnsi"/>
                <w:szCs w:val="20"/>
              </w:rPr>
              <w:t>Convergence at 7.5 years</w:t>
            </w:r>
          </w:p>
        </w:tc>
        <w:tc>
          <w:tcPr>
            <w:tcW w:w="886" w:type="pct"/>
            <w:tcBorders>
              <w:top w:val="single" w:sz="4" w:space="0" w:color="auto"/>
              <w:left w:val="single" w:sz="4" w:space="0" w:color="auto"/>
              <w:bottom w:val="single" w:sz="4" w:space="0" w:color="auto"/>
              <w:right w:val="single" w:sz="4" w:space="0" w:color="auto"/>
            </w:tcBorders>
          </w:tcPr>
          <w:p w:rsidR="00237878" w:rsidRPr="00F86117" w:rsidRDefault="00AD62D7" w:rsidP="00AD4D26">
            <w:pPr>
              <w:pStyle w:val="TableCentre"/>
              <w:keepNext/>
              <w:keepLines/>
              <w:rPr>
                <w:rFonts w:ascii="Arial Narrow" w:hAnsi="Arial Narrow" w:cstheme="minorHAnsi"/>
                <w:szCs w:val="20"/>
              </w:rPr>
            </w:pPr>
            <w:r w:rsidRPr="00F86117">
              <w:rPr>
                <w:rFonts w:ascii="Arial Narrow" w:hAnsi="Arial Narrow" w:cstheme="minorHAnsi"/>
                <w:szCs w:val="20"/>
              </w:rPr>
              <w:t>No convergence, time horizon 10 years</w:t>
            </w:r>
          </w:p>
        </w:tc>
        <w:tc>
          <w:tcPr>
            <w:tcW w:w="1226" w:type="pct"/>
            <w:tcBorders>
              <w:top w:val="single" w:sz="4" w:space="0" w:color="auto"/>
              <w:left w:val="single" w:sz="4" w:space="0" w:color="auto"/>
              <w:bottom w:val="single" w:sz="4" w:space="0" w:color="auto"/>
              <w:right w:val="single" w:sz="4" w:space="0" w:color="auto"/>
            </w:tcBorders>
          </w:tcPr>
          <w:p w:rsidR="00237878" w:rsidRPr="00F86117" w:rsidRDefault="00AD62D7" w:rsidP="00AD4D26">
            <w:pPr>
              <w:pStyle w:val="TableCentre"/>
              <w:keepNext/>
              <w:keepLines/>
              <w:rPr>
                <w:rFonts w:ascii="Arial Narrow" w:hAnsi="Arial Narrow" w:cstheme="minorHAnsi"/>
                <w:szCs w:val="20"/>
              </w:rPr>
            </w:pPr>
            <w:r w:rsidRPr="00F86117">
              <w:rPr>
                <w:rFonts w:ascii="Arial Narrow" w:hAnsi="Arial Narrow" w:cstheme="minorHAnsi"/>
                <w:szCs w:val="20"/>
              </w:rPr>
              <w:t>Convergence of OS, PFS and TTD beginning at 30 months, convergence at 7.5 years, time horizon 7.5 years</w:t>
            </w:r>
          </w:p>
        </w:tc>
        <w:tc>
          <w:tcPr>
            <w:tcW w:w="1054" w:type="pct"/>
            <w:tcBorders>
              <w:top w:val="single" w:sz="4" w:space="0" w:color="auto"/>
              <w:left w:val="single" w:sz="4" w:space="0" w:color="auto"/>
              <w:bottom w:val="single" w:sz="4" w:space="0" w:color="auto"/>
              <w:right w:val="single" w:sz="4" w:space="0" w:color="auto"/>
            </w:tcBorders>
          </w:tcPr>
          <w:p w:rsidR="00237878" w:rsidRPr="00F86117" w:rsidRDefault="00AD62D7" w:rsidP="00AD4D26">
            <w:pPr>
              <w:pStyle w:val="TableCentre"/>
              <w:keepNext/>
              <w:keepLines/>
              <w:rPr>
                <w:rFonts w:ascii="Arial Narrow" w:hAnsi="Arial Narrow" w:cstheme="minorHAnsi"/>
              </w:rPr>
            </w:pPr>
            <w:r w:rsidRPr="00F86117">
              <w:rPr>
                <w:rFonts w:ascii="Arial Narrow" w:hAnsi="Arial Narrow" w:cstheme="minorHAnsi"/>
              </w:rPr>
              <w:t>$</w:t>
            </w:r>
            <w:r w:rsidR="0035011A">
              <w:rPr>
                <w:rFonts w:ascii="Arial Narrow" w:hAnsi="Arial Narrow" w:cstheme="minorHAnsi"/>
                <w:noProof/>
                <w:color w:val="000000"/>
                <w:highlight w:val="black"/>
              </w:rPr>
              <w:t>'''''''''''''''''</w:t>
            </w:r>
          </w:p>
        </w:tc>
        <w:tc>
          <w:tcPr>
            <w:tcW w:w="526" w:type="pct"/>
            <w:tcBorders>
              <w:top w:val="single" w:sz="4" w:space="0" w:color="auto"/>
              <w:left w:val="single" w:sz="4" w:space="0" w:color="auto"/>
              <w:bottom w:val="single" w:sz="4" w:space="0" w:color="auto"/>
              <w:right w:val="single" w:sz="4" w:space="0" w:color="auto"/>
            </w:tcBorders>
          </w:tcPr>
          <w:p w:rsidR="00237878" w:rsidRPr="00F86117" w:rsidRDefault="00AD62D7" w:rsidP="00AD4D26">
            <w:pPr>
              <w:pStyle w:val="TableCentre"/>
              <w:keepNext/>
              <w:keepLines/>
              <w:rPr>
                <w:rFonts w:ascii="Arial Narrow" w:hAnsi="Arial Narrow" w:cstheme="minorHAnsi"/>
                <w:szCs w:val="20"/>
              </w:rPr>
            </w:pPr>
            <w:r w:rsidRPr="00F86117">
              <w:rPr>
                <w:rFonts w:ascii="Arial Narrow" w:hAnsi="Arial Narrow" w:cstheme="minorHAnsi"/>
                <w:szCs w:val="20"/>
              </w:rPr>
              <w:t>19%</w:t>
            </w:r>
          </w:p>
        </w:tc>
      </w:tr>
      <w:tr w:rsidR="00494DEA" w:rsidRPr="00F86117" w:rsidTr="0061386A">
        <w:trPr>
          <w:trHeight w:val="58"/>
        </w:trPr>
        <w:tc>
          <w:tcPr>
            <w:tcW w:w="1308" w:type="pct"/>
            <w:tcBorders>
              <w:top w:val="single" w:sz="4" w:space="0" w:color="auto"/>
              <w:bottom w:val="single" w:sz="4" w:space="0" w:color="auto"/>
            </w:tcBorders>
          </w:tcPr>
          <w:p w:rsidR="00494DEA" w:rsidRPr="00F86117" w:rsidRDefault="00494DEA" w:rsidP="00AD4D26">
            <w:pPr>
              <w:pStyle w:val="TableLeft"/>
              <w:keepNext/>
              <w:keepLines/>
              <w:rPr>
                <w:rFonts w:ascii="Arial Narrow" w:hAnsi="Arial Narrow" w:cstheme="minorHAnsi"/>
                <w:szCs w:val="20"/>
              </w:rPr>
            </w:pPr>
            <w:r w:rsidRPr="00F86117">
              <w:rPr>
                <w:rFonts w:ascii="Arial Narrow" w:hAnsi="Arial Narrow" w:cstheme="minorHAnsi"/>
              </w:rPr>
              <w:t>Subsequent treatment and convergence</w:t>
            </w:r>
          </w:p>
        </w:tc>
        <w:tc>
          <w:tcPr>
            <w:tcW w:w="886" w:type="pct"/>
            <w:tcBorders>
              <w:top w:val="single" w:sz="4" w:space="0" w:color="auto"/>
              <w:bottom w:val="single" w:sz="4" w:space="0" w:color="auto"/>
            </w:tcBorders>
          </w:tcPr>
          <w:p w:rsidR="00494DEA" w:rsidRPr="00F86117" w:rsidRDefault="00026655" w:rsidP="001508A7">
            <w:pPr>
              <w:pStyle w:val="TableCentre"/>
              <w:keepNext/>
              <w:keepLines/>
              <w:rPr>
                <w:rFonts w:ascii="Arial Narrow" w:hAnsi="Arial Narrow" w:cstheme="minorHAnsi"/>
                <w:szCs w:val="20"/>
              </w:rPr>
            </w:pPr>
            <w:r w:rsidRPr="00F86117">
              <w:rPr>
                <w:rFonts w:ascii="Arial Narrow" w:hAnsi="Arial Narrow" w:cstheme="minorHAnsi"/>
                <w:szCs w:val="20"/>
              </w:rPr>
              <w:t>No convergence, time horizon 10 years</w:t>
            </w:r>
            <w:r w:rsidR="001508A7" w:rsidRPr="00F86117">
              <w:rPr>
                <w:rFonts w:ascii="Arial Narrow" w:hAnsi="Arial Narrow" w:cstheme="minorHAnsi"/>
                <w:szCs w:val="20"/>
              </w:rPr>
              <w:t>,</w:t>
            </w:r>
            <w:r w:rsidRPr="00F86117">
              <w:rPr>
                <w:rFonts w:ascii="Arial Narrow" w:hAnsi="Arial Narrow" w:cstheme="minorHAnsi"/>
              </w:rPr>
              <w:t xml:space="preserve"> </w:t>
            </w:r>
            <w:r w:rsidR="001508A7" w:rsidRPr="00F86117">
              <w:rPr>
                <w:rFonts w:ascii="Arial Narrow" w:hAnsi="Arial Narrow" w:cstheme="minorHAnsi"/>
              </w:rPr>
              <w:t>d</w:t>
            </w:r>
            <w:r w:rsidR="00494DEA" w:rsidRPr="00F86117">
              <w:rPr>
                <w:rFonts w:ascii="Arial Narrow" w:hAnsi="Arial Narrow" w:cstheme="minorHAnsi"/>
              </w:rPr>
              <w:t xml:space="preserve">ifferent costs of subsequent treatment between arms </w:t>
            </w:r>
          </w:p>
        </w:tc>
        <w:tc>
          <w:tcPr>
            <w:tcW w:w="1226" w:type="pct"/>
            <w:tcBorders>
              <w:top w:val="single" w:sz="4" w:space="0" w:color="auto"/>
              <w:bottom w:val="single" w:sz="4" w:space="0" w:color="auto"/>
            </w:tcBorders>
          </w:tcPr>
          <w:p w:rsidR="00494DEA" w:rsidRPr="00F86117" w:rsidRDefault="00494DEA" w:rsidP="00AD4D26">
            <w:pPr>
              <w:pStyle w:val="TableCentre"/>
              <w:keepNext/>
              <w:keepLines/>
              <w:rPr>
                <w:rFonts w:ascii="Arial Narrow" w:hAnsi="Arial Narrow" w:cstheme="minorHAnsi"/>
                <w:szCs w:val="20"/>
              </w:rPr>
            </w:pPr>
            <w:r w:rsidRPr="00F86117">
              <w:rPr>
                <w:rFonts w:ascii="Arial Narrow" w:hAnsi="Arial Narrow" w:cstheme="minorHAnsi"/>
              </w:rPr>
              <w:t xml:space="preserve">Same costs of subsequent treatment </w:t>
            </w:r>
            <w:r w:rsidR="00743B1E" w:rsidRPr="00F86117">
              <w:rPr>
                <w:rFonts w:ascii="Arial Narrow" w:hAnsi="Arial Narrow" w:cstheme="minorHAnsi"/>
              </w:rPr>
              <w:t xml:space="preserve">per cycle </w:t>
            </w:r>
            <w:r w:rsidRPr="00F86117">
              <w:rPr>
                <w:rFonts w:ascii="Arial Narrow" w:hAnsi="Arial Narrow" w:cstheme="minorHAnsi"/>
              </w:rPr>
              <w:t xml:space="preserve">between </w:t>
            </w:r>
            <w:proofErr w:type="spellStart"/>
            <w:r w:rsidRPr="00F86117">
              <w:rPr>
                <w:rFonts w:ascii="Arial Narrow" w:hAnsi="Arial Narrow" w:cstheme="minorHAnsi"/>
              </w:rPr>
              <w:t>arms</w:t>
            </w:r>
            <w:r w:rsidR="00743B1E" w:rsidRPr="00F86117">
              <w:rPr>
                <w:rFonts w:ascii="Arial Narrow" w:hAnsi="Arial Narrow" w:cstheme="minorHAnsi"/>
                <w:vertAlign w:val="superscript"/>
              </w:rPr>
              <w:t>a</w:t>
            </w:r>
            <w:proofErr w:type="spellEnd"/>
            <w:r w:rsidR="009510D2" w:rsidRPr="00F86117">
              <w:rPr>
                <w:rFonts w:ascii="Arial Narrow" w:hAnsi="Arial Narrow" w:cstheme="minorHAnsi"/>
                <w:vertAlign w:val="superscript"/>
              </w:rPr>
              <w:t xml:space="preserve"> </w:t>
            </w:r>
            <w:r w:rsidRPr="00F86117">
              <w:rPr>
                <w:rFonts w:ascii="Arial Narrow" w:hAnsi="Arial Narrow" w:cstheme="minorHAnsi"/>
              </w:rPr>
              <w:t>AND convergence at 7.5 years as above</w:t>
            </w:r>
          </w:p>
        </w:tc>
        <w:tc>
          <w:tcPr>
            <w:tcW w:w="1054" w:type="pct"/>
            <w:tcBorders>
              <w:top w:val="single" w:sz="4" w:space="0" w:color="auto"/>
              <w:bottom w:val="single" w:sz="4" w:space="0" w:color="auto"/>
            </w:tcBorders>
          </w:tcPr>
          <w:p w:rsidR="00494DEA" w:rsidRPr="00F86117" w:rsidRDefault="00494DEA" w:rsidP="00AD4D26">
            <w:pPr>
              <w:pStyle w:val="TableCentre"/>
              <w:keepNext/>
              <w:keepLines/>
              <w:rPr>
                <w:rFonts w:ascii="Arial Narrow" w:hAnsi="Arial Narrow" w:cstheme="minorHAnsi"/>
              </w:rPr>
            </w:pPr>
            <w:r w:rsidRPr="00F86117">
              <w:rPr>
                <w:rFonts w:ascii="Arial Narrow" w:hAnsi="Arial Narrow" w:cstheme="minorHAnsi"/>
              </w:rPr>
              <w:t>$</w:t>
            </w:r>
            <w:r w:rsidR="0035011A">
              <w:rPr>
                <w:rFonts w:ascii="Arial Narrow" w:hAnsi="Arial Narrow" w:cstheme="minorHAnsi"/>
                <w:noProof/>
                <w:color w:val="000000"/>
                <w:highlight w:val="black"/>
              </w:rPr>
              <w:t>'''''''''''''''''''''</w:t>
            </w:r>
          </w:p>
        </w:tc>
        <w:tc>
          <w:tcPr>
            <w:tcW w:w="526" w:type="pct"/>
            <w:tcBorders>
              <w:top w:val="single" w:sz="4" w:space="0" w:color="auto"/>
              <w:bottom w:val="single" w:sz="4" w:space="0" w:color="auto"/>
            </w:tcBorders>
          </w:tcPr>
          <w:p w:rsidR="00494DEA" w:rsidRPr="00F86117" w:rsidRDefault="00494DEA" w:rsidP="00AD4D26">
            <w:pPr>
              <w:pStyle w:val="TableCentre"/>
              <w:keepNext/>
              <w:keepLines/>
              <w:rPr>
                <w:rFonts w:ascii="Arial Narrow" w:hAnsi="Arial Narrow" w:cstheme="minorHAnsi"/>
                <w:szCs w:val="20"/>
              </w:rPr>
            </w:pPr>
            <w:r w:rsidRPr="00F86117">
              <w:rPr>
                <w:rFonts w:ascii="Arial Narrow" w:hAnsi="Arial Narrow" w:cstheme="minorHAnsi"/>
              </w:rPr>
              <w:t>134%</w:t>
            </w:r>
          </w:p>
        </w:tc>
      </w:tr>
      <w:tr w:rsidR="00026655" w:rsidRPr="00F86117" w:rsidTr="0061386A">
        <w:trPr>
          <w:trHeight w:val="58"/>
        </w:trPr>
        <w:tc>
          <w:tcPr>
            <w:tcW w:w="1308" w:type="pct"/>
            <w:tcBorders>
              <w:top w:val="single" w:sz="4" w:space="0" w:color="auto"/>
              <w:left w:val="single" w:sz="4" w:space="0" w:color="auto"/>
              <w:bottom w:val="single" w:sz="4" w:space="0" w:color="auto"/>
              <w:right w:val="single" w:sz="4" w:space="0" w:color="auto"/>
            </w:tcBorders>
          </w:tcPr>
          <w:p w:rsidR="00026655" w:rsidRPr="00F86117" w:rsidRDefault="00862A0C" w:rsidP="00AD4D26">
            <w:pPr>
              <w:pStyle w:val="TableLeft"/>
              <w:keepNext/>
              <w:keepLines/>
              <w:rPr>
                <w:rFonts w:ascii="Arial Narrow" w:hAnsi="Arial Narrow" w:cstheme="minorHAnsi"/>
              </w:rPr>
            </w:pPr>
            <w:r w:rsidRPr="00F86117">
              <w:rPr>
                <w:rFonts w:ascii="Arial Narrow" w:hAnsi="Arial Narrow" w:cstheme="minorHAnsi"/>
              </w:rPr>
              <w:t>Revised base case</w:t>
            </w:r>
          </w:p>
        </w:tc>
        <w:tc>
          <w:tcPr>
            <w:tcW w:w="886" w:type="pct"/>
            <w:tcBorders>
              <w:top w:val="single" w:sz="4" w:space="0" w:color="auto"/>
              <w:left w:val="single" w:sz="4" w:space="0" w:color="auto"/>
              <w:bottom w:val="single" w:sz="4" w:space="0" w:color="auto"/>
              <w:right w:val="single" w:sz="4" w:space="0" w:color="auto"/>
            </w:tcBorders>
          </w:tcPr>
          <w:p w:rsidR="00026655" w:rsidRPr="00F86117" w:rsidRDefault="00026655" w:rsidP="00AD4D26">
            <w:pPr>
              <w:pStyle w:val="TableCentre"/>
              <w:keepNext/>
              <w:keepLines/>
              <w:rPr>
                <w:rFonts w:ascii="Arial Narrow" w:hAnsi="Arial Narrow" w:cstheme="minorHAnsi"/>
              </w:rPr>
            </w:pPr>
            <w:r w:rsidRPr="00F86117">
              <w:rPr>
                <w:rFonts w:ascii="Arial Narrow" w:hAnsi="Arial Narrow" w:cstheme="minorHAnsi"/>
                <w:szCs w:val="20"/>
              </w:rPr>
              <w:t>As above +average  weight 89.7 kg</w:t>
            </w:r>
            <w:r w:rsidRPr="00F86117">
              <w:rPr>
                <w:rFonts w:ascii="Arial Narrow" w:hAnsi="Arial Narrow" w:cstheme="minorHAnsi"/>
              </w:rPr>
              <w:t xml:space="preserve"> </w:t>
            </w:r>
          </w:p>
        </w:tc>
        <w:tc>
          <w:tcPr>
            <w:tcW w:w="1226" w:type="pct"/>
            <w:tcBorders>
              <w:top w:val="single" w:sz="4" w:space="0" w:color="auto"/>
              <w:left w:val="single" w:sz="4" w:space="0" w:color="auto"/>
              <w:bottom w:val="single" w:sz="4" w:space="0" w:color="auto"/>
              <w:right w:val="single" w:sz="4" w:space="0" w:color="auto"/>
            </w:tcBorders>
          </w:tcPr>
          <w:p w:rsidR="00026655" w:rsidRPr="00F86117" w:rsidRDefault="00026655" w:rsidP="00AD4D26">
            <w:pPr>
              <w:pStyle w:val="TableCentre"/>
              <w:keepNext/>
              <w:keepLines/>
              <w:rPr>
                <w:rFonts w:ascii="Arial Narrow" w:hAnsi="Arial Narrow" w:cstheme="minorHAnsi"/>
              </w:rPr>
            </w:pPr>
            <w:r w:rsidRPr="00F86117">
              <w:rPr>
                <w:rFonts w:ascii="Arial Narrow" w:hAnsi="Arial Narrow" w:cstheme="minorHAnsi"/>
              </w:rPr>
              <w:t>As above + average weight 80 kg</w:t>
            </w:r>
          </w:p>
        </w:tc>
        <w:tc>
          <w:tcPr>
            <w:tcW w:w="1054" w:type="pct"/>
            <w:tcBorders>
              <w:top w:val="single" w:sz="4" w:space="0" w:color="auto"/>
              <w:left w:val="single" w:sz="4" w:space="0" w:color="auto"/>
              <w:bottom w:val="single" w:sz="4" w:space="0" w:color="auto"/>
              <w:right w:val="single" w:sz="4" w:space="0" w:color="auto"/>
            </w:tcBorders>
          </w:tcPr>
          <w:p w:rsidR="00026655" w:rsidRPr="00F86117" w:rsidRDefault="00026655" w:rsidP="00AD4D26">
            <w:pPr>
              <w:pStyle w:val="TableCentre"/>
              <w:keepNext/>
              <w:keepLines/>
              <w:rPr>
                <w:rFonts w:ascii="Arial Narrow" w:hAnsi="Arial Narrow" w:cstheme="minorHAnsi"/>
              </w:rPr>
            </w:pPr>
            <w:r w:rsidRPr="00F86117">
              <w:rPr>
                <w:rFonts w:ascii="Arial Narrow" w:hAnsi="Arial Narrow" w:cstheme="minorHAnsi"/>
              </w:rPr>
              <w:t>$</w:t>
            </w:r>
            <w:r w:rsidR="0035011A">
              <w:rPr>
                <w:rFonts w:ascii="Arial Narrow" w:hAnsi="Arial Narrow" w:cstheme="minorHAnsi"/>
                <w:noProof/>
                <w:color w:val="000000"/>
                <w:highlight w:val="black"/>
              </w:rPr>
              <w:t>'''''''''''''''''''</w:t>
            </w:r>
          </w:p>
        </w:tc>
        <w:tc>
          <w:tcPr>
            <w:tcW w:w="526" w:type="pct"/>
            <w:tcBorders>
              <w:top w:val="single" w:sz="4" w:space="0" w:color="auto"/>
              <w:left w:val="single" w:sz="4" w:space="0" w:color="auto"/>
              <w:bottom w:val="single" w:sz="4" w:space="0" w:color="auto"/>
              <w:right w:val="single" w:sz="4" w:space="0" w:color="auto"/>
            </w:tcBorders>
          </w:tcPr>
          <w:p w:rsidR="00026655" w:rsidRPr="00F86117" w:rsidRDefault="00026655" w:rsidP="00AD4D26">
            <w:pPr>
              <w:pStyle w:val="TableCentre"/>
              <w:keepNext/>
              <w:keepLines/>
              <w:rPr>
                <w:rFonts w:ascii="Arial Narrow" w:hAnsi="Arial Narrow" w:cstheme="minorHAnsi"/>
              </w:rPr>
            </w:pPr>
            <w:r w:rsidRPr="00F86117">
              <w:rPr>
                <w:rFonts w:ascii="Arial Narrow" w:hAnsi="Arial Narrow" w:cstheme="minorHAnsi"/>
              </w:rPr>
              <w:t>136%</w:t>
            </w:r>
          </w:p>
        </w:tc>
      </w:tr>
    </w:tbl>
    <w:p w:rsidR="00BB433C" w:rsidRPr="00F86117" w:rsidRDefault="00BB433C" w:rsidP="00AD4D26">
      <w:pPr>
        <w:pStyle w:val="TableFooter"/>
        <w:widowControl/>
      </w:pPr>
      <w:r w:rsidRPr="00F86117">
        <w:t xml:space="preserve">Abbreviations: </w:t>
      </w:r>
      <w:r w:rsidR="003870B1" w:rsidRPr="00F86117">
        <w:t xml:space="preserve">2L = second line treatment; </w:t>
      </w:r>
      <w:r w:rsidRPr="00F86117">
        <w:t>DPMQ=dispensed price per maximum quantity; ICER= incremental cost effectiveness ratio; PBS=Pharmaceutical Benefits Scheme; PFS = progression free survival; QALY= quality adjusted life years; OS = overall survival; TTD = time to treatment discontinuation.</w:t>
      </w:r>
    </w:p>
    <w:p w:rsidR="00BB433C" w:rsidRPr="00F86117" w:rsidRDefault="00BB433C" w:rsidP="00AD4D26">
      <w:pPr>
        <w:pStyle w:val="TableFooter"/>
        <w:widowControl/>
      </w:pPr>
      <w:r w:rsidRPr="00F86117">
        <w:t>Source: Compiled during the evaluation.</w:t>
      </w:r>
    </w:p>
    <w:p w:rsidR="00BB433C" w:rsidRPr="00F86117" w:rsidRDefault="00BB433C" w:rsidP="00AD4D26">
      <w:pPr>
        <w:pStyle w:val="TableFooter"/>
        <w:widowControl/>
      </w:pPr>
      <w:r w:rsidRPr="00F86117">
        <w:t xml:space="preserve">Note: Results using the jointly estimated </w:t>
      </w:r>
      <w:proofErr w:type="spellStart"/>
      <w:r w:rsidRPr="00F86117">
        <w:t>Gompertz</w:t>
      </w:r>
      <w:proofErr w:type="spellEnd"/>
      <w:r w:rsidRPr="00F86117">
        <w:t xml:space="preserve"> survival function need to be considered with caution, as there appears to have been an error in the empirical estimation of this function.</w:t>
      </w:r>
    </w:p>
    <w:p w:rsidR="00BB433C" w:rsidRPr="00F86117" w:rsidRDefault="00743B1E" w:rsidP="00AD4D26">
      <w:pPr>
        <w:widowControl/>
        <w:rPr>
          <w:rFonts w:ascii="Arial Narrow" w:hAnsi="Arial Narrow"/>
          <w:sz w:val="18"/>
          <w:szCs w:val="18"/>
        </w:rPr>
      </w:pPr>
      <w:proofErr w:type="spellStart"/>
      <w:proofErr w:type="gramStart"/>
      <w:r w:rsidRPr="00F86117">
        <w:rPr>
          <w:rFonts w:ascii="Arial Narrow" w:hAnsi="Arial Narrow"/>
          <w:sz w:val="18"/>
          <w:szCs w:val="18"/>
          <w:vertAlign w:val="superscript"/>
        </w:rPr>
        <w:t>a</w:t>
      </w:r>
      <w:proofErr w:type="spellEnd"/>
      <w:proofErr w:type="gramEnd"/>
      <w:r w:rsidRPr="00F86117">
        <w:rPr>
          <w:rFonts w:ascii="Arial Narrow" w:hAnsi="Arial Narrow"/>
          <w:sz w:val="18"/>
          <w:szCs w:val="18"/>
        </w:rPr>
        <w:t xml:space="preserve"> The cost per cycle of subsequent treatment in the </w:t>
      </w:r>
      <w:proofErr w:type="spellStart"/>
      <w:r w:rsidRPr="00F86117">
        <w:rPr>
          <w:rFonts w:ascii="Arial Narrow" w:hAnsi="Arial Narrow"/>
          <w:sz w:val="18"/>
          <w:szCs w:val="18"/>
        </w:rPr>
        <w:t>cabozantinib</w:t>
      </w:r>
      <w:proofErr w:type="spellEnd"/>
      <w:r w:rsidRPr="00F86117">
        <w:rPr>
          <w:rFonts w:ascii="Arial Narrow" w:hAnsi="Arial Narrow"/>
          <w:sz w:val="18"/>
          <w:szCs w:val="18"/>
        </w:rPr>
        <w:t xml:space="preserve"> arm was applied in </w:t>
      </w:r>
      <w:proofErr w:type="spellStart"/>
      <w:r w:rsidRPr="00F86117">
        <w:rPr>
          <w:rFonts w:ascii="Arial Narrow" w:hAnsi="Arial Narrow"/>
          <w:sz w:val="18"/>
          <w:szCs w:val="18"/>
        </w:rPr>
        <w:t>sunitinib</w:t>
      </w:r>
      <w:proofErr w:type="spellEnd"/>
      <w:r w:rsidRPr="00F86117">
        <w:rPr>
          <w:rFonts w:ascii="Arial Narrow" w:hAnsi="Arial Narrow"/>
          <w:sz w:val="18"/>
          <w:szCs w:val="18"/>
        </w:rPr>
        <w:t xml:space="preserve"> arm. Note: the cost per cycle was assumed to be the same, but the total cost of subsequent therapies remained higher in the </w:t>
      </w:r>
      <w:proofErr w:type="spellStart"/>
      <w:r w:rsidRPr="00F86117">
        <w:rPr>
          <w:rFonts w:ascii="Arial Narrow" w:hAnsi="Arial Narrow"/>
          <w:sz w:val="18"/>
          <w:szCs w:val="18"/>
        </w:rPr>
        <w:t>sunitinib</w:t>
      </w:r>
      <w:proofErr w:type="spellEnd"/>
      <w:r w:rsidRPr="00F86117">
        <w:rPr>
          <w:rFonts w:ascii="Arial Narrow" w:hAnsi="Arial Narrow"/>
          <w:sz w:val="18"/>
          <w:szCs w:val="18"/>
        </w:rPr>
        <w:t xml:space="preserve"> arm as: patients spent longer in the post-progression health state in the </w:t>
      </w:r>
      <w:proofErr w:type="spellStart"/>
      <w:r w:rsidRPr="00F86117">
        <w:rPr>
          <w:rFonts w:ascii="Arial Narrow" w:hAnsi="Arial Narrow"/>
          <w:sz w:val="18"/>
          <w:szCs w:val="18"/>
        </w:rPr>
        <w:t>sunitinib</w:t>
      </w:r>
      <w:proofErr w:type="spellEnd"/>
      <w:r w:rsidRPr="00F86117">
        <w:rPr>
          <w:rFonts w:ascii="Arial Narrow" w:hAnsi="Arial Narrow"/>
          <w:sz w:val="18"/>
          <w:szCs w:val="18"/>
        </w:rPr>
        <w:t xml:space="preserve"> arm; and a higher proportion of patients were assumed to receive subsequent therapies with </w:t>
      </w:r>
      <w:proofErr w:type="spellStart"/>
      <w:r w:rsidRPr="00F86117">
        <w:rPr>
          <w:rFonts w:ascii="Arial Narrow" w:hAnsi="Arial Narrow"/>
          <w:sz w:val="18"/>
          <w:szCs w:val="18"/>
        </w:rPr>
        <w:t>sunitinib</w:t>
      </w:r>
      <w:proofErr w:type="spellEnd"/>
      <w:r w:rsidRPr="00F86117">
        <w:rPr>
          <w:rFonts w:ascii="Arial Narrow" w:hAnsi="Arial Narrow"/>
          <w:sz w:val="18"/>
          <w:szCs w:val="18"/>
        </w:rPr>
        <w:t xml:space="preserve"> (67% vs 62% with </w:t>
      </w:r>
      <w:proofErr w:type="spellStart"/>
      <w:r w:rsidRPr="00F86117">
        <w:rPr>
          <w:rFonts w:ascii="Arial Narrow" w:hAnsi="Arial Narrow"/>
          <w:sz w:val="18"/>
          <w:szCs w:val="18"/>
        </w:rPr>
        <w:t>cabozantinib</w:t>
      </w:r>
      <w:proofErr w:type="spellEnd"/>
      <w:r w:rsidRPr="00F86117">
        <w:rPr>
          <w:rFonts w:ascii="Arial Narrow" w:hAnsi="Arial Narrow"/>
          <w:sz w:val="18"/>
          <w:szCs w:val="18"/>
        </w:rPr>
        <w:t>).</w:t>
      </w:r>
    </w:p>
    <w:p w:rsidR="00B16C14" w:rsidRPr="00F86117" w:rsidRDefault="00B16C14" w:rsidP="00AD4D26">
      <w:pPr>
        <w:widowControl/>
        <w:rPr>
          <w:rFonts w:ascii="Arial Narrow" w:hAnsi="Arial Narrow"/>
          <w:i/>
          <w:sz w:val="18"/>
          <w:szCs w:val="18"/>
        </w:rPr>
      </w:pPr>
    </w:p>
    <w:p w:rsidR="00774EF7" w:rsidRPr="00F86117" w:rsidRDefault="00774EF7" w:rsidP="0061386A">
      <w:pPr>
        <w:pStyle w:val="ListParagraph"/>
        <w:widowControl/>
        <w:numPr>
          <w:ilvl w:val="1"/>
          <w:numId w:val="2"/>
        </w:numPr>
        <w:spacing w:before="120"/>
      </w:pPr>
      <w:r w:rsidRPr="00F86117">
        <w:t xml:space="preserve">The ESC noted a multivariate sensitivity analysis using: </w:t>
      </w:r>
      <w:proofErr w:type="spellStart"/>
      <w:r w:rsidRPr="00F86117">
        <w:t>i</w:t>
      </w:r>
      <w:proofErr w:type="spellEnd"/>
      <w:r w:rsidRPr="00F86117">
        <w:t xml:space="preserve">) a time horizon of 7.5 years; ii) convergence of OS, PFS and TTD beginning at 30 months, with convergence at 7.5 years iii) average patient weight of 80 kg ; iv) the same costs (per cycle) of subsequent treatment between </w:t>
      </w:r>
      <w:proofErr w:type="spellStart"/>
      <w:r w:rsidRPr="00F86117">
        <w:t>cabozantinib</w:t>
      </w:r>
      <w:proofErr w:type="spellEnd"/>
      <w:r w:rsidRPr="00F86117">
        <w:t xml:space="preserve"> and </w:t>
      </w:r>
      <w:proofErr w:type="spellStart"/>
      <w:r w:rsidRPr="00F86117">
        <w:t>sunitinib</w:t>
      </w:r>
      <w:proofErr w:type="spellEnd"/>
      <w:r w:rsidRPr="00F86117">
        <w:t xml:space="preserve"> arms. This analysis increased the ICER to </w:t>
      </w:r>
      <w:r w:rsidR="00F42BBA">
        <w:t>$105,000 - $200,000/</w:t>
      </w:r>
      <w:r w:rsidR="00695118" w:rsidRPr="00F86117">
        <w:t>QALY</w:t>
      </w:r>
      <w:r w:rsidRPr="00F86117">
        <w:t xml:space="preserve"> using the prices applied in the submission</w:t>
      </w:r>
      <w:r w:rsidR="005450AC" w:rsidRPr="00F86117">
        <w:t>.</w:t>
      </w:r>
      <w:r w:rsidRPr="00F86117">
        <w:t xml:space="preserve"> The ESC considered that this respecified analysis provided a more reasonable estimate of the ICER than the base case in the submission and could be conside</w:t>
      </w:r>
      <w:r w:rsidR="00695118" w:rsidRPr="00F86117">
        <w:t>red the respecified base case if the claim of superior comparative effectiveness is accepted.</w:t>
      </w:r>
    </w:p>
    <w:p w:rsidR="00B16C14" w:rsidRPr="00F86117" w:rsidRDefault="00B16C14" w:rsidP="0061386A">
      <w:pPr>
        <w:pStyle w:val="ListParagraph"/>
        <w:widowControl/>
        <w:numPr>
          <w:ilvl w:val="1"/>
          <w:numId w:val="2"/>
        </w:numPr>
        <w:spacing w:before="120"/>
      </w:pPr>
      <w:r w:rsidRPr="00F86117">
        <w:t xml:space="preserve">The ESC noted that when the OS difference was removed and the </w:t>
      </w:r>
      <w:proofErr w:type="spellStart"/>
      <w:r w:rsidRPr="00F86117">
        <w:t>cabozantinib</w:t>
      </w:r>
      <w:proofErr w:type="spellEnd"/>
      <w:r w:rsidRPr="00F86117">
        <w:t xml:space="preserve"> survival curve was applied to both arms, the ICER became dominant</w:t>
      </w:r>
      <w:r w:rsidR="00905AE9" w:rsidRPr="00F86117">
        <w:t xml:space="preserve"> (more effective and less costly)</w:t>
      </w:r>
      <w:r w:rsidRPr="00F86117">
        <w:t xml:space="preserve">. This was because subsequent therapy costs in the </w:t>
      </w:r>
      <w:proofErr w:type="spellStart"/>
      <w:r w:rsidRPr="00F86117">
        <w:t>sunitinib</w:t>
      </w:r>
      <w:proofErr w:type="spellEnd"/>
      <w:r w:rsidRPr="00F86117">
        <w:t xml:space="preserve"> arm were significantly increased due to the longer duration of </w:t>
      </w:r>
      <w:r w:rsidR="00E85EAA" w:rsidRPr="00F86117">
        <w:t xml:space="preserve">time spent in the post-progression </w:t>
      </w:r>
      <w:r w:rsidR="00E85EAA" w:rsidRPr="00F86117">
        <w:lastRenderedPageBreak/>
        <w:t>health state. The ESC considered that if the post-progression costs were applied in a more appropriate way (</w:t>
      </w:r>
      <w:r w:rsidR="007009CD" w:rsidRPr="00F86117">
        <w:t>e</w:t>
      </w:r>
      <w:r w:rsidR="00E85EAA" w:rsidRPr="00F86117">
        <w:t>.</w:t>
      </w:r>
      <w:r w:rsidR="007009CD" w:rsidRPr="00F86117">
        <w:t>g.</w:t>
      </w:r>
      <w:r w:rsidR="00E85EAA" w:rsidRPr="00F86117">
        <w:t xml:space="preserve"> </w:t>
      </w:r>
      <w:r w:rsidR="00461AE8" w:rsidRPr="00F86117">
        <w:t xml:space="preserve">include </w:t>
      </w:r>
      <w:r w:rsidR="00EB1C30" w:rsidRPr="00F86117">
        <w:t xml:space="preserve">only </w:t>
      </w:r>
      <w:r w:rsidR="00461AE8" w:rsidRPr="00F86117">
        <w:t>appropriate, PBS-listed post-progression treatments</w:t>
      </w:r>
      <w:r w:rsidR="00E85EAA" w:rsidRPr="00F86117">
        <w:t>), the model would likely be sensitive to the assumed difference in OS, despite the CABOSUN trial finding no statistically significant difference in OS.</w:t>
      </w:r>
    </w:p>
    <w:p w:rsidR="008763BE" w:rsidRPr="00F86117" w:rsidRDefault="008763BE" w:rsidP="0061386A">
      <w:pPr>
        <w:widowControl/>
        <w:spacing w:before="120" w:after="120"/>
        <w:rPr>
          <w:u w:val="single"/>
        </w:rPr>
      </w:pPr>
      <w:r w:rsidRPr="00F86117">
        <w:rPr>
          <w:u w:val="single"/>
        </w:rPr>
        <w:t>Cost-minimisation analysis versus NIVO+IPI</w:t>
      </w:r>
    </w:p>
    <w:p w:rsidR="00BB433C" w:rsidRPr="00F86117" w:rsidRDefault="00BB433C" w:rsidP="0061386A">
      <w:pPr>
        <w:pStyle w:val="ListParagraph"/>
        <w:widowControl/>
        <w:numPr>
          <w:ilvl w:val="1"/>
          <w:numId w:val="2"/>
        </w:numPr>
        <w:spacing w:before="120"/>
        <w:rPr>
          <w:i/>
        </w:rPr>
      </w:pPr>
      <w:r w:rsidRPr="00F86117">
        <w:t xml:space="preserve">The submission presented a CMA comparing </w:t>
      </w:r>
      <w:proofErr w:type="spellStart"/>
      <w:r w:rsidRPr="00F86117">
        <w:t>cabozantinib</w:t>
      </w:r>
      <w:proofErr w:type="spellEnd"/>
      <w:r w:rsidRPr="00F86117">
        <w:t xml:space="preserve"> with NIVO+IPI. Overall, </w:t>
      </w:r>
      <w:r w:rsidR="00B07B49" w:rsidRPr="00F86117">
        <w:t xml:space="preserve">the ESC and the PBAC considered that </w:t>
      </w:r>
      <w:r w:rsidRPr="00F86117">
        <w:t xml:space="preserve">differences in the study designs, sample size and analysis methods, </w:t>
      </w:r>
      <w:r w:rsidR="00A519E0" w:rsidRPr="00F86117">
        <w:t xml:space="preserve">the lack of comparability of the primary outcome measures (that RECIST based PFS is less informative in the context of immunotherapies), and the absence of an OS benefit for </w:t>
      </w:r>
      <w:proofErr w:type="spellStart"/>
      <w:r w:rsidR="00A519E0" w:rsidRPr="00F86117">
        <w:t>cabozantinib</w:t>
      </w:r>
      <w:proofErr w:type="spellEnd"/>
      <w:r w:rsidR="00A519E0" w:rsidRPr="00F86117">
        <w:t xml:space="preserve">, </w:t>
      </w:r>
      <w:r w:rsidRPr="00F86117">
        <w:t>mean that the non-inferiority claim was not supported and thus the basis for a CMA</w:t>
      </w:r>
      <w:r w:rsidR="00A20EB9" w:rsidRPr="00F86117">
        <w:t xml:space="preserve"> wa</w:t>
      </w:r>
      <w:r w:rsidRPr="00F86117">
        <w:t>s uncertain.</w:t>
      </w:r>
      <w:r w:rsidR="002639E7" w:rsidRPr="00F86117">
        <w:t xml:space="preserve"> </w:t>
      </w:r>
    </w:p>
    <w:p w:rsidR="00BB433C" w:rsidRPr="00F86117" w:rsidRDefault="00BB433C" w:rsidP="0061386A">
      <w:pPr>
        <w:pStyle w:val="ListParagraph"/>
        <w:keepLines/>
        <w:widowControl/>
        <w:numPr>
          <w:ilvl w:val="1"/>
          <w:numId w:val="2"/>
        </w:numPr>
        <w:spacing w:before="120"/>
      </w:pPr>
      <w:r w:rsidRPr="00F86117">
        <w:t xml:space="preserve">The treatment duration and mean dose used by the submission in the CMA were derived from CABOSUN for </w:t>
      </w:r>
      <w:proofErr w:type="spellStart"/>
      <w:r w:rsidRPr="00F86117">
        <w:t>cabozantinib</w:t>
      </w:r>
      <w:proofErr w:type="spellEnd"/>
      <w:r w:rsidRPr="00F86117">
        <w:t xml:space="preserve"> (49.4 mg daily) and CheckMate214 for NIVO+IPI. The mean dose for NIVO+IPI used in CheckMate214 was calculated based on the average weight of patients at 89.7 kg derived from CABOSUN (1 mg/kg </w:t>
      </w:r>
      <w:proofErr w:type="spellStart"/>
      <w:r w:rsidRPr="00F86117">
        <w:t>ipilimumab</w:t>
      </w:r>
      <w:proofErr w:type="spellEnd"/>
      <w:r w:rsidRPr="00F86117">
        <w:t xml:space="preserve">, 3 mg/kg of </w:t>
      </w:r>
      <w:proofErr w:type="spellStart"/>
      <w:r w:rsidRPr="00F86117">
        <w:t>nivolumab</w:t>
      </w:r>
      <w:proofErr w:type="spellEnd"/>
      <w:r w:rsidRPr="00F86117">
        <w:t xml:space="preserve">). The </w:t>
      </w:r>
      <w:r w:rsidR="00C56DD8" w:rsidRPr="00F86117">
        <w:t xml:space="preserve">submission’s calculation of </w:t>
      </w:r>
      <w:r w:rsidRPr="00F86117">
        <w:rPr>
          <w:color w:val="000000"/>
        </w:rPr>
        <w:t>dose relativities</w:t>
      </w:r>
      <w:r w:rsidRPr="00F86117">
        <w:t xml:space="preserve"> w</w:t>
      </w:r>
      <w:r w:rsidR="00C56DD8" w:rsidRPr="00F86117">
        <w:t>as</w:t>
      </w:r>
      <w:r w:rsidRPr="00F86117">
        <w:t xml:space="preserve"> based on the same OS outcomes observed with median treatment durations of 6.5 months for </w:t>
      </w:r>
      <w:proofErr w:type="spellStart"/>
      <w:r w:rsidRPr="00F86117">
        <w:t>cabozantinib</w:t>
      </w:r>
      <w:proofErr w:type="spellEnd"/>
      <w:r w:rsidRPr="00F86117">
        <w:t xml:space="preserve"> and 7.9 months for NIVO+IPI</w:t>
      </w:r>
      <w:r w:rsidR="00C56DD8" w:rsidRPr="00F86117">
        <w:t xml:space="preserve"> (rather than mean treatment duration)</w:t>
      </w:r>
      <w:r w:rsidRPr="00F86117">
        <w:t xml:space="preserve">. The average weight of patients used in the submission might be higher than the average weight of Australian patients. The treatment duration for </w:t>
      </w:r>
      <w:proofErr w:type="spellStart"/>
      <w:r w:rsidRPr="00F86117">
        <w:t>sunitinib</w:t>
      </w:r>
      <w:proofErr w:type="spellEnd"/>
      <w:r w:rsidRPr="00F86117">
        <w:t xml:space="preserve"> in CABOSUN was relatively short (approximately half that for CheckMate214). These differences introduced bias</w:t>
      </w:r>
      <w:r w:rsidR="00A519E0" w:rsidRPr="00F86117">
        <w:t>es</w:t>
      </w:r>
      <w:r w:rsidRPr="00F86117">
        <w:t xml:space="preserve"> against NIVO+IPI, which the submission tested in scenario analyses where it doubled the duration of therapy for </w:t>
      </w:r>
      <w:proofErr w:type="spellStart"/>
      <w:r w:rsidRPr="00F86117">
        <w:t>cabozantinib</w:t>
      </w:r>
      <w:proofErr w:type="spellEnd"/>
      <w:r w:rsidRPr="00F86117">
        <w:t xml:space="preserve"> (to reflect the same duration relativity observed between the </w:t>
      </w:r>
      <w:proofErr w:type="spellStart"/>
      <w:r w:rsidRPr="00F86117">
        <w:t>sunitinib</w:t>
      </w:r>
      <w:proofErr w:type="spellEnd"/>
      <w:r w:rsidRPr="00F86117">
        <w:t xml:space="preserve"> dose groups in CABOSUN and CheckMate214)</w:t>
      </w:r>
      <w:r w:rsidR="00F86117">
        <w:t xml:space="preserve">. </w:t>
      </w:r>
    </w:p>
    <w:p w:rsidR="00BB433C" w:rsidRPr="00F86117" w:rsidRDefault="00BB433C" w:rsidP="0061386A">
      <w:pPr>
        <w:pStyle w:val="Heading2"/>
        <w:widowControl/>
        <w:spacing w:before="120"/>
      </w:pPr>
      <w:bookmarkStart w:id="36" w:name="_Toc371170711"/>
      <w:bookmarkStart w:id="37" w:name="_Toc536002947"/>
      <w:bookmarkStart w:id="38" w:name="_Toc536023499"/>
      <w:r w:rsidRPr="00F86117">
        <w:t>Drug cost/patient/course</w:t>
      </w:r>
      <w:bookmarkEnd w:id="36"/>
      <w:r w:rsidRPr="00F86117">
        <w:t xml:space="preserve"> $</w:t>
      </w:r>
      <w:bookmarkEnd w:id="37"/>
      <w:bookmarkEnd w:id="38"/>
      <w:r w:rsidR="0035011A">
        <w:rPr>
          <w:noProof/>
          <w:color w:val="000000"/>
          <w:highlight w:val="black"/>
        </w:rPr>
        <w:t>''''''''''''</w:t>
      </w:r>
    </w:p>
    <w:p w:rsidR="00CB7B45" w:rsidRPr="00F86117" w:rsidRDefault="00CB7B45" w:rsidP="0061386A">
      <w:pPr>
        <w:pStyle w:val="ListParagraph"/>
        <w:widowControl/>
        <w:numPr>
          <w:ilvl w:val="1"/>
          <w:numId w:val="2"/>
        </w:numPr>
        <w:spacing w:before="120"/>
      </w:pPr>
      <w:r w:rsidRPr="00F86117">
        <w:t xml:space="preserve">The average time on treatment estimated from the model was 12.6 months for </w:t>
      </w:r>
      <w:proofErr w:type="spellStart"/>
      <w:r w:rsidRPr="00F86117">
        <w:t>cabozantinib</w:t>
      </w:r>
      <w:proofErr w:type="spellEnd"/>
      <w:r w:rsidRPr="00F86117">
        <w:t xml:space="preserve"> and 6.3 months for </w:t>
      </w:r>
      <w:proofErr w:type="spellStart"/>
      <w:r w:rsidRPr="00F86117">
        <w:t>sunitinib</w:t>
      </w:r>
      <w:proofErr w:type="spellEnd"/>
      <w:r w:rsidRPr="00F86117">
        <w:t xml:space="preserve">. Based on the submission’s estimates, the drug cost/patient/course for </w:t>
      </w:r>
      <w:proofErr w:type="spellStart"/>
      <w:r w:rsidRPr="00F86117">
        <w:t>cabozantinib</w:t>
      </w:r>
      <w:proofErr w:type="spellEnd"/>
      <w:r w:rsidRPr="00F86117">
        <w:t xml:space="preserve"> was estimated to be $</w:t>
      </w:r>
      <w:r w:rsidR="0035011A">
        <w:rPr>
          <w:noProof/>
          <w:color w:val="000000"/>
          <w:highlight w:val="black"/>
        </w:rPr>
        <w:t>'''''''''''''</w:t>
      </w:r>
      <w:r w:rsidRPr="00F86117">
        <w:t xml:space="preserve"> compared to $</w:t>
      </w:r>
      <w:r w:rsidRPr="003D693E">
        <w:t xml:space="preserve">22,169 </w:t>
      </w:r>
      <w:r w:rsidRPr="00F86117">
        <w:t xml:space="preserve">for </w:t>
      </w:r>
      <w:proofErr w:type="spellStart"/>
      <w:r w:rsidRPr="00F86117">
        <w:t>sunitinib</w:t>
      </w:r>
      <w:proofErr w:type="spellEnd"/>
      <w:r w:rsidRPr="00F86117">
        <w:t xml:space="preserve"> (using the submission’s assumed effective prices). </w:t>
      </w:r>
    </w:p>
    <w:p w:rsidR="00BB433C" w:rsidRPr="00F86117" w:rsidRDefault="00BB433C" w:rsidP="0061386A">
      <w:pPr>
        <w:pStyle w:val="ListParagraph"/>
        <w:keepNext/>
        <w:widowControl/>
        <w:numPr>
          <w:ilvl w:val="1"/>
          <w:numId w:val="2"/>
        </w:numPr>
        <w:spacing w:before="120"/>
      </w:pPr>
      <w:r w:rsidRPr="00F86117">
        <w:t xml:space="preserve">At a median treatment duration of </w:t>
      </w:r>
      <w:proofErr w:type="spellStart"/>
      <w:r w:rsidRPr="00F86117">
        <w:t>cabozantinib</w:t>
      </w:r>
      <w:proofErr w:type="spellEnd"/>
      <w:r w:rsidRPr="00F86117">
        <w:t xml:space="preserve"> of 6.5 months and NIVO+IPI of 7.9 months, which are the </w:t>
      </w:r>
      <w:proofErr w:type="spellStart"/>
      <w:r w:rsidRPr="00F86117">
        <w:t>equi</w:t>
      </w:r>
      <w:proofErr w:type="spellEnd"/>
      <w:r w:rsidRPr="00F86117">
        <w:t xml:space="preserve">-effective </w:t>
      </w:r>
      <w:r w:rsidR="00A519E0" w:rsidRPr="00F86117">
        <w:t xml:space="preserve">treatment durations </w:t>
      </w:r>
      <w:r w:rsidR="00C16B9D" w:rsidRPr="00F86117">
        <w:t>proposed by the submission</w:t>
      </w:r>
      <w:r w:rsidRPr="00F86117">
        <w:t xml:space="preserve">, the submission estimated </w:t>
      </w:r>
      <w:r w:rsidR="00A20EB9" w:rsidRPr="00F86117">
        <w:t xml:space="preserve">the </w:t>
      </w:r>
      <w:r w:rsidRPr="00F86117">
        <w:t xml:space="preserve">total cost of </w:t>
      </w:r>
      <w:proofErr w:type="spellStart"/>
      <w:r w:rsidRPr="00F86117">
        <w:t>cabozantinib</w:t>
      </w:r>
      <w:proofErr w:type="spellEnd"/>
      <w:r w:rsidRPr="00F86117">
        <w:t xml:space="preserve"> at $</w:t>
      </w:r>
      <w:r w:rsidR="0035011A">
        <w:rPr>
          <w:noProof/>
          <w:color w:val="000000"/>
          <w:highlight w:val="black"/>
        </w:rPr>
        <w:t>''''''''''''</w:t>
      </w:r>
      <w:r w:rsidRPr="00F86117">
        <w:t xml:space="preserve"> and NIVO+IPI at $128,42</w:t>
      </w:r>
      <w:r w:rsidR="00395BCB" w:rsidRPr="00F86117">
        <w:t>4</w:t>
      </w:r>
      <w:r w:rsidR="00C4467E" w:rsidRPr="00F86117">
        <w:t xml:space="preserve"> (cost saving by $</w:t>
      </w:r>
      <w:r w:rsidR="0035011A">
        <w:rPr>
          <w:noProof/>
          <w:color w:val="000000"/>
          <w:highlight w:val="black"/>
        </w:rPr>
        <w:t>'''''''''''''</w:t>
      </w:r>
      <w:r w:rsidR="00C4467E" w:rsidRPr="00F86117">
        <w:t>)</w:t>
      </w:r>
      <w:r w:rsidRPr="00F86117">
        <w:t xml:space="preserve">. </w:t>
      </w:r>
      <w:r w:rsidR="00C16B9D" w:rsidRPr="00F86117">
        <w:t>These estimates were based on published prices.</w:t>
      </w:r>
      <w:r w:rsidR="00A519E0" w:rsidRPr="00F86117">
        <w:t xml:space="preserve"> </w:t>
      </w:r>
    </w:p>
    <w:p w:rsidR="00BB433C" w:rsidRPr="00F86117" w:rsidRDefault="00BB433C" w:rsidP="0061386A">
      <w:pPr>
        <w:pStyle w:val="Heading2"/>
        <w:widowControl/>
        <w:spacing w:before="120"/>
      </w:pPr>
      <w:bookmarkStart w:id="39" w:name="_Toc371170712"/>
      <w:bookmarkStart w:id="40" w:name="_Toc536002948"/>
      <w:bookmarkStart w:id="41" w:name="_Toc536023500"/>
      <w:r w:rsidRPr="00F86117">
        <w:t>Estimated PBS usage &amp; financial implications</w:t>
      </w:r>
      <w:bookmarkEnd w:id="39"/>
      <w:bookmarkEnd w:id="40"/>
      <w:bookmarkEnd w:id="41"/>
    </w:p>
    <w:p w:rsidR="00BB433C" w:rsidRPr="00F86117" w:rsidRDefault="00BB433C" w:rsidP="0061386A">
      <w:pPr>
        <w:pStyle w:val="ListParagraph"/>
        <w:widowControl/>
        <w:numPr>
          <w:ilvl w:val="1"/>
          <w:numId w:val="2"/>
        </w:numPr>
        <w:spacing w:before="120"/>
        <w:rPr>
          <w:i/>
        </w:rPr>
      </w:pPr>
      <w:r w:rsidRPr="00F86117">
        <w:t>This submission w</w:t>
      </w:r>
      <w:r w:rsidR="009B576D" w:rsidRPr="00F86117">
        <w:t>as not</w:t>
      </w:r>
      <w:r w:rsidRPr="00F86117">
        <w:t xml:space="preserve"> considered by DUSC.</w:t>
      </w:r>
      <w:r w:rsidRPr="00F86117">
        <w:rPr>
          <w:color w:val="0070C0"/>
        </w:rPr>
        <w:t xml:space="preserve"> </w:t>
      </w:r>
      <w:r w:rsidRPr="00F86117">
        <w:t xml:space="preserve">The submission presented the expected financial impact associated with the listing of </w:t>
      </w:r>
      <w:proofErr w:type="spellStart"/>
      <w:r w:rsidRPr="00F86117">
        <w:t>cabozantinib</w:t>
      </w:r>
      <w:proofErr w:type="spellEnd"/>
      <w:r w:rsidRPr="00F86117">
        <w:t xml:space="preserve"> based on a market share approach. The submission presented two scenarios in which </w:t>
      </w:r>
      <w:proofErr w:type="spellStart"/>
      <w:r w:rsidRPr="00F86117">
        <w:t>i</w:t>
      </w:r>
      <w:proofErr w:type="spellEnd"/>
      <w:r w:rsidRPr="00F86117">
        <w:t xml:space="preserve">) </w:t>
      </w:r>
      <w:proofErr w:type="spellStart"/>
      <w:r w:rsidRPr="00F86117">
        <w:t>cabozantinib</w:t>
      </w:r>
      <w:proofErr w:type="spellEnd"/>
      <w:r w:rsidRPr="00F86117">
        <w:t xml:space="preserve"> will substitute </w:t>
      </w:r>
      <w:proofErr w:type="spellStart"/>
      <w:r w:rsidRPr="00F86117">
        <w:t>sunitinib</w:t>
      </w:r>
      <w:proofErr w:type="spellEnd"/>
      <w:r w:rsidRPr="00F86117">
        <w:t xml:space="preserve"> and </w:t>
      </w:r>
      <w:proofErr w:type="spellStart"/>
      <w:r w:rsidRPr="00F86117">
        <w:t>pazopanib</w:t>
      </w:r>
      <w:proofErr w:type="spellEnd"/>
      <w:r w:rsidRPr="00F86117">
        <w:t xml:space="preserve">; and ii) both </w:t>
      </w:r>
      <w:proofErr w:type="spellStart"/>
      <w:r w:rsidRPr="00F86117">
        <w:t>cabozantinib</w:t>
      </w:r>
      <w:proofErr w:type="spellEnd"/>
      <w:r w:rsidRPr="00F86117">
        <w:t xml:space="preserve"> and NIVO+IPI will substitute for </w:t>
      </w:r>
      <w:proofErr w:type="spellStart"/>
      <w:r w:rsidRPr="00F86117">
        <w:t>sunitinib</w:t>
      </w:r>
      <w:proofErr w:type="spellEnd"/>
      <w:r w:rsidRPr="00F86117">
        <w:t xml:space="preserve"> and </w:t>
      </w:r>
      <w:proofErr w:type="spellStart"/>
      <w:r w:rsidRPr="00F86117">
        <w:t>pazopanib</w:t>
      </w:r>
      <w:proofErr w:type="spellEnd"/>
      <w:r w:rsidRPr="00F86117">
        <w:t xml:space="preserve"> (what the submission termed a ‘dual listing’ </w:t>
      </w:r>
      <w:r w:rsidRPr="00F86117">
        <w:lastRenderedPageBreak/>
        <w:t xml:space="preserve">hereafter referred as ‘simultaneous listing’). </w:t>
      </w:r>
      <w:r w:rsidR="00E56BC1" w:rsidRPr="00F86117">
        <w:t xml:space="preserve">Published DPMQ prices used in the estimates were $5,152.07 for </w:t>
      </w:r>
      <w:proofErr w:type="spellStart"/>
      <w:r w:rsidR="00E56BC1" w:rsidRPr="00F86117">
        <w:t>nivolumab</w:t>
      </w:r>
      <w:proofErr w:type="spellEnd"/>
      <w:r w:rsidR="00E56BC1" w:rsidRPr="00F86117">
        <w:t xml:space="preserve"> (240 mg) and $12,085.42 for </w:t>
      </w:r>
      <w:proofErr w:type="spellStart"/>
      <w:r w:rsidR="00E56BC1" w:rsidRPr="00F86117">
        <w:t>ipilimumab</w:t>
      </w:r>
      <w:proofErr w:type="spellEnd"/>
      <w:r w:rsidR="00E56BC1" w:rsidRPr="00F86117">
        <w:t xml:space="preserve"> (80 mg). </w:t>
      </w:r>
    </w:p>
    <w:p w:rsidR="00BB433C" w:rsidRPr="00F86117" w:rsidRDefault="00BB433C" w:rsidP="0061386A">
      <w:pPr>
        <w:pStyle w:val="ListParagraph"/>
        <w:widowControl/>
        <w:numPr>
          <w:ilvl w:val="1"/>
          <w:numId w:val="2"/>
        </w:numPr>
        <w:spacing w:before="120"/>
      </w:pPr>
      <w:r w:rsidRPr="00F86117">
        <w:t xml:space="preserve">The estimated use for </w:t>
      </w:r>
      <w:proofErr w:type="spellStart"/>
      <w:r w:rsidRPr="00F86117">
        <w:t>cabozantinib</w:t>
      </w:r>
      <w:proofErr w:type="spellEnd"/>
      <w:r w:rsidRPr="00F86117">
        <w:t xml:space="preserve"> as a first-line therapy, including its substitution for </w:t>
      </w:r>
      <w:proofErr w:type="spellStart"/>
      <w:r w:rsidRPr="00F86117">
        <w:t>sunitinib</w:t>
      </w:r>
      <w:proofErr w:type="spellEnd"/>
      <w:r w:rsidRPr="00F86117">
        <w:t xml:space="preserve"> and </w:t>
      </w:r>
      <w:proofErr w:type="spellStart"/>
      <w:r w:rsidRPr="00F86117">
        <w:t>pazopanib</w:t>
      </w:r>
      <w:proofErr w:type="spellEnd"/>
      <w:r w:rsidRPr="00F86117">
        <w:t xml:space="preserve">, is presented in Table </w:t>
      </w:r>
      <w:r w:rsidR="00A742ED" w:rsidRPr="00F86117">
        <w:t>1</w:t>
      </w:r>
      <w:r w:rsidR="0059319D" w:rsidRPr="00F86117">
        <w:t>7</w:t>
      </w:r>
      <w:r w:rsidRPr="00F86117">
        <w:t>. The estimates as applied in the situ</w:t>
      </w:r>
      <w:r w:rsidR="00A20EB9" w:rsidRPr="00F86117">
        <w:t>ation of the simultaneous listing</w:t>
      </w:r>
      <w:r w:rsidRPr="00F86117">
        <w:t xml:space="preserve"> are presented in Table 1</w:t>
      </w:r>
      <w:r w:rsidR="0059319D" w:rsidRPr="00F86117">
        <w:t>8</w:t>
      </w:r>
      <w:r w:rsidRPr="00F86117">
        <w:t>.</w:t>
      </w:r>
    </w:p>
    <w:p w:rsidR="00BB433C" w:rsidRPr="00F86117" w:rsidRDefault="00BB433C" w:rsidP="00AD4D26">
      <w:pPr>
        <w:widowControl/>
      </w:pPr>
      <w:r w:rsidRPr="00F86117">
        <w:rPr>
          <w:rStyle w:val="CommentReference"/>
        </w:rPr>
        <w:t>Table 1</w:t>
      </w:r>
      <w:r w:rsidR="0059319D" w:rsidRPr="00F86117">
        <w:rPr>
          <w:rStyle w:val="CommentReference"/>
        </w:rPr>
        <w:t>7</w:t>
      </w:r>
      <w:r w:rsidRPr="00F86117">
        <w:rPr>
          <w:rStyle w:val="CommentReference"/>
        </w:rPr>
        <w:t>: Estimated use and financial implications (</w:t>
      </w:r>
      <w:proofErr w:type="spellStart"/>
      <w:r w:rsidRPr="00F86117">
        <w:rPr>
          <w:rStyle w:val="CommentReference"/>
        </w:rPr>
        <w:t>cabozantinib</w:t>
      </w:r>
      <w:proofErr w:type="spellEnd"/>
      <w:r w:rsidRPr="00F86117">
        <w:rPr>
          <w:rStyle w:val="CommentReference"/>
        </w:rPr>
        <w:t xml:space="preserve"> listing only)</w:t>
      </w:r>
      <w:r w:rsidR="00BF12FB" w:rsidRPr="00F86117">
        <w:rPr>
          <w:rStyle w:val="CommentReference"/>
        </w:rPr>
        <w:t xml:space="preserve"> based on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Estimated use and financial implications (cabozantinib listing only) based on published prices"/>
      </w:tblPr>
      <w:tblGrid>
        <w:gridCol w:w="1729"/>
        <w:gridCol w:w="1214"/>
        <w:gridCol w:w="1215"/>
        <w:gridCol w:w="1215"/>
        <w:gridCol w:w="1215"/>
        <w:gridCol w:w="1215"/>
        <w:gridCol w:w="1214"/>
      </w:tblGrid>
      <w:tr w:rsidR="00BB433C" w:rsidRPr="00F86117" w:rsidTr="005623A6">
        <w:trPr>
          <w:tblHeader/>
        </w:trPr>
        <w:tc>
          <w:tcPr>
            <w:tcW w:w="958" w:type="pct"/>
            <w:shd w:val="clear" w:color="auto" w:fill="auto"/>
            <w:vAlign w:val="center"/>
          </w:tcPr>
          <w:p w:rsidR="00BB433C" w:rsidRPr="00F86117" w:rsidRDefault="00BB433C" w:rsidP="00AD4D26">
            <w:pPr>
              <w:pStyle w:val="Tabletext"/>
            </w:pPr>
          </w:p>
        </w:tc>
        <w:tc>
          <w:tcPr>
            <w:tcW w:w="673" w:type="pct"/>
            <w:shd w:val="clear" w:color="auto" w:fill="auto"/>
            <w:vAlign w:val="center"/>
          </w:tcPr>
          <w:p w:rsidR="00BB433C" w:rsidRPr="00F86117" w:rsidRDefault="00BB433C" w:rsidP="00AD4D26">
            <w:pPr>
              <w:pStyle w:val="Tabletext"/>
              <w:jc w:val="center"/>
              <w:rPr>
                <w:b/>
              </w:rPr>
            </w:pPr>
            <w:r w:rsidRPr="00F86117">
              <w:rPr>
                <w:b/>
              </w:rPr>
              <w:t>Year 1</w:t>
            </w:r>
          </w:p>
        </w:tc>
        <w:tc>
          <w:tcPr>
            <w:tcW w:w="674" w:type="pct"/>
            <w:shd w:val="clear" w:color="auto" w:fill="auto"/>
            <w:vAlign w:val="center"/>
          </w:tcPr>
          <w:p w:rsidR="00BB433C" w:rsidRPr="00F86117" w:rsidRDefault="00BB433C" w:rsidP="00AD4D26">
            <w:pPr>
              <w:pStyle w:val="Tabletext"/>
              <w:jc w:val="center"/>
              <w:rPr>
                <w:b/>
              </w:rPr>
            </w:pPr>
            <w:r w:rsidRPr="00F86117">
              <w:rPr>
                <w:b/>
              </w:rPr>
              <w:t>Year 2</w:t>
            </w:r>
          </w:p>
        </w:tc>
        <w:tc>
          <w:tcPr>
            <w:tcW w:w="674" w:type="pct"/>
            <w:shd w:val="clear" w:color="auto" w:fill="auto"/>
            <w:vAlign w:val="center"/>
          </w:tcPr>
          <w:p w:rsidR="00BB433C" w:rsidRPr="00F86117" w:rsidRDefault="00BB433C" w:rsidP="00AD4D26">
            <w:pPr>
              <w:pStyle w:val="Tabletext"/>
              <w:jc w:val="center"/>
              <w:rPr>
                <w:b/>
              </w:rPr>
            </w:pPr>
            <w:r w:rsidRPr="00F86117">
              <w:rPr>
                <w:b/>
              </w:rPr>
              <w:t>Year 3</w:t>
            </w:r>
          </w:p>
        </w:tc>
        <w:tc>
          <w:tcPr>
            <w:tcW w:w="674" w:type="pct"/>
            <w:shd w:val="clear" w:color="auto" w:fill="auto"/>
            <w:vAlign w:val="center"/>
          </w:tcPr>
          <w:p w:rsidR="00BB433C" w:rsidRPr="00F86117" w:rsidRDefault="00BB433C" w:rsidP="00AD4D26">
            <w:pPr>
              <w:pStyle w:val="Tabletext"/>
              <w:jc w:val="center"/>
              <w:rPr>
                <w:b/>
              </w:rPr>
            </w:pPr>
            <w:r w:rsidRPr="00F86117">
              <w:rPr>
                <w:b/>
              </w:rPr>
              <w:t>Year 4</w:t>
            </w:r>
          </w:p>
        </w:tc>
        <w:tc>
          <w:tcPr>
            <w:tcW w:w="674" w:type="pct"/>
            <w:shd w:val="clear" w:color="auto" w:fill="auto"/>
            <w:vAlign w:val="center"/>
          </w:tcPr>
          <w:p w:rsidR="00BB433C" w:rsidRPr="00F86117" w:rsidRDefault="00BB433C" w:rsidP="00AD4D26">
            <w:pPr>
              <w:pStyle w:val="Tabletext"/>
              <w:jc w:val="center"/>
              <w:rPr>
                <w:b/>
              </w:rPr>
            </w:pPr>
            <w:r w:rsidRPr="00F86117">
              <w:rPr>
                <w:b/>
              </w:rPr>
              <w:t>Year 5</w:t>
            </w:r>
          </w:p>
        </w:tc>
        <w:tc>
          <w:tcPr>
            <w:tcW w:w="674" w:type="pct"/>
          </w:tcPr>
          <w:p w:rsidR="00BB433C" w:rsidRPr="00F86117" w:rsidRDefault="00BB433C" w:rsidP="00AD4D26">
            <w:pPr>
              <w:pStyle w:val="Tabletext"/>
              <w:jc w:val="center"/>
              <w:rPr>
                <w:b/>
              </w:rPr>
            </w:pPr>
            <w:r w:rsidRPr="00F86117">
              <w:rPr>
                <w:b/>
              </w:rPr>
              <w:t>Year 6</w:t>
            </w:r>
          </w:p>
        </w:tc>
      </w:tr>
      <w:tr w:rsidR="00BB433C" w:rsidRPr="00F86117" w:rsidTr="005623A6">
        <w:tc>
          <w:tcPr>
            <w:tcW w:w="5000" w:type="pct"/>
            <w:gridSpan w:val="7"/>
            <w:shd w:val="clear" w:color="auto" w:fill="auto"/>
            <w:vAlign w:val="center"/>
          </w:tcPr>
          <w:p w:rsidR="00BB433C" w:rsidRPr="00F86117" w:rsidRDefault="00BB433C" w:rsidP="00AD4D26">
            <w:pPr>
              <w:pStyle w:val="Tabletext"/>
              <w:rPr>
                <w:b/>
                <w:bCs/>
                <w:color w:val="000000"/>
              </w:rPr>
            </w:pPr>
            <w:r w:rsidRPr="00F86117">
              <w:rPr>
                <w:b/>
                <w:bCs/>
                <w:color w:val="000000"/>
              </w:rPr>
              <w:t>Estimated extent of use</w:t>
            </w:r>
          </w:p>
        </w:tc>
      </w:tr>
      <w:tr w:rsidR="00BB433C" w:rsidRPr="00F86117" w:rsidTr="005623A6">
        <w:tc>
          <w:tcPr>
            <w:tcW w:w="958" w:type="pct"/>
            <w:shd w:val="clear" w:color="auto" w:fill="auto"/>
            <w:vAlign w:val="center"/>
          </w:tcPr>
          <w:p w:rsidR="00BB433C" w:rsidRPr="00F86117" w:rsidRDefault="00BB433C" w:rsidP="00AD4D26">
            <w:pPr>
              <w:pStyle w:val="Tabletext"/>
              <w:rPr>
                <w:rFonts w:ascii="Times" w:hAnsi="Times"/>
              </w:rPr>
            </w:pPr>
            <w:r w:rsidRPr="00F86117">
              <w:t>Number of patients treated*</w:t>
            </w:r>
          </w:p>
        </w:tc>
        <w:tc>
          <w:tcPr>
            <w:tcW w:w="673" w:type="pct"/>
            <w:shd w:val="clear" w:color="auto" w:fill="auto"/>
            <w:vAlign w:val="bottom"/>
          </w:tcPr>
          <w:p w:rsidR="00BB433C" w:rsidRPr="0035011A" w:rsidRDefault="0035011A" w:rsidP="00AD4D26">
            <w:pPr>
              <w:pStyle w:val="Tabletext"/>
              <w:jc w:val="center"/>
              <w:rPr>
                <w:bCs/>
                <w:color w:val="000000"/>
                <w:highlight w:val="black"/>
              </w:rPr>
            </w:pPr>
            <w:r>
              <w:rPr>
                <w:rFonts w:cs="Calibri"/>
                <w:noProof/>
                <w:color w:val="000000"/>
                <w:highlight w:val="black"/>
              </w:rPr>
              <w:t>'''''''''</w:t>
            </w:r>
          </w:p>
        </w:tc>
        <w:tc>
          <w:tcPr>
            <w:tcW w:w="674" w:type="pct"/>
            <w:shd w:val="clear" w:color="auto" w:fill="auto"/>
            <w:vAlign w:val="bottom"/>
          </w:tcPr>
          <w:p w:rsidR="00BB433C" w:rsidRPr="0035011A" w:rsidRDefault="0035011A" w:rsidP="00AD4D26">
            <w:pPr>
              <w:pStyle w:val="Tabletext"/>
              <w:jc w:val="center"/>
              <w:rPr>
                <w:bCs/>
                <w:color w:val="000000"/>
                <w:highlight w:val="black"/>
              </w:rPr>
            </w:pPr>
            <w:r>
              <w:rPr>
                <w:rFonts w:cs="Calibri"/>
                <w:noProof/>
                <w:color w:val="000000"/>
                <w:highlight w:val="black"/>
              </w:rPr>
              <w:t>'''''''''</w:t>
            </w:r>
          </w:p>
        </w:tc>
        <w:tc>
          <w:tcPr>
            <w:tcW w:w="674" w:type="pct"/>
            <w:shd w:val="clear" w:color="auto" w:fill="auto"/>
            <w:vAlign w:val="bottom"/>
          </w:tcPr>
          <w:p w:rsidR="00BB433C" w:rsidRPr="0035011A" w:rsidRDefault="0035011A" w:rsidP="00AD4D26">
            <w:pPr>
              <w:pStyle w:val="Tabletext"/>
              <w:jc w:val="center"/>
              <w:rPr>
                <w:bCs/>
                <w:color w:val="000000"/>
                <w:highlight w:val="black"/>
              </w:rPr>
            </w:pPr>
            <w:r>
              <w:rPr>
                <w:rFonts w:cs="Calibri"/>
                <w:noProof/>
                <w:color w:val="000000"/>
                <w:highlight w:val="black"/>
              </w:rPr>
              <w:t>''''''''</w:t>
            </w:r>
          </w:p>
        </w:tc>
        <w:tc>
          <w:tcPr>
            <w:tcW w:w="674" w:type="pct"/>
            <w:shd w:val="clear" w:color="auto" w:fill="auto"/>
            <w:vAlign w:val="bottom"/>
          </w:tcPr>
          <w:p w:rsidR="00BB433C" w:rsidRPr="0035011A" w:rsidRDefault="0035011A" w:rsidP="00AD4D26">
            <w:pPr>
              <w:pStyle w:val="Tabletext"/>
              <w:jc w:val="center"/>
              <w:rPr>
                <w:bCs/>
                <w:color w:val="000000"/>
                <w:highlight w:val="black"/>
              </w:rPr>
            </w:pPr>
            <w:r>
              <w:rPr>
                <w:rFonts w:cs="Calibri"/>
                <w:noProof/>
                <w:color w:val="000000"/>
                <w:highlight w:val="black"/>
              </w:rPr>
              <w:t>'''''''''</w:t>
            </w:r>
          </w:p>
        </w:tc>
        <w:tc>
          <w:tcPr>
            <w:tcW w:w="674" w:type="pct"/>
            <w:shd w:val="clear" w:color="auto" w:fill="auto"/>
            <w:vAlign w:val="bottom"/>
          </w:tcPr>
          <w:p w:rsidR="00BB433C" w:rsidRPr="0035011A" w:rsidRDefault="0035011A" w:rsidP="00AD4D26">
            <w:pPr>
              <w:pStyle w:val="Tabletext"/>
              <w:jc w:val="center"/>
              <w:rPr>
                <w:bCs/>
                <w:color w:val="000000"/>
                <w:highlight w:val="black"/>
              </w:rPr>
            </w:pPr>
            <w:r>
              <w:rPr>
                <w:rFonts w:cs="Calibri"/>
                <w:noProof/>
                <w:color w:val="000000"/>
                <w:highlight w:val="black"/>
              </w:rPr>
              <w:t>''''''''''</w:t>
            </w:r>
          </w:p>
        </w:tc>
        <w:tc>
          <w:tcPr>
            <w:tcW w:w="674" w:type="pct"/>
            <w:vAlign w:val="bottom"/>
          </w:tcPr>
          <w:p w:rsidR="00BB433C" w:rsidRPr="0035011A" w:rsidRDefault="0035011A" w:rsidP="00AD4D26">
            <w:pPr>
              <w:pStyle w:val="Tabletext"/>
              <w:jc w:val="center"/>
              <w:rPr>
                <w:bCs/>
                <w:color w:val="000000"/>
                <w:highlight w:val="black"/>
              </w:rPr>
            </w:pPr>
            <w:r>
              <w:rPr>
                <w:rFonts w:cs="Calibri"/>
                <w:noProof/>
                <w:color w:val="000000"/>
                <w:highlight w:val="black"/>
              </w:rPr>
              <w:t>'''''''''</w:t>
            </w:r>
          </w:p>
        </w:tc>
      </w:tr>
      <w:tr w:rsidR="00BB433C" w:rsidRPr="00F86117" w:rsidTr="005623A6">
        <w:tc>
          <w:tcPr>
            <w:tcW w:w="958" w:type="pct"/>
            <w:shd w:val="clear" w:color="auto" w:fill="auto"/>
            <w:vAlign w:val="center"/>
          </w:tcPr>
          <w:p w:rsidR="00BB433C" w:rsidRPr="00F86117" w:rsidRDefault="00BB433C" w:rsidP="00AD4D26">
            <w:pPr>
              <w:pStyle w:val="Tabletext"/>
              <w:rPr>
                <w:rFonts w:ascii="Times" w:hAnsi="Times"/>
              </w:rPr>
            </w:pPr>
            <w:r w:rsidRPr="00F86117">
              <w:t xml:space="preserve">Number of scripts </w:t>
            </w:r>
            <w:proofErr w:type="spellStart"/>
            <w:r w:rsidRPr="00F86117">
              <w:t>dispensed</w:t>
            </w:r>
            <w:r w:rsidRPr="00F86117">
              <w:rPr>
                <w:vertAlign w:val="superscript"/>
              </w:rPr>
              <w:t>a</w:t>
            </w:r>
            <w:proofErr w:type="spellEnd"/>
          </w:p>
        </w:tc>
        <w:tc>
          <w:tcPr>
            <w:tcW w:w="673" w:type="pct"/>
            <w:shd w:val="clear" w:color="auto" w:fill="auto"/>
          </w:tcPr>
          <w:p w:rsidR="00BB433C" w:rsidRPr="0035011A" w:rsidRDefault="0035011A" w:rsidP="00AD4D26">
            <w:pPr>
              <w:pStyle w:val="Tabletext"/>
              <w:jc w:val="center"/>
              <w:rPr>
                <w:bCs/>
                <w:color w:val="000000"/>
                <w:highlight w:val="black"/>
              </w:rPr>
            </w:pPr>
            <w:r>
              <w:rPr>
                <w:noProof/>
                <w:color w:val="000000"/>
                <w:szCs w:val="20"/>
                <w:highlight w:val="black"/>
              </w:rPr>
              <w:t>'''''''''''''</w:t>
            </w:r>
          </w:p>
        </w:tc>
        <w:tc>
          <w:tcPr>
            <w:tcW w:w="674" w:type="pct"/>
            <w:shd w:val="clear" w:color="auto" w:fill="auto"/>
          </w:tcPr>
          <w:p w:rsidR="00BB433C" w:rsidRPr="0035011A" w:rsidRDefault="0035011A" w:rsidP="00AD4D26">
            <w:pPr>
              <w:pStyle w:val="Tabletext"/>
              <w:jc w:val="center"/>
              <w:rPr>
                <w:bCs/>
                <w:color w:val="000000"/>
                <w:highlight w:val="black"/>
              </w:rPr>
            </w:pPr>
            <w:r>
              <w:rPr>
                <w:noProof/>
                <w:color w:val="000000"/>
                <w:szCs w:val="20"/>
                <w:highlight w:val="black"/>
              </w:rPr>
              <w:t>'''''''''''''</w:t>
            </w:r>
          </w:p>
        </w:tc>
        <w:tc>
          <w:tcPr>
            <w:tcW w:w="674" w:type="pct"/>
            <w:shd w:val="clear" w:color="auto" w:fill="auto"/>
          </w:tcPr>
          <w:p w:rsidR="00BB433C" w:rsidRPr="0035011A" w:rsidRDefault="0035011A" w:rsidP="00AD4D26">
            <w:pPr>
              <w:pStyle w:val="Tabletext"/>
              <w:jc w:val="center"/>
              <w:rPr>
                <w:bCs/>
                <w:color w:val="000000"/>
                <w:highlight w:val="black"/>
              </w:rPr>
            </w:pPr>
            <w:r>
              <w:rPr>
                <w:noProof/>
                <w:color w:val="000000"/>
                <w:szCs w:val="20"/>
                <w:highlight w:val="black"/>
              </w:rPr>
              <w:t>'''''''''''''''</w:t>
            </w:r>
          </w:p>
        </w:tc>
        <w:tc>
          <w:tcPr>
            <w:tcW w:w="674" w:type="pct"/>
            <w:shd w:val="clear" w:color="auto" w:fill="auto"/>
          </w:tcPr>
          <w:p w:rsidR="00BB433C" w:rsidRPr="0035011A" w:rsidRDefault="0035011A" w:rsidP="00AD4D26">
            <w:pPr>
              <w:pStyle w:val="Tabletext"/>
              <w:jc w:val="center"/>
              <w:rPr>
                <w:bCs/>
                <w:color w:val="000000"/>
                <w:highlight w:val="black"/>
              </w:rPr>
            </w:pPr>
            <w:r>
              <w:rPr>
                <w:noProof/>
                <w:color w:val="000000"/>
                <w:szCs w:val="20"/>
                <w:highlight w:val="black"/>
              </w:rPr>
              <w:t>'''''''''''''</w:t>
            </w:r>
          </w:p>
        </w:tc>
        <w:tc>
          <w:tcPr>
            <w:tcW w:w="674" w:type="pct"/>
            <w:shd w:val="clear" w:color="auto" w:fill="auto"/>
          </w:tcPr>
          <w:p w:rsidR="00BB433C" w:rsidRPr="0035011A" w:rsidRDefault="0035011A" w:rsidP="00AD4D26">
            <w:pPr>
              <w:pStyle w:val="Tabletext"/>
              <w:jc w:val="center"/>
              <w:rPr>
                <w:bCs/>
                <w:color w:val="000000"/>
                <w:highlight w:val="black"/>
              </w:rPr>
            </w:pPr>
            <w:r>
              <w:rPr>
                <w:noProof/>
                <w:color w:val="000000"/>
                <w:szCs w:val="20"/>
                <w:highlight w:val="black"/>
              </w:rPr>
              <w:t>'''''''''''''</w:t>
            </w:r>
          </w:p>
        </w:tc>
        <w:tc>
          <w:tcPr>
            <w:tcW w:w="674" w:type="pct"/>
          </w:tcPr>
          <w:p w:rsidR="00BB433C" w:rsidRPr="0035011A" w:rsidRDefault="0035011A" w:rsidP="00AD4D26">
            <w:pPr>
              <w:pStyle w:val="Tabletext"/>
              <w:jc w:val="center"/>
              <w:rPr>
                <w:bCs/>
                <w:color w:val="000000"/>
                <w:highlight w:val="black"/>
              </w:rPr>
            </w:pPr>
            <w:r>
              <w:rPr>
                <w:noProof/>
                <w:color w:val="000000"/>
                <w:szCs w:val="20"/>
                <w:highlight w:val="black"/>
              </w:rPr>
              <w:t>''''''''''''</w:t>
            </w:r>
          </w:p>
        </w:tc>
      </w:tr>
      <w:tr w:rsidR="00BB433C" w:rsidRPr="00F86117" w:rsidTr="005623A6">
        <w:tc>
          <w:tcPr>
            <w:tcW w:w="5000" w:type="pct"/>
            <w:gridSpan w:val="7"/>
            <w:shd w:val="clear" w:color="auto" w:fill="auto"/>
            <w:vAlign w:val="center"/>
          </w:tcPr>
          <w:p w:rsidR="00BB433C" w:rsidRPr="00F86117" w:rsidRDefault="00BB433C" w:rsidP="00AD4D26">
            <w:pPr>
              <w:pStyle w:val="Tabletext"/>
              <w:rPr>
                <w:b/>
                <w:bCs/>
                <w:color w:val="000000"/>
              </w:rPr>
            </w:pPr>
            <w:r w:rsidRPr="00F86117">
              <w:rPr>
                <w:b/>
                <w:bCs/>
                <w:color w:val="000000"/>
              </w:rPr>
              <w:t xml:space="preserve">Estimated financial implications of </w:t>
            </w:r>
            <w:proofErr w:type="spellStart"/>
            <w:r w:rsidRPr="00F86117">
              <w:rPr>
                <w:b/>
                <w:bCs/>
                <w:color w:val="000000"/>
              </w:rPr>
              <w:t>cabozantinib</w:t>
            </w:r>
            <w:proofErr w:type="spellEnd"/>
          </w:p>
        </w:tc>
      </w:tr>
      <w:tr w:rsidR="00BB433C" w:rsidRPr="00F86117" w:rsidTr="005623A6">
        <w:tc>
          <w:tcPr>
            <w:tcW w:w="958" w:type="pct"/>
            <w:shd w:val="clear" w:color="auto" w:fill="auto"/>
            <w:vAlign w:val="center"/>
          </w:tcPr>
          <w:p w:rsidR="00BB433C" w:rsidRPr="00F86117" w:rsidRDefault="00BB433C" w:rsidP="00AD4D26">
            <w:pPr>
              <w:pStyle w:val="Tabletext"/>
              <w:rPr>
                <w:rFonts w:ascii="Times" w:hAnsi="Times"/>
              </w:rPr>
            </w:pPr>
            <w:r w:rsidRPr="00F86117">
              <w:rPr>
                <w:sz w:val="19"/>
                <w:szCs w:val="19"/>
              </w:rPr>
              <w:t>Cost to PBS/RPBS</w:t>
            </w:r>
          </w:p>
        </w:tc>
        <w:tc>
          <w:tcPr>
            <w:tcW w:w="673"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41,867,836</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51,664,169</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54,247,378</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56,959,746</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59,807,734</w:t>
            </w:r>
          </w:p>
        </w:tc>
        <w:tc>
          <w:tcPr>
            <w:tcW w:w="674" w:type="pct"/>
          </w:tcPr>
          <w:p w:rsidR="00BB433C" w:rsidRPr="00F86117" w:rsidRDefault="00BB433C" w:rsidP="00AD4D26">
            <w:pPr>
              <w:pStyle w:val="Tabletext"/>
              <w:jc w:val="center"/>
              <w:rPr>
                <w:bCs/>
                <w:color w:val="000000"/>
              </w:rPr>
            </w:pPr>
            <w:r w:rsidRPr="00F86117">
              <w:rPr>
                <w:szCs w:val="20"/>
              </w:rPr>
              <w:t>$</w:t>
            </w:r>
            <w:r w:rsidRPr="00425573">
              <w:rPr>
                <w:szCs w:val="20"/>
              </w:rPr>
              <w:t>62,798,120</w:t>
            </w:r>
          </w:p>
        </w:tc>
      </w:tr>
      <w:tr w:rsidR="00BB433C" w:rsidRPr="00F86117" w:rsidTr="005623A6">
        <w:tc>
          <w:tcPr>
            <w:tcW w:w="958" w:type="pct"/>
            <w:shd w:val="clear" w:color="auto" w:fill="auto"/>
            <w:vAlign w:val="center"/>
          </w:tcPr>
          <w:p w:rsidR="00BB433C" w:rsidRPr="00F86117" w:rsidRDefault="00BB433C" w:rsidP="00AD4D26">
            <w:pPr>
              <w:pStyle w:val="Tabletext"/>
              <w:rPr>
                <w:sz w:val="19"/>
                <w:szCs w:val="19"/>
              </w:rPr>
            </w:pPr>
            <w:proofErr w:type="spellStart"/>
            <w:r w:rsidRPr="00F86117">
              <w:rPr>
                <w:sz w:val="19"/>
                <w:szCs w:val="19"/>
              </w:rPr>
              <w:t>Copayments</w:t>
            </w:r>
            <w:proofErr w:type="spellEnd"/>
          </w:p>
        </w:tc>
        <w:tc>
          <w:tcPr>
            <w:tcW w:w="673"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69,978</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86,352</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90,669</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95,203</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99,963</w:t>
            </w:r>
          </w:p>
        </w:tc>
        <w:tc>
          <w:tcPr>
            <w:tcW w:w="674" w:type="pct"/>
          </w:tcPr>
          <w:p w:rsidR="00BB433C" w:rsidRPr="00F86117" w:rsidRDefault="00BB433C" w:rsidP="00AD4D26">
            <w:pPr>
              <w:pStyle w:val="Tabletext"/>
              <w:jc w:val="center"/>
              <w:rPr>
                <w:bCs/>
                <w:color w:val="000000"/>
              </w:rPr>
            </w:pPr>
            <w:r w:rsidRPr="00F86117">
              <w:rPr>
                <w:szCs w:val="20"/>
              </w:rPr>
              <w:t>-$</w:t>
            </w:r>
            <w:r w:rsidRPr="00425573">
              <w:rPr>
                <w:szCs w:val="20"/>
              </w:rPr>
              <w:t>104,961</w:t>
            </w:r>
          </w:p>
        </w:tc>
      </w:tr>
      <w:tr w:rsidR="00BB433C" w:rsidRPr="00F86117" w:rsidTr="005623A6">
        <w:tc>
          <w:tcPr>
            <w:tcW w:w="958" w:type="pct"/>
            <w:shd w:val="clear" w:color="auto" w:fill="auto"/>
            <w:vAlign w:val="center"/>
          </w:tcPr>
          <w:p w:rsidR="00BB433C" w:rsidRPr="00F86117" w:rsidRDefault="00BB433C" w:rsidP="00AD4D26">
            <w:pPr>
              <w:pStyle w:val="Tabletext"/>
              <w:rPr>
                <w:sz w:val="19"/>
                <w:szCs w:val="19"/>
              </w:rPr>
            </w:pPr>
            <w:r w:rsidRPr="00F86117">
              <w:rPr>
                <w:sz w:val="19"/>
                <w:szCs w:val="19"/>
              </w:rPr>
              <w:t>Cost to PBS/RPBS less co-payments</w:t>
            </w:r>
          </w:p>
        </w:tc>
        <w:tc>
          <w:tcPr>
            <w:tcW w:w="673"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41,797,858</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51,577,818</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54,156,708</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56,864,544</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59,707,771</w:t>
            </w:r>
          </w:p>
        </w:tc>
        <w:tc>
          <w:tcPr>
            <w:tcW w:w="674" w:type="pct"/>
          </w:tcPr>
          <w:p w:rsidR="00BB433C" w:rsidRPr="00F86117" w:rsidRDefault="00BB433C" w:rsidP="00AD4D26">
            <w:pPr>
              <w:pStyle w:val="Tabletext"/>
              <w:jc w:val="center"/>
              <w:rPr>
                <w:bCs/>
                <w:color w:val="000000"/>
              </w:rPr>
            </w:pPr>
            <w:r w:rsidRPr="00F86117">
              <w:rPr>
                <w:szCs w:val="20"/>
              </w:rPr>
              <w:t>$</w:t>
            </w:r>
            <w:r w:rsidRPr="00425573">
              <w:rPr>
                <w:szCs w:val="20"/>
              </w:rPr>
              <w:t>62,693,160</w:t>
            </w:r>
          </w:p>
        </w:tc>
      </w:tr>
      <w:tr w:rsidR="00BB433C" w:rsidRPr="00F86117" w:rsidTr="005623A6">
        <w:tc>
          <w:tcPr>
            <w:tcW w:w="5000" w:type="pct"/>
            <w:gridSpan w:val="7"/>
            <w:shd w:val="clear" w:color="auto" w:fill="auto"/>
            <w:vAlign w:val="center"/>
          </w:tcPr>
          <w:p w:rsidR="00BB433C" w:rsidRPr="00F86117" w:rsidRDefault="00BB433C" w:rsidP="00AD4D26">
            <w:pPr>
              <w:pStyle w:val="Tabletext"/>
              <w:rPr>
                <w:bCs/>
                <w:color w:val="000000"/>
              </w:rPr>
            </w:pPr>
            <w:r w:rsidRPr="00F86117">
              <w:rPr>
                <w:b/>
                <w:bCs/>
                <w:color w:val="000000"/>
              </w:rPr>
              <w:t xml:space="preserve">Estimated financial implications for </w:t>
            </w:r>
            <w:proofErr w:type="spellStart"/>
            <w:r w:rsidRPr="00F86117">
              <w:rPr>
                <w:b/>
                <w:bCs/>
                <w:color w:val="000000"/>
              </w:rPr>
              <w:t>sunitinib</w:t>
            </w:r>
            <w:proofErr w:type="spellEnd"/>
            <w:r w:rsidRPr="00F86117">
              <w:rPr>
                <w:b/>
                <w:bCs/>
                <w:color w:val="000000"/>
              </w:rPr>
              <w:t>/</w:t>
            </w:r>
            <w:proofErr w:type="spellStart"/>
            <w:r w:rsidRPr="00F86117">
              <w:rPr>
                <w:b/>
                <w:bCs/>
                <w:color w:val="000000"/>
              </w:rPr>
              <w:t>pazopanib</w:t>
            </w:r>
            <w:proofErr w:type="spellEnd"/>
          </w:p>
        </w:tc>
      </w:tr>
      <w:tr w:rsidR="00BB433C" w:rsidRPr="00F86117" w:rsidTr="005623A6">
        <w:tc>
          <w:tcPr>
            <w:tcW w:w="958" w:type="pct"/>
            <w:shd w:val="clear" w:color="auto" w:fill="auto"/>
            <w:vAlign w:val="center"/>
          </w:tcPr>
          <w:p w:rsidR="00BB433C" w:rsidRPr="00F86117" w:rsidRDefault="00BB433C" w:rsidP="00AD4D26">
            <w:pPr>
              <w:pStyle w:val="Tabletext"/>
              <w:rPr>
                <w:sz w:val="19"/>
                <w:szCs w:val="19"/>
              </w:rPr>
            </w:pPr>
            <w:r w:rsidRPr="00F86117">
              <w:rPr>
                <w:sz w:val="19"/>
                <w:szCs w:val="19"/>
              </w:rPr>
              <w:t>Cost to PBS/RPBS</w:t>
            </w:r>
          </w:p>
        </w:tc>
        <w:tc>
          <w:tcPr>
            <w:tcW w:w="673" w:type="pct"/>
            <w:shd w:val="clear" w:color="auto" w:fill="auto"/>
          </w:tcPr>
          <w:p w:rsidR="00BB433C" w:rsidRPr="00F86117" w:rsidRDefault="00986E24"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12,575,654</w:t>
            </w:r>
          </w:p>
        </w:tc>
        <w:tc>
          <w:tcPr>
            <w:tcW w:w="674" w:type="pct"/>
            <w:shd w:val="clear" w:color="auto" w:fill="auto"/>
          </w:tcPr>
          <w:p w:rsidR="00BB433C" w:rsidRPr="00F86117" w:rsidRDefault="00986E24"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16,215,807</w:t>
            </w:r>
          </w:p>
        </w:tc>
        <w:tc>
          <w:tcPr>
            <w:tcW w:w="674" w:type="pct"/>
            <w:shd w:val="clear" w:color="auto" w:fill="auto"/>
          </w:tcPr>
          <w:p w:rsidR="00BB433C" w:rsidRPr="00F86117" w:rsidRDefault="00986E24"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16,226,922</w:t>
            </w:r>
          </w:p>
        </w:tc>
        <w:tc>
          <w:tcPr>
            <w:tcW w:w="674" w:type="pct"/>
            <w:shd w:val="clear" w:color="auto" w:fill="auto"/>
          </w:tcPr>
          <w:p w:rsidR="00BB433C" w:rsidRPr="00F86117" w:rsidRDefault="00986E24"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16,222,598</w:t>
            </w:r>
          </w:p>
        </w:tc>
        <w:tc>
          <w:tcPr>
            <w:tcW w:w="674" w:type="pct"/>
            <w:shd w:val="clear" w:color="auto" w:fill="auto"/>
          </w:tcPr>
          <w:p w:rsidR="00BB433C" w:rsidRPr="00F86117" w:rsidRDefault="00986E24"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16,201,745</w:t>
            </w:r>
          </w:p>
        </w:tc>
        <w:tc>
          <w:tcPr>
            <w:tcW w:w="674" w:type="pct"/>
          </w:tcPr>
          <w:p w:rsidR="00BB433C" w:rsidRPr="00F86117" w:rsidRDefault="00986E24"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16,163,210</w:t>
            </w:r>
          </w:p>
        </w:tc>
      </w:tr>
      <w:tr w:rsidR="00BB433C" w:rsidRPr="00F86117" w:rsidTr="005623A6">
        <w:tc>
          <w:tcPr>
            <w:tcW w:w="958" w:type="pct"/>
            <w:shd w:val="clear" w:color="auto" w:fill="auto"/>
            <w:vAlign w:val="center"/>
          </w:tcPr>
          <w:p w:rsidR="00BB433C" w:rsidRPr="00F86117" w:rsidRDefault="00BB433C" w:rsidP="00AD4D26">
            <w:pPr>
              <w:pStyle w:val="Tabletext"/>
              <w:rPr>
                <w:sz w:val="19"/>
                <w:szCs w:val="19"/>
              </w:rPr>
            </w:pPr>
            <w:r w:rsidRPr="00F86117">
              <w:rPr>
                <w:sz w:val="19"/>
                <w:szCs w:val="19"/>
              </w:rPr>
              <w:t>Co-payments</w:t>
            </w:r>
          </w:p>
        </w:tc>
        <w:tc>
          <w:tcPr>
            <w:tcW w:w="673" w:type="pct"/>
            <w:shd w:val="clear" w:color="auto" w:fill="auto"/>
          </w:tcPr>
          <w:p w:rsidR="00BB433C" w:rsidRPr="00F86117" w:rsidRDefault="00BB433C" w:rsidP="00AD4D26">
            <w:pPr>
              <w:pStyle w:val="Tabletext"/>
              <w:jc w:val="center"/>
              <w:rPr>
                <w:bCs/>
              </w:rPr>
            </w:pPr>
            <w:r w:rsidRPr="00F86117">
              <w:rPr>
                <w:rFonts w:cs="Calibri"/>
                <w:bCs/>
              </w:rPr>
              <w:t>$</w:t>
            </w:r>
            <w:r w:rsidRPr="00425573">
              <w:rPr>
                <w:rFonts w:cs="Calibri"/>
                <w:bCs/>
              </w:rPr>
              <w:t>47,573</w:t>
            </w:r>
          </w:p>
        </w:tc>
        <w:tc>
          <w:tcPr>
            <w:tcW w:w="674" w:type="pct"/>
            <w:shd w:val="clear" w:color="auto" w:fill="auto"/>
          </w:tcPr>
          <w:p w:rsidR="00BB433C" w:rsidRPr="00F86117" w:rsidRDefault="00BB433C" w:rsidP="00AD4D26">
            <w:pPr>
              <w:pStyle w:val="Tabletext"/>
              <w:jc w:val="center"/>
              <w:rPr>
                <w:bCs/>
              </w:rPr>
            </w:pPr>
            <w:r w:rsidRPr="00F86117">
              <w:rPr>
                <w:rFonts w:cs="Calibri"/>
                <w:bCs/>
              </w:rPr>
              <w:t>$</w:t>
            </w:r>
            <w:r w:rsidRPr="00425573">
              <w:rPr>
                <w:rFonts w:cs="Calibri"/>
                <w:bCs/>
              </w:rPr>
              <w:t>58,174</w:t>
            </w:r>
          </w:p>
        </w:tc>
        <w:tc>
          <w:tcPr>
            <w:tcW w:w="674" w:type="pct"/>
            <w:shd w:val="clear" w:color="auto" w:fill="auto"/>
          </w:tcPr>
          <w:p w:rsidR="00BB433C" w:rsidRPr="00F86117" w:rsidRDefault="00BB433C" w:rsidP="00AD4D26">
            <w:pPr>
              <w:pStyle w:val="Tabletext"/>
              <w:jc w:val="center"/>
              <w:rPr>
                <w:bCs/>
              </w:rPr>
            </w:pPr>
            <w:r w:rsidRPr="00F86117">
              <w:rPr>
                <w:rFonts w:cs="Calibri"/>
                <w:bCs/>
              </w:rPr>
              <w:t>$</w:t>
            </w:r>
            <w:r w:rsidRPr="00425573">
              <w:rPr>
                <w:rFonts w:cs="Calibri"/>
                <w:bCs/>
              </w:rPr>
              <w:t>58,214</w:t>
            </w:r>
          </w:p>
        </w:tc>
        <w:tc>
          <w:tcPr>
            <w:tcW w:w="674" w:type="pct"/>
            <w:shd w:val="clear" w:color="auto" w:fill="auto"/>
          </w:tcPr>
          <w:p w:rsidR="00BB433C" w:rsidRPr="00F86117" w:rsidRDefault="00BB433C" w:rsidP="00AD4D26">
            <w:pPr>
              <w:pStyle w:val="Tabletext"/>
              <w:jc w:val="center"/>
              <w:rPr>
                <w:bCs/>
              </w:rPr>
            </w:pPr>
            <w:r w:rsidRPr="00F86117">
              <w:rPr>
                <w:rFonts w:cs="Calibri"/>
                <w:bCs/>
              </w:rPr>
              <w:t>$</w:t>
            </w:r>
            <w:r w:rsidRPr="00425573">
              <w:rPr>
                <w:rFonts w:cs="Calibri"/>
                <w:bCs/>
              </w:rPr>
              <w:t>58,198</w:t>
            </w:r>
          </w:p>
        </w:tc>
        <w:tc>
          <w:tcPr>
            <w:tcW w:w="674" w:type="pct"/>
            <w:shd w:val="clear" w:color="auto" w:fill="auto"/>
          </w:tcPr>
          <w:p w:rsidR="00BB433C" w:rsidRPr="00F86117" w:rsidRDefault="00BB433C" w:rsidP="00AD4D26">
            <w:pPr>
              <w:pStyle w:val="Tabletext"/>
              <w:jc w:val="center"/>
              <w:rPr>
                <w:bCs/>
              </w:rPr>
            </w:pPr>
            <w:r w:rsidRPr="00F86117">
              <w:rPr>
                <w:rFonts w:cs="Calibri"/>
                <w:bCs/>
              </w:rPr>
              <w:t>$</w:t>
            </w:r>
            <w:r w:rsidRPr="00425573">
              <w:rPr>
                <w:rFonts w:cs="Calibri"/>
                <w:bCs/>
              </w:rPr>
              <w:t>58,124</w:t>
            </w:r>
          </w:p>
        </w:tc>
        <w:tc>
          <w:tcPr>
            <w:tcW w:w="674" w:type="pct"/>
          </w:tcPr>
          <w:p w:rsidR="00BB433C" w:rsidRPr="00F86117" w:rsidRDefault="00BB433C" w:rsidP="00AD4D26">
            <w:pPr>
              <w:pStyle w:val="Tabletext"/>
              <w:jc w:val="center"/>
              <w:rPr>
                <w:bCs/>
              </w:rPr>
            </w:pPr>
            <w:r w:rsidRPr="00F86117">
              <w:rPr>
                <w:rFonts w:cs="Calibri"/>
                <w:bCs/>
              </w:rPr>
              <w:t>$</w:t>
            </w:r>
            <w:r w:rsidRPr="00425573">
              <w:rPr>
                <w:rFonts w:cs="Calibri"/>
                <w:bCs/>
              </w:rPr>
              <w:t>57,985</w:t>
            </w:r>
          </w:p>
        </w:tc>
      </w:tr>
      <w:tr w:rsidR="00BB433C" w:rsidRPr="00F86117" w:rsidTr="005623A6">
        <w:tc>
          <w:tcPr>
            <w:tcW w:w="958" w:type="pct"/>
            <w:shd w:val="clear" w:color="auto" w:fill="auto"/>
            <w:vAlign w:val="center"/>
          </w:tcPr>
          <w:p w:rsidR="00BB433C" w:rsidRPr="00F86117" w:rsidRDefault="00BB433C" w:rsidP="00AD4D26">
            <w:pPr>
              <w:pStyle w:val="Tabletext"/>
              <w:rPr>
                <w:sz w:val="19"/>
                <w:szCs w:val="19"/>
              </w:rPr>
            </w:pPr>
            <w:r w:rsidRPr="00F86117">
              <w:rPr>
                <w:sz w:val="19"/>
                <w:szCs w:val="19"/>
              </w:rPr>
              <w:t>Cost to PBS/RPBS less co-payments</w:t>
            </w:r>
          </w:p>
        </w:tc>
        <w:tc>
          <w:tcPr>
            <w:tcW w:w="673" w:type="pct"/>
            <w:shd w:val="clear" w:color="auto" w:fill="auto"/>
          </w:tcPr>
          <w:p w:rsidR="00BB433C" w:rsidRPr="00F86117" w:rsidRDefault="00BD7323"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12,528,081</w:t>
            </w:r>
          </w:p>
        </w:tc>
        <w:tc>
          <w:tcPr>
            <w:tcW w:w="674" w:type="pct"/>
            <w:shd w:val="clear" w:color="auto" w:fill="auto"/>
          </w:tcPr>
          <w:p w:rsidR="00BB433C" w:rsidRPr="00F86117" w:rsidRDefault="00BD7323"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16,157,633</w:t>
            </w:r>
          </w:p>
        </w:tc>
        <w:tc>
          <w:tcPr>
            <w:tcW w:w="674" w:type="pct"/>
            <w:shd w:val="clear" w:color="auto" w:fill="auto"/>
          </w:tcPr>
          <w:p w:rsidR="00BB433C" w:rsidRPr="00F86117" w:rsidRDefault="00BD7323"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16,168,708</w:t>
            </w:r>
          </w:p>
        </w:tc>
        <w:tc>
          <w:tcPr>
            <w:tcW w:w="674" w:type="pct"/>
            <w:shd w:val="clear" w:color="auto" w:fill="auto"/>
          </w:tcPr>
          <w:p w:rsidR="00BB433C" w:rsidRPr="00F86117" w:rsidRDefault="00BD7323"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16,164,400</w:t>
            </w:r>
          </w:p>
        </w:tc>
        <w:tc>
          <w:tcPr>
            <w:tcW w:w="674" w:type="pct"/>
            <w:shd w:val="clear" w:color="auto" w:fill="auto"/>
          </w:tcPr>
          <w:p w:rsidR="00BB433C" w:rsidRPr="00F86117" w:rsidRDefault="00BD7323"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16,143,622</w:t>
            </w:r>
          </w:p>
        </w:tc>
        <w:tc>
          <w:tcPr>
            <w:tcW w:w="674" w:type="pct"/>
          </w:tcPr>
          <w:p w:rsidR="00BB433C" w:rsidRPr="00F86117" w:rsidRDefault="00BD7323" w:rsidP="00AD4D26">
            <w:pPr>
              <w:pStyle w:val="Tabletext"/>
              <w:jc w:val="center"/>
              <w:rPr>
                <w:bCs/>
              </w:rPr>
            </w:pPr>
            <w:r w:rsidRPr="00F86117">
              <w:rPr>
                <w:rFonts w:cs="Calibri"/>
                <w:bCs/>
              </w:rPr>
              <w:t>-</w:t>
            </w:r>
            <w:r w:rsidR="00BB433C" w:rsidRPr="00F86117">
              <w:rPr>
                <w:rFonts w:cs="Calibri"/>
                <w:bCs/>
              </w:rPr>
              <w:t>$</w:t>
            </w:r>
            <w:r w:rsidR="00BB433C" w:rsidRPr="00425573">
              <w:rPr>
                <w:rFonts w:cs="Calibri"/>
                <w:bCs/>
              </w:rPr>
              <w:t>16,105,224</w:t>
            </w:r>
          </w:p>
        </w:tc>
      </w:tr>
      <w:tr w:rsidR="00BB433C" w:rsidRPr="00F86117" w:rsidTr="005623A6">
        <w:tc>
          <w:tcPr>
            <w:tcW w:w="5000" w:type="pct"/>
            <w:gridSpan w:val="7"/>
            <w:shd w:val="clear" w:color="auto" w:fill="auto"/>
            <w:vAlign w:val="center"/>
          </w:tcPr>
          <w:p w:rsidR="00BB433C" w:rsidRPr="00F86117" w:rsidRDefault="00BB433C" w:rsidP="00AD4D26">
            <w:pPr>
              <w:pStyle w:val="Tabletext"/>
              <w:rPr>
                <w:b/>
                <w:bCs/>
                <w:color w:val="000000"/>
              </w:rPr>
            </w:pPr>
            <w:r w:rsidRPr="00F86117">
              <w:rPr>
                <w:b/>
                <w:bCs/>
                <w:color w:val="000000"/>
              </w:rPr>
              <w:t>Net financial implications</w:t>
            </w:r>
            <w:r w:rsidRPr="00F86117">
              <w:rPr>
                <w:b/>
                <w:bCs/>
                <w:color w:val="4BACC6" w:themeColor="accent5"/>
              </w:rPr>
              <w:t xml:space="preserve"> </w:t>
            </w:r>
          </w:p>
        </w:tc>
      </w:tr>
      <w:tr w:rsidR="00BB433C" w:rsidRPr="00F86117" w:rsidTr="005623A6">
        <w:tc>
          <w:tcPr>
            <w:tcW w:w="958" w:type="pct"/>
            <w:shd w:val="clear" w:color="auto" w:fill="auto"/>
            <w:vAlign w:val="center"/>
          </w:tcPr>
          <w:p w:rsidR="00BB433C" w:rsidRPr="00F86117" w:rsidRDefault="00BB433C" w:rsidP="00AD4D26">
            <w:pPr>
              <w:pStyle w:val="Tabletext"/>
              <w:rPr>
                <w:sz w:val="19"/>
                <w:szCs w:val="19"/>
              </w:rPr>
            </w:pPr>
            <w:r w:rsidRPr="00F86117">
              <w:rPr>
                <w:sz w:val="19"/>
                <w:szCs w:val="19"/>
              </w:rPr>
              <w:t>Net cost to PBS/RPBS</w:t>
            </w:r>
          </w:p>
        </w:tc>
        <w:tc>
          <w:tcPr>
            <w:tcW w:w="673"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29,269,778</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35,420,184</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37,988,001</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40,700,144</w:t>
            </w:r>
          </w:p>
        </w:tc>
        <w:tc>
          <w:tcPr>
            <w:tcW w:w="674" w:type="pct"/>
            <w:shd w:val="clear" w:color="auto" w:fill="auto"/>
          </w:tcPr>
          <w:p w:rsidR="00BB433C" w:rsidRPr="00F86117" w:rsidRDefault="00BB433C" w:rsidP="00AD4D26">
            <w:pPr>
              <w:pStyle w:val="Tabletext"/>
              <w:jc w:val="center"/>
              <w:rPr>
                <w:bCs/>
                <w:color w:val="000000"/>
              </w:rPr>
            </w:pPr>
            <w:r w:rsidRPr="00F86117">
              <w:rPr>
                <w:szCs w:val="20"/>
              </w:rPr>
              <w:t>$</w:t>
            </w:r>
            <w:r w:rsidRPr="00425573">
              <w:rPr>
                <w:szCs w:val="20"/>
              </w:rPr>
              <w:t>43,564,150</w:t>
            </w:r>
          </w:p>
        </w:tc>
        <w:tc>
          <w:tcPr>
            <w:tcW w:w="674" w:type="pct"/>
          </w:tcPr>
          <w:p w:rsidR="00BB433C" w:rsidRPr="00F86117" w:rsidRDefault="00BB433C" w:rsidP="00AD4D26">
            <w:pPr>
              <w:pStyle w:val="Tabletext"/>
              <w:jc w:val="center"/>
              <w:rPr>
                <w:bCs/>
                <w:color w:val="000000"/>
              </w:rPr>
            </w:pPr>
            <w:r w:rsidRPr="00F86117">
              <w:rPr>
                <w:szCs w:val="20"/>
              </w:rPr>
              <w:t>$</w:t>
            </w:r>
            <w:r w:rsidRPr="00425573">
              <w:rPr>
                <w:szCs w:val="20"/>
              </w:rPr>
              <w:t>46,587,935</w:t>
            </w:r>
          </w:p>
        </w:tc>
      </w:tr>
      <w:tr w:rsidR="00BB433C" w:rsidRPr="00F86117" w:rsidTr="005623A6">
        <w:tc>
          <w:tcPr>
            <w:tcW w:w="958" w:type="pct"/>
            <w:shd w:val="clear" w:color="auto" w:fill="auto"/>
            <w:vAlign w:val="center"/>
          </w:tcPr>
          <w:p w:rsidR="00BB433C" w:rsidRPr="00F86117" w:rsidRDefault="00BB433C" w:rsidP="00AD4D26">
            <w:pPr>
              <w:pStyle w:val="Tabletext"/>
              <w:rPr>
                <w:rFonts w:ascii="Times" w:hAnsi="Times"/>
              </w:rPr>
            </w:pPr>
            <w:r w:rsidRPr="00F86117">
              <w:rPr>
                <w:sz w:val="19"/>
                <w:szCs w:val="19"/>
              </w:rPr>
              <w:t>Net cost to MBS</w:t>
            </w:r>
          </w:p>
        </w:tc>
        <w:tc>
          <w:tcPr>
            <w:tcW w:w="673" w:type="pct"/>
            <w:shd w:val="clear" w:color="auto" w:fill="auto"/>
            <w:vAlign w:val="bottom"/>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61,465</w:t>
            </w:r>
          </w:p>
        </w:tc>
        <w:tc>
          <w:tcPr>
            <w:tcW w:w="674" w:type="pct"/>
            <w:shd w:val="clear" w:color="auto" w:fill="auto"/>
            <w:vAlign w:val="bottom"/>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78,914</w:t>
            </w:r>
          </w:p>
        </w:tc>
        <w:tc>
          <w:tcPr>
            <w:tcW w:w="674" w:type="pct"/>
            <w:shd w:val="clear" w:color="auto" w:fill="auto"/>
            <w:vAlign w:val="bottom"/>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99,471</w:t>
            </w:r>
          </w:p>
        </w:tc>
        <w:tc>
          <w:tcPr>
            <w:tcW w:w="674" w:type="pct"/>
            <w:shd w:val="clear" w:color="auto" w:fill="auto"/>
            <w:vAlign w:val="bottom"/>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121,388</w:t>
            </w:r>
          </w:p>
        </w:tc>
        <w:tc>
          <w:tcPr>
            <w:tcW w:w="674" w:type="pct"/>
            <w:shd w:val="clear" w:color="auto" w:fill="auto"/>
            <w:vAlign w:val="bottom"/>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144,739</w:t>
            </w:r>
          </w:p>
        </w:tc>
        <w:tc>
          <w:tcPr>
            <w:tcW w:w="674" w:type="pct"/>
            <w:vAlign w:val="bottom"/>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169,604</w:t>
            </w:r>
          </w:p>
        </w:tc>
      </w:tr>
      <w:tr w:rsidR="00BB433C" w:rsidRPr="00F86117" w:rsidTr="005623A6">
        <w:tc>
          <w:tcPr>
            <w:tcW w:w="958" w:type="pct"/>
            <w:shd w:val="clear" w:color="auto" w:fill="auto"/>
            <w:vAlign w:val="center"/>
          </w:tcPr>
          <w:p w:rsidR="00BB433C" w:rsidRPr="00F86117" w:rsidRDefault="00BB433C" w:rsidP="00AD4D26">
            <w:pPr>
              <w:pStyle w:val="Tabletext"/>
              <w:rPr>
                <w:sz w:val="19"/>
                <w:szCs w:val="19"/>
              </w:rPr>
            </w:pPr>
            <w:r w:rsidRPr="00F86117">
              <w:rPr>
                <w:sz w:val="19"/>
                <w:szCs w:val="19"/>
              </w:rPr>
              <w:t>Net cost to PBS/RPBS/MBS</w:t>
            </w:r>
          </w:p>
        </w:tc>
        <w:tc>
          <w:tcPr>
            <w:tcW w:w="673" w:type="pct"/>
            <w:shd w:val="clear" w:color="auto" w:fill="auto"/>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29,331,243</w:t>
            </w:r>
          </w:p>
        </w:tc>
        <w:tc>
          <w:tcPr>
            <w:tcW w:w="674" w:type="pct"/>
            <w:shd w:val="clear" w:color="auto" w:fill="auto"/>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35,499,098</w:t>
            </w:r>
          </w:p>
        </w:tc>
        <w:tc>
          <w:tcPr>
            <w:tcW w:w="674" w:type="pct"/>
            <w:shd w:val="clear" w:color="auto" w:fill="auto"/>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38,087,472</w:t>
            </w:r>
          </w:p>
        </w:tc>
        <w:tc>
          <w:tcPr>
            <w:tcW w:w="674" w:type="pct"/>
            <w:shd w:val="clear" w:color="auto" w:fill="auto"/>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40,821,532</w:t>
            </w:r>
          </w:p>
        </w:tc>
        <w:tc>
          <w:tcPr>
            <w:tcW w:w="674" w:type="pct"/>
            <w:shd w:val="clear" w:color="auto" w:fill="auto"/>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43,708,889</w:t>
            </w:r>
          </w:p>
        </w:tc>
        <w:tc>
          <w:tcPr>
            <w:tcW w:w="674" w:type="pct"/>
          </w:tcPr>
          <w:p w:rsidR="00BB433C" w:rsidRPr="00F86117" w:rsidRDefault="00BB433C" w:rsidP="00AD4D26">
            <w:pPr>
              <w:pStyle w:val="Tabletext"/>
              <w:jc w:val="center"/>
              <w:rPr>
                <w:bCs/>
                <w:color w:val="000000"/>
              </w:rPr>
            </w:pPr>
            <w:r w:rsidRPr="00F86117">
              <w:rPr>
                <w:rFonts w:cs="Arial"/>
                <w:color w:val="000000"/>
              </w:rPr>
              <w:t>$</w:t>
            </w:r>
            <w:r w:rsidRPr="00425573">
              <w:rPr>
                <w:rFonts w:cs="Arial"/>
                <w:color w:val="000000"/>
              </w:rPr>
              <w:t>46,757,539</w:t>
            </w:r>
          </w:p>
        </w:tc>
      </w:tr>
    </w:tbl>
    <w:p w:rsidR="00BB433C" w:rsidRPr="00F86117" w:rsidRDefault="00BB433C" w:rsidP="00AD4D26">
      <w:pPr>
        <w:pStyle w:val="TableFooter"/>
        <w:widowControl/>
      </w:pPr>
      <w:r w:rsidRPr="00F86117">
        <w:t>Source: Compiled during the evaluation using Table 4.8, p.237; Table 4.12, p.241; Table 4.17, p.244, and attachment 8 worksheet 4b. Displaced-PUB of the submission.</w:t>
      </w:r>
    </w:p>
    <w:p w:rsidR="00BB433C" w:rsidRPr="00F86117" w:rsidRDefault="00BB433C" w:rsidP="00AD4D26">
      <w:pPr>
        <w:pStyle w:val="TableFooter"/>
        <w:widowControl/>
      </w:pPr>
      <w:r w:rsidRPr="00F86117">
        <w:t xml:space="preserve">Note: * The evaluators estimated this number by dividing the total number of scripts for </w:t>
      </w:r>
      <w:proofErr w:type="spellStart"/>
      <w:r w:rsidRPr="00F86117">
        <w:t>cabozantinib</w:t>
      </w:r>
      <w:proofErr w:type="spellEnd"/>
      <w:r w:rsidRPr="00F86117">
        <w:t xml:space="preserve"> per year by the average number of script/patient/year (assumed 12.17 by the submission).</w:t>
      </w:r>
    </w:p>
    <w:p w:rsidR="00BB433C" w:rsidRPr="00F86117" w:rsidRDefault="00BB433C" w:rsidP="00AD4D26">
      <w:pPr>
        <w:pStyle w:val="TableFooter"/>
        <w:widowControl/>
      </w:pPr>
    </w:p>
    <w:p w:rsidR="00BB433C" w:rsidRPr="00F86117" w:rsidRDefault="00BB433C" w:rsidP="00AD4D26">
      <w:pPr>
        <w:keepNext/>
        <w:keepLines/>
        <w:widowControl/>
      </w:pPr>
      <w:r w:rsidRPr="00F86117">
        <w:rPr>
          <w:rStyle w:val="CommentReference"/>
        </w:rPr>
        <w:lastRenderedPageBreak/>
        <w:t>Table 1</w:t>
      </w:r>
      <w:r w:rsidR="0059319D" w:rsidRPr="00F86117">
        <w:rPr>
          <w:rStyle w:val="CommentReference"/>
        </w:rPr>
        <w:t>8</w:t>
      </w:r>
      <w:r w:rsidRPr="00F86117">
        <w:rPr>
          <w:rStyle w:val="CommentReference"/>
        </w:rPr>
        <w:t>: Estimated use and financial implications (simultaneous listing)</w:t>
      </w:r>
      <w:r w:rsidR="00014F30" w:rsidRPr="00F86117">
        <w:rPr>
          <w:rStyle w:val="CommentReference"/>
        </w:rPr>
        <w:t xml:space="preserve"> based on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Estimated use and financial implications (simultaneous listing) based on published prices"/>
      </w:tblPr>
      <w:tblGrid>
        <w:gridCol w:w="1963"/>
        <w:gridCol w:w="1176"/>
        <w:gridCol w:w="1176"/>
        <w:gridCol w:w="1176"/>
        <w:gridCol w:w="1176"/>
        <w:gridCol w:w="1176"/>
        <w:gridCol w:w="1174"/>
      </w:tblGrid>
      <w:tr w:rsidR="00BB433C" w:rsidRPr="00F86117" w:rsidTr="005623A6">
        <w:trPr>
          <w:tblHeader/>
        </w:trPr>
        <w:tc>
          <w:tcPr>
            <w:tcW w:w="1089" w:type="pct"/>
            <w:shd w:val="clear" w:color="auto" w:fill="auto"/>
            <w:vAlign w:val="center"/>
          </w:tcPr>
          <w:p w:rsidR="00BB433C" w:rsidRPr="00F86117" w:rsidRDefault="00BB433C" w:rsidP="00AD4D26">
            <w:pPr>
              <w:pStyle w:val="Tabletext"/>
              <w:keepNext/>
              <w:keepLines/>
            </w:pPr>
          </w:p>
        </w:tc>
        <w:tc>
          <w:tcPr>
            <w:tcW w:w="652" w:type="pct"/>
            <w:shd w:val="clear" w:color="auto" w:fill="auto"/>
            <w:vAlign w:val="center"/>
          </w:tcPr>
          <w:p w:rsidR="00BB433C" w:rsidRPr="00F86117" w:rsidRDefault="00BB433C" w:rsidP="00AD4D26">
            <w:pPr>
              <w:pStyle w:val="Tabletext"/>
              <w:keepNext/>
              <w:keepLines/>
              <w:jc w:val="center"/>
              <w:rPr>
                <w:b/>
              </w:rPr>
            </w:pPr>
            <w:r w:rsidRPr="00F86117">
              <w:rPr>
                <w:b/>
              </w:rPr>
              <w:t>Year 1</w:t>
            </w:r>
          </w:p>
        </w:tc>
        <w:tc>
          <w:tcPr>
            <w:tcW w:w="652" w:type="pct"/>
            <w:shd w:val="clear" w:color="auto" w:fill="auto"/>
            <w:vAlign w:val="center"/>
          </w:tcPr>
          <w:p w:rsidR="00BB433C" w:rsidRPr="00F86117" w:rsidRDefault="00BB433C" w:rsidP="00AD4D26">
            <w:pPr>
              <w:pStyle w:val="Tabletext"/>
              <w:keepNext/>
              <w:keepLines/>
              <w:jc w:val="center"/>
              <w:rPr>
                <w:b/>
              </w:rPr>
            </w:pPr>
            <w:r w:rsidRPr="00F86117">
              <w:rPr>
                <w:b/>
              </w:rPr>
              <w:t>Year 2</w:t>
            </w:r>
          </w:p>
        </w:tc>
        <w:tc>
          <w:tcPr>
            <w:tcW w:w="652" w:type="pct"/>
            <w:shd w:val="clear" w:color="auto" w:fill="auto"/>
            <w:vAlign w:val="center"/>
          </w:tcPr>
          <w:p w:rsidR="00BB433C" w:rsidRPr="00F86117" w:rsidRDefault="00BB433C" w:rsidP="00AD4D26">
            <w:pPr>
              <w:pStyle w:val="Tabletext"/>
              <w:keepNext/>
              <w:keepLines/>
              <w:jc w:val="center"/>
              <w:rPr>
                <w:b/>
              </w:rPr>
            </w:pPr>
            <w:r w:rsidRPr="00F86117">
              <w:rPr>
                <w:b/>
              </w:rPr>
              <w:t>Year 3</w:t>
            </w:r>
          </w:p>
        </w:tc>
        <w:tc>
          <w:tcPr>
            <w:tcW w:w="652" w:type="pct"/>
            <w:shd w:val="clear" w:color="auto" w:fill="auto"/>
            <w:vAlign w:val="center"/>
          </w:tcPr>
          <w:p w:rsidR="00BB433C" w:rsidRPr="00F86117" w:rsidRDefault="00BB433C" w:rsidP="00AD4D26">
            <w:pPr>
              <w:pStyle w:val="Tabletext"/>
              <w:keepNext/>
              <w:keepLines/>
              <w:jc w:val="center"/>
              <w:rPr>
                <w:b/>
              </w:rPr>
            </w:pPr>
            <w:r w:rsidRPr="00F86117">
              <w:rPr>
                <w:b/>
              </w:rPr>
              <w:t>Year 4</w:t>
            </w:r>
          </w:p>
        </w:tc>
        <w:tc>
          <w:tcPr>
            <w:tcW w:w="652" w:type="pct"/>
            <w:shd w:val="clear" w:color="auto" w:fill="auto"/>
            <w:vAlign w:val="center"/>
          </w:tcPr>
          <w:p w:rsidR="00BB433C" w:rsidRPr="00F86117" w:rsidRDefault="00BB433C" w:rsidP="00AD4D26">
            <w:pPr>
              <w:pStyle w:val="Tabletext"/>
              <w:keepNext/>
              <w:keepLines/>
              <w:jc w:val="center"/>
              <w:rPr>
                <w:b/>
              </w:rPr>
            </w:pPr>
            <w:r w:rsidRPr="00F86117">
              <w:rPr>
                <w:b/>
              </w:rPr>
              <w:t>Year 5</w:t>
            </w:r>
          </w:p>
        </w:tc>
        <w:tc>
          <w:tcPr>
            <w:tcW w:w="652" w:type="pct"/>
          </w:tcPr>
          <w:p w:rsidR="00BB433C" w:rsidRPr="00F86117" w:rsidRDefault="00BB433C" w:rsidP="00AD4D26">
            <w:pPr>
              <w:pStyle w:val="Tabletext"/>
              <w:keepNext/>
              <w:keepLines/>
              <w:jc w:val="center"/>
              <w:rPr>
                <w:b/>
              </w:rPr>
            </w:pPr>
            <w:r w:rsidRPr="00F86117">
              <w:rPr>
                <w:b/>
              </w:rPr>
              <w:t>Year 6</w:t>
            </w:r>
          </w:p>
        </w:tc>
      </w:tr>
      <w:tr w:rsidR="00BB433C" w:rsidRPr="00F86117" w:rsidTr="005623A6">
        <w:tc>
          <w:tcPr>
            <w:tcW w:w="5000" w:type="pct"/>
            <w:gridSpan w:val="7"/>
            <w:shd w:val="clear" w:color="auto" w:fill="auto"/>
            <w:vAlign w:val="center"/>
          </w:tcPr>
          <w:p w:rsidR="00BB433C" w:rsidRPr="00F86117" w:rsidRDefault="00BB433C" w:rsidP="00AD4D26">
            <w:pPr>
              <w:pStyle w:val="Tabletext"/>
              <w:keepNext/>
              <w:keepLines/>
              <w:rPr>
                <w:b/>
                <w:bCs/>
                <w:color w:val="000000"/>
              </w:rPr>
            </w:pPr>
            <w:r w:rsidRPr="00F86117">
              <w:rPr>
                <w:b/>
                <w:bCs/>
                <w:color w:val="000000"/>
              </w:rPr>
              <w:t>Estimated extent of use</w:t>
            </w:r>
          </w:p>
        </w:tc>
      </w:tr>
      <w:tr w:rsidR="00BB433C" w:rsidRPr="00F86117" w:rsidTr="005623A6">
        <w:tc>
          <w:tcPr>
            <w:tcW w:w="1089" w:type="pct"/>
            <w:shd w:val="clear" w:color="auto" w:fill="auto"/>
            <w:vAlign w:val="center"/>
          </w:tcPr>
          <w:p w:rsidR="00BB433C" w:rsidRPr="00F86117" w:rsidRDefault="00BB433C" w:rsidP="00AD4D26">
            <w:pPr>
              <w:pStyle w:val="Tabletext"/>
              <w:keepNext/>
              <w:keepLines/>
              <w:rPr>
                <w:rFonts w:ascii="Times" w:hAnsi="Times"/>
              </w:rPr>
            </w:pPr>
            <w:r w:rsidRPr="00F86117">
              <w:t>Number of patients treated*</w:t>
            </w:r>
          </w:p>
        </w:tc>
        <w:tc>
          <w:tcPr>
            <w:tcW w:w="652" w:type="pct"/>
            <w:shd w:val="clear" w:color="auto" w:fill="auto"/>
            <w:vAlign w:val="bottom"/>
          </w:tcPr>
          <w:p w:rsidR="00BB433C" w:rsidRPr="0035011A" w:rsidRDefault="0035011A" w:rsidP="00AD4D26">
            <w:pPr>
              <w:pStyle w:val="Tabletext"/>
              <w:keepNext/>
              <w:keepLines/>
              <w:jc w:val="center"/>
              <w:rPr>
                <w:bCs/>
                <w:color w:val="000000"/>
                <w:highlight w:val="black"/>
              </w:rPr>
            </w:pPr>
            <w:r>
              <w:rPr>
                <w:rFonts w:cs="Calibri"/>
                <w:noProof/>
                <w:color w:val="000000"/>
                <w:highlight w:val="black"/>
              </w:rPr>
              <w:t>''''''''''</w:t>
            </w:r>
          </w:p>
        </w:tc>
        <w:tc>
          <w:tcPr>
            <w:tcW w:w="652" w:type="pct"/>
            <w:shd w:val="clear" w:color="auto" w:fill="auto"/>
            <w:vAlign w:val="bottom"/>
          </w:tcPr>
          <w:p w:rsidR="00BB433C" w:rsidRPr="0035011A" w:rsidRDefault="0035011A" w:rsidP="00AD4D26">
            <w:pPr>
              <w:pStyle w:val="Tabletext"/>
              <w:keepNext/>
              <w:keepLines/>
              <w:jc w:val="center"/>
              <w:rPr>
                <w:bCs/>
                <w:color w:val="000000"/>
                <w:highlight w:val="black"/>
              </w:rPr>
            </w:pPr>
            <w:r>
              <w:rPr>
                <w:rFonts w:cs="Calibri"/>
                <w:noProof/>
                <w:color w:val="000000"/>
                <w:highlight w:val="black"/>
              </w:rPr>
              <w:t>''''''''''</w:t>
            </w:r>
          </w:p>
        </w:tc>
        <w:tc>
          <w:tcPr>
            <w:tcW w:w="652" w:type="pct"/>
            <w:shd w:val="clear" w:color="auto" w:fill="auto"/>
            <w:vAlign w:val="bottom"/>
          </w:tcPr>
          <w:p w:rsidR="00BB433C" w:rsidRPr="0035011A" w:rsidRDefault="0035011A" w:rsidP="00AD4D26">
            <w:pPr>
              <w:pStyle w:val="Tabletext"/>
              <w:keepNext/>
              <w:keepLines/>
              <w:jc w:val="center"/>
              <w:rPr>
                <w:bCs/>
                <w:color w:val="000000"/>
                <w:highlight w:val="black"/>
              </w:rPr>
            </w:pPr>
            <w:r>
              <w:rPr>
                <w:rFonts w:cs="Calibri"/>
                <w:noProof/>
                <w:color w:val="000000"/>
                <w:highlight w:val="black"/>
              </w:rPr>
              <w:t>'''''''''</w:t>
            </w:r>
          </w:p>
        </w:tc>
        <w:tc>
          <w:tcPr>
            <w:tcW w:w="652" w:type="pct"/>
            <w:shd w:val="clear" w:color="auto" w:fill="auto"/>
            <w:vAlign w:val="bottom"/>
          </w:tcPr>
          <w:p w:rsidR="00BB433C" w:rsidRPr="0035011A" w:rsidRDefault="0035011A" w:rsidP="00AD4D26">
            <w:pPr>
              <w:pStyle w:val="Tabletext"/>
              <w:keepNext/>
              <w:keepLines/>
              <w:jc w:val="center"/>
              <w:rPr>
                <w:bCs/>
                <w:color w:val="000000"/>
                <w:highlight w:val="black"/>
              </w:rPr>
            </w:pPr>
            <w:r>
              <w:rPr>
                <w:rFonts w:cs="Calibri"/>
                <w:noProof/>
                <w:color w:val="000000"/>
                <w:highlight w:val="black"/>
              </w:rPr>
              <w:t>''''''''''</w:t>
            </w:r>
          </w:p>
        </w:tc>
        <w:tc>
          <w:tcPr>
            <w:tcW w:w="652" w:type="pct"/>
            <w:shd w:val="clear" w:color="auto" w:fill="auto"/>
            <w:vAlign w:val="bottom"/>
          </w:tcPr>
          <w:p w:rsidR="00BB433C" w:rsidRPr="0035011A" w:rsidRDefault="0035011A" w:rsidP="00AD4D26">
            <w:pPr>
              <w:pStyle w:val="Tabletext"/>
              <w:keepNext/>
              <w:keepLines/>
              <w:jc w:val="center"/>
              <w:rPr>
                <w:bCs/>
                <w:color w:val="000000"/>
                <w:highlight w:val="black"/>
              </w:rPr>
            </w:pPr>
            <w:r>
              <w:rPr>
                <w:rFonts w:cs="Calibri"/>
                <w:noProof/>
                <w:color w:val="000000"/>
                <w:highlight w:val="black"/>
              </w:rPr>
              <w:t>'''''''''</w:t>
            </w:r>
          </w:p>
        </w:tc>
        <w:tc>
          <w:tcPr>
            <w:tcW w:w="652" w:type="pct"/>
            <w:vAlign w:val="bottom"/>
          </w:tcPr>
          <w:p w:rsidR="00BB433C" w:rsidRPr="0035011A" w:rsidRDefault="0035011A" w:rsidP="00AD4D26">
            <w:pPr>
              <w:pStyle w:val="Tabletext"/>
              <w:keepNext/>
              <w:keepLines/>
              <w:jc w:val="center"/>
              <w:rPr>
                <w:bCs/>
                <w:color w:val="000000"/>
                <w:highlight w:val="black"/>
              </w:rPr>
            </w:pPr>
            <w:r>
              <w:rPr>
                <w:rFonts w:cs="Calibri"/>
                <w:noProof/>
                <w:color w:val="000000"/>
                <w:highlight w:val="black"/>
              </w:rPr>
              <w:t>''''''''''</w:t>
            </w:r>
          </w:p>
        </w:tc>
      </w:tr>
      <w:tr w:rsidR="00BB433C" w:rsidRPr="00F86117" w:rsidTr="005623A6">
        <w:tc>
          <w:tcPr>
            <w:tcW w:w="1089" w:type="pct"/>
            <w:shd w:val="clear" w:color="auto" w:fill="auto"/>
            <w:vAlign w:val="center"/>
          </w:tcPr>
          <w:p w:rsidR="00BB433C" w:rsidRPr="00F86117" w:rsidRDefault="00BB433C" w:rsidP="00AD4D26">
            <w:pPr>
              <w:pStyle w:val="Tabletext"/>
              <w:keepNext/>
              <w:keepLines/>
              <w:rPr>
                <w:rFonts w:ascii="Times" w:hAnsi="Times"/>
              </w:rPr>
            </w:pPr>
            <w:r w:rsidRPr="00F86117">
              <w:t>Number of scripts dispensed</w:t>
            </w:r>
            <w:r w:rsidR="009B07D1" w:rsidRPr="00F86117">
              <w:rPr>
                <w:vertAlign w:val="superscript"/>
              </w:rPr>
              <w:t>*</w:t>
            </w:r>
          </w:p>
        </w:tc>
        <w:tc>
          <w:tcPr>
            <w:tcW w:w="652" w:type="pct"/>
            <w:shd w:val="clear" w:color="auto" w:fill="auto"/>
          </w:tcPr>
          <w:p w:rsidR="00BB433C" w:rsidRPr="0035011A" w:rsidRDefault="0035011A" w:rsidP="00AD4D26">
            <w:pPr>
              <w:pStyle w:val="Tabletext"/>
              <w:keepNext/>
              <w:keepLines/>
              <w:jc w:val="center"/>
              <w:rPr>
                <w:bCs/>
                <w:color w:val="000000"/>
                <w:highlight w:val="black"/>
              </w:rPr>
            </w:pPr>
            <w:r>
              <w:rPr>
                <w:noProof/>
                <w:color w:val="000000"/>
                <w:szCs w:val="20"/>
                <w:highlight w:val="black"/>
              </w:rPr>
              <w:t>'''''''''''''''</w:t>
            </w:r>
          </w:p>
        </w:tc>
        <w:tc>
          <w:tcPr>
            <w:tcW w:w="652" w:type="pct"/>
            <w:shd w:val="clear" w:color="auto" w:fill="auto"/>
          </w:tcPr>
          <w:p w:rsidR="00BB433C" w:rsidRPr="0035011A" w:rsidRDefault="0035011A" w:rsidP="00AD4D26">
            <w:pPr>
              <w:pStyle w:val="Tabletext"/>
              <w:keepNext/>
              <w:keepLines/>
              <w:jc w:val="center"/>
              <w:rPr>
                <w:bCs/>
                <w:color w:val="000000"/>
                <w:highlight w:val="black"/>
              </w:rPr>
            </w:pPr>
            <w:r>
              <w:rPr>
                <w:noProof/>
                <w:color w:val="000000"/>
                <w:szCs w:val="20"/>
                <w:highlight w:val="black"/>
              </w:rPr>
              <w:t>''''''''''''''</w:t>
            </w:r>
          </w:p>
        </w:tc>
        <w:tc>
          <w:tcPr>
            <w:tcW w:w="652" w:type="pct"/>
            <w:shd w:val="clear" w:color="auto" w:fill="auto"/>
          </w:tcPr>
          <w:p w:rsidR="00BB433C" w:rsidRPr="0035011A" w:rsidRDefault="0035011A" w:rsidP="00AD4D26">
            <w:pPr>
              <w:pStyle w:val="Tabletext"/>
              <w:keepNext/>
              <w:keepLines/>
              <w:jc w:val="center"/>
              <w:rPr>
                <w:bCs/>
                <w:color w:val="000000"/>
                <w:highlight w:val="black"/>
              </w:rPr>
            </w:pPr>
            <w:r>
              <w:rPr>
                <w:noProof/>
                <w:color w:val="000000"/>
                <w:szCs w:val="20"/>
                <w:highlight w:val="black"/>
              </w:rPr>
              <w:t>''''''''''''</w:t>
            </w:r>
          </w:p>
        </w:tc>
        <w:tc>
          <w:tcPr>
            <w:tcW w:w="652" w:type="pct"/>
            <w:shd w:val="clear" w:color="auto" w:fill="auto"/>
          </w:tcPr>
          <w:p w:rsidR="00BB433C" w:rsidRPr="0035011A" w:rsidRDefault="0035011A" w:rsidP="00AD4D26">
            <w:pPr>
              <w:pStyle w:val="Tabletext"/>
              <w:keepNext/>
              <w:keepLines/>
              <w:jc w:val="center"/>
              <w:rPr>
                <w:bCs/>
                <w:color w:val="000000"/>
                <w:highlight w:val="black"/>
              </w:rPr>
            </w:pPr>
            <w:r>
              <w:rPr>
                <w:noProof/>
                <w:color w:val="000000"/>
                <w:szCs w:val="20"/>
                <w:highlight w:val="black"/>
              </w:rPr>
              <w:t>''''''''''''</w:t>
            </w:r>
          </w:p>
        </w:tc>
        <w:tc>
          <w:tcPr>
            <w:tcW w:w="652" w:type="pct"/>
            <w:shd w:val="clear" w:color="auto" w:fill="auto"/>
          </w:tcPr>
          <w:p w:rsidR="00BB433C" w:rsidRPr="0035011A" w:rsidRDefault="0035011A" w:rsidP="00AD4D26">
            <w:pPr>
              <w:pStyle w:val="Tabletext"/>
              <w:keepNext/>
              <w:keepLines/>
              <w:jc w:val="center"/>
              <w:rPr>
                <w:bCs/>
                <w:color w:val="000000"/>
                <w:highlight w:val="black"/>
              </w:rPr>
            </w:pPr>
            <w:r>
              <w:rPr>
                <w:noProof/>
                <w:color w:val="000000"/>
                <w:szCs w:val="20"/>
                <w:highlight w:val="black"/>
              </w:rPr>
              <w:t>''''''''''''''</w:t>
            </w:r>
          </w:p>
        </w:tc>
        <w:tc>
          <w:tcPr>
            <w:tcW w:w="652" w:type="pct"/>
          </w:tcPr>
          <w:p w:rsidR="00BB433C" w:rsidRPr="0035011A" w:rsidRDefault="0035011A" w:rsidP="00AD4D26">
            <w:pPr>
              <w:pStyle w:val="Tabletext"/>
              <w:keepNext/>
              <w:keepLines/>
              <w:jc w:val="center"/>
              <w:rPr>
                <w:bCs/>
                <w:color w:val="000000"/>
                <w:highlight w:val="black"/>
              </w:rPr>
            </w:pPr>
            <w:r>
              <w:rPr>
                <w:noProof/>
                <w:color w:val="000000"/>
                <w:szCs w:val="20"/>
                <w:highlight w:val="black"/>
              </w:rPr>
              <w:t>''''''''''''</w:t>
            </w:r>
          </w:p>
        </w:tc>
      </w:tr>
      <w:tr w:rsidR="00BB433C" w:rsidRPr="00F86117" w:rsidTr="005623A6">
        <w:tc>
          <w:tcPr>
            <w:tcW w:w="5000" w:type="pct"/>
            <w:gridSpan w:val="7"/>
            <w:shd w:val="clear" w:color="auto" w:fill="auto"/>
            <w:vAlign w:val="center"/>
          </w:tcPr>
          <w:p w:rsidR="00BB433C" w:rsidRPr="00F86117" w:rsidRDefault="00BB433C" w:rsidP="00AD4D26">
            <w:pPr>
              <w:pStyle w:val="Tabletext"/>
              <w:keepNext/>
              <w:keepLines/>
              <w:rPr>
                <w:b/>
                <w:bCs/>
                <w:color w:val="000000"/>
              </w:rPr>
            </w:pPr>
            <w:r w:rsidRPr="00F86117">
              <w:rPr>
                <w:b/>
                <w:bCs/>
                <w:color w:val="000000"/>
              </w:rPr>
              <w:t xml:space="preserve">Estimated financial implications of </w:t>
            </w:r>
            <w:proofErr w:type="spellStart"/>
            <w:r w:rsidRPr="00F86117">
              <w:rPr>
                <w:b/>
                <w:bCs/>
                <w:color w:val="000000"/>
              </w:rPr>
              <w:t>cabozantinib</w:t>
            </w:r>
            <w:proofErr w:type="spellEnd"/>
          </w:p>
        </w:tc>
      </w:tr>
      <w:tr w:rsidR="00BB433C" w:rsidRPr="00F86117" w:rsidTr="005623A6">
        <w:tc>
          <w:tcPr>
            <w:tcW w:w="1089" w:type="pct"/>
            <w:shd w:val="clear" w:color="auto" w:fill="auto"/>
            <w:vAlign w:val="center"/>
          </w:tcPr>
          <w:p w:rsidR="00BB433C" w:rsidRPr="00F86117" w:rsidRDefault="00BB433C" w:rsidP="00AD4D26">
            <w:pPr>
              <w:pStyle w:val="Tabletext"/>
              <w:keepNext/>
              <w:keepLines/>
              <w:rPr>
                <w:rFonts w:ascii="Times" w:hAnsi="Times"/>
              </w:rPr>
            </w:pPr>
            <w:r w:rsidRPr="00F86117">
              <w:rPr>
                <w:sz w:val="19"/>
                <w:szCs w:val="19"/>
              </w:rPr>
              <w:t>Cost to PBS/RPBS</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$32,419,785</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$34,040,774</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$35,742,813</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$37,529,953</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$39,406,451</w:t>
            </w:r>
          </w:p>
        </w:tc>
        <w:tc>
          <w:tcPr>
            <w:tcW w:w="652" w:type="pct"/>
          </w:tcPr>
          <w:p w:rsidR="00BB433C" w:rsidRPr="00F86117" w:rsidRDefault="00BB433C" w:rsidP="00AD4D26">
            <w:pPr>
              <w:pStyle w:val="Tabletext"/>
              <w:keepNext/>
              <w:keepLines/>
              <w:jc w:val="center"/>
              <w:rPr>
                <w:bCs/>
                <w:color w:val="000000"/>
              </w:rPr>
            </w:pPr>
            <w:r w:rsidRPr="00F86117">
              <w:rPr>
                <w:szCs w:val="20"/>
              </w:rPr>
              <w:t>$41,376,774</w:t>
            </w:r>
          </w:p>
        </w:tc>
      </w:tr>
      <w:tr w:rsidR="00BB433C" w:rsidRPr="00F86117" w:rsidTr="005623A6">
        <w:tc>
          <w:tcPr>
            <w:tcW w:w="1089" w:type="pct"/>
            <w:shd w:val="clear" w:color="auto" w:fill="auto"/>
            <w:vAlign w:val="center"/>
          </w:tcPr>
          <w:p w:rsidR="00BB433C" w:rsidRPr="00F86117" w:rsidRDefault="00BB433C" w:rsidP="00AD4D26">
            <w:pPr>
              <w:pStyle w:val="Tabletext"/>
              <w:keepNext/>
              <w:keepLines/>
              <w:rPr>
                <w:sz w:val="19"/>
                <w:szCs w:val="19"/>
              </w:rPr>
            </w:pPr>
            <w:r w:rsidRPr="00F86117">
              <w:rPr>
                <w:sz w:val="19"/>
                <w:szCs w:val="19"/>
              </w:rPr>
              <w:t>Co-payments</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-$54,186</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-$56,896</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-$59,741</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-$62,728</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-$65,864</w:t>
            </w:r>
          </w:p>
        </w:tc>
        <w:tc>
          <w:tcPr>
            <w:tcW w:w="652" w:type="pct"/>
          </w:tcPr>
          <w:p w:rsidR="00BB433C" w:rsidRPr="00F86117" w:rsidRDefault="00BB433C" w:rsidP="00AD4D26">
            <w:pPr>
              <w:pStyle w:val="Tabletext"/>
              <w:keepNext/>
              <w:keepLines/>
              <w:jc w:val="center"/>
              <w:rPr>
                <w:bCs/>
                <w:color w:val="000000"/>
              </w:rPr>
            </w:pPr>
            <w:r w:rsidRPr="00F86117">
              <w:rPr>
                <w:szCs w:val="20"/>
              </w:rPr>
              <w:t>-$69,157</w:t>
            </w:r>
          </w:p>
        </w:tc>
      </w:tr>
      <w:tr w:rsidR="00BB433C" w:rsidRPr="00F86117" w:rsidTr="005623A6">
        <w:tc>
          <w:tcPr>
            <w:tcW w:w="1089" w:type="pct"/>
            <w:shd w:val="clear" w:color="auto" w:fill="auto"/>
            <w:vAlign w:val="center"/>
          </w:tcPr>
          <w:p w:rsidR="00BB433C" w:rsidRPr="00F86117" w:rsidRDefault="00BB433C" w:rsidP="00AD4D26">
            <w:pPr>
              <w:pStyle w:val="Tabletext"/>
              <w:keepNext/>
              <w:keepLines/>
              <w:rPr>
                <w:sz w:val="19"/>
                <w:szCs w:val="19"/>
              </w:rPr>
            </w:pPr>
            <w:r w:rsidRPr="00F86117">
              <w:rPr>
                <w:sz w:val="19"/>
                <w:szCs w:val="19"/>
              </w:rPr>
              <w:t xml:space="preserve">Cost to PBS/RPBS less </w:t>
            </w:r>
            <w:proofErr w:type="spellStart"/>
            <w:r w:rsidRPr="00F86117">
              <w:rPr>
                <w:sz w:val="19"/>
                <w:szCs w:val="19"/>
              </w:rPr>
              <w:t>copayments</w:t>
            </w:r>
            <w:proofErr w:type="spellEnd"/>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$32,365,598</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$33,983,878</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$35,683,072</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$37,467,226</w:t>
            </w:r>
          </w:p>
        </w:tc>
        <w:tc>
          <w:tcPr>
            <w:tcW w:w="652" w:type="pct"/>
            <w:shd w:val="clear" w:color="auto" w:fill="auto"/>
          </w:tcPr>
          <w:p w:rsidR="00BB433C" w:rsidRPr="00F86117" w:rsidRDefault="00BB433C" w:rsidP="00AD4D26">
            <w:pPr>
              <w:pStyle w:val="Tabletext"/>
              <w:keepNext/>
              <w:keepLines/>
              <w:jc w:val="center"/>
              <w:rPr>
                <w:bCs/>
                <w:color w:val="000000"/>
              </w:rPr>
            </w:pPr>
            <w:r w:rsidRPr="00F86117">
              <w:rPr>
                <w:szCs w:val="20"/>
              </w:rPr>
              <w:t>$39,340,587</w:t>
            </w:r>
          </w:p>
        </w:tc>
        <w:tc>
          <w:tcPr>
            <w:tcW w:w="652" w:type="pct"/>
          </w:tcPr>
          <w:p w:rsidR="00BB433C" w:rsidRPr="00F86117" w:rsidRDefault="00BB433C" w:rsidP="00AD4D26">
            <w:pPr>
              <w:pStyle w:val="Tabletext"/>
              <w:keepNext/>
              <w:keepLines/>
              <w:jc w:val="center"/>
              <w:rPr>
                <w:bCs/>
                <w:color w:val="000000"/>
              </w:rPr>
            </w:pPr>
            <w:r w:rsidRPr="00F86117">
              <w:rPr>
                <w:szCs w:val="20"/>
              </w:rPr>
              <w:t>$41,307,616</w:t>
            </w:r>
          </w:p>
        </w:tc>
      </w:tr>
      <w:tr w:rsidR="00BB433C" w:rsidRPr="00F86117" w:rsidTr="005623A6">
        <w:tc>
          <w:tcPr>
            <w:tcW w:w="5000" w:type="pct"/>
            <w:gridSpan w:val="7"/>
            <w:shd w:val="clear" w:color="auto" w:fill="auto"/>
            <w:vAlign w:val="center"/>
          </w:tcPr>
          <w:p w:rsidR="00BB433C" w:rsidRPr="00F86117" w:rsidRDefault="00BB433C" w:rsidP="00AD4D26">
            <w:pPr>
              <w:pStyle w:val="Tabletext"/>
              <w:keepNext/>
              <w:keepLines/>
              <w:rPr>
                <w:bCs/>
                <w:color w:val="000000"/>
              </w:rPr>
            </w:pPr>
            <w:r w:rsidRPr="00F86117">
              <w:rPr>
                <w:b/>
                <w:bCs/>
                <w:color w:val="000000"/>
              </w:rPr>
              <w:t xml:space="preserve">Estimated financial implications for </w:t>
            </w:r>
            <w:r w:rsidR="009B07D1" w:rsidRPr="00F86117">
              <w:rPr>
                <w:b/>
                <w:bCs/>
                <w:color w:val="000000"/>
              </w:rPr>
              <w:t xml:space="preserve">reduced use of </w:t>
            </w:r>
            <w:proofErr w:type="spellStart"/>
            <w:r w:rsidRPr="00F86117">
              <w:rPr>
                <w:b/>
                <w:bCs/>
                <w:color w:val="000000"/>
              </w:rPr>
              <w:t>sunitinib</w:t>
            </w:r>
            <w:proofErr w:type="spellEnd"/>
            <w:r w:rsidRPr="00F86117">
              <w:rPr>
                <w:b/>
                <w:bCs/>
                <w:color w:val="000000"/>
              </w:rPr>
              <w:t>/</w:t>
            </w:r>
            <w:proofErr w:type="spellStart"/>
            <w:r w:rsidRPr="00F86117">
              <w:rPr>
                <w:b/>
                <w:bCs/>
                <w:color w:val="000000"/>
              </w:rPr>
              <w:t>pazopanib</w:t>
            </w:r>
            <w:proofErr w:type="spellEnd"/>
            <w:r w:rsidR="00B34BBE" w:rsidRPr="00F86117">
              <w:rPr>
                <w:b/>
                <w:bCs/>
                <w:color w:val="000000"/>
              </w:rPr>
              <w:t xml:space="preserve"> and </w:t>
            </w:r>
            <w:r w:rsidR="009B07D1" w:rsidRPr="00F86117">
              <w:rPr>
                <w:b/>
                <w:bCs/>
                <w:color w:val="000000"/>
              </w:rPr>
              <w:t xml:space="preserve">new listing of </w:t>
            </w:r>
            <w:r w:rsidR="00B34BBE" w:rsidRPr="00F86117">
              <w:rPr>
                <w:b/>
                <w:bCs/>
                <w:color w:val="000000"/>
              </w:rPr>
              <w:t>NIVO+IPI*</w:t>
            </w:r>
            <w:r w:rsidR="00986E24" w:rsidRPr="00F86117">
              <w:rPr>
                <w:b/>
                <w:bCs/>
                <w:color w:val="000000"/>
              </w:rPr>
              <w:t>*</w:t>
            </w:r>
          </w:p>
        </w:tc>
      </w:tr>
      <w:tr w:rsidR="00BB433C" w:rsidRPr="00F86117" w:rsidTr="005623A6">
        <w:tc>
          <w:tcPr>
            <w:tcW w:w="1089" w:type="pct"/>
            <w:shd w:val="clear" w:color="auto" w:fill="auto"/>
            <w:vAlign w:val="center"/>
          </w:tcPr>
          <w:p w:rsidR="00BB433C" w:rsidRPr="00F86117" w:rsidRDefault="00BB433C" w:rsidP="00AD4D26">
            <w:pPr>
              <w:pStyle w:val="Tabletext"/>
              <w:keepNext/>
              <w:keepLines/>
              <w:rPr>
                <w:sz w:val="19"/>
                <w:szCs w:val="19"/>
              </w:rPr>
            </w:pPr>
            <w:r w:rsidRPr="00F86117">
              <w:rPr>
                <w:sz w:val="19"/>
                <w:szCs w:val="19"/>
              </w:rPr>
              <w:t>Cost to PBS/RPBS</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$22,745,682</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$23,450,100</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$25,422,281</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$27,509,065</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$29,716,501</w:t>
            </w:r>
          </w:p>
        </w:tc>
        <w:tc>
          <w:tcPr>
            <w:tcW w:w="652" w:type="pct"/>
          </w:tcPr>
          <w:p w:rsidR="00BB433C" w:rsidRPr="00F86117" w:rsidRDefault="00BB433C" w:rsidP="00AD4D26">
            <w:pPr>
              <w:pStyle w:val="Tabletext"/>
              <w:keepNext/>
              <w:keepLines/>
              <w:jc w:val="center"/>
              <w:rPr>
                <w:bCs/>
              </w:rPr>
            </w:pPr>
            <w:r w:rsidRPr="00F86117">
              <w:rPr>
                <w:rFonts w:cs="Calibri"/>
                <w:bCs/>
              </w:rPr>
              <w:t>$32,050,949</w:t>
            </w:r>
          </w:p>
        </w:tc>
      </w:tr>
      <w:tr w:rsidR="00BB433C" w:rsidRPr="00F86117" w:rsidTr="005623A6">
        <w:tc>
          <w:tcPr>
            <w:tcW w:w="1089" w:type="pct"/>
            <w:shd w:val="clear" w:color="auto" w:fill="auto"/>
            <w:vAlign w:val="center"/>
          </w:tcPr>
          <w:p w:rsidR="00BB433C" w:rsidRPr="00F86117" w:rsidRDefault="00BB433C" w:rsidP="00AD4D26">
            <w:pPr>
              <w:pStyle w:val="Tabletext"/>
              <w:keepNext/>
              <w:keepLines/>
              <w:rPr>
                <w:sz w:val="19"/>
                <w:szCs w:val="19"/>
              </w:rPr>
            </w:pPr>
            <w:r w:rsidRPr="00F86117">
              <w:rPr>
                <w:sz w:val="19"/>
                <w:szCs w:val="19"/>
              </w:rPr>
              <w:t>Co-payments</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$42,658</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$47,603</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$52,852</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$58,421</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$64,327</w:t>
            </w:r>
          </w:p>
        </w:tc>
        <w:tc>
          <w:tcPr>
            <w:tcW w:w="652" w:type="pct"/>
          </w:tcPr>
          <w:p w:rsidR="00BB433C" w:rsidRPr="00F86117" w:rsidRDefault="00BB433C" w:rsidP="00AD4D26">
            <w:pPr>
              <w:pStyle w:val="Tabletext"/>
              <w:keepNext/>
              <w:keepLines/>
              <w:jc w:val="center"/>
              <w:rPr>
                <w:bCs/>
              </w:rPr>
            </w:pPr>
            <w:r w:rsidRPr="00F86117">
              <w:rPr>
                <w:rFonts w:cs="Calibri"/>
                <w:bCs/>
              </w:rPr>
              <w:t>$70,588</w:t>
            </w:r>
          </w:p>
        </w:tc>
      </w:tr>
      <w:tr w:rsidR="00BB433C" w:rsidRPr="00F86117" w:rsidTr="005623A6">
        <w:tc>
          <w:tcPr>
            <w:tcW w:w="1089" w:type="pct"/>
            <w:shd w:val="clear" w:color="auto" w:fill="auto"/>
            <w:vAlign w:val="center"/>
          </w:tcPr>
          <w:p w:rsidR="00BB433C" w:rsidRPr="00F86117" w:rsidRDefault="00BB433C" w:rsidP="00AD4D26">
            <w:pPr>
              <w:pStyle w:val="Tabletext"/>
              <w:keepNext/>
              <w:keepLines/>
              <w:rPr>
                <w:sz w:val="19"/>
                <w:szCs w:val="19"/>
              </w:rPr>
            </w:pPr>
            <w:r w:rsidRPr="00F86117">
              <w:rPr>
                <w:sz w:val="19"/>
                <w:szCs w:val="19"/>
              </w:rPr>
              <w:t>Cost to PBS/RPBS less co-payments</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$22,703,024</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$23,402,497</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$25,369,429</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$27,450,643</w:t>
            </w:r>
          </w:p>
        </w:tc>
        <w:tc>
          <w:tcPr>
            <w:tcW w:w="652" w:type="pct"/>
            <w:shd w:val="clear" w:color="auto" w:fill="auto"/>
          </w:tcPr>
          <w:p w:rsidR="00BB433C" w:rsidRPr="00F86117" w:rsidRDefault="00BB433C" w:rsidP="00AD4D26">
            <w:pPr>
              <w:pStyle w:val="Tabletext"/>
              <w:keepNext/>
              <w:keepLines/>
              <w:jc w:val="center"/>
              <w:rPr>
                <w:bCs/>
              </w:rPr>
            </w:pPr>
            <w:r w:rsidRPr="00F86117">
              <w:rPr>
                <w:rFonts w:cs="Calibri"/>
                <w:bCs/>
              </w:rPr>
              <w:t>$29,652,174</w:t>
            </w:r>
          </w:p>
        </w:tc>
        <w:tc>
          <w:tcPr>
            <w:tcW w:w="652" w:type="pct"/>
          </w:tcPr>
          <w:p w:rsidR="00BB433C" w:rsidRPr="00F86117" w:rsidRDefault="00BB433C" w:rsidP="00AD4D26">
            <w:pPr>
              <w:pStyle w:val="Tabletext"/>
              <w:keepNext/>
              <w:keepLines/>
              <w:jc w:val="center"/>
              <w:rPr>
                <w:bCs/>
              </w:rPr>
            </w:pPr>
            <w:r w:rsidRPr="00F86117">
              <w:rPr>
                <w:rFonts w:cs="Calibri"/>
                <w:bCs/>
              </w:rPr>
              <w:t>$31,980,361</w:t>
            </w:r>
          </w:p>
        </w:tc>
      </w:tr>
      <w:tr w:rsidR="00BB433C" w:rsidRPr="00F86117" w:rsidTr="005623A6">
        <w:tc>
          <w:tcPr>
            <w:tcW w:w="5000" w:type="pct"/>
            <w:gridSpan w:val="7"/>
            <w:shd w:val="clear" w:color="auto" w:fill="auto"/>
            <w:vAlign w:val="center"/>
          </w:tcPr>
          <w:p w:rsidR="00BB433C" w:rsidRPr="00F86117" w:rsidRDefault="00BB433C" w:rsidP="00AD4D26">
            <w:pPr>
              <w:pStyle w:val="Tabletext"/>
              <w:keepNext/>
              <w:keepLines/>
              <w:rPr>
                <w:b/>
                <w:bCs/>
                <w:color w:val="000000"/>
              </w:rPr>
            </w:pPr>
            <w:r w:rsidRPr="00F86117">
              <w:rPr>
                <w:b/>
                <w:bCs/>
                <w:color w:val="000000"/>
              </w:rPr>
              <w:t xml:space="preserve">Net financial </w:t>
            </w:r>
            <w:r w:rsidRPr="00F86117">
              <w:rPr>
                <w:b/>
                <w:bCs/>
              </w:rPr>
              <w:t>implications</w:t>
            </w:r>
            <w:r w:rsidR="009B07D1" w:rsidRPr="00F86117">
              <w:rPr>
                <w:b/>
                <w:bCs/>
              </w:rPr>
              <w:t xml:space="preserve"> of listing </w:t>
            </w:r>
            <w:proofErr w:type="spellStart"/>
            <w:r w:rsidR="009B07D1" w:rsidRPr="00F86117">
              <w:rPr>
                <w:b/>
                <w:bCs/>
              </w:rPr>
              <w:t>cabozantinib</w:t>
            </w:r>
            <w:proofErr w:type="spellEnd"/>
            <w:r w:rsidR="009B07D1" w:rsidRPr="00F86117">
              <w:rPr>
                <w:b/>
                <w:bCs/>
              </w:rPr>
              <w:t xml:space="preserve"> and NIVO+IPI</w:t>
            </w:r>
            <w:r w:rsidR="003C7A1D" w:rsidRPr="00F86117">
              <w:rPr>
                <w:b/>
                <w:bCs/>
              </w:rPr>
              <w:t xml:space="preserve"> </w:t>
            </w:r>
          </w:p>
        </w:tc>
      </w:tr>
      <w:tr w:rsidR="00BB433C" w:rsidRPr="00F86117" w:rsidTr="005623A6">
        <w:tc>
          <w:tcPr>
            <w:tcW w:w="1089" w:type="pct"/>
            <w:shd w:val="clear" w:color="auto" w:fill="auto"/>
            <w:vAlign w:val="center"/>
          </w:tcPr>
          <w:p w:rsidR="00BB433C" w:rsidRPr="00F86117" w:rsidRDefault="00BB433C" w:rsidP="00AD4D26">
            <w:pPr>
              <w:pStyle w:val="Tabletext"/>
              <w:keepNext/>
              <w:keepLines/>
              <w:rPr>
                <w:sz w:val="19"/>
                <w:szCs w:val="19"/>
              </w:rPr>
            </w:pPr>
            <w:r w:rsidRPr="00F86117">
              <w:rPr>
                <w:sz w:val="19"/>
                <w:szCs w:val="19"/>
              </w:rPr>
              <w:t>Net cost to PBS/RPBS</w:t>
            </w:r>
          </w:p>
        </w:tc>
        <w:tc>
          <w:tcPr>
            <w:tcW w:w="652" w:type="pct"/>
            <w:shd w:val="clear" w:color="auto" w:fill="auto"/>
          </w:tcPr>
          <w:p w:rsidR="00BB433C" w:rsidRPr="00F86117" w:rsidRDefault="00BB433C" w:rsidP="00AD4D26">
            <w:pPr>
              <w:pStyle w:val="Tabletext"/>
              <w:keepNext/>
              <w:keepLines/>
              <w:jc w:val="center"/>
              <w:rPr>
                <w:bCs/>
              </w:rPr>
            </w:pPr>
            <w:r w:rsidRPr="00F86117">
              <w:rPr>
                <w:szCs w:val="20"/>
              </w:rPr>
              <w:t>$55,068,623</w:t>
            </w:r>
          </w:p>
        </w:tc>
        <w:tc>
          <w:tcPr>
            <w:tcW w:w="652" w:type="pct"/>
            <w:shd w:val="clear" w:color="auto" w:fill="auto"/>
          </w:tcPr>
          <w:p w:rsidR="00BB433C" w:rsidRPr="00F86117" w:rsidRDefault="00BB433C" w:rsidP="00AD4D26">
            <w:pPr>
              <w:pStyle w:val="Tabletext"/>
              <w:keepNext/>
              <w:keepLines/>
              <w:jc w:val="center"/>
              <w:rPr>
                <w:bCs/>
              </w:rPr>
            </w:pPr>
            <w:r w:rsidRPr="00F86117">
              <w:rPr>
                <w:szCs w:val="20"/>
              </w:rPr>
              <w:t>$57,386,375</w:t>
            </w:r>
          </w:p>
        </w:tc>
        <w:tc>
          <w:tcPr>
            <w:tcW w:w="652" w:type="pct"/>
            <w:shd w:val="clear" w:color="auto" w:fill="auto"/>
          </w:tcPr>
          <w:p w:rsidR="00BB433C" w:rsidRPr="00F86117" w:rsidRDefault="00BB433C" w:rsidP="00AD4D26">
            <w:pPr>
              <w:pStyle w:val="Tabletext"/>
              <w:keepNext/>
              <w:keepLines/>
              <w:jc w:val="center"/>
              <w:rPr>
                <w:bCs/>
              </w:rPr>
            </w:pPr>
            <w:r w:rsidRPr="00F86117">
              <w:rPr>
                <w:szCs w:val="20"/>
              </w:rPr>
              <w:t>$61,052,501</w:t>
            </w:r>
          </w:p>
        </w:tc>
        <w:tc>
          <w:tcPr>
            <w:tcW w:w="652" w:type="pct"/>
            <w:shd w:val="clear" w:color="auto" w:fill="auto"/>
          </w:tcPr>
          <w:p w:rsidR="00BB433C" w:rsidRPr="00F86117" w:rsidRDefault="00BB433C" w:rsidP="00AD4D26">
            <w:pPr>
              <w:pStyle w:val="Tabletext"/>
              <w:keepNext/>
              <w:keepLines/>
              <w:jc w:val="center"/>
              <w:rPr>
                <w:bCs/>
              </w:rPr>
            </w:pPr>
            <w:r w:rsidRPr="00F86117">
              <w:rPr>
                <w:szCs w:val="20"/>
              </w:rPr>
              <w:t>$64,917,869</w:t>
            </w:r>
          </w:p>
        </w:tc>
        <w:tc>
          <w:tcPr>
            <w:tcW w:w="652" w:type="pct"/>
            <w:shd w:val="clear" w:color="auto" w:fill="auto"/>
          </w:tcPr>
          <w:p w:rsidR="00BB433C" w:rsidRPr="00F86117" w:rsidRDefault="00BB433C" w:rsidP="00AD4D26">
            <w:pPr>
              <w:pStyle w:val="Tabletext"/>
              <w:keepNext/>
              <w:keepLines/>
              <w:jc w:val="center"/>
              <w:rPr>
                <w:bCs/>
              </w:rPr>
            </w:pPr>
            <w:r w:rsidRPr="00F86117">
              <w:rPr>
                <w:szCs w:val="20"/>
              </w:rPr>
              <w:t>$68,992,761</w:t>
            </w:r>
          </w:p>
        </w:tc>
        <w:tc>
          <w:tcPr>
            <w:tcW w:w="652" w:type="pct"/>
          </w:tcPr>
          <w:p w:rsidR="00BB433C" w:rsidRPr="00F86117" w:rsidRDefault="00BB433C" w:rsidP="00AD4D26">
            <w:pPr>
              <w:pStyle w:val="Tabletext"/>
              <w:keepNext/>
              <w:keepLines/>
              <w:jc w:val="center"/>
              <w:rPr>
                <w:bCs/>
              </w:rPr>
            </w:pPr>
            <w:r w:rsidRPr="00F86117">
              <w:rPr>
                <w:szCs w:val="20"/>
              </w:rPr>
              <w:t>$73,287,977</w:t>
            </w:r>
          </w:p>
        </w:tc>
      </w:tr>
      <w:tr w:rsidR="00BB433C" w:rsidRPr="00F86117" w:rsidTr="005623A6">
        <w:tc>
          <w:tcPr>
            <w:tcW w:w="1089" w:type="pct"/>
            <w:shd w:val="clear" w:color="auto" w:fill="auto"/>
            <w:vAlign w:val="center"/>
          </w:tcPr>
          <w:p w:rsidR="00BB433C" w:rsidRPr="00F86117" w:rsidRDefault="00BB433C" w:rsidP="00AD4D26">
            <w:pPr>
              <w:pStyle w:val="Tabletext"/>
              <w:keepNext/>
              <w:keepLines/>
              <w:rPr>
                <w:rFonts w:ascii="Times" w:hAnsi="Times"/>
              </w:rPr>
            </w:pPr>
            <w:r w:rsidRPr="00F86117">
              <w:rPr>
                <w:sz w:val="19"/>
                <w:szCs w:val="19"/>
              </w:rPr>
              <w:t>Net cost to MBS</w:t>
            </w:r>
          </w:p>
        </w:tc>
        <w:tc>
          <w:tcPr>
            <w:tcW w:w="652" w:type="pct"/>
            <w:shd w:val="clear" w:color="auto" w:fill="auto"/>
            <w:vAlign w:val="bottom"/>
          </w:tcPr>
          <w:p w:rsidR="00BB433C" w:rsidRPr="00F86117" w:rsidRDefault="00BB433C" w:rsidP="00AD4D26">
            <w:pPr>
              <w:pStyle w:val="Tabletext"/>
              <w:keepNext/>
              <w:keepLines/>
              <w:jc w:val="center"/>
              <w:rPr>
                <w:bCs/>
              </w:rPr>
            </w:pPr>
            <w:r w:rsidRPr="00F86117">
              <w:rPr>
                <w:rFonts w:cs="Arial"/>
                <w:color w:val="000000"/>
              </w:rPr>
              <w:t>$826,246</w:t>
            </w:r>
          </w:p>
        </w:tc>
        <w:tc>
          <w:tcPr>
            <w:tcW w:w="652" w:type="pct"/>
            <w:shd w:val="clear" w:color="auto" w:fill="auto"/>
            <w:vAlign w:val="bottom"/>
          </w:tcPr>
          <w:p w:rsidR="00BB433C" w:rsidRPr="00F86117" w:rsidRDefault="00BB433C" w:rsidP="00AD4D26">
            <w:pPr>
              <w:pStyle w:val="Tabletext"/>
              <w:keepNext/>
              <w:keepLines/>
              <w:jc w:val="center"/>
              <w:rPr>
                <w:bCs/>
              </w:rPr>
            </w:pPr>
            <w:r w:rsidRPr="00F86117">
              <w:rPr>
                <w:rFonts w:cs="Arial"/>
                <w:color w:val="000000"/>
              </w:rPr>
              <w:t>$883,843</w:t>
            </w:r>
          </w:p>
        </w:tc>
        <w:tc>
          <w:tcPr>
            <w:tcW w:w="652" w:type="pct"/>
            <w:shd w:val="clear" w:color="auto" w:fill="auto"/>
            <w:vAlign w:val="bottom"/>
          </w:tcPr>
          <w:p w:rsidR="00BB433C" w:rsidRPr="00F86117" w:rsidRDefault="00BB433C" w:rsidP="00AD4D26">
            <w:pPr>
              <w:pStyle w:val="Tabletext"/>
              <w:keepNext/>
              <w:keepLines/>
              <w:jc w:val="center"/>
              <w:rPr>
                <w:bCs/>
              </w:rPr>
            </w:pPr>
            <w:r w:rsidRPr="00F86117">
              <w:rPr>
                <w:rFonts w:cs="Arial"/>
                <w:color w:val="000000"/>
              </w:rPr>
              <w:t>$944,647</w:t>
            </w:r>
          </w:p>
        </w:tc>
        <w:tc>
          <w:tcPr>
            <w:tcW w:w="652" w:type="pct"/>
            <w:shd w:val="clear" w:color="auto" w:fill="auto"/>
            <w:vAlign w:val="bottom"/>
          </w:tcPr>
          <w:p w:rsidR="00BB433C" w:rsidRPr="00F86117" w:rsidRDefault="00BB433C" w:rsidP="00AD4D26">
            <w:pPr>
              <w:pStyle w:val="Tabletext"/>
              <w:keepNext/>
              <w:keepLines/>
              <w:jc w:val="center"/>
              <w:rPr>
                <w:bCs/>
              </w:rPr>
            </w:pPr>
            <w:r w:rsidRPr="00F86117">
              <w:rPr>
                <w:rFonts w:cs="Arial"/>
                <w:color w:val="000000"/>
              </w:rPr>
              <w:t>$1,008,822</w:t>
            </w:r>
          </w:p>
        </w:tc>
        <w:tc>
          <w:tcPr>
            <w:tcW w:w="652" w:type="pct"/>
            <w:shd w:val="clear" w:color="auto" w:fill="auto"/>
            <w:vAlign w:val="bottom"/>
          </w:tcPr>
          <w:p w:rsidR="00BB433C" w:rsidRPr="00F86117" w:rsidRDefault="00BB433C" w:rsidP="00AD4D26">
            <w:pPr>
              <w:pStyle w:val="Tabletext"/>
              <w:keepNext/>
              <w:keepLines/>
              <w:jc w:val="center"/>
              <w:rPr>
                <w:bCs/>
              </w:rPr>
            </w:pPr>
            <w:r w:rsidRPr="00F86117">
              <w:rPr>
                <w:rFonts w:cs="Arial"/>
                <w:color w:val="000000"/>
              </w:rPr>
              <w:t>$1,076,546</w:t>
            </w:r>
          </w:p>
        </w:tc>
        <w:tc>
          <w:tcPr>
            <w:tcW w:w="652" w:type="pct"/>
            <w:vAlign w:val="bottom"/>
          </w:tcPr>
          <w:p w:rsidR="00BB433C" w:rsidRPr="00F86117" w:rsidRDefault="00BB433C" w:rsidP="00AD4D26">
            <w:pPr>
              <w:pStyle w:val="Tabletext"/>
              <w:keepNext/>
              <w:keepLines/>
              <w:jc w:val="center"/>
              <w:rPr>
                <w:bCs/>
              </w:rPr>
            </w:pPr>
            <w:r w:rsidRPr="00F86117">
              <w:rPr>
                <w:rFonts w:cs="Arial"/>
                <w:color w:val="000000"/>
              </w:rPr>
              <w:t>$1,148,001</w:t>
            </w:r>
          </w:p>
        </w:tc>
      </w:tr>
      <w:tr w:rsidR="00BB433C" w:rsidRPr="00F86117" w:rsidTr="005623A6">
        <w:tc>
          <w:tcPr>
            <w:tcW w:w="1089" w:type="pct"/>
            <w:shd w:val="clear" w:color="auto" w:fill="auto"/>
            <w:vAlign w:val="center"/>
          </w:tcPr>
          <w:p w:rsidR="00BB433C" w:rsidRPr="00F86117" w:rsidRDefault="0059319D" w:rsidP="00AD4D26">
            <w:pPr>
              <w:pStyle w:val="Tabletext"/>
              <w:keepNext/>
              <w:keepLines/>
              <w:rPr>
                <w:sz w:val="19"/>
                <w:szCs w:val="19"/>
              </w:rPr>
            </w:pPr>
            <w:r w:rsidRPr="00F86117">
              <w:rPr>
                <w:sz w:val="19"/>
                <w:szCs w:val="19"/>
              </w:rPr>
              <w:t>Net cost to PBS/RPBS/MBS</w:t>
            </w:r>
          </w:p>
        </w:tc>
        <w:tc>
          <w:tcPr>
            <w:tcW w:w="652" w:type="pct"/>
            <w:shd w:val="clear" w:color="auto" w:fill="auto"/>
            <w:vAlign w:val="center"/>
          </w:tcPr>
          <w:p w:rsidR="00BB433C" w:rsidRPr="00F86117" w:rsidRDefault="00BB433C" w:rsidP="00AD4D26">
            <w:pPr>
              <w:pStyle w:val="Tabletext"/>
              <w:keepNext/>
              <w:keepLines/>
              <w:jc w:val="center"/>
              <w:rPr>
                <w:bCs/>
              </w:rPr>
            </w:pPr>
            <w:r w:rsidRPr="00F86117">
              <w:rPr>
                <w:rFonts w:cs="Arial"/>
                <w:color w:val="000000"/>
                <w:szCs w:val="20"/>
              </w:rPr>
              <w:t>$55,894,869</w:t>
            </w:r>
          </w:p>
        </w:tc>
        <w:tc>
          <w:tcPr>
            <w:tcW w:w="652" w:type="pct"/>
            <w:shd w:val="clear" w:color="auto" w:fill="auto"/>
            <w:vAlign w:val="center"/>
          </w:tcPr>
          <w:p w:rsidR="00BB433C" w:rsidRPr="00F86117" w:rsidRDefault="00BB433C" w:rsidP="00AD4D26">
            <w:pPr>
              <w:pStyle w:val="Tabletext"/>
              <w:keepNext/>
              <w:keepLines/>
              <w:jc w:val="center"/>
              <w:rPr>
                <w:bCs/>
              </w:rPr>
            </w:pPr>
            <w:r w:rsidRPr="00F86117">
              <w:rPr>
                <w:rFonts w:cs="Arial"/>
                <w:color w:val="000000"/>
                <w:szCs w:val="20"/>
              </w:rPr>
              <w:t>$58,270,218</w:t>
            </w:r>
          </w:p>
        </w:tc>
        <w:tc>
          <w:tcPr>
            <w:tcW w:w="652" w:type="pct"/>
            <w:shd w:val="clear" w:color="auto" w:fill="auto"/>
            <w:vAlign w:val="center"/>
          </w:tcPr>
          <w:p w:rsidR="00BB433C" w:rsidRPr="00F86117" w:rsidRDefault="00BB433C" w:rsidP="00AD4D26">
            <w:pPr>
              <w:pStyle w:val="Tabletext"/>
              <w:keepNext/>
              <w:keepLines/>
              <w:jc w:val="center"/>
              <w:rPr>
                <w:bCs/>
              </w:rPr>
            </w:pPr>
            <w:r w:rsidRPr="00F86117">
              <w:rPr>
                <w:rFonts w:cs="Arial"/>
                <w:color w:val="000000"/>
                <w:szCs w:val="20"/>
              </w:rPr>
              <w:t>$61,997,148</w:t>
            </w:r>
          </w:p>
        </w:tc>
        <w:tc>
          <w:tcPr>
            <w:tcW w:w="652" w:type="pct"/>
            <w:shd w:val="clear" w:color="auto" w:fill="auto"/>
            <w:vAlign w:val="center"/>
          </w:tcPr>
          <w:p w:rsidR="00BB433C" w:rsidRPr="00F86117" w:rsidRDefault="00BB433C" w:rsidP="00AD4D26">
            <w:pPr>
              <w:pStyle w:val="Tabletext"/>
              <w:keepNext/>
              <w:keepLines/>
              <w:jc w:val="center"/>
              <w:rPr>
                <w:bCs/>
              </w:rPr>
            </w:pPr>
            <w:r w:rsidRPr="00F86117">
              <w:rPr>
                <w:rFonts w:cs="Arial"/>
                <w:color w:val="000000"/>
                <w:szCs w:val="20"/>
              </w:rPr>
              <w:t>$65,926,691</w:t>
            </w:r>
          </w:p>
        </w:tc>
        <w:tc>
          <w:tcPr>
            <w:tcW w:w="652" w:type="pct"/>
            <w:shd w:val="clear" w:color="auto" w:fill="auto"/>
            <w:vAlign w:val="center"/>
          </w:tcPr>
          <w:p w:rsidR="00BB433C" w:rsidRPr="00F86117" w:rsidRDefault="00BB433C" w:rsidP="00AD4D26">
            <w:pPr>
              <w:pStyle w:val="Tabletext"/>
              <w:keepNext/>
              <w:keepLines/>
              <w:jc w:val="center"/>
              <w:rPr>
                <w:bCs/>
              </w:rPr>
            </w:pPr>
            <w:r w:rsidRPr="00F86117">
              <w:rPr>
                <w:rFonts w:cs="Arial"/>
                <w:color w:val="000000"/>
                <w:szCs w:val="20"/>
              </w:rPr>
              <w:t>$70,069,307</w:t>
            </w:r>
          </w:p>
        </w:tc>
        <w:tc>
          <w:tcPr>
            <w:tcW w:w="652" w:type="pct"/>
            <w:vAlign w:val="center"/>
          </w:tcPr>
          <w:p w:rsidR="00BB433C" w:rsidRPr="00F86117" w:rsidRDefault="00BB433C" w:rsidP="00AD4D26">
            <w:pPr>
              <w:pStyle w:val="Tabletext"/>
              <w:keepNext/>
              <w:keepLines/>
              <w:jc w:val="center"/>
              <w:rPr>
                <w:bCs/>
              </w:rPr>
            </w:pPr>
            <w:r w:rsidRPr="00F86117">
              <w:rPr>
                <w:rFonts w:cs="Arial"/>
                <w:color w:val="000000"/>
                <w:szCs w:val="20"/>
              </w:rPr>
              <w:t>$74,435,978</w:t>
            </w:r>
          </w:p>
        </w:tc>
      </w:tr>
    </w:tbl>
    <w:p w:rsidR="00BB433C" w:rsidRPr="00F86117" w:rsidRDefault="00BB433C" w:rsidP="00AD4D26">
      <w:pPr>
        <w:pStyle w:val="TableFooter"/>
        <w:keepNext/>
        <w:keepLines/>
        <w:widowControl/>
      </w:pPr>
      <w:r w:rsidRPr="00F86117">
        <w:t>Source: Compiled during the evaluation using Table 4.9, p.238; Table 4.13, p.242; Table 4.18, p.245 and attachment 8 worksheet 4b. Displaced-PUB of the submission.</w:t>
      </w:r>
    </w:p>
    <w:p w:rsidR="00BB433C" w:rsidRPr="00F86117" w:rsidRDefault="00BB433C" w:rsidP="00AD4D26">
      <w:pPr>
        <w:pStyle w:val="TableFooter"/>
        <w:keepNext/>
        <w:keepLines/>
        <w:widowControl/>
        <w:tabs>
          <w:tab w:val="left" w:pos="142"/>
        </w:tabs>
      </w:pPr>
      <w:r w:rsidRPr="00F86117">
        <w:t xml:space="preserve">Note: * The evaluators estimated this number by dividing the total number of scripts for </w:t>
      </w:r>
      <w:proofErr w:type="spellStart"/>
      <w:r w:rsidRPr="00F86117">
        <w:t>cabozantinib</w:t>
      </w:r>
      <w:proofErr w:type="spellEnd"/>
      <w:r w:rsidRPr="00F86117">
        <w:t xml:space="preserve"> per year by the average number of script/patient/year (assumed 12.17 by the submission).</w:t>
      </w:r>
    </w:p>
    <w:p w:rsidR="00B34BBE" w:rsidRPr="00F86117" w:rsidRDefault="00B34BBE" w:rsidP="00AD4D26">
      <w:pPr>
        <w:pStyle w:val="TableFooter"/>
        <w:keepNext/>
        <w:keepLines/>
        <w:widowControl/>
        <w:rPr>
          <w:rStyle w:val="CommentReference"/>
          <w:b w:val="0"/>
          <w:sz w:val="18"/>
          <w:szCs w:val="22"/>
        </w:rPr>
      </w:pPr>
      <w:r w:rsidRPr="00F86117">
        <w:t>** The</w:t>
      </w:r>
      <w:r w:rsidR="00986E24" w:rsidRPr="00F86117">
        <w:t xml:space="preserve"> increased cost (i.e. </w:t>
      </w:r>
      <w:r w:rsidRPr="00F86117">
        <w:t>negative reduction</w:t>
      </w:r>
      <w:r w:rsidR="00986E24" w:rsidRPr="00F86117">
        <w:t>)</w:t>
      </w:r>
      <w:r w:rsidRPr="00F86117">
        <w:t xml:space="preserve"> in this scenario relates to increased utilisation of NIVO+IPI associated with the simultaneous listing</w:t>
      </w:r>
      <w:r w:rsidR="009B07D1" w:rsidRPr="00F86117">
        <w:t xml:space="preserve">. While the submission assumed a reduction in use of </w:t>
      </w:r>
      <w:proofErr w:type="spellStart"/>
      <w:r w:rsidR="009B07D1" w:rsidRPr="00F86117">
        <w:t>sunitinib</w:t>
      </w:r>
      <w:proofErr w:type="spellEnd"/>
      <w:r w:rsidR="009B07D1" w:rsidRPr="00F86117">
        <w:t>/</w:t>
      </w:r>
      <w:proofErr w:type="spellStart"/>
      <w:r w:rsidR="009B07D1" w:rsidRPr="00F86117">
        <w:t>pazopanib</w:t>
      </w:r>
      <w:proofErr w:type="spellEnd"/>
      <w:r w:rsidR="00986E24" w:rsidRPr="00F86117">
        <w:t xml:space="preserve"> which would</w:t>
      </w:r>
      <w:r w:rsidR="009B07D1" w:rsidRPr="00F86117">
        <w:t xml:space="preserve"> be associated with a cost-saving, the increased cost of NIVO+IPI would result in an overall increase in costs.</w:t>
      </w:r>
    </w:p>
    <w:p w:rsidR="00BB433C" w:rsidRPr="00F86117" w:rsidRDefault="00BB433C" w:rsidP="0061386A">
      <w:pPr>
        <w:pStyle w:val="ListParagraph"/>
        <w:widowControl/>
        <w:numPr>
          <w:ilvl w:val="1"/>
          <w:numId w:val="2"/>
        </w:numPr>
        <w:spacing w:before="120"/>
      </w:pPr>
      <w:r w:rsidRPr="00F86117">
        <w:t xml:space="preserve">The current utilisation of </w:t>
      </w:r>
      <w:proofErr w:type="spellStart"/>
      <w:r w:rsidRPr="00F86117">
        <w:t>sunitinib</w:t>
      </w:r>
      <w:proofErr w:type="spellEnd"/>
      <w:r w:rsidRPr="00F86117">
        <w:t xml:space="preserve"> and </w:t>
      </w:r>
      <w:proofErr w:type="spellStart"/>
      <w:r w:rsidRPr="00F86117">
        <w:t>pazopanib</w:t>
      </w:r>
      <w:proofErr w:type="spellEnd"/>
      <w:r w:rsidRPr="00F86117">
        <w:t xml:space="preserve"> reflects use in patients with favourable and intermediate-risk. The utilisation of </w:t>
      </w:r>
      <w:proofErr w:type="spellStart"/>
      <w:r w:rsidRPr="00F86117">
        <w:t>cabozantinib</w:t>
      </w:r>
      <w:proofErr w:type="spellEnd"/>
      <w:r w:rsidRPr="00F86117">
        <w:t xml:space="preserve"> will overlap with the current use for intermediate-risk patients only. This approach effectively assumed that the current utilisation of </w:t>
      </w:r>
      <w:proofErr w:type="spellStart"/>
      <w:r w:rsidRPr="00F86117">
        <w:t>sunitinib</w:t>
      </w:r>
      <w:proofErr w:type="spellEnd"/>
      <w:r w:rsidRPr="00F86117">
        <w:t>/</w:t>
      </w:r>
      <w:proofErr w:type="spellStart"/>
      <w:r w:rsidRPr="00F86117">
        <w:t>pazopanib</w:t>
      </w:r>
      <w:proofErr w:type="spellEnd"/>
      <w:r w:rsidRPr="00F86117">
        <w:t xml:space="preserve"> in favourable-risk patients reflects the potential use of </w:t>
      </w:r>
      <w:proofErr w:type="spellStart"/>
      <w:r w:rsidRPr="00F86117">
        <w:t>cabozantinib</w:t>
      </w:r>
      <w:proofErr w:type="spellEnd"/>
      <w:r w:rsidRPr="00F86117">
        <w:t xml:space="preserve"> in poor-risk patients. Patients with poor-risk are likely to have a shorter duration of treatment compared to those with favourable-risk. </w:t>
      </w:r>
      <w:r w:rsidRPr="00F86117">
        <w:rPr>
          <w:lang w:eastAsia="en-AU"/>
        </w:rPr>
        <w:t>The proportion of patients with intermediate and poor-risk, which was estimated at 87.5% (which will be eligible for the proposed medicine), was also likely to be overestimated relative to what has been reported in the literature. Therefore, i</w:t>
      </w:r>
      <w:r w:rsidRPr="00F86117">
        <w:t xml:space="preserve">t is likely that the utilisation of </w:t>
      </w:r>
      <w:proofErr w:type="spellStart"/>
      <w:r w:rsidRPr="00F86117">
        <w:t>cabozantinib</w:t>
      </w:r>
      <w:proofErr w:type="spellEnd"/>
      <w:r w:rsidRPr="00F86117">
        <w:t xml:space="preserve"> has been overestimated. </w:t>
      </w:r>
    </w:p>
    <w:p w:rsidR="00BB433C" w:rsidRPr="00F86117" w:rsidRDefault="00BB433C" w:rsidP="0061386A">
      <w:pPr>
        <w:pStyle w:val="ListParagraph"/>
        <w:widowControl/>
        <w:numPr>
          <w:ilvl w:val="1"/>
          <w:numId w:val="2"/>
        </w:numPr>
        <w:spacing w:before="120"/>
        <w:rPr>
          <w:lang w:eastAsia="en-AU"/>
        </w:rPr>
      </w:pPr>
      <w:r w:rsidRPr="00F86117">
        <w:rPr>
          <w:lang w:eastAsia="en-AU"/>
        </w:rPr>
        <w:t xml:space="preserve">The submission applied 5% market growth for a new intervention and 10% growth due to the superiority of </w:t>
      </w:r>
      <w:proofErr w:type="spellStart"/>
      <w:r w:rsidRPr="00F86117">
        <w:rPr>
          <w:lang w:eastAsia="en-AU"/>
        </w:rPr>
        <w:t>cabozantinib</w:t>
      </w:r>
      <w:proofErr w:type="spellEnd"/>
      <w:r w:rsidRPr="00F86117">
        <w:rPr>
          <w:lang w:eastAsia="en-AU"/>
        </w:rPr>
        <w:t>. These were not justified and were likely to overestimate the utilisation.</w:t>
      </w:r>
    </w:p>
    <w:p w:rsidR="00BB433C" w:rsidRPr="00F86117" w:rsidRDefault="00BB433C" w:rsidP="0061386A">
      <w:pPr>
        <w:pStyle w:val="ListParagraph"/>
        <w:widowControl/>
        <w:numPr>
          <w:ilvl w:val="1"/>
          <w:numId w:val="2"/>
        </w:numPr>
        <w:spacing w:before="120"/>
        <w:rPr>
          <w:lang w:eastAsia="en-AU"/>
        </w:rPr>
      </w:pPr>
      <w:r w:rsidRPr="00F86117">
        <w:rPr>
          <w:lang w:eastAsia="en-AU"/>
        </w:rPr>
        <w:t xml:space="preserve">The submission did not address the potential changes in use of other PBS listed treatments subsequent to the first-line setting (e.g. second and third-line) in RCC patients. This included the impact on current use of </w:t>
      </w:r>
      <w:proofErr w:type="spellStart"/>
      <w:r w:rsidRPr="00F86117">
        <w:rPr>
          <w:lang w:eastAsia="en-AU"/>
        </w:rPr>
        <w:t>cabozantinib</w:t>
      </w:r>
      <w:proofErr w:type="spellEnd"/>
      <w:r w:rsidRPr="00F86117">
        <w:rPr>
          <w:lang w:eastAsia="en-AU"/>
        </w:rPr>
        <w:t xml:space="preserve"> in the </w:t>
      </w:r>
      <w:r w:rsidR="00A91264" w:rsidRPr="00F86117">
        <w:rPr>
          <w:lang w:eastAsia="en-AU"/>
        </w:rPr>
        <w:t>post-TKI</w:t>
      </w:r>
      <w:r w:rsidRPr="00F86117">
        <w:rPr>
          <w:lang w:eastAsia="en-AU"/>
        </w:rPr>
        <w:t xml:space="preserve"> setting that may arise from its use in the first-line setting. Moreover, the submission did not address the potential for increased use of other medicines (in subsequent lines of therapy) that would be affected by </w:t>
      </w:r>
      <w:r w:rsidR="0077215B" w:rsidRPr="00F86117">
        <w:rPr>
          <w:lang w:eastAsia="en-AU"/>
        </w:rPr>
        <w:t>availability of a first</w:t>
      </w:r>
      <w:r w:rsidR="0059319D" w:rsidRPr="00F86117">
        <w:rPr>
          <w:lang w:eastAsia="en-AU"/>
        </w:rPr>
        <w:t>-</w:t>
      </w:r>
      <w:r w:rsidR="0077215B" w:rsidRPr="00F86117">
        <w:rPr>
          <w:lang w:eastAsia="en-AU"/>
        </w:rPr>
        <w:t xml:space="preserve">line treatment for </w:t>
      </w:r>
      <w:r w:rsidRPr="00F86117">
        <w:rPr>
          <w:lang w:eastAsia="en-AU"/>
        </w:rPr>
        <w:t xml:space="preserve">patients with poor risk. </w:t>
      </w:r>
    </w:p>
    <w:p w:rsidR="00BB433C" w:rsidRPr="00F86117" w:rsidRDefault="00BB433C" w:rsidP="0061386A">
      <w:pPr>
        <w:pStyle w:val="ListParagraph"/>
        <w:widowControl/>
        <w:numPr>
          <w:ilvl w:val="1"/>
          <w:numId w:val="2"/>
        </w:numPr>
        <w:spacing w:before="120"/>
        <w:rPr>
          <w:lang w:eastAsia="en-AU"/>
        </w:rPr>
      </w:pPr>
      <w:r w:rsidRPr="00F86117">
        <w:rPr>
          <w:lang w:eastAsia="en-AU"/>
        </w:rPr>
        <w:lastRenderedPageBreak/>
        <w:t xml:space="preserve">The submission also assumed that a simultaneous listing may occur for </w:t>
      </w:r>
      <w:proofErr w:type="spellStart"/>
      <w:r w:rsidRPr="00F86117">
        <w:rPr>
          <w:lang w:eastAsia="en-AU"/>
        </w:rPr>
        <w:t>cabozantinib</w:t>
      </w:r>
      <w:proofErr w:type="spellEnd"/>
      <w:r w:rsidRPr="00F86117">
        <w:rPr>
          <w:lang w:eastAsia="en-AU"/>
        </w:rPr>
        <w:t xml:space="preserve"> relative to NIVO+IPI, and that in the event of such a listing the two would take market share away from </w:t>
      </w:r>
      <w:proofErr w:type="spellStart"/>
      <w:r w:rsidRPr="00F86117">
        <w:rPr>
          <w:lang w:eastAsia="en-AU"/>
        </w:rPr>
        <w:t>sunitinib</w:t>
      </w:r>
      <w:proofErr w:type="spellEnd"/>
      <w:r w:rsidRPr="00F86117">
        <w:rPr>
          <w:lang w:eastAsia="en-AU"/>
        </w:rPr>
        <w:t xml:space="preserve"> and </w:t>
      </w:r>
      <w:proofErr w:type="spellStart"/>
      <w:r w:rsidRPr="00F86117">
        <w:rPr>
          <w:lang w:eastAsia="en-AU"/>
        </w:rPr>
        <w:t>pazopanib</w:t>
      </w:r>
      <w:proofErr w:type="spellEnd"/>
      <w:r w:rsidRPr="00F86117">
        <w:rPr>
          <w:lang w:eastAsia="en-AU"/>
        </w:rPr>
        <w:t xml:space="preserve">. However, </w:t>
      </w:r>
      <w:r w:rsidR="002112F9" w:rsidRPr="00F86117">
        <w:rPr>
          <w:lang w:eastAsia="en-AU"/>
        </w:rPr>
        <w:t xml:space="preserve">NIVO+IPI received </w:t>
      </w:r>
      <w:r w:rsidR="00837FC8" w:rsidRPr="00F86117">
        <w:rPr>
          <w:lang w:eastAsia="en-AU"/>
        </w:rPr>
        <w:t xml:space="preserve">a </w:t>
      </w:r>
      <w:r w:rsidR="000767F6" w:rsidRPr="00F86117">
        <w:rPr>
          <w:lang w:eastAsia="en-AU"/>
        </w:rPr>
        <w:t xml:space="preserve">positive recommendation </w:t>
      </w:r>
      <w:r w:rsidR="002112F9" w:rsidRPr="00F86117">
        <w:rPr>
          <w:lang w:eastAsia="en-AU"/>
        </w:rPr>
        <w:t>at</w:t>
      </w:r>
      <w:r w:rsidR="000767F6" w:rsidRPr="00F86117">
        <w:rPr>
          <w:lang w:eastAsia="en-AU"/>
        </w:rPr>
        <w:t xml:space="preserve"> the </w:t>
      </w:r>
      <w:r w:rsidR="002112F9" w:rsidRPr="00F86117">
        <w:rPr>
          <w:lang w:eastAsia="en-AU"/>
        </w:rPr>
        <w:t xml:space="preserve">November 2018 </w:t>
      </w:r>
      <w:r w:rsidR="000767F6" w:rsidRPr="00F86117">
        <w:rPr>
          <w:lang w:eastAsia="en-AU"/>
        </w:rPr>
        <w:t xml:space="preserve">PBAC </w:t>
      </w:r>
      <w:r w:rsidR="002112F9" w:rsidRPr="00F86117">
        <w:rPr>
          <w:lang w:eastAsia="en-AU"/>
        </w:rPr>
        <w:t xml:space="preserve">meeting </w:t>
      </w:r>
      <w:r w:rsidR="000767F6" w:rsidRPr="00F86117">
        <w:rPr>
          <w:lang w:eastAsia="en-AU"/>
        </w:rPr>
        <w:t>(</w:t>
      </w:r>
      <w:r w:rsidR="00837FC8" w:rsidRPr="00F86117">
        <w:rPr>
          <w:lang w:eastAsia="en-AU"/>
        </w:rPr>
        <w:t>PBAC November 2018 outcomes document</w:t>
      </w:r>
      <w:r w:rsidR="000767F6" w:rsidRPr="00F86117">
        <w:rPr>
          <w:lang w:eastAsia="en-AU"/>
        </w:rPr>
        <w:t>)</w:t>
      </w:r>
      <w:r w:rsidR="000E6B3B" w:rsidRPr="00F86117">
        <w:rPr>
          <w:lang w:eastAsia="en-AU"/>
        </w:rPr>
        <w:t xml:space="preserve"> and was listed on 1 March 2019</w:t>
      </w:r>
      <w:r w:rsidR="00CB4F25" w:rsidRPr="00F86117">
        <w:rPr>
          <w:lang w:eastAsia="en-AU"/>
        </w:rPr>
        <w:t xml:space="preserve">. </w:t>
      </w:r>
      <w:r w:rsidR="00695118" w:rsidRPr="00F86117">
        <w:rPr>
          <w:lang w:eastAsia="en-AU"/>
        </w:rPr>
        <w:t>Further, t</w:t>
      </w:r>
      <w:r w:rsidRPr="00F86117">
        <w:rPr>
          <w:lang w:eastAsia="en-AU"/>
        </w:rPr>
        <w:t xml:space="preserve">he </w:t>
      </w:r>
      <w:r w:rsidR="00695118" w:rsidRPr="00F86117">
        <w:rPr>
          <w:lang w:eastAsia="en-AU"/>
        </w:rPr>
        <w:t>clinical evidence</w:t>
      </w:r>
      <w:r w:rsidRPr="00F86117">
        <w:rPr>
          <w:lang w:eastAsia="en-AU"/>
        </w:rPr>
        <w:t xml:space="preserve"> (in Section 2) suggest that NIVO+IPI would be more likely to be </w:t>
      </w:r>
      <w:r w:rsidR="005F200E" w:rsidRPr="00F86117">
        <w:rPr>
          <w:lang w:eastAsia="en-AU"/>
        </w:rPr>
        <w:t xml:space="preserve">the </w:t>
      </w:r>
      <w:r w:rsidRPr="00F86117">
        <w:rPr>
          <w:lang w:eastAsia="en-AU"/>
        </w:rPr>
        <w:t>preferred new entrant (and hence capture the bulk of the first-line market).</w:t>
      </w:r>
    </w:p>
    <w:p w:rsidR="00262295" w:rsidRPr="00F86117" w:rsidRDefault="00262295" w:rsidP="0061386A">
      <w:pPr>
        <w:pStyle w:val="ListParagraph"/>
        <w:widowControl/>
        <w:numPr>
          <w:ilvl w:val="1"/>
          <w:numId w:val="2"/>
        </w:numPr>
        <w:spacing w:before="120"/>
        <w:rPr>
          <w:lang w:eastAsia="en-AU"/>
        </w:rPr>
      </w:pPr>
      <w:r w:rsidRPr="00F86117">
        <w:rPr>
          <w:lang w:eastAsia="en-AU"/>
        </w:rPr>
        <w:t xml:space="preserve">The submission requested flat pricing across the three strengths of </w:t>
      </w:r>
      <w:proofErr w:type="spellStart"/>
      <w:r w:rsidRPr="00F86117">
        <w:rPr>
          <w:lang w:eastAsia="en-AU"/>
        </w:rPr>
        <w:t>cabozantinib</w:t>
      </w:r>
      <w:proofErr w:type="spellEnd"/>
      <w:r w:rsidRPr="00F86117">
        <w:rPr>
          <w:lang w:eastAsia="en-AU"/>
        </w:rPr>
        <w:t xml:space="preserve">. </w:t>
      </w:r>
      <w:r w:rsidR="00695118" w:rsidRPr="00F86117">
        <w:rPr>
          <w:lang w:eastAsia="en-AU"/>
        </w:rPr>
        <w:t xml:space="preserve">As part of its previous </w:t>
      </w:r>
      <w:r w:rsidRPr="00F86117">
        <w:rPr>
          <w:lang w:eastAsia="en-AU"/>
        </w:rPr>
        <w:t>con</w:t>
      </w:r>
      <w:r w:rsidR="003E4D1F" w:rsidRPr="00F86117">
        <w:rPr>
          <w:lang w:eastAsia="en-AU"/>
        </w:rPr>
        <w:t>sider</w:t>
      </w:r>
      <w:r w:rsidR="00695118" w:rsidRPr="00F86117">
        <w:rPr>
          <w:lang w:eastAsia="en-AU"/>
        </w:rPr>
        <w:t xml:space="preserve">ation of </w:t>
      </w:r>
      <w:proofErr w:type="spellStart"/>
      <w:r w:rsidR="00695118" w:rsidRPr="00F86117">
        <w:rPr>
          <w:lang w:eastAsia="en-AU"/>
        </w:rPr>
        <w:t>cabozantinib</w:t>
      </w:r>
      <w:proofErr w:type="spellEnd"/>
      <w:r w:rsidR="00695118" w:rsidRPr="00F86117">
        <w:rPr>
          <w:lang w:eastAsia="en-AU"/>
        </w:rPr>
        <w:t xml:space="preserve"> (in the post-TKI treatment setting), the</w:t>
      </w:r>
      <w:r w:rsidRPr="00F86117">
        <w:rPr>
          <w:lang w:eastAsia="en-AU"/>
        </w:rPr>
        <w:t xml:space="preserve"> PBAC </w:t>
      </w:r>
      <w:r w:rsidR="00695118" w:rsidRPr="00F86117">
        <w:rPr>
          <w:lang w:eastAsia="en-AU"/>
        </w:rPr>
        <w:t xml:space="preserve">considered that </w:t>
      </w:r>
      <w:r w:rsidRPr="00F86117">
        <w:rPr>
          <w:lang w:eastAsia="en-AU"/>
        </w:rPr>
        <w:t xml:space="preserve">patients may receive prescriptions of varying strengths to assist with dose titration, and this may impact the overall cost of </w:t>
      </w:r>
      <w:proofErr w:type="spellStart"/>
      <w:r w:rsidRPr="00F86117">
        <w:rPr>
          <w:lang w:eastAsia="en-AU"/>
        </w:rPr>
        <w:t>cabozantinib</w:t>
      </w:r>
      <w:proofErr w:type="spellEnd"/>
      <w:r w:rsidRPr="00F86117">
        <w:rPr>
          <w:lang w:eastAsia="en-AU"/>
        </w:rPr>
        <w:t xml:space="preserve"> to the PBS (</w:t>
      </w:r>
      <w:proofErr w:type="spellStart"/>
      <w:r w:rsidRPr="00F86117">
        <w:rPr>
          <w:lang w:eastAsia="en-AU"/>
        </w:rPr>
        <w:t>Cabozantini</w:t>
      </w:r>
      <w:r w:rsidR="004D5375" w:rsidRPr="00F86117">
        <w:rPr>
          <w:lang w:eastAsia="en-AU"/>
        </w:rPr>
        <w:t>b</w:t>
      </w:r>
      <w:proofErr w:type="spellEnd"/>
      <w:r w:rsidRPr="00F86117">
        <w:rPr>
          <w:lang w:eastAsia="en-AU"/>
        </w:rPr>
        <w:t xml:space="preserve"> PSD December 2017)</w:t>
      </w:r>
      <w:r w:rsidR="002D3D51" w:rsidRPr="00F86117">
        <w:rPr>
          <w:lang w:eastAsia="en-AU"/>
        </w:rPr>
        <w:t>.</w:t>
      </w:r>
    </w:p>
    <w:p w:rsidR="00BB433C" w:rsidRPr="00F86117" w:rsidRDefault="00BB433C" w:rsidP="0061386A">
      <w:pPr>
        <w:pStyle w:val="Heading2"/>
        <w:widowControl/>
        <w:spacing w:before="120"/>
      </w:pPr>
      <w:bookmarkStart w:id="42" w:name="_Toc371170713"/>
      <w:bookmarkStart w:id="43" w:name="_Toc536002949"/>
      <w:bookmarkStart w:id="44" w:name="_Toc536023501"/>
      <w:r w:rsidRPr="00F86117">
        <w:t>Quality Use of Medicines</w:t>
      </w:r>
      <w:bookmarkEnd w:id="42"/>
      <w:bookmarkEnd w:id="43"/>
      <w:bookmarkEnd w:id="44"/>
    </w:p>
    <w:p w:rsidR="00BB433C" w:rsidRPr="00F86117" w:rsidRDefault="00BB433C" w:rsidP="0061386A">
      <w:pPr>
        <w:pStyle w:val="ListParagraph"/>
        <w:widowControl/>
        <w:numPr>
          <w:ilvl w:val="1"/>
          <w:numId w:val="2"/>
        </w:numPr>
        <w:spacing w:before="120"/>
      </w:pPr>
      <w:r w:rsidRPr="00F86117">
        <w:t>No information related to the quality use of medicines was presented in the submission.</w:t>
      </w:r>
    </w:p>
    <w:p w:rsidR="00BB433C" w:rsidRPr="00F86117" w:rsidRDefault="00BB433C" w:rsidP="0061386A">
      <w:pPr>
        <w:pStyle w:val="Heading2"/>
        <w:widowControl/>
        <w:spacing w:before="120"/>
      </w:pPr>
      <w:bookmarkStart w:id="45" w:name="_Toc371170714"/>
      <w:bookmarkStart w:id="46" w:name="_Toc536002950"/>
      <w:bookmarkStart w:id="47" w:name="_Toc536023502"/>
      <w:r w:rsidRPr="00F86117">
        <w:t>Financial Management – Risk Sharing Arrangements</w:t>
      </w:r>
      <w:bookmarkEnd w:id="45"/>
      <w:bookmarkEnd w:id="46"/>
      <w:bookmarkEnd w:id="47"/>
    </w:p>
    <w:p w:rsidR="00BB433C" w:rsidRPr="00F86117" w:rsidRDefault="00BB433C" w:rsidP="0061386A">
      <w:pPr>
        <w:pStyle w:val="ListParagraph"/>
        <w:widowControl/>
        <w:numPr>
          <w:ilvl w:val="1"/>
          <w:numId w:val="2"/>
        </w:numPr>
        <w:spacing w:before="120"/>
      </w:pPr>
      <w:r w:rsidRPr="00F86117">
        <w:t xml:space="preserve">There was no </w:t>
      </w:r>
      <w:r w:rsidR="00F86117">
        <w:t>R</w:t>
      </w:r>
      <w:r w:rsidR="00F86117" w:rsidRPr="00F86117">
        <w:t>isk</w:t>
      </w:r>
      <w:r w:rsidR="00F86117">
        <w:t xml:space="preserve"> S</w:t>
      </w:r>
      <w:r w:rsidRPr="00F86117">
        <w:t xml:space="preserve">haring </w:t>
      </w:r>
      <w:r w:rsidR="00F86117">
        <w:t>A</w:t>
      </w:r>
      <w:r w:rsidR="00F86117" w:rsidRPr="00F86117">
        <w:t xml:space="preserve">rrangement </w:t>
      </w:r>
      <w:r w:rsidR="00F86117">
        <w:t xml:space="preserve">(RSA) </w:t>
      </w:r>
      <w:r w:rsidRPr="00F86117">
        <w:t xml:space="preserve">proposed in the submission. However, Section 1 of the submission mentioned that “Moreover, a risk-sharing arrangement is also expected to apply, which would limit the risk of both inappropriate prescribing and resulting cost overruns for the health budget.” </w:t>
      </w:r>
      <w:r w:rsidR="00786CEA" w:rsidRPr="00F86117">
        <w:t>The Pre-PBAC response requested than any RSA be based on the financial implications model submitted by</w:t>
      </w:r>
      <w:r w:rsidR="002D04CE" w:rsidRPr="00F86117">
        <w:t xml:space="preserve"> the sponsor</w:t>
      </w:r>
      <w:r w:rsidR="00786CEA" w:rsidRPr="00F86117">
        <w:t>.</w:t>
      </w:r>
    </w:p>
    <w:p w:rsidR="00A72B69" w:rsidRPr="00F86117" w:rsidRDefault="00A72B69" w:rsidP="0061386A">
      <w:pPr>
        <w:pStyle w:val="PBACHeading1"/>
        <w:numPr>
          <w:ilvl w:val="0"/>
          <w:numId w:val="0"/>
        </w:numPr>
        <w:spacing w:before="120" w:after="120"/>
        <w:rPr>
          <w:b w:val="0"/>
          <w:i/>
          <w:sz w:val="24"/>
        </w:rPr>
      </w:pPr>
      <w:r w:rsidRPr="00F86117">
        <w:rPr>
          <w:b w:val="0"/>
          <w:i/>
          <w:sz w:val="24"/>
        </w:rPr>
        <w:t>For more detail on PBAC’s view, see section 7 PBAC outcome.</w:t>
      </w:r>
    </w:p>
    <w:p w:rsidR="00A72B69" w:rsidRPr="00F86117" w:rsidRDefault="00A72B69" w:rsidP="0061386A">
      <w:pPr>
        <w:pStyle w:val="Heading1"/>
        <w:spacing w:before="120"/>
      </w:pPr>
      <w:r w:rsidRPr="00F86117">
        <w:t>PB</w:t>
      </w:r>
      <w:bookmarkStart w:id="48" w:name="_GoBack"/>
      <w:bookmarkEnd w:id="48"/>
      <w:r w:rsidRPr="00F86117">
        <w:t>AC Outcome</w:t>
      </w:r>
    </w:p>
    <w:p w:rsidR="0020751B" w:rsidRPr="00F86117" w:rsidRDefault="00A72B69" w:rsidP="0061386A">
      <w:pPr>
        <w:keepNext/>
        <w:keepLines/>
        <w:widowControl/>
        <w:numPr>
          <w:ilvl w:val="1"/>
          <w:numId w:val="2"/>
        </w:numPr>
        <w:spacing w:before="120" w:after="120"/>
      </w:pPr>
      <w:r w:rsidRPr="00F86117">
        <w:rPr>
          <w:rFonts w:asciiTheme="minorHAnsi" w:hAnsiTheme="minorHAnsi"/>
          <w:bCs/>
        </w:rPr>
        <w:t xml:space="preserve">The PBAC </w:t>
      </w:r>
      <w:r w:rsidR="00AD46D8" w:rsidRPr="00F86117">
        <w:rPr>
          <w:rFonts w:asciiTheme="minorHAnsi" w:hAnsiTheme="minorHAnsi"/>
          <w:bCs/>
        </w:rPr>
        <w:t xml:space="preserve">did not </w:t>
      </w:r>
      <w:r w:rsidRPr="00F86117">
        <w:rPr>
          <w:rFonts w:asciiTheme="minorHAnsi" w:hAnsiTheme="minorHAnsi"/>
          <w:bCs/>
        </w:rPr>
        <w:t xml:space="preserve">recommend the listing of </w:t>
      </w:r>
      <w:proofErr w:type="spellStart"/>
      <w:r w:rsidR="00AD46D8" w:rsidRPr="00F86117">
        <w:rPr>
          <w:rFonts w:asciiTheme="minorHAnsi" w:hAnsiTheme="minorHAnsi"/>
          <w:bCs/>
        </w:rPr>
        <w:t>cabozantinib</w:t>
      </w:r>
      <w:proofErr w:type="spellEnd"/>
      <w:r w:rsidR="00AD46D8" w:rsidRPr="00F86117">
        <w:rPr>
          <w:rFonts w:asciiTheme="minorHAnsi" w:hAnsiTheme="minorHAnsi"/>
          <w:bCs/>
        </w:rPr>
        <w:t xml:space="preserve"> for the first line treatment of stage IV clear cell variant RCC</w:t>
      </w:r>
      <w:r w:rsidR="00C95E34" w:rsidRPr="00F86117">
        <w:rPr>
          <w:rFonts w:asciiTheme="minorHAnsi" w:hAnsiTheme="minorHAnsi"/>
          <w:bCs/>
        </w:rPr>
        <w:t>.</w:t>
      </w:r>
      <w:r w:rsidR="00336595" w:rsidRPr="00F86117">
        <w:rPr>
          <w:rFonts w:asciiTheme="minorHAnsi" w:hAnsiTheme="minorHAnsi"/>
          <w:bCs/>
        </w:rPr>
        <w:t xml:space="preserve"> </w:t>
      </w:r>
      <w:r w:rsidR="00220E34" w:rsidRPr="00F86117">
        <w:rPr>
          <w:rFonts w:asciiTheme="minorHAnsi" w:hAnsiTheme="minorHAnsi"/>
          <w:bCs/>
        </w:rPr>
        <w:t>The PBAC considered that</w:t>
      </w:r>
      <w:r w:rsidR="009D467C" w:rsidRPr="00F86117">
        <w:rPr>
          <w:rFonts w:asciiTheme="minorHAnsi" w:hAnsiTheme="minorHAnsi"/>
          <w:bCs/>
        </w:rPr>
        <w:t>, for the comparison of</w:t>
      </w:r>
      <w:r w:rsidR="00220E34" w:rsidRPr="00F86117">
        <w:rPr>
          <w:rFonts w:asciiTheme="minorHAnsi" w:hAnsiTheme="minorHAnsi"/>
          <w:bCs/>
        </w:rPr>
        <w:t xml:space="preserve"> </w:t>
      </w:r>
      <w:proofErr w:type="spellStart"/>
      <w:r w:rsidR="009D467C" w:rsidRPr="00F86117">
        <w:rPr>
          <w:rFonts w:asciiTheme="minorHAnsi" w:hAnsiTheme="minorHAnsi"/>
          <w:bCs/>
        </w:rPr>
        <w:t>cabozantinib</w:t>
      </w:r>
      <w:proofErr w:type="spellEnd"/>
      <w:r w:rsidR="009D467C" w:rsidRPr="00F86117">
        <w:rPr>
          <w:rFonts w:asciiTheme="minorHAnsi" w:hAnsiTheme="minorHAnsi"/>
          <w:bCs/>
        </w:rPr>
        <w:t xml:space="preserve"> </w:t>
      </w:r>
      <w:r w:rsidR="00B47DD3" w:rsidRPr="00F86117">
        <w:rPr>
          <w:rFonts w:asciiTheme="minorHAnsi" w:hAnsiTheme="minorHAnsi"/>
          <w:bCs/>
        </w:rPr>
        <w:t>versus</w:t>
      </w:r>
      <w:r w:rsidR="009D467C" w:rsidRPr="00F86117">
        <w:rPr>
          <w:rFonts w:asciiTheme="minorHAnsi" w:hAnsiTheme="minorHAnsi"/>
          <w:bCs/>
        </w:rPr>
        <w:t xml:space="preserve"> </w:t>
      </w:r>
      <w:proofErr w:type="spellStart"/>
      <w:r w:rsidR="009D467C" w:rsidRPr="00F86117">
        <w:rPr>
          <w:rFonts w:asciiTheme="minorHAnsi" w:hAnsiTheme="minorHAnsi"/>
          <w:bCs/>
        </w:rPr>
        <w:t>sunitinib</w:t>
      </w:r>
      <w:proofErr w:type="spellEnd"/>
      <w:r w:rsidR="009D467C" w:rsidRPr="00F86117">
        <w:rPr>
          <w:rFonts w:asciiTheme="minorHAnsi" w:hAnsiTheme="minorHAnsi"/>
          <w:bCs/>
        </w:rPr>
        <w:t>,</w:t>
      </w:r>
      <w:r w:rsidR="009D467C" w:rsidRPr="00F86117" w:rsidDel="003E2F1B">
        <w:rPr>
          <w:rFonts w:asciiTheme="minorHAnsi" w:hAnsiTheme="minorHAnsi"/>
          <w:bCs/>
        </w:rPr>
        <w:t xml:space="preserve"> </w:t>
      </w:r>
      <w:r w:rsidR="00220E34" w:rsidRPr="00F86117">
        <w:rPr>
          <w:rFonts w:asciiTheme="minorHAnsi" w:hAnsiTheme="minorHAnsi"/>
          <w:bCs/>
        </w:rPr>
        <w:t xml:space="preserve">the magnitude of </w:t>
      </w:r>
      <w:r w:rsidR="00B47DD3" w:rsidRPr="00F86117">
        <w:rPr>
          <w:rFonts w:asciiTheme="minorHAnsi" w:hAnsiTheme="minorHAnsi"/>
          <w:bCs/>
        </w:rPr>
        <w:t xml:space="preserve">the </w:t>
      </w:r>
      <w:r w:rsidR="00336595" w:rsidRPr="00F86117">
        <w:rPr>
          <w:rFonts w:asciiTheme="minorHAnsi" w:hAnsiTheme="minorHAnsi"/>
          <w:bCs/>
        </w:rPr>
        <w:t xml:space="preserve">clinical </w:t>
      </w:r>
      <w:r w:rsidR="00220E34" w:rsidRPr="00F86117">
        <w:rPr>
          <w:rFonts w:asciiTheme="minorHAnsi" w:hAnsiTheme="minorHAnsi"/>
          <w:bCs/>
        </w:rPr>
        <w:t xml:space="preserve">benefit </w:t>
      </w:r>
      <w:r w:rsidR="002B0649" w:rsidRPr="00F86117">
        <w:rPr>
          <w:rFonts w:asciiTheme="minorHAnsi" w:hAnsiTheme="minorHAnsi"/>
          <w:bCs/>
        </w:rPr>
        <w:t xml:space="preserve">in terms of </w:t>
      </w:r>
      <w:r w:rsidR="003E2F1B" w:rsidRPr="00F86117">
        <w:rPr>
          <w:rFonts w:asciiTheme="minorHAnsi" w:hAnsiTheme="minorHAnsi"/>
          <w:bCs/>
        </w:rPr>
        <w:t>PFS</w:t>
      </w:r>
      <w:r w:rsidR="00220E34" w:rsidRPr="00F86117">
        <w:rPr>
          <w:rFonts w:asciiTheme="minorHAnsi" w:hAnsiTheme="minorHAnsi"/>
          <w:bCs/>
        </w:rPr>
        <w:t xml:space="preserve"> was uncertain</w:t>
      </w:r>
      <w:r w:rsidR="003E2F1B" w:rsidRPr="00F86117">
        <w:rPr>
          <w:rFonts w:asciiTheme="minorHAnsi" w:hAnsiTheme="minorHAnsi"/>
          <w:bCs/>
        </w:rPr>
        <w:t xml:space="preserve"> due to the small sample size and high risk of bias in the clinical trial</w:t>
      </w:r>
      <w:r w:rsidR="00A57425">
        <w:rPr>
          <w:rFonts w:asciiTheme="minorHAnsi" w:hAnsiTheme="minorHAnsi"/>
          <w:bCs/>
        </w:rPr>
        <w:t xml:space="preserve">, and the </w:t>
      </w:r>
      <w:r w:rsidR="00073229" w:rsidRPr="00F86117">
        <w:rPr>
          <w:rFonts w:asciiTheme="minorHAnsi" w:hAnsiTheme="minorHAnsi"/>
          <w:bCs/>
        </w:rPr>
        <w:t xml:space="preserve">PBAC noted </w:t>
      </w:r>
      <w:r w:rsidR="00336595" w:rsidRPr="00F86117">
        <w:rPr>
          <w:rFonts w:asciiTheme="minorHAnsi" w:hAnsiTheme="minorHAnsi"/>
          <w:bCs/>
        </w:rPr>
        <w:t>there was no demonstrated benefit in OS or safety</w:t>
      </w:r>
      <w:r w:rsidR="00220E34" w:rsidRPr="00F86117">
        <w:rPr>
          <w:rFonts w:asciiTheme="minorHAnsi" w:hAnsiTheme="minorHAnsi"/>
          <w:bCs/>
        </w:rPr>
        <w:t xml:space="preserve">. </w:t>
      </w:r>
      <w:r w:rsidR="00336595" w:rsidRPr="00F86117">
        <w:rPr>
          <w:rFonts w:asciiTheme="minorHAnsi" w:hAnsiTheme="minorHAnsi"/>
          <w:bCs/>
        </w:rPr>
        <w:t>The PBAC considered that the revised ICER</w:t>
      </w:r>
      <w:r w:rsidR="00073229" w:rsidRPr="00F86117">
        <w:t xml:space="preserve"> for </w:t>
      </w:r>
      <w:proofErr w:type="spellStart"/>
      <w:r w:rsidR="00073229" w:rsidRPr="00F86117">
        <w:rPr>
          <w:rFonts w:asciiTheme="minorHAnsi" w:hAnsiTheme="minorHAnsi"/>
          <w:bCs/>
        </w:rPr>
        <w:t>cabozantinib</w:t>
      </w:r>
      <w:proofErr w:type="spellEnd"/>
      <w:r w:rsidR="00073229" w:rsidRPr="00F86117">
        <w:rPr>
          <w:rFonts w:asciiTheme="minorHAnsi" w:hAnsiTheme="minorHAnsi"/>
          <w:bCs/>
        </w:rPr>
        <w:t xml:space="preserve"> versus </w:t>
      </w:r>
      <w:proofErr w:type="spellStart"/>
      <w:r w:rsidR="00073229" w:rsidRPr="00F86117">
        <w:rPr>
          <w:rFonts w:asciiTheme="minorHAnsi" w:hAnsiTheme="minorHAnsi"/>
          <w:bCs/>
        </w:rPr>
        <w:t>sunitinib</w:t>
      </w:r>
      <w:proofErr w:type="spellEnd"/>
      <w:r w:rsidR="003E2F1B" w:rsidRPr="00F86117">
        <w:rPr>
          <w:rFonts w:asciiTheme="minorHAnsi" w:hAnsiTheme="minorHAnsi"/>
          <w:bCs/>
        </w:rPr>
        <w:t xml:space="preserve">, </w:t>
      </w:r>
      <w:r w:rsidR="00216484" w:rsidRPr="00F86117">
        <w:rPr>
          <w:rFonts w:asciiTheme="minorHAnsi" w:hAnsiTheme="minorHAnsi"/>
          <w:bCs/>
        </w:rPr>
        <w:t>based on</w:t>
      </w:r>
      <w:r w:rsidR="003E2F1B" w:rsidRPr="00F86117">
        <w:rPr>
          <w:rFonts w:asciiTheme="minorHAnsi" w:hAnsiTheme="minorHAnsi"/>
          <w:bCs/>
        </w:rPr>
        <w:t xml:space="preserve"> the PBAC’s preferred assumptions,</w:t>
      </w:r>
      <w:r w:rsidR="00336595" w:rsidRPr="00F86117">
        <w:rPr>
          <w:rFonts w:asciiTheme="minorHAnsi" w:hAnsiTheme="minorHAnsi"/>
          <w:bCs/>
        </w:rPr>
        <w:t xml:space="preserve"> was high</w:t>
      </w:r>
      <w:r w:rsidR="00220E34" w:rsidRPr="00F86117">
        <w:rPr>
          <w:rFonts w:asciiTheme="minorHAnsi" w:hAnsiTheme="minorHAnsi"/>
          <w:bCs/>
        </w:rPr>
        <w:t xml:space="preserve">. </w:t>
      </w:r>
      <w:r w:rsidR="00EC72C1" w:rsidRPr="00F86117">
        <w:rPr>
          <w:rFonts w:asciiTheme="minorHAnsi" w:hAnsiTheme="minorHAnsi"/>
          <w:bCs/>
        </w:rPr>
        <w:t xml:space="preserve">The PBAC considered that, for the comparison </w:t>
      </w:r>
      <w:r w:rsidR="00F86117">
        <w:rPr>
          <w:rFonts w:asciiTheme="minorHAnsi" w:hAnsiTheme="minorHAnsi"/>
          <w:bCs/>
        </w:rPr>
        <w:t xml:space="preserve">against </w:t>
      </w:r>
      <w:r w:rsidR="00EC72C1" w:rsidRPr="00F86117">
        <w:rPr>
          <w:rFonts w:asciiTheme="minorHAnsi" w:hAnsiTheme="minorHAnsi"/>
          <w:bCs/>
        </w:rPr>
        <w:t xml:space="preserve">NIVO+IPI, </w:t>
      </w:r>
      <w:proofErr w:type="spellStart"/>
      <w:r w:rsidR="00B47DD3" w:rsidRPr="00F86117">
        <w:rPr>
          <w:rFonts w:asciiTheme="minorHAnsi" w:hAnsiTheme="minorHAnsi"/>
          <w:bCs/>
        </w:rPr>
        <w:t>cabozantinib</w:t>
      </w:r>
      <w:proofErr w:type="spellEnd"/>
      <w:r w:rsidR="00B47DD3" w:rsidRPr="00F86117">
        <w:rPr>
          <w:rFonts w:asciiTheme="minorHAnsi" w:hAnsiTheme="minorHAnsi"/>
          <w:bCs/>
        </w:rPr>
        <w:t xml:space="preserve"> may be inferior to NIVO+IPI based on the clinical evidence presented</w:t>
      </w:r>
      <w:r w:rsidR="00073229" w:rsidRPr="00F86117">
        <w:rPr>
          <w:rFonts w:asciiTheme="minorHAnsi" w:hAnsiTheme="minorHAnsi"/>
          <w:bCs/>
        </w:rPr>
        <w:t>.</w:t>
      </w:r>
    </w:p>
    <w:p w:rsidR="00EC72C1" w:rsidRPr="00F86117" w:rsidRDefault="005B311B" w:rsidP="0061386A">
      <w:pPr>
        <w:widowControl/>
        <w:numPr>
          <w:ilvl w:val="1"/>
          <w:numId w:val="2"/>
        </w:numPr>
        <w:spacing w:before="120" w:after="120"/>
        <w:rPr>
          <w:rFonts w:asciiTheme="minorHAnsi" w:eastAsiaTheme="minorHAnsi" w:hAnsiTheme="minorHAnsi" w:cstheme="minorHAnsi"/>
          <w:i/>
          <w:snapToGrid/>
          <w:szCs w:val="24"/>
        </w:rPr>
      </w:pPr>
      <w:r w:rsidRPr="00F86117">
        <w:rPr>
          <w:rFonts w:asciiTheme="minorHAnsi" w:hAnsiTheme="minorHAnsi"/>
          <w:bCs/>
        </w:rPr>
        <w:t xml:space="preserve">The PBAC considered that with the recent PBS listing of NIVO+IPI for </w:t>
      </w:r>
      <w:r w:rsidR="00591237">
        <w:rPr>
          <w:rFonts w:asciiTheme="minorHAnsi" w:hAnsiTheme="minorHAnsi"/>
          <w:bCs/>
        </w:rPr>
        <w:t xml:space="preserve">the </w:t>
      </w:r>
      <w:r w:rsidRPr="00F86117">
        <w:rPr>
          <w:rFonts w:asciiTheme="minorHAnsi" w:hAnsiTheme="minorHAnsi"/>
          <w:bCs/>
        </w:rPr>
        <w:t xml:space="preserve">first line treatment of RCC, intermediate to poor risk patients have access to a highly effective </w:t>
      </w:r>
      <w:r w:rsidR="00E169C2" w:rsidRPr="00F86117">
        <w:rPr>
          <w:rFonts w:asciiTheme="minorHAnsi" w:hAnsiTheme="minorHAnsi"/>
          <w:bCs/>
        </w:rPr>
        <w:t xml:space="preserve">immunotherapy </w:t>
      </w:r>
      <w:r w:rsidRPr="00F86117">
        <w:rPr>
          <w:rFonts w:asciiTheme="minorHAnsi" w:hAnsiTheme="minorHAnsi"/>
          <w:bCs/>
        </w:rPr>
        <w:t>treatment in the first line setting</w:t>
      </w:r>
      <w:r w:rsidR="009D467C" w:rsidRPr="00F86117">
        <w:rPr>
          <w:rFonts w:asciiTheme="minorHAnsi" w:hAnsiTheme="minorHAnsi"/>
          <w:bCs/>
        </w:rPr>
        <w:t xml:space="preserve">. </w:t>
      </w:r>
      <w:r w:rsidR="00EC72C1" w:rsidRPr="00F86117">
        <w:rPr>
          <w:rFonts w:asciiTheme="minorHAnsi" w:eastAsiaTheme="minorHAnsi" w:hAnsiTheme="minorHAnsi" w:cstheme="minorHAnsi"/>
          <w:snapToGrid/>
          <w:szCs w:val="24"/>
        </w:rPr>
        <w:t xml:space="preserve">The PBAC agreed with the pre-PBAC response that, with NIVO+IPI now available, the patients most likely to receive </w:t>
      </w:r>
      <w:proofErr w:type="spellStart"/>
      <w:r w:rsidR="00EC72C1" w:rsidRPr="00F86117">
        <w:rPr>
          <w:rFonts w:asciiTheme="minorHAnsi" w:eastAsiaTheme="minorHAnsi" w:hAnsiTheme="minorHAnsi" w:cstheme="minorHAnsi"/>
          <w:snapToGrid/>
          <w:szCs w:val="24"/>
        </w:rPr>
        <w:t>cabozantinib</w:t>
      </w:r>
      <w:proofErr w:type="spellEnd"/>
      <w:r w:rsidR="00EC72C1" w:rsidRPr="00F86117">
        <w:rPr>
          <w:rFonts w:asciiTheme="minorHAnsi" w:eastAsiaTheme="minorHAnsi" w:hAnsiTheme="minorHAnsi" w:cstheme="minorHAnsi"/>
          <w:snapToGrid/>
          <w:szCs w:val="24"/>
        </w:rPr>
        <w:t xml:space="preserve"> </w:t>
      </w:r>
      <w:r w:rsidR="00993A52" w:rsidRPr="00F86117">
        <w:rPr>
          <w:rFonts w:asciiTheme="minorHAnsi" w:eastAsiaTheme="minorHAnsi" w:hAnsiTheme="minorHAnsi" w:cstheme="minorHAnsi"/>
          <w:snapToGrid/>
          <w:szCs w:val="24"/>
        </w:rPr>
        <w:t xml:space="preserve">under the requested listing </w:t>
      </w:r>
      <w:r w:rsidR="00EC72C1" w:rsidRPr="00F86117">
        <w:rPr>
          <w:rFonts w:asciiTheme="minorHAnsi" w:eastAsiaTheme="minorHAnsi" w:hAnsiTheme="minorHAnsi" w:cstheme="minorHAnsi"/>
          <w:snapToGrid/>
          <w:szCs w:val="24"/>
        </w:rPr>
        <w:t>would be those for whom immuno</w:t>
      </w:r>
      <w:r w:rsidR="00993A52" w:rsidRPr="00F86117">
        <w:rPr>
          <w:rFonts w:asciiTheme="minorHAnsi" w:eastAsiaTheme="minorHAnsi" w:hAnsiTheme="minorHAnsi" w:cstheme="minorHAnsi"/>
          <w:snapToGrid/>
          <w:szCs w:val="24"/>
        </w:rPr>
        <w:t>therapy is deemed inappropriate.</w:t>
      </w:r>
    </w:p>
    <w:p w:rsidR="00895242" w:rsidRPr="00F86117" w:rsidRDefault="004D4DCA" w:rsidP="0061386A">
      <w:pPr>
        <w:numPr>
          <w:ilvl w:val="1"/>
          <w:numId w:val="2"/>
        </w:numPr>
        <w:spacing w:before="120" w:after="120"/>
        <w:rPr>
          <w:rFonts w:asciiTheme="minorHAnsi" w:hAnsiTheme="minorHAnsi"/>
          <w:bCs/>
        </w:rPr>
      </w:pPr>
      <w:r w:rsidRPr="00F86117">
        <w:rPr>
          <w:rFonts w:asciiTheme="minorHAnsi" w:hAnsiTheme="minorHAnsi"/>
          <w:bCs/>
        </w:rPr>
        <w:t>The PBAC considered that there may</w:t>
      </w:r>
      <w:r w:rsidR="004C28A5" w:rsidRPr="00F86117">
        <w:rPr>
          <w:rFonts w:asciiTheme="minorHAnsi" w:hAnsiTheme="minorHAnsi"/>
          <w:bCs/>
        </w:rPr>
        <w:t xml:space="preserve"> </w:t>
      </w:r>
      <w:r w:rsidRPr="00F86117">
        <w:rPr>
          <w:rFonts w:asciiTheme="minorHAnsi" w:hAnsiTheme="minorHAnsi"/>
          <w:bCs/>
        </w:rPr>
        <w:t xml:space="preserve">be a </w:t>
      </w:r>
      <w:r w:rsidR="00CF2DD9" w:rsidRPr="00F86117">
        <w:rPr>
          <w:rFonts w:asciiTheme="minorHAnsi" w:hAnsiTheme="minorHAnsi"/>
          <w:bCs/>
        </w:rPr>
        <w:t>clinical</w:t>
      </w:r>
      <w:r w:rsidRPr="00F86117">
        <w:rPr>
          <w:rFonts w:asciiTheme="minorHAnsi" w:hAnsiTheme="minorHAnsi"/>
          <w:bCs/>
        </w:rPr>
        <w:t xml:space="preserve"> role for </w:t>
      </w:r>
      <w:proofErr w:type="spellStart"/>
      <w:r w:rsidRPr="00F86117">
        <w:rPr>
          <w:rFonts w:asciiTheme="minorHAnsi" w:hAnsiTheme="minorHAnsi"/>
          <w:bCs/>
        </w:rPr>
        <w:t>cabozantinib</w:t>
      </w:r>
      <w:proofErr w:type="spellEnd"/>
      <w:r w:rsidRPr="00F86117">
        <w:rPr>
          <w:rFonts w:asciiTheme="minorHAnsi" w:hAnsiTheme="minorHAnsi"/>
          <w:bCs/>
        </w:rPr>
        <w:t xml:space="preserve"> in the second-</w:t>
      </w:r>
      <w:r w:rsidRPr="00F86117">
        <w:rPr>
          <w:rFonts w:asciiTheme="minorHAnsi" w:hAnsiTheme="minorHAnsi"/>
          <w:bCs/>
        </w:rPr>
        <w:lastRenderedPageBreak/>
        <w:t xml:space="preserve">line setting following </w:t>
      </w:r>
      <w:r w:rsidR="00CF2DD9" w:rsidRPr="00F86117">
        <w:rPr>
          <w:rFonts w:asciiTheme="minorHAnsi" w:hAnsiTheme="minorHAnsi"/>
          <w:bCs/>
        </w:rPr>
        <w:t>NIVO+IPI</w:t>
      </w:r>
      <w:r w:rsidRPr="00F86117">
        <w:rPr>
          <w:rFonts w:asciiTheme="minorHAnsi" w:hAnsiTheme="minorHAnsi"/>
          <w:bCs/>
        </w:rPr>
        <w:t xml:space="preserve">. </w:t>
      </w:r>
      <w:r w:rsidR="004137D9" w:rsidRPr="00F86117">
        <w:rPr>
          <w:rFonts w:asciiTheme="minorHAnsi" w:hAnsiTheme="minorHAnsi"/>
          <w:bCs/>
        </w:rPr>
        <w:t>The PBAC noted that</w:t>
      </w:r>
      <w:r w:rsidR="00CF2DD9" w:rsidRPr="00F86117">
        <w:rPr>
          <w:rFonts w:asciiTheme="minorHAnsi" w:hAnsiTheme="minorHAnsi"/>
          <w:bCs/>
        </w:rPr>
        <w:t xml:space="preserve">, under the existing listing, </w:t>
      </w:r>
      <w:proofErr w:type="spellStart"/>
      <w:r w:rsidR="004137D9" w:rsidRPr="00F86117">
        <w:rPr>
          <w:rFonts w:asciiTheme="minorHAnsi" w:hAnsiTheme="minorHAnsi"/>
          <w:bCs/>
        </w:rPr>
        <w:t>cabozantinib</w:t>
      </w:r>
      <w:proofErr w:type="spellEnd"/>
      <w:r w:rsidR="004137D9" w:rsidRPr="00F86117">
        <w:rPr>
          <w:rFonts w:asciiTheme="minorHAnsi" w:hAnsiTheme="minorHAnsi"/>
          <w:bCs/>
        </w:rPr>
        <w:t xml:space="preserve"> </w:t>
      </w:r>
      <w:r w:rsidR="00CF2DD9" w:rsidRPr="00F86117">
        <w:rPr>
          <w:rFonts w:asciiTheme="minorHAnsi" w:hAnsiTheme="minorHAnsi"/>
          <w:bCs/>
        </w:rPr>
        <w:t xml:space="preserve">can only be used in </w:t>
      </w:r>
      <w:r w:rsidR="004137D9" w:rsidRPr="00F86117">
        <w:rPr>
          <w:rFonts w:asciiTheme="minorHAnsi" w:hAnsiTheme="minorHAnsi"/>
          <w:bCs/>
        </w:rPr>
        <w:t xml:space="preserve">patients who have </w:t>
      </w:r>
      <w:r w:rsidR="00CF2DD9" w:rsidRPr="00F86117">
        <w:rPr>
          <w:rFonts w:asciiTheme="minorHAnsi" w:hAnsiTheme="minorHAnsi"/>
          <w:bCs/>
        </w:rPr>
        <w:t xml:space="preserve">had </w:t>
      </w:r>
      <w:r w:rsidR="004137D9" w:rsidRPr="00F86117">
        <w:rPr>
          <w:rFonts w:asciiTheme="minorHAnsi" w:hAnsiTheme="minorHAnsi"/>
          <w:bCs/>
        </w:rPr>
        <w:t xml:space="preserve">prior treatment with a TKI. </w:t>
      </w:r>
      <w:r w:rsidR="00CF2DD9" w:rsidRPr="00F86117">
        <w:rPr>
          <w:rFonts w:asciiTheme="minorHAnsi" w:hAnsiTheme="minorHAnsi"/>
          <w:bCs/>
        </w:rPr>
        <w:t>Thus, the</w:t>
      </w:r>
      <w:r w:rsidR="00895242" w:rsidRPr="00F86117">
        <w:rPr>
          <w:rFonts w:asciiTheme="minorHAnsi" w:hAnsiTheme="minorHAnsi"/>
          <w:bCs/>
        </w:rPr>
        <w:t xml:space="preserve"> listing of NIVO+IPI has moved the clinical place of </w:t>
      </w:r>
      <w:proofErr w:type="spellStart"/>
      <w:r w:rsidR="00895242" w:rsidRPr="00F86117">
        <w:rPr>
          <w:rFonts w:asciiTheme="minorHAnsi" w:hAnsiTheme="minorHAnsi"/>
          <w:bCs/>
        </w:rPr>
        <w:t>cabozantinib</w:t>
      </w:r>
      <w:proofErr w:type="spellEnd"/>
      <w:r w:rsidR="006A3BBF" w:rsidRPr="00F86117">
        <w:rPr>
          <w:rFonts w:asciiTheme="minorHAnsi" w:hAnsiTheme="minorHAnsi"/>
          <w:bCs/>
        </w:rPr>
        <w:t xml:space="preserve"> (under the </w:t>
      </w:r>
      <w:r w:rsidR="00EC72C1" w:rsidRPr="00F86117">
        <w:rPr>
          <w:rFonts w:asciiTheme="minorHAnsi" w:hAnsiTheme="minorHAnsi"/>
          <w:bCs/>
        </w:rPr>
        <w:t>existing</w:t>
      </w:r>
      <w:r w:rsidR="006A3BBF" w:rsidRPr="00F86117">
        <w:rPr>
          <w:rFonts w:asciiTheme="minorHAnsi" w:hAnsiTheme="minorHAnsi"/>
          <w:bCs/>
        </w:rPr>
        <w:t xml:space="preserve"> listing)</w:t>
      </w:r>
      <w:r w:rsidR="00895242" w:rsidRPr="00F86117">
        <w:rPr>
          <w:rFonts w:asciiTheme="minorHAnsi" w:hAnsiTheme="minorHAnsi"/>
          <w:bCs/>
        </w:rPr>
        <w:t xml:space="preserve"> for most patients from second line (after prior treatment with a TKI) to third line (after treatment with NIVO+IPI followed by a TKI). </w:t>
      </w:r>
      <w:r w:rsidR="00895242" w:rsidRPr="00F86117">
        <w:t>The PBAC noted that</w:t>
      </w:r>
      <w:r w:rsidR="006A3BBF" w:rsidRPr="00F86117">
        <w:t xml:space="preserve"> </w:t>
      </w:r>
      <w:r w:rsidR="00895242" w:rsidRPr="00F86117">
        <w:t>no evidence</w:t>
      </w:r>
      <w:r w:rsidR="00E169C2" w:rsidRPr="00F86117">
        <w:t xml:space="preserve"> was</w:t>
      </w:r>
      <w:r w:rsidR="00895242" w:rsidRPr="00F86117">
        <w:t xml:space="preserve"> presented for</w:t>
      </w:r>
      <w:r w:rsidR="00CF2DD9" w:rsidRPr="00F86117">
        <w:t xml:space="preserve"> use of</w:t>
      </w:r>
      <w:r w:rsidR="00895242" w:rsidRPr="00F86117">
        <w:t xml:space="preserve"> </w:t>
      </w:r>
      <w:proofErr w:type="spellStart"/>
      <w:r w:rsidR="00895242" w:rsidRPr="00F86117">
        <w:t>cabozantinib</w:t>
      </w:r>
      <w:proofErr w:type="spellEnd"/>
      <w:r w:rsidR="00895242" w:rsidRPr="00F86117">
        <w:t xml:space="preserve"> following NIVO+IPI</w:t>
      </w:r>
      <w:r w:rsidR="00CF2DD9" w:rsidRPr="00F86117">
        <w:t xml:space="preserve">, and the advice of the clinician at the consumer hearing was that there </w:t>
      </w:r>
      <w:r w:rsidR="0057798F">
        <w:t>a</w:t>
      </w:r>
      <w:r w:rsidR="00CF2DD9" w:rsidRPr="00F86117">
        <w:t>re</w:t>
      </w:r>
      <w:r w:rsidR="00CF2DD9" w:rsidRPr="00F86117">
        <w:rPr>
          <w:rFonts w:asciiTheme="minorHAnsi" w:hAnsiTheme="minorHAnsi"/>
          <w:bCs/>
        </w:rPr>
        <w:t xml:space="preserve"> no prospective trials of </w:t>
      </w:r>
      <w:proofErr w:type="spellStart"/>
      <w:r w:rsidR="00CF2DD9" w:rsidRPr="00F86117">
        <w:rPr>
          <w:rFonts w:asciiTheme="minorHAnsi" w:hAnsiTheme="minorHAnsi"/>
          <w:bCs/>
        </w:rPr>
        <w:t>cabozantinib</w:t>
      </w:r>
      <w:proofErr w:type="spellEnd"/>
      <w:r w:rsidR="00CF2DD9" w:rsidRPr="00F86117">
        <w:rPr>
          <w:rFonts w:asciiTheme="minorHAnsi" w:hAnsiTheme="minorHAnsi"/>
          <w:bCs/>
        </w:rPr>
        <w:t xml:space="preserve"> in this setting</w:t>
      </w:r>
      <w:r w:rsidR="00895242" w:rsidRPr="00F86117">
        <w:t xml:space="preserve">. The PBAC noted that, similarly, there is limited </w:t>
      </w:r>
      <w:r w:rsidR="006A3BBF" w:rsidRPr="00F86117">
        <w:t xml:space="preserve">prospective </w:t>
      </w:r>
      <w:r w:rsidR="00895242" w:rsidRPr="00F86117">
        <w:t xml:space="preserve">evidence for </w:t>
      </w:r>
      <w:proofErr w:type="spellStart"/>
      <w:r w:rsidR="00895242" w:rsidRPr="00F86117">
        <w:t>sunitinib</w:t>
      </w:r>
      <w:proofErr w:type="spellEnd"/>
      <w:r w:rsidR="00895242" w:rsidRPr="00F86117">
        <w:t xml:space="preserve"> or </w:t>
      </w:r>
      <w:proofErr w:type="spellStart"/>
      <w:r w:rsidR="00895242" w:rsidRPr="00F86117">
        <w:t>pazopanib</w:t>
      </w:r>
      <w:proofErr w:type="spellEnd"/>
      <w:r w:rsidR="00895242" w:rsidRPr="00F86117">
        <w:t xml:space="preserve"> </w:t>
      </w:r>
      <w:r w:rsidR="00EC72C1" w:rsidRPr="00F86117">
        <w:t>post-immunotherapy</w:t>
      </w:r>
      <w:r w:rsidR="00895242" w:rsidRPr="00F86117">
        <w:t xml:space="preserve">. </w:t>
      </w:r>
    </w:p>
    <w:p w:rsidR="005F55B8" w:rsidRPr="00F86117" w:rsidRDefault="005F55B8" w:rsidP="0061386A">
      <w:pPr>
        <w:pStyle w:val="ListParagraph"/>
        <w:widowControl/>
        <w:numPr>
          <w:ilvl w:val="1"/>
          <w:numId w:val="2"/>
        </w:numPr>
        <w:snapToGrid w:val="0"/>
        <w:spacing w:before="120"/>
      </w:pPr>
      <w:r w:rsidRPr="00F86117">
        <w:t xml:space="preserve">The submission </w:t>
      </w:r>
      <w:r w:rsidR="001B4603" w:rsidRPr="00F86117">
        <w:t>nominated</w:t>
      </w:r>
      <w:r w:rsidRPr="00F86117">
        <w:t xml:space="preserve"> </w:t>
      </w:r>
      <w:proofErr w:type="spellStart"/>
      <w:r w:rsidRPr="00F86117">
        <w:t>sunitinib</w:t>
      </w:r>
      <w:proofErr w:type="spellEnd"/>
      <w:r w:rsidRPr="00F86117">
        <w:t xml:space="preserve"> as the </w:t>
      </w:r>
      <w:r w:rsidR="00EC72C1" w:rsidRPr="00F86117">
        <w:t xml:space="preserve">main </w:t>
      </w:r>
      <w:r w:rsidRPr="00F86117">
        <w:t xml:space="preserve">comparator and the PBAC considered that </w:t>
      </w:r>
      <w:proofErr w:type="spellStart"/>
      <w:r w:rsidRPr="00F86117">
        <w:t>sunitinib</w:t>
      </w:r>
      <w:proofErr w:type="spellEnd"/>
      <w:r w:rsidRPr="00F86117">
        <w:t xml:space="preserve"> and </w:t>
      </w:r>
      <w:proofErr w:type="spellStart"/>
      <w:r w:rsidRPr="00F86117">
        <w:t>pazopanib</w:t>
      </w:r>
      <w:proofErr w:type="spellEnd"/>
      <w:r w:rsidRPr="00F86117">
        <w:t xml:space="preserve"> are the appropriate </w:t>
      </w:r>
      <w:r w:rsidR="00EC72C1" w:rsidRPr="00F86117">
        <w:t xml:space="preserve">main </w:t>
      </w:r>
      <w:r w:rsidRPr="00F86117">
        <w:t xml:space="preserve">comparators. The PBAC considered that </w:t>
      </w:r>
      <w:proofErr w:type="spellStart"/>
      <w:r w:rsidRPr="00F86117">
        <w:t>sunitinib</w:t>
      </w:r>
      <w:proofErr w:type="spellEnd"/>
      <w:r w:rsidR="007A46B8" w:rsidRPr="00F86117">
        <w:t xml:space="preserve"> was </w:t>
      </w:r>
      <w:r w:rsidR="007F7BD8" w:rsidRPr="00F86117">
        <w:t xml:space="preserve">a </w:t>
      </w:r>
      <w:r w:rsidRPr="00F86117">
        <w:t xml:space="preserve">reasonable proxy for </w:t>
      </w:r>
      <w:proofErr w:type="spellStart"/>
      <w:r w:rsidRPr="00F86117">
        <w:t>pazopanib</w:t>
      </w:r>
      <w:proofErr w:type="spellEnd"/>
      <w:r w:rsidRPr="00F86117">
        <w:t xml:space="preserve"> in terms of the clinical evidence presented. </w:t>
      </w:r>
      <w:r w:rsidR="007A46B8" w:rsidRPr="00F86117">
        <w:t xml:space="preserve">The </w:t>
      </w:r>
      <w:r w:rsidR="007F7BD8" w:rsidRPr="00F86117">
        <w:t xml:space="preserve">submission nominated </w:t>
      </w:r>
      <w:r w:rsidR="007A46B8" w:rsidRPr="00F86117">
        <w:t xml:space="preserve">NIVO+IPI </w:t>
      </w:r>
      <w:r w:rsidR="007F7BD8" w:rsidRPr="00F86117">
        <w:t xml:space="preserve">as a near-market comparator. The PBAC noted that NIVO+IPI was PBS listed on 1 March 2019 and considered that the comparison against NIVO+IPI was informative, but that </w:t>
      </w:r>
      <w:proofErr w:type="spellStart"/>
      <w:r w:rsidR="007F7BD8" w:rsidRPr="00F86117">
        <w:t>sunitinib</w:t>
      </w:r>
      <w:proofErr w:type="spellEnd"/>
      <w:r w:rsidR="007F7BD8" w:rsidRPr="00F86117">
        <w:t xml:space="preserve"> and </w:t>
      </w:r>
      <w:proofErr w:type="spellStart"/>
      <w:r w:rsidR="007F7BD8" w:rsidRPr="00F86117">
        <w:t>pazopanib</w:t>
      </w:r>
      <w:proofErr w:type="spellEnd"/>
      <w:r w:rsidR="007F7BD8" w:rsidRPr="00F86117">
        <w:t xml:space="preserve"> were more relevant comparators given </w:t>
      </w:r>
      <w:proofErr w:type="spellStart"/>
      <w:r w:rsidR="007F7BD8" w:rsidRPr="00F86117">
        <w:t>cabozantinib</w:t>
      </w:r>
      <w:proofErr w:type="spellEnd"/>
      <w:r w:rsidR="007F7BD8" w:rsidRPr="00F86117">
        <w:t xml:space="preserve"> would most likely be used in patients for whom immunotherapy is deemed inappropriate.</w:t>
      </w:r>
    </w:p>
    <w:p w:rsidR="00993A52" w:rsidRPr="00F86117" w:rsidRDefault="007A46B8" w:rsidP="0061386A">
      <w:pPr>
        <w:numPr>
          <w:ilvl w:val="1"/>
          <w:numId w:val="2"/>
        </w:numPr>
        <w:spacing w:before="120" w:after="120"/>
        <w:rPr>
          <w:rFonts w:asciiTheme="minorHAnsi" w:hAnsiTheme="minorHAnsi"/>
          <w:bCs/>
        </w:rPr>
      </w:pPr>
      <w:r w:rsidRPr="00F86117">
        <w:t xml:space="preserve">The PBAC noted that the evidence for </w:t>
      </w:r>
      <w:proofErr w:type="spellStart"/>
      <w:r w:rsidRPr="00F86117">
        <w:t>cabozantinib</w:t>
      </w:r>
      <w:proofErr w:type="spellEnd"/>
      <w:r w:rsidRPr="00F86117">
        <w:t xml:space="preserve"> was based on a</w:t>
      </w:r>
      <w:r w:rsidR="00455C56" w:rsidRPr="00F86117">
        <w:t xml:space="preserve"> relatively</w:t>
      </w:r>
      <w:r w:rsidRPr="00F86117">
        <w:t xml:space="preserve"> small (n=157) </w:t>
      </w:r>
      <w:r w:rsidR="00455C56" w:rsidRPr="00F86117">
        <w:t>P</w:t>
      </w:r>
      <w:r w:rsidRPr="00F86117">
        <w:t xml:space="preserve">hase </w:t>
      </w:r>
      <w:r w:rsidR="00455C56" w:rsidRPr="00F86117">
        <w:t>II</w:t>
      </w:r>
      <w:r w:rsidRPr="00F86117">
        <w:t xml:space="preserve"> </w:t>
      </w:r>
      <w:r w:rsidR="00387719" w:rsidRPr="00F86117">
        <w:t xml:space="preserve">open-label </w:t>
      </w:r>
      <w:r w:rsidR="007F7BD8" w:rsidRPr="00F86117">
        <w:t>trial</w:t>
      </w:r>
      <w:r w:rsidRPr="00F86117">
        <w:t xml:space="preserve"> comparing </w:t>
      </w:r>
      <w:proofErr w:type="spellStart"/>
      <w:r w:rsidRPr="00F86117">
        <w:t>cabozantinib</w:t>
      </w:r>
      <w:proofErr w:type="spellEnd"/>
      <w:r w:rsidRPr="00F86117">
        <w:t xml:space="preserve"> to </w:t>
      </w:r>
      <w:proofErr w:type="spellStart"/>
      <w:r w:rsidRPr="00F86117">
        <w:t>sunitinib</w:t>
      </w:r>
      <w:proofErr w:type="spellEnd"/>
      <w:r w:rsidRPr="00F86117">
        <w:t xml:space="preserve"> in patients with previously untreated</w:t>
      </w:r>
      <w:r w:rsidR="00C96D08" w:rsidRPr="00F86117">
        <w:t>,</w:t>
      </w:r>
      <w:r w:rsidRPr="00F86117">
        <w:t xml:space="preserve"> stage IV clear cell </w:t>
      </w:r>
      <w:r w:rsidR="00C96D08" w:rsidRPr="00F86117">
        <w:t xml:space="preserve">variant </w:t>
      </w:r>
      <w:r w:rsidRPr="00F86117">
        <w:t>RCC</w:t>
      </w:r>
      <w:r w:rsidR="002E2277" w:rsidRPr="00F86117">
        <w:t xml:space="preserve"> </w:t>
      </w:r>
      <w:r w:rsidR="00C96D08" w:rsidRPr="00F86117">
        <w:t xml:space="preserve">who are at intermediate to poor risk </w:t>
      </w:r>
      <w:r w:rsidR="002E2277" w:rsidRPr="00F86117">
        <w:t>(CABOSUN)</w:t>
      </w:r>
      <w:r w:rsidRPr="00F86117">
        <w:t xml:space="preserve">. </w:t>
      </w:r>
      <w:r w:rsidR="002566B9" w:rsidRPr="00F86117">
        <w:t xml:space="preserve">The PBAC noted that the CABOSUN trial showed a statistically significant improvement in PFS for </w:t>
      </w:r>
      <w:proofErr w:type="spellStart"/>
      <w:r w:rsidR="002566B9" w:rsidRPr="00F86117">
        <w:t>cabozantinib</w:t>
      </w:r>
      <w:proofErr w:type="spellEnd"/>
      <w:r w:rsidR="002566B9" w:rsidRPr="00F86117">
        <w:t>, but considered the magnitude was uncertain and likely overestimated as the trial had a high risk of bias due to the open-label design and imbalances in missing data, with substantial differences in the investigator-assessed and IRC analyses of PFS.</w:t>
      </w:r>
      <w:r w:rsidR="00F57374" w:rsidRPr="00F86117">
        <w:t xml:space="preserve"> </w:t>
      </w:r>
    </w:p>
    <w:p w:rsidR="002E2277" w:rsidRPr="00F86117" w:rsidRDefault="002E2277" w:rsidP="0061386A">
      <w:pPr>
        <w:numPr>
          <w:ilvl w:val="1"/>
          <w:numId w:val="2"/>
        </w:numPr>
        <w:spacing w:before="120" w:after="120"/>
        <w:rPr>
          <w:rFonts w:asciiTheme="minorHAnsi" w:hAnsiTheme="minorHAnsi"/>
          <w:bCs/>
        </w:rPr>
      </w:pPr>
      <w:r w:rsidRPr="00F86117">
        <w:t>The PBAC noted that the CABOSUN trial showed a numerical improve</w:t>
      </w:r>
      <w:r w:rsidR="007F7BD8" w:rsidRPr="00F86117">
        <w:t>ment in</w:t>
      </w:r>
      <w:r w:rsidRPr="00F86117">
        <w:t xml:space="preserve"> OS for </w:t>
      </w:r>
      <w:proofErr w:type="spellStart"/>
      <w:r w:rsidRPr="00F86117">
        <w:t>cabozantinib</w:t>
      </w:r>
      <w:proofErr w:type="spellEnd"/>
      <w:r w:rsidRPr="00F86117">
        <w:t xml:space="preserve"> versus </w:t>
      </w:r>
      <w:proofErr w:type="spellStart"/>
      <w:r w:rsidR="0023128E" w:rsidRPr="00F86117">
        <w:t>sunitinib</w:t>
      </w:r>
      <w:proofErr w:type="spellEnd"/>
      <w:r w:rsidR="0023128E" w:rsidRPr="00F86117">
        <w:t xml:space="preserve"> but the difference was not statistically significant and appeared to be decreasing with </w:t>
      </w:r>
      <w:r w:rsidR="00902A69" w:rsidRPr="00F86117">
        <w:t>additional follow-up</w:t>
      </w:r>
      <w:r w:rsidR="0023128E" w:rsidRPr="00F86117">
        <w:t>.</w:t>
      </w:r>
      <w:r w:rsidRPr="00F86117">
        <w:t xml:space="preserve"> </w:t>
      </w:r>
      <w:r w:rsidR="00993A52" w:rsidRPr="00F86117">
        <w:t>The PBAC considered that the submission’s claim that there was a trend towards improved OS was not supported by the evidence presented</w:t>
      </w:r>
    </w:p>
    <w:p w:rsidR="000D5116" w:rsidRPr="00F86117" w:rsidRDefault="0022793D" w:rsidP="0061386A">
      <w:pPr>
        <w:numPr>
          <w:ilvl w:val="1"/>
          <w:numId w:val="2"/>
        </w:numPr>
        <w:spacing w:before="120" w:after="120"/>
        <w:rPr>
          <w:rFonts w:asciiTheme="minorHAnsi" w:hAnsiTheme="minorHAnsi"/>
          <w:bCs/>
        </w:rPr>
      </w:pPr>
      <w:r w:rsidRPr="00F86117">
        <w:t xml:space="preserve">The PBAC noted that the </w:t>
      </w:r>
      <w:r w:rsidR="00196852" w:rsidRPr="00F86117">
        <w:t xml:space="preserve">safety data from the </w:t>
      </w:r>
      <w:r w:rsidRPr="00F86117">
        <w:t xml:space="preserve">CABOSUN trial indicated that diarrhoea, hypertension and hypothyroidism were more common for patients treated with </w:t>
      </w:r>
      <w:proofErr w:type="spellStart"/>
      <w:r w:rsidRPr="00F86117">
        <w:t>cabozantinib</w:t>
      </w:r>
      <w:proofErr w:type="spellEnd"/>
      <w:r w:rsidR="006C2412" w:rsidRPr="00F86117">
        <w:t xml:space="preserve"> compared </w:t>
      </w:r>
      <w:r w:rsidR="00F86117">
        <w:t xml:space="preserve">to </w:t>
      </w:r>
      <w:proofErr w:type="spellStart"/>
      <w:r w:rsidR="006C2412" w:rsidRPr="00F86117">
        <w:t>sunitinib</w:t>
      </w:r>
      <w:proofErr w:type="spellEnd"/>
      <w:r w:rsidR="006C2412" w:rsidRPr="00F86117">
        <w:t>, however the safety data w</w:t>
      </w:r>
      <w:r w:rsidR="00692135" w:rsidRPr="00F86117">
        <w:t>ere</w:t>
      </w:r>
      <w:r w:rsidR="006C2412" w:rsidRPr="00F86117">
        <w:t xml:space="preserve"> based on a small number of patients</w:t>
      </w:r>
      <w:r w:rsidRPr="00F86117">
        <w:t xml:space="preserve">. </w:t>
      </w:r>
      <w:r w:rsidR="006C2412" w:rsidRPr="00F86117">
        <w:t xml:space="preserve">Overall the PBAC considered that from the evidence presented, </w:t>
      </w:r>
      <w:proofErr w:type="spellStart"/>
      <w:r w:rsidR="006C2412" w:rsidRPr="00F86117">
        <w:t>cabozantinib</w:t>
      </w:r>
      <w:proofErr w:type="spellEnd"/>
      <w:r w:rsidR="006C2412" w:rsidRPr="00F86117">
        <w:t xml:space="preserve"> and </w:t>
      </w:r>
      <w:proofErr w:type="spellStart"/>
      <w:r w:rsidR="006C2412" w:rsidRPr="00F86117">
        <w:t>sunitinib</w:t>
      </w:r>
      <w:proofErr w:type="spellEnd"/>
      <w:r w:rsidR="006C2412" w:rsidRPr="00F86117">
        <w:t xml:space="preserve"> appear to have broadly comparable overall safety profiles. </w:t>
      </w:r>
    </w:p>
    <w:p w:rsidR="00AE72B5" w:rsidRPr="00F86117" w:rsidRDefault="001F6C9E" w:rsidP="0061386A">
      <w:pPr>
        <w:numPr>
          <w:ilvl w:val="1"/>
          <w:numId w:val="2"/>
        </w:numPr>
        <w:spacing w:before="120" w:after="120"/>
        <w:rPr>
          <w:rFonts w:asciiTheme="minorHAnsi" w:hAnsiTheme="minorHAnsi"/>
          <w:bCs/>
        </w:rPr>
      </w:pPr>
      <w:r w:rsidRPr="00F86117">
        <w:rPr>
          <w:rFonts w:asciiTheme="minorHAnsi" w:hAnsiTheme="minorHAnsi"/>
          <w:bCs/>
        </w:rPr>
        <w:t>The PBAC noted that the submission also presented an indirect comparison with NIVO+IPI based on the subset of patients with intermediate to poor risk prognosis from the Check</w:t>
      </w:r>
      <w:r w:rsidR="009442F9" w:rsidRPr="00F86117">
        <w:rPr>
          <w:rFonts w:asciiTheme="minorHAnsi" w:hAnsiTheme="minorHAnsi"/>
          <w:bCs/>
        </w:rPr>
        <w:t>M</w:t>
      </w:r>
      <w:r w:rsidRPr="00F86117">
        <w:rPr>
          <w:rFonts w:asciiTheme="minorHAnsi" w:hAnsiTheme="minorHAnsi"/>
          <w:bCs/>
        </w:rPr>
        <w:t xml:space="preserve">ate214 trial of NIVO+IPI versus </w:t>
      </w:r>
      <w:proofErr w:type="spellStart"/>
      <w:r w:rsidRPr="00F86117">
        <w:rPr>
          <w:rFonts w:asciiTheme="minorHAnsi" w:hAnsiTheme="minorHAnsi"/>
          <w:bCs/>
        </w:rPr>
        <w:t>sunitinib</w:t>
      </w:r>
      <w:proofErr w:type="spellEnd"/>
      <w:r w:rsidRPr="00F86117">
        <w:rPr>
          <w:rFonts w:asciiTheme="minorHAnsi" w:hAnsiTheme="minorHAnsi"/>
          <w:bCs/>
        </w:rPr>
        <w:t xml:space="preserve">. </w:t>
      </w:r>
      <w:r w:rsidR="005D1B0B" w:rsidRPr="00F86117">
        <w:rPr>
          <w:rFonts w:asciiTheme="minorHAnsi" w:hAnsiTheme="minorHAnsi"/>
          <w:bCs/>
        </w:rPr>
        <w:t xml:space="preserve">The PBAC </w:t>
      </w:r>
      <w:r w:rsidRPr="00F86117">
        <w:rPr>
          <w:rFonts w:asciiTheme="minorHAnsi" w:hAnsiTheme="minorHAnsi"/>
          <w:bCs/>
        </w:rPr>
        <w:t>considered</w:t>
      </w:r>
      <w:r w:rsidR="005D1B0B" w:rsidRPr="00F86117">
        <w:rPr>
          <w:rFonts w:asciiTheme="minorHAnsi" w:hAnsiTheme="minorHAnsi"/>
          <w:bCs/>
        </w:rPr>
        <w:t xml:space="preserve"> that the indirect comparison</w:t>
      </w:r>
      <w:r w:rsidRPr="00F86117">
        <w:rPr>
          <w:rFonts w:asciiTheme="minorHAnsi" w:hAnsiTheme="minorHAnsi"/>
          <w:bCs/>
        </w:rPr>
        <w:t xml:space="preserve"> with NIVO+IPI </w:t>
      </w:r>
      <w:r w:rsidR="00DA25EA" w:rsidRPr="00F86117">
        <w:rPr>
          <w:rFonts w:asciiTheme="minorHAnsi" w:hAnsiTheme="minorHAnsi"/>
          <w:bCs/>
        </w:rPr>
        <w:t xml:space="preserve">in terms of PFS </w:t>
      </w:r>
      <w:r w:rsidRPr="00F86117">
        <w:rPr>
          <w:rFonts w:asciiTheme="minorHAnsi" w:hAnsiTheme="minorHAnsi"/>
          <w:bCs/>
        </w:rPr>
        <w:t xml:space="preserve">was </w:t>
      </w:r>
      <w:r w:rsidR="00507994" w:rsidRPr="00F86117">
        <w:rPr>
          <w:rFonts w:asciiTheme="minorHAnsi" w:hAnsiTheme="minorHAnsi"/>
          <w:bCs/>
        </w:rPr>
        <w:t>not reliable</w:t>
      </w:r>
      <w:r w:rsidR="00DA25EA" w:rsidRPr="00F86117">
        <w:rPr>
          <w:rFonts w:asciiTheme="minorHAnsi" w:hAnsiTheme="minorHAnsi"/>
          <w:bCs/>
        </w:rPr>
        <w:t xml:space="preserve"> due to: uncertainty in PFS outcomes from CABOSUN</w:t>
      </w:r>
      <w:r w:rsidR="003B1103">
        <w:rPr>
          <w:rFonts w:asciiTheme="minorHAnsi" w:hAnsiTheme="minorHAnsi"/>
          <w:bCs/>
        </w:rPr>
        <w:t xml:space="preserve"> (as outlined in Paragraph 7.5)</w:t>
      </w:r>
      <w:r w:rsidR="00DA25EA" w:rsidRPr="00F86117">
        <w:rPr>
          <w:rFonts w:asciiTheme="minorHAnsi" w:hAnsiTheme="minorHAnsi"/>
          <w:bCs/>
        </w:rPr>
        <w:t>; transitivity issues between the trials</w:t>
      </w:r>
      <w:r w:rsidR="00507994" w:rsidRPr="00F86117">
        <w:rPr>
          <w:rFonts w:asciiTheme="minorHAnsi" w:hAnsiTheme="minorHAnsi"/>
          <w:bCs/>
        </w:rPr>
        <w:t xml:space="preserve"> (due to differences in patient populations and treatment practices)</w:t>
      </w:r>
      <w:r w:rsidR="00DA25EA" w:rsidRPr="00F86117">
        <w:rPr>
          <w:rFonts w:asciiTheme="minorHAnsi" w:hAnsiTheme="minorHAnsi"/>
          <w:bCs/>
        </w:rPr>
        <w:t xml:space="preserve">; and because PFS may not be an accurate measure of benefit for NIVO+IPI </w:t>
      </w:r>
      <w:r w:rsidR="00DA25EA" w:rsidRPr="00F86117">
        <w:rPr>
          <w:rFonts w:asciiTheme="minorHAnsi" w:hAnsiTheme="minorHAnsi"/>
          <w:bCs/>
        </w:rPr>
        <w:lastRenderedPageBreak/>
        <w:t>due to the potential tumour flare effect for immunotherapies</w:t>
      </w:r>
      <w:r w:rsidRPr="00F86117">
        <w:rPr>
          <w:rFonts w:asciiTheme="minorHAnsi" w:hAnsiTheme="minorHAnsi"/>
          <w:bCs/>
        </w:rPr>
        <w:t xml:space="preserve">. </w:t>
      </w:r>
      <w:r w:rsidR="00DA25EA" w:rsidRPr="00F86117">
        <w:rPr>
          <w:rFonts w:asciiTheme="minorHAnsi" w:hAnsiTheme="minorHAnsi"/>
          <w:bCs/>
        </w:rPr>
        <w:t xml:space="preserve">The PBAC agreed with the ESC that OS is a more meaningful outcome for the comparison of </w:t>
      </w:r>
      <w:proofErr w:type="spellStart"/>
      <w:r w:rsidR="00DA25EA" w:rsidRPr="00F86117">
        <w:rPr>
          <w:rFonts w:asciiTheme="minorHAnsi" w:hAnsiTheme="minorHAnsi"/>
          <w:bCs/>
        </w:rPr>
        <w:t>cabozantinib</w:t>
      </w:r>
      <w:proofErr w:type="spellEnd"/>
      <w:r w:rsidR="00DA25EA" w:rsidRPr="00F86117">
        <w:rPr>
          <w:rFonts w:asciiTheme="minorHAnsi" w:hAnsiTheme="minorHAnsi"/>
          <w:bCs/>
        </w:rPr>
        <w:t xml:space="preserve"> with NIVO+IPI and </w:t>
      </w:r>
      <w:r w:rsidR="00AE72B5" w:rsidRPr="00F86117">
        <w:rPr>
          <w:rFonts w:asciiTheme="minorHAnsi" w:hAnsiTheme="minorHAnsi"/>
          <w:bCs/>
        </w:rPr>
        <w:t>considered</w:t>
      </w:r>
      <w:r w:rsidR="00DA25EA" w:rsidRPr="00F86117">
        <w:rPr>
          <w:rFonts w:asciiTheme="minorHAnsi" w:hAnsiTheme="minorHAnsi"/>
          <w:bCs/>
        </w:rPr>
        <w:t xml:space="preserve"> that it appeared that </w:t>
      </w:r>
      <w:proofErr w:type="spellStart"/>
      <w:r w:rsidR="00DA25EA" w:rsidRPr="00F86117">
        <w:rPr>
          <w:rFonts w:asciiTheme="minorHAnsi" w:hAnsiTheme="minorHAnsi"/>
          <w:bCs/>
        </w:rPr>
        <w:t>cabozantinib</w:t>
      </w:r>
      <w:proofErr w:type="spellEnd"/>
      <w:r w:rsidR="00DA25EA" w:rsidRPr="00F86117">
        <w:rPr>
          <w:rFonts w:asciiTheme="minorHAnsi" w:hAnsiTheme="minorHAnsi"/>
          <w:bCs/>
        </w:rPr>
        <w:t xml:space="preserve"> may be inferior to </w:t>
      </w:r>
      <w:r w:rsidR="00AE72B5" w:rsidRPr="00F86117">
        <w:rPr>
          <w:rFonts w:asciiTheme="minorHAnsi" w:hAnsiTheme="minorHAnsi"/>
          <w:bCs/>
        </w:rPr>
        <w:t>NIVO+IPI</w:t>
      </w:r>
      <w:r w:rsidR="003B1103">
        <w:rPr>
          <w:rFonts w:asciiTheme="minorHAnsi" w:hAnsiTheme="minorHAnsi"/>
          <w:bCs/>
        </w:rPr>
        <w:t xml:space="preserve"> in terms of</w:t>
      </w:r>
      <w:r w:rsidR="003B1103" w:rsidRPr="003B1103">
        <w:rPr>
          <w:rFonts w:asciiTheme="minorHAnsi" w:hAnsiTheme="minorHAnsi"/>
          <w:bCs/>
        </w:rPr>
        <w:t xml:space="preserve"> </w:t>
      </w:r>
      <w:r w:rsidR="003B1103" w:rsidRPr="00F86117">
        <w:rPr>
          <w:rFonts w:asciiTheme="minorHAnsi" w:hAnsiTheme="minorHAnsi"/>
          <w:bCs/>
        </w:rPr>
        <w:t>OS</w:t>
      </w:r>
      <w:r w:rsidR="00AE72B5" w:rsidRPr="00F86117">
        <w:rPr>
          <w:rFonts w:asciiTheme="minorHAnsi" w:hAnsiTheme="minorHAnsi"/>
          <w:bCs/>
        </w:rPr>
        <w:t>.</w:t>
      </w:r>
      <w:r w:rsidR="00AA284E" w:rsidRPr="00F86117">
        <w:rPr>
          <w:rFonts w:asciiTheme="minorHAnsi" w:hAnsiTheme="minorHAnsi"/>
          <w:bCs/>
        </w:rPr>
        <w:t xml:space="preserve"> </w:t>
      </w:r>
      <w:r w:rsidR="00BB2AD9" w:rsidRPr="00F86117">
        <w:rPr>
          <w:rFonts w:asciiTheme="minorHAnsi" w:hAnsiTheme="minorHAnsi"/>
          <w:bCs/>
        </w:rPr>
        <w:t>Overall, t</w:t>
      </w:r>
      <w:r w:rsidR="00E3441A" w:rsidRPr="00F86117">
        <w:rPr>
          <w:rFonts w:asciiTheme="minorHAnsi" w:hAnsiTheme="minorHAnsi"/>
          <w:bCs/>
        </w:rPr>
        <w:t xml:space="preserve">he PBAC considered that </w:t>
      </w:r>
      <w:proofErr w:type="spellStart"/>
      <w:r w:rsidR="00E3441A" w:rsidRPr="00F86117">
        <w:rPr>
          <w:rFonts w:asciiTheme="minorHAnsi" w:hAnsiTheme="minorHAnsi"/>
          <w:bCs/>
        </w:rPr>
        <w:t>cabozantinib</w:t>
      </w:r>
      <w:proofErr w:type="spellEnd"/>
      <w:r w:rsidR="00E3441A" w:rsidRPr="00F86117">
        <w:rPr>
          <w:rFonts w:asciiTheme="minorHAnsi" w:hAnsiTheme="minorHAnsi"/>
          <w:bCs/>
        </w:rPr>
        <w:t xml:space="preserve"> </w:t>
      </w:r>
      <w:r w:rsidR="00507994" w:rsidRPr="00F86117">
        <w:rPr>
          <w:rFonts w:asciiTheme="minorHAnsi" w:hAnsiTheme="minorHAnsi"/>
          <w:bCs/>
        </w:rPr>
        <w:t xml:space="preserve">may be </w:t>
      </w:r>
      <w:r w:rsidR="006F42A1" w:rsidRPr="00F86117">
        <w:rPr>
          <w:rFonts w:asciiTheme="minorHAnsi" w:hAnsiTheme="minorHAnsi"/>
          <w:bCs/>
        </w:rPr>
        <w:t>inferior to NIVO+IPI in terms of comparative efficacy.</w:t>
      </w:r>
    </w:p>
    <w:p w:rsidR="008E11DB" w:rsidRPr="00F86117" w:rsidRDefault="00AE72B5" w:rsidP="0061386A">
      <w:pPr>
        <w:numPr>
          <w:ilvl w:val="1"/>
          <w:numId w:val="2"/>
        </w:numPr>
        <w:spacing w:before="120" w:after="120"/>
        <w:rPr>
          <w:rFonts w:asciiTheme="minorHAnsi" w:hAnsiTheme="minorHAnsi"/>
          <w:bCs/>
        </w:rPr>
      </w:pPr>
      <w:r w:rsidRPr="00F86117">
        <w:rPr>
          <w:rFonts w:asciiTheme="minorHAnsi" w:hAnsiTheme="minorHAnsi"/>
          <w:bCs/>
        </w:rPr>
        <w:t xml:space="preserve">The submission described </w:t>
      </w:r>
      <w:proofErr w:type="spellStart"/>
      <w:r w:rsidRPr="00F86117">
        <w:rPr>
          <w:rFonts w:asciiTheme="minorHAnsi" w:hAnsiTheme="minorHAnsi"/>
          <w:bCs/>
        </w:rPr>
        <w:t>cabozantinib</w:t>
      </w:r>
      <w:proofErr w:type="spellEnd"/>
      <w:r w:rsidRPr="00F86117">
        <w:rPr>
          <w:rFonts w:asciiTheme="minorHAnsi" w:hAnsiTheme="minorHAnsi"/>
          <w:bCs/>
        </w:rPr>
        <w:t xml:space="preserve"> as having a potentially more tolerable safety profile than NIVO+IPI. The PBAC agreed with the ESC that the eviden</w:t>
      </w:r>
      <w:r w:rsidR="00507994" w:rsidRPr="00F86117">
        <w:rPr>
          <w:rFonts w:asciiTheme="minorHAnsi" w:hAnsiTheme="minorHAnsi"/>
          <w:bCs/>
        </w:rPr>
        <w:t>ce presented did not support this</w:t>
      </w:r>
      <w:r w:rsidRPr="00F86117">
        <w:rPr>
          <w:rFonts w:asciiTheme="minorHAnsi" w:hAnsiTheme="minorHAnsi"/>
          <w:bCs/>
        </w:rPr>
        <w:t xml:space="preserve"> claim </w:t>
      </w:r>
      <w:r w:rsidR="00507994" w:rsidRPr="00F86117">
        <w:rPr>
          <w:rFonts w:asciiTheme="minorHAnsi" w:hAnsiTheme="minorHAnsi"/>
          <w:bCs/>
        </w:rPr>
        <w:t xml:space="preserve">and considered </w:t>
      </w:r>
      <w:r w:rsidRPr="00F86117">
        <w:rPr>
          <w:rFonts w:asciiTheme="minorHAnsi" w:hAnsiTheme="minorHAnsi"/>
          <w:bCs/>
        </w:rPr>
        <w:t>that immunotherapy is typically associated with severe toxicity in a proportion of patients whereas TKIs tend to be associated with less severe events, but these events are experienced by nearly all patients.</w:t>
      </w:r>
    </w:p>
    <w:p w:rsidR="003A3DC1" w:rsidRPr="00F86117" w:rsidRDefault="00AA284E" w:rsidP="0061386A">
      <w:pPr>
        <w:numPr>
          <w:ilvl w:val="1"/>
          <w:numId w:val="2"/>
        </w:numPr>
        <w:spacing w:before="120" w:after="120"/>
        <w:rPr>
          <w:rFonts w:asciiTheme="minorHAnsi" w:hAnsiTheme="minorHAnsi"/>
          <w:bCs/>
        </w:rPr>
      </w:pPr>
      <w:r w:rsidRPr="00F86117">
        <w:rPr>
          <w:rFonts w:asciiTheme="minorHAnsi" w:hAnsiTheme="minorHAnsi"/>
          <w:bCs/>
        </w:rPr>
        <w:t xml:space="preserve">The PBAC noted </w:t>
      </w:r>
      <w:r w:rsidR="00507994" w:rsidRPr="00F86117">
        <w:rPr>
          <w:rFonts w:asciiTheme="minorHAnsi" w:hAnsiTheme="minorHAnsi"/>
          <w:bCs/>
        </w:rPr>
        <w:t xml:space="preserve">that the evaluation and ESC had identified a </w:t>
      </w:r>
      <w:r w:rsidRPr="00F86117">
        <w:rPr>
          <w:rFonts w:asciiTheme="minorHAnsi" w:hAnsiTheme="minorHAnsi"/>
          <w:bCs/>
        </w:rPr>
        <w:t xml:space="preserve">number of </w:t>
      </w:r>
      <w:r w:rsidR="00507994" w:rsidRPr="00F86117">
        <w:rPr>
          <w:rFonts w:asciiTheme="minorHAnsi" w:hAnsiTheme="minorHAnsi"/>
          <w:bCs/>
        </w:rPr>
        <w:t>issues</w:t>
      </w:r>
      <w:r w:rsidRPr="00F86117">
        <w:rPr>
          <w:rFonts w:asciiTheme="minorHAnsi" w:hAnsiTheme="minorHAnsi"/>
          <w:bCs/>
        </w:rPr>
        <w:t xml:space="preserve"> regarding the </w:t>
      </w:r>
      <w:r w:rsidR="00722E7E" w:rsidRPr="00F86117">
        <w:rPr>
          <w:rFonts w:asciiTheme="minorHAnsi" w:hAnsiTheme="minorHAnsi"/>
          <w:bCs/>
        </w:rPr>
        <w:t xml:space="preserve">cost-utility analysis versus </w:t>
      </w:r>
      <w:proofErr w:type="spellStart"/>
      <w:r w:rsidR="00722E7E" w:rsidRPr="00F86117">
        <w:rPr>
          <w:rFonts w:asciiTheme="minorHAnsi" w:hAnsiTheme="minorHAnsi"/>
          <w:bCs/>
        </w:rPr>
        <w:t>sunitinib</w:t>
      </w:r>
      <w:proofErr w:type="spellEnd"/>
      <w:r w:rsidR="00507994" w:rsidRPr="00F86117">
        <w:rPr>
          <w:rFonts w:asciiTheme="minorHAnsi" w:hAnsiTheme="minorHAnsi"/>
          <w:bCs/>
        </w:rPr>
        <w:t xml:space="preserve"> including</w:t>
      </w:r>
      <w:r w:rsidR="006A6B14" w:rsidRPr="00F86117">
        <w:rPr>
          <w:rFonts w:asciiTheme="minorHAnsi" w:hAnsiTheme="minorHAnsi"/>
          <w:bCs/>
        </w:rPr>
        <w:t xml:space="preserve">: </w:t>
      </w:r>
      <w:r w:rsidR="00722E7E" w:rsidRPr="00F86117">
        <w:rPr>
          <w:rFonts w:asciiTheme="minorHAnsi" w:hAnsiTheme="minorHAnsi"/>
          <w:bCs/>
        </w:rPr>
        <w:t xml:space="preserve">the </w:t>
      </w:r>
      <w:r w:rsidR="006A6B14" w:rsidRPr="00F86117">
        <w:rPr>
          <w:rFonts w:asciiTheme="minorHAnsi" w:hAnsiTheme="minorHAnsi"/>
          <w:bCs/>
        </w:rPr>
        <w:t xml:space="preserve">extrapolation of outcomes </w:t>
      </w:r>
      <w:r w:rsidR="00722E7E" w:rsidRPr="00F86117">
        <w:rPr>
          <w:rFonts w:asciiTheme="minorHAnsi" w:hAnsiTheme="minorHAnsi"/>
          <w:bCs/>
        </w:rPr>
        <w:t xml:space="preserve">was </w:t>
      </w:r>
      <w:r w:rsidR="006A6B14" w:rsidRPr="00F86117">
        <w:rPr>
          <w:rFonts w:asciiTheme="minorHAnsi" w:hAnsiTheme="minorHAnsi"/>
          <w:bCs/>
        </w:rPr>
        <w:t xml:space="preserve">based on a small number of patients with limited follow-up time leading to uncertain outcomes; </w:t>
      </w:r>
      <w:r w:rsidR="007243AD" w:rsidRPr="00F86117">
        <w:rPr>
          <w:rFonts w:asciiTheme="minorHAnsi" w:hAnsiTheme="minorHAnsi"/>
          <w:bCs/>
        </w:rPr>
        <w:t>the extrapolation assumed an on-going treatment effect over the time horizon of the model;</w:t>
      </w:r>
      <w:r w:rsidR="006A6B14" w:rsidRPr="00F86117">
        <w:rPr>
          <w:rFonts w:asciiTheme="minorHAnsi" w:hAnsiTheme="minorHAnsi"/>
          <w:bCs/>
        </w:rPr>
        <w:t xml:space="preserve"> the chose</w:t>
      </w:r>
      <w:r w:rsidR="00722E7E" w:rsidRPr="00F86117">
        <w:rPr>
          <w:rFonts w:asciiTheme="minorHAnsi" w:hAnsiTheme="minorHAnsi"/>
          <w:bCs/>
        </w:rPr>
        <w:t>n</w:t>
      </w:r>
      <w:r w:rsidR="006A6B14" w:rsidRPr="00F86117">
        <w:rPr>
          <w:rFonts w:asciiTheme="minorHAnsi" w:hAnsiTheme="minorHAnsi"/>
          <w:bCs/>
        </w:rPr>
        <w:t xml:space="preserve"> parametric distributions were not sufficiently justified; the modelled OS did not reliably reflect the KM OS curve from the CABOSUN trial; and the utility values appear</w:t>
      </w:r>
      <w:r w:rsidR="00507994" w:rsidRPr="00F86117">
        <w:rPr>
          <w:rFonts w:asciiTheme="minorHAnsi" w:hAnsiTheme="minorHAnsi"/>
          <w:bCs/>
        </w:rPr>
        <w:t>ed</w:t>
      </w:r>
      <w:r w:rsidR="006A6B14" w:rsidRPr="00F86117">
        <w:rPr>
          <w:rFonts w:asciiTheme="minorHAnsi" w:hAnsiTheme="minorHAnsi"/>
          <w:bCs/>
        </w:rPr>
        <w:t xml:space="preserve"> higher than would be expected for this population</w:t>
      </w:r>
      <w:r w:rsidRPr="00F86117">
        <w:rPr>
          <w:rFonts w:asciiTheme="minorHAnsi" w:hAnsiTheme="minorHAnsi"/>
          <w:bCs/>
        </w:rPr>
        <w:t xml:space="preserve">. </w:t>
      </w:r>
    </w:p>
    <w:p w:rsidR="00E3441A" w:rsidRPr="00F86117" w:rsidRDefault="006A6B14" w:rsidP="0061386A">
      <w:pPr>
        <w:numPr>
          <w:ilvl w:val="1"/>
          <w:numId w:val="2"/>
        </w:numPr>
        <w:spacing w:before="120" w:after="120"/>
        <w:rPr>
          <w:rFonts w:asciiTheme="minorHAnsi" w:hAnsiTheme="minorHAnsi"/>
          <w:bCs/>
        </w:rPr>
      </w:pPr>
      <w:r w:rsidRPr="00F86117">
        <w:rPr>
          <w:rFonts w:asciiTheme="minorHAnsi" w:hAnsiTheme="minorHAnsi"/>
          <w:bCs/>
        </w:rPr>
        <w:t xml:space="preserve">The PBAC noted that the model was sensitive to </w:t>
      </w:r>
      <w:r w:rsidR="003B1103">
        <w:rPr>
          <w:rFonts w:asciiTheme="minorHAnsi" w:hAnsiTheme="minorHAnsi"/>
          <w:bCs/>
        </w:rPr>
        <w:t>the</w:t>
      </w:r>
      <w:r w:rsidRPr="00F86117">
        <w:rPr>
          <w:rFonts w:asciiTheme="minorHAnsi" w:hAnsiTheme="minorHAnsi"/>
          <w:bCs/>
        </w:rPr>
        <w:t xml:space="preserve"> </w:t>
      </w:r>
      <w:r w:rsidR="00AE4455" w:rsidRPr="00F86117">
        <w:rPr>
          <w:rFonts w:asciiTheme="minorHAnsi" w:hAnsiTheme="minorHAnsi"/>
          <w:bCs/>
        </w:rPr>
        <w:t>post-progression treatments included and the duration over which the</w:t>
      </w:r>
      <w:r w:rsidR="003B1103">
        <w:rPr>
          <w:rFonts w:asciiTheme="minorHAnsi" w:hAnsiTheme="minorHAnsi"/>
          <w:bCs/>
        </w:rPr>
        <w:t xml:space="preserve"> costs of these</w:t>
      </w:r>
      <w:r w:rsidR="003B1103" w:rsidRPr="00F86117">
        <w:rPr>
          <w:rFonts w:asciiTheme="minorHAnsi" w:hAnsiTheme="minorHAnsi"/>
          <w:bCs/>
        </w:rPr>
        <w:t xml:space="preserve"> </w:t>
      </w:r>
      <w:r w:rsidR="00AE4455" w:rsidRPr="00F86117">
        <w:rPr>
          <w:rFonts w:asciiTheme="minorHAnsi" w:hAnsiTheme="minorHAnsi"/>
          <w:bCs/>
        </w:rPr>
        <w:t xml:space="preserve">were applied. </w:t>
      </w:r>
      <w:r w:rsidR="003A3DC1" w:rsidRPr="00F86117">
        <w:rPr>
          <w:rFonts w:asciiTheme="minorHAnsi" w:hAnsiTheme="minorHAnsi"/>
          <w:bCs/>
        </w:rPr>
        <w:t xml:space="preserve">The PBAC considered that the post-progression costs were over-estimated, particularly in the </w:t>
      </w:r>
      <w:proofErr w:type="spellStart"/>
      <w:r w:rsidR="003A3DC1" w:rsidRPr="00F86117">
        <w:rPr>
          <w:rFonts w:asciiTheme="minorHAnsi" w:hAnsiTheme="minorHAnsi"/>
          <w:bCs/>
        </w:rPr>
        <w:t>sunitinib</w:t>
      </w:r>
      <w:proofErr w:type="spellEnd"/>
      <w:r w:rsidR="003A3DC1" w:rsidRPr="00F86117">
        <w:rPr>
          <w:rFonts w:asciiTheme="minorHAnsi" w:hAnsiTheme="minorHAnsi"/>
          <w:bCs/>
        </w:rPr>
        <w:t xml:space="preserve"> arm, due to the inclusion of non PBS-listed drugs and the assumption that patients who receive subsequent therapies continue to be treated until death (i.e. patients who received a subsequent therapy in the CABOSUN trial were assumed to continue receiving subsequent therapies continuously until they died). The PBAC considered that these assumptions were not reasonable.</w:t>
      </w:r>
    </w:p>
    <w:p w:rsidR="003D5759" w:rsidRDefault="00722E7E" w:rsidP="0061386A">
      <w:pPr>
        <w:numPr>
          <w:ilvl w:val="1"/>
          <w:numId w:val="2"/>
        </w:numPr>
        <w:spacing w:before="120" w:after="120"/>
        <w:rPr>
          <w:rFonts w:asciiTheme="minorHAnsi" w:hAnsiTheme="minorHAnsi"/>
          <w:bCs/>
        </w:rPr>
      </w:pPr>
      <w:r w:rsidRPr="00064531">
        <w:rPr>
          <w:rFonts w:asciiTheme="minorHAnsi" w:hAnsiTheme="minorHAnsi"/>
          <w:bCs/>
        </w:rPr>
        <w:t xml:space="preserve">The PBAC </w:t>
      </w:r>
      <w:r w:rsidR="00064531" w:rsidRPr="00064531">
        <w:rPr>
          <w:rFonts w:asciiTheme="minorHAnsi" w:hAnsiTheme="minorHAnsi"/>
          <w:bCs/>
        </w:rPr>
        <w:t xml:space="preserve">noted that the ESC had proposed a re-specified </w:t>
      </w:r>
      <w:r w:rsidR="00AE4455" w:rsidRPr="00064531">
        <w:rPr>
          <w:rFonts w:asciiTheme="minorHAnsi" w:hAnsiTheme="minorHAnsi"/>
          <w:bCs/>
        </w:rPr>
        <w:t xml:space="preserve">base case </w:t>
      </w:r>
      <w:r w:rsidRPr="00064531">
        <w:rPr>
          <w:rFonts w:asciiTheme="minorHAnsi" w:hAnsiTheme="minorHAnsi"/>
          <w:bCs/>
        </w:rPr>
        <w:t>using:</w:t>
      </w:r>
      <w:r w:rsidR="00064531" w:rsidRPr="00064531">
        <w:rPr>
          <w:rFonts w:asciiTheme="minorHAnsi" w:hAnsiTheme="minorHAnsi"/>
          <w:bCs/>
        </w:rPr>
        <w:t xml:space="preserve"> (</w:t>
      </w:r>
      <w:proofErr w:type="spellStart"/>
      <w:r w:rsidR="00064531" w:rsidRPr="00064531">
        <w:rPr>
          <w:rFonts w:asciiTheme="minorHAnsi" w:hAnsiTheme="minorHAnsi"/>
          <w:bCs/>
        </w:rPr>
        <w:t>i</w:t>
      </w:r>
      <w:proofErr w:type="spellEnd"/>
      <w:r w:rsidR="00064531" w:rsidRPr="00064531">
        <w:rPr>
          <w:rFonts w:asciiTheme="minorHAnsi" w:hAnsiTheme="minorHAnsi"/>
          <w:bCs/>
        </w:rPr>
        <w:t xml:space="preserve">) </w:t>
      </w:r>
      <w:r w:rsidRPr="00F86117">
        <w:t>a time horizon of 7.5 years;</w:t>
      </w:r>
      <w:r w:rsidR="00064531">
        <w:t xml:space="preserve"> (ii)</w:t>
      </w:r>
      <w:r w:rsidRPr="00F86117">
        <w:t xml:space="preserve"> convergence of OS, PFS and TTD beginning at 30 months, with convergence at 7.5 years;</w:t>
      </w:r>
      <w:r w:rsidR="00064531">
        <w:t xml:space="preserve"> (iii) </w:t>
      </w:r>
      <w:r w:rsidRPr="00F86117">
        <w:t>average patient weight of 80 kg; and</w:t>
      </w:r>
      <w:r w:rsidR="00064531">
        <w:t xml:space="preserve"> (iv) </w:t>
      </w:r>
      <w:r w:rsidRPr="00F86117">
        <w:t xml:space="preserve">the same costs (per cycle) of subsequent treatment </w:t>
      </w:r>
      <w:r w:rsidR="003B1103">
        <w:t>in</w:t>
      </w:r>
      <w:r w:rsidRPr="00F86117">
        <w:t xml:space="preserve"> </w:t>
      </w:r>
      <w:r w:rsidR="003B1103">
        <w:t xml:space="preserve">the </w:t>
      </w:r>
      <w:proofErr w:type="spellStart"/>
      <w:r w:rsidRPr="00F86117">
        <w:t>cabozantinib</w:t>
      </w:r>
      <w:proofErr w:type="spellEnd"/>
      <w:r w:rsidRPr="00F86117">
        <w:t xml:space="preserve"> and </w:t>
      </w:r>
      <w:proofErr w:type="spellStart"/>
      <w:r w:rsidRPr="00F86117">
        <w:t>sunitinib</w:t>
      </w:r>
      <w:proofErr w:type="spellEnd"/>
      <w:r w:rsidRPr="00F86117">
        <w:t xml:space="preserve"> arms</w:t>
      </w:r>
      <w:r w:rsidR="00064531">
        <w:t>. The PBAC considered that this</w:t>
      </w:r>
      <w:r w:rsidRPr="00F86117">
        <w:t xml:space="preserve"> was more appropriate than the submission</w:t>
      </w:r>
      <w:r w:rsidR="003B1103">
        <w:t>’s</w:t>
      </w:r>
      <w:r w:rsidRPr="00F86117">
        <w:t xml:space="preserve"> base case</w:t>
      </w:r>
      <w:r w:rsidR="003B1103">
        <w:t xml:space="preserve">, and </w:t>
      </w:r>
      <w:r w:rsidR="00064531" w:rsidRPr="00064531">
        <w:rPr>
          <w:rFonts w:asciiTheme="minorHAnsi" w:hAnsiTheme="minorHAnsi"/>
          <w:bCs/>
        </w:rPr>
        <w:t>noted that th</w:t>
      </w:r>
      <w:r w:rsidRPr="00064531">
        <w:rPr>
          <w:rFonts w:asciiTheme="minorHAnsi" w:hAnsiTheme="minorHAnsi"/>
          <w:bCs/>
        </w:rPr>
        <w:t xml:space="preserve">is analysis increased the ICER to </w:t>
      </w:r>
      <w:r w:rsidR="001E24E7">
        <w:rPr>
          <w:rFonts w:asciiTheme="minorHAnsi" w:hAnsiTheme="minorHAnsi"/>
          <w:bCs/>
        </w:rPr>
        <w:t>$105,000 - $200,000</w:t>
      </w:r>
      <w:r w:rsidR="002D04CE" w:rsidRPr="00064531">
        <w:rPr>
          <w:rFonts w:asciiTheme="minorHAnsi" w:hAnsiTheme="minorHAnsi"/>
          <w:bCs/>
        </w:rPr>
        <w:t>/QALY</w:t>
      </w:r>
      <w:r w:rsidRPr="00064531">
        <w:rPr>
          <w:rFonts w:asciiTheme="minorHAnsi" w:hAnsiTheme="minorHAnsi"/>
          <w:bCs/>
        </w:rPr>
        <w:t xml:space="preserve"> using the prices applied in the submission. </w:t>
      </w:r>
      <w:r w:rsidR="00B80425" w:rsidRPr="00064531">
        <w:rPr>
          <w:rFonts w:asciiTheme="minorHAnsi" w:hAnsiTheme="minorHAnsi"/>
          <w:bCs/>
        </w:rPr>
        <w:t xml:space="preserve">In addition to these </w:t>
      </w:r>
      <w:r w:rsidR="00821E10" w:rsidRPr="00064531">
        <w:rPr>
          <w:rFonts w:asciiTheme="minorHAnsi" w:hAnsiTheme="minorHAnsi"/>
          <w:bCs/>
        </w:rPr>
        <w:t xml:space="preserve">four </w:t>
      </w:r>
      <w:r w:rsidR="00B80425" w:rsidRPr="00064531">
        <w:rPr>
          <w:rFonts w:asciiTheme="minorHAnsi" w:hAnsiTheme="minorHAnsi"/>
          <w:bCs/>
        </w:rPr>
        <w:t xml:space="preserve">changes, the PBAC considered </w:t>
      </w:r>
      <w:r w:rsidR="00821E10" w:rsidRPr="00064531">
        <w:rPr>
          <w:rFonts w:asciiTheme="minorHAnsi" w:hAnsiTheme="minorHAnsi"/>
          <w:bCs/>
        </w:rPr>
        <w:t xml:space="preserve">that </w:t>
      </w:r>
      <w:r w:rsidR="0099301C" w:rsidRPr="00064531">
        <w:rPr>
          <w:rFonts w:asciiTheme="minorHAnsi" w:hAnsiTheme="minorHAnsi"/>
          <w:bCs/>
        </w:rPr>
        <w:t xml:space="preserve">a revised base case would </w:t>
      </w:r>
      <w:r w:rsidR="00DF2144" w:rsidRPr="00064531">
        <w:rPr>
          <w:rFonts w:asciiTheme="minorHAnsi" w:hAnsiTheme="minorHAnsi"/>
          <w:bCs/>
        </w:rPr>
        <w:t xml:space="preserve">also </w:t>
      </w:r>
      <w:r w:rsidR="0099301C" w:rsidRPr="00064531">
        <w:rPr>
          <w:rFonts w:asciiTheme="minorHAnsi" w:hAnsiTheme="minorHAnsi"/>
          <w:bCs/>
        </w:rPr>
        <w:t xml:space="preserve">need to </w:t>
      </w:r>
      <w:r w:rsidR="00064531">
        <w:rPr>
          <w:rFonts w:asciiTheme="minorHAnsi" w:hAnsiTheme="minorHAnsi"/>
          <w:bCs/>
        </w:rPr>
        <w:t>amend</w:t>
      </w:r>
      <w:r w:rsidR="0099301C" w:rsidRPr="00064531">
        <w:rPr>
          <w:rFonts w:asciiTheme="minorHAnsi" w:hAnsiTheme="minorHAnsi"/>
          <w:bCs/>
        </w:rPr>
        <w:t xml:space="preserve"> the assumption that patients who receive subsequent therapies continue to be treated until death (i.e. </w:t>
      </w:r>
      <w:r w:rsidR="00821E10" w:rsidRPr="00064531">
        <w:rPr>
          <w:rFonts w:asciiTheme="minorHAnsi" w:hAnsiTheme="minorHAnsi"/>
          <w:bCs/>
        </w:rPr>
        <w:t>subsequent therapy costs</w:t>
      </w:r>
      <w:r w:rsidR="0099301C" w:rsidRPr="00064531">
        <w:rPr>
          <w:rFonts w:asciiTheme="minorHAnsi" w:hAnsiTheme="minorHAnsi"/>
          <w:bCs/>
        </w:rPr>
        <w:t>,</w:t>
      </w:r>
      <w:r w:rsidR="00821E10" w:rsidRPr="00064531">
        <w:rPr>
          <w:rFonts w:asciiTheme="minorHAnsi" w:hAnsiTheme="minorHAnsi"/>
          <w:bCs/>
        </w:rPr>
        <w:t xml:space="preserve"> </w:t>
      </w:r>
      <w:r w:rsidR="0099301C" w:rsidRPr="00064531">
        <w:rPr>
          <w:rFonts w:asciiTheme="minorHAnsi" w:hAnsiTheme="minorHAnsi"/>
          <w:bCs/>
        </w:rPr>
        <w:t xml:space="preserve">where relevant, </w:t>
      </w:r>
      <w:r w:rsidR="00821E10" w:rsidRPr="00064531">
        <w:rPr>
          <w:rFonts w:asciiTheme="minorHAnsi" w:hAnsiTheme="minorHAnsi"/>
          <w:bCs/>
        </w:rPr>
        <w:t>should not be applied every cycle that a patient remains alive post-progression</w:t>
      </w:r>
      <w:r w:rsidR="0099301C" w:rsidRPr="00064531">
        <w:rPr>
          <w:rFonts w:asciiTheme="minorHAnsi" w:hAnsiTheme="minorHAnsi"/>
          <w:bCs/>
        </w:rPr>
        <w:t>).</w:t>
      </w:r>
    </w:p>
    <w:p w:rsidR="00722E7E" w:rsidRPr="00064531" w:rsidRDefault="001B1AD7" w:rsidP="0061386A">
      <w:pPr>
        <w:numPr>
          <w:ilvl w:val="1"/>
          <w:numId w:val="2"/>
        </w:numPr>
        <w:spacing w:before="120" w:after="120"/>
        <w:rPr>
          <w:rFonts w:asciiTheme="minorHAnsi" w:hAnsiTheme="minorHAnsi"/>
          <w:bCs/>
        </w:rPr>
      </w:pPr>
      <w:r w:rsidRPr="00064531">
        <w:rPr>
          <w:rFonts w:asciiTheme="minorHAnsi" w:hAnsiTheme="minorHAnsi"/>
          <w:bCs/>
        </w:rPr>
        <w:t>The PBAC considered that th</w:t>
      </w:r>
      <w:r w:rsidR="00114552">
        <w:rPr>
          <w:rFonts w:asciiTheme="minorHAnsi" w:hAnsiTheme="minorHAnsi"/>
          <w:bCs/>
        </w:rPr>
        <w:t>e</w:t>
      </w:r>
      <w:r w:rsidRPr="00064531">
        <w:rPr>
          <w:rFonts w:asciiTheme="minorHAnsi" w:hAnsiTheme="minorHAnsi"/>
          <w:bCs/>
        </w:rPr>
        <w:t xml:space="preserve"> revised base case ICER </w:t>
      </w:r>
      <w:r w:rsidR="00114552">
        <w:rPr>
          <w:rFonts w:asciiTheme="minorHAnsi" w:hAnsiTheme="minorHAnsi"/>
          <w:bCs/>
        </w:rPr>
        <w:t xml:space="preserve">(i.e. revised using the assumptions in Paragraph 7.12 above) </w:t>
      </w:r>
      <w:r w:rsidRPr="00064531">
        <w:rPr>
          <w:rFonts w:asciiTheme="minorHAnsi" w:hAnsiTheme="minorHAnsi"/>
          <w:bCs/>
        </w:rPr>
        <w:t xml:space="preserve">was very high and the cost for </w:t>
      </w:r>
      <w:proofErr w:type="spellStart"/>
      <w:r w:rsidRPr="00064531">
        <w:rPr>
          <w:rFonts w:asciiTheme="minorHAnsi" w:hAnsiTheme="minorHAnsi"/>
          <w:bCs/>
        </w:rPr>
        <w:t>cabozantinib</w:t>
      </w:r>
      <w:proofErr w:type="spellEnd"/>
      <w:r w:rsidRPr="00064531">
        <w:rPr>
          <w:rFonts w:asciiTheme="minorHAnsi" w:hAnsiTheme="minorHAnsi"/>
          <w:bCs/>
        </w:rPr>
        <w:t xml:space="preserve"> would need to be reduced substantially to bring the ICER into an acceptable range.</w:t>
      </w:r>
      <w:r w:rsidR="00ED58D4" w:rsidRPr="00064531">
        <w:rPr>
          <w:rFonts w:asciiTheme="minorHAnsi" w:hAnsiTheme="minorHAnsi"/>
          <w:bCs/>
        </w:rPr>
        <w:t xml:space="preserve"> </w:t>
      </w:r>
      <w:r w:rsidR="00821E10" w:rsidRPr="00064531">
        <w:rPr>
          <w:rFonts w:asciiTheme="minorHAnsi" w:hAnsiTheme="minorHAnsi"/>
          <w:bCs/>
        </w:rPr>
        <w:t>E</w:t>
      </w:r>
      <w:r w:rsidR="00ED58D4" w:rsidRPr="00064531">
        <w:rPr>
          <w:rFonts w:asciiTheme="minorHAnsi" w:hAnsiTheme="minorHAnsi"/>
          <w:bCs/>
        </w:rPr>
        <w:t>ven with these changes, the model would still include optimistic assumptions such as the inclusion of a PFS benefit that was likely overestimated in the trial and</w:t>
      </w:r>
      <w:r w:rsidR="003A3DC1" w:rsidRPr="00064531">
        <w:rPr>
          <w:rFonts w:asciiTheme="minorHAnsi" w:hAnsiTheme="minorHAnsi"/>
          <w:bCs/>
        </w:rPr>
        <w:t xml:space="preserve"> the</w:t>
      </w:r>
      <w:r w:rsidR="00821E10" w:rsidRPr="00064531">
        <w:rPr>
          <w:rFonts w:asciiTheme="minorHAnsi" w:hAnsiTheme="minorHAnsi"/>
          <w:bCs/>
        </w:rPr>
        <w:t xml:space="preserve"> use of </w:t>
      </w:r>
      <w:proofErr w:type="spellStart"/>
      <w:r w:rsidR="00821E10" w:rsidRPr="00064531">
        <w:rPr>
          <w:rFonts w:asciiTheme="minorHAnsi" w:hAnsiTheme="minorHAnsi"/>
          <w:bCs/>
        </w:rPr>
        <w:lastRenderedPageBreak/>
        <w:t>sunitinib</w:t>
      </w:r>
      <w:proofErr w:type="spellEnd"/>
      <w:r w:rsidR="00821E10" w:rsidRPr="00064531">
        <w:rPr>
          <w:rFonts w:asciiTheme="minorHAnsi" w:hAnsiTheme="minorHAnsi"/>
          <w:bCs/>
        </w:rPr>
        <w:t xml:space="preserve"> costs for the comparator arm, while </w:t>
      </w:r>
      <w:proofErr w:type="spellStart"/>
      <w:r w:rsidR="00821E10" w:rsidRPr="00064531">
        <w:rPr>
          <w:rFonts w:asciiTheme="minorHAnsi" w:hAnsiTheme="minorHAnsi"/>
          <w:bCs/>
        </w:rPr>
        <w:t>pazopanib</w:t>
      </w:r>
      <w:proofErr w:type="spellEnd"/>
      <w:r w:rsidR="00821E10" w:rsidRPr="00064531">
        <w:rPr>
          <w:rFonts w:asciiTheme="minorHAnsi" w:hAnsiTheme="minorHAnsi"/>
          <w:bCs/>
        </w:rPr>
        <w:t xml:space="preserve"> was also a relevant comparator</w:t>
      </w:r>
      <w:r w:rsidR="00ED58D4" w:rsidRPr="00064531">
        <w:rPr>
          <w:rFonts w:asciiTheme="minorHAnsi" w:hAnsiTheme="minorHAnsi"/>
          <w:bCs/>
        </w:rPr>
        <w:t>.</w:t>
      </w:r>
    </w:p>
    <w:p w:rsidR="00EC7EF3" w:rsidRPr="00F86117" w:rsidRDefault="00EC7EF3" w:rsidP="0061386A">
      <w:pPr>
        <w:numPr>
          <w:ilvl w:val="1"/>
          <w:numId w:val="2"/>
        </w:numPr>
        <w:spacing w:before="120" w:after="120"/>
        <w:rPr>
          <w:rFonts w:asciiTheme="minorHAnsi" w:hAnsiTheme="minorHAnsi"/>
          <w:bCs/>
        </w:rPr>
      </w:pPr>
      <w:r w:rsidRPr="00F86117">
        <w:rPr>
          <w:rFonts w:asciiTheme="minorHAnsi" w:hAnsiTheme="minorHAnsi"/>
          <w:bCs/>
        </w:rPr>
        <w:t xml:space="preserve">The PBAC noted that the cost per course of treatment for </w:t>
      </w:r>
      <w:proofErr w:type="spellStart"/>
      <w:r w:rsidRPr="00F86117">
        <w:rPr>
          <w:rFonts w:asciiTheme="minorHAnsi" w:hAnsiTheme="minorHAnsi"/>
          <w:bCs/>
        </w:rPr>
        <w:t>cabozantinib</w:t>
      </w:r>
      <w:proofErr w:type="spellEnd"/>
      <w:r w:rsidRPr="00F86117">
        <w:rPr>
          <w:rFonts w:asciiTheme="minorHAnsi" w:hAnsiTheme="minorHAnsi"/>
          <w:bCs/>
        </w:rPr>
        <w:t xml:space="preserve"> was estimated to be $</w:t>
      </w:r>
      <w:r w:rsidR="0035011A">
        <w:rPr>
          <w:rFonts w:asciiTheme="minorHAnsi" w:hAnsiTheme="minorHAnsi"/>
          <w:bCs/>
          <w:noProof/>
          <w:color w:val="000000"/>
          <w:highlight w:val="black"/>
        </w:rPr>
        <w:t>''''''''''''''</w:t>
      </w:r>
      <w:r w:rsidRPr="00F86117">
        <w:rPr>
          <w:rFonts w:asciiTheme="minorHAnsi" w:hAnsiTheme="minorHAnsi"/>
          <w:bCs/>
        </w:rPr>
        <w:t xml:space="preserve">, compared with </w:t>
      </w:r>
      <w:r w:rsidRPr="00F86117">
        <w:t>$</w:t>
      </w:r>
      <w:r w:rsidRPr="001E24E7">
        <w:t>22,169</w:t>
      </w:r>
      <w:r w:rsidRPr="00F86117">
        <w:t xml:space="preserve"> for </w:t>
      </w:r>
      <w:proofErr w:type="spellStart"/>
      <w:r w:rsidRPr="00F86117">
        <w:t>sunitinib</w:t>
      </w:r>
      <w:proofErr w:type="spellEnd"/>
      <w:r w:rsidRPr="00F86117">
        <w:t xml:space="preserve">. The PBAC noted that some of this difference was because treatment is until progression and the submission assumed that </w:t>
      </w:r>
      <w:proofErr w:type="spellStart"/>
      <w:r w:rsidRPr="00F86117">
        <w:t>cabozantinib</w:t>
      </w:r>
      <w:proofErr w:type="spellEnd"/>
      <w:r w:rsidRPr="00F86117">
        <w:t xml:space="preserve"> will be used for a longer duration due to the </w:t>
      </w:r>
      <w:r w:rsidR="00A3265B" w:rsidRPr="00F86117">
        <w:t>estimated</w:t>
      </w:r>
      <w:r w:rsidRPr="00F86117">
        <w:t xml:space="preserve"> increase in PFS. However, the PBAC considered that</w:t>
      </w:r>
      <w:r w:rsidR="00B80425" w:rsidRPr="00F86117">
        <w:t xml:space="preserve"> </w:t>
      </w:r>
      <w:r w:rsidRPr="00F86117">
        <w:t xml:space="preserve">the difference in treatment durations is </w:t>
      </w:r>
      <w:r w:rsidR="00A3265B" w:rsidRPr="00F86117">
        <w:t>difficult to quantify</w:t>
      </w:r>
      <w:r w:rsidRPr="00F86117">
        <w:t xml:space="preserve"> given the uncertain magnitude of PFS benefit</w:t>
      </w:r>
      <w:r w:rsidR="000E6B3B" w:rsidRPr="00F86117">
        <w:t xml:space="preserve">. </w:t>
      </w:r>
    </w:p>
    <w:p w:rsidR="00F76DF6" w:rsidRPr="00F86117" w:rsidRDefault="00722E7E" w:rsidP="0061386A">
      <w:pPr>
        <w:numPr>
          <w:ilvl w:val="1"/>
          <w:numId w:val="2"/>
        </w:numPr>
        <w:spacing w:before="120" w:after="120"/>
        <w:rPr>
          <w:rFonts w:asciiTheme="minorHAnsi" w:hAnsiTheme="minorHAnsi"/>
          <w:bCs/>
        </w:rPr>
      </w:pPr>
      <w:r w:rsidRPr="00F86117">
        <w:rPr>
          <w:rFonts w:asciiTheme="minorHAnsi" w:hAnsiTheme="minorHAnsi"/>
          <w:bCs/>
        </w:rPr>
        <w:t xml:space="preserve">The PBAC considered that the basis for conducting a cost-minimisation </w:t>
      </w:r>
      <w:r w:rsidR="00114552">
        <w:rPr>
          <w:rFonts w:asciiTheme="minorHAnsi" w:hAnsiTheme="minorHAnsi"/>
          <w:bCs/>
        </w:rPr>
        <w:t>analysis versus</w:t>
      </w:r>
      <w:r w:rsidRPr="00F86117">
        <w:rPr>
          <w:rFonts w:asciiTheme="minorHAnsi" w:hAnsiTheme="minorHAnsi"/>
          <w:bCs/>
        </w:rPr>
        <w:t xml:space="preserve"> NIV</w:t>
      </w:r>
      <w:r w:rsidR="00196852" w:rsidRPr="00F86117">
        <w:rPr>
          <w:rFonts w:asciiTheme="minorHAnsi" w:hAnsiTheme="minorHAnsi"/>
          <w:bCs/>
        </w:rPr>
        <w:t>O</w:t>
      </w:r>
      <w:r w:rsidRPr="00F86117">
        <w:rPr>
          <w:rFonts w:asciiTheme="minorHAnsi" w:hAnsiTheme="minorHAnsi"/>
          <w:bCs/>
        </w:rPr>
        <w:t xml:space="preserve">+IPI was not adequately supported by the clinical evidence presented. </w:t>
      </w:r>
      <w:r w:rsidR="00F76DF6" w:rsidRPr="00F86117">
        <w:rPr>
          <w:rFonts w:asciiTheme="minorHAnsi" w:hAnsiTheme="minorHAnsi"/>
          <w:bCs/>
        </w:rPr>
        <w:t xml:space="preserve">The PBAC recalled that the recommendation for NIVO+IPI was based on evidence from a large trial </w:t>
      </w:r>
      <w:r w:rsidR="002D04CE" w:rsidRPr="00F86117">
        <w:rPr>
          <w:rFonts w:asciiTheme="minorHAnsi" w:hAnsiTheme="minorHAnsi"/>
          <w:bCs/>
        </w:rPr>
        <w:t xml:space="preserve">(CheckMate214) </w:t>
      </w:r>
      <w:r w:rsidR="00F76DF6" w:rsidRPr="00F86117">
        <w:rPr>
          <w:rFonts w:asciiTheme="minorHAnsi" w:hAnsiTheme="minorHAnsi"/>
          <w:bCs/>
        </w:rPr>
        <w:t>that provided reasonable certainty of an OS advantage for NIVO+IPI</w:t>
      </w:r>
      <w:r w:rsidR="00B80425" w:rsidRPr="00F86117">
        <w:rPr>
          <w:rFonts w:asciiTheme="minorHAnsi" w:hAnsiTheme="minorHAnsi"/>
          <w:bCs/>
        </w:rPr>
        <w:t xml:space="preserve"> versus </w:t>
      </w:r>
      <w:proofErr w:type="spellStart"/>
      <w:r w:rsidR="00B80425" w:rsidRPr="00F86117">
        <w:rPr>
          <w:rFonts w:asciiTheme="minorHAnsi" w:hAnsiTheme="minorHAnsi"/>
          <w:bCs/>
        </w:rPr>
        <w:t>sunitinib</w:t>
      </w:r>
      <w:proofErr w:type="spellEnd"/>
      <w:r w:rsidR="00F76DF6" w:rsidRPr="00F86117">
        <w:rPr>
          <w:rFonts w:asciiTheme="minorHAnsi" w:hAnsiTheme="minorHAnsi"/>
          <w:bCs/>
        </w:rPr>
        <w:t xml:space="preserve">, whereas there was low confidence in the CABOSUN trial and no demonstrated survival advantage for </w:t>
      </w:r>
      <w:proofErr w:type="spellStart"/>
      <w:r w:rsidR="00F76DF6" w:rsidRPr="00F86117">
        <w:rPr>
          <w:rFonts w:asciiTheme="minorHAnsi" w:hAnsiTheme="minorHAnsi"/>
          <w:bCs/>
        </w:rPr>
        <w:t>cabozantinib</w:t>
      </w:r>
      <w:proofErr w:type="spellEnd"/>
      <w:r w:rsidR="00F76DF6" w:rsidRPr="00F86117">
        <w:rPr>
          <w:rFonts w:asciiTheme="minorHAnsi" w:hAnsiTheme="minorHAnsi"/>
          <w:bCs/>
        </w:rPr>
        <w:t xml:space="preserve"> over </w:t>
      </w:r>
      <w:proofErr w:type="spellStart"/>
      <w:r w:rsidR="00F76DF6" w:rsidRPr="00F86117">
        <w:rPr>
          <w:rFonts w:asciiTheme="minorHAnsi" w:hAnsiTheme="minorHAnsi"/>
          <w:bCs/>
        </w:rPr>
        <w:t>sunitinib</w:t>
      </w:r>
      <w:proofErr w:type="spellEnd"/>
      <w:r w:rsidR="00F76DF6" w:rsidRPr="00F86117">
        <w:rPr>
          <w:rFonts w:asciiTheme="minorHAnsi" w:hAnsiTheme="minorHAnsi"/>
          <w:bCs/>
        </w:rPr>
        <w:t>.</w:t>
      </w:r>
    </w:p>
    <w:p w:rsidR="0057532D" w:rsidRPr="00F86117" w:rsidRDefault="001B5F00" w:rsidP="0061386A">
      <w:pPr>
        <w:numPr>
          <w:ilvl w:val="1"/>
          <w:numId w:val="2"/>
        </w:numPr>
        <w:spacing w:before="120" w:after="120"/>
        <w:rPr>
          <w:rFonts w:asciiTheme="minorHAnsi" w:hAnsiTheme="minorHAnsi"/>
          <w:bCs/>
        </w:rPr>
      </w:pPr>
      <w:r w:rsidRPr="00F86117">
        <w:rPr>
          <w:rFonts w:asciiTheme="minorHAnsi" w:hAnsiTheme="minorHAnsi"/>
          <w:bCs/>
        </w:rPr>
        <w:t xml:space="preserve">The PBAC </w:t>
      </w:r>
      <w:r w:rsidR="00786CEA" w:rsidRPr="00F86117">
        <w:rPr>
          <w:rFonts w:asciiTheme="minorHAnsi" w:hAnsiTheme="minorHAnsi"/>
          <w:bCs/>
        </w:rPr>
        <w:t>considered</w:t>
      </w:r>
      <w:r w:rsidRPr="00F86117">
        <w:rPr>
          <w:rFonts w:asciiTheme="minorHAnsi" w:hAnsiTheme="minorHAnsi"/>
          <w:bCs/>
        </w:rPr>
        <w:t xml:space="preserve"> that the </w:t>
      </w:r>
      <w:r w:rsidR="00B80425" w:rsidRPr="00F86117">
        <w:rPr>
          <w:rFonts w:asciiTheme="minorHAnsi" w:hAnsiTheme="minorHAnsi"/>
          <w:bCs/>
        </w:rPr>
        <w:t>estimated</w:t>
      </w:r>
      <w:r w:rsidRPr="00F86117">
        <w:rPr>
          <w:rFonts w:asciiTheme="minorHAnsi" w:hAnsiTheme="minorHAnsi"/>
          <w:bCs/>
        </w:rPr>
        <w:t xml:space="preserve"> </w:t>
      </w:r>
      <w:r w:rsidR="00196852" w:rsidRPr="00F86117">
        <w:rPr>
          <w:rFonts w:asciiTheme="minorHAnsi" w:hAnsiTheme="minorHAnsi"/>
          <w:bCs/>
        </w:rPr>
        <w:t xml:space="preserve">financial impact </w:t>
      </w:r>
      <w:r w:rsidR="00B80425" w:rsidRPr="00F86117">
        <w:rPr>
          <w:rFonts w:asciiTheme="minorHAnsi" w:hAnsiTheme="minorHAnsi"/>
          <w:bCs/>
        </w:rPr>
        <w:t>of</w:t>
      </w:r>
      <w:r w:rsidR="00196852" w:rsidRPr="00F86117">
        <w:rPr>
          <w:rFonts w:asciiTheme="minorHAnsi" w:hAnsiTheme="minorHAnsi"/>
          <w:bCs/>
        </w:rPr>
        <w:t xml:space="preserve"> listing</w:t>
      </w:r>
      <w:r w:rsidRPr="00F86117">
        <w:rPr>
          <w:rFonts w:asciiTheme="minorHAnsi" w:hAnsiTheme="minorHAnsi"/>
          <w:bCs/>
        </w:rPr>
        <w:t xml:space="preserve"> </w:t>
      </w:r>
      <w:proofErr w:type="spellStart"/>
      <w:r w:rsidRPr="00F86117">
        <w:rPr>
          <w:rFonts w:asciiTheme="minorHAnsi" w:hAnsiTheme="minorHAnsi"/>
          <w:bCs/>
        </w:rPr>
        <w:t>cabozantinib</w:t>
      </w:r>
      <w:proofErr w:type="spellEnd"/>
      <w:r w:rsidRPr="00F86117">
        <w:rPr>
          <w:rFonts w:asciiTheme="minorHAnsi" w:hAnsiTheme="minorHAnsi"/>
          <w:bCs/>
        </w:rPr>
        <w:t xml:space="preserve"> was likely to be overestimated </w:t>
      </w:r>
      <w:r w:rsidR="00F43F90" w:rsidRPr="00F86117">
        <w:rPr>
          <w:rFonts w:asciiTheme="minorHAnsi" w:hAnsiTheme="minorHAnsi"/>
          <w:bCs/>
        </w:rPr>
        <w:t xml:space="preserve">because it was based on the current utilisation of </w:t>
      </w:r>
      <w:proofErr w:type="spellStart"/>
      <w:r w:rsidR="00F43F90" w:rsidRPr="00F86117">
        <w:rPr>
          <w:rFonts w:asciiTheme="minorHAnsi" w:hAnsiTheme="minorHAnsi"/>
          <w:bCs/>
        </w:rPr>
        <w:t>sunitinib</w:t>
      </w:r>
      <w:proofErr w:type="spellEnd"/>
      <w:r w:rsidR="00F43F90" w:rsidRPr="00F86117">
        <w:rPr>
          <w:rFonts w:asciiTheme="minorHAnsi" w:hAnsiTheme="minorHAnsi"/>
          <w:bCs/>
        </w:rPr>
        <w:t xml:space="preserve"> and </w:t>
      </w:r>
      <w:proofErr w:type="spellStart"/>
      <w:r w:rsidR="00F43F90" w:rsidRPr="00F86117">
        <w:rPr>
          <w:rFonts w:asciiTheme="minorHAnsi" w:hAnsiTheme="minorHAnsi"/>
          <w:bCs/>
        </w:rPr>
        <w:t>pazopanib</w:t>
      </w:r>
      <w:proofErr w:type="spellEnd"/>
      <w:r w:rsidR="00F43F90" w:rsidRPr="00F86117">
        <w:rPr>
          <w:rFonts w:asciiTheme="minorHAnsi" w:hAnsiTheme="minorHAnsi"/>
          <w:bCs/>
        </w:rPr>
        <w:t xml:space="preserve"> in patients with favourable to intermediate risk status, who are likely to have a longer treatment duration than patients with intermediate to poor risk status, and because the estimates assumed additional market growth. The PBAC also considered th</w:t>
      </w:r>
      <w:r w:rsidR="00B80425" w:rsidRPr="00F86117">
        <w:rPr>
          <w:rFonts w:asciiTheme="minorHAnsi" w:hAnsiTheme="minorHAnsi"/>
          <w:bCs/>
        </w:rPr>
        <w:t xml:space="preserve">at the assumed </w:t>
      </w:r>
      <w:r w:rsidR="00F43F90" w:rsidRPr="00F86117">
        <w:rPr>
          <w:rFonts w:asciiTheme="minorHAnsi" w:hAnsiTheme="minorHAnsi"/>
          <w:bCs/>
        </w:rPr>
        <w:t xml:space="preserve">uptake </w:t>
      </w:r>
      <w:r w:rsidR="00B80425" w:rsidRPr="00F86117">
        <w:rPr>
          <w:rFonts w:asciiTheme="minorHAnsi" w:hAnsiTheme="minorHAnsi"/>
          <w:bCs/>
        </w:rPr>
        <w:t xml:space="preserve">rates </w:t>
      </w:r>
      <w:r w:rsidR="00F43F90" w:rsidRPr="00F86117">
        <w:rPr>
          <w:rFonts w:asciiTheme="minorHAnsi" w:hAnsiTheme="minorHAnsi"/>
          <w:bCs/>
        </w:rPr>
        <w:t>are</w:t>
      </w:r>
      <w:r w:rsidRPr="00F86117">
        <w:rPr>
          <w:rFonts w:asciiTheme="minorHAnsi" w:hAnsiTheme="minorHAnsi"/>
          <w:bCs/>
        </w:rPr>
        <w:t xml:space="preserve"> unlikely to be realised </w:t>
      </w:r>
      <w:r w:rsidR="00786CEA" w:rsidRPr="00F86117">
        <w:rPr>
          <w:rFonts w:asciiTheme="minorHAnsi" w:hAnsiTheme="minorHAnsi"/>
          <w:bCs/>
        </w:rPr>
        <w:t xml:space="preserve">due to the listing of NIVO+IPI, which would be the preferred first line treatment for most patients. </w:t>
      </w:r>
    </w:p>
    <w:p w:rsidR="00EC7EF3" w:rsidRPr="00F86117" w:rsidRDefault="00E3441A" w:rsidP="0061386A">
      <w:pPr>
        <w:pStyle w:val="ListParagraph"/>
        <w:numPr>
          <w:ilvl w:val="1"/>
          <w:numId w:val="2"/>
        </w:numPr>
        <w:spacing w:before="120"/>
        <w:rPr>
          <w:rFonts w:asciiTheme="minorHAnsi" w:hAnsiTheme="minorHAnsi"/>
          <w:bCs/>
        </w:rPr>
      </w:pPr>
      <w:r w:rsidRPr="00F86117">
        <w:rPr>
          <w:rFonts w:asciiTheme="minorHAnsi" w:hAnsiTheme="minorHAnsi"/>
          <w:bCs/>
        </w:rPr>
        <w:t>The PBAC considered that any resubmission would need to be a maj</w:t>
      </w:r>
      <w:r w:rsidR="00FC0BB9" w:rsidRPr="00F86117">
        <w:rPr>
          <w:rFonts w:asciiTheme="minorHAnsi" w:hAnsiTheme="minorHAnsi"/>
          <w:bCs/>
        </w:rPr>
        <w:t>or submission</w:t>
      </w:r>
      <w:r w:rsidR="00F31195" w:rsidRPr="00F86117">
        <w:rPr>
          <w:rFonts w:asciiTheme="minorHAnsi" w:hAnsiTheme="minorHAnsi"/>
          <w:bCs/>
        </w:rPr>
        <w:t xml:space="preserve">. The PBAC </w:t>
      </w:r>
      <w:r w:rsidR="000E6B3B" w:rsidRPr="00F86117">
        <w:rPr>
          <w:rFonts w:asciiTheme="minorHAnsi" w:hAnsiTheme="minorHAnsi"/>
          <w:bCs/>
        </w:rPr>
        <w:t xml:space="preserve">considered </w:t>
      </w:r>
      <w:r w:rsidR="00F31195" w:rsidRPr="00F86117">
        <w:rPr>
          <w:rFonts w:asciiTheme="minorHAnsi" w:hAnsiTheme="minorHAnsi"/>
          <w:bCs/>
        </w:rPr>
        <w:t>that, given the uncertain an</w:t>
      </w:r>
      <w:r w:rsidR="00EC7EF3" w:rsidRPr="00F86117">
        <w:rPr>
          <w:rFonts w:asciiTheme="minorHAnsi" w:hAnsiTheme="minorHAnsi"/>
          <w:bCs/>
        </w:rPr>
        <w:t>d</w:t>
      </w:r>
      <w:r w:rsidR="00F31195" w:rsidRPr="00F86117">
        <w:rPr>
          <w:rFonts w:asciiTheme="minorHAnsi" w:hAnsiTheme="minorHAnsi"/>
          <w:bCs/>
        </w:rPr>
        <w:t xml:space="preserve"> likely small increase in PFS versus </w:t>
      </w:r>
      <w:proofErr w:type="spellStart"/>
      <w:r w:rsidR="00F31195" w:rsidRPr="00F86117">
        <w:rPr>
          <w:rFonts w:asciiTheme="minorHAnsi" w:hAnsiTheme="minorHAnsi"/>
          <w:bCs/>
        </w:rPr>
        <w:t>sunitinib</w:t>
      </w:r>
      <w:proofErr w:type="spellEnd"/>
      <w:r w:rsidR="00F31195" w:rsidRPr="00F86117">
        <w:rPr>
          <w:rFonts w:asciiTheme="minorHAnsi" w:hAnsiTheme="minorHAnsi"/>
          <w:bCs/>
        </w:rPr>
        <w:t xml:space="preserve">, an alternative approach </w:t>
      </w:r>
      <w:r w:rsidR="008E5572" w:rsidRPr="00F86117">
        <w:rPr>
          <w:rFonts w:asciiTheme="minorHAnsi" w:hAnsiTheme="minorHAnsi"/>
          <w:bCs/>
        </w:rPr>
        <w:t>could</w:t>
      </w:r>
      <w:r w:rsidR="00F31195" w:rsidRPr="00F86117">
        <w:rPr>
          <w:rFonts w:asciiTheme="minorHAnsi" w:hAnsiTheme="minorHAnsi"/>
          <w:bCs/>
        </w:rPr>
        <w:t xml:space="preserve"> be a CMA versus </w:t>
      </w:r>
      <w:proofErr w:type="spellStart"/>
      <w:r w:rsidR="00F31195" w:rsidRPr="00F86117">
        <w:rPr>
          <w:rFonts w:asciiTheme="minorHAnsi" w:hAnsiTheme="minorHAnsi"/>
          <w:bCs/>
        </w:rPr>
        <w:t>sunitinib</w:t>
      </w:r>
      <w:proofErr w:type="spellEnd"/>
      <w:r w:rsidR="004F3753" w:rsidRPr="00F86117">
        <w:rPr>
          <w:rFonts w:asciiTheme="minorHAnsi" w:hAnsiTheme="minorHAnsi"/>
          <w:bCs/>
        </w:rPr>
        <w:t xml:space="preserve">. </w:t>
      </w:r>
      <w:r w:rsidR="000E6B3B" w:rsidRPr="00F86117">
        <w:rPr>
          <w:rFonts w:asciiTheme="minorHAnsi" w:hAnsiTheme="minorHAnsi"/>
          <w:bCs/>
        </w:rPr>
        <w:t>A resubmission would also need to address the issues raised in Section 6 regarding the financial estimates.</w:t>
      </w:r>
      <w:r w:rsidR="00EC7EF3" w:rsidRPr="00F86117">
        <w:rPr>
          <w:rFonts w:asciiTheme="minorHAnsi" w:hAnsiTheme="minorHAnsi"/>
          <w:bCs/>
        </w:rPr>
        <w:t xml:space="preserve"> </w:t>
      </w:r>
    </w:p>
    <w:p w:rsidR="00FC0BB9" w:rsidRPr="00F86117" w:rsidRDefault="00FC0BB9" w:rsidP="0061386A">
      <w:pPr>
        <w:numPr>
          <w:ilvl w:val="1"/>
          <w:numId w:val="2"/>
        </w:numPr>
        <w:spacing w:before="120" w:after="120"/>
      </w:pPr>
      <w:r w:rsidRPr="00F86117">
        <w:rPr>
          <w:rFonts w:asciiTheme="minorHAnsi" w:hAnsiTheme="minorHAnsi"/>
          <w:bCs/>
        </w:rPr>
        <w:t xml:space="preserve">The PBAC considered there may also be a clinical role for </w:t>
      </w:r>
      <w:proofErr w:type="spellStart"/>
      <w:r w:rsidRPr="00F86117">
        <w:rPr>
          <w:rFonts w:asciiTheme="minorHAnsi" w:hAnsiTheme="minorHAnsi"/>
          <w:bCs/>
        </w:rPr>
        <w:t>cabozantinib</w:t>
      </w:r>
      <w:proofErr w:type="spellEnd"/>
      <w:r w:rsidRPr="00F86117">
        <w:rPr>
          <w:rFonts w:asciiTheme="minorHAnsi" w:hAnsiTheme="minorHAnsi"/>
          <w:bCs/>
        </w:rPr>
        <w:t xml:space="preserve"> in the second-line setting following NIVO+IPI </w:t>
      </w:r>
      <w:r w:rsidR="00A91264" w:rsidRPr="00F86117">
        <w:rPr>
          <w:rFonts w:asciiTheme="minorHAnsi" w:hAnsiTheme="minorHAnsi"/>
          <w:bCs/>
        </w:rPr>
        <w:t xml:space="preserve">(i.e. </w:t>
      </w:r>
      <w:r w:rsidR="00B80425" w:rsidRPr="00F86117">
        <w:rPr>
          <w:rFonts w:asciiTheme="minorHAnsi" w:hAnsiTheme="minorHAnsi"/>
          <w:bCs/>
        </w:rPr>
        <w:t>removing the requirement in the existing listing for use to be</w:t>
      </w:r>
      <w:r w:rsidR="00A91264" w:rsidRPr="00F86117">
        <w:rPr>
          <w:rFonts w:asciiTheme="minorHAnsi" w:hAnsiTheme="minorHAnsi"/>
          <w:bCs/>
        </w:rPr>
        <w:t xml:space="preserve"> post-TKI) </w:t>
      </w:r>
      <w:r w:rsidRPr="00F86117">
        <w:rPr>
          <w:rFonts w:asciiTheme="minorHAnsi" w:hAnsiTheme="minorHAnsi"/>
          <w:bCs/>
        </w:rPr>
        <w:t xml:space="preserve">but noted that no evidence was presented for use of </w:t>
      </w:r>
      <w:proofErr w:type="spellStart"/>
      <w:r w:rsidRPr="00F86117">
        <w:rPr>
          <w:rFonts w:asciiTheme="minorHAnsi" w:hAnsiTheme="minorHAnsi"/>
          <w:bCs/>
        </w:rPr>
        <w:t>cabozantinib</w:t>
      </w:r>
      <w:proofErr w:type="spellEnd"/>
      <w:r w:rsidRPr="00F86117">
        <w:rPr>
          <w:rFonts w:asciiTheme="minorHAnsi" w:hAnsiTheme="minorHAnsi"/>
          <w:bCs/>
        </w:rPr>
        <w:t xml:space="preserve"> in this setting. Given</w:t>
      </w:r>
      <w:r w:rsidRPr="00F86117">
        <w:t xml:space="preserve"> the small and uncertain PFS benefit and the absence of a demonstrated OS benefit or improvement in </w:t>
      </w:r>
      <w:proofErr w:type="spellStart"/>
      <w:r w:rsidRPr="00F86117">
        <w:t>QoL</w:t>
      </w:r>
      <w:proofErr w:type="spellEnd"/>
      <w:r w:rsidRPr="00F86117">
        <w:t xml:space="preserve"> for </w:t>
      </w:r>
      <w:proofErr w:type="spellStart"/>
      <w:r w:rsidRPr="00F86117">
        <w:t>cabozantinib</w:t>
      </w:r>
      <w:proofErr w:type="spellEnd"/>
      <w:r w:rsidRPr="00F86117">
        <w:t xml:space="preserve"> versus </w:t>
      </w:r>
      <w:proofErr w:type="spellStart"/>
      <w:r w:rsidRPr="00F86117">
        <w:t>sunitinib</w:t>
      </w:r>
      <w:proofErr w:type="spellEnd"/>
      <w:r w:rsidRPr="00F86117">
        <w:t xml:space="preserve"> in the first-line setting, the PBAC considered that any future submission requesting use in a broader setting (e.g. a “line agnostic” listing) would need to be based on conservative assumptions. In settings where there is no </w:t>
      </w:r>
      <w:r w:rsidR="000E6B3B" w:rsidRPr="00F86117">
        <w:t xml:space="preserve">RCT </w:t>
      </w:r>
      <w:r w:rsidRPr="00F86117">
        <w:t xml:space="preserve">evidence of superiority, the PBAC considered that a higher cost for </w:t>
      </w:r>
      <w:proofErr w:type="spellStart"/>
      <w:r w:rsidRPr="00F86117">
        <w:t>cabozantinib</w:t>
      </w:r>
      <w:proofErr w:type="spellEnd"/>
      <w:r w:rsidRPr="00F86117">
        <w:t xml:space="preserve"> versus </w:t>
      </w:r>
      <w:proofErr w:type="spellStart"/>
      <w:r w:rsidRPr="00F86117">
        <w:t>sunitinib</w:t>
      </w:r>
      <w:proofErr w:type="spellEnd"/>
      <w:r w:rsidRPr="00F86117">
        <w:t xml:space="preserve"> </w:t>
      </w:r>
      <w:r w:rsidR="003D5759">
        <w:t>may</w:t>
      </w:r>
      <w:r w:rsidRPr="00F86117">
        <w:t xml:space="preserve"> be difficult to justify.</w:t>
      </w:r>
      <w:r w:rsidR="00F31195" w:rsidRPr="00F86117">
        <w:t xml:space="preserve"> The PBAC noted that this may result in a weighted price, reflecting the different levels of evidence and benefits in the different settings.</w:t>
      </w:r>
    </w:p>
    <w:p w:rsidR="0057532D" w:rsidRPr="00F86117" w:rsidRDefault="00A72B69" w:rsidP="0061386A">
      <w:pPr>
        <w:numPr>
          <w:ilvl w:val="1"/>
          <w:numId w:val="2"/>
        </w:numPr>
        <w:spacing w:before="120" w:after="120"/>
        <w:rPr>
          <w:rFonts w:asciiTheme="minorHAnsi" w:hAnsiTheme="minorHAnsi"/>
          <w:bCs/>
        </w:rPr>
      </w:pPr>
      <w:r w:rsidRPr="00F86117">
        <w:rPr>
          <w:rFonts w:asciiTheme="minorHAnsi" w:hAnsiTheme="minorHAnsi"/>
          <w:bCs/>
        </w:rPr>
        <w:t xml:space="preserve">The PBAC noted that this submission is eligible for an Independent Review. </w:t>
      </w:r>
    </w:p>
    <w:p w:rsidR="00A72B69" w:rsidRPr="00F86117" w:rsidRDefault="00A72B69" w:rsidP="0061386A">
      <w:pPr>
        <w:spacing w:before="120" w:after="120"/>
        <w:rPr>
          <w:rFonts w:asciiTheme="minorHAnsi" w:hAnsiTheme="minorHAnsi"/>
          <w:b/>
          <w:bCs/>
        </w:rPr>
      </w:pPr>
      <w:r w:rsidRPr="00F86117">
        <w:rPr>
          <w:rFonts w:asciiTheme="minorHAnsi" w:hAnsiTheme="minorHAnsi"/>
          <w:b/>
          <w:bCs/>
        </w:rPr>
        <w:t>Outcome:</w:t>
      </w:r>
    </w:p>
    <w:p w:rsidR="00A72B69" w:rsidRPr="00F86117" w:rsidRDefault="00A72B69" w:rsidP="0061386A">
      <w:pPr>
        <w:spacing w:before="120" w:after="120"/>
        <w:rPr>
          <w:rFonts w:asciiTheme="minorHAnsi" w:hAnsiTheme="minorHAnsi"/>
          <w:bCs/>
        </w:rPr>
      </w:pPr>
      <w:r w:rsidRPr="00F86117">
        <w:rPr>
          <w:rFonts w:asciiTheme="minorHAnsi" w:hAnsiTheme="minorHAnsi"/>
          <w:bCs/>
        </w:rPr>
        <w:t>Rejected</w:t>
      </w:r>
    </w:p>
    <w:p w:rsidR="00F20CB1" w:rsidRPr="00C07617" w:rsidRDefault="00F20CB1" w:rsidP="0061386A">
      <w:pPr>
        <w:pStyle w:val="Heading1"/>
        <w:spacing w:before="120"/>
        <w:rPr>
          <w:rFonts w:asciiTheme="minorHAnsi" w:hAnsiTheme="minorHAnsi"/>
          <w:b w:val="0"/>
        </w:rPr>
      </w:pPr>
      <w:r w:rsidRPr="00C07617">
        <w:rPr>
          <w:rFonts w:asciiTheme="minorHAnsi" w:hAnsiTheme="minorHAnsi"/>
        </w:rPr>
        <w:lastRenderedPageBreak/>
        <w:t>Context for Decision</w:t>
      </w:r>
    </w:p>
    <w:p w:rsidR="00F20CB1" w:rsidRPr="00C07617" w:rsidRDefault="00F20CB1" w:rsidP="0061386A">
      <w:pPr>
        <w:spacing w:before="120" w:after="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20CB1" w:rsidRPr="00C07617" w:rsidRDefault="00F20CB1" w:rsidP="0061386A">
      <w:pPr>
        <w:pStyle w:val="Heading1"/>
        <w:spacing w:before="120"/>
        <w:rPr>
          <w:rFonts w:asciiTheme="minorHAnsi" w:hAnsiTheme="minorHAnsi"/>
          <w:b w:val="0"/>
        </w:rPr>
      </w:pPr>
      <w:r>
        <w:rPr>
          <w:rFonts w:asciiTheme="minorHAnsi" w:hAnsiTheme="minorHAnsi"/>
        </w:rPr>
        <w:t>Sponsor’s Comment</w:t>
      </w:r>
    </w:p>
    <w:p w:rsidR="00BB433C" w:rsidRPr="0059097E" w:rsidRDefault="00F20CB1" w:rsidP="0061386A">
      <w:pPr>
        <w:spacing w:before="120" w:after="120"/>
        <w:ind w:left="709"/>
        <w:rPr>
          <w:rFonts w:asciiTheme="minorHAnsi" w:hAnsiTheme="minorHAnsi"/>
          <w:bCs/>
        </w:rPr>
      </w:pPr>
      <w:r w:rsidRPr="00C07617">
        <w:rPr>
          <w:rFonts w:asciiTheme="minorHAnsi" w:hAnsiTheme="minorHAnsi"/>
          <w:bCs/>
        </w:rPr>
        <w:t>The sponsor had no comment.</w:t>
      </w:r>
    </w:p>
    <w:sectPr w:rsidR="00BB433C" w:rsidRPr="0059097E" w:rsidSect="00E21358">
      <w:headerReference w:type="default" r:id="rId12"/>
      <w:footerReference w:type="default" r:id="rId13"/>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D30F8" w16cid:durableId="205E38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86A" w:rsidRDefault="0061386A" w:rsidP="00124A51">
      <w:r>
        <w:separator/>
      </w:r>
    </w:p>
    <w:p w:rsidR="0061386A" w:rsidRDefault="0061386A"/>
  </w:endnote>
  <w:endnote w:type="continuationSeparator" w:id="0">
    <w:p w:rsidR="0061386A" w:rsidRDefault="0061386A" w:rsidP="00124A51">
      <w:r>
        <w:continuationSeparator/>
      </w:r>
    </w:p>
    <w:p w:rsidR="0061386A" w:rsidRDefault="00613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abon">
    <w:altName w:val="Times New Roman"/>
    <w:charset w:val="00"/>
    <w:family w:val="roman"/>
    <w:pitch w:val="variable"/>
    <w:sig w:usb0="00000001"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OTNEJMScalaSansLF">
    <w:altName w:val="Yu Gothic"/>
    <w:panose1 w:val="00000000000000000000"/>
    <w:charset w:val="86"/>
    <w:family w:val="swiss"/>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86A" w:rsidRPr="009903D2" w:rsidRDefault="0061386A" w:rsidP="004D3C0E">
    <w:pPr>
      <w:pStyle w:val="Footer"/>
      <w:jc w:val="center"/>
      <w:rPr>
        <w:b/>
        <w:szCs w:val="24"/>
      </w:rPr>
    </w:pPr>
    <w:r w:rsidRPr="009903D2">
      <w:rPr>
        <w:b/>
        <w:szCs w:val="24"/>
      </w:rPr>
      <w:fldChar w:fldCharType="begin"/>
    </w:r>
    <w:r w:rsidRPr="009903D2">
      <w:rPr>
        <w:b/>
        <w:szCs w:val="24"/>
      </w:rPr>
      <w:instrText xml:space="preserve"> PAGE   \* MERGEFORMAT </w:instrText>
    </w:r>
    <w:r w:rsidRPr="009903D2">
      <w:rPr>
        <w:b/>
        <w:szCs w:val="24"/>
      </w:rPr>
      <w:fldChar w:fldCharType="separate"/>
    </w:r>
    <w:r w:rsidR="00707E52">
      <w:rPr>
        <w:b/>
        <w:noProof/>
        <w:szCs w:val="24"/>
      </w:rPr>
      <w:t>35</w:t>
    </w:r>
    <w:r w:rsidRPr="009903D2">
      <w:rPr>
        <w:b/>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86A" w:rsidRDefault="0061386A" w:rsidP="00124A51">
      <w:r>
        <w:separator/>
      </w:r>
    </w:p>
    <w:p w:rsidR="0061386A" w:rsidRDefault="0061386A"/>
  </w:footnote>
  <w:footnote w:type="continuationSeparator" w:id="0">
    <w:p w:rsidR="0061386A" w:rsidRDefault="0061386A" w:rsidP="00124A51">
      <w:r>
        <w:continuationSeparator/>
      </w:r>
    </w:p>
    <w:p w:rsidR="0061386A" w:rsidRDefault="0061386A"/>
  </w:footnote>
  <w:footnote w:id="1">
    <w:p w:rsidR="0061386A" w:rsidRDefault="0061386A">
      <w:pPr>
        <w:pStyle w:val="FootnoteText"/>
      </w:pPr>
      <w:r>
        <w:rPr>
          <w:rStyle w:val="FootnoteReference"/>
        </w:rPr>
        <w:footnoteRef/>
      </w:r>
      <w:r>
        <w:t xml:space="preserve"> </w:t>
      </w:r>
      <w:proofErr w:type="spellStart"/>
      <w:r>
        <w:t>Rini</w:t>
      </w:r>
      <w:proofErr w:type="spellEnd"/>
      <w:r>
        <w:t xml:space="preserve">, </w:t>
      </w:r>
      <w:proofErr w:type="spellStart"/>
      <w:r>
        <w:t>B.i</w:t>
      </w:r>
      <w:proofErr w:type="spellEnd"/>
      <w:r>
        <w:t xml:space="preserve">., </w:t>
      </w:r>
      <w:proofErr w:type="spellStart"/>
      <w:r>
        <w:t>Plimack</w:t>
      </w:r>
      <w:proofErr w:type="spellEnd"/>
      <w:r>
        <w:t xml:space="preserve">, E.R., </w:t>
      </w:r>
      <w:proofErr w:type="spellStart"/>
      <w:r>
        <w:t>Stus</w:t>
      </w:r>
      <w:proofErr w:type="spellEnd"/>
      <w:r>
        <w:t xml:space="preserve">, V. et al </w:t>
      </w:r>
      <w:proofErr w:type="spellStart"/>
      <w:r>
        <w:t>Pembrolizumab</w:t>
      </w:r>
      <w:proofErr w:type="spellEnd"/>
      <w:r>
        <w:t xml:space="preserve"> plus </w:t>
      </w:r>
      <w:proofErr w:type="spellStart"/>
      <w:r>
        <w:t>Axitinib</w:t>
      </w:r>
      <w:proofErr w:type="spellEnd"/>
      <w:r>
        <w:t xml:space="preserve"> versus </w:t>
      </w:r>
      <w:proofErr w:type="spellStart"/>
      <w:r>
        <w:t>Sunitinib</w:t>
      </w:r>
      <w:proofErr w:type="spellEnd"/>
      <w:r>
        <w:t xml:space="preserve"> for Advanced Renal Cell Carcinoma. NEJM February 16 2019.</w:t>
      </w:r>
    </w:p>
  </w:footnote>
  <w:footnote w:id="2">
    <w:p w:rsidR="0061386A" w:rsidRDefault="0061386A">
      <w:pPr>
        <w:pStyle w:val="FootnoteText"/>
      </w:pPr>
      <w:r>
        <w:rPr>
          <w:rStyle w:val="FootnoteReference"/>
        </w:rPr>
        <w:footnoteRef/>
      </w:r>
      <w:r>
        <w:t xml:space="preserve"> Motzer, R.J., </w:t>
      </w:r>
      <w:proofErr w:type="spellStart"/>
      <w:r>
        <w:t>Penkov</w:t>
      </w:r>
      <w:proofErr w:type="spellEnd"/>
      <w:r>
        <w:t xml:space="preserve">, K., </w:t>
      </w:r>
      <w:proofErr w:type="spellStart"/>
      <w:r>
        <w:t>Haanen</w:t>
      </w:r>
      <w:proofErr w:type="spellEnd"/>
      <w:r>
        <w:t xml:space="preserve">, J. et al </w:t>
      </w:r>
      <w:proofErr w:type="spellStart"/>
      <w:r>
        <w:rPr>
          <w:rStyle w:val="titledefault"/>
          <w:color w:val="1A1A1A"/>
          <w:lang w:val="en"/>
        </w:rPr>
        <w:t>Avelumab</w:t>
      </w:r>
      <w:proofErr w:type="spellEnd"/>
      <w:r>
        <w:rPr>
          <w:rStyle w:val="titledefault"/>
          <w:color w:val="1A1A1A"/>
          <w:lang w:val="en"/>
        </w:rPr>
        <w:t xml:space="preserve"> plus </w:t>
      </w:r>
      <w:proofErr w:type="spellStart"/>
      <w:r>
        <w:rPr>
          <w:rStyle w:val="titledefault"/>
          <w:color w:val="1A1A1A"/>
          <w:lang w:val="en"/>
        </w:rPr>
        <w:t>Axitinib</w:t>
      </w:r>
      <w:proofErr w:type="spellEnd"/>
      <w:r>
        <w:rPr>
          <w:rStyle w:val="titledefault"/>
          <w:color w:val="1A1A1A"/>
          <w:lang w:val="en"/>
        </w:rPr>
        <w:t xml:space="preserve"> versus </w:t>
      </w:r>
      <w:proofErr w:type="spellStart"/>
      <w:r>
        <w:rPr>
          <w:rStyle w:val="titledefault"/>
          <w:color w:val="1A1A1A"/>
          <w:lang w:val="en"/>
        </w:rPr>
        <w:t>Sunitinib</w:t>
      </w:r>
      <w:proofErr w:type="spellEnd"/>
      <w:r>
        <w:rPr>
          <w:rStyle w:val="titledefault"/>
          <w:color w:val="1A1A1A"/>
          <w:lang w:val="en"/>
        </w:rPr>
        <w:t xml:space="preserve"> for Advanced Renal-Cell Carcinoma. NEJM February 16 2019.</w:t>
      </w:r>
    </w:p>
  </w:footnote>
  <w:footnote w:id="3">
    <w:p w:rsidR="0061386A" w:rsidRDefault="0061386A">
      <w:pPr>
        <w:pStyle w:val="FootnoteText"/>
      </w:pPr>
      <w:r>
        <w:rPr>
          <w:rStyle w:val="FootnoteReference"/>
        </w:rPr>
        <w:footnoteRef/>
      </w:r>
      <w:r>
        <w:t xml:space="preserve"> Motzer, R.J., Powles, T., Atkins, M.B. et al. IMmotion151: A Randomized Phase III Study of </w:t>
      </w:r>
      <w:proofErr w:type="spellStart"/>
      <w:r>
        <w:t>Atezolizumab</w:t>
      </w:r>
      <w:proofErr w:type="spellEnd"/>
      <w:r>
        <w:t xml:space="preserve"> </w:t>
      </w:r>
      <w:proofErr w:type="gramStart"/>
      <w:r>
        <w:t>Plus</w:t>
      </w:r>
      <w:proofErr w:type="gramEnd"/>
      <w:r>
        <w:t xml:space="preserve"> Bevacizumab vs </w:t>
      </w:r>
      <w:proofErr w:type="spellStart"/>
      <w:r>
        <w:t>Sunitinib</w:t>
      </w:r>
      <w:proofErr w:type="spellEnd"/>
      <w:r>
        <w:t xml:space="preserve"> in Untreated Metastatic Renal Cell Carcinoma (</w:t>
      </w:r>
      <w:proofErr w:type="spellStart"/>
      <w:r>
        <w:t>mRCC</w:t>
      </w:r>
      <w:proofErr w:type="spellEnd"/>
      <w:r>
        <w:t xml:space="preserve">). Journal of </w:t>
      </w:r>
      <w:proofErr w:type="spellStart"/>
      <w:r>
        <w:t>Clinincal</w:t>
      </w:r>
      <w:proofErr w:type="spellEnd"/>
      <w:r>
        <w:t xml:space="preserve"> Oncology 2018 36:6_suppl, 578-578.</w:t>
      </w:r>
    </w:p>
  </w:footnote>
  <w:footnote w:id="4">
    <w:p w:rsidR="0061386A" w:rsidRDefault="0061386A">
      <w:pPr>
        <w:pStyle w:val="FootnoteText"/>
      </w:pPr>
      <w:r>
        <w:rPr>
          <w:rStyle w:val="FootnoteReference"/>
        </w:rPr>
        <w:footnoteRef/>
      </w:r>
      <w:r>
        <w:t xml:space="preserve"> </w:t>
      </w:r>
      <w:proofErr w:type="spellStart"/>
      <w:r w:rsidRPr="00525B39">
        <w:rPr>
          <w:bCs/>
          <w:sz w:val="16"/>
        </w:rPr>
        <w:t>Cherny</w:t>
      </w:r>
      <w:proofErr w:type="spellEnd"/>
      <w:r w:rsidRPr="00525B39">
        <w:rPr>
          <w:bCs/>
          <w:sz w:val="16"/>
        </w:rPr>
        <w:t xml:space="preserve"> NI, Dafni U, </w:t>
      </w:r>
      <w:proofErr w:type="spellStart"/>
      <w:r w:rsidRPr="00525B39">
        <w:rPr>
          <w:bCs/>
          <w:sz w:val="16"/>
        </w:rPr>
        <w:t>Bogaerts</w:t>
      </w:r>
      <w:proofErr w:type="spellEnd"/>
      <w:r w:rsidRPr="00525B39">
        <w:rPr>
          <w:bCs/>
          <w:sz w:val="16"/>
        </w:rPr>
        <w:t xml:space="preserve">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86A" w:rsidRDefault="0061386A" w:rsidP="00DA44F8">
    <w:pPr>
      <w:pStyle w:val="Header"/>
      <w:ind w:left="360"/>
      <w:jc w:val="center"/>
      <w:rPr>
        <w:rFonts w:asciiTheme="minorHAnsi" w:hAnsiTheme="minorHAnsi"/>
        <w:i/>
        <w:color w:val="808080"/>
        <w:szCs w:val="24"/>
      </w:rPr>
    </w:pPr>
    <w:r>
      <w:rPr>
        <w:rFonts w:asciiTheme="minorHAnsi" w:hAnsiTheme="minorHAnsi"/>
        <w:i/>
        <w:color w:val="808080"/>
        <w:szCs w:val="24"/>
      </w:rPr>
      <w:t>Public Summary Document</w:t>
    </w:r>
    <w:r w:rsidRPr="009903D2">
      <w:rPr>
        <w:rFonts w:asciiTheme="minorHAnsi" w:hAnsiTheme="minorHAnsi"/>
        <w:i/>
        <w:color w:val="808080"/>
        <w:szCs w:val="24"/>
      </w:rPr>
      <w:t xml:space="preserve"> – March 2019 PBAC Meeting</w:t>
    </w:r>
  </w:p>
  <w:p w:rsidR="0061386A" w:rsidRPr="009903D2" w:rsidRDefault="0061386A" w:rsidP="00DA44F8">
    <w:pPr>
      <w:pStyle w:val="Header"/>
      <w:ind w:left="360"/>
      <w:jc w:val="center"/>
      <w:rPr>
        <w:rFonts w:asciiTheme="minorHAnsi" w:hAnsiTheme="minorHAnsi"/>
        <w:i/>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39D4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0B6ECC"/>
    <w:multiLevelType w:val="hybridMultilevel"/>
    <w:tmpl w:val="8D0810F4"/>
    <w:lvl w:ilvl="0" w:tplc="7B6E8760">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BF222BCA">
      <w:numFmt w:val="bullet"/>
      <w:lvlText w:val="•"/>
      <w:lvlJc w:val="left"/>
      <w:pPr>
        <w:ind w:left="3240" w:hanging="720"/>
      </w:pPr>
      <w:rPr>
        <w:rFonts w:ascii="Calibri" w:eastAsiaTheme="majorEastAsia" w:hAnsi="Calibri" w:cs="Calibri"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37EE1"/>
    <w:multiLevelType w:val="hybridMultilevel"/>
    <w:tmpl w:val="A92A3842"/>
    <w:lvl w:ilvl="0" w:tplc="A894BAB8">
      <w:start w:val="1"/>
      <w:numFmt w:val="bullet"/>
      <w:lvlText w:val="•"/>
      <w:lvlJc w:val="left"/>
      <w:pPr>
        <w:tabs>
          <w:tab w:val="num" w:pos="720"/>
        </w:tabs>
        <w:ind w:left="720" w:hanging="360"/>
      </w:pPr>
      <w:rPr>
        <w:rFonts w:ascii="Arial" w:hAnsi="Arial" w:hint="default"/>
      </w:rPr>
    </w:lvl>
    <w:lvl w:ilvl="1" w:tplc="B4C0B5EA">
      <w:start w:val="149"/>
      <w:numFmt w:val="bullet"/>
      <w:lvlText w:val="–"/>
      <w:lvlJc w:val="left"/>
      <w:pPr>
        <w:tabs>
          <w:tab w:val="num" w:pos="1440"/>
        </w:tabs>
        <w:ind w:left="1440" w:hanging="360"/>
      </w:pPr>
      <w:rPr>
        <w:rFonts w:ascii="Arial" w:hAnsi="Arial" w:hint="default"/>
      </w:rPr>
    </w:lvl>
    <w:lvl w:ilvl="2" w:tplc="53B84424" w:tentative="1">
      <w:start w:val="1"/>
      <w:numFmt w:val="bullet"/>
      <w:lvlText w:val="•"/>
      <w:lvlJc w:val="left"/>
      <w:pPr>
        <w:tabs>
          <w:tab w:val="num" w:pos="2160"/>
        </w:tabs>
        <w:ind w:left="2160" w:hanging="360"/>
      </w:pPr>
      <w:rPr>
        <w:rFonts w:ascii="Arial" w:hAnsi="Arial" w:hint="default"/>
      </w:rPr>
    </w:lvl>
    <w:lvl w:ilvl="3" w:tplc="95127BDE" w:tentative="1">
      <w:start w:val="1"/>
      <w:numFmt w:val="bullet"/>
      <w:lvlText w:val="•"/>
      <w:lvlJc w:val="left"/>
      <w:pPr>
        <w:tabs>
          <w:tab w:val="num" w:pos="2880"/>
        </w:tabs>
        <w:ind w:left="2880" w:hanging="360"/>
      </w:pPr>
      <w:rPr>
        <w:rFonts w:ascii="Arial" w:hAnsi="Arial" w:hint="default"/>
      </w:rPr>
    </w:lvl>
    <w:lvl w:ilvl="4" w:tplc="963CE35E" w:tentative="1">
      <w:start w:val="1"/>
      <w:numFmt w:val="bullet"/>
      <w:lvlText w:val="•"/>
      <w:lvlJc w:val="left"/>
      <w:pPr>
        <w:tabs>
          <w:tab w:val="num" w:pos="3600"/>
        </w:tabs>
        <w:ind w:left="3600" w:hanging="360"/>
      </w:pPr>
      <w:rPr>
        <w:rFonts w:ascii="Arial" w:hAnsi="Arial" w:hint="default"/>
      </w:rPr>
    </w:lvl>
    <w:lvl w:ilvl="5" w:tplc="1F9E4F5C" w:tentative="1">
      <w:start w:val="1"/>
      <w:numFmt w:val="bullet"/>
      <w:lvlText w:val="•"/>
      <w:lvlJc w:val="left"/>
      <w:pPr>
        <w:tabs>
          <w:tab w:val="num" w:pos="4320"/>
        </w:tabs>
        <w:ind w:left="4320" w:hanging="360"/>
      </w:pPr>
      <w:rPr>
        <w:rFonts w:ascii="Arial" w:hAnsi="Arial" w:hint="default"/>
      </w:rPr>
    </w:lvl>
    <w:lvl w:ilvl="6" w:tplc="F5C4147A" w:tentative="1">
      <w:start w:val="1"/>
      <w:numFmt w:val="bullet"/>
      <w:lvlText w:val="•"/>
      <w:lvlJc w:val="left"/>
      <w:pPr>
        <w:tabs>
          <w:tab w:val="num" w:pos="5040"/>
        </w:tabs>
        <w:ind w:left="5040" w:hanging="360"/>
      </w:pPr>
      <w:rPr>
        <w:rFonts w:ascii="Arial" w:hAnsi="Arial" w:hint="default"/>
      </w:rPr>
    </w:lvl>
    <w:lvl w:ilvl="7" w:tplc="D632EC8A" w:tentative="1">
      <w:start w:val="1"/>
      <w:numFmt w:val="bullet"/>
      <w:lvlText w:val="•"/>
      <w:lvlJc w:val="left"/>
      <w:pPr>
        <w:tabs>
          <w:tab w:val="num" w:pos="5760"/>
        </w:tabs>
        <w:ind w:left="5760" w:hanging="360"/>
      </w:pPr>
      <w:rPr>
        <w:rFonts w:ascii="Arial" w:hAnsi="Arial" w:hint="default"/>
      </w:rPr>
    </w:lvl>
    <w:lvl w:ilvl="8" w:tplc="F60007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C6583C"/>
    <w:multiLevelType w:val="hybridMultilevel"/>
    <w:tmpl w:val="36582966"/>
    <w:lvl w:ilvl="0" w:tplc="7ED430E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8170D2"/>
    <w:multiLevelType w:val="hybridMultilevel"/>
    <w:tmpl w:val="B9767258"/>
    <w:lvl w:ilvl="0" w:tplc="839EC114">
      <w:start w:val="4"/>
      <w:numFmt w:val="bullet"/>
      <w:lvlText w:val="-"/>
      <w:lvlJc w:val="left"/>
      <w:pPr>
        <w:ind w:left="1800" w:hanging="360"/>
      </w:pPr>
      <w:rPr>
        <w:rFonts w:ascii="Calibri" w:eastAsia="Times New Roman"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927641F"/>
    <w:multiLevelType w:val="hybridMultilevel"/>
    <w:tmpl w:val="719045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EF94F9A"/>
    <w:multiLevelType w:val="hybridMultilevel"/>
    <w:tmpl w:val="2B7C7C6A"/>
    <w:lvl w:ilvl="0" w:tplc="933A9118">
      <w:start w:val="1"/>
      <w:numFmt w:val="bullet"/>
      <w:lvlText w:val="–"/>
      <w:lvlJc w:val="left"/>
      <w:pPr>
        <w:tabs>
          <w:tab w:val="num" w:pos="720"/>
        </w:tabs>
        <w:ind w:left="720" w:hanging="360"/>
      </w:pPr>
      <w:rPr>
        <w:rFonts w:ascii="Arial" w:hAnsi="Arial" w:hint="default"/>
      </w:rPr>
    </w:lvl>
    <w:lvl w:ilvl="1" w:tplc="C7BE3F7A">
      <w:start w:val="1"/>
      <w:numFmt w:val="bullet"/>
      <w:lvlText w:val="–"/>
      <w:lvlJc w:val="left"/>
      <w:pPr>
        <w:tabs>
          <w:tab w:val="num" w:pos="1440"/>
        </w:tabs>
        <w:ind w:left="1440" w:hanging="360"/>
      </w:pPr>
      <w:rPr>
        <w:rFonts w:ascii="Arial" w:hAnsi="Arial" w:hint="default"/>
      </w:rPr>
    </w:lvl>
    <w:lvl w:ilvl="2" w:tplc="A11C3D16">
      <w:start w:val="149"/>
      <w:numFmt w:val="bullet"/>
      <w:lvlText w:val="•"/>
      <w:lvlJc w:val="left"/>
      <w:pPr>
        <w:tabs>
          <w:tab w:val="num" w:pos="2160"/>
        </w:tabs>
        <w:ind w:left="2160" w:hanging="360"/>
      </w:pPr>
      <w:rPr>
        <w:rFonts w:ascii="Arial" w:hAnsi="Arial" w:hint="default"/>
      </w:rPr>
    </w:lvl>
    <w:lvl w:ilvl="3" w:tplc="FD72C9F2" w:tentative="1">
      <w:start w:val="1"/>
      <w:numFmt w:val="bullet"/>
      <w:lvlText w:val="–"/>
      <w:lvlJc w:val="left"/>
      <w:pPr>
        <w:tabs>
          <w:tab w:val="num" w:pos="2880"/>
        </w:tabs>
        <w:ind w:left="2880" w:hanging="360"/>
      </w:pPr>
      <w:rPr>
        <w:rFonts w:ascii="Arial" w:hAnsi="Arial" w:hint="default"/>
      </w:rPr>
    </w:lvl>
    <w:lvl w:ilvl="4" w:tplc="CE6448E6" w:tentative="1">
      <w:start w:val="1"/>
      <w:numFmt w:val="bullet"/>
      <w:lvlText w:val="–"/>
      <w:lvlJc w:val="left"/>
      <w:pPr>
        <w:tabs>
          <w:tab w:val="num" w:pos="3600"/>
        </w:tabs>
        <w:ind w:left="3600" w:hanging="360"/>
      </w:pPr>
      <w:rPr>
        <w:rFonts w:ascii="Arial" w:hAnsi="Arial" w:hint="default"/>
      </w:rPr>
    </w:lvl>
    <w:lvl w:ilvl="5" w:tplc="26388FBC" w:tentative="1">
      <w:start w:val="1"/>
      <w:numFmt w:val="bullet"/>
      <w:lvlText w:val="–"/>
      <w:lvlJc w:val="left"/>
      <w:pPr>
        <w:tabs>
          <w:tab w:val="num" w:pos="4320"/>
        </w:tabs>
        <w:ind w:left="4320" w:hanging="360"/>
      </w:pPr>
      <w:rPr>
        <w:rFonts w:ascii="Arial" w:hAnsi="Arial" w:hint="default"/>
      </w:rPr>
    </w:lvl>
    <w:lvl w:ilvl="6" w:tplc="A34893BA" w:tentative="1">
      <w:start w:val="1"/>
      <w:numFmt w:val="bullet"/>
      <w:lvlText w:val="–"/>
      <w:lvlJc w:val="left"/>
      <w:pPr>
        <w:tabs>
          <w:tab w:val="num" w:pos="5040"/>
        </w:tabs>
        <w:ind w:left="5040" w:hanging="360"/>
      </w:pPr>
      <w:rPr>
        <w:rFonts w:ascii="Arial" w:hAnsi="Arial" w:hint="default"/>
      </w:rPr>
    </w:lvl>
    <w:lvl w:ilvl="7" w:tplc="A99409DA" w:tentative="1">
      <w:start w:val="1"/>
      <w:numFmt w:val="bullet"/>
      <w:lvlText w:val="–"/>
      <w:lvlJc w:val="left"/>
      <w:pPr>
        <w:tabs>
          <w:tab w:val="num" w:pos="5760"/>
        </w:tabs>
        <w:ind w:left="5760" w:hanging="360"/>
      </w:pPr>
      <w:rPr>
        <w:rFonts w:ascii="Arial" w:hAnsi="Arial" w:hint="default"/>
      </w:rPr>
    </w:lvl>
    <w:lvl w:ilvl="8" w:tplc="4370A2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CE3E9D"/>
    <w:multiLevelType w:val="hybridMultilevel"/>
    <w:tmpl w:val="B0D0B12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5" w15:restartNumberingAfterBreak="0">
    <w:nsid w:val="6C7A4390"/>
    <w:multiLevelType w:val="hybridMultilevel"/>
    <w:tmpl w:val="79066C56"/>
    <w:lvl w:ilvl="0" w:tplc="2BFE0C20">
      <w:start w:val="1"/>
      <w:numFmt w:val="lowerRoman"/>
      <w:lvlText w:val="%1)"/>
      <w:lvlJc w:val="left"/>
      <w:pPr>
        <w:ind w:left="780" w:hanging="720"/>
      </w:pPr>
      <w:rPr>
        <w:rFonts w:ascii="Calibri" w:hAnsi="Calibri"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77570BAF"/>
    <w:multiLevelType w:val="hybridMultilevel"/>
    <w:tmpl w:val="7054CE98"/>
    <w:lvl w:ilvl="0" w:tplc="2744CCE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84D033C"/>
    <w:multiLevelType w:val="multilevel"/>
    <w:tmpl w:val="163A1E2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132D6C"/>
    <w:multiLevelType w:val="hybridMultilevel"/>
    <w:tmpl w:val="AB8CCD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5"/>
  </w:num>
  <w:num w:numId="4">
    <w:abstractNumId w:val="13"/>
  </w:num>
  <w:num w:numId="5">
    <w:abstractNumId w:val="4"/>
  </w:num>
  <w:num w:numId="6">
    <w:abstractNumId w:val="8"/>
  </w:num>
  <w:num w:numId="7">
    <w:abstractNumId w:val="9"/>
  </w:num>
  <w:num w:numId="8">
    <w:abstractNumId w:val="2"/>
  </w:num>
  <w:num w:numId="9">
    <w:abstractNumId w:val="0"/>
  </w:num>
  <w:num w:numId="10">
    <w:abstractNumId w:val="3"/>
  </w:num>
  <w:num w:numId="11">
    <w:abstractNumId w:val="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6"/>
  </w:num>
  <w:num w:numId="16">
    <w:abstractNumId w:val="12"/>
  </w:num>
  <w:num w:numId="17">
    <w:abstractNumId w:val="16"/>
  </w:num>
  <w:num w:numId="18">
    <w:abstractNumId w:val="11"/>
  </w:num>
  <w:num w:numId="19">
    <w:abstractNumId w:val="18"/>
  </w:num>
  <w:num w:numId="20">
    <w:abstractNumId w:val="14"/>
  </w:num>
  <w:num w:numId="21">
    <w:abstractNumId w:val="15"/>
  </w:num>
  <w:num w:numId="22">
    <w:abstractNumId w:val="17"/>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A0B"/>
    <w:rsid w:val="00000C0C"/>
    <w:rsid w:val="0000110B"/>
    <w:rsid w:val="00003499"/>
    <w:rsid w:val="000038DA"/>
    <w:rsid w:val="000039B7"/>
    <w:rsid w:val="00003C4C"/>
    <w:rsid w:val="00003E19"/>
    <w:rsid w:val="000045E2"/>
    <w:rsid w:val="00005105"/>
    <w:rsid w:val="000105A1"/>
    <w:rsid w:val="0001126D"/>
    <w:rsid w:val="000114FD"/>
    <w:rsid w:val="00011AA5"/>
    <w:rsid w:val="00012133"/>
    <w:rsid w:val="00012A32"/>
    <w:rsid w:val="00013186"/>
    <w:rsid w:val="00013247"/>
    <w:rsid w:val="000133A3"/>
    <w:rsid w:val="000137BC"/>
    <w:rsid w:val="00013C0F"/>
    <w:rsid w:val="00013E3D"/>
    <w:rsid w:val="00014CE3"/>
    <w:rsid w:val="00014F30"/>
    <w:rsid w:val="0001535B"/>
    <w:rsid w:val="00015886"/>
    <w:rsid w:val="00015B6E"/>
    <w:rsid w:val="000162EF"/>
    <w:rsid w:val="00016A09"/>
    <w:rsid w:val="00017244"/>
    <w:rsid w:val="00017730"/>
    <w:rsid w:val="00020DE5"/>
    <w:rsid w:val="000214CE"/>
    <w:rsid w:val="00021977"/>
    <w:rsid w:val="0002225F"/>
    <w:rsid w:val="00022612"/>
    <w:rsid w:val="00023125"/>
    <w:rsid w:val="0002366A"/>
    <w:rsid w:val="00023763"/>
    <w:rsid w:val="00023880"/>
    <w:rsid w:val="00024DFA"/>
    <w:rsid w:val="00025153"/>
    <w:rsid w:val="00026655"/>
    <w:rsid w:val="000268C6"/>
    <w:rsid w:val="00026A38"/>
    <w:rsid w:val="00027891"/>
    <w:rsid w:val="000300EA"/>
    <w:rsid w:val="00030F94"/>
    <w:rsid w:val="00033758"/>
    <w:rsid w:val="00033863"/>
    <w:rsid w:val="00033890"/>
    <w:rsid w:val="000339AB"/>
    <w:rsid w:val="00033D2D"/>
    <w:rsid w:val="00033D52"/>
    <w:rsid w:val="00034FDB"/>
    <w:rsid w:val="000354BA"/>
    <w:rsid w:val="0003550A"/>
    <w:rsid w:val="00035DC0"/>
    <w:rsid w:val="00036829"/>
    <w:rsid w:val="0003785F"/>
    <w:rsid w:val="00040895"/>
    <w:rsid w:val="0004124D"/>
    <w:rsid w:val="000424D8"/>
    <w:rsid w:val="00043662"/>
    <w:rsid w:val="00043C37"/>
    <w:rsid w:val="00043E4D"/>
    <w:rsid w:val="00045017"/>
    <w:rsid w:val="000451AF"/>
    <w:rsid w:val="000456CB"/>
    <w:rsid w:val="00045A2B"/>
    <w:rsid w:val="000461DD"/>
    <w:rsid w:val="000462C0"/>
    <w:rsid w:val="0004698F"/>
    <w:rsid w:val="00046C3A"/>
    <w:rsid w:val="00047F59"/>
    <w:rsid w:val="00050E55"/>
    <w:rsid w:val="0005338B"/>
    <w:rsid w:val="000539D0"/>
    <w:rsid w:val="00054621"/>
    <w:rsid w:val="000546B0"/>
    <w:rsid w:val="000546D7"/>
    <w:rsid w:val="00056608"/>
    <w:rsid w:val="000576DF"/>
    <w:rsid w:val="000602F6"/>
    <w:rsid w:val="00060D95"/>
    <w:rsid w:val="00061472"/>
    <w:rsid w:val="00061719"/>
    <w:rsid w:val="000618A5"/>
    <w:rsid w:val="00061A73"/>
    <w:rsid w:val="0006208A"/>
    <w:rsid w:val="00062240"/>
    <w:rsid w:val="00062DE0"/>
    <w:rsid w:val="00063221"/>
    <w:rsid w:val="00063674"/>
    <w:rsid w:val="00064531"/>
    <w:rsid w:val="00064855"/>
    <w:rsid w:val="00064973"/>
    <w:rsid w:val="00064996"/>
    <w:rsid w:val="00064D06"/>
    <w:rsid w:val="00066360"/>
    <w:rsid w:val="00066AFB"/>
    <w:rsid w:val="0006749E"/>
    <w:rsid w:val="000705DC"/>
    <w:rsid w:val="00070750"/>
    <w:rsid w:val="00071248"/>
    <w:rsid w:val="000720B9"/>
    <w:rsid w:val="00072D5C"/>
    <w:rsid w:val="00073229"/>
    <w:rsid w:val="000737F7"/>
    <w:rsid w:val="00073909"/>
    <w:rsid w:val="00073A3B"/>
    <w:rsid w:val="00074E5C"/>
    <w:rsid w:val="00076178"/>
    <w:rsid w:val="00076675"/>
    <w:rsid w:val="0007672F"/>
    <w:rsid w:val="000767F6"/>
    <w:rsid w:val="000774F0"/>
    <w:rsid w:val="00077690"/>
    <w:rsid w:val="000801B0"/>
    <w:rsid w:val="00080909"/>
    <w:rsid w:val="00080D3A"/>
    <w:rsid w:val="0008128F"/>
    <w:rsid w:val="000812CA"/>
    <w:rsid w:val="00081F20"/>
    <w:rsid w:val="0008258D"/>
    <w:rsid w:val="00083533"/>
    <w:rsid w:val="00083E99"/>
    <w:rsid w:val="0008432F"/>
    <w:rsid w:val="000846EB"/>
    <w:rsid w:val="00084E1A"/>
    <w:rsid w:val="000856C5"/>
    <w:rsid w:val="00086A53"/>
    <w:rsid w:val="0008741B"/>
    <w:rsid w:val="00087951"/>
    <w:rsid w:val="00087C05"/>
    <w:rsid w:val="00087F2E"/>
    <w:rsid w:val="0009064F"/>
    <w:rsid w:val="00090C7E"/>
    <w:rsid w:val="000912FF"/>
    <w:rsid w:val="000917CE"/>
    <w:rsid w:val="00092600"/>
    <w:rsid w:val="0009262B"/>
    <w:rsid w:val="00092953"/>
    <w:rsid w:val="00093310"/>
    <w:rsid w:val="00093673"/>
    <w:rsid w:val="000939B1"/>
    <w:rsid w:val="0009445C"/>
    <w:rsid w:val="0009449A"/>
    <w:rsid w:val="0009450F"/>
    <w:rsid w:val="0009481E"/>
    <w:rsid w:val="000950DD"/>
    <w:rsid w:val="00095780"/>
    <w:rsid w:val="00095FE5"/>
    <w:rsid w:val="00096284"/>
    <w:rsid w:val="00096BF7"/>
    <w:rsid w:val="00097762"/>
    <w:rsid w:val="000A09D9"/>
    <w:rsid w:val="000A0CE4"/>
    <w:rsid w:val="000A2E44"/>
    <w:rsid w:val="000A3A53"/>
    <w:rsid w:val="000A3C62"/>
    <w:rsid w:val="000A400B"/>
    <w:rsid w:val="000A4B42"/>
    <w:rsid w:val="000A5814"/>
    <w:rsid w:val="000A674B"/>
    <w:rsid w:val="000A7D08"/>
    <w:rsid w:val="000B0136"/>
    <w:rsid w:val="000B0670"/>
    <w:rsid w:val="000B0822"/>
    <w:rsid w:val="000B0E75"/>
    <w:rsid w:val="000B2556"/>
    <w:rsid w:val="000B28CE"/>
    <w:rsid w:val="000B32D0"/>
    <w:rsid w:val="000B3485"/>
    <w:rsid w:val="000B365A"/>
    <w:rsid w:val="000B379E"/>
    <w:rsid w:val="000B54A5"/>
    <w:rsid w:val="000B5838"/>
    <w:rsid w:val="000B638C"/>
    <w:rsid w:val="000B6CAC"/>
    <w:rsid w:val="000B7506"/>
    <w:rsid w:val="000B7612"/>
    <w:rsid w:val="000C00A0"/>
    <w:rsid w:val="000C0561"/>
    <w:rsid w:val="000C0956"/>
    <w:rsid w:val="000C1035"/>
    <w:rsid w:val="000C183A"/>
    <w:rsid w:val="000C369B"/>
    <w:rsid w:val="000C3936"/>
    <w:rsid w:val="000C3DF9"/>
    <w:rsid w:val="000C4709"/>
    <w:rsid w:val="000C6713"/>
    <w:rsid w:val="000C6C07"/>
    <w:rsid w:val="000C6E22"/>
    <w:rsid w:val="000D0179"/>
    <w:rsid w:val="000D1298"/>
    <w:rsid w:val="000D1B7C"/>
    <w:rsid w:val="000D1BFC"/>
    <w:rsid w:val="000D25B2"/>
    <w:rsid w:val="000D281A"/>
    <w:rsid w:val="000D2885"/>
    <w:rsid w:val="000D326A"/>
    <w:rsid w:val="000D3583"/>
    <w:rsid w:val="000D39EC"/>
    <w:rsid w:val="000D41DA"/>
    <w:rsid w:val="000D45FD"/>
    <w:rsid w:val="000D4C69"/>
    <w:rsid w:val="000D5116"/>
    <w:rsid w:val="000D51FB"/>
    <w:rsid w:val="000D51FC"/>
    <w:rsid w:val="000D5416"/>
    <w:rsid w:val="000D57FB"/>
    <w:rsid w:val="000D5943"/>
    <w:rsid w:val="000D623B"/>
    <w:rsid w:val="000D7EBE"/>
    <w:rsid w:val="000E135D"/>
    <w:rsid w:val="000E13BC"/>
    <w:rsid w:val="000E2131"/>
    <w:rsid w:val="000E3E6F"/>
    <w:rsid w:val="000E51D5"/>
    <w:rsid w:val="000E5593"/>
    <w:rsid w:val="000E5696"/>
    <w:rsid w:val="000E6B3B"/>
    <w:rsid w:val="000F00BA"/>
    <w:rsid w:val="000F02D1"/>
    <w:rsid w:val="000F120C"/>
    <w:rsid w:val="000F2037"/>
    <w:rsid w:val="000F2333"/>
    <w:rsid w:val="000F2A62"/>
    <w:rsid w:val="000F2C6E"/>
    <w:rsid w:val="000F2FCC"/>
    <w:rsid w:val="000F316A"/>
    <w:rsid w:val="000F392B"/>
    <w:rsid w:val="000F3C74"/>
    <w:rsid w:val="000F43EC"/>
    <w:rsid w:val="000F4BB8"/>
    <w:rsid w:val="000F528B"/>
    <w:rsid w:val="000F5389"/>
    <w:rsid w:val="000F53F8"/>
    <w:rsid w:val="000F555A"/>
    <w:rsid w:val="000F5D99"/>
    <w:rsid w:val="000F7127"/>
    <w:rsid w:val="000F71BC"/>
    <w:rsid w:val="000F75B3"/>
    <w:rsid w:val="000F7A1F"/>
    <w:rsid w:val="000F7AE1"/>
    <w:rsid w:val="00100F8A"/>
    <w:rsid w:val="00101167"/>
    <w:rsid w:val="001024CD"/>
    <w:rsid w:val="001026B7"/>
    <w:rsid w:val="00102D47"/>
    <w:rsid w:val="00102FD8"/>
    <w:rsid w:val="001042A4"/>
    <w:rsid w:val="00104E96"/>
    <w:rsid w:val="00105AE2"/>
    <w:rsid w:val="00106B80"/>
    <w:rsid w:val="001071B3"/>
    <w:rsid w:val="00107D12"/>
    <w:rsid w:val="0011032E"/>
    <w:rsid w:val="001113B8"/>
    <w:rsid w:val="00111AE6"/>
    <w:rsid w:val="00112C02"/>
    <w:rsid w:val="0011348B"/>
    <w:rsid w:val="00114552"/>
    <w:rsid w:val="00114A90"/>
    <w:rsid w:val="001157C9"/>
    <w:rsid w:val="00115982"/>
    <w:rsid w:val="00115CF8"/>
    <w:rsid w:val="00116C53"/>
    <w:rsid w:val="0011707C"/>
    <w:rsid w:val="0012155C"/>
    <w:rsid w:val="00121799"/>
    <w:rsid w:val="00121CB5"/>
    <w:rsid w:val="001222FC"/>
    <w:rsid w:val="00122603"/>
    <w:rsid w:val="00123AE6"/>
    <w:rsid w:val="00123ECD"/>
    <w:rsid w:val="00124895"/>
    <w:rsid w:val="00124A51"/>
    <w:rsid w:val="00126621"/>
    <w:rsid w:val="00127473"/>
    <w:rsid w:val="00127A16"/>
    <w:rsid w:val="001301E9"/>
    <w:rsid w:val="001305BF"/>
    <w:rsid w:val="00130ABA"/>
    <w:rsid w:val="00130F3F"/>
    <w:rsid w:val="0013101D"/>
    <w:rsid w:val="00131D82"/>
    <w:rsid w:val="00132290"/>
    <w:rsid w:val="00132A5B"/>
    <w:rsid w:val="00133908"/>
    <w:rsid w:val="00133D36"/>
    <w:rsid w:val="00135130"/>
    <w:rsid w:val="00136483"/>
    <w:rsid w:val="0013713A"/>
    <w:rsid w:val="00137645"/>
    <w:rsid w:val="0013777E"/>
    <w:rsid w:val="0014015A"/>
    <w:rsid w:val="00140974"/>
    <w:rsid w:val="00140D87"/>
    <w:rsid w:val="00140E99"/>
    <w:rsid w:val="00141006"/>
    <w:rsid w:val="0014269F"/>
    <w:rsid w:val="00145540"/>
    <w:rsid w:val="001456B0"/>
    <w:rsid w:val="001456D4"/>
    <w:rsid w:val="0014799F"/>
    <w:rsid w:val="00147D7D"/>
    <w:rsid w:val="00150112"/>
    <w:rsid w:val="0015071A"/>
    <w:rsid w:val="001508A7"/>
    <w:rsid w:val="00150906"/>
    <w:rsid w:val="00151ECD"/>
    <w:rsid w:val="0015229C"/>
    <w:rsid w:val="00153987"/>
    <w:rsid w:val="00153CD3"/>
    <w:rsid w:val="00155102"/>
    <w:rsid w:val="00157130"/>
    <w:rsid w:val="001576B1"/>
    <w:rsid w:val="001601F2"/>
    <w:rsid w:val="00160A4C"/>
    <w:rsid w:val="00160C11"/>
    <w:rsid w:val="00161D8C"/>
    <w:rsid w:val="00162799"/>
    <w:rsid w:val="00162913"/>
    <w:rsid w:val="001632D1"/>
    <w:rsid w:val="00163EFF"/>
    <w:rsid w:val="00164AB7"/>
    <w:rsid w:val="00164FF6"/>
    <w:rsid w:val="001661FB"/>
    <w:rsid w:val="0016688C"/>
    <w:rsid w:val="00170240"/>
    <w:rsid w:val="00171CC2"/>
    <w:rsid w:val="001726F7"/>
    <w:rsid w:val="00173565"/>
    <w:rsid w:val="001738F0"/>
    <w:rsid w:val="00173B07"/>
    <w:rsid w:val="00174BCF"/>
    <w:rsid w:val="00175422"/>
    <w:rsid w:val="00176931"/>
    <w:rsid w:val="00176AAD"/>
    <w:rsid w:val="00176E34"/>
    <w:rsid w:val="00177028"/>
    <w:rsid w:val="00177890"/>
    <w:rsid w:val="00180D13"/>
    <w:rsid w:val="00181CDC"/>
    <w:rsid w:val="00181D9C"/>
    <w:rsid w:val="00181E0B"/>
    <w:rsid w:val="00182715"/>
    <w:rsid w:val="0018297B"/>
    <w:rsid w:val="00184EDB"/>
    <w:rsid w:val="0018564F"/>
    <w:rsid w:val="0018752F"/>
    <w:rsid w:val="00190497"/>
    <w:rsid w:val="001905E7"/>
    <w:rsid w:val="00190DC3"/>
    <w:rsid w:val="0019190C"/>
    <w:rsid w:val="00191957"/>
    <w:rsid w:val="0019287A"/>
    <w:rsid w:val="00192925"/>
    <w:rsid w:val="00193582"/>
    <w:rsid w:val="001936E4"/>
    <w:rsid w:val="001944D3"/>
    <w:rsid w:val="00195222"/>
    <w:rsid w:val="001952F4"/>
    <w:rsid w:val="0019576B"/>
    <w:rsid w:val="001964A1"/>
    <w:rsid w:val="00196852"/>
    <w:rsid w:val="001969B5"/>
    <w:rsid w:val="00196D3B"/>
    <w:rsid w:val="001975D8"/>
    <w:rsid w:val="00197793"/>
    <w:rsid w:val="001A0AD7"/>
    <w:rsid w:val="001A1863"/>
    <w:rsid w:val="001A1DB0"/>
    <w:rsid w:val="001A3E3C"/>
    <w:rsid w:val="001A3F30"/>
    <w:rsid w:val="001A43FA"/>
    <w:rsid w:val="001A5226"/>
    <w:rsid w:val="001A533F"/>
    <w:rsid w:val="001A5593"/>
    <w:rsid w:val="001A59FB"/>
    <w:rsid w:val="001A6354"/>
    <w:rsid w:val="001A63B5"/>
    <w:rsid w:val="001A65E6"/>
    <w:rsid w:val="001A66B1"/>
    <w:rsid w:val="001A76C5"/>
    <w:rsid w:val="001A7AE8"/>
    <w:rsid w:val="001A7B75"/>
    <w:rsid w:val="001A7DEF"/>
    <w:rsid w:val="001B129F"/>
    <w:rsid w:val="001B141E"/>
    <w:rsid w:val="001B15FD"/>
    <w:rsid w:val="001B1AD7"/>
    <w:rsid w:val="001B1E4C"/>
    <w:rsid w:val="001B201A"/>
    <w:rsid w:val="001B204E"/>
    <w:rsid w:val="001B2477"/>
    <w:rsid w:val="001B27F0"/>
    <w:rsid w:val="001B3443"/>
    <w:rsid w:val="001B4603"/>
    <w:rsid w:val="001B4D20"/>
    <w:rsid w:val="001B54A9"/>
    <w:rsid w:val="001B55E8"/>
    <w:rsid w:val="001B5E38"/>
    <w:rsid w:val="001B5F00"/>
    <w:rsid w:val="001B60BD"/>
    <w:rsid w:val="001B612B"/>
    <w:rsid w:val="001B7D52"/>
    <w:rsid w:val="001C0529"/>
    <w:rsid w:val="001C2A9B"/>
    <w:rsid w:val="001C323A"/>
    <w:rsid w:val="001C4299"/>
    <w:rsid w:val="001C471D"/>
    <w:rsid w:val="001C574C"/>
    <w:rsid w:val="001C5F94"/>
    <w:rsid w:val="001C6CF3"/>
    <w:rsid w:val="001C6E66"/>
    <w:rsid w:val="001C7302"/>
    <w:rsid w:val="001D003A"/>
    <w:rsid w:val="001D0A1D"/>
    <w:rsid w:val="001D29B0"/>
    <w:rsid w:val="001D2F6C"/>
    <w:rsid w:val="001D65D4"/>
    <w:rsid w:val="001D718F"/>
    <w:rsid w:val="001D7928"/>
    <w:rsid w:val="001D7F7D"/>
    <w:rsid w:val="001E050E"/>
    <w:rsid w:val="001E238E"/>
    <w:rsid w:val="001E2483"/>
    <w:rsid w:val="001E24E7"/>
    <w:rsid w:val="001E2B1E"/>
    <w:rsid w:val="001E2CCD"/>
    <w:rsid w:val="001E2E2B"/>
    <w:rsid w:val="001E30D4"/>
    <w:rsid w:val="001E52EB"/>
    <w:rsid w:val="001E54E5"/>
    <w:rsid w:val="001E55B8"/>
    <w:rsid w:val="001E60C3"/>
    <w:rsid w:val="001E615D"/>
    <w:rsid w:val="001E61B4"/>
    <w:rsid w:val="001E61D2"/>
    <w:rsid w:val="001E65F0"/>
    <w:rsid w:val="001E740C"/>
    <w:rsid w:val="001F09CB"/>
    <w:rsid w:val="001F0AF2"/>
    <w:rsid w:val="001F1235"/>
    <w:rsid w:val="001F19D3"/>
    <w:rsid w:val="001F1CB3"/>
    <w:rsid w:val="001F3015"/>
    <w:rsid w:val="001F38B5"/>
    <w:rsid w:val="001F3B23"/>
    <w:rsid w:val="001F3CCC"/>
    <w:rsid w:val="001F3F80"/>
    <w:rsid w:val="001F5001"/>
    <w:rsid w:val="001F5F86"/>
    <w:rsid w:val="001F5F87"/>
    <w:rsid w:val="001F6971"/>
    <w:rsid w:val="001F6C9E"/>
    <w:rsid w:val="001F6CB6"/>
    <w:rsid w:val="001F7361"/>
    <w:rsid w:val="002011B0"/>
    <w:rsid w:val="00202E1A"/>
    <w:rsid w:val="00203181"/>
    <w:rsid w:val="00203783"/>
    <w:rsid w:val="0020385F"/>
    <w:rsid w:val="00203FCE"/>
    <w:rsid w:val="00204831"/>
    <w:rsid w:val="00204834"/>
    <w:rsid w:val="00205085"/>
    <w:rsid w:val="0020698E"/>
    <w:rsid w:val="00207021"/>
    <w:rsid w:val="0020732F"/>
    <w:rsid w:val="0020751B"/>
    <w:rsid w:val="0020794F"/>
    <w:rsid w:val="00207D00"/>
    <w:rsid w:val="00207F12"/>
    <w:rsid w:val="002105C1"/>
    <w:rsid w:val="002112F9"/>
    <w:rsid w:val="00211835"/>
    <w:rsid w:val="00211A26"/>
    <w:rsid w:val="00211E3F"/>
    <w:rsid w:val="00211FA8"/>
    <w:rsid w:val="00212B6A"/>
    <w:rsid w:val="00212C1F"/>
    <w:rsid w:val="00213878"/>
    <w:rsid w:val="00214455"/>
    <w:rsid w:val="00214778"/>
    <w:rsid w:val="0021486B"/>
    <w:rsid w:val="00216020"/>
    <w:rsid w:val="00216484"/>
    <w:rsid w:val="0021786C"/>
    <w:rsid w:val="00217871"/>
    <w:rsid w:val="00217C1E"/>
    <w:rsid w:val="002206BB"/>
    <w:rsid w:val="00220E34"/>
    <w:rsid w:val="00221363"/>
    <w:rsid w:val="00221DBD"/>
    <w:rsid w:val="00223676"/>
    <w:rsid w:val="002239CC"/>
    <w:rsid w:val="00223B49"/>
    <w:rsid w:val="002241C8"/>
    <w:rsid w:val="00224DD4"/>
    <w:rsid w:val="00226CC9"/>
    <w:rsid w:val="0022793D"/>
    <w:rsid w:val="00227A95"/>
    <w:rsid w:val="00230969"/>
    <w:rsid w:val="002309CC"/>
    <w:rsid w:val="00231258"/>
    <w:rsid w:val="0023128E"/>
    <w:rsid w:val="0023183C"/>
    <w:rsid w:val="0023209F"/>
    <w:rsid w:val="002320C1"/>
    <w:rsid w:val="002336CD"/>
    <w:rsid w:val="00233B81"/>
    <w:rsid w:val="00236159"/>
    <w:rsid w:val="0023629D"/>
    <w:rsid w:val="00237255"/>
    <w:rsid w:val="00237878"/>
    <w:rsid w:val="0024017F"/>
    <w:rsid w:val="00240CC7"/>
    <w:rsid w:val="002424AF"/>
    <w:rsid w:val="002429D2"/>
    <w:rsid w:val="002439DC"/>
    <w:rsid w:val="00244136"/>
    <w:rsid w:val="00244DC8"/>
    <w:rsid w:val="00245431"/>
    <w:rsid w:val="002458BA"/>
    <w:rsid w:val="00245A42"/>
    <w:rsid w:val="0024636C"/>
    <w:rsid w:val="00247925"/>
    <w:rsid w:val="0025024A"/>
    <w:rsid w:val="002505B1"/>
    <w:rsid w:val="002513ED"/>
    <w:rsid w:val="0025198D"/>
    <w:rsid w:val="00252A5C"/>
    <w:rsid w:val="0025386C"/>
    <w:rsid w:val="00253DD5"/>
    <w:rsid w:val="00254591"/>
    <w:rsid w:val="00254DCF"/>
    <w:rsid w:val="0025534B"/>
    <w:rsid w:val="002558D4"/>
    <w:rsid w:val="00255AFC"/>
    <w:rsid w:val="00255BAC"/>
    <w:rsid w:val="00255BB7"/>
    <w:rsid w:val="002566B9"/>
    <w:rsid w:val="00256C00"/>
    <w:rsid w:val="00257541"/>
    <w:rsid w:val="00257E8F"/>
    <w:rsid w:val="00262295"/>
    <w:rsid w:val="00262A1A"/>
    <w:rsid w:val="00262A87"/>
    <w:rsid w:val="0026314A"/>
    <w:rsid w:val="00263402"/>
    <w:rsid w:val="002639E7"/>
    <w:rsid w:val="00264D26"/>
    <w:rsid w:val="00265E51"/>
    <w:rsid w:val="00267642"/>
    <w:rsid w:val="00267741"/>
    <w:rsid w:val="00267AEA"/>
    <w:rsid w:val="002700E6"/>
    <w:rsid w:val="00270B10"/>
    <w:rsid w:val="0027124D"/>
    <w:rsid w:val="00271C8C"/>
    <w:rsid w:val="00272174"/>
    <w:rsid w:val="0027294B"/>
    <w:rsid w:val="00272EC8"/>
    <w:rsid w:val="00273457"/>
    <w:rsid w:val="00273CDE"/>
    <w:rsid w:val="00273D80"/>
    <w:rsid w:val="00275C5A"/>
    <w:rsid w:val="00276993"/>
    <w:rsid w:val="00276B03"/>
    <w:rsid w:val="002770B7"/>
    <w:rsid w:val="002771F4"/>
    <w:rsid w:val="00277B26"/>
    <w:rsid w:val="00280684"/>
    <w:rsid w:val="00280D7B"/>
    <w:rsid w:val="00281014"/>
    <w:rsid w:val="00281019"/>
    <w:rsid w:val="002813B1"/>
    <w:rsid w:val="002813D9"/>
    <w:rsid w:val="00281DC0"/>
    <w:rsid w:val="00284071"/>
    <w:rsid w:val="002841D9"/>
    <w:rsid w:val="0028423E"/>
    <w:rsid w:val="002845F6"/>
    <w:rsid w:val="00284B5B"/>
    <w:rsid w:val="00285761"/>
    <w:rsid w:val="002863CD"/>
    <w:rsid w:val="002877E3"/>
    <w:rsid w:val="00287A84"/>
    <w:rsid w:val="002910B5"/>
    <w:rsid w:val="0029153A"/>
    <w:rsid w:val="00292A93"/>
    <w:rsid w:val="002932A5"/>
    <w:rsid w:val="002938D5"/>
    <w:rsid w:val="002947EC"/>
    <w:rsid w:val="00295717"/>
    <w:rsid w:val="00297669"/>
    <w:rsid w:val="00297852"/>
    <w:rsid w:val="002A09E6"/>
    <w:rsid w:val="002A14AB"/>
    <w:rsid w:val="002A1FD9"/>
    <w:rsid w:val="002A29A5"/>
    <w:rsid w:val="002A2E82"/>
    <w:rsid w:val="002A2F50"/>
    <w:rsid w:val="002A2F7C"/>
    <w:rsid w:val="002A3786"/>
    <w:rsid w:val="002A5342"/>
    <w:rsid w:val="002A7B68"/>
    <w:rsid w:val="002B0649"/>
    <w:rsid w:val="002B08C2"/>
    <w:rsid w:val="002B09A4"/>
    <w:rsid w:val="002B0B09"/>
    <w:rsid w:val="002B0BD8"/>
    <w:rsid w:val="002B1A82"/>
    <w:rsid w:val="002B1C1F"/>
    <w:rsid w:val="002B27EB"/>
    <w:rsid w:val="002B28FB"/>
    <w:rsid w:val="002B432F"/>
    <w:rsid w:val="002B5F55"/>
    <w:rsid w:val="002B62B3"/>
    <w:rsid w:val="002B6754"/>
    <w:rsid w:val="002B6BA3"/>
    <w:rsid w:val="002B6CCE"/>
    <w:rsid w:val="002C0CEF"/>
    <w:rsid w:val="002C14F9"/>
    <w:rsid w:val="002C2510"/>
    <w:rsid w:val="002C2775"/>
    <w:rsid w:val="002C27C1"/>
    <w:rsid w:val="002C35E6"/>
    <w:rsid w:val="002C3E35"/>
    <w:rsid w:val="002C5099"/>
    <w:rsid w:val="002C5889"/>
    <w:rsid w:val="002C599E"/>
    <w:rsid w:val="002C59F7"/>
    <w:rsid w:val="002C5C21"/>
    <w:rsid w:val="002C71CE"/>
    <w:rsid w:val="002D0437"/>
    <w:rsid w:val="002D04CE"/>
    <w:rsid w:val="002D18A6"/>
    <w:rsid w:val="002D20BE"/>
    <w:rsid w:val="002D3D51"/>
    <w:rsid w:val="002D419B"/>
    <w:rsid w:val="002D4D38"/>
    <w:rsid w:val="002D4DEB"/>
    <w:rsid w:val="002D4FE5"/>
    <w:rsid w:val="002D577C"/>
    <w:rsid w:val="002D579E"/>
    <w:rsid w:val="002D58E9"/>
    <w:rsid w:val="002D69B7"/>
    <w:rsid w:val="002D6A6A"/>
    <w:rsid w:val="002E139D"/>
    <w:rsid w:val="002E15B9"/>
    <w:rsid w:val="002E16F8"/>
    <w:rsid w:val="002E19DF"/>
    <w:rsid w:val="002E1EAE"/>
    <w:rsid w:val="002E2158"/>
    <w:rsid w:val="002E2277"/>
    <w:rsid w:val="002E2D0E"/>
    <w:rsid w:val="002E38A1"/>
    <w:rsid w:val="002E4ACA"/>
    <w:rsid w:val="002E5521"/>
    <w:rsid w:val="002E5948"/>
    <w:rsid w:val="002E60F5"/>
    <w:rsid w:val="002E61CA"/>
    <w:rsid w:val="002E62A6"/>
    <w:rsid w:val="002E6ACE"/>
    <w:rsid w:val="002E7722"/>
    <w:rsid w:val="002F07BA"/>
    <w:rsid w:val="002F0C19"/>
    <w:rsid w:val="002F0DA9"/>
    <w:rsid w:val="002F1367"/>
    <w:rsid w:val="002F2596"/>
    <w:rsid w:val="002F2EE3"/>
    <w:rsid w:val="002F3772"/>
    <w:rsid w:val="002F4820"/>
    <w:rsid w:val="002F491F"/>
    <w:rsid w:val="002F5BFE"/>
    <w:rsid w:val="002F627A"/>
    <w:rsid w:val="002F63FC"/>
    <w:rsid w:val="002F643C"/>
    <w:rsid w:val="002F6440"/>
    <w:rsid w:val="002F66C7"/>
    <w:rsid w:val="002F6A34"/>
    <w:rsid w:val="002F71C0"/>
    <w:rsid w:val="003000E1"/>
    <w:rsid w:val="00300C68"/>
    <w:rsid w:val="00300CBA"/>
    <w:rsid w:val="00300F5F"/>
    <w:rsid w:val="00301017"/>
    <w:rsid w:val="0030132F"/>
    <w:rsid w:val="0030155F"/>
    <w:rsid w:val="00302561"/>
    <w:rsid w:val="0030587B"/>
    <w:rsid w:val="003059D1"/>
    <w:rsid w:val="00306CEB"/>
    <w:rsid w:val="00306D98"/>
    <w:rsid w:val="0030786C"/>
    <w:rsid w:val="00307B4A"/>
    <w:rsid w:val="0031031A"/>
    <w:rsid w:val="00310333"/>
    <w:rsid w:val="00310981"/>
    <w:rsid w:val="003120C1"/>
    <w:rsid w:val="0031223A"/>
    <w:rsid w:val="003136E7"/>
    <w:rsid w:val="00314D24"/>
    <w:rsid w:val="00315498"/>
    <w:rsid w:val="00315569"/>
    <w:rsid w:val="00315A70"/>
    <w:rsid w:val="00315ADA"/>
    <w:rsid w:val="00317A7E"/>
    <w:rsid w:val="00321E6E"/>
    <w:rsid w:val="00322107"/>
    <w:rsid w:val="00322846"/>
    <w:rsid w:val="0032328E"/>
    <w:rsid w:val="00323F04"/>
    <w:rsid w:val="00324933"/>
    <w:rsid w:val="00326331"/>
    <w:rsid w:val="00326C23"/>
    <w:rsid w:val="00326DA7"/>
    <w:rsid w:val="003270E4"/>
    <w:rsid w:val="00327113"/>
    <w:rsid w:val="00330C29"/>
    <w:rsid w:val="00330E62"/>
    <w:rsid w:val="00330F5C"/>
    <w:rsid w:val="0033207C"/>
    <w:rsid w:val="003322CD"/>
    <w:rsid w:val="00333A68"/>
    <w:rsid w:val="00334230"/>
    <w:rsid w:val="0033450D"/>
    <w:rsid w:val="0033611C"/>
    <w:rsid w:val="003361BA"/>
    <w:rsid w:val="00336595"/>
    <w:rsid w:val="003366C9"/>
    <w:rsid w:val="003371B0"/>
    <w:rsid w:val="00337226"/>
    <w:rsid w:val="00340C66"/>
    <w:rsid w:val="00340DF1"/>
    <w:rsid w:val="003413A1"/>
    <w:rsid w:val="0034176D"/>
    <w:rsid w:val="003419CC"/>
    <w:rsid w:val="00341E8E"/>
    <w:rsid w:val="00342B1E"/>
    <w:rsid w:val="00344EDD"/>
    <w:rsid w:val="00347349"/>
    <w:rsid w:val="00347A1D"/>
    <w:rsid w:val="0035011A"/>
    <w:rsid w:val="0035097E"/>
    <w:rsid w:val="003511F9"/>
    <w:rsid w:val="003517F9"/>
    <w:rsid w:val="00351979"/>
    <w:rsid w:val="003531AB"/>
    <w:rsid w:val="00353E62"/>
    <w:rsid w:val="00353FC3"/>
    <w:rsid w:val="003552DA"/>
    <w:rsid w:val="0035543C"/>
    <w:rsid w:val="00355B05"/>
    <w:rsid w:val="0035620E"/>
    <w:rsid w:val="003562CF"/>
    <w:rsid w:val="0035734C"/>
    <w:rsid w:val="003610FE"/>
    <w:rsid w:val="00362168"/>
    <w:rsid w:val="003622EF"/>
    <w:rsid w:val="0036245E"/>
    <w:rsid w:val="003624C4"/>
    <w:rsid w:val="00362BE5"/>
    <w:rsid w:val="00364331"/>
    <w:rsid w:val="003654AC"/>
    <w:rsid w:val="003675ED"/>
    <w:rsid w:val="00367654"/>
    <w:rsid w:val="003700B7"/>
    <w:rsid w:val="0037074D"/>
    <w:rsid w:val="00370F6A"/>
    <w:rsid w:val="003710CF"/>
    <w:rsid w:val="00371F91"/>
    <w:rsid w:val="00372012"/>
    <w:rsid w:val="00372CEB"/>
    <w:rsid w:val="0037358A"/>
    <w:rsid w:val="003735DA"/>
    <w:rsid w:val="00374A81"/>
    <w:rsid w:val="00374CBD"/>
    <w:rsid w:val="003750F6"/>
    <w:rsid w:val="003760FC"/>
    <w:rsid w:val="003762F1"/>
    <w:rsid w:val="00376793"/>
    <w:rsid w:val="00377952"/>
    <w:rsid w:val="003831FD"/>
    <w:rsid w:val="003832BB"/>
    <w:rsid w:val="0038365C"/>
    <w:rsid w:val="0038369B"/>
    <w:rsid w:val="00383B78"/>
    <w:rsid w:val="00383CD0"/>
    <w:rsid w:val="00385774"/>
    <w:rsid w:val="00385A9D"/>
    <w:rsid w:val="003870B1"/>
    <w:rsid w:val="003870BA"/>
    <w:rsid w:val="00387582"/>
    <w:rsid w:val="00387719"/>
    <w:rsid w:val="00387B10"/>
    <w:rsid w:val="003900B2"/>
    <w:rsid w:val="003902B1"/>
    <w:rsid w:val="0039047D"/>
    <w:rsid w:val="00390CD6"/>
    <w:rsid w:val="003910C4"/>
    <w:rsid w:val="003914D3"/>
    <w:rsid w:val="0039201D"/>
    <w:rsid w:val="00392BE1"/>
    <w:rsid w:val="00393271"/>
    <w:rsid w:val="003947C4"/>
    <w:rsid w:val="0039497F"/>
    <w:rsid w:val="00394ED5"/>
    <w:rsid w:val="003953E3"/>
    <w:rsid w:val="00395BCB"/>
    <w:rsid w:val="00395E5C"/>
    <w:rsid w:val="00396896"/>
    <w:rsid w:val="00396E34"/>
    <w:rsid w:val="00396FD0"/>
    <w:rsid w:val="0039736E"/>
    <w:rsid w:val="00397A27"/>
    <w:rsid w:val="00397F8E"/>
    <w:rsid w:val="003A0706"/>
    <w:rsid w:val="003A1435"/>
    <w:rsid w:val="003A16AE"/>
    <w:rsid w:val="003A1A7A"/>
    <w:rsid w:val="003A2392"/>
    <w:rsid w:val="003A2804"/>
    <w:rsid w:val="003A2831"/>
    <w:rsid w:val="003A37A3"/>
    <w:rsid w:val="003A3886"/>
    <w:rsid w:val="003A3DBD"/>
    <w:rsid w:val="003A3DC1"/>
    <w:rsid w:val="003A3ED1"/>
    <w:rsid w:val="003A4486"/>
    <w:rsid w:val="003A4592"/>
    <w:rsid w:val="003A6A5B"/>
    <w:rsid w:val="003A6D5E"/>
    <w:rsid w:val="003A6D77"/>
    <w:rsid w:val="003A7707"/>
    <w:rsid w:val="003B09B5"/>
    <w:rsid w:val="003B1103"/>
    <w:rsid w:val="003B1889"/>
    <w:rsid w:val="003B216C"/>
    <w:rsid w:val="003B2DC3"/>
    <w:rsid w:val="003B3DFB"/>
    <w:rsid w:val="003B57E5"/>
    <w:rsid w:val="003B5B61"/>
    <w:rsid w:val="003B67D0"/>
    <w:rsid w:val="003B7487"/>
    <w:rsid w:val="003B799A"/>
    <w:rsid w:val="003C1097"/>
    <w:rsid w:val="003C15FE"/>
    <w:rsid w:val="003C1654"/>
    <w:rsid w:val="003C3631"/>
    <w:rsid w:val="003C3C87"/>
    <w:rsid w:val="003C3C8E"/>
    <w:rsid w:val="003C464A"/>
    <w:rsid w:val="003C4C84"/>
    <w:rsid w:val="003C5BFF"/>
    <w:rsid w:val="003C5C5F"/>
    <w:rsid w:val="003C5EC0"/>
    <w:rsid w:val="003C6951"/>
    <w:rsid w:val="003C6E02"/>
    <w:rsid w:val="003C7A1D"/>
    <w:rsid w:val="003C7D19"/>
    <w:rsid w:val="003D1288"/>
    <w:rsid w:val="003D1627"/>
    <w:rsid w:val="003D1828"/>
    <w:rsid w:val="003D1DE4"/>
    <w:rsid w:val="003D214E"/>
    <w:rsid w:val="003D2422"/>
    <w:rsid w:val="003D39A1"/>
    <w:rsid w:val="003D3FBF"/>
    <w:rsid w:val="003D4A30"/>
    <w:rsid w:val="003D4F87"/>
    <w:rsid w:val="003D5759"/>
    <w:rsid w:val="003D657F"/>
    <w:rsid w:val="003D676A"/>
    <w:rsid w:val="003D693E"/>
    <w:rsid w:val="003D6AFC"/>
    <w:rsid w:val="003D755E"/>
    <w:rsid w:val="003D79BB"/>
    <w:rsid w:val="003D7C98"/>
    <w:rsid w:val="003E0543"/>
    <w:rsid w:val="003E1E32"/>
    <w:rsid w:val="003E2F1B"/>
    <w:rsid w:val="003E3ABA"/>
    <w:rsid w:val="003E429A"/>
    <w:rsid w:val="003E4D1F"/>
    <w:rsid w:val="003E54EE"/>
    <w:rsid w:val="003E5E93"/>
    <w:rsid w:val="003E6415"/>
    <w:rsid w:val="003E770F"/>
    <w:rsid w:val="003E7D76"/>
    <w:rsid w:val="003F12E3"/>
    <w:rsid w:val="003F14AD"/>
    <w:rsid w:val="003F1537"/>
    <w:rsid w:val="003F3DEF"/>
    <w:rsid w:val="003F3EAA"/>
    <w:rsid w:val="003F4156"/>
    <w:rsid w:val="003F44AD"/>
    <w:rsid w:val="003F4893"/>
    <w:rsid w:val="003F4E2A"/>
    <w:rsid w:val="003F4E67"/>
    <w:rsid w:val="003F6E96"/>
    <w:rsid w:val="003F7861"/>
    <w:rsid w:val="003F7F71"/>
    <w:rsid w:val="003F7FAB"/>
    <w:rsid w:val="0040099A"/>
    <w:rsid w:val="00400B29"/>
    <w:rsid w:val="00400F5A"/>
    <w:rsid w:val="0040148F"/>
    <w:rsid w:val="00401BDD"/>
    <w:rsid w:val="0040479E"/>
    <w:rsid w:val="0040504B"/>
    <w:rsid w:val="004058DC"/>
    <w:rsid w:val="0040693E"/>
    <w:rsid w:val="00406BD5"/>
    <w:rsid w:val="00407A1C"/>
    <w:rsid w:val="00407B6D"/>
    <w:rsid w:val="00410708"/>
    <w:rsid w:val="00410970"/>
    <w:rsid w:val="00410EC7"/>
    <w:rsid w:val="00411B39"/>
    <w:rsid w:val="004127AC"/>
    <w:rsid w:val="004137D9"/>
    <w:rsid w:val="00413A1E"/>
    <w:rsid w:val="00414476"/>
    <w:rsid w:val="0041468B"/>
    <w:rsid w:val="00414795"/>
    <w:rsid w:val="00414C2E"/>
    <w:rsid w:val="004151CF"/>
    <w:rsid w:val="00415517"/>
    <w:rsid w:val="004156CC"/>
    <w:rsid w:val="00416364"/>
    <w:rsid w:val="0041639F"/>
    <w:rsid w:val="004166F8"/>
    <w:rsid w:val="004178F4"/>
    <w:rsid w:val="0042074A"/>
    <w:rsid w:val="00420AA6"/>
    <w:rsid w:val="00420B9F"/>
    <w:rsid w:val="00420EC8"/>
    <w:rsid w:val="00420F89"/>
    <w:rsid w:val="00422260"/>
    <w:rsid w:val="004230F4"/>
    <w:rsid w:val="00424078"/>
    <w:rsid w:val="0042413F"/>
    <w:rsid w:val="004243D3"/>
    <w:rsid w:val="00424665"/>
    <w:rsid w:val="00425423"/>
    <w:rsid w:val="00425573"/>
    <w:rsid w:val="00426409"/>
    <w:rsid w:val="00427FC8"/>
    <w:rsid w:val="00430D34"/>
    <w:rsid w:val="0043171D"/>
    <w:rsid w:val="004319F8"/>
    <w:rsid w:val="00431E55"/>
    <w:rsid w:val="00431EAB"/>
    <w:rsid w:val="0043209D"/>
    <w:rsid w:val="004321F6"/>
    <w:rsid w:val="00432A34"/>
    <w:rsid w:val="00433044"/>
    <w:rsid w:val="00434766"/>
    <w:rsid w:val="004349DC"/>
    <w:rsid w:val="00435211"/>
    <w:rsid w:val="00435600"/>
    <w:rsid w:val="004359C6"/>
    <w:rsid w:val="004359D1"/>
    <w:rsid w:val="004375B9"/>
    <w:rsid w:val="00437D57"/>
    <w:rsid w:val="0044032D"/>
    <w:rsid w:val="004403CF"/>
    <w:rsid w:val="00440CF3"/>
    <w:rsid w:val="00441AE4"/>
    <w:rsid w:val="00442354"/>
    <w:rsid w:val="004428D0"/>
    <w:rsid w:val="00443269"/>
    <w:rsid w:val="00443A91"/>
    <w:rsid w:val="004443A7"/>
    <w:rsid w:val="0044442C"/>
    <w:rsid w:val="00444523"/>
    <w:rsid w:val="004454A2"/>
    <w:rsid w:val="00445941"/>
    <w:rsid w:val="004459AD"/>
    <w:rsid w:val="00445A9E"/>
    <w:rsid w:val="004464EB"/>
    <w:rsid w:val="00446715"/>
    <w:rsid w:val="00446F91"/>
    <w:rsid w:val="00446FFE"/>
    <w:rsid w:val="00447D26"/>
    <w:rsid w:val="00450E8E"/>
    <w:rsid w:val="00451E41"/>
    <w:rsid w:val="004528A9"/>
    <w:rsid w:val="00454D65"/>
    <w:rsid w:val="00454F74"/>
    <w:rsid w:val="00455C56"/>
    <w:rsid w:val="00455D45"/>
    <w:rsid w:val="004563C8"/>
    <w:rsid w:val="004571C3"/>
    <w:rsid w:val="00457714"/>
    <w:rsid w:val="004602DA"/>
    <w:rsid w:val="00460A66"/>
    <w:rsid w:val="00460B50"/>
    <w:rsid w:val="00460E6A"/>
    <w:rsid w:val="0046178B"/>
    <w:rsid w:val="004617F1"/>
    <w:rsid w:val="00461AE8"/>
    <w:rsid w:val="004620D8"/>
    <w:rsid w:val="00462D60"/>
    <w:rsid w:val="00463421"/>
    <w:rsid w:val="004640E9"/>
    <w:rsid w:val="00464595"/>
    <w:rsid w:val="00464600"/>
    <w:rsid w:val="004646C5"/>
    <w:rsid w:val="004648E4"/>
    <w:rsid w:val="00465B91"/>
    <w:rsid w:val="00467457"/>
    <w:rsid w:val="00467872"/>
    <w:rsid w:val="004702DD"/>
    <w:rsid w:val="00470B0C"/>
    <w:rsid w:val="004713E1"/>
    <w:rsid w:val="004723CA"/>
    <w:rsid w:val="00472A79"/>
    <w:rsid w:val="004736B5"/>
    <w:rsid w:val="004739BB"/>
    <w:rsid w:val="00473DD3"/>
    <w:rsid w:val="00473F19"/>
    <w:rsid w:val="00475E22"/>
    <w:rsid w:val="00475E9E"/>
    <w:rsid w:val="00476374"/>
    <w:rsid w:val="00477135"/>
    <w:rsid w:val="004776CE"/>
    <w:rsid w:val="00477CFA"/>
    <w:rsid w:val="00477E4C"/>
    <w:rsid w:val="0048049F"/>
    <w:rsid w:val="0048088E"/>
    <w:rsid w:val="00481114"/>
    <w:rsid w:val="00481C8B"/>
    <w:rsid w:val="00481EB5"/>
    <w:rsid w:val="00482720"/>
    <w:rsid w:val="00482BDF"/>
    <w:rsid w:val="004835E7"/>
    <w:rsid w:val="004840FE"/>
    <w:rsid w:val="0048486A"/>
    <w:rsid w:val="004867E2"/>
    <w:rsid w:val="00486C27"/>
    <w:rsid w:val="0049060A"/>
    <w:rsid w:val="00491735"/>
    <w:rsid w:val="00491B3A"/>
    <w:rsid w:val="00492581"/>
    <w:rsid w:val="00492C38"/>
    <w:rsid w:val="00492CFD"/>
    <w:rsid w:val="004931D2"/>
    <w:rsid w:val="0049497C"/>
    <w:rsid w:val="00494DD5"/>
    <w:rsid w:val="00494DEA"/>
    <w:rsid w:val="004955DF"/>
    <w:rsid w:val="004962D2"/>
    <w:rsid w:val="004A0456"/>
    <w:rsid w:val="004A0944"/>
    <w:rsid w:val="004A0DA1"/>
    <w:rsid w:val="004A1B83"/>
    <w:rsid w:val="004A2547"/>
    <w:rsid w:val="004A42BD"/>
    <w:rsid w:val="004A458D"/>
    <w:rsid w:val="004A496A"/>
    <w:rsid w:val="004A52E9"/>
    <w:rsid w:val="004A58A3"/>
    <w:rsid w:val="004A594E"/>
    <w:rsid w:val="004A5A44"/>
    <w:rsid w:val="004A6597"/>
    <w:rsid w:val="004A7848"/>
    <w:rsid w:val="004B054C"/>
    <w:rsid w:val="004B1CB4"/>
    <w:rsid w:val="004B1D46"/>
    <w:rsid w:val="004B28F2"/>
    <w:rsid w:val="004B2F18"/>
    <w:rsid w:val="004B3DDB"/>
    <w:rsid w:val="004B44FD"/>
    <w:rsid w:val="004B4E5F"/>
    <w:rsid w:val="004B59F2"/>
    <w:rsid w:val="004B5CFC"/>
    <w:rsid w:val="004B5DEF"/>
    <w:rsid w:val="004B67AD"/>
    <w:rsid w:val="004B6F02"/>
    <w:rsid w:val="004B735A"/>
    <w:rsid w:val="004B774D"/>
    <w:rsid w:val="004C0ADF"/>
    <w:rsid w:val="004C1609"/>
    <w:rsid w:val="004C28A5"/>
    <w:rsid w:val="004C4AED"/>
    <w:rsid w:val="004C51F5"/>
    <w:rsid w:val="004C5D3C"/>
    <w:rsid w:val="004C618C"/>
    <w:rsid w:val="004C6E2A"/>
    <w:rsid w:val="004C72C1"/>
    <w:rsid w:val="004D037F"/>
    <w:rsid w:val="004D0774"/>
    <w:rsid w:val="004D0F4F"/>
    <w:rsid w:val="004D1613"/>
    <w:rsid w:val="004D1832"/>
    <w:rsid w:val="004D2733"/>
    <w:rsid w:val="004D27A2"/>
    <w:rsid w:val="004D2C2D"/>
    <w:rsid w:val="004D2F5D"/>
    <w:rsid w:val="004D3BB5"/>
    <w:rsid w:val="004D3C0E"/>
    <w:rsid w:val="004D4BA2"/>
    <w:rsid w:val="004D4DCA"/>
    <w:rsid w:val="004D4ECB"/>
    <w:rsid w:val="004D52CD"/>
    <w:rsid w:val="004D5375"/>
    <w:rsid w:val="004D56AA"/>
    <w:rsid w:val="004D6966"/>
    <w:rsid w:val="004D7227"/>
    <w:rsid w:val="004D74C4"/>
    <w:rsid w:val="004D7CC8"/>
    <w:rsid w:val="004E0E7F"/>
    <w:rsid w:val="004E0EB8"/>
    <w:rsid w:val="004E25FF"/>
    <w:rsid w:val="004E2ADC"/>
    <w:rsid w:val="004E43B2"/>
    <w:rsid w:val="004E4AC9"/>
    <w:rsid w:val="004E5103"/>
    <w:rsid w:val="004E55DA"/>
    <w:rsid w:val="004E61DE"/>
    <w:rsid w:val="004F1D02"/>
    <w:rsid w:val="004F1FA3"/>
    <w:rsid w:val="004F2028"/>
    <w:rsid w:val="004F20EA"/>
    <w:rsid w:val="004F2679"/>
    <w:rsid w:val="004F2F21"/>
    <w:rsid w:val="004F3004"/>
    <w:rsid w:val="004F32D4"/>
    <w:rsid w:val="004F3753"/>
    <w:rsid w:val="004F5035"/>
    <w:rsid w:val="004F50BE"/>
    <w:rsid w:val="004F59D7"/>
    <w:rsid w:val="004F5E37"/>
    <w:rsid w:val="004F6777"/>
    <w:rsid w:val="004F6913"/>
    <w:rsid w:val="004F6A0C"/>
    <w:rsid w:val="004F6A4B"/>
    <w:rsid w:val="004F7714"/>
    <w:rsid w:val="004F7865"/>
    <w:rsid w:val="00501A8C"/>
    <w:rsid w:val="0050219B"/>
    <w:rsid w:val="00503F17"/>
    <w:rsid w:val="005044E9"/>
    <w:rsid w:val="0050574C"/>
    <w:rsid w:val="00506928"/>
    <w:rsid w:val="00506AB5"/>
    <w:rsid w:val="00507994"/>
    <w:rsid w:val="00507BA6"/>
    <w:rsid w:val="005133F4"/>
    <w:rsid w:val="005140B2"/>
    <w:rsid w:val="005152B5"/>
    <w:rsid w:val="0051550A"/>
    <w:rsid w:val="00515F5C"/>
    <w:rsid w:val="005161BF"/>
    <w:rsid w:val="00516377"/>
    <w:rsid w:val="00517479"/>
    <w:rsid w:val="005179AB"/>
    <w:rsid w:val="00517A88"/>
    <w:rsid w:val="00517A9A"/>
    <w:rsid w:val="00520F3F"/>
    <w:rsid w:val="00521319"/>
    <w:rsid w:val="00522BC8"/>
    <w:rsid w:val="00522FB7"/>
    <w:rsid w:val="00523C28"/>
    <w:rsid w:val="00524975"/>
    <w:rsid w:val="005250EC"/>
    <w:rsid w:val="00525A37"/>
    <w:rsid w:val="00526110"/>
    <w:rsid w:val="00526D5F"/>
    <w:rsid w:val="00526F72"/>
    <w:rsid w:val="00527420"/>
    <w:rsid w:val="00527DBF"/>
    <w:rsid w:val="00530B62"/>
    <w:rsid w:val="005314B3"/>
    <w:rsid w:val="00531BCA"/>
    <w:rsid w:val="00532594"/>
    <w:rsid w:val="00532D5E"/>
    <w:rsid w:val="00532F2B"/>
    <w:rsid w:val="005345B0"/>
    <w:rsid w:val="005349B2"/>
    <w:rsid w:val="00535CD1"/>
    <w:rsid w:val="00536277"/>
    <w:rsid w:val="00536F42"/>
    <w:rsid w:val="00537182"/>
    <w:rsid w:val="005379D4"/>
    <w:rsid w:val="0054040E"/>
    <w:rsid w:val="00542192"/>
    <w:rsid w:val="00542743"/>
    <w:rsid w:val="00542C2D"/>
    <w:rsid w:val="00542C9E"/>
    <w:rsid w:val="005436E6"/>
    <w:rsid w:val="00543946"/>
    <w:rsid w:val="00543ED8"/>
    <w:rsid w:val="00544CAC"/>
    <w:rsid w:val="005450AC"/>
    <w:rsid w:val="00546B62"/>
    <w:rsid w:val="00546E55"/>
    <w:rsid w:val="005470A1"/>
    <w:rsid w:val="005472C1"/>
    <w:rsid w:val="005474E5"/>
    <w:rsid w:val="0054788C"/>
    <w:rsid w:val="00547AFD"/>
    <w:rsid w:val="00550173"/>
    <w:rsid w:val="0055072A"/>
    <w:rsid w:val="00550796"/>
    <w:rsid w:val="00550AE1"/>
    <w:rsid w:val="00551791"/>
    <w:rsid w:val="00551985"/>
    <w:rsid w:val="00551AD4"/>
    <w:rsid w:val="00551BFD"/>
    <w:rsid w:val="00552BD3"/>
    <w:rsid w:val="005547C2"/>
    <w:rsid w:val="00555109"/>
    <w:rsid w:val="0055517D"/>
    <w:rsid w:val="00555227"/>
    <w:rsid w:val="005560A3"/>
    <w:rsid w:val="005561BA"/>
    <w:rsid w:val="005568E3"/>
    <w:rsid w:val="00557377"/>
    <w:rsid w:val="00557712"/>
    <w:rsid w:val="00557EED"/>
    <w:rsid w:val="00561161"/>
    <w:rsid w:val="00562399"/>
    <w:rsid w:val="005623A6"/>
    <w:rsid w:val="00563C9D"/>
    <w:rsid w:val="005644A8"/>
    <w:rsid w:val="0056570A"/>
    <w:rsid w:val="0056641D"/>
    <w:rsid w:val="0056696F"/>
    <w:rsid w:val="00567946"/>
    <w:rsid w:val="005706CC"/>
    <w:rsid w:val="00571170"/>
    <w:rsid w:val="00572269"/>
    <w:rsid w:val="0057244A"/>
    <w:rsid w:val="00572A4F"/>
    <w:rsid w:val="00572E1D"/>
    <w:rsid w:val="005737B8"/>
    <w:rsid w:val="0057532D"/>
    <w:rsid w:val="00575D8D"/>
    <w:rsid w:val="00576225"/>
    <w:rsid w:val="00576972"/>
    <w:rsid w:val="0057708D"/>
    <w:rsid w:val="0057798F"/>
    <w:rsid w:val="005802F6"/>
    <w:rsid w:val="00580FE9"/>
    <w:rsid w:val="0058186F"/>
    <w:rsid w:val="005819CE"/>
    <w:rsid w:val="00581B3A"/>
    <w:rsid w:val="0058251D"/>
    <w:rsid w:val="005828E2"/>
    <w:rsid w:val="00582A95"/>
    <w:rsid w:val="005833A1"/>
    <w:rsid w:val="00583699"/>
    <w:rsid w:val="00583AF8"/>
    <w:rsid w:val="00584523"/>
    <w:rsid w:val="00585570"/>
    <w:rsid w:val="005859D9"/>
    <w:rsid w:val="00585CDD"/>
    <w:rsid w:val="00585DA0"/>
    <w:rsid w:val="0058632D"/>
    <w:rsid w:val="00586AA2"/>
    <w:rsid w:val="00586E5B"/>
    <w:rsid w:val="00587058"/>
    <w:rsid w:val="0058711F"/>
    <w:rsid w:val="005873AD"/>
    <w:rsid w:val="0059097E"/>
    <w:rsid w:val="00590C2B"/>
    <w:rsid w:val="00591237"/>
    <w:rsid w:val="00591261"/>
    <w:rsid w:val="005912F2"/>
    <w:rsid w:val="00591957"/>
    <w:rsid w:val="00591B2F"/>
    <w:rsid w:val="0059234A"/>
    <w:rsid w:val="00592603"/>
    <w:rsid w:val="00592CFB"/>
    <w:rsid w:val="0059319D"/>
    <w:rsid w:val="00593471"/>
    <w:rsid w:val="0059349D"/>
    <w:rsid w:val="005942B8"/>
    <w:rsid w:val="005949D9"/>
    <w:rsid w:val="00595706"/>
    <w:rsid w:val="0059779F"/>
    <w:rsid w:val="005977C7"/>
    <w:rsid w:val="00597BF9"/>
    <w:rsid w:val="00597CDF"/>
    <w:rsid w:val="00597E12"/>
    <w:rsid w:val="005A0105"/>
    <w:rsid w:val="005A2FA3"/>
    <w:rsid w:val="005A3043"/>
    <w:rsid w:val="005A3056"/>
    <w:rsid w:val="005A373D"/>
    <w:rsid w:val="005A4DD4"/>
    <w:rsid w:val="005A5318"/>
    <w:rsid w:val="005A5ED6"/>
    <w:rsid w:val="005A6E74"/>
    <w:rsid w:val="005B04A1"/>
    <w:rsid w:val="005B1032"/>
    <w:rsid w:val="005B1FEC"/>
    <w:rsid w:val="005B311B"/>
    <w:rsid w:val="005B324D"/>
    <w:rsid w:val="005B3330"/>
    <w:rsid w:val="005B33FF"/>
    <w:rsid w:val="005B4FD7"/>
    <w:rsid w:val="005B5430"/>
    <w:rsid w:val="005B5857"/>
    <w:rsid w:val="005B653E"/>
    <w:rsid w:val="005B6540"/>
    <w:rsid w:val="005B68D1"/>
    <w:rsid w:val="005C020C"/>
    <w:rsid w:val="005C1B83"/>
    <w:rsid w:val="005C1C35"/>
    <w:rsid w:val="005C27BE"/>
    <w:rsid w:val="005C2D55"/>
    <w:rsid w:val="005C346B"/>
    <w:rsid w:val="005C37B0"/>
    <w:rsid w:val="005C40B4"/>
    <w:rsid w:val="005C4A7D"/>
    <w:rsid w:val="005C69A1"/>
    <w:rsid w:val="005C79CC"/>
    <w:rsid w:val="005D044D"/>
    <w:rsid w:val="005D08CA"/>
    <w:rsid w:val="005D09FE"/>
    <w:rsid w:val="005D0ABD"/>
    <w:rsid w:val="005D18AD"/>
    <w:rsid w:val="005D1B0B"/>
    <w:rsid w:val="005D26B4"/>
    <w:rsid w:val="005D280A"/>
    <w:rsid w:val="005D4A0B"/>
    <w:rsid w:val="005D5CCE"/>
    <w:rsid w:val="005D623E"/>
    <w:rsid w:val="005D68C3"/>
    <w:rsid w:val="005D6990"/>
    <w:rsid w:val="005E0198"/>
    <w:rsid w:val="005E0399"/>
    <w:rsid w:val="005E04FD"/>
    <w:rsid w:val="005E0E36"/>
    <w:rsid w:val="005E130B"/>
    <w:rsid w:val="005E4030"/>
    <w:rsid w:val="005E49ED"/>
    <w:rsid w:val="005E5592"/>
    <w:rsid w:val="005E6348"/>
    <w:rsid w:val="005E689D"/>
    <w:rsid w:val="005E6CBC"/>
    <w:rsid w:val="005E706E"/>
    <w:rsid w:val="005E73C0"/>
    <w:rsid w:val="005E7D67"/>
    <w:rsid w:val="005F04E5"/>
    <w:rsid w:val="005F07D1"/>
    <w:rsid w:val="005F1C80"/>
    <w:rsid w:val="005F200E"/>
    <w:rsid w:val="005F21C5"/>
    <w:rsid w:val="005F2706"/>
    <w:rsid w:val="005F273E"/>
    <w:rsid w:val="005F27DF"/>
    <w:rsid w:val="005F29F3"/>
    <w:rsid w:val="005F431D"/>
    <w:rsid w:val="005F4A7D"/>
    <w:rsid w:val="005F506A"/>
    <w:rsid w:val="005F55B8"/>
    <w:rsid w:val="005F5E0B"/>
    <w:rsid w:val="005F6469"/>
    <w:rsid w:val="005F6A8F"/>
    <w:rsid w:val="005F6B23"/>
    <w:rsid w:val="00600909"/>
    <w:rsid w:val="00600D70"/>
    <w:rsid w:val="006014D9"/>
    <w:rsid w:val="00601B5C"/>
    <w:rsid w:val="00602197"/>
    <w:rsid w:val="0060350B"/>
    <w:rsid w:val="00603DB9"/>
    <w:rsid w:val="0060411D"/>
    <w:rsid w:val="0060455B"/>
    <w:rsid w:val="006045AE"/>
    <w:rsid w:val="00604BE8"/>
    <w:rsid w:val="00605F03"/>
    <w:rsid w:val="00606827"/>
    <w:rsid w:val="00607669"/>
    <w:rsid w:val="00607AFD"/>
    <w:rsid w:val="00607B17"/>
    <w:rsid w:val="00607DE6"/>
    <w:rsid w:val="00610365"/>
    <w:rsid w:val="006108B2"/>
    <w:rsid w:val="00611867"/>
    <w:rsid w:val="00611AED"/>
    <w:rsid w:val="006121D2"/>
    <w:rsid w:val="00612F97"/>
    <w:rsid w:val="00612FBB"/>
    <w:rsid w:val="0061345D"/>
    <w:rsid w:val="0061386A"/>
    <w:rsid w:val="00614100"/>
    <w:rsid w:val="00614E0D"/>
    <w:rsid w:val="00615A2A"/>
    <w:rsid w:val="00615CE3"/>
    <w:rsid w:val="00616802"/>
    <w:rsid w:val="00616835"/>
    <w:rsid w:val="0061692A"/>
    <w:rsid w:val="0061772C"/>
    <w:rsid w:val="00617E12"/>
    <w:rsid w:val="00620A68"/>
    <w:rsid w:val="00621477"/>
    <w:rsid w:val="006216E7"/>
    <w:rsid w:val="00622B79"/>
    <w:rsid w:val="0062319E"/>
    <w:rsid w:val="006235F1"/>
    <w:rsid w:val="00623CD6"/>
    <w:rsid w:val="00623F5C"/>
    <w:rsid w:val="0062418D"/>
    <w:rsid w:val="00624509"/>
    <w:rsid w:val="006263F3"/>
    <w:rsid w:val="00626B99"/>
    <w:rsid w:val="0063158F"/>
    <w:rsid w:val="006318F1"/>
    <w:rsid w:val="00631B7E"/>
    <w:rsid w:val="00631D6B"/>
    <w:rsid w:val="006330A1"/>
    <w:rsid w:val="006344D9"/>
    <w:rsid w:val="0063479F"/>
    <w:rsid w:val="006353F0"/>
    <w:rsid w:val="006355B5"/>
    <w:rsid w:val="006358B6"/>
    <w:rsid w:val="00635D2F"/>
    <w:rsid w:val="006364A1"/>
    <w:rsid w:val="006370A2"/>
    <w:rsid w:val="00637514"/>
    <w:rsid w:val="00637BFD"/>
    <w:rsid w:val="00637EC7"/>
    <w:rsid w:val="006400B7"/>
    <w:rsid w:val="006416FD"/>
    <w:rsid w:val="00641C4E"/>
    <w:rsid w:val="00641ED9"/>
    <w:rsid w:val="00643B4F"/>
    <w:rsid w:val="00643BEB"/>
    <w:rsid w:val="006445F6"/>
    <w:rsid w:val="00644EFB"/>
    <w:rsid w:val="0064508E"/>
    <w:rsid w:val="006451BF"/>
    <w:rsid w:val="00645E5D"/>
    <w:rsid w:val="006471CC"/>
    <w:rsid w:val="006477E7"/>
    <w:rsid w:val="006506B9"/>
    <w:rsid w:val="0065079F"/>
    <w:rsid w:val="00651281"/>
    <w:rsid w:val="0065192C"/>
    <w:rsid w:val="00651F73"/>
    <w:rsid w:val="00653007"/>
    <w:rsid w:val="0065379F"/>
    <w:rsid w:val="00654493"/>
    <w:rsid w:val="006562D7"/>
    <w:rsid w:val="006569DB"/>
    <w:rsid w:val="00657B52"/>
    <w:rsid w:val="0066133E"/>
    <w:rsid w:val="00661C6B"/>
    <w:rsid w:val="00662887"/>
    <w:rsid w:val="0066398A"/>
    <w:rsid w:val="00663EFB"/>
    <w:rsid w:val="00664643"/>
    <w:rsid w:val="006669C3"/>
    <w:rsid w:val="0067012D"/>
    <w:rsid w:val="00672D1C"/>
    <w:rsid w:val="00673C9B"/>
    <w:rsid w:val="00674E42"/>
    <w:rsid w:val="00674F0B"/>
    <w:rsid w:val="006755FF"/>
    <w:rsid w:val="006762A4"/>
    <w:rsid w:val="0067701B"/>
    <w:rsid w:val="00677660"/>
    <w:rsid w:val="006812C8"/>
    <w:rsid w:val="0068165C"/>
    <w:rsid w:val="00682112"/>
    <w:rsid w:val="0068461A"/>
    <w:rsid w:val="00685198"/>
    <w:rsid w:val="00686386"/>
    <w:rsid w:val="00686957"/>
    <w:rsid w:val="006872BA"/>
    <w:rsid w:val="00687711"/>
    <w:rsid w:val="0069068E"/>
    <w:rsid w:val="00691648"/>
    <w:rsid w:val="006917D7"/>
    <w:rsid w:val="00692135"/>
    <w:rsid w:val="0069240C"/>
    <w:rsid w:val="0069289C"/>
    <w:rsid w:val="00693E43"/>
    <w:rsid w:val="00694F44"/>
    <w:rsid w:val="0069501E"/>
    <w:rsid w:val="00695118"/>
    <w:rsid w:val="00696CF0"/>
    <w:rsid w:val="00696F46"/>
    <w:rsid w:val="00697741"/>
    <w:rsid w:val="006A0CF6"/>
    <w:rsid w:val="006A1A6C"/>
    <w:rsid w:val="006A1CD5"/>
    <w:rsid w:val="006A1DCB"/>
    <w:rsid w:val="006A23EA"/>
    <w:rsid w:val="006A3092"/>
    <w:rsid w:val="006A3BBF"/>
    <w:rsid w:val="006A44D2"/>
    <w:rsid w:val="006A468B"/>
    <w:rsid w:val="006A4842"/>
    <w:rsid w:val="006A4B91"/>
    <w:rsid w:val="006A5335"/>
    <w:rsid w:val="006A6204"/>
    <w:rsid w:val="006A6B14"/>
    <w:rsid w:val="006A71F5"/>
    <w:rsid w:val="006A75FC"/>
    <w:rsid w:val="006A7E5F"/>
    <w:rsid w:val="006A7FFA"/>
    <w:rsid w:val="006B0256"/>
    <w:rsid w:val="006B0699"/>
    <w:rsid w:val="006B1DB7"/>
    <w:rsid w:val="006B216F"/>
    <w:rsid w:val="006B261B"/>
    <w:rsid w:val="006B2B4B"/>
    <w:rsid w:val="006B2C90"/>
    <w:rsid w:val="006B3EBC"/>
    <w:rsid w:val="006B6DD0"/>
    <w:rsid w:val="006B7678"/>
    <w:rsid w:val="006C0700"/>
    <w:rsid w:val="006C13FC"/>
    <w:rsid w:val="006C2412"/>
    <w:rsid w:val="006C24C7"/>
    <w:rsid w:val="006C2A8E"/>
    <w:rsid w:val="006C30BD"/>
    <w:rsid w:val="006C3E0F"/>
    <w:rsid w:val="006C42F5"/>
    <w:rsid w:val="006C58D7"/>
    <w:rsid w:val="006C6EA1"/>
    <w:rsid w:val="006D1C83"/>
    <w:rsid w:val="006D3C7D"/>
    <w:rsid w:val="006D4152"/>
    <w:rsid w:val="006D5D5F"/>
    <w:rsid w:val="006D6BF0"/>
    <w:rsid w:val="006D6C8D"/>
    <w:rsid w:val="006D6E90"/>
    <w:rsid w:val="006E0F4F"/>
    <w:rsid w:val="006E26A7"/>
    <w:rsid w:val="006E464E"/>
    <w:rsid w:val="006E48A8"/>
    <w:rsid w:val="006E4E4A"/>
    <w:rsid w:val="006E6461"/>
    <w:rsid w:val="006E6935"/>
    <w:rsid w:val="006F0C86"/>
    <w:rsid w:val="006F1695"/>
    <w:rsid w:val="006F1E96"/>
    <w:rsid w:val="006F306C"/>
    <w:rsid w:val="006F3153"/>
    <w:rsid w:val="006F42A1"/>
    <w:rsid w:val="006F45AD"/>
    <w:rsid w:val="006F46DE"/>
    <w:rsid w:val="006F54D6"/>
    <w:rsid w:val="006F5587"/>
    <w:rsid w:val="006F5E02"/>
    <w:rsid w:val="006F6041"/>
    <w:rsid w:val="006F60D8"/>
    <w:rsid w:val="006F63A5"/>
    <w:rsid w:val="006F716E"/>
    <w:rsid w:val="007009CD"/>
    <w:rsid w:val="0070112B"/>
    <w:rsid w:val="0070142B"/>
    <w:rsid w:val="00701B69"/>
    <w:rsid w:val="0070276E"/>
    <w:rsid w:val="00702F8F"/>
    <w:rsid w:val="007031F2"/>
    <w:rsid w:val="0070560F"/>
    <w:rsid w:val="00705873"/>
    <w:rsid w:val="00705F70"/>
    <w:rsid w:val="00706511"/>
    <w:rsid w:val="00706587"/>
    <w:rsid w:val="00706AE6"/>
    <w:rsid w:val="00706EF0"/>
    <w:rsid w:val="00707498"/>
    <w:rsid w:val="00707E52"/>
    <w:rsid w:val="00710571"/>
    <w:rsid w:val="00711741"/>
    <w:rsid w:val="00711780"/>
    <w:rsid w:val="00711A36"/>
    <w:rsid w:val="00711F1D"/>
    <w:rsid w:val="0071393D"/>
    <w:rsid w:val="0071456B"/>
    <w:rsid w:val="007148C9"/>
    <w:rsid w:val="0071498B"/>
    <w:rsid w:val="00714F3C"/>
    <w:rsid w:val="0071529C"/>
    <w:rsid w:val="00715E3D"/>
    <w:rsid w:val="007162C8"/>
    <w:rsid w:val="0071632A"/>
    <w:rsid w:val="00716403"/>
    <w:rsid w:val="0071691C"/>
    <w:rsid w:val="007172AD"/>
    <w:rsid w:val="007179A0"/>
    <w:rsid w:val="00717EAA"/>
    <w:rsid w:val="00721310"/>
    <w:rsid w:val="00721CC1"/>
    <w:rsid w:val="00722B1B"/>
    <w:rsid w:val="00722E7E"/>
    <w:rsid w:val="00723F1D"/>
    <w:rsid w:val="0072416F"/>
    <w:rsid w:val="007243AD"/>
    <w:rsid w:val="00724FD1"/>
    <w:rsid w:val="007253B8"/>
    <w:rsid w:val="00726DEF"/>
    <w:rsid w:val="00727C94"/>
    <w:rsid w:val="0073033D"/>
    <w:rsid w:val="00730BCD"/>
    <w:rsid w:val="00730D3F"/>
    <w:rsid w:val="007315A6"/>
    <w:rsid w:val="00731EAE"/>
    <w:rsid w:val="00732599"/>
    <w:rsid w:val="00732D25"/>
    <w:rsid w:val="00733328"/>
    <w:rsid w:val="00734349"/>
    <w:rsid w:val="007346EE"/>
    <w:rsid w:val="00735033"/>
    <w:rsid w:val="00735328"/>
    <w:rsid w:val="00735B22"/>
    <w:rsid w:val="00736219"/>
    <w:rsid w:val="00736518"/>
    <w:rsid w:val="00736651"/>
    <w:rsid w:val="0073685B"/>
    <w:rsid w:val="0073777A"/>
    <w:rsid w:val="00737EEF"/>
    <w:rsid w:val="00740694"/>
    <w:rsid w:val="007406C5"/>
    <w:rsid w:val="00740FF8"/>
    <w:rsid w:val="00741C93"/>
    <w:rsid w:val="0074345A"/>
    <w:rsid w:val="00743A03"/>
    <w:rsid w:val="00743B1E"/>
    <w:rsid w:val="00744543"/>
    <w:rsid w:val="007471DA"/>
    <w:rsid w:val="00750668"/>
    <w:rsid w:val="00750876"/>
    <w:rsid w:val="00750D5A"/>
    <w:rsid w:val="0075102A"/>
    <w:rsid w:val="00752142"/>
    <w:rsid w:val="007523F9"/>
    <w:rsid w:val="007524F0"/>
    <w:rsid w:val="007537A8"/>
    <w:rsid w:val="00753D87"/>
    <w:rsid w:val="007546BF"/>
    <w:rsid w:val="00754E91"/>
    <w:rsid w:val="00755D3A"/>
    <w:rsid w:val="00756D65"/>
    <w:rsid w:val="00756EB2"/>
    <w:rsid w:val="00756FA7"/>
    <w:rsid w:val="007573E8"/>
    <w:rsid w:val="0076029B"/>
    <w:rsid w:val="007605C9"/>
    <w:rsid w:val="00760C4E"/>
    <w:rsid w:val="00760CB0"/>
    <w:rsid w:val="007617D2"/>
    <w:rsid w:val="00761F57"/>
    <w:rsid w:val="007622DA"/>
    <w:rsid w:val="00762847"/>
    <w:rsid w:val="00763364"/>
    <w:rsid w:val="00763890"/>
    <w:rsid w:val="00764383"/>
    <w:rsid w:val="00764F6E"/>
    <w:rsid w:val="007651A5"/>
    <w:rsid w:val="0076550F"/>
    <w:rsid w:val="007657E0"/>
    <w:rsid w:val="00765B1A"/>
    <w:rsid w:val="00765BCC"/>
    <w:rsid w:val="007662E0"/>
    <w:rsid w:val="00766394"/>
    <w:rsid w:val="00767A7A"/>
    <w:rsid w:val="00767B74"/>
    <w:rsid w:val="00770151"/>
    <w:rsid w:val="00771664"/>
    <w:rsid w:val="00771B48"/>
    <w:rsid w:val="0077215B"/>
    <w:rsid w:val="00772284"/>
    <w:rsid w:val="007722E7"/>
    <w:rsid w:val="00772694"/>
    <w:rsid w:val="00774094"/>
    <w:rsid w:val="0077432E"/>
    <w:rsid w:val="007746BD"/>
    <w:rsid w:val="00774EF7"/>
    <w:rsid w:val="007751B1"/>
    <w:rsid w:val="00777578"/>
    <w:rsid w:val="0078094C"/>
    <w:rsid w:val="00780EED"/>
    <w:rsid w:val="007811C4"/>
    <w:rsid w:val="00781CD9"/>
    <w:rsid w:val="00782C39"/>
    <w:rsid w:val="00782FB0"/>
    <w:rsid w:val="007836FE"/>
    <w:rsid w:val="007837CA"/>
    <w:rsid w:val="0078387B"/>
    <w:rsid w:val="00783B3C"/>
    <w:rsid w:val="00783E97"/>
    <w:rsid w:val="007843D6"/>
    <w:rsid w:val="007843F2"/>
    <w:rsid w:val="0078518C"/>
    <w:rsid w:val="00785A8F"/>
    <w:rsid w:val="00785C75"/>
    <w:rsid w:val="00786495"/>
    <w:rsid w:val="00786C04"/>
    <w:rsid w:val="00786CEA"/>
    <w:rsid w:val="00787C27"/>
    <w:rsid w:val="00790A18"/>
    <w:rsid w:val="00790D57"/>
    <w:rsid w:val="00791053"/>
    <w:rsid w:val="00791B3D"/>
    <w:rsid w:val="00791E5B"/>
    <w:rsid w:val="00793084"/>
    <w:rsid w:val="007937F7"/>
    <w:rsid w:val="00793B53"/>
    <w:rsid w:val="00793F42"/>
    <w:rsid w:val="00794F8D"/>
    <w:rsid w:val="0079506F"/>
    <w:rsid w:val="0079512D"/>
    <w:rsid w:val="007956CE"/>
    <w:rsid w:val="00797A49"/>
    <w:rsid w:val="00797B94"/>
    <w:rsid w:val="007A0102"/>
    <w:rsid w:val="007A0A12"/>
    <w:rsid w:val="007A132D"/>
    <w:rsid w:val="007A21E3"/>
    <w:rsid w:val="007A35FE"/>
    <w:rsid w:val="007A36CB"/>
    <w:rsid w:val="007A37F6"/>
    <w:rsid w:val="007A46B8"/>
    <w:rsid w:val="007A4A06"/>
    <w:rsid w:val="007A4BEC"/>
    <w:rsid w:val="007A4F1A"/>
    <w:rsid w:val="007A5E3D"/>
    <w:rsid w:val="007A661F"/>
    <w:rsid w:val="007A7034"/>
    <w:rsid w:val="007A7E76"/>
    <w:rsid w:val="007B0D68"/>
    <w:rsid w:val="007B116F"/>
    <w:rsid w:val="007B1335"/>
    <w:rsid w:val="007B1AE5"/>
    <w:rsid w:val="007B251D"/>
    <w:rsid w:val="007B2D46"/>
    <w:rsid w:val="007B3666"/>
    <w:rsid w:val="007B4F58"/>
    <w:rsid w:val="007B528D"/>
    <w:rsid w:val="007B5BF5"/>
    <w:rsid w:val="007B5DAD"/>
    <w:rsid w:val="007B725F"/>
    <w:rsid w:val="007B77D1"/>
    <w:rsid w:val="007C1CD9"/>
    <w:rsid w:val="007C1DAD"/>
    <w:rsid w:val="007C2156"/>
    <w:rsid w:val="007C22A2"/>
    <w:rsid w:val="007C23E3"/>
    <w:rsid w:val="007C2FFE"/>
    <w:rsid w:val="007C361D"/>
    <w:rsid w:val="007C468F"/>
    <w:rsid w:val="007C4B84"/>
    <w:rsid w:val="007C4E7B"/>
    <w:rsid w:val="007C597F"/>
    <w:rsid w:val="007C5A6F"/>
    <w:rsid w:val="007C6B8E"/>
    <w:rsid w:val="007C7A63"/>
    <w:rsid w:val="007D004F"/>
    <w:rsid w:val="007D0B38"/>
    <w:rsid w:val="007D1011"/>
    <w:rsid w:val="007D12D4"/>
    <w:rsid w:val="007D1A0F"/>
    <w:rsid w:val="007D1FFF"/>
    <w:rsid w:val="007D3835"/>
    <w:rsid w:val="007D4C9E"/>
    <w:rsid w:val="007D5440"/>
    <w:rsid w:val="007D6328"/>
    <w:rsid w:val="007D6A42"/>
    <w:rsid w:val="007D79B0"/>
    <w:rsid w:val="007E0429"/>
    <w:rsid w:val="007E25DF"/>
    <w:rsid w:val="007E3BA9"/>
    <w:rsid w:val="007E3CB4"/>
    <w:rsid w:val="007E573D"/>
    <w:rsid w:val="007E5A27"/>
    <w:rsid w:val="007E5DE9"/>
    <w:rsid w:val="007E654D"/>
    <w:rsid w:val="007E6DB9"/>
    <w:rsid w:val="007F1017"/>
    <w:rsid w:val="007F11C8"/>
    <w:rsid w:val="007F13D7"/>
    <w:rsid w:val="007F2928"/>
    <w:rsid w:val="007F3D0E"/>
    <w:rsid w:val="007F43B4"/>
    <w:rsid w:val="007F4A3F"/>
    <w:rsid w:val="007F4A61"/>
    <w:rsid w:val="007F5340"/>
    <w:rsid w:val="007F5F3E"/>
    <w:rsid w:val="007F61C2"/>
    <w:rsid w:val="007F704C"/>
    <w:rsid w:val="007F7BD8"/>
    <w:rsid w:val="00801936"/>
    <w:rsid w:val="008025F7"/>
    <w:rsid w:val="008037A8"/>
    <w:rsid w:val="00805142"/>
    <w:rsid w:val="0080542F"/>
    <w:rsid w:val="0080552D"/>
    <w:rsid w:val="00805B62"/>
    <w:rsid w:val="008068D4"/>
    <w:rsid w:val="00807239"/>
    <w:rsid w:val="00807A8B"/>
    <w:rsid w:val="0081097A"/>
    <w:rsid w:val="00811383"/>
    <w:rsid w:val="0081138F"/>
    <w:rsid w:val="00811BE8"/>
    <w:rsid w:val="00812149"/>
    <w:rsid w:val="008126C1"/>
    <w:rsid w:val="00812B95"/>
    <w:rsid w:val="00812CAC"/>
    <w:rsid w:val="008142BF"/>
    <w:rsid w:val="0081561C"/>
    <w:rsid w:val="00815DE0"/>
    <w:rsid w:val="00815E77"/>
    <w:rsid w:val="008166EF"/>
    <w:rsid w:val="00816C9E"/>
    <w:rsid w:val="00817033"/>
    <w:rsid w:val="00817308"/>
    <w:rsid w:val="00821E10"/>
    <w:rsid w:val="00822181"/>
    <w:rsid w:val="008233A4"/>
    <w:rsid w:val="00823A96"/>
    <w:rsid w:val="00823AD4"/>
    <w:rsid w:val="00824367"/>
    <w:rsid w:val="00824844"/>
    <w:rsid w:val="00825636"/>
    <w:rsid w:val="00825751"/>
    <w:rsid w:val="008260CD"/>
    <w:rsid w:val="008264EB"/>
    <w:rsid w:val="00826C17"/>
    <w:rsid w:val="00827239"/>
    <w:rsid w:val="00827949"/>
    <w:rsid w:val="00827A31"/>
    <w:rsid w:val="00830B80"/>
    <w:rsid w:val="00832385"/>
    <w:rsid w:val="008326A2"/>
    <w:rsid w:val="00833B05"/>
    <w:rsid w:val="008341FC"/>
    <w:rsid w:val="00834347"/>
    <w:rsid w:val="008362B4"/>
    <w:rsid w:val="00836BB0"/>
    <w:rsid w:val="00837FC8"/>
    <w:rsid w:val="0084045B"/>
    <w:rsid w:val="00840CA2"/>
    <w:rsid w:val="008431D4"/>
    <w:rsid w:val="0084374F"/>
    <w:rsid w:val="00844EBB"/>
    <w:rsid w:val="00845371"/>
    <w:rsid w:val="00845452"/>
    <w:rsid w:val="00845596"/>
    <w:rsid w:val="008455E9"/>
    <w:rsid w:val="00845CC1"/>
    <w:rsid w:val="00846245"/>
    <w:rsid w:val="008463D3"/>
    <w:rsid w:val="00847DF5"/>
    <w:rsid w:val="00851DFA"/>
    <w:rsid w:val="0085309D"/>
    <w:rsid w:val="00853D94"/>
    <w:rsid w:val="00854EBE"/>
    <w:rsid w:val="00855B35"/>
    <w:rsid w:val="00856897"/>
    <w:rsid w:val="00856E9A"/>
    <w:rsid w:val="0085722A"/>
    <w:rsid w:val="0086075D"/>
    <w:rsid w:val="00861281"/>
    <w:rsid w:val="0086165F"/>
    <w:rsid w:val="00861FC6"/>
    <w:rsid w:val="00862502"/>
    <w:rsid w:val="00862907"/>
    <w:rsid w:val="00862A0C"/>
    <w:rsid w:val="00862B14"/>
    <w:rsid w:val="0086519F"/>
    <w:rsid w:val="008658D3"/>
    <w:rsid w:val="00865ADB"/>
    <w:rsid w:val="008660D4"/>
    <w:rsid w:val="00866520"/>
    <w:rsid w:val="00866921"/>
    <w:rsid w:val="0086725F"/>
    <w:rsid w:val="00867441"/>
    <w:rsid w:val="00871024"/>
    <w:rsid w:val="008719F6"/>
    <w:rsid w:val="00871D68"/>
    <w:rsid w:val="00871FA9"/>
    <w:rsid w:val="00872584"/>
    <w:rsid w:val="0087279B"/>
    <w:rsid w:val="008728E9"/>
    <w:rsid w:val="00872988"/>
    <w:rsid w:val="00872A39"/>
    <w:rsid w:val="00872D97"/>
    <w:rsid w:val="008733E2"/>
    <w:rsid w:val="0087340B"/>
    <w:rsid w:val="008752E7"/>
    <w:rsid w:val="008763BE"/>
    <w:rsid w:val="008763BF"/>
    <w:rsid w:val="00880B69"/>
    <w:rsid w:val="00880BBB"/>
    <w:rsid w:val="00880CF2"/>
    <w:rsid w:val="00880F33"/>
    <w:rsid w:val="00880F52"/>
    <w:rsid w:val="00882264"/>
    <w:rsid w:val="0088249A"/>
    <w:rsid w:val="00882874"/>
    <w:rsid w:val="00883787"/>
    <w:rsid w:val="008841B0"/>
    <w:rsid w:val="0088435D"/>
    <w:rsid w:val="008843F4"/>
    <w:rsid w:val="00884EAA"/>
    <w:rsid w:val="00885891"/>
    <w:rsid w:val="008862AF"/>
    <w:rsid w:val="008869BE"/>
    <w:rsid w:val="00886CD2"/>
    <w:rsid w:val="00886FBB"/>
    <w:rsid w:val="00887327"/>
    <w:rsid w:val="00887C16"/>
    <w:rsid w:val="00891CDA"/>
    <w:rsid w:val="008927A2"/>
    <w:rsid w:val="00892A36"/>
    <w:rsid w:val="00892FA6"/>
    <w:rsid w:val="00893239"/>
    <w:rsid w:val="008933AD"/>
    <w:rsid w:val="0089389A"/>
    <w:rsid w:val="00894489"/>
    <w:rsid w:val="008949B9"/>
    <w:rsid w:val="008949E1"/>
    <w:rsid w:val="00895242"/>
    <w:rsid w:val="00895A0D"/>
    <w:rsid w:val="00895C56"/>
    <w:rsid w:val="008963A5"/>
    <w:rsid w:val="008967AF"/>
    <w:rsid w:val="008A0DAE"/>
    <w:rsid w:val="008A1ABF"/>
    <w:rsid w:val="008A3363"/>
    <w:rsid w:val="008A3371"/>
    <w:rsid w:val="008A3AB1"/>
    <w:rsid w:val="008A3C3E"/>
    <w:rsid w:val="008A3D0B"/>
    <w:rsid w:val="008A3D74"/>
    <w:rsid w:val="008A6FDF"/>
    <w:rsid w:val="008A7708"/>
    <w:rsid w:val="008A79DE"/>
    <w:rsid w:val="008A7F04"/>
    <w:rsid w:val="008A7F22"/>
    <w:rsid w:val="008B04F5"/>
    <w:rsid w:val="008B1757"/>
    <w:rsid w:val="008B1E7D"/>
    <w:rsid w:val="008B2F18"/>
    <w:rsid w:val="008B31B7"/>
    <w:rsid w:val="008B32C0"/>
    <w:rsid w:val="008B353D"/>
    <w:rsid w:val="008B466B"/>
    <w:rsid w:val="008B4D79"/>
    <w:rsid w:val="008B51E4"/>
    <w:rsid w:val="008B6B83"/>
    <w:rsid w:val="008B6FE9"/>
    <w:rsid w:val="008B75CE"/>
    <w:rsid w:val="008B777E"/>
    <w:rsid w:val="008B7AA0"/>
    <w:rsid w:val="008B7D7E"/>
    <w:rsid w:val="008C01F5"/>
    <w:rsid w:val="008C03BD"/>
    <w:rsid w:val="008C0C90"/>
    <w:rsid w:val="008C1208"/>
    <w:rsid w:val="008C242F"/>
    <w:rsid w:val="008C2754"/>
    <w:rsid w:val="008C46D9"/>
    <w:rsid w:val="008C53B7"/>
    <w:rsid w:val="008C5D55"/>
    <w:rsid w:val="008C73CB"/>
    <w:rsid w:val="008C7889"/>
    <w:rsid w:val="008C7979"/>
    <w:rsid w:val="008C7D7C"/>
    <w:rsid w:val="008C7ECB"/>
    <w:rsid w:val="008D00E5"/>
    <w:rsid w:val="008D013D"/>
    <w:rsid w:val="008D0196"/>
    <w:rsid w:val="008D0623"/>
    <w:rsid w:val="008D4247"/>
    <w:rsid w:val="008D4755"/>
    <w:rsid w:val="008D4C3D"/>
    <w:rsid w:val="008D512B"/>
    <w:rsid w:val="008D6600"/>
    <w:rsid w:val="008D6C3F"/>
    <w:rsid w:val="008D78E8"/>
    <w:rsid w:val="008D79EA"/>
    <w:rsid w:val="008E0CE8"/>
    <w:rsid w:val="008E0D24"/>
    <w:rsid w:val="008E0D3C"/>
    <w:rsid w:val="008E11DB"/>
    <w:rsid w:val="008E1B9E"/>
    <w:rsid w:val="008E2C18"/>
    <w:rsid w:val="008E33EB"/>
    <w:rsid w:val="008E3A0C"/>
    <w:rsid w:val="008E44FA"/>
    <w:rsid w:val="008E5399"/>
    <w:rsid w:val="008E5572"/>
    <w:rsid w:val="008E55AB"/>
    <w:rsid w:val="008E6556"/>
    <w:rsid w:val="008E6B33"/>
    <w:rsid w:val="008E7127"/>
    <w:rsid w:val="008E7CCF"/>
    <w:rsid w:val="008F120A"/>
    <w:rsid w:val="008F27E0"/>
    <w:rsid w:val="008F29DE"/>
    <w:rsid w:val="008F333F"/>
    <w:rsid w:val="008F3467"/>
    <w:rsid w:val="008F3B48"/>
    <w:rsid w:val="008F3BD1"/>
    <w:rsid w:val="008F3CC4"/>
    <w:rsid w:val="008F4309"/>
    <w:rsid w:val="008F45AA"/>
    <w:rsid w:val="008F48EB"/>
    <w:rsid w:val="008F4963"/>
    <w:rsid w:val="008F4F0B"/>
    <w:rsid w:val="008F5928"/>
    <w:rsid w:val="008F5AF0"/>
    <w:rsid w:val="008F5F76"/>
    <w:rsid w:val="008F672A"/>
    <w:rsid w:val="008F6771"/>
    <w:rsid w:val="008F6C3E"/>
    <w:rsid w:val="008F7887"/>
    <w:rsid w:val="008F7BA4"/>
    <w:rsid w:val="00900064"/>
    <w:rsid w:val="009014B1"/>
    <w:rsid w:val="00902016"/>
    <w:rsid w:val="00902A69"/>
    <w:rsid w:val="00902CC2"/>
    <w:rsid w:val="00902EB5"/>
    <w:rsid w:val="009046C4"/>
    <w:rsid w:val="00904D28"/>
    <w:rsid w:val="00904D94"/>
    <w:rsid w:val="00905AE9"/>
    <w:rsid w:val="009062A5"/>
    <w:rsid w:val="00906519"/>
    <w:rsid w:val="009066D5"/>
    <w:rsid w:val="0091011D"/>
    <w:rsid w:val="009109AE"/>
    <w:rsid w:val="00910D01"/>
    <w:rsid w:val="0091107C"/>
    <w:rsid w:val="00911272"/>
    <w:rsid w:val="009114FB"/>
    <w:rsid w:val="00912CF3"/>
    <w:rsid w:val="00912FBA"/>
    <w:rsid w:val="009135D6"/>
    <w:rsid w:val="00914163"/>
    <w:rsid w:val="0091443D"/>
    <w:rsid w:val="0091485A"/>
    <w:rsid w:val="00914C77"/>
    <w:rsid w:val="009223DF"/>
    <w:rsid w:val="009226B8"/>
    <w:rsid w:val="00922AA4"/>
    <w:rsid w:val="0092369B"/>
    <w:rsid w:val="0092450F"/>
    <w:rsid w:val="00924597"/>
    <w:rsid w:val="00924F91"/>
    <w:rsid w:val="0092543A"/>
    <w:rsid w:val="0092589C"/>
    <w:rsid w:val="00925FDD"/>
    <w:rsid w:val="0092615E"/>
    <w:rsid w:val="00926B88"/>
    <w:rsid w:val="00926C2E"/>
    <w:rsid w:val="00927064"/>
    <w:rsid w:val="00927E9D"/>
    <w:rsid w:val="009300C9"/>
    <w:rsid w:val="009304BD"/>
    <w:rsid w:val="00930841"/>
    <w:rsid w:val="00931B1C"/>
    <w:rsid w:val="00933620"/>
    <w:rsid w:val="00935737"/>
    <w:rsid w:val="0093617D"/>
    <w:rsid w:val="00936EFF"/>
    <w:rsid w:val="00937ADA"/>
    <w:rsid w:val="009407EF"/>
    <w:rsid w:val="00941017"/>
    <w:rsid w:val="00941D5F"/>
    <w:rsid w:val="00942790"/>
    <w:rsid w:val="00942F81"/>
    <w:rsid w:val="0094335E"/>
    <w:rsid w:val="00944134"/>
    <w:rsid w:val="009442F9"/>
    <w:rsid w:val="009449D2"/>
    <w:rsid w:val="0094634C"/>
    <w:rsid w:val="0094673E"/>
    <w:rsid w:val="009506F0"/>
    <w:rsid w:val="009510A2"/>
    <w:rsid w:val="009510D2"/>
    <w:rsid w:val="0095154D"/>
    <w:rsid w:val="00951CD5"/>
    <w:rsid w:val="009524E7"/>
    <w:rsid w:val="009531E7"/>
    <w:rsid w:val="00953257"/>
    <w:rsid w:val="009532FB"/>
    <w:rsid w:val="00953C5C"/>
    <w:rsid w:val="009543A8"/>
    <w:rsid w:val="00954425"/>
    <w:rsid w:val="009566A5"/>
    <w:rsid w:val="00957387"/>
    <w:rsid w:val="0095759E"/>
    <w:rsid w:val="00957774"/>
    <w:rsid w:val="00962CB9"/>
    <w:rsid w:val="00962CFB"/>
    <w:rsid w:val="00964312"/>
    <w:rsid w:val="00964A85"/>
    <w:rsid w:val="009652BF"/>
    <w:rsid w:val="009653A8"/>
    <w:rsid w:val="00965B8A"/>
    <w:rsid w:val="00965EFB"/>
    <w:rsid w:val="00965F51"/>
    <w:rsid w:val="009668AE"/>
    <w:rsid w:val="00967F90"/>
    <w:rsid w:val="00970C7D"/>
    <w:rsid w:val="009717AC"/>
    <w:rsid w:val="00971D45"/>
    <w:rsid w:val="0097225C"/>
    <w:rsid w:val="00972D50"/>
    <w:rsid w:val="0097350B"/>
    <w:rsid w:val="0097462F"/>
    <w:rsid w:val="00975BF5"/>
    <w:rsid w:val="00976D17"/>
    <w:rsid w:val="0097767C"/>
    <w:rsid w:val="00977A35"/>
    <w:rsid w:val="009801BA"/>
    <w:rsid w:val="00980454"/>
    <w:rsid w:val="00981C44"/>
    <w:rsid w:val="00982C4E"/>
    <w:rsid w:val="00982DAD"/>
    <w:rsid w:val="00983E57"/>
    <w:rsid w:val="00984449"/>
    <w:rsid w:val="00985630"/>
    <w:rsid w:val="009866BA"/>
    <w:rsid w:val="0098675D"/>
    <w:rsid w:val="00986E24"/>
    <w:rsid w:val="00987351"/>
    <w:rsid w:val="009879DE"/>
    <w:rsid w:val="009903D2"/>
    <w:rsid w:val="00990E90"/>
    <w:rsid w:val="009913ED"/>
    <w:rsid w:val="009919A5"/>
    <w:rsid w:val="00991E6C"/>
    <w:rsid w:val="00992011"/>
    <w:rsid w:val="009924CF"/>
    <w:rsid w:val="00992830"/>
    <w:rsid w:val="009928E0"/>
    <w:rsid w:val="00992A96"/>
    <w:rsid w:val="00992B60"/>
    <w:rsid w:val="0099301C"/>
    <w:rsid w:val="009931AC"/>
    <w:rsid w:val="00993A52"/>
    <w:rsid w:val="00993A53"/>
    <w:rsid w:val="00993AA8"/>
    <w:rsid w:val="00994430"/>
    <w:rsid w:val="0099552C"/>
    <w:rsid w:val="0099605A"/>
    <w:rsid w:val="00996B1A"/>
    <w:rsid w:val="00996E18"/>
    <w:rsid w:val="009A097D"/>
    <w:rsid w:val="009A2C8F"/>
    <w:rsid w:val="009A3CA3"/>
    <w:rsid w:val="009A464F"/>
    <w:rsid w:val="009A4F40"/>
    <w:rsid w:val="009A742A"/>
    <w:rsid w:val="009A7A81"/>
    <w:rsid w:val="009A7B0F"/>
    <w:rsid w:val="009A7F10"/>
    <w:rsid w:val="009B07D1"/>
    <w:rsid w:val="009B093D"/>
    <w:rsid w:val="009B164D"/>
    <w:rsid w:val="009B1ADF"/>
    <w:rsid w:val="009B2CFB"/>
    <w:rsid w:val="009B3B79"/>
    <w:rsid w:val="009B3E26"/>
    <w:rsid w:val="009B4B01"/>
    <w:rsid w:val="009B4F22"/>
    <w:rsid w:val="009B576D"/>
    <w:rsid w:val="009B6252"/>
    <w:rsid w:val="009B66FD"/>
    <w:rsid w:val="009B6C03"/>
    <w:rsid w:val="009C0C0C"/>
    <w:rsid w:val="009C168B"/>
    <w:rsid w:val="009C27F2"/>
    <w:rsid w:val="009C2E3C"/>
    <w:rsid w:val="009C46B2"/>
    <w:rsid w:val="009C5002"/>
    <w:rsid w:val="009C544F"/>
    <w:rsid w:val="009C6CEA"/>
    <w:rsid w:val="009C746C"/>
    <w:rsid w:val="009C7B85"/>
    <w:rsid w:val="009C7DDB"/>
    <w:rsid w:val="009D0EB4"/>
    <w:rsid w:val="009D1443"/>
    <w:rsid w:val="009D17B6"/>
    <w:rsid w:val="009D18CB"/>
    <w:rsid w:val="009D1E0D"/>
    <w:rsid w:val="009D1F71"/>
    <w:rsid w:val="009D237F"/>
    <w:rsid w:val="009D2506"/>
    <w:rsid w:val="009D467C"/>
    <w:rsid w:val="009D4AFF"/>
    <w:rsid w:val="009D5842"/>
    <w:rsid w:val="009D5B91"/>
    <w:rsid w:val="009D6029"/>
    <w:rsid w:val="009D6E61"/>
    <w:rsid w:val="009D792E"/>
    <w:rsid w:val="009D7D1D"/>
    <w:rsid w:val="009D7D8E"/>
    <w:rsid w:val="009D7E40"/>
    <w:rsid w:val="009E0DFE"/>
    <w:rsid w:val="009E12FA"/>
    <w:rsid w:val="009E335B"/>
    <w:rsid w:val="009E376B"/>
    <w:rsid w:val="009E3B4A"/>
    <w:rsid w:val="009E3FDA"/>
    <w:rsid w:val="009E4314"/>
    <w:rsid w:val="009E48D4"/>
    <w:rsid w:val="009E4C07"/>
    <w:rsid w:val="009E7B00"/>
    <w:rsid w:val="009E7DDD"/>
    <w:rsid w:val="009F0C79"/>
    <w:rsid w:val="009F6F55"/>
    <w:rsid w:val="009F788A"/>
    <w:rsid w:val="009F7E5A"/>
    <w:rsid w:val="00A01184"/>
    <w:rsid w:val="00A0118D"/>
    <w:rsid w:val="00A0250C"/>
    <w:rsid w:val="00A02987"/>
    <w:rsid w:val="00A033AA"/>
    <w:rsid w:val="00A03D43"/>
    <w:rsid w:val="00A04380"/>
    <w:rsid w:val="00A04EFF"/>
    <w:rsid w:val="00A0503D"/>
    <w:rsid w:val="00A052C4"/>
    <w:rsid w:val="00A0592E"/>
    <w:rsid w:val="00A066AB"/>
    <w:rsid w:val="00A07866"/>
    <w:rsid w:val="00A10358"/>
    <w:rsid w:val="00A103EF"/>
    <w:rsid w:val="00A10596"/>
    <w:rsid w:val="00A11CD0"/>
    <w:rsid w:val="00A120CD"/>
    <w:rsid w:val="00A12531"/>
    <w:rsid w:val="00A12794"/>
    <w:rsid w:val="00A12CF8"/>
    <w:rsid w:val="00A13051"/>
    <w:rsid w:val="00A13948"/>
    <w:rsid w:val="00A13A56"/>
    <w:rsid w:val="00A15069"/>
    <w:rsid w:val="00A1555B"/>
    <w:rsid w:val="00A155C5"/>
    <w:rsid w:val="00A15CD5"/>
    <w:rsid w:val="00A15D2B"/>
    <w:rsid w:val="00A1612F"/>
    <w:rsid w:val="00A16AD8"/>
    <w:rsid w:val="00A175EC"/>
    <w:rsid w:val="00A17AD8"/>
    <w:rsid w:val="00A17B23"/>
    <w:rsid w:val="00A17B82"/>
    <w:rsid w:val="00A20A30"/>
    <w:rsid w:val="00A20B5B"/>
    <w:rsid w:val="00A20EB9"/>
    <w:rsid w:val="00A21154"/>
    <w:rsid w:val="00A21CF3"/>
    <w:rsid w:val="00A229BA"/>
    <w:rsid w:val="00A22A6D"/>
    <w:rsid w:val="00A2330C"/>
    <w:rsid w:val="00A247FC"/>
    <w:rsid w:val="00A251BF"/>
    <w:rsid w:val="00A252E5"/>
    <w:rsid w:val="00A25652"/>
    <w:rsid w:val="00A2684E"/>
    <w:rsid w:val="00A269C7"/>
    <w:rsid w:val="00A27AE8"/>
    <w:rsid w:val="00A27AEC"/>
    <w:rsid w:val="00A30FBB"/>
    <w:rsid w:val="00A320DB"/>
    <w:rsid w:val="00A3265B"/>
    <w:rsid w:val="00A32910"/>
    <w:rsid w:val="00A334A9"/>
    <w:rsid w:val="00A34331"/>
    <w:rsid w:val="00A34483"/>
    <w:rsid w:val="00A34B52"/>
    <w:rsid w:val="00A35247"/>
    <w:rsid w:val="00A35287"/>
    <w:rsid w:val="00A356BC"/>
    <w:rsid w:val="00A35D16"/>
    <w:rsid w:val="00A35D30"/>
    <w:rsid w:val="00A36023"/>
    <w:rsid w:val="00A36028"/>
    <w:rsid w:val="00A36F28"/>
    <w:rsid w:val="00A377E5"/>
    <w:rsid w:val="00A378C9"/>
    <w:rsid w:val="00A37BCD"/>
    <w:rsid w:val="00A40566"/>
    <w:rsid w:val="00A409FE"/>
    <w:rsid w:val="00A40F10"/>
    <w:rsid w:val="00A42606"/>
    <w:rsid w:val="00A426B7"/>
    <w:rsid w:val="00A43358"/>
    <w:rsid w:val="00A434B3"/>
    <w:rsid w:val="00A43C59"/>
    <w:rsid w:val="00A442CD"/>
    <w:rsid w:val="00A44654"/>
    <w:rsid w:val="00A46D14"/>
    <w:rsid w:val="00A47396"/>
    <w:rsid w:val="00A47FC5"/>
    <w:rsid w:val="00A504CE"/>
    <w:rsid w:val="00A50BEB"/>
    <w:rsid w:val="00A50ECD"/>
    <w:rsid w:val="00A518F3"/>
    <w:rsid w:val="00A519E0"/>
    <w:rsid w:val="00A51F97"/>
    <w:rsid w:val="00A526AD"/>
    <w:rsid w:val="00A5270E"/>
    <w:rsid w:val="00A52729"/>
    <w:rsid w:val="00A52A2A"/>
    <w:rsid w:val="00A52F19"/>
    <w:rsid w:val="00A53675"/>
    <w:rsid w:val="00A54D21"/>
    <w:rsid w:val="00A564D7"/>
    <w:rsid w:val="00A56B6A"/>
    <w:rsid w:val="00A57425"/>
    <w:rsid w:val="00A576A6"/>
    <w:rsid w:val="00A578DC"/>
    <w:rsid w:val="00A57DA1"/>
    <w:rsid w:val="00A60C1E"/>
    <w:rsid w:val="00A60D2C"/>
    <w:rsid w:val="00A60D7F"/>
    <w:rsid w:val="00A6143C"/>
    <w:rsid w:val="00A61A67"/>
    <w:rsid w:val="00A61AE5"/>
    <w:rsid w:val="00A621C2"/>
    <w:rsid w:val="00A63C87"/>
    <w:rsid w:val="00A6725B"/>
    <w:rsid w:val="00A67C0E"/>
    <w:rsid w:val="00A70197"/>
    <w:rsid w:val="00A70605"/>
    <w:rsid w:val="00A70815"/>
    <w:rsid w:val="00A71872"/>
    <w:rsid w:val="00A72B69"/>
    <w:rsid w:val="00A73134"/>
    <w:rsid w:val="00A73185"/>
    <w:rsid w:val="00A734C8"/>
    <w:rsid w:val="00A7370C"/>
    <w:rsid w:val="00A73BCE"/>
    <w:rsid w:val="00A740B5"/>
    <w:rsid w:val="00A742ED"/>
    <w:rsid w:val="00A777B2"/>
    <w:rsid w:val="00A80812"/>
    <w:rsid w:val="00A81047"/>
    <w:rsid w:val="00A81285"/>
    <w:rsid w:val="00A81400"/>
    <w:rsid w:val="00A8206B"/>
    <w:rsid w:val="00A82661"/>
    <w:rsid w:val="00A82D73"/>
    <w:rsid w:val="00A843EC"/>
    <w:rsid w:val="00A844AD"/>
    <w:rsid w:val="00A84E11"/>
    <w:rsid w:val="00A85BAA"/>
    <w:rsid w:val="00A8615E"/>
    <w:rsid w:val="00A8690D"/>
    <w:rsid w:val="00A86E8B"/>
    <w:rsid w:val="00A87164"/>
    <w:rsid w:val="00A90D4A"/>
    <w:rsid w:val="00A91264"/>
    <w:rsid w:val="00A91351"/>
    <w:rsid w:val="00A924CF"/>
    <w:rsid w:val="00A93072"/>
    <w:rsid w:val="00A930CF"/>
    <w:rsid w:val="00A93953"/>
    <w:rsid w:val="00A94F20"/>
    <w:rsid w:val="00A950B8"/>
    <w:rsid w:val="00A959D8"/>
    <w:rsid w:val="00A9660F"/>
    <w:rsid w:val="00AA021D"/>
    <w:rsid w:val="00AA0502"/>
    <w:rsid w:val="00AA113D"/>
    <w:rsid w:val="00AA1204"/>
    <w:rsid w:val="00AA2443"/>
    <w:rsid w:val="00AA284E"/>
    <w:rsid w:val="00AA2FAB"/>
    <w:rsid w:val="00AA36DF"/>
    <w:rsid w:val="00AA403E"/>
    <w:rsid w:val="00AA48BA"/>
    <w:rsid w:val="00AA500B"/>
    <w:rsid w:val="00AA55DB"/>
    <w:rsid w:val="00AA663C"/>
    <w:rsid w:val="00AA6C7D"/>
    <w:rsid w:val="00AA7F35"/>
    <w:rsid w:val="00AA7FD6"/>
    <w:rsid w:val="00AB042A"/>
    <w:rsid w:val="00AB09B3"/>
    <w:rsid w:val="00AB1894"/>
    <w:rsid w:val="00AB2D34"/>
    <w:rsid w:val="00AB3430"/>
    <w:rsid w:val="00AB35AB"/>
    <w:rsid w:val="00AB3EA0"/>
    <w:rsid w:val="00AB4527"/>
    <w:rsid w:val="00AB4AD1"/>
    <w:rsid w:val="00AB4AD3"/>
    <w:rsid w:val="00AB591B"/>
    <w:rsid w:val="00AB7CFA"/>
    <w:rsid w:val="00AC070A"/>
    <w:rsid w:val="00AC0E6C"/>
    <w:rsid w:val="00AC1E92"/>
    <w:rsid w:val="00AC2407"/>
    <w:rsid w:val="00AC2830"/>
    <w:rsid w:val="00AC2A42"/>
    <w:rsid w:val="00AC3D47"/>
    <w:rsid w:val="00AC4909"/>
    <w:rsid w:val="00AC5170"/>
    <w:rsid w:val="00AC54B8"/>
    <w:rsid w:val="00AC56BF"/>
    <w:rsid w:val="00AC5B48"/>
    <w:rsid w:val="00AC5F0D"/>
    <w:rsid w:val="00AC633A"/>
    <w:rsid w:val="00AC70E7"/>
    <w:rsid w:val="00AC7150"/>
    <w:rsid w:val="00AC7D8D"/>
    <w:rsid w:val="00AD005F"/>
    <w:rsid w:val="00AD194D"/>
    <w:rsid w:val="00AD2605"/>
    <w:rsid w:val="00AD2C21"/>
    <w:rsid w:val="00AD2F1A"/>
    <w:rsid w:val="00AD39AB"/>
    <w:rsid w:val="00AD46D8"/>
    <w:rsid w:val="00AD4D26"/>
    <w:rsid w:val="00AD5D46"/>
    <w:rsid w:val="00AD62D7"/>
    <w:rsid w:val="00AD6502"/>
    <w:rsid w:val="00AD6739"/>
    <w:rsid w:val="00AD76B7"/>
    <w:rsid w:val="00AD782D"/>
    <w:rsid w:val="00AD7A2B"/>
    <w:rsid w:val="00AE052C"/>
    <w:rsid w:val="00AE0970"/>
    <w:rsid w:val="00AE0CC0"/>
    <w:rsid w:val="00AE0E1E"/>
    <w:rsid w:val="00AE1E32"/>
    <w:rsid w:val="00AE4341"/>
    <w:rsid w:val="00AE4455"/>
    <w:rsid w:val="00AE5314"/>
    <w:rsid w:val="00AE5994"/>
    <w:rsid w:val="00AE5FDC"/>
    <w:rsid w:val="00AE6032"/>
    <w:rsid w:val="00AE72B5"/>
    <w:rsid w:val="00AE78B1"/>
    <w:rsid w:val="00AE7D5D"/>
    <w:rsid w:val="00AF05E0"/>
    <w:rsid w:val="00AF0770"/>
    <w:rsid w:val="00AF0860"/>
    <w:rsid w:val="00AF1315"/>
    <w:rsid w:val="00AF19BF"/>
    <w:rsid w:val="00AF2818"/>
    <w:rsid w:val="00AF2DC3"/>
    <w:rsid w:val="00AF5C23"/>
    <w:rsid w:val="00AF5D25"/>
    <w:rsid w:val="00AF6F9D"/>
    <w:rsid w:val="00AF75A0"/>
    <w:rsid w:val="00AF784F"/>
    <w:rsid w:val="00B0135D"/>
    <w:rsid w:val="00B033E5"/>
    <w:rsid w:val="00B03A63"/>
    <w:rsid w:val="00B03BF3"/>
    <w:rsid w:val="00B04D53"/>
    <w:rsid w:val="00B04F74"/>
    <w:rsid w:val="00B0505B"/>
    <w:rsid w:val="00B0579C"/>
    <w:rsid w:val="00B05817"/>
    <w:rsid w:val="00B072C9"/>
    <w:rsid w:val="00B07B49"/>
    <w:rsid w:val="00B10844"/>
    <w:rsid w:val="00B10942"/>
    <w:rsid w:val="00B11D45"/>
    <w:rsid w:val="00B1225A"/>
    <w:rsid w:val="00B12557"/>
    <w:rsid w:val="00B12FC7"/>
    <w:rsid w:val="00B13632"/>
    <w:rsid w:val="00B150FA"/>
    <w:rsid w:val="00B15188"/>
    <w:rsid w:val="00B15E91"/>
    <w:rsid w:val="00B16C14"/>
    <w:rsid w:val="00B1749C"/>
    <w:rsid w:val="00B175EF"/>
    <w:rsid w:val="00B201A4"/>
    <w:rsid w:val="00B20205"/>
    <w:rsid w:val="00B213A6"/>
    <w:rsid w:val="00B21B34"/>
    <w:rsid w:val="00B24227"/>
    <w:rsid w:val="00B24271"/>
    <w:rsid w:val="00B24DF6"/>
    <w:rsid w:val="00B2527E"/>
    <w:rsid w:val="00B26B29"/>
    <w:rsid w:val="00B270C3"/>
    <w:rsid w:val="00B30354"/>
    <w:rsid w:val="00B319E2"/>
    <w:rsid w:val="00B31F18"/>
    <w:rsid w:val="00B31FA5"/>
    <w:rsid w:val="00B32BCB"/>
    <w:rsid w:val="00B32C4C"/>
    <w:rsid w:val="00B33311"/>
    <w:rsid w:val="00B3350A"/>
    <w:rsid w:val="00B33802"/>
    <w:rsid w:val="00B34055"/>
    <w:rsid w:val="00B349F0"/>
    <w:rsid w:val="00B34BBE"/>
    <w:rsid w:val="00B34FE2"/>
    <w:rsid w:val="00B357D8"/>
    <w:rsid w:val="00B35E6D"/>
    <w:rsid w:val="00B3652D"/>
    <w:rsid w:val="00B37BFC"/>
    <w:rsid w:val="00B40144"/>
    <w:rsid w:val="00B40358"/>
    <w:rsid w:val="00B412C3"/>
    <w:rsid w:val="00B41614"/>
    <w:rsid w:val="00B42851"/>
    <w:rsid w:val="00B42F80"/>
    <w:rsid w:val="00B431DC"/>
    <w:rsid w:val="00B434AF"/>
    <w:rsid w:val="00B435CB"/>
    <w:rsid w:val="00B44B95"/>
    <w:rsid w:val="00B45CC7"/>
    <w:rsid w:val="00B47DD3"/>
    <w:rsid w:val="00B47F30"/>
    <w:rsid w:val="00B5058E"/>
    <w:rsid w:val="00B507E4"/>
    <w:rsid w:val="00B50BA4"/>
    <w:rsid w:val="00B50DB8"/>
    <w:rsid w:val="00B5256E"/>
    <w:rsid w:val="00B53654"/>
    <w:rsid w:val="00B53905"/>
    <w:rsid w:val="00B54481"/>
    <w:rsid w:val="00B54B5B"/>
    <w:rsid w:val="00B5562E"/>
    <w:rsid w:val="00B559C2"/>
    <w:rsid w:val="00B56E6E"/>
    <w:rsid w:val="00B57000"/>
    <w:rsid w:val="00B60939"/>
    <w:rsid w:val="00B60AFD"/>
    <w:rsid w:val="00B61466"/>
    <w:rsid w:val="00B625C0"/>
    <w:rsid w:val="00B62715"/>
    <w:rsid w:val="00B6463F"/>
    <w:rsid w:val="00B67000"/>
    <w:rsid w:val="00B67C39"/>
    <w:rsid w:val="00B704C3"/>
    <w:rsid w:val="00B70E76"/>
    <w:rsid w:val="00B7128B"/>
    <w:rsid w:val="00B71ACB"/>
    <w:rsid w:val="00B71D04"/>
    <w:rsid w:val="00B71F3E"/>
    <w:rsid w:val="00B745B2"/>
    <w:rsid w:val="00B75917"/>
    <w:rsid w:val="00B776B7"/>
    <w:rsid w:val="00B80425"/>
    <w:rsid w:val="00B810A5"/>
    <w:rsid w:val="00B818A4"/>
    <w:rsid w:val="00B83701"/>
    <w:rsid w:val="00B83B0F"/>
    <w:rsid w:val="00B84117"/>
    <w:rsid w:val="00B8416F"/>
    <w:rsid w:val="00B85AA2"/>
    <w:rsid w:val="00B85BE0"/>
    <w:rsid w:val="00B8649C"/>
    <w:rsid w:val="00B86819"/>
    <w:rsid w:val="00B87707"/>
    <w:rsid w:val="00B87C2B"/>
    <w:rsid w:val="00B87F0A"/>
    <w:rsid w:val="00B901FD"/>
    <w:rsid w:val="00B916FE"/>
    <w:rsid w:val="00B91C97"/>
    <w:rsid w:val="00B92627"/>
    <w:rsid w:val="00B92D0B"/>
    <w:rsid w:val="00B933EC"/>
    <w:rsid w:val="00B93AC1"/>
    <w:rsid w:val="00B94945"/>
    <w:rsid w:val="00B950D2"/>
    <w:rsid w:val="00B95D60"/>
    <w:rsid w:val="00BA1A8B"/>
    <w:rsid w:val="00BA2837"/>
    <w:rsid w:val="00BA288A"/>
    <w:rsid w:val="00BA3225"/>
    <w:rsid w:val="00BA322D"/>
    <w:rsid w:val="00BA36A6"/>
    <w:rsid w:val="00BA39A2"/>
    <w:rsid w:val="00BA47B8"/>
    <w:rsid w:val="00BA4C33"/>
    <w:rsid w:val="00BA4E66"/>
    <w:rsid w:val="00BA6BD4"/>
    <w:rsid w:val="00BA755D"/>
    <w:rsid w:val="00BB0B4B"/>
    <w:rsid w:val="00BB0BDD"/>
    <w:rsid w:val="00BB1873"/>
    <w:rsid w:val="00BB191C"/>
    <w:rsid w:val="00BB2144"/>
    <w:rsid w:val="00BB244B"/>
    <w:rsid w:val="00BB2A73"/>
    <w:rsid w:val="00BB2AD9"/>
    <w:rsid w:val="00BB2C9A"/>
    <w:rsid w:val="00BB33C3"/>
    <w:rsid w:val="00BB433C"/>
    <w:rsid w:val="00BB4ACC"/>
    <w:rsid w:val="00BB5CCB"/>
    <w:rsid w:val="00BB6862"/>
    <w:rsid w:val="00BB703E"/>
    <w:rsid w:val="00BB7405"/>
    <w:rsid w:val="00BC00C5"/>
    <w:rsid w:val="00BC06E9"/>
    <w:rsid w:val="00BC11AA"/>
    <w:rsid w:val="00BC1DFD"/>
    <w:rsid w:val="00BC2487"/>
    <w:rsid w:val="00BC2645"/>
    <w:rsid w:val="00BC28FA"/>
    <w:rsid w:val="00BC32F5"/>
    <w:rsid w:val="00BC3631"/>
    <w:rsid w:val="00BC3C3B"/>
    <w:rsid w:val="00BC40FA"/>
    <w:rsid w:val="00BC4165"/>
    <w:rsid w:val="00BC4886"/>
    <w:rsid w:val="00BC6339"/>
    <w:rsid w:val="00BC6EBB"/>
    <w:rsid w:val="00BC74D3"/>
    <w:rsid w:val="00BC79FB"/>
    <w:rsid w:val="00BD036F"/>
    <w:rsid w:val="00BD1706"/>
    <w:rsid w:val="00BD2B34"/>
    <w:rsid w:val="00BD3659"/>
    <w:rsid w:val="00BD38D9"/>
    <w:rsid w:val="00BD39FA"/>
    <w:rsid w:val="00BD4FBE"/>
    <w:rsid w:val="00BD588C"/>
    <w:rsid w:val="00BD68A3"/>
    <w:rsid w:val="00BD6938"/>
    <w:rsid w:val="00BD6CF3"/>
    <w:rsid w:val="00BD7323"/>
    <w:rsid w:val="00BD7B2C"/>
    <w:rsid w:val="00BE0BB0"/>
    <w:rsid w:val="00BE127B"/>
    <w:rsid w:val="00BE2180"/>
    <w:rsid w:val="00BE21F2"/>
    <w:rsid w:val="00BE2923"/>
    <w:rsid w:val="00BE2DDA"/>
    <w:rsid w:val="00BE3A70"/>
    <w:rsid w:val="00BE405F"/>
    <w:rsid w:val="00BE4147"/>
    <w:rsid w:val="00BE4275"/>
    <w:rsid w:val="00BE431C"/>
    <w:rsid w:val="00BE447E"/>
    <w:rsid w:val="00BE488D"/>
    <w:rsid w:val="00BE4D9F"/>
    <w:rsid w:val="00BE55A1"/>
    <w:rsid w:val="00BE5736"/>
    <w:rsid w:val="00BE5924"/>
    <w:rsid w:val="00BE5FB2"/>
    <w:rsid w:val="00BE6635"/>
    <w:rsid w:val="00BE7930"/>
    <w:rsid w:val="00BE7E1A"/>
    <w:rsid w:val="00BF06F8"/>
    <w:rsid w:val="00BF0F95"/>
    <w:rsid w:val="00BF12FB"/>
    <w:rsid w:val="00BF1461"/>
    <w:rsid w:val="00BF186E"/>
    <w:rsid w:val="00BF1B16"/>
    <w:rsid w:val="00BF2217"/>
    <w:rsid w:val="00BF2433"/>
    <w:rsid w:val="00BF2DDD"/>
    <w:rsid w:val="00BF3B10"/>
    <w:rsid w:val="00BF4B3F"/>
    <w:rsid w:val="00BF553E"/>
    <w:rsid w:val="00BF5E28"/>
    <w:rsid w:val="00BF61C9"/>
    <w:rsid w:val="00BF6BD6"/>
    <w:rsid w:val="00BF6C94"/>
    <w:rsid w:val="00BF6EBE"/>
    <w:rsid w:val="00BF7E84"/>
    <w:rsid w:val="00C001A4"/>
    <w:rsid w:val="00C00424"/>
    <w:rsid w:val="00C01F9B"/>
    <w:rsid w:val="00C0299B"/>
    <w:rsid w:val="00C02A7E"/>
    <w:rsid w:val="00C03807"/>
    <w:rsid w:val="00C03909"/>
    <w:rsid w:val="00C04955"/>
    <w:rsid w:val="00C04D40"/>
    <w:rsid w:val="00C04EAA"/>
    <w:rsid w:val="00C05F28"/>
    <w:rsid w:val="00C077F8"/>
    <w:rsid w:val="00C07B44"/>
    <w:rsid w:val="00C07C47"/>
    <w:rsid w:val="00C10CE6"/>
    <w:rsid w:val="00C1128A"/>
    <w:rsid w:val="00C11ACC"/>
    <w:rsid w:val="00C12C14"/>
    <w:rsid w:val="00C1375C"/>
    <w:rsid w:val="00C1443F"/>
    <w:rsid w:val="00C14C65"/>
    <w:rsid w:val="00C1572B"/>
    <w:rsid w:val="00C165D5"/>
    <w:rsid w:val="00C16B9D"/>
    <w:rsid w:val="00C175BE"/>
    <w:rsid w:val="00C178B1"/>
    <w:rsid w:val="00C17DAF"/>
    <w:rsid w:val="00C17F60"/>
    <w:rsid w:val="00C2000D"/>
    <w:rsid w:val="00C200AA"/>
    <w:rsid w:val="00C20856"/>
    <w:rsid w:val="00C20AC6"/>
    <w:rsid w:val="00C20B06"/>
    <w:rsid w:val="00C212E0"/>
    <w:rsid w:val="00C2172E"/>
    <w:rsid w:val="00C21BB9"/>
    <w:rsid w:val="00C21C2E"/>
    <w:rsid w:val="00C22E8F"/>
    <w:rsid w:val="00C237ED"/>
    <w:rsid w:val="00C239E0"/>
    <w:rsid w:val="00C242CA"/>
    <w:rsid w:val="00C24525"/>
    <w:rsid w:val="00C24632"/>
    <w:rsid w:val="00C24AD4"/>
    <w:rsid w:val="00C25011"/>
    <w:rsid w:val="00C25418"/>
    <w:rsid w:val="00C25445"/>
    <w:rsid w:val="00C255EB"/>
    <w:rsid w:val="00C25621"/>
    <w:rsid w:val="00C25D9C"/>
    <w:rsid w:val="00C25FD1"/>
    <w:rsid w:val="00C27055"/>
    <w:rsid w:val="00C2778B"/>
    <w:rsid w:val="00C31649"/>
    <w:rsid w:val="00C323FA"/>
    <w:rsid w:val="00C326EA"/>
    <w:rsid w:val="00C33228"/>
    <w:rsid w:val="00C33265"/>
    <w:rsid w:val="00C351F6"/>
    <w:rsid w:val="00C36B1F"/>
    <w:rsid w:val="00C37B31"/>
    <w:rsid w:val="00C37BE9"/>
    <w:rsid w:val="00C37C73"/>
    <w:rsid w:val="00C37D93"/>
    <w:rsid w:val="00C40385"/>
    <w:rsid w:val="00C42017"/>
    <w:rsid w:val="00C429EA"/>
    <w:rsid w:val="00C4306E"/>
    <w:rsid w:val="00C437BC"/>
    <w:rsid w:val="00C4395B"/>
    <w:rsid w:val="00C43EA7"/>
    <w:rsid w:val="00C4467E"/>
    <w:rsid w:val="00C447F6"/>
    <w:rsid w:val="00C44A4D"/>
    <w:rsid w:val="00C45381"/>
    <w:rsid w:val="00C453AA"/>
    <w:rsid w:val="00C475AA"/>
    <w:rsid w:val="00C50B51"/>
    <w:rsid w:val="00C5283A"/>
    <w:rsid w:val="00C52DDF"/>
    <w:rsid w:val="00C53B4A"/>
    <w:rsid w:val="00C54BF0"/>
    <w:rsid w:val="00C55684"/>
    <w:rsid w:val="00C55E86"/>
    <w:rsid w:val="00C56DD8"/>
    <w:rsid w:val="00C573DB"/>
    <w:rsid w:val="00C578C4"/>
    <w:rsid w:val="00C6156F"/>
    <w:rsid w:val="00C63135"/>
    <w:rsid w:val="00C637DC"/>
    <w:rsid w:val="00C63E77"/>
    <w:rsid w:val="00C64A67"/>
    <w:rsid w:val="00C65576"/>
    <w:rsid w:val="00C656B0"/>
    <w:rsid w:val="00C65A8C"/>
    <w:rsid w:val="00C66165"/>
    <w:rsid w:val="00C670B6"/>
    <w:rsid w:val="00C672D0"/>
    <w:rsid w:val="00C7151A"/>
    <w:rsid w:val="00C717BF"/>
    <w:rsid w:val="00C71F60"/>
    <w:rsid w:val="00C72241"/>
    <w:rsid w:val="00C7226D"/>
    <w:rsid w:val="00C726B6"/>
    <w:rsid w:val="00C7333A"/>
    <w:rsid w:val="00C74647"/>
    <w:rsid w:val="00C7464B"/>
    <w:rsid w:val="00C74C8A"/>
    <w:rsid w:val="00C750C8"/>
    <w:rsid w:val="00C75190"/>
    <w:rsid w:val="00C75343"/>
    <w:rsid w:val="00C7560F"/>
    <w:rsid w:val="00C759EE"/>
    <w:rsid w:val="00C75CB4"/>
    <w:rsid w:val="00C75E9C"/>
    <w:rsid w:val="00C76742"/>
    <w:rsid w:val="00C76EA9"/>
    <w:rsid w:val="00C76F33"/>
    <w:rsid w:val="00C80A0E"/>
    <w:rsid w:val="00C81953"/>
    <w:rsid w:val="00C81A03"/>
    <w:rsid w:val="00C8213F"/>
    <w:rsid w:val="00C8260E"/>
    <w:rsid w:val="00C835F9"/>
    <w:rsid w:val="00C83FD5"/>
    <w:rsid w:val="00C85290"/>
    <w:rsid w:val="00C855EF"/>
    <w:rsid w:val="00C863D1"/>
    <w:rsid w:val="00C86D70"/>
    <w:rsid w:val="00C873C1"/>
    <w:rsid w:val="00C875D0"/>
    <w:rsid w:val="00C87899"/>
    <w:rsid w:val="00C8797A"/>
    <w:rsid w:val="00C900B8"/>
    <w:rsid w:val="00C90C71"/>
    <w:rsid w:val="00C920F6"/>
    <w:rsid w:val="00C92405"/>
    <w:rsid w:val="00C92A19"/>
    <w:rsid w:val="00C931CF"/>
    <w:rsid w:val="00C93309"/>
    <w:rsid w:val="00C938CF"/>
    <w:rsid w:val="00C93CBA"/>
    <w:rsid w:val="00C95D0E"/>
    <w:rsid w:val="00C95E34"/>
    <w:rsid w:val="00C95F0E"/>
    <w:rsid w:val="00C95FAC"/>
    <w:rsid w:val="00C9624D"/>
    <w:rsid w:val="00C969DA"/>
    <w:rsid w:val="00C96D08"/>
    <w:rsid w:val="00C9759D"/>
    <w:rsid w:val="00C97706"/>
    <w:rsid w:val="00C97FF7"/>
    <w:rsid w:val="00CA2313"/>
    <w:rsid w:val="00CA23ED"/>
    <w:rsid w:val="00CA28D7"/>
    <w:rsid w:val="00CA2C77"/>
    <w:rsid w:val="00CA444F"/>
    <w:rsid w:val="00CA4518"/>
    <w:rsid w:val="00CA4E64"/>
    <w:rsid w:val="00CA5245"/>
    <w:rsid w:val="00CA63A4"/>
    <w:rsid w:val="00CA69B6"/>
    <w:rsid w:val="00CA71F4"/>
    <w:rsid w:val="00CA75A9"/>
    <w:rsid w:val="00CA7B09"/>
    <w:rsid w:val="00CB0C8D"/>
    <w:rsid w:val="00CB0F26"/>
    <w:rsid w:val="00CB1065"/>
    <w:rsid w:val="00CB1838"/>
    <w:rsid w:val="00CB1E69"/>
    <w:rsid w:val="00CB24A1"/>
    <w:rsid w:val="00CB2860"/>
    <w:rsid w:val="00CB2C8B"/>
    <w:rsid w:val="00CB2F2A"/>
    <w:rsid w:val="00CB3564"/>
    <w:rsid w:val="00CB4ED1"/>
    <w:rsid w:val="00CB4F25"/>
    <w:rsid w:val="00CB5B1A"/>
    <w:rsid w:val="00CB623B"/>
    <w:rsid w:val="00CB6B22"/>
    <w:rsid w:val="00CB74FD"/>
    <w:rsid w:val="00CB7B1E"/>
    <w:rsid w:val="00CB7B45"/>
    <w:rsid w:val="00CB7DEE"/>
    <w:rsid w:val="00CB7F20"/>
    <w:rsid w:val="00CB7F5F"/>
    <w:rsid w:val="00CB7FD6"/>
    <w:rsid w:val="00CC07DB"/>
    <w:rsid w:val="00CC08D8"/>
    <w:rsid w:val="00CC1B39"/>
    <w:rsid w:val="00CC1BC6"/>
    <w:rsid w:val="00CC25F8"/>
    <w:rsid w:val="00CC2F7C"/>
    <w:rsid w:val="00CC3667"/>
    <w:rsid w:val="00CC3B20"/>
    <w:rsid w:val="00CC4D13"/>
    <w:rsid w:val="00CC6F3E"/>
    <w:rsid w:val="00CD07C0"/>
    <w:rsid w:val="00CD20A0"/>
    <w:rsid w:val="00CD3822"/>
    <w:rsid w:val="00CD5200"/>
    <w:rsid w:val="00CD54E0"/>
    <w:rsid w:val="00CD6182"/>
    <w:rsid w:val="00CD631D"/>
    <w:rsid w:val="00CD64F9"/>
    <w:rsid w:val="00CD69AC"/>
    <w:rsid w:val="00CD6ADC"/>
    <w:rsid w:val="00CD7308"/>
    <w:rsid w:val="00CD7A1C"/>
    <w:rsid w:val="00CE0ABD"/>
    <w:rsid w:val="00CE1220"/>
    <w:rsid w:val="00CE1E5E"/>
    <w:rsid w:val="00CE262A"/>
    <w:rsid w:val="00CE2645"/>
    <w:rsid w:val="00CE2A75"/>
    <w:rsid w:val="00CE5C02"/>
    <w:rsid w:val="00CE5EA9"/>
    <w:rsid w:val="00CE6274"/>
    <w:rsid w:val="00CE71B0"/>
    <w:rsid w:val="00CE7431"/>
    <w:rsid w:val="00CF1F8E"/>
    <w:rsid w:val="00CF2B8D"/>
    <w:rsid w:val="00CF2BE4"/>
    <w:rsid w:val="00CF2DD9"/>
    <w:rsid w:val="00CF31B1"/>
    <w:rsid w:val="00CF3603"/>
    <w:rsid w:val="00CF456B"/>
    <w:rsid w:val="00CF5A22"/>
    <w:rsid w:val="00CF6237"/>
    <w:rsid w:val="00D005C3"/>
    <w:rsid w:val="00D008A3"/>
    <w:rsid w:val="00D0262E"/>
    <w:rsid w:val="00D02E32"/>
    <w:rsid w:val="00D02E68"/>
    <w:rsid w:val="00D0468D"/>
    <w:rsid w:val="00D05DCB"/>
    <w:rsid w:val="00D06DCC"/>
    <w:rsid w:val="00D106E6"/>
    <w:rsid w:val="00D10C17"/>
    <w:rsid w:val="00D110BD"/>
    <w:rsid w:val="00D128C6"/>
    <w:rsid w:val="00D13675"/>
    <w:rsid w:val="00D13CAA"/>
    <w:rsid w:val="00D13E3A"/>
    <w:rsid w:val="00D141E1"/>
    <w:rsid w:val="00D14C64"/>
    <w:rsid w:val="00D16970"/>
    <w:rsid w:val="00D17D6C"/>
    <w:rsid w:val="00D20AC8"/>
    <w:rsid w:val="00D20C49"/>
    <w:rsid w:val="00D215BA"/>
    <w:rsid w:val="00D23256"/>
    <w:rsid w:val="00D24025"/>
    <w:rsid w:val="00D24458"/>
    <w:rsid w:val="00D2525E"/>
    <w:rsid w:val="00D25570"/>
    <w:rsid w:val="00D259CE"/>
    <w:rsid w:val="00D2754D"/>
    <w:rsid w:val="00D27B27"/>
    <w:rsid w:val="00D3085F"/>
    <w:rsid w:val="00D308D9"/>
    <w:rsid w:val="00D3091C"/>
    <w:rsid w:val="00D30DA4"/>
    <w:rsid w:val="00D31744"/>
    <w:rsid w:val="00D31A51"/>
    <w:rsid w:val="00D31AB2"/>
    <w:rsid w:val="00D325B9"/>
    <w:rsid w:val="00D33452"/>
    <w:rsid w:val="00D3381D"/>
    <w:rsid w:val="00D33BE9"/>
    <w:rsid w:val="00D33D28"/>
    <w:rsid w:val="00D34038"/>
    <w:rsid w:val="00D35569"/>
    <w:rsid w:val="00D35717"/>
    <w:rsid w:val="00D357FF"/>
    <w:rsid w:val="00D376A9"/>
    <w:rsid w:val="00D41CA8"/>
    <w:rsid w:val="00D41E03"/>
    <w:rsid w:val="00D41E62"/>
    <w:rsid w:val="00D424C7"/>
    <w:rsid w:val="00D42590"/>
    <w:rsid w:val="00D43412"/>
    <w:rsid w:val="00D43B2A"/>
    <w:rsid w:val="00D46F67"/>
    <w:rsid w:val="00D47575"/>
    <w:rsid w:val="00D50856"/>
    <w:rsid w:val="00D50AEA"/>
    <w:rsid w:val="00D50D05"/>
    <w:rsid w:val="00D50E9E"/>
    <w:rsid w:val="00D5123D"/>
    <w:rsid w:val="00D51C2B"/>
    <w:rsid w:val="00D51D27"/>
    <w:rsid w:val="00D51F8D"/>
    <w:rsid w:val="00D52286"/>
    <w:rsid w:val="00D52440"/>
    <w:rsid w:val="00D54929"/>
    <w:rsid w:val="00D549B7"/>
    <w:rsid w:val="00D54D95"/>
    <w:rsid w:val="00D54DE5"/>
    <w:rsid w:val="00D54EB7"/>
    <w:rsid w:val="00D56670"/>
    <w:rsid w:val="00D57F64"/>
    <w:rsid w:val="00D601B4"/>
    <w:rsid w:val="00D60C17"/>
    <w:rsid w:val="00D60ECA"/>
    <w:rsid w:val="00D610E6"/>
    <w:rsid w:val="00D62D1B"/>
    <w:rsid w:val="00D6319F"/>
    <w:rsid w:val="00D63A21"/>
    <w:rsid w:val="00D642D4"/>
    <w:rsid w:val="00D66B9E"/>
    <w:rsid w:val="00D671EF"/>
    <w:rsid w:val="00D70A65"/>
    <w:rsid w:val="00D70C5D"/>
    <w:rsid w:val="00D70C8D"/>
    <w:rsid w:val="00D70F16"/>
    <w:rsid w:val="00D71053"/>
    <w:rsid w:val="00D710E2"/>
    <w:rsid w:val="00D72A43"/>
    <w:rsid w:val="00D72A91"/>
    <w:rsid w:val="00D72C71"/>
    <w:rsid w:val="00D72FE8"/>
    <w:rsid w:val="00D730BC"/>
    <w:rsid w:val="00D75879"/>
    <w:rsid w:val="00D75F45"/>
    <w:rsid w:val="00D76432"/>
    <w:rsid w:val="00D769B0"/>
    <w:rsid w:val="00D76A44"/>
    <w:rsid w:val="00D77041"/>
    <w:rsid w:val="00D80054"/>
    <w:rsid w:val="00D80782"/>
    <w:rsid w:val="00D80ABA"/>
    <w:rsid w:val="00D815EF"/>
    <w:rsid w:val="00D81633"/>
    <w:rsid w:val="00D8200F"/>
    <w:rsid w:val="00D82261"/>
    <w:rsid w:val="00D847FD"/>
    <w:rsid w:val="00D84DBF"/>
    <w:rsid w:val="00D84FCB"/>
    <w:rsid w:val="00D8675F"/>
    <w:rsid w:val="00D90283"/>
    <w:rsid w:val="00D902F2"/>
    <w:rsid w:val="00D90637"/>
    <w:rsid w:val="00D90910"/>
    <w:rsid w:val="00D913F1"/>
    <w:rsid w:val="00D91923"/>
    <w:rsid w:val="00D93753"/>
    <w:rsid w:val="00D952D4"/>
    <w:rsid w:val="00D95448"/>
    <w:rsid w:val="00D96C54"/>
    <w:rsid w:val="00DA0365"/>
    <w:rsid w:val="00DA21CA"/>
    <w:rsid w:val="00DA25B9"/>
    <w:rsid w:val="00DA25EA"/>
    <w:rsid w:val="00DA3167"/>
    <w:rsid w:val="00DA31B0"/>
    <w:rsid w:val="00DA323A"/>
    <w:rsid w:val="00DA37DC"/>
    <w:rsid w:val="00DA44F8"/>
    <w:rsid w:val="00DA4A9D"/>
    <w:rsid w:val="00DA4DC3"/>
    <w:rsid w:val="00DA5D59"/>
    <w:rsid w:val="00DA6C5B"/>
    <w:rsid w:val="00DA700A"/>
    <w:rsid w:val="00DA77A5"/>
    <w:rsid w:val="00DB17CF"/>
    <w:rsid w:val="00DB2989"/>
    <w:rsid w:val="00DB3620"/>
    <w:rsid w:val="00DB3E03"/>
    <w:rsid w:val="00DB4843"/>
    <w:rsid w:val="00DB484F"/>
    <w:rsid w:val="00DB5527"/>
    <w:rsid w:val="00DB6232"/>
    <w:rsid w:val="00DB6F46"/>
    <w:rsid w:val="00DC025E"/>
    <w:rsid w:val="00DC04F6"/>
    <w:rsid w:val="00DC0A9C"/>
    <w:rsid w:val="00DC0F6D"/>
    <w:rsid w:val="00DC1A31"/>
    <w:rsid w:val="00DC3102"/>
    <w:rsid w:val="00DC3C57"/>
    <w:rsid w:val="00DC4582"/>
    <w:rsid w:val="00DC461B"/>
    <w:rsid w:val="00DC4801"/>
    <w:rsid w:val="00DC4913"/>
    <w:rsid w:val="00DC5431"/>
    <w:rsid w:val="00DC5501"/>
    <w:rsid w:val="00DC5B14"/>
    <w:rsid w:val="00DC6116"/>
    <w:rsid w:val="00DC6735"/>
    <w:rsid w:val="00DC69B5"/>
    <w:rsid w:val="00DD264C"/>
    <w:rsid w:val="00DD273C"/>
    <w:rsid w:val="00DD28C1"/>
    <w:rsid w:val="00DD39DD"/>
    <w:rsid w:val="00DD3F28"/>
    <w:rsid w:val="00DD4100"/>
    <w:rsid w:val="00DD43C9"/>
    <w:rsid w:val="00DD4537"/>
    <w:rsid w:val="00DD4D86"/>
    <w:rsid w:val="00DD4E15"/>
    <w:rsid w:val="00DD5395"/>
    <w:rsid w:val="00DD67CC"/>
    <w:rsid w:val="00DD7D99"/>
    <w:rsid w:val="00DD7F71"/>
    <w:rsid w:val="00DE00CC"/>
    <w:rsid w:val="00DE0D13"/>
    <w:rsid w:val="00DE1E96"/>
    <w:rsid w:val="00DE2009"/>
    <w:rsid w:val="00DE2103"/>
    <w:rsid w:val="00DE27CE"/>
    <w:rsid w:val="00DE302B"/>
    <w:rsid w:val="00DE30CE"/>
    <w:rsid w:val="00DE3138"/>
    <w:rsid w:val="00DE37F8"/>
    <w:rsid w:val="00DE4A97"/>
    <w:rsid w:val="00DE4FCB"/>
    <w:rsid w:val="00DE5165"/>
    <w:rsid w:val="00DE54AE"/>
    <w:rsid w:val="00DE5BB6"/>
    <w:rsid w:val="00DE6F27"/>
    <w:rsid w:val="00DE7832"/>
    <w:rsid w:val="00DF061F"/>
    <w:rsid w:val="00DF06F2"/>
    <w:rsid w:val="00DF09CB"/>
    <w:rsid w:val="00DF0E81"/>
    <w:rsid w:val="00DF18FC"/>
    <w:rsid w:val="00DF2144"/>
    <w:rsid w:val="00DF23AF"/>
    <w:rsid w:val="00DF3627"/>
    <w:rsid w:val="00DF472B"/>
    <w:rsid w:val="00DF5A07"/>
    <w:rsid w:val="00DF5C44"/>
    <w:rsid w:val="00DF5D2B"/>
    <w:rsid w:val="00DF7488"/>
    <w:rsid w:val="00E00183"/>
    <w:rsid w:val="00E00E8E"/>
    <w:rsid w:val="00E01123"/>
    <w:rsid w:val="00E02334"/>
    <w:rsid w:val="00E02A3D"/>
    <w:rsid w:val="00E02C41"/>
    <w:rsid w:val="00E0454F"/>
    <w:rsid w:val="00E0517A"/>
    <w:rsid w:val="00E05630"/>
    <w:rsid w:val="00E06C46"/>
    <w:rsid w:val="00E06DBB"/>
    <w:rsid w:val="00E06EF7"/>
    <w:rsid w:val="00E06F8D"/>
    <w:rsid w:val="00E10149"/>
    <w:rsid w:val="00E10850"/>
    <w:rsid w:val="00E117B9"/>
    <w:rsid w:val="00E124D0"/>
    <w:rsid w:val="00E1286A"/>
    <w:rsid w:val="00E128BD"/>
    <w:rsid w:val="00E12C49"/>
    <w:rsid w:val="00E12F8F"/>
    <w:rsid w:val="00E149EE"/>
    <w:rsid w:val="00E14DBC"/>
    <w:rsid w:val="00E15A71"/>
    <w:rsid w:val="00E16372"/>
    <w:rsid w:val="00E165E4"/>
    <w:rsid w:val="00E169C2"/>
    <w:rsid w:val="00E16F02"/>
    <w:rsid w:val="00E1712D"/>
    <w:rsid w:val="00E17574"/>
    <w:rsid w:val="00E17EE1"/>
    <w:rsid w:val="00E20E4D"/>
    <w:rsid w:val="00E20ED6"/>
    <w:rsid w:val="00E21358"/>
    <w:rsid w:val="00E21CB4"/>
    <w:rsid w:val="00E2249B"/>
    <w:rsid w:val="00E2261D"/>
    <w:rsid w:val="00E22A0D"/>
    <w:rsid w:val="00E232B0"/>
    <w:rsid w:val="00E23768"/>
    <w:rsid w:val="00E23BCF"/>
    <w:rsid w:val="00E245A6"/>
    <w:rsid w:val="00E24F4B"/>
    <w:rsid w:val="00E263B6"/>
    <w:rsid w:val="00E271A0"/>
    <w:rsid w:val="00E2771E"/>
    <w:rsid w:val="00E27C53"/>
    <w:rsid w:val="00E3231F"/>
    <w:rsid w:val="00E326C1"/>
    <w:rsid w:val="00E3274B"/>
    <w:rsid w:val="00E32EFC"/>
    <w:rsid w:val="00E33017"/>
    <w:rsid w:val="00E33EF8"/>
    <w:rsid w:val="00E3441A"/>
    <w:rsid w:val="00E34543"/>
    <w:rsid w:val="00E34948"/>
    <w:rsid w:val="00E3503C"/>
    <w:rsid w:val="00E359EC"/>
    <w:rsid w:val="00E35D33"/>
    <w:rsid w:val="00E36D01"/>
    <w:rsid w:val="00E36E3C"/>
    <w:rsid w:val="00E37569"/>
    <w:rsid w:val="00E41E30"/>
    <w:rsid w:val="00E41F7B"/>
    <w:rsid w:val="00E42D62"/>
    <w:rsid w:val="00E42E20"/>
    <w:rsid w:val="00E43466"/>
    <w:rsid w:val="00E43D70"/>
    <w:rsid w:val="00E44845"/>
    <w:rsid w:val="00E44B3F"/>
    <w:rsid w:val="00E450AE"/>
    <w:rsid w:val="00E45219"/>
    <w:rsid w:val="00E4613D"/>
    <w:rsid w:val="00E466F3"/>
    <w:rsid w:val="00E46CB0"/>
    <w:rsid w:val="00E4781D"/>
    <w:rsid w:val="00E47B2C"/>
    <w:rsid w:val="00E47F60"/>
    <w:rsid w:val="00E506CA"/>
    <w:rsid w:val="00E507D4"/>
    <w:rsid w:val="00E51560"/>
    <w:rsid w:val="00E5157A"/>
    <w:rsid w:val="00E526BB"/>
    <w:rsid w:val="00E5345A"/>
    <w:rsid w:val="00E5354E"/>
    <w:rsid w:val="00E53A3D"/>
    <w:rsid w:val="00E5432D"/>
    <w:rsid w:val="00E54347"/>
    <w:rsid w:val="00E54A55"/>
    <w:rsid w:val="00E54C0C"/>
    <w:rsid w:val="00E54CC3"/>
    <w:rsid w:val="00E55424"/>
    <w:rsid w:val="00E5593A"/>
    <w:rsid w:val="00E55BB5"/>
    <w:rsid w:val="00E55DC6"/>
    <w:rsid w:val="00E56BC1"/>
    <w:rsid w:val="00E6060B"/>
    <w:rsid w:val="00E60764"/>
    <w:rsid w:val="00E61FFF"/>
    <w:rsid w:val="00E626BC"/>
    <w:rsid w:val="00E63CD4"/>
    <w:rsid w:val="00E64A9B"/>
    <w:rsid w:val="00E64EF0"/>
    <w:rsid w:val="00E65A3C"/>
    <w:rsid w:val="00E65E79"/>
    <w:rsid w:val="00E667C1"/>
    <w:rsid w:val="00E66873"/>
    <w:rsid w:val="00E66BA2"/>
    <w:rsid w:val="00E66D98"/>
    <w:rsid w:val="00E671BD"/>
    <w:rsid w:val="00E67416"/>
    <w:rsid w:val="00E67585"/>
    <w:rsid w:val="00E70B84"/>
    <w:rsid w:val="00E718B6"/>
    <w:rsid w:val="00E71940"/>
    <w:rsid w:val="00E723BA"/>
    <w:rsid w:val="00E73581"/>
    <w:rsid w:val="00E73929"/>
    <w:rsid w:val="00E74133"/>
    <w:rsid w:val="00E74842"/>
    <w:rsid w:val="00E74D52"/>
    <w:rsid w:val="00E762D6"/>
    <w:rsid w:val="00E769B3"/>
    <w:rsid w:val="00E76A7A"/>
    <w:rsid w:val="00E77193"/>
    <w:rsid w:val="00E81760"/>
    <w:rsid w:val="00E8305B"/>
    <w:rsid w:val="00E833F7"/>
    <w:rsid w:val="00E838D3"/>
    <w:rsid w:val="00E83BDF"/>
    <w:rsid w:val="00E83BE0"/>
    <w:rsid w:val="00E85C81"/>
    <w:rsid w:val="00E85D12"/>
    <w:rsid w:val="00E85EAA"/>
    <w:rsid w:val="00E860B4"/>
    <w:rsid w:val="00E86D59"/>
    <w:rsid w:val="00E87A1D"/>
    <w:rsid w:val="00E90499"/>
    <w:rsid w:val="00E90BC0"/>
    <w:rsid w:val="00E90E83"/>
    <w:rsid w:val="00E915B5"/>
    <w:rsid w:val="00E91E7C"/>
    <w:rsid w:val="00E9214D"/>
    <w:rsid w:val="00E92309"/>
    <w:rsid w:val="00E926A5"/>
    <w:rsid w:val="00E92859"/>
    <w:rsid w:val="00E94F94"/>
    <w:rsid w:val="00E95DE6"/>
    <w:rsid w:val="00E96C54"/>
    <w:rsid w:val="00EA0AFE"/>
    <w:rsid w:val="00EA0CCE"/>
    <w:rsid w:val="00EA128C"/>
    <w:rsid w:val="00EA17C3"/>
    <w:rsid w:val="00EA21A1"/>
    <w:rsid w:val="00EA2CAA"/>
    <w:rsid w:val="00EA3864"/>
    <w:rsid w:val="00EA3D1F"/>
    <w:rsid w:val="00EA438B"/>
    <w:rsid w:val="00EA68F7"/>
    <w:rsid w:val="00EA6C0F"/>
    <w:rsid w:val="00EA6F77"/>
    <w:rsid w:val="00EA7133"/>
    <w:rsid w:val="00EA7C14"/>
    <w:rsid w:val="00EB07A2"/>
    <w:rsid w:val="00EB15B6"/>
    <w:rsid w:val="00EB1C30"/>
    <w:rsid w:val="00EB24DA"/>
    <w:rsid w:val="00EB3A67"/>
    <w:rsid w:val="00EB40FF"/>
    <w:rsid w:val="00EB43EA"/>
    <w:rsid w:val="00EB475F"/>
    <w:rsid w:val="00EB4916"/>
    <w:rsid w:val="00EB4CEB"/>
    <w:rsid w:val="00EB4F0C"/>
    <w:rsid w:val="00EB6981"/>
    <w:rsid w:val="00EC00C9"/>
    <w:rsid w:val="00EC0B6B"/>
    <w:rsid w:val="00EC15A1"/>
    <w:rsid w:val="00EC161B"/>
    <w:rsid w:val="00EC2370"/>
    <w:rsid w:val="00EC2649"/>
    <w:rsid w:val="00EC2F2E"/>
    <w:rsid w:val="00EC2F77"/>
    <w:rsid w:val="00EC325F"/>
    <w:rsid w:val="00EC332E"/>
    <w:rsid w:val="00EC3818"/>
    <w:rsid w:val="00EC508A"/>
    <w:rsid w:val="00EC72C1"/>
    <w:rsid w:val="00EC7EF3"/>
    <w:rsid w:val="00ED08FE"/>
    <w:rsid w:val="00ED0D64"/>
    <w:rsid w:val="00ED1795"/>
    <w:rsid w:val="00ED1D00"/>
    <w:rsid w:val="00ED2035"/>
    <w:rsid w:val="00ED2081"/>
    <w:rsid w:val="00ED21C5"/>
    <w:rsid w:val="00ED2523"/>
    <w:rsid w:val="00ED29DE"/>
    <w:rsid w:val="00ED307B"/>
    <w:rsid w:val="00ED331F"/>
    <w:rsid w:val="00ED3EDD"/>
    <w:rsid w:val="00ED485F"/>
    <w:rsid w:val="00ED4AF5"/>
    <w:rsid w:val="00ED5638"/>
    <w:rsid w:val="00ED56FD"/>
    <w:rsid w:val="00ED57EA"/>
    <w:rsid w:val="00ED58D4"/>
    <w:rsid w:val="00ED6F3F"/>
    <w:rsid w:val="00ED7D89"/>
    <w:rsid w:val="00ED7E62"/>
    <w:rsid w:val="00EE07D3"/>
    <w:rsid w:val="00EE13E2"/>
    <w:rsid w:val="00EE22AF"/>
    <w:rsid w:val="00EE2351"/>
    <w:rsid w:val="00EE44D2"/>
    <w:rsid w:val="00EE45E3"/>
    <w:rsid w:val="00EE6679"/>
    <w:rsid w:val="00EF0045"/>
    <w:rsid w:val="00EF0171"/>
    <w:rsid w:val="00EF134C"/>
    <w:rsid w:val="00EF1B25"/>
    <w:rsid w:val="00EF216C"/>
    <w:rsid w:val="00EF2DF3"/>
    <w:rsid w:val="00EF4747"/>
    <w:rsid w:val="00EF4BF8"/>
    <w:rsid w:val="00EF552F"/>
    <w:rsid w:val="00EF57F7"/>
    <w:rsid w:val="00EF5C96"/>
    <w:rsid w:val="00EF694C"/>
    <w:rsid w:val="00F006B6"/>
    <w:rsid w:val="00F00958"/>
    <w:rsid w:val="00F0199E"/>
    <w:rsid w:val="00F02253"/>
    <w:rsid w:val="00F03C2E"/>
    <w:rsid w:val="00F04A66"/>
    <w:rsid w:val="00F04D34"/>
    <w:rsid w:val="00F0516C"/>
    <w:rsid w:val="00F05C95"/>
    <w:rsid w:val="00F06119"/>
    <w:rsid w:val="00F06183"/>
    <w:rsid w:val="00F06328"/>
    <w:rsid w:val="00F067A2"/>
    <w:rsid w:val="00F067DB"/>
    <w:rsid w:val="00F07A88"/>
    <w:rsid w:val="00F07D63"/>
    <w:rsid w:val="00F07FC8"/>
    <w:rsid w:val="00F10BCC"/>
    <w:rsid w:val="00F10D71"/>
    <w:rsid w:val="00F10F6B"/>
    <w:rsid w:val="00F116FD"/>
    <w:rsid w:val="00F11C92"/>
    <w:rsid w:val="00F1263A"/>
    <w:rsid w:val="00F12705"/>
    <w:rsid w:val="00F1289E"/>
    <w:rsid w:val="00F12CBA"/>
    <w:rsid w:val="00F14071"/>
    <w:rsid w:val="00F14CEA"/>
    <w:rsid w:val="00F14D19"/>
    <w:rsid w:val="00F14E55"/>
    <w:rsid w:val="00F158DF"/>
    <w:rsid w:val="00F16295"/>
    <w:rsid w:val="00F167C5"/>
    <w:rsid w:val="00F16F47"/>
    <w:rsid w:val="00F20987"/>
    <w:rsid w:val="00F20CB1"/>
    <w:rsid w:val="00F21303"/>
    <w:rsid w:val="00F21346"/>
    <w:rsid w:val="00F21A25"/>
    <w:rsid w:val="00F21D63"/>
    <w:rsid w:val="00F2279B"/>
    <w:rsid w:val="00F22D2C"/>
    <w:rsid w:val="00F23750"/>
    <w:rsid w:val="00F23A7B"/>
    <w:rsid w:val="00F24289"/>
    <w:rsid w:val="00F24837"/>
    <w:rsid w:val="00F2575F"/>
    <w:rsid w:val="00F2664C"/>
    <w:rsid w:val="00F27565"/>
    <w:rsid w:val="00F27B36"/>
    <w:rsid w:val="00F310D4"/>
    <w:rsid w:val="00F31195"/>
    <w:rsid w:val="00F311D5"/>
    <w:rsid w:val="00F3132A"/>
    <w:rsid w:val="00F31768"/>
    <w:rsid w:val="00F31BD7"/>
    <w:rsid w:val="00F31D5A"/>
    <w:rsid w:val="00F3210C"/>
    <w:rsid w:val="00F32239"/>
    <w:rsid w:val="00F33DE9"/>
    <w:rsid w:val="00F34647"/>
    <w:rsid w:val="00F34B63"/>
    <w:rsid w:val="00F3546B"/>
    <w:rsid w:val="00F3619A"/>
    <w:rsid w:val="00F366C5"/>
    <w:rsid w:val="00F37043"/>
    <w:rsid w:val="00F37DE2"/>
    <w:rsid w:val="00F400AB"/>
    <w:rsid w:val="00F406B0"/>
    <w:rsid w:val="00F40994"/>
    <w:rsid w:val="00F40AAA"/>
    <w:rsid w:val="00F40BA7"/>
    <w:rsid w:val="00F4202F"/>
    <w:rsid w:val="00F42B11"/>
    <w:rsid w:val="00F42BBA"/>
    <w:rsid w:val="00F42D50"/>
    <w:rsid w:val="00F43D59"/>
    <w:rsid w:val="00F43F90"/>
    <w:rsid w:val="00F44BB6"/>
    <w:rsid w:val="00F46C60"/>
    <w:rsid w:val="00F46CB6"/>
    <w:rsid w:val="00F47DE8"/>
    <w:rsid w:val="00F50F1F"/>
    <w:rsid w:val="00F52172"/>
    <w:rsid w:val="00F5299D"/>
    <w:rsid w:val="00F52A0A"/>
    <w:rsid w:val="00F53047"/>
    <w:rsid w:val="00F53B21"/>
    <w:rsid w:val="00F542C1"/>
    <w:rsid w:val="00F5443B"/>
    <w:rsid w:val="00F54B3F"/>
    <w:rsid w:val="00F553D6"/>
    <w:rsid w:val="00F5575D"/>
    <w:rsid w:val="00F55E73"/>
    <w:rsid w:val="00F55EDA"/>
    <w:rsid w:val="00F56E6F"/>
    <w:rsid w:val="00F57374"/>
    <w:rsid w:val="00F60092"/>
    <w:rsid w:val="00F601D5"/>
    <w:rsid w:val="00F60AA7"/>
    <w:rsid w:val="00F614E5"/>
    <w:rsid w:val="00F61D6F"/>
    <w:rsid w:val="00F65334"/>
    <w:rsid w:val="00F65BDE"/>
    <w:rsid w:val="00F65F4B"/>
    <w:rsid w:val="00F6635D"/>
    <w:rsid w:val="00F67BF1"/>
    <w:rsid w:val="00F70095"/>
    <w:rsid w:val="00F70C9D"/>
    <w:rsid w:val="00F70D64"/>
    <w:rsid w:val="00F71582"/>
    <w:rsid w:val="00F71668"/>
    <w:rsid w:val="00F718C6"/>
    <w:rsid w:val="00F718FF"/>
    <w:rsid w:val="00F73197"/>
    <w:rsid w:val="00F7338A"/>
    <w:rsid w:val="00F73EAA"/>
    <w:rsid w:val="00F74C43"/>
    <w:rsid w:val="00F74CD9"/>
    <w:rsid w:val="00F74E9E"/>
    <w:rsid w:val="00F75B65"/>
    <w:rsid w:val="00F767C9"/>
    <w:rsid w:val="00F76DF6"/>
    <w:rsid w:val="00F77C3A"/>
    <w:rsid w:val="00F77D2A"/>
    <w:rsid w:val="00F80A7B"/>
    <w:rsid w:val="00F80E5D"/>
    <w:rsid w:val="00F818B1"/>
    <w:rsid w:val="00F81EEA"/>
    <w:rsid w:val="00F822CC"/>
    <w:rsid w:val="00F851CE"/>
    <w:rsid w:val="00F8559F"/>
    <w:rsid w:val="00F86117"/>
    <w:rsid w:val="00F864B2"/>
    <w:rsid w:val="00F87A8E"/>
    <w:rsid w:val="00F91219"/>
    <w:rsid w:val="00F914CC"/>
    <w:rsid w:val="00F91888"/>
    <w:rsid w:val="00F92165"/>
    <w:rsid w:val="00F92838"/>
    <w:rsid w:val="00F939F7"/>
    <w:rsid w:val="00F93F61"/>
    <w:rsid w:val="00F952D6"/>
    <w:rsid w:val="00F955BA"/>
    <w:rsid w:val="00F962C9"/>
    <w:rsid w:val="00F97A2C"/>
    <w:rsid w:val="00F97A78"/>
    <w:rsid w:val="00FA0AE8"/>
    <w:rsid w:val="00FA0B20"/>
    <w:rsid w:val="00FA0C4A"/>
    <w:rsid w:val="00FA196F"/>
    <w:rsid w:val="00FA2343"/>
    <w:rsid w:val="00FA24E7"/>
    <w:rsid w:val="00FA36C8"/>
    <w:rsid w:val="00FA470B"/>
    <w:rsid w:val="00FA57B8"/>
    <w:rsid w:val="00FA6E63"/>
    <w:rsid w:val="00FA7041"/>
    <w:rsid w:val="00FB02C0"/>
    <w:rsid w:val="00FB083F"/>
    <w:rsid w:val="00FB0E34"/>
    <w:rsid w:val="00FB1D64"/>
    <w:rsid w:val="00FB2FCB"/>
    <w:rsid w:val="00FB470A"/>
    <w:rsid w:val="00FB4815"/>
    <w:rsid w:val="00FB54BF"/>
    <w:rsid w:val="00FB6494"/>
    <w:rsid w:val="00FB6817"/>
    <w:rsid w:val="00FB756C"/>
    <w:rsid w:val="00FB78E2"/>
    <w:rsid w:val="00FC0708"/>
    <w:rsid w:val="00FC08BD"/>
    <w:rsid w:val="00FC0BB9"/>
    <w:rsid w:val="00FC0FE0"/>
    <w:rsid w:val="00FC1074"/>
    <w:rsid w:val="00FC16AA"/>
    <w:rsid w:val="00FC1884"/>
    <w:rsid w:val="00FC2893"/>
    <w:rsid w:val="00FC334B"/>
    <w:rsid w:val="00FC371D"/>
    <w:rsid w:val="00FC3941"/>
    <w:rsid w:val="00FC5133"/>
    <w:rsid w:val="00FC5779"/>
    <w:rsid w:val="00FC5CBB"/>
    <w:rsid w:val="00FC5F0B"/>
    <w:rsid w:val="00FC7561"/>
    <w:rsid w:val="00FC7C8B"/>
    <w:rsid w:val="00FD18EE"/>
    <w:rsid w:val="00FD2100"/>
    <w:rsid w:val="00FD3C66"/>
    <w:rsid w:val="00FD436C"/>
    <w:rsid w:val="00FD446D"/>
    <w:rsid w:val="00FD4F4F"/>
    <w:rsid w:val="00FD6394"/>
    <w:rsid w:val="00FD6D68"/>
    <w:rsid w:val="00FD6DDF"/>
    <w:rsid w:val="00FE081E"/>
    <w:rsid w:val="00FE0E6C"/>
    <w:rsid w:val="00FE1D4E"/>
    <w:rsid w:val="00FE2030"/>
    <w:rsid w:val="00FE21AB"/>
    <w:rsid w:val="00FE2702"/>
    <w:rsid w:val="00FE4497"/>
    <w:rsid w:val="00FE4EFC"/>
    <w:rsid w:val="00FE5521"/>
    <w:rsid w:val="00FE5B2F"/>
    <w:rsid w:val="00FE70C3"/>
    <w:rsid w:val="00FE78DD"/>
    <w:rsid w:val="00FE7958"/>
    <w:rsid w:val="00FF0676"/>
    <w:rsid w:val="00FF201C"/>
    <w:rsid w:val="00FF272E"/>
    <w:rsid w:val="00FF3DCF"/>
    <w:rsid w:val="00FF449B"/>
    <w:rsid w:val="00FF4668"/>
    <w:rsid w:val="00FF492C"/>
    <w:rsid w:val="00FF4A21"/>
    <w:rsid w:val="00FF4A56"/>
    <w:rsid w:val="00FF5391"/>
    <w:rsid w:val="00FF5571"/>
    <w:rsid w:val="00FF5AA3"/>
    <w:rsid w:val="00FF5AD8"/>
    <w:rsid w:val="00FF71BE"/>
    <w:rsid w:val="00FF776D"/>
    <w:rsid w:val="00FF7801"/>
    <w:rsid w:val="00FF7B9F"/>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AD4D26"/>
    <w:pPr>
      <w:keepNext/>
      <w:keepLines/>
      <w:spacing w:after="120"/>
      <w:outlineLvl w:val="0"/>
    </w:pPr>
  </w:style>
  <w:style w:type="paragraph" w:styleId="Heading2">
    <w:name w:val="heading 2"/>
    <w:basedOn w:val="Normal"/>
    <w:next w:val="Normal"/>
    <w:link w:val="Heading2Char"/>
    <w:qFormat/>
    <w:rsid w:val="00AD4D26"/>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D4D26"/>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aliases w:val="Caption table header,Caption Char Char,Caption Char1 Char Char,Caption Char Char Char Char,Caption Char1 Char Char Char Char,Caption Char Char Char Char Char Char,Caption Char1 Char Char Char Char Char Char,Table and Figure Name,Figure 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table header Char,Caption Char Char Char,Caption Char1 Char Char Char,Caption Char Char Char Char Char,Caption Char1 Char Char Char Char Char,Caption Char Char Char Char Char Char Char,Table and Figure Name Char,Figure 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
    <w:basedOn w:val="Normal"/>
    <w:link w:val="ListParagraphChar"/>
    <w:uiPriority w:val="34"/>
    <w:qFormat/>
    <w:rsid w:val="00AD4D26"/>
    <w:pPr>
      <w:spacing w:after="120"/>
      <w:ind w:left="720"/>
    </w:pPr>
  </w:style>
  <w:style w:type="character" w:customStyle="1" w:styleId="ListParagraphChar">
    <w:name w:val="List Paragraph Char"/>
    <w:aliases w:val="Numbered para Char,BulletPoints Char,List Paragraph1 Char"/>
    <w:basedOn w:val="DefaultParagraphFont"/>
    <w:link w:val="ListParagraph"/>
    <w:uiPriority w:val="34"/>
    <w:qFormat/>
    <w:locked/>
    <w:rsid w:val="00AD4D26"/>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E71940"/>
    <w:pPr>
      <w:tabs>
        <w:tab w:val="left" w:pos="713"/>
        <w:tab w:val="left" w:pos="880"/>
        <w:tab w:val="right" w:leader="dot" w:pos="9016"/>
      </w:tabs>
      <w:spacing w:before="40"/>
      <w:ind w:left="221"/>
      <w:jc w:val="left"/>
    </w:pPr>
    <w:rPr>
      <w:b/>
      <w:caps/>
      <w:sz w:val="28"/>
      <w:szCs w:val="28"/>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SmallBold">
    <w:name w:val="Small Bold"/>
    <w:basedOn w:val="DefaultParagraphFont"/>
    <w:uiPriority w:val="4"/>
    <w:qFormat/>
    <w:rsid w:val="002B0B09"/>
    <w:rPr>
      <w:rFonts w:ascii="Calibri" w:hAnsi="Calibri"/>
      <w:b/>
      <w:sz w:val="20"/>
      <w:lang w:val="en-AU"/>
    </w:rPr>
  </w:style>
  <w:style w:type="paragraph" w:customStyle="1" w:styleId="TableBullets">
    <w:name w:val="Table Bullets"/>
    <w:basedOn w:val="Normal"/>
    <w:uiPriority w:val="5"/>
    <w:qFormat/>
    <w:rsid w:val="002B0B09"/>
    <w:pPr>
      <w:widowControl/>
      <w:numPr>
        <w:numId w:val="4"/>
      </w:numPr>
      <w:ind w:left="357" w:hanging="357"/>
      <w:jc w:val="left"/>
    </w:pPr>
    <w:rPr>
      <w:rFonts w:eastAsiaTheme="majorEastAsia" w:cstheme="majorBidi"/>
      <w:snapToGrid/>
      <w:sz w:val="20"/>
      <w:lang w:bidi="en-US"/>
    </w:rPr>
  </w:style>
  <w:style w:type="character" w:customStyle="1" w:styleId="SmallUnderline">
    <w:name w:val="Small Underline"/>
    <w:basedOn w:val="DefaultParagraphFont"/>
    <w:uiPriority w:val="4"/>
    <w:qFormat/>
    <w:rsid w:val="002B0B09"/>
    <w:rPr>
      <w:rFonts w:ascii="Calibri" w:hAnsi="Calibri"/>
      <w:sz w:val="20"/>
      <w:u w:val="single"/>
    </w:rPr>
  </w:style>
  <w:style w:type="paragraph" w:customStyle="1" w:styleId="TableLeft">
    <w:name w:val="Table Left"/>
    <w:basedOn w:val="Normal"/>
    <w:link w:val="TableLeftChar"/>
    <w:uiPriority w:val="99"/>
    <w:qFormat/>
    <w:rsid w:val="002B0B09"/>
    <w:pPr>
      <w:widowControl/>
      <w:jc w:val="left"/>
    </w:pPr>
    <w:rPr>
      <w:rFonts w:cs="Times New Roman"/>
      <w:snapToGrid/>
      <w:sz w:val="20"/>
    </w:rPr>
  </w:style>
  <w:style w:type="character" w:customStyle="1" w:styleId="TableLeftChar">
    <w:name w:val="Table Left Char"/>
    <w:basedOn w:val="DefaultParagraphFont"/>
    <w:link w:val="TableLeft"/>
    <w:uiPriority w:val="99"/>
    <w:locked/>
    <w:rsid w:val="002B0B09"/>
    <w:rPr>
      <w:rFonts w:ascii="Calibri" w:hAnsi="Calibri"/>
      <w:szCs w:val="22"/>
      <w:lang w:eastAsia="en-US"/>
    </w:rPr>
  </w:style>
  <w:style w:type="character" w:customStyle="1" w:styleId="FontBold">
    <w:name w:val="Font Bold"/>
    <w:basedOn w:val="DefaultParagraphFont"/>
    <w:uiPriority w:val="1"/>
    <w:qFormat/>
    <w:rsid w:val="00130ABA"/>
    <w:rPr>
      <w:rFonts w:ascii="Calibri" w:hAnsi="Calibri"/>
      <w:b/>
      <w:i w:val="0"/>
      <w:sz w:val="24"/>
    </w:rPr>
  </w:style>
  <w:style w:type="paragraph" w:customStyle="1" w:styleId="Tablenotes">
    <w:name w:val="Tablenotes"/>
    <w:basedOn w:val="Normal"/>
    <w:link w:val="TablenotesChar"/>
    <w:autoRedefine/>
    <w:qFormat/>
    <w:rsid w:val="00C001A4"/>
    <w:rPr>
      <w:rFonts w:ascii="Arial Narrow" w:hAnsi="Arial Narrow"/>
      <w:sz w:val="18"/>
      <w:szCs w:val="20"/>
    </w:rPr>
  </w:style>
  <w:style w:type="character" w:customStyle="1" w:styleId="TablenotesChar">
    <w:name w:val="Tablenotes Char"/>
    <w:basedOn w:val="DefaultParagraphFont"/>
    <w:link w:val="Tablenotes"/>
    <w:rsid w:val="00C001A4"/>
    <w:rPr>
      <w:rFonts w:ascii="Arial Narrow" w:hAnsi="Arial Narrow" w:cs="Arial"/>
      <w:snapToGrid w:val="0"/>
      <w:sz w:val="18"/>
      <w:lang w:eastAsia="en-US"/>
    </w:rPr>
  </w:style>
  <w:style w:type="character" w:customStyle="1" w:styleId="Font">
    <w:name w:val="Font"/>
    <w:basedOn w:val="DefaultParagraphFont"/>
    <w:uiPriority w:val="1"/>
    <w:qFormat/>
    <w:rsid w:val="000F2333"/>
    <w:rPr>
      <w:rFonts w:ascii="Calibri" w:hAnsi="Calibri"/>
      <w:sz w:val="24"/>
    </w:rPr>
  </w:style>
  <w:style w:type="paragraph" w:customStyle="1" w:styleId="Table">
    <w:name w:val="Table"/>
    <w:aliases w:val="10 pt  Bold,9 pt"/>
    <w:basedOn w:val="Normal"/>
    <w:link w:val="TableChar"/>
    <w:qFormat/>
    <w:rsid w:val="008E0D24"/>
    <w:pPr>
      <w:widowControl/>
      <w:jc w:val="left"/>
    </w:pPr>
    <w:rPr>
      <w:rFonts w:eastAsiaTheme="majorEastAsia" w:cstheme="majorBidi"/>
      <w:snapToGrid/>
      <w:sz w:val="20"/>
      <w:lang w:bidi="en-US"/>
    </w:rPr>
  </w:style>
  <w:style w:type="character" w:customStyle="1" w:styleId="TableChar">
    <w:name w:val="Table Char"/>
    <w:basedOn w:val="DefaultParagraphFont"/>
    <w:link w:val="Table"/>
    <w:locked/>
    <w:rsid w:val="008E0D24"/>
    <w:rPr>
      <w:rFonts w:ascii="Calibri" w:eastAsiaTheme="majorEastAsia" w:hAnsi="Calibri" w:cstheme="majorBidi"/>
      <w:szCs w:val="22"/>
      <w:lang w:eastAsia="en-US" w:bidi="en-US"/>
    </w:rPr>
  </w:style>
  <w:style w:type="character" w:customStyle="1" w:styleId="SmallItalics">
    <w:name w:val="Small Italics"/>
    <w:basedOn w:val="DefaultParagraphFont"/>
    <w:uiPriority w:val="4"/>
    <w:qFormat/>
    <w:rsid w:val="008E0D24"/>
    <w:rPr>
      <w:rFonts w:ascii="Calibri" w:hAnsi="Calibri"/>
      <w:i/>
      <w:sz w:val="20"/>
    </w:rPr>
  </w:style>
  <w:style w:type="paragraph" w:customStyle="1" w:styleId="TableCentre">
    <w:name w:val="Table Centre"/>
    <w:basedOn w:val="Table"/>
    <w:qFormat/>
    <w:rsid w:val="008E0D24"/>
    <w:pPr>
      <w:jc w:val="center"/>
    </w:pPr>
  </w:style>
  <w:style w:type="paragraph" w:customStyle="1" w:styleId="V50Instructions">
    <w:name w:val="V5.0 Instructions"/>
    <w:basedOn w:val="Normal"/>
    <w:link w:val="V50InstructionsChar"/>
    <w:qFormat/>
    <w:rsid w:val="000B5838"/>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0B5838"/>
    <w:rPr>
      <w:rFonts w:asciiTheme="minorHAnsi" w:eastAsiaTheme="minorHAnsi" w:hAnsiTheme="minorHAnsi" w:cstheme="minorBidi"/>
      <w:color w:val="4BACC6" w:themeColor="accent5"/>
      <w:sz w:val="24"/>
      <w:szCs w:val="22"/>
      <w:lang w:eastAsia="en-US"/>
    </w:rPr>
  </w:style>
  <w:style w:type="paragraph" w:customStyle="1" w:styleId="TableText0">
    <w:name w:val="TableText"/>
    <w:basedOn w:val="Normal"/>
    <w:link w:val="TableTextChar0"/>
    <w:uiPriority w:val="3"/>
    <w:qFormat/>
    <w:rsid w:val="00B04F74"/>
    <w:pPr>
      <w:widowControl/>
      <w:spacing w:before="40" w:after="40"/>
      <w:jc w:val="left"/>
    </w:pPr>
    <w:rPr>
      <w:rFonts w:cs="Calibri"/>
      <w:bCs/>
      <w:snapToGrid/>
      <w:sz w:val="20"/>
      <w:szCs w:val="20"/>
    </w:rPr>
  </w:style>
  <w:style w:type="character" w:customStyle="1" w:styleId="TableTextChar0">
    <w:name w:val="TableText Char"/>
    <w:basedOn w:val="DefaultParagraphFont"/>
    <w:link w:val="TableText0"/>
    <w:uiPriority w:val="3"/>
    <w:rsid w:val="00B04F74"/>
    <w:rPr>
      <w:rFonts w:ascii="Calibri" w:hAnsi="Calibri" w:cs="Calibri"/>
      <w:bCs/>
      <w:lang w:eastAsia="en-US"/>
    </w:rPr>
  </w:style>
  <w:style w:type="paragraph" w:customStyle="1" w:styleId="TableHeadingRow">
    <w:name w:val="TableHeadingRow"/>
    <w:basedOn w:val="TableText0"/>
    <w:uiPriority w:val="3"/>
    <w:qFormat/>
    <w:rsid w:val="00B04F74"/>
    <w:pPr>
      <w:keepNext/>
    </w:pPr>
    <w:rPr>
      <w:b/>
      <w:bCs w:val="0"/>
    </w:rPr>
  </w:style>
  <w:style w:type="table" w:customStyle="1" w:styleId="PlainTable22">
    <w:name w:val="Plain Table 22"/>
    <w:basedOn w:val="TableNormal"/>
    <w:uiPriority w:val="42"/>
    <w:rsid w:val="002048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BulletList">
    <w:name w:val="Normal Bullet List"/>
    <w:basedOn w:val="Normal"/>
    <w:uiPriority w:val="3"/>
    <w:qFormat/>
    <w:rsid w:val="00216020"/>
    <w:pPr>
      <w:widowControl/>
      <w:numPr>
        <w:numId w:val="5"/>
      </w:numPr>
      <w:spacing w:after="240" w:line="276" w:lineRule="auto"/>
      <w:contextualSpacing/>
      <w:jc w:val="left"/>
    </w:pPr>
    <w:rPr>
      <w:rFonts w:eastAsiaTheme="majorEastAsia" w:cstheme="majorBidi"/>
      <w:snapToGrid/>
      <w:lang w:bidi="en-US"/>
    </w:rPr>
  </w:style>
  <w:style w:type="paragraph" w:customStyle="1" w:styleId="NormalBulletList2">
    <w:name w:val="Normal Bullet List 2"/>
    <w:basedOn w:val="NormalBulletList"/>
    <w:qFormat/>
    <w:rsid w:val="00216020"/>
    <w:pPr>
      <w:numPr>
        <w:ilvl w:val="1"/>
      </w:numPr>
      <w:spacing w:after="0"/>
    </w:pPr>
  </w:style>
  <w:style w:type="paragraph" w:customStyle="1" w:styleId="TableText1">
    <w:name w:val="Table Text"/>
    <w:basedOn w:val="Normal"/>
    <w:qFormat/>
    <w:rsid w:val="00E02A3D"/>
    <w:pPr>
      <w:keepNext/>
      <w:widowControl/>
      <w:spacing w:before="40" w:after="40"/>
      <w:jc w:val="left"/>
    </w:pPr>
    <w:rPr>
      <w:rFonts w:ascii="Arial Narrow" w:eastAsiaTheme="minorHAnsi" w:hAnsi="Arial Narrow" w:cstheme="minorBidi"/>
      <w:snapToGrid/>
      <w:sz w:val="20"/>
    </w:rPr>
  </w:style>
  <w:style w:type="paragraph" w:customStyle="1" w:styleId="Tablenotes1">
    <w:name w:val="Table notes"/>
    <w:basedOn w:val="Normal"/>
    <w:qFormat/>
    <w:rsid w:val="00BD036F"/>
    <w:pPr>
      <w:widowControl/>
      <w:spacing w:line="276" w:lineRule="auto"/>
      <w:jc w:val="left"/>
    </w:pPr>
    <w:rPr>
      <w:rFonts w:ascii="Arial Narrow" w:eastAsiaTheme="majorEastAsia" w:hAnsi="Arial Narrow" w:cstheme="majorBidi"/>
      <w:snapToGrid/>
      <w:sz w:val="18"/>
      <w:lang w:bidi="en-US"/>
    </w:rPr>
  </w:style>
  <w:style w:type="paragraph" w:customStyle="1" w:styleId="TableHeading0">
    <w:name w:val="Table Heading"/>
    <w:basedOn w:val="Normal"/>
    <w:qFormat/>
    <w:rsid w:val="00C37D93"/>
    <w:pPr>
      <w:keepNext/>
      <w:widowControl/>
      <w:spacing w:after="60"/>
      <w:jc w:val="left"/>
    </w:pPr>
    <w:rPr>
      <w:rFonts w:ascii="Arial Narrow" w:eastAsiaTheme="minorHAnsi" w:hAnsi="Arial Narrow" w:cstheme="minorBidi"/>
      <w:b/>
      <w:snapToGrid/>
      <w:sz w:val="20"/>
    </w:rPr>
  </w:style>
  <w:style w:type="character" w:customStyle="1" w:styleId="Small">
    <w:name w:val="Small"/>
    <w:basedOn w:val="Font"/>
    <w:uiPriority w:val="4"/>
    <w:qFormat/>
    <w:rsid w:val="00EB3A67"/>
    <w:rPr>
      <w:rFonts w:ascii="Candara" w:hAnsi="Candara"/>
      <w:b w:val="0"/>
      <w:sz w:val="20"/>
    </w:rPr>
  </w:style>
  <w:style w:type="paragraph" w:customStyle="1" w:styleId="Default">
    <w:name w:val="Default"/>
    <w:rsid w:val="00FF71BE"/>
    <w:pPr>
      <w:autoSpaceDE w:val="0"/>
      <w:autoSpaceDN w:val="0"/>
      <w:adjustRightInd w:val="0"/>
    </w:pPr>
    <w:rPr>
      <w:color w:val="000000"/>
      <w:sz w:val="24"/>
      <w:szCs w:val="24"/>
      <w:lang w:val="en-US" w:eastAsia="en-US"/>
    </w:rPr>
  </w:style>
  <w:style w:type="paragraph" w:styleId="FootnoteText">
    <w:name w:val="footnote text"/>
    <w:aliases w:val=" Char,wcp_Footnote,Footnote_Bas Page"/>
    <w:basedOn w:val="Normal"/>
    <w:link w:val="FootnoteTextChar"/>
    <w:uiPriority w:val="99"/>
    <w:unhideWhenUsed/>
    <w:rsid w:val="00D31AB2"/>
    <w:pPr>
      <w:widowControl/>
      <w:jc w:val="left"/>
    </w:pPr>
    <w:rPr>
      <w:rFonts w:asciiTheme="minorHAnsi" w:eastAsiaTheme="minorHAnsi" w:hAnsiTheme="minorHAnsi" w:cstheme="minorBidi"/>
      <w:snapToGrid/>
      <w:sz w:val="18"/>
      <w:szCs w:val="20"/>
    </w:rPr>
  </w:style>
  <w:style w:type="character" w:customStyle="1" w:styleId="FootnoteTextChar">
    <w:name w:val="Footnote Text Char"/>
    <w:aliases w:val=" Char Char,wcp_Footnote Char,Footnote_Bas Page Char"/>
    <w:basedOn w:val="DefaultParagraphFont"/>
    <w:link w:val="FootnoteText"/>
    <w:uiPriority w:val="99"/>
    <w:rsid w:val="00D31AB2"/>
    <w:rPr>
      <w:rFonts w:asciiTheme="minorHAnsi" w:eastAsiaTheme="minorHAnsi" w:hAnsiTheme="minorHAnsi" w:cstheme="minorBidi"/>
      <w:sz w:val="18"/>
      <w:lang w:eastAsia="en-US"/>
    </w:rPr>
  </w:style>
  <w:style w:type="character" w:customStyle="1" w:styleId="CaptionFootnoteChar">
    <w:name w:val="Caption Footnote Char"/>
    <w:basedOn w:val="CaptionChar"/>
    <w:link w:val="CaptionFootnote"/>
    <w:rsid w:val="00207F12"/>
    <w:rPr>
      <w:rFonts w:ascii="Calibri" w:hAnsi="Calibri"/>
      <w:b w:val="0"/>
      <w:bCs/>
      <w:snapToGrid/>
      <w:color w:val="4F81BD" w:themeColor="accent1"/>
      <w:sz w:val="16"/>
      <w:szCs w:val="18"/>
      <w:lang w:eastAsia="en-US"/>
    </w:rPr>
  </w:style>
  <w:style w:type="paragraph" w:customStyle="1" w:styleId="CaptionFootnote">
    <w:name w:val="Caption Footnote"/>
    <w:basedOn w:val="Caption"/>
    <w:link w:val="CaptionFootnoteChar"/>
    <w:qFormat/>
    <w:rsid w:val="00207F12"/>
    <w:pPr>
      <w:spacing w:line="276" w:lineRule="auto"/>
      <w:jc w:val="left"/>
    </w:pPr>
    <w:rPr>
      <w:rFonts w:cs="Times New Roman"/>
      <w:b w:val="0"/>
      <w:snapToGrid/>
      <w:color w:val="auto"/>
      <w:sz w:val="16"/>
      <w:lang w:eastAsia="en-AU"/>
    </w:rPr>
  </w:style>
  <w:style w:type="character" w:customStyle="1" w:styleId="SmallSuperscript">
    <w:name w:val="Small Superscript"/>
    <w:basedOn w:val="Small"/>
    <w:uiPriority w:val="1"/>
    <w:qFormat/>
    <w:rsid w:val="009E4314"/>
    <w:rPr>
      <w:rFonts w:ascii="Calibri" w:hAnsi="Calibri"/>
      <w:b w:val="0"/>
      <w:sz w:val="20"/>
      <w:vertAlign w:val="superscript"/>
    </w:rPr>
  </w:style>
  <w:style w:type="paragraph" w:customStyle="1" w:styleId="Citationnospacefollowing">
    <w:name w:val="Citation (no space following)"/>
    <w:basedOn w:val="Normal"/>
    <w:qFormat/>
    <w:rsid w:val="00000A0B"/>
    <w:pPr>
      <w:widowControl/>
      <w:jc w:val="left"/>
    </w:pPr>
    <w:rPr>
      <w:rFonts w:eastAsiaTheme="majorEastAsia" w:cstheme="majorBidi"/>
      <w:snapToGrid/>
      <w:sz w:val="16"/>
      <w:lang w:bidi="en-US"/>
    </w:rPr>
  </w:style>
  <w:style w:type="character" w:styleId="FootnoteReference">
    <w:name w:val="footnote reference"/>
    <w:basedOn w:val="DefaultParagraphFont"/>
    <w:semiHidden/>
    <w:unhideWhenUsed/>
    <w:rsid w:val="00080D3A"/>
    <w:rPr>
      <w:vertAlign w:val="superscript"/>
    </w:rPr>
  </w:style>
  <w:style w:type="paragraph" w:styleId="EndnoteText">
    <w:name w:val="endnote text"/>
    <w:basedOn w:val="Normal"/>
    <w:link w:val="EndnoteTextChar"/>
    <w:semiHidden/>
    <w:unhideWhenUsed/>
    <w:rsid w:val="00080D3A"/>
    <w:rPr>
      <w:sz w:val="20"/>
      <w:szCs w:val="20"/>
    </w:rPr>
  </w:style>
  <w:style w:type="character" w:customStyle="1" w:styleId="EndnoteTextChar">
    <w:name w:val="Endnote Text Char"/>
    <w:basedOn w:val="DefaultParagraphFont"/>
    <w:link w:val="EndnoteText"/>
    <w:semiHidden/>
    <w:rsid w:val="00080D3A"/>
    <w:rPr>
      <w:rFonts w:ascii="Calibri" w:hAnsi="Calibri" w:cs="Arial"/>
      <w:snapToGrid w:val="0"/>
      <w:lang w:eastAsia="en-US"/>
    </w:rPr>
  </w:style>
  <w:style w:type="character" w:styleId="EndnoteReference">
    <w:name w:val="endnote reference"/>
    <w:basedOn w:val="DefaultParagraphFont"/>
    <w:semiHidden/>
    <w:unhideWhenUsed/>
    <w:rsid w:val="00080D3A"/>
    <w:rPr>
      <w:vertAlign w:val="superscript"/>
    </w:rPr>
  </w:style>
  <w:style w:type="paragraph" w:customStyle="1" w:styleId="V50InstructionsBullets">
    <w:name w:val="V5.0 Instructions Bullets"/>
    <w:basedOn w:val="V50Instructions"/>
    <w:qFormat/>
    <w:rsid w:val="00080D3A"/>
    <w:pPr>
      <w:numPr>
        <w:numId w:val="6"/>
      </w:numPr>
      <w:spacing w:before="0" w:after="0"/>
      <w:ind w:left="714" w:hanging="357"/>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04BE8"/>
    <w:pPr>
      <w:widowControl/>
      <w:spacing w:after="160" w:line="240" w:lineRule="exact"/>
      <w:jc w:val="left"/>
    </w:pPr>
    <w:rPr>
      <w:rFonts w:ascii="Verdana" w:eastAsia="MS Mincho" w:hAnsi="Verdana" w:cs="Verdana"/>
      <w:snapToGrid/>
      <w:sz w:val="20"/>
      <w:szCs w:val="20"/>
      <w:lang w:val="en-US"/>
    </w:rPr>
  </w:style>
  <w:style w:type="paragraph" w:customStyle="1" w:styleId="EndNoteBibliography">
    <w:name w:val="EndNote Bibliography"/>
    <w:basedOn w:val="Normal"/>
    <w:link w:val="EndNoteBibliographyChar"/>
    <w:rsid w:val="00F14E55"/>
    <w:pPr>
      <w:widowControl/>
      <w:spacing w:after="200"/>
      <w:jc w:val="left"/>
    </w:pPr>
    <w:rPr>
      <w:rFonts w:ascii="Sabon" w:eastAsia="MS Mincho" w:hAnsi="Sabon" w:cs="Times New Roman"/>
      <w:noProof/>
      <w:snapToGrid/>
      <w:sz w:val="22"/>
      <w:lang w:val="en-US"/>
    </w:rPr>
  </w:style>
  <w:style w:type="character" w:customStyle="1" w:styleId="EndNoteBibliographyChar">
    <w:name w:val="EndNote Bibliography Char"/>
    <w:basedOn w:val="DefaultParagraphFont"/>
    <w:link w:val="EndNoteBibliography"/>
    <w:rsid w:val="00F14E55"/>
    <w:rPr>
      <w:rFonts w:ascii="Sabon" w:eastAsia="MS Mincho" w:hAnsi="Sabon"/>
      <w:noProof/>
      <w:sz w:val="22"/>
      <w:szCs w:val="22"/>
      <w:lang w:val="en-US" w:eastAsia="en-US"/>
    </w:rPr>
  </w:style>
  <w:style w:type="character" w:customStyle="1" w:styleId="titledefault">
    <w:name w:val="title_default"/>
    <w:basedOn w:val="DefaultParagraphFont"/>
    <w:rsid w:val="008C2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6511">
      <w:bodyDiv w:val="1"/>
      <w:marLeft w:val="0"/>
      <w:marRight w:val="0"/>
      <w:marTop w:val="0"/>
      <w:marBottom w:val="0"/>
      <w:divBdr>
        <w:top w:val="none" w:sz="0" w:space="0" w:color="auto"/>
        <w:left w:val="none" w:sz="0" w:space="0" w:color="auto"/>
        <w:bottom w:val="none" w:sz="0" w:space="0" w:color="auto"/>
        <w:right w:val="none" w:sz="0" w:space="0" w:color="auto"/>
      </w:divBdr>
    </w:div>
    <w:div w:id="48919473">
      <w:bodyDiv w:val="1"/>
      <w:marLeft w:val="0"/>
      <w:marRight w:val="0"/>
      <w:marTop w:val="0"/>
      <w:marBottom w:val="0"/>
      <w:divBdr>
        <w:top w:val="none" w:sz="0" w:space="0" w:color="auto"/>
        <w:left w:val="none" w:sz="0" w:space="0" w:color="auto"/>
        <w:bottom w:val="none" w:sz="0" w:space="0" w:color="auto"/>
        <w:right w:val="none" w:sz="0" w:space="0" w:color="auto"/>
      </w:divBdr>
      <w:divsChild>
        <w:div w:id="416289727">
          <w:marLeft w:val="1166"/>
          <w:marRight w:val="0"/>
          <w:marTop w:val="115"/>
          <w:marBottom w:val="0"/>
          <w:divBdr>
            <w:top w:val="none" w:sz="0" w:space="0" w:color="auto"/>
            <w:left w:val="none" w:sz="0" w:space="0" w:color="auto"/>
            <w:bottom w:val="none" w:sz="0" w:space="0" w:color="auto"/>
            <w:right w:val="none" w:sz="0" w:space="0" w:color="auto"/>
          </w:divBdr>
        </w:div>
        <w:div w:id="1329409433">
          <w:marLeft w:val="1166"/>
          <w:marRight w:val="0"/>
          <w:marTop w:val="115"/>
          <w:marBottom w:val="0"/>
          <w:divBdr>
            <w:top w:val="none" w:sz="0" w:space="0" w:color="auto"/>
            <w:left w:val="none" w:sz="0" w:space="0" w:color="auto"/>
            <w:bottom w:val="none" w:sz="0" w:space="0" w:color="auto"/>
            <w:right w:val="none" w:sz="0" w:space="0" w:color="auto"/>
          </w:divBdr>
        </w:div>
        <w:div w:id="347216728">
          <w:marLeft w:val="1166"/>
          <w:marRight w:val="0"/>
          <w:marTop w:val="115"/>
          <w:marBottom w:val="0"/>
          <w:divBdr>
            <w:top w:val="none" w:sz="0" w:space="0" w:color="auto"/>
            <w:left w:val="none" w:sz="0" w:space="0" w:color="auto"/>
            <w:bottom w:val="none" w:sz="0" w:space="0" w:color="auto"/>
            <w:right w:val="none" w:sz="0" w:space="0" w:color="auto"/>
          </w:divBdr>
        </w:div>
        <w:div w:id="1809712140">
          <w:marLeft w:val="1800"/>
          <w:marRight w:val="0"/>
          <w:marTop w:val="96"/>
          <w:marBottom w:val="0"/>
          <w:divBdr>
            <w:top w:val="none" w:sz="0" w:space="0" w:color="auto"/>
            <w:left w:val="none" w:sz="0" w:space="0" w:color="auto"/>
            <w:bottom w:val="none" w:sz="0" w:space="0" w:color="auto"/>
            <w:right w:val="none" w:sz="0" w:space="0" w:color="auto"/>
          </w:divBdr>
        </w:div>
        <w:div w:id="555549369">
          <w:marLeft w:val="1166"/>
          <w:marRight w:val="0"/>
          <w:marTop w:val="115"/>
          <w:marBottom w:val="0"/>
          <w:divBdr>
            <w:top w:val="none" w:sz="0" w:space="0" w:color="auto"/>
            <w:left w:val="none" w:sz="0" w:space="0" w:color="auto"/>
            <w:bottom w:val="none" w:sz="0" w:space="0" w:color="auto"/>
            <w:right w:val="none" w:sz="0" w:space="0" w:color="auto"/>
          </w:divBdr>
        </w:div>
        <w:div w:id="1681424176">
          <w:marLeft w:val="1166"/>
          <w:marRight w:val="0"/>
          <w:marTop w:val="115"/>
          <w:marBottom w:val="0"/>
          <w:divBdr>
            <w:top w:val="none" w:sz="0" w:space="0" w:color="auto"/>
            <w:left w:val="none" w:sz="0" w:space="0" w:color="auto"/>
            <w:bottom w:val="none" w:sz="0" w:space="0" w:color="auto"/>
            <w:right w:val="none" w:sz="0" w:space="0" w:color="auto"/>
          </w:divBdr>
        </w:div>
      </w:divsChild>
    </w:div>
    <w:div w:id="185867758">
      <w:bodyDiv w:val="1"/>
      <w:marLeft w:val="0"/>
      <w:marRight w:val="0"/>
      <w:marTop w:val="0"/>
      <w:marBottom w:val="0"/>
      <w:divBdr>
        <w:top w:val="none" w:sz="0" w:space="0" w:color="auto"/>
        <w:left w:val="none" w:sz="0" w:space="0" w:color="auto"/>
        <w:bottom w:val="none" w:sz="0" w:space="0" w:color="auto"/>
        <w:right w:val="none" w:sz="0" w:space="0" w:color="auto"/>
      </w:divBdr>
    </w:div>
    <w:div w:id="221865208">
      <w:bodyDiv w:val="1"/>
      <w:marLeft w:val="0"/>
      <w:marRight w:val="0"/>
      <w:marTop w:val="0"/>
      <w:marBottom w:val="0"/>
      <w:divBdr>
        <w:top w:val="none" w:sz="0" w:space="0" w:color="auto"/>
        <w:left w:val="none" w:sz="0" w:space="0" w:color="auto"/>
        <w:bottom w:val="none" w:sz="0" w:space="0" w:color="auto"/>
        <w:right w:val="none" w:sz="0" w:space="0" w:color="auto"/>
      </w:divBdr>
    </w:div>
    <w:div w:id="465389370">
      <w:bodyDiv w:val="1"/>
      <w:marLeft w:val="0"/>
      <w:marRight w:val="0"/>
      <w:marTop w:val="0"/>
      <w:marBottom w:val="0"/>
      <w:divBdr>
        <w:top w:val="none" w:sz="0" w:space="0" w:color="auto"/>
        <w:left w:val="none" w:sz="0" w:space="0" w:color="auto"/>
        <w:bottom w:val="none" w:sz="0" w:space="0" w:color="auto"/>
        <w:right w:val="none" w:sz="0" w:space="0" w:color="auto"/>
      </w:divBdr>
      <w:divsChild>
        <w:div w:id="574826012">
          <w:marLeft w:val="0"/>
          <w:marRight w:val="0"/>
          <w:marTop w:val="0"/>
          <w:marBottom w:val="0"/>
          <w:divBdr>
            <w:top w:val="none" w:sz="0" w:space="0" w:color="auto"/>
            <w:left w:val="none" w:sz="0" w:space="0" w:color="auto"/>
            <w:bottom w:val="none" w:sz="0" w:space="0" w:color="auto"/>
            <w:right w:val="none" w:sz="0" w:space="0" w:color="auto"/>
          </w:divBdr>
          <w:divsChild>
            <w:div w:id="1180853222">
              <w:marLeft w:val="0"/>
              <w:marRight w:val="0"/>
              <w:marTop w:val="0"/>
              <w:marBottom w:val="0"/>
              <w:divBdr>
                <w:top w:val="none" w:sz="0" w:space="0" w:color="auto"/>
                <w:left w:val="none" w:sz="0" w:space="0" w:color="auto"/>
                <w:bottom w:val="none" w:sz="0" w:space="0" w:color="auto"/>
                <w:right w:val="none" w:sz="0" w:space="0" w:color="auto"/>
              </w:divBdr>
              <w:divsChild>
                <w:div w:id="1553036938">
                  <w:marLeft w:val="0"/>
                  <w:marRight w:val="0"/>
                  <w:marTop w:val="0"/>
                  <w:marBottom w:val="0"/>
                  <w:divBdr>
                    <w:top w:val="none" w:sz="0" w:space="0" w:color="auto"/>
                    <w:left w:val="none" w:sz="0" w:space="0" w:color="auto"/>
                    <w:bottom w:val="none" w:sz="0" w:space="0" w:color="auto"/>
                    <w:right w:val="none" w:sz="0" w:space="0" w:color="auto"/>
                  </w:divBdr>
                  <w:divsChild>
                    <w:div w:id="7201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12416">
      <w:bodyDiv w:val="1"/>
      <w:marLeft w:val="0"/>
      <w:marRight w:val="0"/>
      <w:marTop w:val="0"/>
      <w:marBottom w:val="0"/>
      <w:divBdr>
        <w:top w:val="none" w:sz="0" w:space="0" w:color="auto"/>
        <w:left w:val="none" w:sz="0" w:space="0" w:color="auto"/>
        <w:bottom w:val="none" w:sz="0" w:space="0" w:color="auto"/>
        <w:right w:val="none" w:sz="0" w:space="0" w:color="auto"/>
      </w:divBdr>
    </w:div>
    <w:div w:id="606741621">
      <w:bodyDiv w:val="1"/>
      <w:marLeft w:val="0"/>
      <w:marRight w:val="0"/>
      <w:marTop w:val="0"/>
      <w:marBottom w:val="0"/>
      <w:divBdr>
        <w:top w:val="none" w:sz="0" w:space="0" w:color="auto"/>
        <w:left w:val="none" w:sz="0" w:space="0" w:color="auto"/>
        <w:bottom w:val="none" w:sz="0" w:space="0" w:color="auto"/>
        <w:right w:val="none" w:sz="0" w:space="0" w:color="auto"/>
      </w:divBdr>
    </w:div>
    <w:div w:id="657416497">
      <w:bodyDiv w:val="1"/>
      <w:marLeft w:val="0"/>
      <w:marRight w:val="0"/>
      <w:marTop w:val="0"/>
      <w:marBottom w:val="0"/>
      <w:divBdr>
        <w:top w:val="none" w:sz="0" w:space="0" w:color="auto"/>
        <w:left w:val="none" w:sz="0" w:space="0" w:color="auto"/>
        <w:bottom w:val="none" w:sz="0" w:space="0" w:color="auto"/>
        <w:right w:val="none" w:sz="0" w:space="0" w:color="auto"/>
      </w:divBdr>
    </w:div>
    <w:div w:id="840782332">
      <w:bodyDiv w:val="1"/>
      <w:marLeft w:val="0"/>
      <w:marRight w:val="0"/>
      <w:marTop w:val="0"/>
      <w:marBottom w:val="0"/>
      <w:divBdr>
        <w:top w:val="none" w:sz="0" w:space="0" w:color="auto"/>
        <w:left w:val="none" w:sz="0" w:space="0" w:color="auto"/>
        <w:bottom w:val="none" w:sz="0" w:space="0" w:color="auto"/>
        <w:right w:val="none" w:sz="0" w:space="0" w:color="auto"/>
      </w:divBdr>
    </w:div>
    <w:div w:id="991367037">
      <w:bodyDiv w:val="1"/>
      <w:marLeft w:val="0"/>
      <w:marRight w:val="0"/>
      <w:marTop w:val="0"/>
      <w:marBottom w:val="0"/>
      <w:divBdr>
        <w:top w:val="none" w:sz="0" w:space="0" w:color="auto"/>
        <w:left w:val="none" w:sz="0" w:space="0" w:color="auto"/>
        <w:bottom w:val="none" w:sz="0" w:space="0" w:color="auto"/>
        <w:right w:val="none" w:sz="0" w:space="0" w:color="auto"/>
      </w:divBdr>
    </w:div>
    <w:div w:id="1011762110">
      <w:bodyDiv w:val="1"/>
      <w:marLeft w:val="0"/>
      <w:marRight w:val="0"/>
      <w:marTop w:val="0"/>
      <w:marBottom w:val="0"/>
      <w:divBdr>
        <w:top w:val="none" w:sz="0" w:space="0" w:color="auto"/>
        <w:left w:val="none" w:sz="0" w:space="0" w:color="auto"/>
        <w:bottom w:val="none" w:sz="0" w:space="0" w:color="auto"/>
        <w:right w:val="none" w:sz="0" w:space="0" w:color="auto"/>
      </w:divBdr>
    </w:div>
    <w:div w:id="1132139472">
      <w:bodyDiv w:val="1"/>
      <w:marLeft w:val="0"/>
      <w:marRight w:val="0"/>
      <w:marTop w:val="0"/>
      <w:marBottom w:val="0"/>
      <w:divBdr>
        <w:top w:val="none" w:sz="0" w:space="0" w:color="auto"/>
        <w:left w:val="none" w:sz="0" w:space="0" w:color="auto"/>
        <w:bottom w:val="none" w:sz="0" w:space="0" w:color="auto"/>
        <w:right w:val="none" w:sz="0" w:space="0" w:color="auto"/>
      </w:divBdr>
    </w:div>
    <w:div w:id="1227961170">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535314913">
      <w:bodyDiv w:val="1"/>
      <w:marLeft w:val="0"/>
      <w:marRight w:val="0"/>
      <w:marTop w:val="0"/>
      <w:marBottom w:val="0"/>
      <w:divBdr>
        <w:top w:val="none" w:sz="0" w:space="0" w:color="auto"/>
        <w:left w:val="none" w:sz="0" w:space="0" w:color="auto"/>
        <w:bottom w:val="none" w:sz="0" w:space="0" w:color="auto"/>
        <w:right w:val="none" w:sz="0" w:space="0" w:color="auto"/>
      </w:divBdr>
    </w:div>
    <w:div w:id="1941138543">
      <w:bodyDiv w:val="1"/>
      <w:marLeft w:val="0"/>
      <w:marRight w:val="0"/>
      <w:marTop w:val="0"/>
      <w:marBottom w:val="0"/>
      <w:divBdr>
        <w:top w:val="none" w:sz="0" w:space="0" w:color="auto"/>
        <w:left w:val="none" w:sz="0" w:space="0" w:color="auto"/>
        <w:bottom w:val="none" w:sz="0" w:space="0" w:color="auto"/>
        <w:right w:val="none" w:sz="0" w:space="0" w:color="auto"/>
      </w:divBdr>
      <w:divsChild>
        <w:div w:id="419103596">
          <w:marLeft w:val="0"/>
          <w:marRight w:val="0"/>
          <w:marTop w:val="0"/>
          <w:marBottom w:val="0"/>
          <w:divBdr>
            <w:top w:val="none" w:sz="0" w:space="0" w:color="C4DEEE"/>
            <w:left w:val="none" w:sz="0" w:space="0" w:color="C4DEEE"/>
            <w:bottom w:val="none" w:sz="0" w:space="0" w:color="C4DEEE"/>
            <w:right w:val="none" w:sz="0" w:space="0" w:color="C4DEEE"/>
          </w:divBdr>
          <w:divsChild>
            <w:div w:id="993030496">
              <w:marLeft w:val="0"/>
              <w:marRight w:val="0"/>
              <w:marTop w:val="0"/>
              <w:marBottom w:val="0"/>
              <w:divBdr>
                <w:top w:val="none" w:sz="0" w:space="0" w:color="C4DEEE"/>
                <w:left w:val="none" w:sz="0" w:space="8" w:color="C4DEEE"/>
                <w:bottom w:val="none" w:sz="0" w:space="0" w:color="C4DEEE"/>
                <w:right w:val="none" w:sz="0" w:space="0" w:color="C4DEEE"/>
              </w:divBdr>
              <w:divsChild>
                <w:div w:id="1975406486">
                  <w:marLeft w:val="0"/>
                  <w:marRight w:val="0"/>
                  <w:marTop w:val="0"/>
                  <w:marBottom w:val="0"/>
                  <w:divBdr>
                    <w:top w:val="none" w:sz="0" w:space="0" w:color="C4DEEE"/>
                    <w:left w:val="none" w:sz="0" w:space="0" w:color="C4DEEE"/>
                    <w:bottom w:val="none" w:sz="0" w:space="0" w:color="C4DEEE"/>
                    <w:right w:val="none" w:sz="0" w:space="0" w:color="C4DEEE"/>
                  </w:divBdr>
                  <w:divsChild>
                    <w:div w:id="426193466">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Child>
        </w:div>
      </w:divsChild>
    </w:div>
    <w:div w:id="1941596865">
      <w:bodyDiv w:val="1"/>
      <w:marLeft w:val="0"/>
      <w:marRight w:val="0"/>
      <w:marTop w:val="0"/>
      <w:marBottom w:val="0"/>
      <w:divBdr>
        <w:top w:val="none" w:sz="0" w:space="0" w:color="auto"/>
        <w:left w:val="none" w:sz="0" w:space="0" w:color="auto"/>
        <w:bottom w:val="none" w:sz="0" w:space="0" w:color="auto"/>
        <w:right w:val="none" w:sz="0" w:space="0" w:color="auto"/>
      </w:divBdr>
    </w:div>
    <w:div w:id="2010450506">
      <w:bodyDiv w:val="1"/>
      <w:marLeft w:val="0"/>
      <w:marRight w:val="0"/>
      <w:marTop w:val="0"/>
      <w:marBottom w:val="0"/>
      <w:divBdr>
        <w:top w:val="none" w:sz="0" w:space="0" w:color="auto"/>
        <w:left w:val="none" w:sz="0" w:space="0" w:color="auto"/>
        <w:bottom w:val="none" w:sz="0" w:space="0" w:color="auto"/>
        <w:right w:val="none" w:sz="0" w:space="0" w:color="auto"/>
      </w:divBdr>
      <w:divsChild>
        <w:div w:id="506017747">
          <w:marLeft w:val="547"/>
          <w:marRight w:val="0"/>
          <w:marTop w:val="86"/>
          <w:marBottom w:val="0"/>
          <w:divBdr>
            <w:top w:val="none" w:sz="0" w:space="0" w:color="auto"/>
            <w:left w:val="none" w:sz="0" w:space="0" w:color="auto"/>
            <w:bottom w:val="none" w:sz="0" w:space="0" w:color="auto"/>
            <w:right w:val="none" w:sz="0" w:space="0" w:color="auto"/>
          </w:divBdr>
        </w:div>
        <w:div w:id="307630871">
          <w:marLeft w:val="1166"/>
          <w:marRight w:val="0"/>
          <w:marTop w:val="72"/>
          <w:marBottom w:val="0"/>
          <w:divBdr>
            <w:top w:val="none" w:sz="0" w:space="0" w:color="auto"/>
            <w:left w:val="none" w:sz="0" w:space="0" w:color="auto"/>
            <w:bottom w:val="none" w:sz="0" w:space="0" w:color="auto"/>
            <w:right w:val="none" w:sz="0" w:space="0" w:color="auto"/>
          </w:divBdr>
        </w:div>
        <w:div w:id="1633973996">
          <w:marLeft w:val="1166"/>
          <w:marRight w:val="0"/>
          <w:marTop w:val="72"/>
          <w:marBottom w:val="0"/>
          <w:divBdr>
            <w:top w:val="none" w:sz="0" w:space="0" w:color="auto"/>
            <w:left w:val="none" w:sz="0" w:space="0" w:color="auto"/>
            <w:bottom w:val="none" w:sz="0" w:space="0" w:color="auto"/>
            <w:right w:val="none" w:sz="0" w:space="0" w:color="auto"/>
          </w:divBdr>
        </w:div>
      </w:divsChild>
    </w:div>
    <w:div w:id="204343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B630-E69D-4E20-B7BB-35B8204F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12897</Words>
  <Characters>72634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2019-06-24T05:37:00Z</dcterms:created>
  <dcterms:modified xsi:type="dcterms:W3CDTF">2019-07-05T02:43:00Z</dcterms:modified>
</cp:coreProperties>
</file>