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4E" w:rsidRPr="00050F71" w:rsidRDefault="00F00A2D" w:rsidP="003B4E4E">
      <w:pPr>
        <w:pStyle w:val="Title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050F71">
        <w:rPr>
          <w:rFonts w:asciiTheme="minorHAnsi" w:hAnsiTheme="minorHAnsi"/>
          <w:sz w:val="36"/>
          <w:szCs w:val="36"/>
        </w:rPr>
        <w:t>14.03(a)</w:t>
      </w:r>
      <w:r w:rsidRPr="00050F71">
        <w:rPr>
          <w:rFonts w:asciiTheme="minorHAnsi" w:hAnsiTheme="minorHAnsi"/>
          <w:sz w:val="36"/>
          <w:szCs w:val="36"/>
        </w:rPr>
        <w:tab/>
        <w:t xml:space="preserve">CALCIUM </w:t>
      </w:r>
    </w:p>
    <w:p w:rsidR="003B4E4E" w:rsidRPr="00050F71" w:rsidRDefault="00011D06" w:rsidP="00011D06">
      <w:pPr>
        <w:pStyle w:val="Title"/>
        <w:ind w:left="720" w:firstLine="720"/>
        <w:rPr>
          <w:rFonts w:asciiTheme="minorHAnsi" w:hAnsiTheme="minorHAnsi"/>
          <w:sz w:val="36"/>
          <w:szCs w:val="36"/>
        </w:rPr>
      </w:pPr>
      <w:r w:rsidRPr="00050F71">
        <w:rPr>
          <w:rFonts w:asciiTheme="minorHAnsi" w:hAnsiTheme="minorHAnsi"/>
          <w:sz w:val="36"/>
          <w:szCs w:val="36"/>
        </w:rPr>
        <w:t>T</w:t>
      </w:r>
      <w:r w:rsidR="00CD3369" w:rsidRPr="00050F71">
        <w:rPr>
          <w:rFonts w:asciiTheme="minorHAnsi" w:hAnsiTheme="minorHAnsi"/>
          <w:sz w:val="36"/>
          <w:szCs w:val="36"/>
        </w:rPr>
        <w:t xml:space="preserve">ablet, chewable, </w:t>
      </w:r>
      <w:r w:rsidR="00F00A2D" w:rsidRPr="00050F71">
        <w:rPr>
          <w:rFonts w:asciiTheme="minorHAnsi" w:hAnsiTheme="minorHAnsi"/>
          <w:sz w:val="36"/>
          <w:szCs w:val="36"/>
        </w:rPr>
        <w:t>500 mg (as carbonate)</w:t>
      </w:r>
      <w:r w:rsidRPr="00050F71">
        <w:rPr>
          <w:rFonts w:asciiTheme="minorHAnsi" w:hAnsiTheme="minorHAnsi"/>
          <w:sz w:val="36"/>
          <w:szCs w:val="36"/>
        </w:rPr>
        <w:t>,</w:t>
      </w:r>
    </w:p>
    <w:p w:rsidR="003B4E4E" w:rsidRPr="00050F71" w:rsidRDefault="00F00A2D" w:rsidP="00011D06">
      <w:pPr>
        <w:pStyle w:val="Title"/>
        <w:ind w:left="720" w:firstLine="720"/>
        <w:rPr>
          <w:rFonts w:asciiTheme="minorHAnsi" w:hAnsiTheme="minorHAnsi"/>
          <w:sz w:val="36"/>
          <w:szCs w:val="36"/>
        </w:rPr>
      </w:pPr>
      <w:r w:rsidRPr="00050F71">
        <w:rPr>
          <w:rFonts w:asciiTheme="minorHAnsi" w:hAnsiTheme="minorHAnsi"/>
          <w:sz w:val="36"/>
          <w:szCs w:val="36"/>
        </w:rPr>
        <w:t>Cal-500</w:t>
      </w:r>
      <w:r w:rsidR="003B4E4E" w:rsidRPr="00050F71">
        <w:rPr>
          <w:rFonts w:asciiTheme="minorHAnsi" w:hAnsiTheme="minorHAnsi"/>
          <w:sz w:val="36"/>
          <w:szCs w:val="36"/>
          <w:vertAlign w:val="superscript"/>
        </w:rPr>
        <w:t>®</w:t>
      </w:r>
      <w:r w:rsidRPr="00050F71">
        <w:rPr>
          <w:rFonts w:asciiTheme="minorHAnsi" w:hAnsiTheme="minorHAnsi"/>
          <w:sz w:val="36"/>
          <w:szCs w:val="36"/>
        </w:rPr>
        <w:t>, Petrus Pharmaceuticals Pty Ltd</w:t>
      </w:r>
    </w:p>
    <w:p w:rsidR="006457A7" w:rsidRPr="00050F71" w:rsidRDefault="006457A7" w:rsidP="00277907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 xml:space="preserve">Purpose of </w:t>
      </w:r>
      <w:r w:rsidR="006B22AC"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>A</w:t>
      </w: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>pplication</w:t>
      </w:r>
    </w:p>
    <w:p w:rsidR="00277907" w:rsidRPr="00050F71" w:rsidRDefault="00277907" w:rsidP="00033C1B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hAnsiTheme="minorHAnsi"/>
        </w:rPr>
      </w:pPr>
      <w:r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The minor submission </w:t>
      </w:r>
      <w:r w:rsidR="00033C1B"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requested a General Schedule (Section 85) Authority Required (STREAMLINED) listing of a new larger pack size of calcium for the treatment of hyperphosphataemia. </w:t>
      </w:r>
    </w:p>
    <w:p w:rsidR="008142B6" w:rsidRPr="00050F71" w:rsidRDefault="009C3D72" w:rsidP="008C50E4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>Requested listing</w:t>
      </w:r>
    </w:p>
    <w:p w:rsidR="00277907" w:rsidRPr="00050F71" w:rsidRDefault="00277907" w:rsidP="008C50E4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The </w:t>
      </w:r>
      <w:r w:rsidR="00664D01"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minor </w:t>
      </w:r>
      <w:r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submission requested </w:t>
      </w:r>
      <w:r w:rsidR="00664D01" w:rsidRPr="00050F71">
        <w:rPr>
          <w:rFonts w:asciiTheme="minorHAnsi" w:eastAsiaTheme="minorHAnsi" w:hAnsiTheme="minorHAnsi" w:cstheme="minorBidi"/>
          <w:szCs w:val="22"/>
          <w:lang w:eastAsia="en-US"/>
        </w:rPr>
        <w:t>the listing of a pack size of 120 tablets</w:t>
      </w:r>
      <w:r w:rsidR="00282B99"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, with a maximum quantity of 240 tablets (2 packs) and 1 repeat. </w:t>
      </w:r>
    </w:p>
    <w:p w:rsidR="00282B99" w:rsidRPr="00050F71" w:rsidRDefault="003E7A12" w:rsidP="008C50E4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050F71">
        <w:rPr>
          <w:rFonts w:asciiTheme="minorHAnsi" w:eastAsiaTheme="minorHAnsi" w:hAnsiTheme="minorHAnsi" w:cstheme="minorBidi"/>
          <w:szCs w:val="22"/>
          <w:lang w:eastAsia="en-US"/>
        </w:rPr>
        <w:t>The</w:t>
      </w:r>
      <w:r w:rsidR="006F7481"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 sponsor sought to replace the </w:t>
      </w:r>
      <w:r w:rsidRPr="00050F71">
        <w:rPr>
          <w:rFonts w:asciiTheme="minorHAnsi" w:eastAsiaTheme="minorHAnsi" w:hAnsiTheme="minorHAnsi" w:cstheme="minorBidi"/>
          <w:szCs w:val="22"/>
          <w:lang w:eastAsia="en-US"/>
        </w:rPr>
        <w:t>current</w:t>
      </w:r>
      <w:r w:rsidR="00FD6536" w:rsidRPr="00050F71">
        <w:rPr>
          <w:rFonts w:asciiTheme="minorHAnsi" w:eastAsiaTheme="minorHAnsi" w:hAnsiTheme="minorHAnsi" w:cstheme="minorBidi"/>
          <w:szCs w:val="22"/>
          <w:lang w:eastAsia="en-US"/>
        </w:rPr>
        <w:t>ly</w:t>
      </w:r>
      <w:r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 listed pack size of 60 tablets (4 packs, 1 repea</w:t>
      </w:r>
      <w:r w:rsidR="006F7481" w:rsidRPr="00050F71">
        <w:rPr>
          <w:rFonts w:asciiTheme="minorHAnsi" w:eastAsiaTheme="minorHAnsi" w:hAnsiTheme="minorHAnsi" w:cstheme="minorBidi"/>
          <w:szCs w:val="22"/>
          <w:lang w:eastAsia="en-US"/>
        </w:rPr>
        <w:t xml:space="preserve">t) with the requested listing. </w:t>
      </w:r>
      <w:r w:rsidR="00644321" w:rsidRPr="00050F71">
        <w:rPr>
          <w:rFonts w:asciiTheme="minorHAnsi" w:eastAsiaTheme="minorHAnsi" w:hAnsiTheme="minorHAnsi" w:cstheme="minorBidi"/>
          <w:szCs w:val="22"/>
          <w:lang w:eastAsia="en-US"/>
        </w:rPr>
        <w:t>The sponsor advised that it intends to delist the 60 tablet pack size if the 120 tablet pack size is listed.</w:t>
      </w:r>
    </w:p>
    <w:tbl>
      <w:tblPr>
        <w:tblW w:w="4696" w:type="pct"/>
        <w:tblLayout w:type="fixed"/>
        <w:tblLook w:val="0000" w:firstRow="0" w:lastRow="0" w:firstColumn="0" w:lastColumn="0" w:noHBand="0" w:noVBand="0"/>
      </w:tblPr>
      <w:tblGrid>
        <w:gridCol w:w="2125"/>
        <w:gridCol w:w="426"/>
        <w:gridCol w:w="1134"/>
        <w:gridCol w:w="1134"/>
        <w:gridCol w:w="708"/>
        <w:gridCol w:w="1026"/>
        <w:gridCol w:w="2127"/>
      </w:tblGrid>
      <w:tr w:rsidR="004F691F" w:rsidRPr="00050F71" w:rsidTr="00D0559D">
        <w:trPr>
          <w:cantSplit/>
          <w:trHeight w:val="47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91F" w:rsidRPr="00050F71" w:rsidRDefault="0042209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Theme="minorHAnsi" w:hAnsiTheme="minorHAnsi" w:cs="Arial"/>
                <w:b/>
                <w:snapToGrid w:val="0"/>
                <w:lang w:eastAsia="en-US"/>
              </w:rPr>
              <w:br w:type="page"/>
            </w:r>
            <w:r w:rsidR="004F691F" w:rsidRPr="00050F71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4F691F" w:rsidRPr="00050F71" w:rsidRDefault="004F691F" w:rsidP="00565196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 xml:space="preserve">Max. </w:t>
            </w:r>
          </w:p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4F691F" w:rsidRPr="00CD05C0" w:rsidRDefault="004F691F" w:rsidP="00565196">
            <w:pPr>
              <w:keepNext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4F691F" w:rsidRPr="00050F71" w:rsidTr="00D0559D">
        <w:trPr>
          <w:cantSplit/>
          <w:trHeight w:val="577"/>
        </w:trPr>
        <w:tc>
          <w:tcPr>
            <w:tcW w:w="2551" w:type="dxa"/>
            <w:gridSpan w:val="2"/>
          </w:tcPr>
          <w:p w:rsidR="004F691F" w:rsidRPr="00050F71" w:rsidRDefault="006F7481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mallCaps/>
                <w:sz w:val="20"/>
                <w:szCs w:val="20"/>
              </w:rPr>
              <w:t xml:space="preserve">CALCIUM </w:t>
            </w:r>
          </w:p>
          <w:p w:rsidR="004F691F" w:rsidRPr="00050F71" w:rsidRDefault="00CD3369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Tablet, </w:t>
            </w:r>
            <w:r w:rsidR="00011D06" w:rsidRPr="00050F71">
              <w:rPr>
                <w:rFonts w:ascii="Arial Narrow" w:hAnsi="Arial Narrow" w:cs="Arial"/>
                <w:sz w:val="20"/>
                <w:szCs w:val="20"/>
              </w:rPr>
              <w:t>chewabl</w:t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e, </w:t>
            </w:r>
            <w:r w:rsidR="00011D06" w:rsidRPr="00050F71">
              <w:rPr>
                <w:rFonts w:ascii="Arial Narrow" w:hAnsi="Arial Narrow" w:cs="Arial"/>
                <w:sz w:val="20"/>
                <w:szCs w:val="20"/>
              </w:rPr>
              <w:t>500 mg, 120</w:t>
            </w:r>
          </w:p>
        </w:tc>
        <w:tc>
          <w:tcPr>
            <w:tcW w:w="1134" w:type="dxa"/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050F71" w:rsidRDefault="00011D06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050F71" w:rsidRDefault="00011D06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4F691F" w:rsidRPr="00050F71" w:rsidRDefault="004F691F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050F71" w:rsidRDefault="00011D06" w:rsidP="005651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4F691F" w:rsidRPr="00050F71" w:rsidRDefault="004F691F" w:rsidP="005651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050F71" w:rsidRDefault="00011D06" w:rsidP="005651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Cal-500</w:t>
            </w:r>
          </w:p>
        </w:tc>
        <w:tc>
          <w:tcPr>
            <w:tcW w:w="2127" w:type="dxa"/>
          </w:tcPr>
          <w:p w:rsidR="004F691F" w:rsidRPr="00050F71" w:rsidRDefault="00011D06" w:rsidP="0005398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br/>
              <w:t xml:space="preserve">Petrus </w:t>
            </w:r>
            <w:r w:rsidR="00053989" w:rsidRPr="00050F71">
              <w:rPr>
                <w:rFonts w:ascii="Arial Narrow" w:hAnsi="Arial Narrow" w:cs="Arial"/>
                <w:sz w:val="20"/>
                <w:szCs w:val="20"/>
              </w:rPr>
              <w:br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Pharmaceuticals Pty Ltd</w:t>
            </w:r>
          </w:p>
        </w:tc>
      </w:tr>
      <w:tr w:rsidR="004F691F" w:rsidRPr="00050F71" w:rsidTr="00D0559D">
        <w:trPr>
          <w:cantSplit/>
          <w:trHeight w:val="191"/>
        </w:trPr>
        <w:tc>
          <w:tcPr>
            <w:tcW w:w="8680" w:type="dxa"/>
            <w:gridSpan w:val="7"/>
            <w:tcBorders>
              <w:bottom w:val="single" w:sz="4" w:space="0" w:color="auto"/>
            </w:tcBorders>
          </w:tcPr>
          <w:p w:rsidR="00B0593B" w:rsidRPr="00050F71" w:rsidRDefault="00B0593B" w:rsidP="005651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91F" w:rsidRPr="00050F71" w:rsidTr="00D0559D">
        <w:trPr>
          <w:cantSplit/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91F" w:rsidRPr="00050F71" w:rsidTr="00D0559D">
        <w:trPr>
          <w:cantSplit/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="00053989"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3989"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53989"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="00053989"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3989"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53989"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Nurse practitioners </w:t>
            </w:r>
            <w:r w:rsidR="00011D06" w:rsidRPr="00050F71">
              <w:rPr>
                <w:rFonts w:ascii="Arial Narrow" w:hAnsi="Arial Narrow" w:cs="Arial"/>
                <w:sz w:val="20"/>
                <w:szCs w:val="20"/>
              </w:rPr>
              <w:br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4F691F" w:rsidRPr="00050F71" w:rsidTr="00D0559D">
        <w:trPr>
          <w:cantSplit/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CA6917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Hyperphosphataemia</w:t>
            </w:r>
          </w:p>
        </w:tc>
      </w:tr>
      <w:tr w:rsidR="004F691F" w:rsidRPr="00050F71" w:rsidTr="00D0559D">
        <w:trPr>
          <w:cantSplit/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4F691F" w:rsidRPr="00050F71" w:rsidRDefault="004F691F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4F691F" w:rsidRPr="00050F71" w:rsidRDefault="00CA6917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F691F" w:rsidRPr="00050F71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4F691F" w:rsidRPr="00050F71" w:rsidTr="00D0559D">
        <w:trPr>
          <w:cantSplit/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4F691F" w:rsidP="00CA691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050F71" w:rsidRDefault="00CA6917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The condition must be associated with chronic renal failure. </w:t>
            </w:r>
          </w:p>
          <w:p w:rsidR="004F691F" w:rsidRPr="00050F71" w:rsidRDefault="004F691F" w:rsidP="005651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B3354" w:rsidRPr="00050F71" w:rsidRDefault="006728B5" w:rsidP="00F43DE8">
      <w:pPr>
        <w:pStyle w:val="Heading1"/>
        <w:numPr>
          <w:ilvl w:val="0"/>
          <w:numId w:val="4"/>
        </w:numPr>
        <w:spacing w:before="120"/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>Background</w:t>
      </w:r>
    </w:p>
    <w:p w:rsidR="006457A7" w:rsidRPr="00050F71" w:rsidRDefault="007978BF" w:rsidP="00F43DE8">
      <w:pPr>
        <w:pStyle w:val="ListParagraph"/>
        <w:numPr>
          <w:ilvl w:val="1"/>
          <w:numId w:val="4"/>
        </w:numPr>
        <w:spacing w:before="120"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050F71">
        <w:rPr>
          <w:rFonts w:asciiTheme="minorHAnsi" w:eastAsiaTheme="minorHAnsi" w:hAnsiTheme="minorHAnsi" w:cstheme="minorBidi"/>
          <w:lang w:eastAsia="en-US"/>
        </w:rPr>
        <w:t>Cal-500 tablets 60’s (AUST L 208475) is listed on th</w:t>
      </w:r>
      <w:r w:rsidR="00BB57CD" w:rsidRPr="00050F71">
        <w:rPr>
          <w:rFonts w:asciiTheme="minorHAnsi" w:eastAsiaTheme="minorHAnsi" w:hAnsiTheme="minorHAnsi" w:cstheme="minorBidi"/>
          <w:lang w:eastAsia="en-US"/>
        </w:rPr>
        <w:t>e PBS under item number 3116B</w:t>
      </w:r>
      <w:r w:rsidR="00613621">
        <w:rPr>
          <w:rFonts w:asciiTheme="minorHAnsi" w:eastAsiaTheme="minorHAnsi" w:hAnsiTheme="minorHAnsi" w:cstheme="minorBidi"/>
          <w:lang w:eastAsia="en-US"/>
        </w:rPr>
        <w:t xml:space="preserve"> as an Authority Required (STREAMLINED) listing; and</w:t>
      </w:r>
      <w:r w:rsidR="002B6FC9">
        <w:rPr>
          <w:rFonts w:asciiTheme="minorHAnsi" w:eastAsiaTheme="minorHAnsi" w:hAnsiTheme="minorHAnsi" w:cstheme="minorBidi"/>
          <w:lang w:eastAsia="en-US"/>
        </w:rPr>
        <w:t xml:space="preserve"> on the RPBS under item numbers</w:t>
      </w:r>
      <w:r w:rsidR="00613621">
        <w:rPr>
          <w:rFonts w:asciiTheme="minorHAnsi" w:eastAsiaTheme="minorHAnsi" w:hAnsiTheme="minorHAnsi" w:cstheme="minorBidi"/>
          <w:lang w:eastAsia="en-US"/>
        </w:rPr>
        <w:t xml:space="preserve"> 4094L</w:t>
      </w:r>
      <w:r w:rsidR="00380EC2">
        <w:rPr>
          <w:rFonts w:asciiTheme="minorHAnsi" w:eastAsiaTheme="minorHAnsi" w:hAnsiTheme="minorHAnsi" w:cstheme="minorBidi"/>
          <w:lang w:eastAsia="en-US"/>
        </w:rPr>
        <w:t xml:space="preserve"> and 4333C</w:t>
      </w:r>
      <w:r w:rsidR="00613621">
        <w:rPr>
          <w:rFonts w:asciiTheme="minorHAnsi" w:eastAsiaTheme="minorHAnsi" w:hAnsiTheme="minorHAnsi" w:cstheme="minorBidi"/>
          <w:lang w:eastAsia="en-US"/>
        </w:rPr>
        <w:t xml:space="preserve"> as</w:t>
      </w:r>
      <w:r w:rsidR="00380EC2">
        <w:rPr>
          <w:rFonts w:asciiTheme="minorHAnsi" w:eastAsiaTheme="minorHAnsi" w:hAnsiTheme="minorHAnsi" w:cstheme="minorBidi"/>
          <w:lang w:eastAsia="en-US"/>
        </w:rPr>
        <w:t xml:space="preserve"> </w:t>
      </w:r>
      <w:r w:rsidR="006B1A45">
        <w:rPr>
          <w:rFonts w:asciiTheme="minorHAnsi" w:eastAsiaTheme="minorHAnsi" w:hAnsiTheme="minorHAnsi" w:cstheme="minorBidi"/>
          <w:lang w:eastAsia="en-US"/>
        </w:rPr>
        <w:t>Restricted B</w:t>
      </w:r>
      <w:r w:rsidR="00613621">
        <w:rPr>
          <w:rFonts w:asciiTheme="minorHAnsi" w:eastAsiaTheme="minorHAnsi" w:hAnsiTheme="minorHAnsi" w:cstheme="minorBidi"/>
          <w:lang w:eastAsia="en-US"/>
        </w:rPr>
        <w:t>enefit</w:t>
      </w:r>
      <w:r w:rsidR="002B6FC9">
        <w:rPr>
          <w:rFonts w:asciiTheme="minorHAnsi" w:eastAsiaTheme="minorHAnsi" w:hAnsiTheme="minorHAnsi" w:cstheme="minorBidi"/>
          <w:lang w:eastAsia="en-US"/>
        </w:rPr>
        <w:t xml:space="preserve"> listings.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For item</w:t>
      </w:r>
      <w:r w:rsidR="00801F42">
        <w:rPr>
          <w:rFonts w:asciiTheme="minorHAnsi" w:eastAsiaTheme="minorHAnsi" w:hAnsiTheme="minorHAnsi" w:cstheme="minorBidi"/>
          <w:lang w:eastAsia="en-US"/>
        </w:rPr>
        <w:t>s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4094L</w:t>
      </w:r>
      <w:r w:rsidR="00380EC2">
        <w:rPr>
          <w:rFonts w:asciiTheme="minorHAnsi" w:eastAsiaTheme="minorHAnsi" w:hAnsiTheme="minorHAnsi" w:cstheme="minorBidi"/>
          <w:lang w:eastAsia="en-US"/>
        </w:rPr>
        <w:t xml:space="preserve"> and 4333C</w:t>
      </w:r>
      <w:r w:rsidR="002A4624">
        <w:rPr>
          <w:rFonts w:asciiTheme="minorHAnsi" w:eastAsiaTheme="minorHAnsi" w:hAnsiTheme="minorHAnsi" w:cstheme="minorBidi"/>
          <w:lang w:eastAsia="en-US"/>
        </w:rPr>
        <w:t>, the sponsor will need to contact the Department of Veteran</w:t>
      </w:r>
      <w:r w:rsidR="001A6C9A">
        <w:rPr>
          <w:rFonts w:asciiTheme="minorHAnsi" w:eastAsiaTheme="minorHAnsi" w:hAnsiTheme="minorHAnsi" w:cstheme="minorBidi"/>
          <w:lang w:eastAsia="en-US"/>
        </w:rPr>
        <w:t>s’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Affairs about the</w:t>
      </w:r>
      <w:r w:rsidR="00380EC2">
        <w:rPr>
          <w:rFonts w:asciiTheme="minorHAnsi" w:eastAsiaTheme="minorHAnsi" w:hAnsiTheme="minorHAnsi" w:cstheme="minorBidi"/>
          <w:lang w:eastAsia="en-US"/>
        </w:rPr>
        <w:t>se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listing</w:t>
      </w:r>
      <w:r w:rsidR="00380EC2">
        <w:rPr>
          <w:rFonts w:asciiTheme="minorHAnsi" w:eastAsiaTheme="minorHAnsi" w:hAnsiTheme="minorHAnsi" w:cstheme="minorBidi"/>
          <w:lang w:eastAsia="en-US"/>
        </w:rPr>
        <w:t>s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if </w:t>
      </w:r>
      <w:r w:rsidR="00380EC2">
        <w:rPr>
          <w:rFonts w:asciiTheme="minorHAnsi" w:eastAsiaTheme="minorHAnsi" w:hAnsiTheme="minorHAnsi" w:cstheme="minorBidi"/>
          <w:lang w:eastAsia="en-US"/>
        </w:rPr>
        <w:t>the 60 tablet</w:t>
      </w:r>
      <w:r w:rsidR="002A4624">
        <w:rPr>
          <w:rFonts w:asciiTheme="minorHAnsi" w:eastAsiaTheme="minorHAnsi" w:hAnsiTheme="minorHAnsi" w:cstheme="minorBidi"/>
          <w:lang w:eastAsia="en-US"/>
        </w:rPr>
        <w:t xml:space="preserve"> pack size is delisted. </w:t>
      </w:r>
    </w:p>
    <w:p w:rsidR="007B3354" w:rsidRPr="00050F71" w:rsidRDefault="006728B5" w:rsidP="00F43DE8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lastRenderedPageBreak/>
        <w:t>Pricing considerations</w:t>
      </w:r>
    </w:p>
    <w:p w:rsidR="00C20E4A" w:rsidRPr="00050F71" w:rsidRDefault="00CF407F" w:rsidP="00F43DE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050F71">
        <w:rPr>
          <w:rFonts w:asciiTheme="minorHAnsi" w:eastAsiaTheme="minorHAnsi" w:hAnsiTheme="minorHAnsi" w:cstheme="minorBidi"/>
          <w:lang w:eastAsia="en-US"/>
        </w:rPr>
        <w:t xml:space="preserve">The proposed </w:t>
      </w:r>
      <w:r w:rsidR="0099738E" w:rsidRPr="00050F71">
        <w:rPr>
          <w:rFonts w:asciiTheme="minorHAnsi" w:eastAsiaTheme="minorHAnsi" w:hAnsiTheme="minorHAnsi" w:cstheme="minorBidi"/>
          <w:lang w:eastAsia="en-US"/>
        </w:rPr>
        <w:t>Approved Ex-Manufacturer Price (AEMP)</w:t>
      </w:r>
      <w:r w:rsidR="00EF469A" w:rsidRPr="00050F71">
        <w:rPr>
          <w:rFonts w:asciiTheme="minorHAnsi" w:eastAsiaTheme="minorHAnsi" w:hAnsiTheme="minorHAnsi" w:cstheme="minorBidi"/>
          <w:lang w:eastAsia="en-US"/>
        </w:rPr>
        <w:t xml:space="preserve"> </w:t>
      </w:r>
      <w:r w:rsidR="00276097" w:rsidRPr="00050F71">
        <w:rPr>
          <w:rFonts w:asciiTheme="minorHAnsi" w:eastAsiaTheme="minorHAnsi" w:hAnsiTheme="minorHAnsi" w:cstheme="minorBidi"/>
          <w:lang w:eastAsia="en-US"/>
        </w:rPr>
        <w:t xml:space="preserve">for </w:t>
      </w:r>
      <w:r w:rsidR="00882002" w:rsidRPr="00050F71">
        <w:rPr>
          <w:rFonts w:asciiTheme="minorHAnsi" w:eastAsiaTheme="minorHAnsi" w:hAnsiTheme="minorHAnsi" w:cstheme="minorBidi"/>
          <w:lang w:eastAsia="en-US"/>
        </w:rPr>
        <w:t xml:space="preserve">the </w:t>
      </w:r>
      <w:r w:rsidR="00276097" w:rsidRPr="00050F71">
        <w:rPr>
          <w:rFonts w:asciiTheme="minorHAnsi" w:eastAsiaTheme="minorHAnsi" w:hAnsiTheme="minorHAnsi" w:cstheme="minorBidi"/>
          <w:lang w:eastAsia="en-US"/>
        </w:rPr>
        <w:t>120 tablet</w:t>
      </w:r>
      <w:r w:rsidR="00882002" w:rsidRPr="00050F71">
        <w:rPr>
          <w:rFonts w:asciiTheme="minorHAnsi" w:eastAsiaTheme="minorHAnsi" w:hAnsiTheme="minorHAnsi" w:cstheme="minorBidi"/>
          <w:lang w:eastAsia="en-US"/>
        </w:rPr>
        <w:t xml:space="preserve"> pack size</w:t>
      </w:r>
      <w:r w:rsidR="00276097" w:rsidRPr="00050F7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50F71">
        <w:rPr>
          <w:rFonts w:asciiTheme="minorHAnsi" w:eastAsiaTheme="minorHAnsi" w:hAnsiTheme="minorHAnsi" w:cstheme="minorBidi"/>
          <w:lang w:eastAsia="en-US"/>
        </w:rPr>
        <w:t>is $</w:t>
      </w:r>
      <w:r w:rsidR="00407B30">
        <w:rPr>
          <w:rFonts w:asciiTheme="minorHAnsi" w:eastAsiaTheme="minorHAnsi" w:hAnsiTheme="minorHAnsi" w:cstheme="minorBidi"/>
          <w:noProof/>
          <w:color w:val="000000"/>
          <w:highlight w:val="black"/>
          <w:lang w:eastAsia="en-US"/>
        </w:rPr>
        <w:t>''''''''</w:t>
      </w:r>
      <w:r w:rsidRPr="00050F71">
        <w:rPr>
          <w:rFonts w:asciiTheme="minorHAnsi" w:eastAsiaTheme="minorHAnsi" w:hAnsiTheme="minorHAnsi" w:cstheme="minorBidi"/>
          <w:lang w:eastAsia="en-US"/>
        </w:rPr>
        <w:t xml:space="preserve">, which is </w:t>
      </w:r>
      <w:r w:rsidR="00407B30">
        <w:rPr>
          <w:rFonts w:asciiTheme="minorHAnsi" w:eastAsiaTheme="minorHAnsi" w:hAnsiTheme="minorHAnsi" w:cstheme="minorBidi"/>
          <w:noProof/>
          <w:color w:val="000000"/>
          <w:highlight w:val="black"/>
          <w:lang w:eastAsia="en-US"/>
        </w:rPr>
        <w:t>''''''''''''' '''''''</w:t>
      </w:r>
      <w:r w:rsidRPr="00050F71">
        <w:rPr>
          <w:rFonts w:asciiTheme="minorHAnsi" w:eastAsiaTheme="minorHAnsi" w:hAnsiTheme="minorHAnsi" w:cstheme="minorBidi"/>
          <w:lang w:eastAsia="en-US"/>
        </w:rPr>
        <w:t xml:space="preserve"> AEMP </w:t>
      </w:r>
      <w:r w:rsidR="00EF469A" w:rsidRPr="00050F71">
        <w:rPr>
          <w:rFonts w:asciiTheme="minorHAnsi" w:eastAsiaTheme="minorHAnsi" w:hAnsiTheme="minorHAnsi" w:cstheme="minorBidi"/>
          <w:lang w:eastAsia="en-US"/>
        </w:rPr>
        <w:t>of th</w:t>
      </w:r>
      <w:r w:rsidR="00276097" w:rsidRPr="00050F71">
        <w:rPr>
          <w:rFonts w:asciiTheme="minorHAnsi" w:eastAsiaTheme="minorHAnsi" w:hAnsiTheme="minorHAnsi" w:cstheme="minorBidi"/>
          <w:lang w:eastAsia="en-US"/>
        </w:rPr>
        <w:t>e 60-</w:t>
      </w:r>
      <w:r w:rsidR="00CD3369" w:rsidRPr="00050F71">
        <w:rPr>
          <w:rFonts w:asciiTheme="minorHAnsi" w:eastAsiaTheme="minorHAnsi" w:hAnsiTheme="minorHAnsi" w:cstheme="minorBidi"/>
          <w:lang w:eastAsia="en-US"/>
        </w:rPr>
        <w:t xml:space="preserve">tablet </w:t>
      </w:r>
      <w:r w:rsidR="00276097" w:rsidRPr="00050F71">
        <w:rPr>
          <w:rFonts w:asciiTheme="minorHAnsi" w:eastAsiaTheme="minorHAnsi" w:hAnsiTheme="minorHAnsi" w:cstheme="minorBidi"/>
          <w:lang w:eastAsia="en-US"/>
        </w:rPr>
        <w:t xml:space="preserve">bottle </w:t>
      </w:r>
      <w:r w:rsidR="00BB57CD" w:rsidRPr="00050F71">
        <w:rPr>
          <w:rFonts w:asciiTheme="minorHAnsi" w:eastAsiaTheme="minorHAnsi" w:hAnsiTheme="minorHAnsi" w:cstheme="minorBidi"/>
          <w:lang w:eastAsia="en-US"/>
        </w:rPr>
        <w:t>($3.69).</w:t>
      </w:r>
    </w:p>
    <w:p w:rsidR="00C20E4A" w:rsidRPr="00050F71" w:rsidRDefault="00C20E4A" w:rsidP="00F43DE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050F71">
        <w:rPr>
          <w:rFonts w:asciiTheme="minorHAnsi" w:eastAsiaTheme="minorHAnsi" w:hAnsiTheme="minorHAnsi" w:cstheme="minorBidi"/>
          <w:lang w:eastAsia="en-US"/>
        </w:rPr>
        <w:t>The listing of the 120 tablet pack size is not expected to increase the current market.</w:t>
      </w:r>
    </w:p>
    <w:p w:rsidR="006457A7" w:rsidRPr="00050F71" w:rsidRDefault="00644321" w:rsidP="00F43DE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050F71">
        <w:rPr>
          <w:rFonts w:asciiTheme="minorHAnsi" w:eastAsiaTheme="minorHAnsi" w:hAnsiTheme="minorHAnsi" w:cstheme="minorBidi"/>
          <w:lang w:eastAsia="en-US"/>
        </w:rPr>
        <w:t>There is expected to be no financial impact as a result of the listing of the 120 tablet pack size on the PBS.</w:t>
      </w:r>
    </w:p>
    <w:p w:rsidR="00BA4974" w:rsidRPr="00050F71" w:rsidRDefault="00BA4974" w:rsidP="00F43DE8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 xml:space="preserve">PBAC Outcome </w:t>
      </w:r>
    </w:p>
    <w:p w:rsidR="006B1A45" w:rsidRDefault="00BA4974" w:rsidP="00F43DE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ajorEastAsia" w:hAnsiTheme="minorHAnsi" w:cstheme="minorHAnsi"/>
          <w:lang w:eastAsia="en-US"/>
        </w:rPr>
      </w:pPr>
      <w:r w:rsidRPr="006B1A45">
        <w:rPr>
          <w:rFonts w:asciiTheme="minorHAnsi" w:eastAsiaTheme="majorEastAsia" w:hAnsiTheme="minorHAnsi" w:cstheme="minorHAnsi"/>
          <w:lang w:eastAsia="en-US"/>
        </w:rPr>
        <w:t xml:space="preserve">The PBAC agreed </w:t>
      </w:r>
      <w:r w:rsidR="008F7667" w:rsidRPr="006B1A45">
        <w:rPr>
          <w:rFonts w:asciiTheme="minorHAnsi" w:eastAsiaTheme="majorEastAsia" w:hAnsiTheme="minorHAnsi" w:cstheme="minorHAnsi"/>
          <w:lang w:eastAsia="en-US"/>
        </w:rPr>
        <w:t xml:space="preserve">to </w:t>
      </w:r>
      <w:r w:rsidRPr="006B1A45">
        <w:rPr>
          <w:rFonts w:asciiTheme="minorHAnsi" w:eastAsiaTheme="majorEastAsia" w:hAnsiTheme="minorHAnsi" w:cstheme="minorHAnsi"/>
          <w:lang w:eastAsia="en-US"/>
        </w:rPr>
        <w:t xml:space="preserve">the </w:t>
      </w:r>
      <w:r w:rsidR="008F7667" w:rsidRPr="006B1A45">
        <w:rPr>
          <w:rFonts w:asciiTheme="minorHAnsi" w:eastAsiaTheme="majorEastAsia" w:hAnsiTheme="minorHAnsi" w:cstheme="minorHAnsi"/>
          <w:lang w:eastAsia="en-US"/>
        </w:rPr>
        <w:t>listing of a new</w:t>
      </w:r>
      <w:r w:rsidRPr="006B1A45">
        <w:rPr>
          <w:rFonts w:asciiTheme="minorHAnsi" w:eastAsiaTheme="majorEastAsia" w:hAnsiTheme="minorHAnsi" w:cstheme="minorHAnsi"/>
          <w:lang w:eastAsia="en-US"/>
        </w:rPr>
        <w:t xml:space="preserve"> pack </w:t>
      </w:r>
      <w:r w:rsidR="00050F71" w:rsidRPr="006B1A45">
        <w:rPr>
          <w:rFonts w:asciiTheme="minorHAnsi" w:eastAsiaTheme="majorEastAsia" w:hAnsiTheme="minorHAnsi" w:cstheme="minorHAnsi"/>
          <w:lang w:eastAsia="en-US"/>
        </w:rPr>
        <w:t>size</w:t>
      </w:r>
      <w:r w:rsidR="002F2251" w:rsidRPr="006B1A45">
        <w:rPr>
          <w:rFonts w:asciiTheme="minorHAnsi" w:eastAsiaTheme="majorEastAsia" w:hAnsiTheme="minorHAnsi" w:cstheme="minorHAnsi"/>
          <w:lang w:eastAsia="en-US"/>
        </w:rPr>
        <w:t xml:space="preserve"> of 120 for the currently listed pharmaceutical item calcium, tablet, chewable, 500 mg (as carbonate)</w:t>
      </w:r>
      <w:r w:rsidR="006B1A45" w:rsidRPr="006B1A45">
        <w:rPr>
          <w:rFonts w:asciiTheme="minorHAnsi" w:eastAsiaTheme="majorEastAsia" w:hAnsiTheme="minorHAnsi" w:cstheme="minorHAnsi"/>
          <w:lang w:eastAsia="en-US"/>
        </w:rPr>
        <w:t>.</w:t>
      </w:r>
    </w:p>
    <w:p w:rsidR="00F51556" w:rsidRPr="006B1A45" w:rsidRDefault="00F51556" w:rsidP="00F43DE8">
      <w:pPr>
        <w:pStyle w:val="ListParagraph"/>
        <w:numPr>
          <w:ilvl w:val="1"/>
          <w:numId w:val="4"/>
        </w:numPr>
        <w:spacing w:after="120"/>
        <w:jc w:val="both"/>
        <w:rPr>
          <w:rFonts w:asciiTheme="minorHAnsi" w:eastAsiaTheme="majorEastAsia" w:hAnsiTheme="minorHAnsi" w:cstheme="minorHAnsi"/>
          <w:lang w:eastAsia="en-US"/>
        </w:rPr>
      </w:pPr>
      <w:r w:rsidRPr="006B1A45">
        <w:rPr>
          <w:rFonts w:asciiTheme="minorHAnsi" w:eastAsiaTheme="majorEastAsia" w:hAnsiTheme="minorHAnsi" w:cstheme="minorHAnsi"/>
          <w:lang w:eastAsia="en-US"/>
        </w:rPr>
        <w:t>The PBAC noted that the sponsor intends to delist the currently listed Cal-500 pack size of 60 tablets once the 120 tablet pack size is listed.</w:t>
      </w:r>
    </w:p>
    <w:p w:rsidR="00B0593B" w:rsidRPr="00050F71" w:rsidRDefault="00B0593B" w:rsidP="00F43DE8">
      <w:pPr>
        <w:spacing w:before="120" w:after="120"/>
        <w:rPr>
          <w:rFonts w:asciiTheme="minorHAnsi" w:eastAsiaTheme="majorEastAsia" w:hAnsiTheme="minorHAnsi" w:cstheme="minorHAnsi"/>
          <w:b/>
          <w:lang w:eastAsia="en-US"/>
        </w:rPr>
      </w:pPr>
      <w:r w:rsidRPr="00050F71">
        <w:rPr>
          <w:rFonts w:asciiTheme="minorHAnsi" w:eastAsiaTheme="majorEastAsia" w:hAnsiTheme="minorHAnsi" w:cstheme="minorHAnsi"/>
          <w:b/>
          <w:lang w:eastAsia="en-US"/>
        </w:rPr>
        <w:t>Outcome:</w:t>
      </w:r>
    </w:p>
    <w:p w:rsidR="00B0593B" w:rsidRPr="00050F71" w:rsidRDefault="00B0593B" w:rsidP="00F43DE8">
      <w:pPr>
        <w:spacing w:before="120" w:after="120"/>
        <w:rPr>
          <w:rFonts w:asciiTheme="minorHAnsi" w:eastAsiaTheme="majorEastAsia" w:hAnsiTheme="minorHAnsi" w:cstheme="minorHAnsi"/>
          <w:lang w:eastAsia="en-US"/>
        </w:rPr>
      </w:pPr>
      <w:r w:rsidRPr="00050F71">
        <w:rPr>
          <w:rFonts w:asciiTheme="minorHAnsi" w:eastAsiaTheme="majorEastAsia" w:hAnsiTheme="minorHAnsi" w:cstheme="minorHAnsi"/>
          <w:lang w:eastAsia="en-US"/>
        </w:rPr>
        <w:t>Recommended</w:t>
      </w:r>
    </w:p>
    <w:p w:rsidR="00BA4974" w:rsidRPr="00050F71" w:rsidRDefault="00BA4974" w:rsidP="00F43DE8">
      <w:pPr>
        <w:pStyle w:val="Heading1"/>
        <w:numPr>
          <w:ilvl w:val="0"/>
          <w:numId w:val="4"/>
        </w:numPr>
        <w:spacing w:before="120"/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050F71">
        <w:rPr>
          <w:rFonts w:asciiTheme="minorHAnsi" w:eastAsiaTheme="majorEastAsia" w:hAnsiTheme="minorHAnsi" w:cstheme="majorBidi"/>
          <w:sz w:val="32"/>
          <w:szCs w:val="28"/>
          <w:lang w:eastAsia="en-US"/>
        </w:rPr>
        <w:t xml:space="preserve">Recommended listing </w:t>
      </w:r>
    </w:p>
    <w:p w:rsidR="00BA4974" w:rsidRPr="00050F71" w:rsidRDefault="00BA4974" w:rsidP="00F43DE8">
      <w:pPr>
        <w:spacing w:before="120" w:after="120"/>
        <w:rPr>
          <w:rFonts w:asciiTheme="minorHAnsi" w:eastAsiaTheme="majorEastAsia" w:hAnsiTheme="minorHAnsi" w:cstheme="minorHAnsi"/>
          <w:lang w:eastAsia="en-US"/>
        </w:rPr>
      </w:pPr>
      <w:r w:rsidRPr="00050F71">
        <w:rPr>
          <w:rFonts w:asciiTheme="minorHAnsi" w:eastAsiaTheme="majorEastAsia" w:hAnsiTheme="minorHAnsi" w:cstheme="minorHAnsi"/>
          <w:lang w:eastAsia="en-US"/>
        </w:rPr>
        <w:t>7.1</w:t>
      </w:r>
      <w:r w:rsidRPr="00050F71">
        <w:rPr>
          <w:rFonts w:asciiTheme="minorHAnsi" w:eastAsiaTheme="majorEastAsia" w:hAnsiTheme="minorHAnsi" w:cstheme="minorHAnsi"/>
          <w:lang w:eastAsia="en-US"/>
        </w:rPr>
        <w:tab/>
      </w:r>
      <w:r w:rsidR="004C621D" w:rsidRPr="00050F71">
        <w:rPr>
          <w:rFonts w:asciiTheme="minorHAnsi" w:eastAsiaTheme="majorEastAsia" w:hAnsiTheme="minorHAnsi" w:cstheme="minorHAnsi"/>
          <w:lang w:eastAsia="en-US"/>
        </w:rPr>
        <w:t>Add new item</w:t>
      </w:r>
      <w:r w:rsidRPr="00050F71">
        <w:rPr>
          <w:rFonts w:asciiTheme="minorHAnsi" w:eastAsiaTheme="majorEastAsia" w:hAnsiTheme="minorHAnsi" w:cstheme="minorHAnsi"/>
          <w:lang w:eastAsia="en-US"/>
        </w:rPr>
        <w:t xml:space="preserve">: </w:t>
      </w:r>
    </w:p>
    <w:p w:rsidR="00BA4974" w:rsidRPr="00050F71" w:rsidRDefault="00BA4974" w:rsidP="00BA4974">
      <w:pPr>
        <w:rPr>
          <w:rFonts w:asciiTheme="minorHAnsi" w:eastAsiaTheme="majorEastAsia" w:hAnsiTheme="minorHAnsi" w:cstheme="minorHAnsi"/>
          <w:lang w:eastAsia="en-US"/>
        </w:rPr>
      </w:pPr>
    </w:p>
    <w:tbl>
      <w:tblPr>
        <w:tblW w:w="469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125"/>
        <w:gridCol w:w="426"/>
        <w:gridCol w:w="1134"/>
        <w:gridCol w:w="1134"/>
        <w:gridCol w:w="708"/>
        <w:gridCol w:w="1026"/>
        <w:gridCol w:w="2127"/>
      </w:tblGrid>
      <w:tr w:rsidR="00CF5EE4" w:rsidRPr="00050F71" w:rsidTr="005418B5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F5EE4" w:rsidRPr="00050F71" w:rsidRDefault="00CF5EE4" w:rsidP="00776F8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CF5EE4" w:rsidRPr="00050F71" w:rsidRDefault="00CF5EE4" w:rsidP="00776F8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F5EE4" w:rsidRPr="00050F71" w:rsidRDefault="00CF5EE4" w:rsidP="005418B5">
            <w:pPr>
              <w:keepNext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CF5EE4" w:rsidRPr="00CD05C0" w:rsidRDefault="00CF5EE4" w:rsidP="00776F89">
            <w:pPr>
              <w:keepNext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CF5EE4" w:rsidRPr="00050F71" w:rsidTr="005418B5">
        <w:trPr>
          <w:cantSplit/>
          <w:trHeight w:val="577"/>
        </w:trPr>
        <w:tc>
          <w:tcPr>
            <w:tcW w:w="2552" w:type="dxa"/>
            <w:gridSpan w:val="2"/>
          </w:tcPr>
          <w:p w:rsidR="00CF5EE4" w:rsidRPr="00050F71" w:rsidRDefault="00CF5EE4" w:rsidP="00776F8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mallCaps/>
                <w:sz w:val="20"/>
                <w:szCs w:val="20"/>
              </w:rPr>
              <w:t xml:space="preserve">CALCIUM </w:t>
            </w:r>
          </w:p>
          <w:p w:rsidR="00CF5EE4" w:rsidRPr="00050F71" w:rsidRDefault="00CF5EE4" w:rsidP="00776F8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Tablet, chewable, 500 mg, 120</w:t>
            </w:r>
          </w:p>
        </w:tc>
        <w:tc>
          <w:tcPr>
            <w:tcW w:w="1134" w:type="dxa"/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vAlign w:val="center"/>
          </w:tcPr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F5EE4" w:rsidRPr="00050F71" w:rsidRDefault="00CF5EE4" w:rsidP="005418B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CF5EE4" w:rsidRPr="00050F71" w:rsidRDefault="00CF5EE4" w:rsidP="00776F8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5EE4" w:rsidRPr="00050F71" w:rsidRDefault="00CF5EE4" w:rsidP="00776F8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Cal-500</w:t>
            </w:r>
          </w:p>
        </w:tc>
        <w:tc>
          <w:tcPr>
            <w:tcW w:w="2127" w:type="dxa"/>
          </w:tcPr>
          <w:p w:rsidR="00CF5EE4" w:rsidRPr="00050F71" w:rsidRDefault="00CF5EE4" w:rsidP="00776F8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br/>
              <w:t xml:space="preserve">Petrus </w:t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br/>
              <w:t>Pharmaceuticals Pty Ltd</w:t>
            </w:r>
          </w:p>
        </w:tc>
      </w:tr>
      <w:tr w:rsidR="00CF5EE4" w:rsidRPr="00050F71" w:rsidTr="005418B5">
        <w:trPr>
          <w:cantSplit/>
          <w:trHeight w:val="360"/>
        </w:trPr>
        <w:tc>
          <w:tcPr>
            <w:tcW w:w="8681" w:type="dxa"/>
            <w:gridSpan w:val="7"/>
            <w:tcBorders>
              <w:bottom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5EE4" w:rsidRPr="00050F71" w:rsidTr="005418B5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5EE4" w:rsidRPr="00050F71" w:rsidTr="005418B5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Nurse practitioners </w:t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br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CF5EE4" w:rsidRPr="00050F71" w:rsidTr="005418B5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>Hyperphosphataemia</w:t>
            </w:r>
          </w:p>
        </w:tc>
      </w:tr>
      <w:tr w:rsidR="00CF5EE4" w:rsidRPr="00050F71" w:rsidTr="005418B5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07B30">
              <w:rPr>
                <w:rFonts w:ascii="Arial Narrow" w:hAnsi="Arial Narrow" w:cs="Arial"/>
                <w:sz w:val="20"/>
                <w:szCs w:val="20"/>
              </w:rPr>
            </w:r>
            <w:r w:rsidR="00407B3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D05C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050F71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CF5EE4" w:rsidRPr="00050F71" w:rsidTr="005418B5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E4" w:rsidRPr="00050F71" w:rsidRDefault="00CF5EE4" w:rsidP="00776F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0F71">
              <w:rPr>
                <w:rFonts w:ascii="Arial Narrow" w:hAnsi="Arial Narrow" w:cs="Arial"/>
                <w:sz w:val="20"/>
                <w:szCs w:val="20"/>
              </w:rPr>
              <w:t xml:space="preserve">The condition must be associated with chronic renal failure. </w:t>
            </w:r>
          </w:p>
          <w:p w:rsidR="00CF5EE4" w:rsidRPr="00050F71" w:rsidRDefault="00CF5EE4" w:rsidP="00776F8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26FC" w:rsidRPr="00D926FC" w:rsidRDefault="00D926FC" w:rsidP="00F43DE8">
      <w:pPr>
        <w:pStyle w:val="Heading1"/>
        <w:numPr>
          <w:ilvl w:val="0"/>
          <w:numId w:val="4"/>
        </w:numPr>
        <w:spacing w:before="120"/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D926FC">
        <w:rPr>
          <w:rFonts w:asciiTheme="minorHAnsi" w:eastAsiaTheme="majorEastAsia" w:hAnsiTheme="minorHAnsi" w:cstheme="majorBidi"/>
          <w:sz w:val="32"/>
          <w:szCs w:val="28"/>
          <w:lang w:eastAsia="en-US"/>
        </w:rPr>
        <w:lastRenderedPageBreak/>
        <w:t>Context for Decision</w:t>
      </w:r>
    </w:p>
    <w:p w:rsidR="00D926FC" w:rsidRPr="00D926FC" w:rsidRDefault="00D926FC" w:rsidP="00F43DE8">
      <w:pPr>
        <w:spacing w:before="120" w:after="120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D926FC">
        <w:rPr>
          <w:rFonts w:asciiTheme="minorHAnsi" w:eastAsiaTheme="minorHAnsi" w:hAnsiTheme="minorHAnsi" w:cs="Arial"/>
          <w:szCs w:val="22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D926FC" w:rsidRPr="00D926FC" w:rsidRDefault="00D926FC" w:rsidP="00F43DE8">
      <w:pPr>
        <w:pStyle w:val="Heading1"/>
        <w:numPr>
          <w:ilvl w:val="0"/>
          <w:numId w:val="4"/>
        </w:numPr>
        <w:spacing w:before="120"/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D926FC">
        <w:rPr>
          <w:rFonts w:asciiTheme="minorHAnsi" w:eastAsiaTheme="majorEastAsia" w:hAnsiTheme="minorHAnsi" w:cstheme="majorBidi"/>
          <w:sz w:val="32"/>
          <w:szCs w:val="28"/>
          <w:lang w:eastAsia="en-US"/>
        </w:rPr>
        <w:t>Sponsor’s Comment</w:t>
      </w:r>
    </w:p>
    <w:p w:rsidR="00D926FC" w:rsidRPr="00D926FC" w:rsidRDefault="00D926FC" w:rsidP="00F43DE8">
      <w:pPr>
        <w:spacing w:before="120" w:after="120"/>
        <w:ind w:left="709"/>
        <w:jc w:val="both"/>
        <w:rPr>
          <w:rFonts w:asciiTheme="minorHAnsi" w:eastAsiaTheme="minorHAnsi" w:hAnsiTheme="minorHAnsi" w:cs="Arial"/>
          <w:bCs/>
          <w:szCs w:val="22"/>
          <w:lang w:eastAsia="en-US"/>
        </w:rPr>
      </w:pPr>
      <w:r w:rsidRPr="00D926FC">
        <w:rPr>
          <w:rFonts w:asciiTheme="minorHAnsi" w:eastAsiaTheme="minorHAnsi" w:hAnsiTheme="minorHAnsi" w:cs="Arial"/>
          <w:bCs/>
          <w:szCs w:val="22"/>
          <w:lang w:eastAsia="en-US"/>
        </w:rPr>
        <w:t>The sponsor had no comment.</w:t>
      </w:r>
    </w:p>
    <w:sectPr w:rsidR="00D926FC" w:rsidRPr="00D926FC" w:rsidSect="0027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30" w:rsidRDefault="00407B30" w:rsidP="00F31FFD">
      <w:r>
        <w:separator/>
      </w:r>
    </w:p>
  </w:endnote>
  <w:endnote w:type="continuationSeparator" w:id="0">
    <w:p w:rsidR="00407B30" w:rsidRDefault="00407B30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30" w:rsidRDefault="00407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82763800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F31FFD" w:rsidRPr="00FF7D66" w:rsidRDefault="00BA4974" w:rsidP="00BA4974">
        <w:pPr>
          <w:pStyle w:val="Footer"/>
          <w:jc w:val="center"/>
          <w:rPr>
            <w:rFonts w:asciiTheme="minorHAnsi" w:hAnsiTheme="minorHAnsi" w:cstheme="minorHAnsi"/>
            <w:b/>
          </w:rPr>
        </w:pPr>
        <w:r w:rsidRPr="00FF7D66">
          <w:rPr>
            <w:rFonts w:asciiTheme="minorHAnsi" w:hAnsiTheme="minorHAnsi" w:cstheme="minorHAnsi"/>
            <w:b/>
          </w:rPr>
          <w:fldChar w:fldCharType="begin"/>
        </w:r>
        <w:r w:rsidRPr="00FF7D66">
          <w:rPr>
            <w:rFonts w:asciiTheme="minorHAnsi" w:hAnsiTheme="minorHAnsi" w:cstheme="minorHAnsi"/>
            <w:b/>
          </w:rPr>
          <w:instrText xml:space="preserve"> PAGE   \* MERGEFORMAT </w:instrText>
        </w:r>
        <w:r w:rsidRPr="00FF7D66">
          <w:rPr>
            <w:rFonts w:asciiTheme="minorHAnsi" w:hAnsiTheme="minorHAnsi" w:cstheme="minorHAnsi"/>
            <w:b/>
          </w:rPr>
          <w:fldChar w:fldCharType="separate"/>
        </w:r>
        <w:r w:rsidR="00407B30">
          <w:rPr>
            <w:rFonts w:asciiTheme="minorHAnsi" w:hAnsiTheme="minorHAnsi" w:cstheme="minorHAnsi"/>
            <w:b/>
            <w:noProof/>
          </w:rPr>
          <w:t>1</w:t>
        </w:r>
        <w:r w:rsidRPr="00FF7D66">
          <w:rPr>
            <w:rFonts w:asciiTheme="minorHAnsi" w:hAnsiTheme="minorHAnsi" w:cstheme="minorHAnsi"/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30" w:rsidRDefault="00407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30" w:rsidRDefault="00407B30" w:rsidP="00F31FFD">
      <w:r>
        <w:separator/>
      </w:r>
    </w:p>
  </w:footnote>
  <w:footnote w:type="continuationSeparator" w:id="0">
    <w:p w:rsidR="00407B30" w:rsidRDefault="00407B30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30" w:rsidRDefault="00407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FC" w:rsidRPr="00D926FC" w:rsidRDefault="00D926FC" w:rsidP="00D926FC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HAnsi"/>
        <w:i/>
        <w:color w:val="808080"/>
        <w:szCs w:val="22"/>
        <w:lang w:eastAsia="en-US"/>
      </w:rPr>
    </w:pPr>
    <w:r w:rsidRPr="00D926FC">
      <w:rPr>
        <w:rFonts w:asciiTheme="minorHAnsi" w:eastAsiaTheme="minorHAnsi" w:hAnsiTheme="minorHAnsi" w:cstheme="minorHAnsi"/>
        <w:i/>
        <w:color w:val="808080"/>
        <w:szCs w:val="22"/>
        <w:lang w:eastAsia="en-US"/>
      </w:rPr>
      <w:t>Publ</w:t>
    </w:r>
    <w:r>
      <w:rPr>
        <w:rFonts w:asciiTheme="minorHAnsi" w:eastAsiaTheme="minorHAnsi" w:hAnsiTheme="minorHAnsi" w:cstheme="minorHAnsi"/>
        <w:i/>
        <w:color w:val="808080"/>
        <w:szCs w:val="22"/>
        <w:lang w:eastAsia="en-US"/>
      </w:rPr>
      <w:t>ic Summary Document – March 2019</w:t>
    </w:r>
    <w:r w:rsidRPr="00D926FC">
      <w:rPr>
        <w:rFonts w:asciiTheme="minorHAnsi" w:eastAsiaTheme="minorHAnsi" w:hAnsiTheme="minorHAnsi" w:cstheme="minorHAnsi"/>
        <w:i/>
        <w:color w:val="808080"/>
        <w:szCs w:val="22"/>
        <w:lang w:eastAsia="en-US"/>
      </w:rPr>
      <w:t xml:space="preserve"> PBAC Meeting</w:t>
    </w:r>
  </w:p>
  <w:p w:rsidR="00277907" w:rsidRPr="00F10B50" w:rsidRDefault="00F31FFD">
    <w:pPr>
      <w:pStyle w:val="Header"/>
      <w:rPr>
        <w:rFonts w:asciiTheme="minorHAnsi" w:hAnsiTheme="minorHAnsi"/>
      </w:rPr>
    </w:pP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30" w:rsidRDefault="00407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162"/>
    <w:multiLevelType w:val="multilevel"/>
    <w:tmpl w:val="F468BD56"/>
    <w:numStyleLink w:val="Style2"/>
  </w:abstractNum>
  <w:abstractNum w:abstractNumId="4" w15:restartNumberingAfterBreak="0">
    <w:nsid w:val="487E58BD"/>
    <w:multiLevelType w:val="multilevel"/>
    <w:tmpl w:val="F468BD56"/>
    <w:styleLink w:val="Style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BF95622"/>
    <w:multiLevelType w:val="multilevel"/>
    <w:tmpl w:val="A696715E"/>
    <w:numStyleLink w:val="Style1"/>
  </w:abstractNum>
  <w:abstractNum w:abstractNumId="6" w15:restartNumberingAfterBreak="0">
    <w:nsid w:val="59387343"/>
    <w:multiLevelType w:val="multilevel"/>
    <w:tmpl w:val="A696715E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F5E82"/>
    <w:multiLevelType w:val="hybridMultilevel"/>
    <w:tmpl w:val="4C0606F4"/>
    <w:lvl w:ilvl="0" w:tplc="CB261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033C"/>
    <w:multiLevelType w:val="multilevel"/>
    <w:tmpl w:val="1B469C12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D"/>
    <w:rsid w:val="00003129"/>
    <w:rsid w:val="00011D06"/>
    <w:rsid w:val="00013D00"/>
    <w:rsid w:val="00033C1B"/>
    <w:rsid w:val="00050F71"/>
    <w:rsid w:val="00053989"/>
    <w:rsid w:val="0008498C"/>
    <w:rsid w:val="000A2E52"/>
    <w:rsid w:val="000C667C"/>
    <w:rsid w:val="000F30B8"/>
    <w:rsid w:val="00133188"/>
    <w:rsid w:val="0017465E"/>
    <w:rsid w:val="00185514"/>
    <w:rsid w:val="001A6C9A"/>
    <w:rsid w:val="00276097"/>
    <w:rsid w:val="00277907"/>
    <w:rsid w:val="0028043E"/>
    <w:rsid w:val="00282B99"/>
    <w:rsid w:val="002A4624"/>
    <w:rsid w:val="002B020A"/>
    <w:rsid w:val="002B6FC9"/>
    <w:rsid w:val="002D1F5C"/>
    <w:rsid w:val="002D7DC7"/>
    <w:rsid w:val="002F2251"/>
    <w:rsid w:val="0033205A"/>
    <w:rsid w:val="00357190"/>
    <w:rsid w:val="0037447B"/>
    <w:rsid w:val="00380EC2"/>
    <w:rsid w:val="003B10C7"/>
    <w:rsid w:val="003B4E4E"/>
    <w:rsid w:val="003C188B"/>
    <w:rsid w:val="003D5C24"/>
    <w:rsid w:val="003E0A72"/>
    <w:rsid w:val="003E7A12"/>
    <w:rsid w:val="003F2B73"/>
    <w:rsid w:val="00407B30"/>
    <w:rsid w:val="00411EA4"/>
    <w:rsid w:val="0042209F"/>
    <w:rsid w:val="004417BD"/>
    <w:rsid w:val="00447B31"/>
    <w:rsid w:val="00490CA2"/>
    <w:rsid w:val="004C5951"/>
    <w:rsid w:val="004C621D"/>
    <w:rsid w:val="004F691F"/>
    <w:rsid w:val="00505F91"/>
    <w:rsid w:val="005418B5"/>
    <w:rsid w:val="00546887"/>
    <w:rsid w:val="00565482"/>
    <w:rsid w:val="00596402"/>
    <w:rsid w:val="005B7E1B"/>
    <w:rsid w:val="005D5778"/>
    <w:rsid w:val="005D6F2A"/>
    <w:rsid w:val="00613621"/>
    <w:rsid w:val="00644321"/>
    <w:rsid w:val="006457A7"/>
    <w:rsid w:val="00664D01"/>
    <w:rsid w:val="006728B5"/>
    <w:rsid w:val="006766A9"/>
    <w:rsid w:val="0068062F"/>
    <w:rsid w:val="00683AE0"/>
    <w:rsid w:val="006927A1"/>
    <w:rsid w:val="00692B30"/>
    <w:rsid w:val="006958C4"/>
    <w:rsid w:val="006B1A45"/>
    <w:rsid w:val="006B22AC"/>
    <w:rsid w:val="006D6359"/>
    <w:rsid w:val="006F357B"/>
    <w:rsid w:val="006F7481"/>
    <w:rsid w:val="00731615"/>
    <w:rsid w:val="007505AB"/>
    <w:rsid w:val="0075062F"/>
    <w:rsid w:val="00780310"/>
    <w:rsid w:val="00795F43"/>
    <w:rsid w:val="00796FDD"/>
    <w:rsid w:val="007978BF"/>
    <w:rsid w:val="007B3354"/>
    <w:rsid w:val="007E7D09"/>
    <w:rsid w:val="007F4AA6"/>
    <w:rsid w:val="007F4E20"/>
    <w:rsid w:val="00801F42"/>
    <w:rsid w:val="00807C1E"/>
    <w:rsid w:val="008142B6"/>
    <w:rsid w:val="008374A2"/>
    <w:rsid w:val="00876A2A"/>
    <w:rsid w:val="00882002"/>
    <w:rsid w:val="008C50E4"/>
    <w:rsid w:val="008F7667"/>
    <w:rsid w:val="00914B0E"/>
    <w:rsid w:val="00923182"/>
    <w:rsid w:val="00924E56"/>
    <w:rsid w:val="0099738E"/>
    <w:rsid w:val="009B4DD1"/>
    <w:rsid w:val="009C1D3F"/>
    <w:rsid w:val="009C3D72"/>
    <w:rsid w:val="009D1D01"/>
    <w:rsid w:val="00AA0534"/>
    <w:rsid w:val="00AF26FA"/>
    <w:rsid w:val="00B04506"/>
    <w:rsid w:val="00B0593B"/>
    <w:rsid w:val="00B27C73"/>
    <w:rsid w:val="00B75D6F"/>
    <w:rsid w:val="00B773EC"/>
    <w:rsid w:val="00BA4974"/>
    <w:rsid w:val="00BB57CD"/>
    <w:rsid w:val="00BE664D"/>
    <w:rsid w:val="00C20E4A"/>
    <w:rsid w:val="00C2737C"/>
    <w:rsid w:val="00C62879"/>
    <w:rsid w:val="00C650C2"/>
    <w:rsid w:val="00CA6917"/>
    <w:rsid w:val="00CB14DB"/>
    <w:rsid w:val="00CD05C0"/>
    <w:rsid w:val="00CD3369"/>
    <w:rsid w:val="00CD369E"/>
    <w:rsid w:val="00CE680F"/>
    <w:rsid w:val="00CF407F"/>
    <w:rsid w:val="00CF5EE4"/>
    <w:rsid w:val="00D0559D"/>
    <w:rsid w:val="00D25365"/>
    <w:rsid w:val="00D33F35"/>
    <w:rsid w:val="00D34199"/>
    <w:rsid w:val="00D36F76"/>
    <w:rsid w:val="00D440F7"/>
    <w:rsid w:val="00D6012C"/>
    <w:rsid w:val="00D926FC"/>
    <w:rsid w:val="00DC3016"/>
    <w:rsid w:val="00DE1A79"/>
    <w:rsid w:val="00DE2C6B"/>
    <w:rsid w:val="00E8308D"/>
    <w:rsid w:val="00EA598E"/>
    <w:rsid w:val="00ED28F7"/>
    <w:rsid w:val="00EF469A"/>
    <w:rsid w:val="00F00A2D"/>
    <w:rsid w:val="00F06632"/>
    <w:rsid w:val="00F100EC"/>
    <w:rsid w:val="00F10B50"/>
    <w:rsid w:val="00F31FFD"/>
    <w:rsid w:val="00F43DE8"/>
    <w:rsid w:val="00F51556"/>
    <w:rsid w:val="00F54B3F"/>
    <w:rsid w:val="00FD6536"/>
    <w:rsid w:val="00FD68B7"/>
    <w:rsid w:val="00FF18CE"/>
    <w:rsid w:val="00FF46F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F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uiPriority w:val="1"/>
    <w:qFormat/>
    <w:rsid w:val="008C50E4"/>
    <w:pPr>
      <w:keepNext/>
      <w:keepLines/>
      <w:numPr>
        <w:numId w:val="0"/>
      </w:numPr>
      <w:spacing w:before="400" w:after="120"/>
      <w:contextualSpacing w:val="0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5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aliases w:val="BulletPoints,Bullet point,List Paragraph1,List Paragraph11,Recommendation,L,Bullet Point,Bulletr List Paragraph,Content descriptions,FooterText,List Bullet 1,List Paragraph2,List Paragraph21,Listeafsnit1,NFP GP Bulleted List,リスト段落"/>
    <w:basedOn w:val="Normal"/>
    <w:link w:val="ListParagraphChar"/>
    <w:uiPriority w:val="72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50E4"/>
    <w:rPr>
      <w:rFonts w:ascii="Arial" w:eastAsia="Times New Roman" w:hAnsi="Arial" w:cs="Times New Roman"/>
      <w:b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B3354"/>
    <w:rPr>
      <w:rFonts w:ascii="Arial" w:eastAsiaTheme="majorEastAsia" w:hAnsi="Arial" w:cstheme="majorBidi"/>
      <w:b/>
      <w:bCs/>
      <w:sz w:val="22"/>
      <w:szCs w:val="26"/>
      <w:lang w:eastAsia="en-AU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277907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277907"/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character" w:customStyle="1" w:styleId="ListParagraphChar">
    <w:name w:val="List Paragraph Char"/>
    <w:aliases w:val="BulletPoints Char,Bullet point Char,List Paragraph1 Char,List Paragraph11 Char,Recommendation Char,L Char,Bullet Point Char,Bulletr List Paragraph Char,Content descriptions Char,FooterText Char,List Bullet 1 Char,List Paragraph2 Char"/>
    <w:basedOn w:val="DefaultParagraphFont"/>
    <w:link w:val="ListParagraph"/>
    <w:uiPriority w:val="72"/>
    <w:rsid w:val="00277907"/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10B50"/>
    <w:p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</w:rPr>
  </w:style>
  <w:style w:type="numbering" w:customStyle="1" w:styleId="Style1">
    <w:name w:val="Style1"/>
    <w:uiPriority w:val="99"/>
    <w:rsid w:val="008142B6"/>
    <w:pPr>
      <w:numPr>
        <w:numId w:val="9"/>
      </w:numPr>
    </w:pPr>
  </w:style>
  <w:style w:type="numbering" w:customStyle="1" w:styleId="Style2">
    <w:name w:val="Style2"/>
    <w:uiPriority w:val="99"/>
    <w:rsid w:val="008142B6"/>
    <w:pPr>
      <w:numPr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12C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F4AA6"/>
    <w:pPr>
      <w:spacing w:after="0" w:line="240" w:lineRule="auto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E779-ABE1-4B6F-B4D8-4AD5AFC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2019-06-25T06:47:00Z</dcterms:created>
  <dcterms:modified xsi:type="dcterms:W3CDTF">2019-06-25T06:48:00Z</dcterms:modified>
</cp:coreProperties>
</file>