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B97" w:rsidRPr="00D87FED" w:rsidRDefault="00806B97" w:rsidP="00D87FED">
      <w:pPr>
        <w:rPr>
          <w:rFonts w:asciiTheme="minorHAnsi" w:hAnsiTheme="minorHAnsi" w:cstheme="minorHAnsi"/>
        </w:rPr>
      </w:pPr>
    </w:p>
    <w:p w:rsidR="00BD7B4E" w:rsidRDefault="00BD7B4E" w:rsidP="00D87FED">
      <w:pPr>
        <w:ind w:left="720" w:hanging="720"/>
        <w:jc w:val="left"/>
        <w:rPr>
          <w:rFonts w:asciiTheme="minorHAnsi" w:hAnsiTheme="minorHAnsi"/>
          <w:b/>
          <w:sz w:val="32"/>
        </w:rPr>
      </w:pPr>
      <w:r>
        <w:rPr>
          <w:b/>
          <w:sz w:val="36"/>
          <w:szCs w:val="36"/>
        </w:rPr>
        <w:t>7.05</w:t>
      </w:r>
      <w:r w:rsidR="00B60939" w:rsidRPr="00C12C14">
        <w:rPr>
          <w:b/>
          <w:sz w:val="36"/>
          <w:szCs w:val="36"/>
        </w:rPr>
        <w:tab/>
      </w:r>
      <w:r>
        <w:rPr>
          <w:b/>
          <w:sz w:val="36"/>
          <w:szCs w:val="36"/>
        </w:rPr>
        <w:t>ERENUMAB</w:t>
      </w:r>
      <w:r w:rsidRPr="00BD7B4E">
        <w:rPr>
          <w:rFonts w:asciiTheme="minorHAnsi" w:hAnsiTheme="minorHAnsi"/>
          <w:b/>
          <w:sz w:val="32"/>
        </w:rPr>
        <w:t xml:space="preserve"> </w:t>
      </w:r>
      <w:r w:rsidR="00E67E0C">
        <w:rPr>
          <w:rFonts w:asciiTheme="minorHAnsi" w:hAnsiTheme="minorHAnsi"/>
          <w:b/>
          <w:sz w:val="32"/>
        </w:rPr>
        <w:br/>
      </w:r>
      <w:r w:rsidRPr="005F5E06">
        <w:rPr>
          <w:rFonts w:asciiTheme="minorHAnsi" w:hAnsiTheme="minorHAnsi"/>
          <w:b/>
          <w:sz w:val="32"/>
        </w:rPr>
        <w:t>Injection 70</w:t>
      </w:r>
      <w:r w:rsidR="00DF6010">
        <w:rPr>
          <w:rFonts w:asciiTheme="minorHAnsi" w:hAnsiTheme="minorHAnsi"/>
          <w:b/>
          <w:sz w:val="32"/>
        </w:rPr>
        <w:t xml:space="preserve"> </w:t>
      </w:r>
      <w:r w:rsidRPr="005F5E06">
        <w:rPr>
          <w:rFonts w:asciiTheme="minorHAnsi" w:hAnsiTheme="minorHAnsi"/>
          <w:b/>
          <w:sz w:val="32"/>
        </w:rPr>
        <w:t>mg in 1 mL single dose pre-filled pen</w:t>
      </w:r>
      <w:r>
        <w:rPr>
          <w:rFonts w:asciiTheme="minorHAnsi" w:hAnsiTheme="minorHAnsi"/>
          <w:b/>
          <w:sz w:val="32"/>
        </w:rPr>
        <w:t>,</w:t>
      </w:r>
      <w:r w:rsidRPr="005F5E06">
        <w:rPr>
          <w:rFonts w:asciiTheme="minorHAnsi" w:hAnsiTheme="minorHAnsi"/>
          <w:b/>
          <w:sz w:val="32"/>
        </w:rPr>
        <w:t xml:space="preserve"> </w:t>
      </w:r>
      <w:r w:rsidR="00E67E0C">
        <w:rPr>
          <w:rFonts w:asciiTheme="minorHAnsi" w:hAnsiTheme="minorHAnsi"/>
          <w:b/>
          <w:sz w:val="32"/>
        </w:rPr>
        <w:br/>
      </w:r>
      <w:proofErr w:type="spellStart"/>
      <w:r>
        <w:rPr>
          <w:rFonts w:asciiTheme="minorHAnsi" w:hAnsiTheme="minorHAnsi"/>
          <w:b/>
          <w:sz w:val="32"/>
        </w:rPr>
        <w:t>Aimovig</w:t>
      </w:r>
      <w:proofErr w:type="spellEnd"/>
      <w:r>
        <w:rPr>
          <w:rFonts w:asciiTheme="minorHAnsi" w:hAnsiTheme="minorHAnsi"/>
          <w:b/>
          <w:sz w:val="32"/>
        </w:rPr>
        <w:t>®, Novartis Pharmaceuticals</w:t>
      </w:r>
    </w:p>
    <w:p w:rsidR="00B92D8E" w:rsidRDefault="00B92D8E" w:rsidP="00D87FED">
      <w:pPr>
        <w:pStyle w:val="BodyText"/>
      </w:pPr>
    </w:p>
    <w:p w:rsidR="00B50DB8" w:rsidRPr="00407F2D" w:rsidRDefault="00B50DB8" w:rsidP="00D87FED">
      <w:pPr>
        <w:pStyle w:val="PBACHeading1"/>
        <w:spacing w:before="240"/>
      </w:pPr>
      <w:bookmarkStart w:id="0" w:name="_Toc535926549"/>
      <w:r w:rsidRPr="00407F2D">
        <w:t>Purpose of Application</w:t>
      </w:r>
      <w:bookmarkEnd w:id="0"/>
    </w:p>
    <w:p w:rsidR="00A551A9" w:rsidRDefault="00A551A9" w:rsidP="008C17FD">
      <w:pPr>
        <w:pStyle w:val="ListParagraph"/>
        <w:numPr>
          <w:ilvl w:val="1"/>
          <w:numId w:val="2"/>
        </w:numPr>
      </w:pPr>
      <w:r>
        <w:t xml:space="preserve">The resubmission requested an Authority Required (Streamlined) listing for </w:t>
      </w:r>
      <w:proofErr w:type="spellStart"/>
      <w:r>
        <w:t>erenumab</w:t>
      </w:r>
      <w:proofErr w:type="spellEnd"/>
      <w:r>
        <w:t xml:space="preserve"> for treatment of </w:t>
      </w:r>
      <w:r w:rsidR="00B878CE">
        <w:t>chronic</w:t>
      </w:r>
      <w:r>
        <w:t xml:space="preserve"> migraine in patients who have experienced an inadequate response, intolerance or a contraindication to at least three prophylactic migraine medications.</w:t>
      </w:r>
      <w:r w:rsidR="00B878CE">
        <w:t xml:space="preserve"> The first </w:t>
      </w:r>
      <w:proofErr w:type="spellStart"/>
      <w:r w:rsidR="00985E6E">
        <w:t>erenumab</w:t>
      </w:r>
      <w:proofErr w:type="spellEnd"/>
      <w:r w:rsidR="00985E6E">
        <w:t xml:space="preserve"> </w:t>
      </w:r>
      <w:r w:rsidR="00B878CE">
        <w:t>submission for chronic migraine was</w:t>
      </w:r>
      <w:r w:rsidR="008861A5">
        <w:t xml:space="preserve"> </w:t>
      </w:r>
      <w:r w:rsidR="00DE4326">
        <w:t>rejected</w:t>
      </w:r>
      <w:r w:rsidR="00B878CE">
        <w:t xml:space="preserve"> in July 2018.</w:t>
      </w:r>
      <w:r w:rsidR="00F04AD9">
        <w:t xml:space="preserve"> </w:t>
      </w:r>
    </w:p>
    <w:p w:rsidR="002C2775" w:rsidRPr="008B1757" w:rsidRDefault="000D5A33" w:rsidP="008C17FD">
      <w:pPr>
        <w:pStyle w:val="ListParagraph"/>
        <w:numPr>
          <w:ilvl w:val="1"/>
          <w:numId w:val="2"/>
        </w:numPr>
      </w:pPr>
      <w:r>
        <w:t>The resubmission requested listing on the basis of a cost-minimisation analysis</w:t>
      </w:r>
      <w:r w:rsidR="009258A2">
        <w:t xml:space="preserve"> versus </w:t>
      </w:r>
      <w:r w:rsidR="00A726DC" w:rsidRPr="00A726DC">
        <w:t>botulinum toxin type A (</w:t>
      </w:r>
      <w:r w:rsidR="009258A2">
        <w:t>Botox</w:t>
      </w:r>
      <w:r w:rsidR="00A726DC">
        <w:t>)</w:t>
      </w:r>
      <w:r w:rsidR="009258A2">
        <w:t xml:space="preserve"> and a cost-utility analysis versus best supportive care (BSC).</w:t>
      </w:r>
      <w:r>
        <w:t xml:space="preserve"> </w:t>
      </w:r>
      <w:r w:rsidRPr="00F46138">
        <w:t>The key components of the clinical issue</w:t>
      </w:r>
      <w:r>
        <w:t xml:space="preserve"> addressed by the </w:t>
      </w:r>
      <w:r w:rsidR="009258A2">
        <w:t>re</w:t>
      </w:r>
      <w:r>
        <w:t>submission are presented in Table 1.</w:t>
      </w:r>
    </w:p>
    <w:p w:rsidR="00C350C3" w:rsidRDefault="00C350C3" w:rsidP="00D87FED">
      <w:pPr>
        <w:rPr>
          <w:rFonts w:ascii="Arial Narrow" w:hAnsi="Arial Narrow"/>
          <w:b/>
          <w:sz w:val="20"/>
          <w:szCs w:val="20"/>
        </w:rPr>
      </w:pPr>
    </w:p>
    <w:p w:rsidR="008B1757" w:rsidRPr="008B1757" w:rsidRDefault="00661DFA" w:rsidP="00D87FED">
      <w:pPr>
        <w:rPr>
          <w:rStyle w:val="CommentReference"/>
        </w:rPr>
      </w:pPr>
      <w:r w:rsidRPr="00401364">
        <w:rPr>
          <w:rFonts w:ascii="Arial Narrow" w:hAnsi="Arial Narrow"/>
          <w:b/>
          <w:sz w:val="20"/>
          <w:szCs w:val="20"/>
        </w:rPr>
        <w:t xml:space="preserve">Table </w:t>
      </w:r>
      <w:r w:rsidR="00821312">
        <w:rPr>
          <w:rFonts w:ascii="Arial Narrow" w:hAnsi="Arial Narrow"/>
          <w:b/>
          <w:noProof/>
          <w:sz w:val="20"/>
          <w:szCs w:val="20"/>
        </w:rPr>
        <w:t>1</w:t>
      </w:r>
      <w:r w:rsidRPr="00617353">
        <w:rPr>
          <w:rFonts w:ascii="Arial Narrow" w:hAnsi="Arial Narrow"/>
          <w:b/>
          <w:sz w:val="20"/>
          <w:szCs w:val="20"/>
        </w:rPr>
        <w:t>:</w:t>
      </w:r>
      <w:r w:rsidR="008B1757">
        <w:rPr>
          <w:rStyle w:val="CommentReference"/>
        </w:rPr>
        <w:t xml:space="preserve"> Key components of the clinical issue addressed by the submission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484"/>
      </w:tblGrid>
      <w:tr w:rsidR="008B1757" w:rsidRPr="00691913" w:rsidTr="007578DF">
        <w:trPr>
          <w:cantSplit/>
          <w:tblHeader/>
        </w:trPr>
        <w:tc>
          <w:tcPr>
            <w:tcW w:w="1696" w:type="dxa"/>
            <w:shd w:val="clear" w:color="auto" w:fill="auto"/>
            <w:vAlign w:val="center"/>
          </w:tcPr>
          <w:p w:rsidR="008B1757" w:rsidRPr="008B1757" w:rsidRDefault="008B1757" w:rsidP="00D87FED">
            <w:pPr>
              <w:pStyle w:val="Tabletext"/>
              <w:rPr>
                <w:b/>
                <w:szCs w:val="20"/>
              </w:rPr>
            </w:pPr>
            <w:r w:rsidRPr="008B1757">
              <w:rPr>
                <w:b/>
              </w:rPr>
              <w:t>Component</w:t>
            </w:r>
          </w:p>
        </w:tc>
        <w:tc>
          <w:tcPr>
            <w:tcW w:w="7484" w:type="dxa"/>
            <w:shd w:val="clear" w:color="auto" w:fill="auto"/>
            <w:vAlign w:val="center"/>
          </w:tcPr>
          <w:p w:rsidR="008B1757" w:rsidRPr="008B1757" w:rsidRDefault="008B1757" w:rsidP="00D87FED">
            <w:pPr>
              <w:pStyle w:val="Tabletext"/>
              <w:jc w:val="center"/>
              <w:rPr>
                <w:b/>
              </w:rPr>
            </w:pPr>
            <w:r w:rsidRPr="008B1757">
              <w:rPr>
                <w:b/>
              </w:rPr>
              <w:t>Description</w:t>
            </w:r>
          </w:p>
        </w:tc>
      </w:tr>
      <w:tr w:rsidR="008B1757" w:rsidRPr="00691913" w:rsidTr="007578DF">
        <w:trPr>
          <w:cantSplit/>
        </w:trPr>
        <w:tc>
          <w:tcPr>
            <w:tcW w:w="1696" w:type="dxa"/>
            <w:shd w:val="clear" w:color="auto" w:fill="auto"/>
            <w:vAlign w:val="center"/>
          </w:tcPr>
          <w:p w:rsidR="008B1757" w:rsidRPr="00691913" w:rsidRDefault="008B1757" w:rsidP="00D87FED">
            <w:pPr>
              <w:pStyle w:val="Tabletext"/>
            </w:pPr>
            <w:r w:rsidRPr="00691913">
              <w:t>Population</w:t>
            </w:r>
          </w:p>
        </w:tc>
        <w:tc>
          <w:tcPr>
            <w:tcW w:w="7484" w:type="dxa"/>
            <w:shd w:val="clear" w:color="auto" w:fill="auto"/>
            <w:vAlign w:val="center"/>
          </w:tcPr>
          <w:p w:rsidR="008B1757" w:rsidRPr="00691913" w:rsidRDefault="00E83F12" w:rsidP="00D87FED">
            <w:pPr>
              <w:pStyle w:val="Tabletext"/>
            </w:pPr>
            <w:r>
              <w:t>Pa</w:t>
            </w:r>
            <w:r w:rsidR="005D3C11">
              <w:t xml:space="preserve">tients with </w:t>
            </w:r>
            <w:r w:rsidR="00EB072E">
              <w:t xml:space="preserve">chronic </w:t>
            </w:r>
            <w:r w:rsidR="005D3C11">
              <w:t>migraine.</w:t>
            </w:r>
          </w:p>
        </w:tc>
      </w:tr>
      <w:tr w:rsidR="008B1757" w:rsidRPr="00691913" w:rsidTr="007578DF">
        <w:trPr>
          <w:cantSplit/>
        </w:trPr>
        <w:tc>
          <w:tcPr>
            <w:tcW w:w="1696" w:type="dxa"/>
            <w:shd w:val="clear" w:color="auto" w:fill="auto"/>
            <w:vAlign w:val="center"/>
          </w:tcPr>
          <w:p w:rsidR="008B1757" w:rsidRPr="00691913" w:rsidRDefault="008B1757" w:rsidP="00D87FED">
            <w:pPr>
              <w:pStyle w:val="Tabletext"/>
            </w:pPr>
            <w:r w:rsidRPr="00691913">
              <w:t>Intervention</w:t>
            </w:r>
          </w:p>
        </w:tc>
        <w:tc>
          <w:tcPr>
            <w:tcW w:w="7484" w:type="dxa"/>
            <w:shd w:val="clear" w:color="auto" w:fill="auto"/>
            <w:vAlign w:val="center"/>
          </w:tcPr>
          <w:p w:rsidR="008B1757" w:rsidRPr="00691913" w:rsidRDefault="005D3C11" w:rsidP="00D87FED">
            <w:pPr>
              <w:pStyle w:val="Tabletext"/>
            </w:pPr>
            <w:proofErr w:type="spellStart"/>
            <w:r>
              <w:t>Erenumab</w:t>
            </w:r>
            <w:proofErr w:type="spellEnd"/>
            <w:r>
              <w:t>; 140</w:t>
            </w:r>
            <w:r w:rsidR="00DF6010">
              <w:t xml:space="preserve"> </w:t>
            </w:r>
            <w:r>
              <w:t>mg administered once every 4 weeks as a subcutaneous injection.</w:t>
            </w:r>
          </w:p>
        </w:tc>
      </w:tr>
      <w:tr w:rsidR="008B1757" w:rsidRPr="00691913" w:rsidTr="007578DF">
        <w:trPr>
          <w:cantSplit/>
        </w:trPr>
        <w:tc>
          <w:tcPr>
            <w:tcW w:w="1696" w:type="dxa"/>
            <w:shd w:val="clear" w:color="auto" w:fill="auto"/>
            <w:vAlign w:val="center"/>
          </w:tcPr>
          <w:p w:rsidR="008B1757" w:rsidRPr="00691913" w:rsidRDefault="008B1757" w:rsidP="00D87FED">
            <w:pPr>
              <w:pStyle w:val="Tabletext"/>
            </w:pPr>
            <w:r w:rsidRPr="00691913">
              <w:t>Comparator</w:t>
            </w:r>
            <w:r w:rsidR="004E5C13">
              <w:t>s</w:t>
            </w:r>
          </w:p>
        </w:tc>
        <w:tc>
          <w:tcPr>
            <w:tcW w:w="7484" w:type="dxa"/>
            <w:shd w:val="clear" w:color="auto" w:fill="auto"/>
            <w:vAlign w:val="center"/>
          </w:tcPr>
          <w:p w:rsidR="008B1757" w:rsidRDefault="00F412EF" w:rsidP="00D87FED">
            <w:pPr>
              <w:pStyle w:val="Tabletext"/>
            </w:pPr>
            <w:r>
              <w:t>Botox; administered by injection every 12 weeks to 31-39 sites in the head.</w:t>
            </w:r>
          </w:p>
          <w:p w:rsidR="00F412EF" w:rsidRPr="00691913" w:rsidRDefault="007F4155" w:rsidP="00D87FED">
            <w:pPr>
              <w:pStyle w:val="Tabletext"/>
            </w:pPr>
            <w:r>
              <w:t>BSC</w:t>
            </w:r>
            <w:r w:rsidR="000A349B">
              <w:t>.</w:t>
            </w:r>
          </w:p>
        </w:tc>
      </w:tr>
      <w:tr w:rsidR="008B1757" w:rsidRPr="00691913" w:rsidTr="007578DF">
        <w:trPr>
          <w:cantSplit/>
        </w:trPr>
        <w:tc>
          <w:tcPr>
            <w:tcW w:w="1696" w:type="dxa"/>
            <w:shd w:val="clear" w:color="auto" w:fill="auto"/>
            <w:vAlign w:val="center"/>
          </w:tcPr>
          <w:p w:rsidR="008B1757" w:rsidRPr="00691913" w:rsidRDefault="008B1757" w:rsidP="00D87FED">
            <w:pPr>
              <w:pStyle w:val="Tabletext"/>
            </w:pPr>
            <w:r w:rsidRPr="00691913">
              <w:t>Outcomes</w:t>
            </w:r>
          </w:p>
        </w:tc>
        <w:tc>
          <w:tcPr>
            <w:tcW w:w="7484" w:type="dxa"/>
            <w:shd w:val="clear" w:color="auto" w:fill="auto"/>
            <w:vAlign w:val="center"/>
          </w:tcPr>
          <w:p w:rsidR="008B1757" w:rsidRPr="000A349B" w:rsidRDefault="000A349B" w:rsidP="00D87FED">
            <w:pPr>
              <w:pStyle w:val="Tabletext"/>
            </w:pPr>
            <w:r>
              <w:t>Change from baseline in the number of monthly migraine days; proportion of responders (≥50% change from baseline); safety.</w:t>
            </w:r>
          </w:p>
        </w:tc>
      </w:tr>
      <w:tr w:rsidR="008B1757" w:rsidRPr="00691913" w:rsidTr="007578DF">
        <w:trPr>
          <w:cantSplit/>
        </w:trPr>
        <w:tc>
          <w:tcPr>
            <w:tcW w:w="1696" w:type="dxa"/>
            <w:shd w:val="clear" w:color="auto" w:fill="auto"/>
            <w:vAlign w:val="center"/>
          </w:tcPr>
          <w:p w:rsidR="008B1757" w:rsidRPr="00691913" w:rsidRDefault="008B1757" w:rsidP="00D87FED">
            <w:pPr>
              <w:pStyle w:val="Tabletext"/>
            </w:pPr>
            <w:r w:rsidRPr="00691913">
              <w:t>Clinical claim</w:t>
            </w:r>
          </w:p>
        </w:tc>
        <w:tc>
          <w:tcPr>
            <w:tcW w:w="7484" w:type="dxa"/>
            <w:shd w:val="clear" w:color="auto" w:fill="auto"/>
            <w:vAlign w:val="center"/>
          </w:tcPr>
          <w:p w:rsidR="008B1757" w:rsidRDefault="00EB072E" w:rsidP="00D87FED">
            <w:pPr>
              <w:pStyle w:val="Tabletext"/>
            </w:pPr>
            <w:proofErr w:type="spellStart"/>
            <w:r>
              <w:t>E</w:t>
            </w:r>
            <w:r w:rsidR="006D586E">
              <w:t>renumab</w:t>
            </w:r>
            <w:proofErr w:type="spellEnd"/>
            <w:r w:rsidR="00D43A2B">
              <w:t xml:space="preserve"> is non-inferior in terms of comparative effectiveness and comparative safety compared to Botox.</w:t>
            </w:r>
          </w:p>
          <w:p w:rsidR="00D43A2B" w:rsidRPr="00691913" w:rsidRDefault="00D72110" w:rsidP="00D87FED">
            <w:pPr>
              <w:pStyle w:val="Tabletext"/>
            </w:pPr>
            <w:proofErr w:type="spellStart"/>
            <w:r>
              <w:t>E</w:t>
            </w:r>
            <w:r w:rsidR="00D43A2B">
              <w:t>renumab</w:t>
            </w:r>
            <w:proofErr w:type="spellEnd"/>
            <w:r w:rsidR="00D43A2B">
              <w:t xml:space="preserve"> is superior in terms of comparative effectiveness and equivalent in terms of comparative safety</w:t>
            </w:r>
            <w:r>
              <w:t xml:space="preserve"> compared to BSC</w:t>
            </w:r>
            <w:r w:rsidR="007129CE">
              <w:t>.</w:t>
            </w:r>
          </w:p>
        </w:tc>
      </w:tr>
    </w:tbl>
    <w:p w:rsidR="008550D9" w:rsidRDefault="008550D9" w:rsidP="00D87FED">
      <w:pPr>
        <w:pStyle w:val="TableFooter"/>
        <w:tabs>
          <w:tab w:val="left" w:pos="142"/>
        </w:tabs>
        <w:ind w:left="142" w:hanging="142"/>
      </w:pPr>
      <w:r>
        <w:t>BSC=best supportive care</w:t>
      </w:r>
    </w:p>
    <w:p w:rsidR="008B1757" w:rsidRDefault="008B1757" w:rsidP="00D87FED">
      <w:pPr>
        <w:pStyle w:val="TableFooter"/>
      </w:pPr>
      <w:r>
        <w:t xml:space="preserve">Source: </w:t>
      </w:r>
      <w:r w:rsidR="00D43A2B">
        <w:t>Table 1.1, p6</w:t>
      </w:r>
      <w:r w:rsidR="00150BF0">
        <w:t xml:space="preserve"> and Section 2.8.2, p</w:t>
      </w:r>
      <w:r w:rsidR="00D65809">
        <w:t>88-</w:t>
      </w:r>
      <w:r w:rsidR="00150BF0">
        <w:t>89</w:t>
      </w:r>
      <w:r w:rsidR="00D43A2B">
        <w:t xml:space="preserve"> of the resubmission.</w:t>
      </w:r>
    </w:p>
    <w:p w:rsidR="00D87FED" w:rsidRDefault="00D87FED" w:rsidP="00D87FED">
      <w:pPr>
        <w:pStyle w:val="TableFooter"/>
      </w:pPr>
    </w:p>
    <w:p w:rsidR="00B60939" w:rsidRPr="00882085" w:rsidRDefault="00B50DB8" w:rsidP="008C17FD">
      <w:pPr>
        <w:pStyle w:val="PBACHeading1"/>
        <w:spacing w:before="240"/>
      </w:pPr>
      <w:bookmarkStart w:id="1" w:name="_Toc535926550"/>
      <w:r w:rsidRPr="00407F2D">
        <w:t>Requested listing</w:t>
      </w:r>
      <w:bookmarkEnd w:id="1"/>
    </w:p>
    <w:p w:rsidR="00DE4326" w:rsidRPr="008C17FD" w:rsidRDefault="00F03F85" w:rsidP="008C17FD">
      <w:pPr>
        <w:pStyle w:val="ListParagraph"/>
        <w:numPr>
          <w:ilvl w:val="1"/>
          <w:numId w:val="2"/>
        </w:numPr>
        <w:rPr>
          <w:rFonts w:asciiTheme="minorHAnsi" w:hAnsiTheme="minorHAnsi" w:cstheme="minorHAnsi"/>
          <w:bCs/>
        </w:rPr>
      </w:pPr>
      <w:r>
        <w:rPr>
          <w:rFonts w:asciiTheme="minorHAnsi" w:hAnsiTheme="minorHAnsi" w:cstheme="minorHAnsi"/>
          <w:bCs/>
        </w:rPr>
        <w:t>The restriction criteria proposed in the submission is provided below with suggested deletions (strikethrough text) and additions (italic text) by the Secretariat.</w:t>
      </w:r>
    </w:p>
    <w:tbl>
      <w:tblPr>
        <w:tblW w:w="9236" w:type="dxa"/>
        <w:tblBorders>
          <w:top w:val="single" w:sz="4" w:space="0" w:color="auto"/>
          <w:bottom w:val="single" w:sz="4" w:space="0" w:color="auto"/>
          <w:insideH w:val="single" w:sz="4" w:space="0" w:color="auto"/>
        </w:tblBorders>
        <w:tblLook w:val="04A0" w:firstRow="1" w:lastRow="0" w:firstColumn="1" w:lastColumn="0" w:noHBand="0" w:noVBand="1"/>
      </w:tblPr>
      <w:tblGrid>
        <w:gridCol w:w="2305"/>
        <w:gridCol w:w="1300"/>
        <w:gridCol w:w="1282"/>
        <w:gridCol w:w="928"/>
        <w:gridCol w:w="1598"/>
        <w:gridCol w:w="1823"/>
      </w:tblGrid>
      <w:tr w:rsidR="00CB50C9" w:rsidRPr="007D2D5F" w:rsidTr="00855CF2">
        <w:tc>
          <w:tcPr>
            <w:tcW w:w="0" w:type="auto"/>
            <w:vAlign w:val="center"/>
          </w:tcPr>
          <w:p w:rsidR="00CB50C9" w:rsidRPr="002C71CE" w:rsidRDefault="00CB50C9" w:rsidP="00D87FED">
            <w:pPr>
              <w:pStyle w:val="Tabletext"/>
              <w:jc w:val="left"/>
              <w:rPr>
                <w:b/>
                <w:bCs/>
              </w:rPr>
            </w:pPr>
            <w:r w:rsidRPr="002C71CE">
              <w:rPr>
                <w:b/>
              </w:rPr>
              <w:t>Name, restriction, manner of administration, form</w:t>
            </w:r>
          </w:p>
        </w:tc>
        <w:tc>
          <w:tcPr>
            <w:tcW w:w="0" w:type="auto"/>
            <w:vAlign w:val="center"/>
          </w:tcPr>
          <w:p w:rsidR="00CB50C9" w:rsidRPr="002C71CE" w:rsidRDefault="00CB50C9" w:rsidP="00D87FED">
            <w:pPr>
              <w:pStyle w:val="Tabletext"/>
              <w:jc w:val="center"/>
              <w:rPr>
                <w:b/>
                <w:bCs/>
              </w:rPr>
            </w:pPr>
            <w:r w:rsidRPr="002C71CE">
              <w:rPr>
                <w:b/>
              </w:rPr>
              <w:t>Maximum quantity (packs)</w:t>
            </w:r>
          </w:p>
        </w:tc>
        <w:tc>
          <w:tcPr>
            <w:tcW w:w="0" w:type="auto"/>
            <w:vAlign w:val="center"/>
          </w:tcPr>
          <w:p w:rsidR="00CB50C9" w:rsidRPr="002C71CE" w:rsidRDefault="00CB50C9" w:rsidP="00D87FED">
            <w:pPr>
              <w:pStyle w:val="Tabletext"/>
              <w:jc w:val="center"/>
              <w:rPr>
                <w:b/>
                <w:bCs/>
              </w:rPr>
            </w:pPr>
            <w:r w:rsidRPr="002C71CE">
              <w:rPr>
                <w:b/>
              </w:rPr>
              <w:t>Maximum quantity (units)</w:t>
            </w:r>
          </w:p>
        </w:tc>
        <w:tc>
          <w:tcPr>
            <w:tcW w:w="0" w:type="auto"/>
            <w:vAlign w:val="center"/>
          </w:tcPr>
          <w:p w:rsidR="00CB50C9" w:rsidRPr="002C71CE" w:rsidRDefault="00CB50C9" w:rsidP="00D87FED">
            <w:pPr>
              <w:pStyle w:val="Tabletext"/>
              <w:jc w:val="center"/>
              <w:rPr>
                <w:b/>
                <w:bCs/>
              </w:rPr>
            </w:pPr>
            <w:r w:rsidRPr="002C71CE">
              <w:rPr>
                <w:b/>
              </w:rPr>
              <w:t>No. of repeats</w:t>
            </w:r>
          </w:p>
        </w:tc>
        <w:tc>
          <w:tcPr>
            <w:tcW w:w="0" w:type="auto"/>
            <w:vAlign w:val="center"/>
          </w:tcPr>
          <w:p w:rsidR="00CB50C9" w:rsidRPr="002C71CE" w:rsidRDefault="00CB50C9" w:rsidP="00D87FED">
            <w:pPr>
              <w:pStyle w:val="Tabletext"/>
              <w:jc w:val="center"/>
              <w:rPr>
                <w:b/>
                <w:bCs/>
              </w:rPr>
            </w:pPr>
            <w:r w:rsidRPr="002C71CE">
              <w:rPr>
                <w:b/>
              </w:rPr>
              <w:t>Dispensed price for maximum quantity</w:t>
            </w:r>
          </w:p>
        </w:tc>
        <w:tc>
          <w:tcPr>
            <w:tcW w:w="0" w:type="auto"/>
            <w:vAlign w:val="center"/>
          </w:tcPr>
          <w:p w:rsidR="00CB50C9" w:rsidRPr="002C71CE" w:rsidRDefault="00CB50C9" w:rsidP="00D87FED">
            <w:pPr>
              <w:pStyle w:val="Tabletext"/>
              <w:jc w:val="center"/>
              <w:rPr>
                <w:b/>
                <w:bCs/>
              </w:rPr>
            </w:pPr>
            <w:r w:rsidRPr="002C71CE">
              <w:rPr>
                <w:b/>
              </w:rPr>
              <w:t>Proprietary name and manufacturer</w:t>
            </w:r>
          </w:p>
        </w:tc>
      </w:tr>
      <w:tr w:rsidR="00CB50C9" w:rsidRPr="00E24389" w:rsidTr="00855CF2">
        <w:tc>
          <w:tcPr>
            <w:tcW w:w="0" w:type="auto"/>
            <w:vAlign w:val="center"/>
          </w:tcPr>
          <w:p w:rsidR="00CB50C9" w:rsidRPr="00E24389" w:rsidRDefault="00CB50C9" w:rsidP="00D87FED">
            <w:pPr>
              <w:pStyle w:val="Tabletext"/>
            </w:pPr>
            <w:r>
              <w:t>ERENUMAB</w:t>
            </w:r>
          </w:p>
          <w:p w:rsidR="00CB50C9" w:rsidRPr="00E24389" w:rsidRDefault="00CB50C9" w:rsidP="00D87FED">
            <w:pPr>
              <w:pStyle w:val="Tabletext"/>
              <w:rPr>
                <w:b/>
                <w:bCs/>
              </w:rPr>
            </w:pPr>
            <w:r>
              <w:t>7</w:t>
            </w:r>
            <w:r w:rsidR="00E83442">
              <w:t>0</w:t>
            </w:r>
            <w:r w:rsidR="00DF6010">
              <w:t xml:space="preserve"> </w:t>
            </w:r>
            <w:r>
              <w:t>mg in 1.0mL solution for injection, 70</w:t>
            </w:r>
            <w:r w:rsidR="00DF6010">
              <w:t xml:space="preserve"> </w:t>
            </w:r>
            <w:r>
              <w:t>mg/1mL × 2 pre-filled pen</w:t>
            </w:r>
          </w:p>
        </w:tc>
        <w:tc>
          <w:tcPr>
            <w:tcW w:w="0" w:type="auto"/>
            <w:vAlign w:val="center"/>
          </w:tcPr>
          <w:p w:rsidR="00CB50C9" w:rsidRPr="00E24389" w:rsidRDefault="00CB50C9" w:rsidP="00D87FED">
            <w:pPr>
              <w:pStyle w:val="Tabletext"/>
              <w:jc w:val="center"/>
              <w:rPr>
                <w:rFonts w:ascii="Times" w:hAnsi="Times"/>
              </w:rPr>
            </w:pPr>
            <w:r>
              <w:t>1</w:t>
            </w:r>
          </w:p>
        </w:tc>
        <w:tc>
          <w:tcPr>
            <w:tcW w:w="0" w:type="auto"/>
            <w:vAlign w:val="center"/>
          </w:tcPr>
          <w:p w:rsidR="00CB50C9" w:rsidRPr="00E24389" w:rsidRDefault="00CB50C9" w:rsidP="00D87FED">
            <w:pPr>
              <w:pStyle w:val="Tabletext"/>
              <w:jc w:val="center"/>
              <w:rPr>
                <w:rFonts w:ascii="Times" w:hAnsi="Times"/>
              </w:rPr>
            </w:pPr>
            <w:r>
              <w:t>2</w:t>
            </w:r>
          </w:p>
        </w:tc>
        <w:tc>
          <w:tcPr>
            <w:tcW w:w="0" w:type="auto"/>
            <w:vAlign w:val="center"/>
          </w:tcPr>
          <w:p w:rsidR="00CB50C9" w:rsidRPr="00E24389" w:rsidRDefault="00CB50C9" w:rsidP="00D87FED">
            <w:pPr>
              <w:pStyle w:val="Tabletext"/>
              <w:jc w:val="center"/>
              <w:rPr>
                <w:rFonts w:ascii="Times" w:hAnsi="Times"/>
              </w:rPr>
            </w:pPr>
            <w:r>
              <w:t>2</w:t>
            </w:r>
            <w:r w:rsidR="002A5DB2">
              <w:t>, 5</w:t>
            </w:r>
            <w:r w:rsidR="000049FA">
              <w:rPr>
                <w:vertAlign w:val="superscript"/>
              </w:rPr>
              <w:t>a</w:t>
            </w:r>
          </w:p>
        </w:tc>
        <w:tc>
          <w:tcPr>
            <w:tcW w:w="0" w:type="auto"/>
            <w:vAlign w:val="center"/>
          </w:tcPr>
          <w:p w:rsidR="00CB50C9" w:rsidRPr="00E24389" w:rsidRDefault="00CB50C9" w:rsidP="00D87FED">
            <w:pPr>
              <w:pStyle w:val="Tabletext"/>
              <w:jc w:val="center"/>
              <w:rPr>
                <w:rFonts w:ascii="Times" w:hAnsi="Times"/>
              </w:rPr>
            </w:pPr>
            <w:r>
              <w:t>$</w:t>
            </w:r>
            <w:r w:rsidR="00405DA0">
              <w:rPr>
                <w:noProof/>
                <w:color w:val="000000"/>
                <w:highlight w:val="black"/>
              </w:rPr>
              <w:t>''''''''''''''''</w:t>
            </w:r>
            <w:r w:rsidR="000049FA">
              <w:rPr>
                <w:vertAlign w:val="superscript"/>
              </w:rPr>
              <w:t>b</w:t>
            </w:r>
          </w:p>
        </w:tc>
        <w:tc>
          <w:tcPr>
            <w:tcW w:w="0" w:type="auto"/>
            <w:vAlign w:val="center"/>
          </w:tcPr>
          <w:p w:rsidR="00CB50C9" w:rsidRDefault="00CB50C9" w:rsidP="00D87FED">
            <w:pPr>
              <w:pStyle w:val="Tabletext"/>
            </w:pPr>
            <w:proofErr w:type="spellStart"/>
            <w:r>
              <w:t>Aimovig</w:t>
            </w:r>
            <w:proofErr w:type="spellEnd"/>
            <w:r w:rsidRPr="008E6064">
              <w:rPr>
                <w:vertAlign w:val="superscript"/>
              </w:rPr>
              <w:t>®</w:t>
            </w:r>
            <w:r>
              <w:t xml:space="preserve">, </w:t>
            </w:r>
          </w:p>
          <w:p w:rsidR="00CB50C9" w:rsidRPr="00E24389" w:rsidRDefault="00CB50C9" w:rsidP="00D87FED">
            <w:pPr>
              <w:pStyle w:val="Tabletext"/>
              <w:rPr>
                <w:rFonts w:ascii="Times" w:hAnsi="Times"/>
              </w:rPr>
            </w:pPr>
            <w:r>
              <w:t>Novartis Pharmaceuticals</w:t>
            </w:r>
          </w:p>
        </w:tc>
      </w:tr>
    </w:tbl>
    <w:p w:rsidR="00CB50C9" w:rsidRDefault="000049FA" w:rsidP="00D87FED">
      <w:pPr>
        <w:pStyle w:val="TableFooter"/>
        <w:tabs>
          <w:tab w:val="left" w:pos="142"/>
        </w:tabs>
      </w:pPr>
      <w:proofErr w:type="gramStart"/>
      <w:r>
        <w:rPr>
          <w:vertAlign w:val="superscript"/>
        </w:rPr>
        <w:t>a</w:t>
      </w:r>
      <w:proofErr w:type="gramEnd"/>
      <w:r>
        <w:tab/>
        <w:t>Two repeats for initial therapy and 5 repeats for continuing therapy.</w:t>
      </w:r>
    </w:p>
    <w:p w:rsidR="000049FA" w:rsidRPr="000049FA" w:rsidRDefault="000049FA" w:rsidP="00D87FED">
      <w:pPr>
        <w:pStyle w:val="TableFooter"/>
        <w:tabs>
          <w:tab w:val="left" w:pos="142"/>
        </w:tabs>
        <w:ind w:left="142" w:hanging="142"/>
      </w:pPr>
      <w:proofErr w:type="gramStart"/>
      <w:r>
        <w:rPr>
          <w:vertAlign w:val="superscript"/>
        </w:rPr>
        <w:t>b</w:t>
      </w:r>
      <w:proofErr w:type="gramEnd"/>
      <w:r>
        <w:tab/>
      </w:r>
      <w:r w:rsidR="000B4C70">
        <w:t>$</w:t>
      </w:r>
      <w:r w:rsidR="00405DA0">
        <w:rPr>
          <w:noProof/>
          <w:color w:val="000000"/>
          <w:highlight w:val="black"/>
        </w:rPr>
        <w:t>''''''''''''''''</w:t>
      </w:r>
      <w:r>
        <w:t xml:space="preserve"> is a weighted price based on the cost-minimisation price ($</w:t>
      </w:r>
      <w:r w:rsidR="00405DA0">
        <w:rPr>
          <w:noProof/>
          <w:color w:val="000000"/>
          <w:highlight w:val="black"/>
        </w:rPr>
        <w:t>'''''''''''''''</w:t>
      </w:r>
      <w:r>
        <w:t xml:space="preserve">) and </w:t>
      </w:r>
      <w:r w:rsidRPr="00863E22">
        <w:t>the cost-effectiveness price ($</w:t>
      </w:r>
      <w:r w:rsidR="00405DA0">
        <w:rPr>
          <w:noProof/>
          <w:color w:val="000000"/>
          <w:highlight w:val="black"/>
        </w:rPr>
        <w:t>''''''''''''''''</w:t>
      </w:r>
      <w:r w:rsidRPr="00863E22">
        <w:t>)</w:t>
      </w:r>
      <w:r w:rsidR="00E116BC" w:rsidRPr="00863E22">
        <w:t xml:space="preserve"> weighted according to the relevant patient population (cost-minimisation: Botox</w:t>
      </w:r>
      <w:r w:rsidR="00EA381B" w:rsidRPr="00863E22">
        <w:t xml:space="preserve"> (</w:t>
      </w:r>
      <w:r w:rsidR="00405DA0">
        <w:rPr>
          <w:noProof/>
          <w:color w:val="000000"/>
          <w:highlight w:val="black"/>
        </w:rPr>
        <w:t>''''''''''</w:t>
      </w:r>
      <w:r w:rsidR="00EA381B" w:rsidRPr="00863E22">
        <w:t>%)</w:t>
      </w:r>
      <w:r w:rsidR="00E116BC" w:rsidRPr="00863E22">
        <w:t>; cost-effectiveness: non-Botox</w:t>
      </w:r>
      <w:r w:rsidR="00EA381B" w:rsidRPr="00863E22">
        <w:t xml:space="preserve"> (</w:t>
      </w:r>
      <w:r w:rsidR="00405DA0">
        <w:rPr>
          <w:noProof/>
          <w:color w:val="000000"/>
          <w:highlight w:val="black"/>
        </w:rPr>
        <w:t>'''''''''''</w:t>
      </w:r>
      <w:r w:rsidR="00EA381B" w:rsidRPr="00863E22">
        <w:t>%</w:t>
      </w:r>
      <w:r w:rsidR="00E116BC" w:rsidRPr="00863E22">
        <w:t>)</w:t>
      </w:r>
      <w:r w:rsidR="00BE68F8" w:rsidRPr="00863E22">
        <w:t>)</w:t>
      </w:r>
    </w:p>
    <w:p w:rsidR="00897FBC" w:rsidRDefault="00897FBC" w:rsidP="00D87FED">
      <w:pPr>
        <w:rPr>
          <w:rStyle w:val="CommentReference"/>
        </w:rPr>
      </w:pPr>
    </w:p>
    <w:tbl>
      <w:tblPr>
        <w:tblW w:w="9101" w:type="dxa"/>
        <w:tblInd w:w="108" w:type="dxa"/>
        <w:tblLayout w:type="fixed"/>
        <w:tblLook w:val="0000" w:firstRow="0" w:lastRow="0" w:firstColumn="0" w:lastColumn="0" w:noHBand="0" w:noVBand="0"/>
      </w:tblPr>
      <w:tblGrid>
        <w:gridCol w:w="3271"/>
        <w:gridCol w:w="5830"/>
      </w:tblGrid>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Category / Program</w:t>
            </w:r>
          </w:p>
        </w:tc>
        <w:tc>
          <w:tcPr>
            <w:tcW w:w="581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t>GENERAL – General Schedule (Code GE)</w:t>
            </w:r>
          </w:p>
        </w:tc>
      </w:tr>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lastRenderedPageBreak/>
              <w:t>Prescriber type:</w:t>
            </w:r>
          </w:p>
        </w:tc>
        <w:tc>
          <w:tcPr>
            <w:tcW w:w="581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fldChar w:fldCharType="begin">
                <w:ffData>
                  <w:name w:val="Check1"/>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Dental  </w:t>
            </w:r>
            <w:r w:rsidRPr="008C53F7">
              <w:rPr>
                <w:rFonts w:ascii="Arial Narrow" w:hAnsi="Arial Narrow"/>
                <w:sz w:val="20"/>
              </w:rPr>
              <w:fldChar w:fldCharType="begin">
                <w:ffData>
                  <w:name w:val=""/>
                  <w:enabled/>
                  <w:calcOnExit w:val="0"/>
                  <w:checkBox>
                    <w:sizeAuto/>
                    <w:default w:val="1"/>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Medical Practitioners  </w:t>
            </w:r>
            <w:r w:rsidRPr="008C53F7">
              <w:rPr>
                <w:rFonts w:ascii="Arial Narrow" w:hAnsi="Arial Narrow"/>
                <w:sz w:val="20"/>
              </w:rPr>
              <w:fldChar w:fldCharType="begin">
                <w:ffData>
                  <w:name w:val="Check3"/>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Nurse practitioners  </w:t>
            </w:r>
            <w:r w:rsidRPr="008C53F7">
              <w:rPr>
                <w:rFonts w:ascii="Arial Narrow" w:hAnsi="Arial Narrow"/>
                <w:sz w:val="20"/>
              </w:rPr>
              <w:fldChar w:fldCharType="begin">
                <w:ffData>
                  <w:name w:val=""/>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Optometrists </w:t>
            </w:r>
            <w:r w:rsidRPr="008C53F7">
              <w:rPr>
                <w:rFonts w:ascii="Arial Narrow" w:hAnsi="Arial Narrow"/>
                <w:sz w:val="20"/>
              </w:rPr>
              <w:fldChar w:fldCharType="begin">
                <w:ffData>
                  <w:name w:val="Check5"/>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Midwives</w:t>
            </w:r>
          </w:p>
        </w:tc>
      </w:tr>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Episodicity:</w:t>
            </w:r>
          </w:p>
        </w:tc>
        <w:tc>
          <w:tcPr>
            <w:tcW w:w="5811" w:type="dxa"/>
            <w:tcBorders>
              <w:top w:val="single" w:sz="4" w:space="0" w:color="auto"/>
              <w:left w:val="single" w:sz="4" w:space="0" w:color="auto"/>
              <w:bottom w:val="single" w:sz="4" w:space="0" w:color="auto"/>
              <w:right w:val="single" w:sz="4" w:space="0" w:color="auto"/>
            </w:tcBorders>
          </w:tcPr>
          <w:p w:rsidR="00E56296" w:rsidRPr="008E26AF" w:rsidRDefault="00E56296" w:rsidP="00D87FED">
            <w:pPr>
              <w:rPr>
                <w:rFonts w:ascii="Arial Narrow" w:hAnsi="Arial Narrow"/>
                <w:sz w:val="20"/>
              </w:rPr>
            </w:pPr>
            <w:r w:rsidRPr="008E26AF">
              <w:rPr>
                <w:rFonts w:ascii="Arial Narrow" w:hAnsi="Arial Narrow"/>
                <w:sz w:val="20"/>
              </w:rPr>
              <w:t>Chronic</w:t>
            </w:r>
          </w:p>
        </w:tc>
      </w:tr>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Severity:</w:t>
            </w:r>
          </w:p>
        </w:tc>
        <w:tc>
          <w:tcPr>
            <w:tcW w:w="581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t>-</w:t>
            </w:r>
          </w:p>
        </w:tc>
      </w:tr>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 xml:space="preserve">Condition </w:t>
            </w:r>
          </w:p>
        </w:tc>
        <w:tc>
          <w:tcPr>
            <w:tcW w:w="581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t>Migraine</w:t>
            </w:r>
          </w:p>
        </w:tc>
      </w:tr>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PBS Indication:</w:t>
            </w:r>
          </w:p>
        </w:tc>
        <w:tc>
          <w:tcPr>
            <w:tcW w:w="581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6A29FF">
              <w:rPr>
                <w:rFonts w:ascii="Arial Narrow" w:hAnsi="Arial Narrow"/>
                <w:i/>
                <w:sz w:val="20"/>
              </w:rPr>
              <w:t>Chronic</w:t>
            </w:r>
            <w:r>
              <w:rPr>
                <w:rFonts w:ascii="Arial Narrow" w:hAnsi="Arial Narrow"/>
                <w:sz w:val="20"/>
              </w:rPr>
              <w:t xml:space="preserve"> </w:t>
            </w:r>
            <w:proofErr w:type="spellStart"/>
            <w:r w:rsidRPr="00ED64DD">
              <w:rPr>
                <w:rFonts w:ascii="Arial Narrow" w:hAnsi="Arial Narrow"/>
                <w:i/>
                <w:sz w:val="20"/>
              </w:rPr>
              <w:t>m</w:t>
            </w:r>
            <w:r w:rsidRPr="00ED64DD">
              <w:rPr>
                <w:rFonts w:ascii="Arial Narrow" w:hAnsi="Arial Narrow"/>
                <w:strike/>
                <w:sz w:val="20"/>
              </w:rPr>
              <w:t>M</w:t>
            </w:r>
            <w:r w:rsidRPr="008C53F7">
              <w:rPr>
                <w:rFonts w:ascii="Arial Narrow" w:hAnsi="Arial Narrow"/>
                <w:sz w:val="20"/>
              </w:rPr>
              <w:t>igraine</w:t>
            </w:r>
            <w:proofErr w:type="spellEnd"/>
          </w:p>
        </w:tc>
      </w:tr>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Pr>
                <w:rFonts w:ascii="Arial Narrow" w:hAnsi="Arial Narrow"/>
                <w:b/>
                <w:sz w:val="20"/>
              </w:rPr>
              <w:t>Treatment phase:</w:t>
            </w:r>
          </w:p>
        </w:tc>
        <w:tc>
          <w:tcPr>
            <w:tcW w:w="5811" w:type="dxa"/>
            <w:tcBorders>
              <w:top w:val="single" w:sz="4" w:space="0" w:color="auto"/>
              <w:left w:val="single" w:sz="4" w:space="0" w:color="auto"/>
              <w:bottom w:val="single" w:sz="4" w:space="0" w:color="auto"/>
              <w:right w:val="single" w:sz="4" w:space="0" w:color="auto"/>
            </w:tcBorders>
          </w:tcPr>
          <w:p w:rsidR="00E56296" w:rsidRPr="00437B4B" w:rsidRDefault="00E56296" w:rsidP="00D87FED">
            <w:pPr>
              <w:rPr>
                <w:rFonts w:ascii="Arial Narrow" w:hAnsi="Arial Narrow"/>
                <w:sz w:val="20"/>
              </w:rPr>
            </w:pPr>
            <w:r w:rsidRPr="00437B4B">
              <w:rPr>
                <w:rFonts w:ascii="Arial Narrow" w:hAnsi="Arial Narrow"/>
                <w:sz w:val="20"/>
              </w:rPr>
              <w:t>Initial</w:t>
            </w:r>
          </w:p>
        </w:tc>
      </w:tr>
      <w:tr w:rsidR="00E56296" w:rsidRPr="008C53F7"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Restriction:</w:t>
            </w:r>
          </w:p>
          <w:p w:rsidR="00E56296" w:rsidRPr="008C53F7" w:rsidRDefault="00E56296" w:rsidP="00D87FED">
            <w:pPr>
              <w:rPr>
                <w:rFonts w:ascii="Arial Narrow" w:hAnsi="Arial Narrow"/>
                <w:sz w:val="20"/>
              </w:rPr>
            </w:pPr>
            <w:r w:rsidRPr="008C53F7">
              <w:rPr>
                <w:rFonts w:ascii="Arial Narrow" w:hAnsi="Arial Narrow"/>
                <w:sz w:val="20"/>
              </w:rPr>
              <w:t>Section 85</w:t>
            </w:r>
          </w:p>
          <w:p w:rsidR="00E56296" w:rsidRPr="008C53F7" w:rsidRDefault="00E56296" w:rsidP="00D87FED">
            <w:pPr>
              <w:rPr>
                <w:rFonts w:ascii="Arial Narrow" w:hAnsi="Arial Narrow"/>
                <w:i/>
                <w:sz w:val="20"/>
              </w:rPr>
            </w:pPr>
            <w:r w:rsidRPr="008C53F7">
              <w:rPr>
                <w:rFonts w:ascii="Arial Narrow" w:hAnsi="Arial Narrow"/>
                <w:i/>
                <w:sz w:val="20"/>
              </w:rPr>
              <w:t>Authority required</w:t>
            </w:r>
          </w:p>
          <w:p w:rsidR="00E56296" w:rsidRPr="008C53F7" w:rsidRDefault="00E56296" w:rsidP="00D87FED">
            <w:pPr>
              <w:rPr>
                <w:rFonts w:ascii="Arial Narrow" w:hAnsi="Arial Narrow"/>
                <w:sz w:val="20"/>
              </w:rPr>
            </w:pPr>
          </w:p>
        </w:tc>
        <w:tc>
          <w:tcPr>
            <w:tcW w:w="581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1"/>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Restricted benefit</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In Writing</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3"/>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Telephone</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Emergency</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5"/>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Electronic</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5"/>
                  <w:enabled/>
                  <w:calcOnExit w:val="0"/>
                  <w:checkBox>
                    <w:sizeAuto/>
                    <w:default w:val="1"/>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Streamlined</w:t>
            </w:r>
          </w:p>
        </w:tc>
      </w:tr>
      <w:tr w:rsidR="00E56296"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Treatment criteria:</w:t>
            </w:r>
          </w:p>
        </w:tc>
        <w:tc>
          <w:tcPr>
            <w:tcW w:w="5811" w:type="dxa"/>
            <w:tcBorders>
              <w:top w:val="single" w:sz="4" w:space="0" w:color="auto"/>
              <w:left w:val="single" w:sz="4" w:space="0" w:color="auto"/>
              <w:bottom w:val="single" w:sz="4" w:space="0" w:color="auto"/>
              <w:right w:val="single" w:sz="4" w:space="0" w:color="auto"/>
            </w:tcBorders>
          </w:tcPr>
          <w:p w:rsidR="00E56296" w:rsidRPr="00915E8C" w:rsidRDefault="00E56296" w:rsidP="00D87FED">
            <w:pPr>
              <w:rPr>
                <w:rFonts w:ascii="Arial Narrow" w:hAnsi="Arial Narrow"/>
                <w:strike/>
                <w:sz w:val="20"/>
              </w:rPr>
            </w:pPr>
            <w:r w:rsidRPr="00915E8C">
              <w:rPr>
                <w:rFonts w:ascii="Arial Narrow" w:hAnsi="Arial Narrow"/>
                <w:strike/>
                <w:sz w:val="20"/>
              </w:rPr>
              <w:t xml:space="preserve">Must be prescribed by a neurologist </w:t>
            </w:r>
            <w:r w:rsidRPr="00915E8C">
              <w:rPr>
                <w:rFonts w:ascii="Arial Narrow" w:hAnsi="Arial Narrow"/>
                <w:strike/>
                <w:color w:val="000000"/>
                <w:sz w:val="20"/>
              </w:rPr>
              <w:t>or a pain/headache specialist.</w:t>
            </w:r>
            <w:r>
              <w:rPr>
                <w:rFonts w:ascii="Arial Narrow" w:hAnsi="Arial Narrow"/>
                <w:strike/>
                <w:color w:val="000000"/>
                <w:sz w:val="20"/>
              </w:rPr>
              <w:t xml:space="preserve"> </w:t>
            </w:r>
            <w:r w:rsidRPr="001F43FA">
              <w:rPr>
                <w:rFonts w:ascii="Arial Narrow" w:hAnsi="Arial Narrow"/>
                <w:i/>
                <w:color w:val="000000"/>
                <w:sz w:val="20"/>
              </w:rPr>
              <w:t>Must be treated by a</w:t>
            </w:r>
            <w:r>
              <w:rPr>
                <w:rFonts w:ascii="Arial Narrow" w:hAnsi="Arial Narrow"/>
                <w:i/>
                <w:strike/>
                <w:color w:val="000000"/>
                <w:sz w:val="20"/>
              </w:rPr>
              <w:t xml:space="preserve"> </w:t>
            </w:r>
            <w:r>
              <w:rPr>
                <w:rFonts w:ascii="Arial Narrow" w:hAnsi="Arial Narrow"/>
                <w:i/>
                <w:sz w:val="20"/>
              </w:rPr>
              <w:t>specialist neurologist or s</w:t>
            </w:r>
            <w:r w:rsidRPr="00915E8C">
              <w:rPr>
                <w:rFonts w:ascii="Arial Narrow" w:hAnsi="Arial Narrow"/>
                <w:i/>
                <w:sz w:val="20"/>
              </w:rPr>
              <w:t>pecialist pain medicine physician accredited or experienced in treating headache</w:t>
            </w:r>
            <w:r>
              <w:rPr>
                <w:rFonts w:ascii="Arial Narrow" w:hAnsi="Arial Narrow"/>
                <w:i/>
                <w:sz w:val="20"/>
              </w:rPr>
              <w:t>.</w:t>
            </w:r>
          </w:p>
        </w:tc>
      </w:tr>
      <w:tr w:rsidR="00E56296"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Clinical criteria:</w:t>
            </w:r>
          </w:p>
          <w:p w:rsidR="00E56296" w:rsidRPr="008C53F7" w:rsidRDefault="00E56296" w:rsidP="00D87FED">
            <w:pPr>
              <w:rPr>
                <w:rFonts w:ascii="Arial Narrow" w:hAnsi="Arial Narrow"/>
                <w:i/>
                <w:sz w:val="20"/>
              </w:rPr>
            </w:pPr>
          </w:p>
          <w:p w:rsidR="00E56296" w:rsidRPr="008C53F7" w:rsidRDefault="00E56296" w:rsidP="00D87FED">
            <w:pPr>
              <w:rPr>
                <w:rFonts w:ascii="Arial Narrow" w:hAnsi="Arial Narrow"/>
                <w:sz w:val="20"/>
              </w:rPr>
            </w:pPr>
          </w:p>
        </w:tc>
        <w:tc>
          <w:tcPr>
            <w:tcW w:w="5811" w:type="dxa"/>
            <w:tcBorders>
              <w:top w:val="single" w:sz="4" w:space="0" w:color="auto"/>
              <w:left w:val="single" w:sz="4" w:space="0" w:color="auto"/>
              <w:bottom w:val="single" w:sz="4" w:space="0" w:color="auto"/>
              <w:right w:val="single" w:sz="4" w:space="0" w:color="auto"/>
            </w:tcBorders>
          </w:tcPr>
          <w:p w:rsidR="00E56296" w:rsidRDefault="00E56296" w:rsidP="00D87FED">
            <w:pPr>
              <w:rPr>
                <w:rFonts w:ascii="Arial Narrow" w:hAnsi="Arial Narrow"/>
                <w:sz w:val="20"/>
              </w:rPr>
            </w:pPr>
            <w:r w:rsidRPr="008C53F7">
              <w:rPr>
                <w:rFonts w:ascii="Arial Narrow" w:hAnsi="Arial Narrow"/>
                <w:sz w:val="20"/>
              </w:rPr>
              <w:t xml:space="preserve">Patient must </w:t>
            </w:r>
            <w:r w:rsidRPr="00C529E5">
              <w:rPr>
                <w:rFonts w:ascii="Arial Narrow" w:hAnsi="Arial Narrow"/>
                <w:sz w:val="20"/>
              </w:rPr>
              <w:t>have experienced at least 8 days of migraine per month, over</w:t>
            </w:r>
            <w:r w:rsidRPr="008C53F7">
              <w:rPr>
                <w:rFonts w:ascii="Arial Narrow" w:hAnsi="Arial Narrow"/>
                <w:sz w:val="20"/>
              </w:rPr>
              <w:t xml:space="preserve"> a period of at least 6 months, prior to commence</w:t>
            </w:r>
            <w:r>
              <w:rPr>
                <w:rFonts w:ascii="Arial Narrow" w:hAnsi="Arial Narrow"/>
                <w:sz w:val="20"/>
              </w:rPr>
              <w:t xml:space="preserve">ment of treatment with </w:t>
            </w:r>
            <w:r w:rsidRPr="001B4F95">
              <w:rPr>
                <w:rFonts w:ascii="Arial Narrow" w:hAnsi="Arial Narrow"/>
                <w:i/>
                <w:sz w:val="20"/>
              </w:rPr>
              <w:t xml:space="preserve">this medicine </w:t>
            </w:r>
            <w:proofErr w:type="spellStart"/>
            <w:r w:rsidRPr="00ED64DD">
              <w:rPr>
                <w:rFonts w:ascii="Arial Narrow" w:hAnsi="Arial Narrow"/>
                <w:strike/>
                <w:sz w:val="20"/>
              </w:rPr>
              <w:t>erenumab</w:t>
            </w:r>
            <w:proofErr w:type="spellEnd"/>
            <w:r w:rsidRPr="00ED64DD">
              <w:rPr>
                <w:rFonts w:ascii="Arial Narrow" w:hAnsi="Arial Narrow"/>
                <w:strike/>
                <w:sz w:val="20"/>
              </w:rPr>
              <w:t>;</w:t>
            </w:r>
          </w:p>
          <w:p w:rsidR="00E56296" w:rsidRPr="008C53F7" w:rsidRDefault="00E56296" w:rsidP="00D87FED">
            <w:pPr>
              <w:rPr>
                <w:rFonts w:ascii="Arial Narrow" w:hAnsi="Arial Narrow"/>
                <w:sz w:val="20"/>
              </w:rPr>
            </w:pPr>
          </w:p>
          <w:p w:rsidR="00E56296" w:rsidRPr="008C53F7" w:rsidRDefault="00E56296" w:rsidP="00D87FED">
            <w:pPr>
              <w:rPr>
                <w:rFonts w:ascii="Arial Narrow" w:hAnsi="Arial Narrow"/>
                <w:sz w:val="20"/>
              </w:rPr>
            </w:pPr>
            <w:r w:rsidRPr="008C53F7">
              <w:rPr>
                <w:rFonts w:ascii="Arial Narrow" w:hAnsi="Arial Narrow"/>
                <w:sz w:val="20"/>
              </w:rPr>
              <w:t>AND</w:t>
            </w:r>
          </w:p>
          <w:p w:rsidR="00E56296" w:rsidRDefault="00E56296" w:rsidP="00D87FED">
            <w:pPr>
              <w:rPr>
                <w:rFonts w:ascii="Arial Narrow" w:hAnsi="Arial Narrow"/>
                <w:sz w:val="20"/>
              </w:rPr>
            </w:pPr>
            <w:r w:rsidRPr="008C53F7">
              <w:rPr>
                <w:rFonts w:ascii="Arial Narrow" w:hAnsi="Arial Narrow"/>
                <w:sz w:val="20"/>
              </w:rPr>
              <w:t>Patient must have experienced an inadequate response, intolerance or a contraindication to at least three prophylactic migraine medications prior to commencement of treatme</w:t>
            </w:r>
            <w:r>
              <w:rPr>
                <w:rFonts w:ascii="Arial Narrow" w:hAnsi="Arial Narrow"/>
                <w:sz w:val="20"/>
              </w:rPr>
              <w:t xml:space="preserve">nt with </w:t>
            </w:r>
            <w:r w:rsidRPr="001B4F95">
              <w:rPr>
                <w:rFonts w:ascii="Arial Narrow" w:hAnsi="Arial Narrow"/>
                <w:i/>
                <w:sz w:val="20"/>
              </w:rPr>
              <w:t>this medicine</w:t>
            </w:r>
            <w:r>
              <w:rPr>
                <w:rFonts w:ascii="Arial Narrow" w:hAnsi="Arial Narrow"/>
                <w:sz w:val="20"/>
              </w:rPr>
              <w:t xml:space="preserve"> </w:t>
            </w:r>
            <w:proofErr w:type="spellStart"/>
            <w:r w:rsidRPr="00ED64DD">
              <w:rPr>
                <w:rFonts w:ascii="Arial Narrow" w:hAnsi="Arial Narrow"/>
                <w:strike/>
                <w:sz w:val="20"/>
              </w:rPr>
              <w:t>erenumab</w:t>
            </w:r>
            <w:proofErr w:type="spellEnd"/>
            <w:r>
              <w:rPr>
                <w:rFonts w:ascii="Arial Narrow" w:hAnsi="Arial Narrow"/>
                <w:sz w:val="20"/>
              </w:rPr>
              <w:t>;</w:t>
            </w:r>
          </w:p>
          <w:p w:rsidR="00E56296" w:rsidRPr="008C53F7" w:rsidRDefault="00E56296" w:rsidP="00D87FED">
            <w:pPr>
              <w:rPr>
                <w:rFonts w:ascii="Arial Narrow" w:hAnsi="Arial Narrow"/>
                <w:sz w:val="20"/>
              </w:rPr>
            </w:pPr>
          </w:p>
          <w:p w:rsidR="00E56296" w:rsidRPr="008C53F7" w:rsidRDefault="00E56296" w:rsidP="00D87FED">
            <w:pPr>
              <w:rPr>
                <w:rFonts w:ascii="Arial Narrow" w:hAnsi="Arial Narrow"/>
                <w:sz w:val="20"/>
              </w:rPr>
            </w:pPr>
            <w:r w:rsidRPr="008C53F7">
              <w:rPr>
                <w:rFonts w:ascii="Arial Narrow" w:hAnsi="Arial Narrow"/>
                <w:sz w:val="20"/>
              </w:rPr>
              <w:t>AND</w:t>
            </w:r>
          </w:p>
          <w:p w:rsidR="00E56296" w:rsidRPr="008C53F7" w:rsidRDefault="00E56296" w:rsidP="00D87FED">
            <w:pPr>
              <w:rPr>
                <w:rFonts w:ascii="Arial Narrow" w:hAnsi="Arial Narrow"/>
                <w:sz w:val="20"/>
              </w:rPr>
            </w:pPr>
            <w:r w:rsidRPr="008C53F7">
              <w:rPr>
                <w:rFonts w:ascii="Arial Narrow" w:hAnsi="Arial Narrow"/>
                <w:sz w:val="20"/>
              </w:rPr>
              <w:t xml:space="preserve">Patient must be appropriately managed </w:t>
            </w:r>
            <w:r w:rsidRPr="000825B2">
              <w:rPr>
                <w:rFonts w:ascii="Arial Narrow" w:hAnsi="Arial Narrow"/>
                <w:strike/>
                <w:sz w:val="20"/>
              </w:rPr>
              <w:t>by</w:t>
            </w:r>
            <w:r w:rsidRPr="000825B2">
              <w:rPr>
                <w:rFonts w:ascii="Arial Narrow" w:hAnsi="Arial Narrow"/>
                <w:i/>
                <w:strike/>
                <w:sz w:val="20"/>
              </w:rPr>
              <w:t xml:space="preserve"> </w:t>
            </w:r>
            <w:r>
              <w:rPr>
                <w:rFonts w:ascii="Arial Narrow" w:hAnsi="Arial Narrow"/>
                <w:strike/>
                <w:sz w:val="20"/>
              </w:rPr>
              <w:t xml:space="preserve">his </w:t>
            </w:r>
            <w:r w:rsidRPr="000825B2">
              <w:rPr>
                <w:rFonts w:ascii="Arial Narrow" w:hAnsi="Arial Narrow"/>
                <w:strike/>
                <w:sz w:val="20"/>
              </w:rPr>
              <w:t>or her</w:t>
            </w:r>
            <w:r>
              <w:rPr>
                <w:rFonts w:ascii="Arial Narrow" w:hAnsi="Arial Narrow"/>
                <w:strike/>
                <w:sz w:val="20"/>
              </w:rPr>
              <w:t xml:space="preserve"> </w:t>
            </w:r>
            <w:r w:rsidRPr="000825B2">
              <w:rPr>
                <w:rFonts w:ascii="Arial Narrow" w:hAnsi="Arial Narrow"/>
                <w:strike/>
                <w:sz w:val="20"/>
              </w:rPr>
              <w:t>practitioner</w:t>
            </w:r>
            <w:r w:rsidRPr="008C53F7">
              <w:rPr>
                <w:rFonts w:ascii="Arial Narrow" w:hAnsi="Arial Narrow"/>
                <w:sz w:val="20"/>
              </w:rPr>
              <w:t xml:space="preserve"> for medication overuse </w:t>
            </w:r>
            <w:r w:rsidRPr="001B4F95">
              <w:rPr>
                <w:rFonts w:ascii="Arial Narrow" w:hAnsi="Arial Narrow"/>
                <w:sz w:val="20"/>
              </w:rPr>
              <w:t>headache</w:t>
            </w:r>
            <w:r w:rsidRPr="008C53F7">
              <w:rPr>
                <w:rFonts w:ascii="Arial Narrow" w:hAnsi="Arial Narrow"/>
                <w:sz w:val="20"/>
              </w:rPr>
              <w:t>, prior to initiation of treatment with</w:t>
            </w:r>
            <w:r>
              <w:rPr>
                <w:rFonts w:ascii="Arial Narrow" w:hAnsi="Arial Narrow"/>
                <w:sz w:val="20"/>
              </w:rPr>
              <w:t xml:space="preserve"> </w:t>
            </w:r>
            <w:r w:rsidRPr="001B4F95">
              <w:rPr>
                <w:rFonts w:ascii="Arial Narrow" w:hAnsi="Arial Narrow"/>
                <w:i/>
                <w:sz w:val="20"/>
              </w:rPr>
              <w:t>this medicine</w:t>
            </w:r>
            <w:r w:rsidRPr="00ED64DD">
              <w:rPr>
                <w:rFonts w:ascii="Arial Narrow" w:hAnsi="Arial Narrow"/>
                <w:i/>
                <w:strike/>
                <w:sz w:val="20"/>
              </w:rPr>
              <w:t xml:space="preserve"> </w:t>
            </w:r>
            <w:proofErr w:type="spellStart"/>
            <w:r w:rsidRPr="00ED64DD">
              <w:rPr>
                <w:rFonts w:ascii="Arial Narrow" w:hAnsi="Arial Narrow"/>
                <w:strike/>
                <w:sz w:val="20"/>
              </w:rPr>
              <w:t>erenumab</w:t>
            </w:r>
            <w:proofErr w:type="spellEnd"/>
            <w:r w:rsidRPr="008C53F7">
              <w:rPr>
                <w:rFonts w:ascii="Arial Narrow" w:hAnsi="Arial Narrow"/>
                <w:sz w:val="20"/>
              </w:rPr>
              <w:t>.</w:t>
            </w:r>
            <w:r w:rsidRPr="008C53F7">
              <w:rPr>
                <w:rFonts w:ascii="Arial Narrow" w:hAnsi="Arial Narrow"/>
                <w:i/>
                <w:sz w:val="20"/>
              </w:rPr>
              <w:t xml:space="preserve"> </w:t>
            </w:r>
          </w:p>
        </w:tc>
      </w:tr>
      <w:tr w:rsidR="00E56296"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Popul</w:t>
            </w:r>
            <w:r>
              <w:rPr>
                <w:rFonts w:ascii="Arial Narrow" w:hAnsi="Arial Narrow"/>
                <w:b/>
                <w:sz w:val="20"/>
              </w:rPr>
              <w:t>ation criteria:</w:t>
            </w:r>
          </w:p>
          <w:p w:rsidR="00E56296" w:rsidRPr="008C53F7" w:rsidRDefault="00E56296" w:rsidP="00D87FED">
            <w:pPr>
              <w:rPr>
                <w:rFonts w:ascii="Arial Narrow" w:hAnsi="Arial Narrow"/>
                <w:sz w:val="20"/>
              </w:rPr>
            </w:pPr>
          </w:p>
        </w:tc>
        <w:tc>
          <w:tcPr>
            <w:tcW w:w="581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59263E">
              <w:rPr>
                <w:rFonts w:ascii="Arial Narrow" w:hAnsi="Arial Narrow"/>
                <w:strike/>
                <w:sz w:val="20"/>
              </w:rPr>
              <w:t>Patient must be aged 18 years or older</w:t>
            </w:r>
            <w:r>
              <w:rPr>
                <w:rFonts w:ascii="Arial Narrow" w:hAnsi="Arial Narrow"/>
                <w:sz w:val="20"/>
              </w:rPr>
              <w:t xml:space="preserve">. </w:t>
            </w:r>
          </w:p>
        </w:tc>
      </w:tr>
      <w:tr w:rsidR="00E56296"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Pr>
                <w:rFonts w:ascii="Arial Narrow" w:hAnsi="Arial Narrow"/>
                <w:b/>
                <w:sz w:val="20"/>
              </w:rPr>
              <w:t>Prescriber instructions:</w:t>
            </w:r>
          </w:p>
        </w:tc>
        <w:tc>
          <w:tcPr>
            <w:tcW w:w="5811" w:type="dxa"/>
            <w:tcBorders>
              <w:top w:val="single" w:sz="4" w:space="0" w:color="auto"/>
              <w:left w:val="single" w:sz="4" w:space="0" w:color="auto"/>
              <w:bottom w:val="single" w:sz="4" w:space="0" w:color="auto"/>
              <w:right w:val="single" w:sz="4" w:space="0" w:color="auto"/>
            </w:tcBorders>
          </w:tcPr>
          <w:p w:rsidR="00E56296" w:rsidRDefault="00E56296" w:rsidP="00D87FED">
            <w:pPr>
              <w:rPr>
                <w:rFonts w:ascii="Arial Narrow" w:hAnsi="Arial Narrow"/>
                <w:sz w:val="20"/>
              </w:rPr>
            </w:pPr>
            <w:r w:rsidRPr="00C529E5">
              <w:rPr>
                <w:rFonts w:ascii="Arial Narrow" w:hAnsi="Arial Narrow"/>
                <w:sz w:val="20"/>
              </w:rPr>
              <w:t xml:space="preserve">Prophylactic migraine medications are </w:t>
            </w:r>
            <w:proofErr w:type="spellStart"/>
            <w:r w:rsidRPr="00C529E5">
              <w:rPr>
                <w:rFonts w:ascii="Arial Narrow" w:hAnsi="Arial Narrow"/>
                <w:sz w:val="20"/>
              </w:rPr>
              <w:t>propanolol</w:t>
            </w:r>
            <w:proofErr w:type="spellEnd"/>
            <w:r w:rsidRPr="00C529E5">
              <w:rPr>
                <w:rFonts w:ascii="Arial Narrow" w:hAnsi="Arial Narrow"/>
                <w:sz w:val="20"/>
              </w:rPr>
              <w:t>, amitriptylin</w:t>
            </w:r>
            <w:r w:rsidRPr="00120443">
              <w:rPr>
                <w:rFonts w:ascii="Arial Narrow" w:hAnsi="Arial Narrow"/>
                <w:i/>
                <w:sz w:val="20"/>
              </w:rPr>
              <w:t>e</w:t>
            </w:r>
            <w:r w:rsidRPr="00C529E5">
              <w:rPr>
                <w:rFonts w:ascii="Arial Narrow" w:hAnsi="Arial Narrow"/>
                <w:sz w:val="20"/>
              </w:rPr>
              <w:t xml:space="preserve">, </w:t>
            </w:r>
            <w:proofErr w:type="spellStart"/>
            <w:r w:rsidRPr="00C529E5">
              <w:rPr>
                <w:rFonts w:ascii="Arial Narrow" w:hAnsi="Arial Narrow"/>
                <w:sz w:val="20"/>
              </w:rPr>
              <w:t>meth</w:t>
            </w:r>
            <w:r w:rsidRPr="00120443">
              <w:rPr>
                <w:rFonts w:ascii="Arial Narrow" w:hAnsi="Arial Narrow"/>
                <w:i/>
                <w:sz w:val="20"/>
              </w:rPr>
              <w:t>y</w:t>
            </w:r>
            <w:r w:rsidRPr="00C529E5">
              <w:rPr>
                <w:rFonts w:ascii="Arial Narrow" w:hAnsi="Arial Narrow"/>
                <w:sz w:val="20"/>
              </w:rPr>
              <w:t>sergide</w:t>
            </w:r>
            <w:proofErr w:type="spellEnd"/>
            <w:r w:rsidRPr="00C529E5">
              <w:rPr>
                <w:rFonts w:ascii="Arial Narrow" w:hAnsi="Arial Narrow"/>
                <w:sz w:val="20"/>
              </w:rPr>
              <w:t xml:space="preserve">, </w:t>
            </w:r>
            <w:proofErr w:type="spellStart"/>
            <w:r w:rsidRPr="00C529E5">
              <w:rPr>
                <w:rFonts w:ascii="Arial Narrow" w:hAnsi="Arial Narrow"/>
                <w:sz w:val="20"/>
              </w:rPr>
              <w:t>pizotifen</w:t>
            </w:r>
            <w:proofErr w:type="spellEnd"/>
            <w:r w:rsidRPr="00C529E5">
              <w:rPr>
                <w:rFonts w:ascii="Arial Narrow" w:hAnsi="Arial Narrow"/>
                <w:sz w:val="20"/>
              </w:rPr>
              <w:t xml:space="preserve">, </w:t>
            </w:r>
            <w:proofErr w:type="spellStart"/>
            <w:r w:rsidRPr="00C529E5">
              <w:rPr>
                <w:rFonts w:ascii="Arial Narrow" w:hAnsi="Arial Narrow"/>
                <w:sz w:val="20"/>
              </w:rPr>
              <w:t>cyproheptadine</w:t>
            </w:r>
            <w:proofErr w:type="spellEnd"/>
            <w:r w:rsidRPr="00C529E5">
              <w:rPr>
                <w:rFonts w:ascii="Arial Narrow" w:hAnsi="Arial Narrow"/>
                <w:sz w:val="20"/>
              </w:rPr>
              <w:t xml:space="preserve"> or </w:t>
            </w:r>
            <w:proofErr w:type="spellStart"/>
            <w:r w:rsidRPr="00C529E5">
              <w:rPr>
                <w:rFonts w:ascii="Arial Narrow" w:hAnsi="Arial Narrow"/>
                <w:sz w:val="20"/>
              </w:rPr>
              <w:t>topiramate</w:t>
            </w:r>
            <w:proofErr w:type="spellEnd"/>
            <w:r w:rsidRPr="00C529E5">
              <w:rPr>
                <w:rFonts w:ascii="Arial Narrow" w:hAnsi="Arial Narrow"/>
                <w:sz w:val="20"/>
              </w:rPr>
              <w:t>.</w:t>
            </w:r>
          </w:p>
          <w:p w:rsidR="00E56296" w:rsidRDefault="00E56296" w:rsidP="00D87FED">
            <w:pPr>
              <w:rPr>
                <w:rFonts w:ascii="Arial Narrow" w:hAnsi="Arial Narrow"/>
                <w:sz w:val="20"/>
              </w:rPr>
            </w:pPr>
          </w:p>
          <w:p w:rsidR="00E56296" w:rsidRPr="000825B2" w:rsidRDefault="00E56296" w:rsidP="00D87FED">
            <w:pPr>
              <w:rPr>
                <w:rFonts w:ascii="Arial Narrow" w:hAnsi="Arial Narrow"/>
                <w:i/>
                <w:sz w:val="20"/>
              </w:rPr>
            </w:pPr>
            <w:r>
              <w:rPr>
                <w:rFonts w:ascii="Arial Narrow" w:hAnsi="Arial Narrow"/>
                <w:i/>
                <w:sz w:val="20"/>
              </w:rPr>
              <w:t>Baseline measurement of the number of migraine days per month must be documented in the patient’s medical records</w:t>
            </w:r>
          </w:p>
        </w:tc>
      </w:tr>
      <w:tr w:rsidR="00E56296" w:rsidTr="00E56296">
        <w:trPr>
          <w:cantSplit/>
          <w:trHeight w:val="360"/>
        </w:trPr>
        <w:tc>
          <w:tcPr>
            <w:tcW w:w="3261" w:type="dxa"/>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B86E59">
              <w:rPr>
                <w:rFonts w:ascii="Arial Narrow" w:hAnsi="Arial Narrow"/>
                <w:b/>
                <w:sz w:val="20"/>
              </w:rPr>
              <w:t>Administrative Advice</w:t>
            </w:r>
          </w:p>
        </w:tc>
        <w:tc>
          <w:tcPr>
            <w:tcW w:w="5811" w:type="dxa"/>
            <w:tcBorders>
              <w:top w:val="single" w:sz="4" w:space="0" w:color="auto"/>
              <w:left w:val="single" w:sz="4" w:space="0" w:color="auto"/>
              <w:bottom w:val="single" w:sz="4" w:space="0" w:color="auto"/>
              <w:right w:val="single" w:sz="4" w:space="0" w:color="auto"/>
            </w:tcBorders>
          </w:tcPr>
          <w:p w:rsidR="00E56296" w:rsidRPr="00C529E5" w:rsidRDefault="00E56296" w:rsidP="00D87FED">
            <w:pPr>
              <w:rPr>
                <w:rFonts w:ascii="Arial Narrow" w:hAnsi="Arial Narrow"/>
                <w:sz w:val="20"/>
              </w:rPr>
            </w:pPr>
            <w:r w:rsidRPr="00C529E5">
              <w:rPr>
                <w:rFonts w:ascii="Arial Narrow" w:hAnsi="Arial Narrow"/>
                <w:sz w:val="20"/>
              </w:rPr>
              <w:t>This drug is not PBS-subsidised for use in combination with botulinum toxin type A</w:t>
            </w:r>
          </w:p>
        </w:tc>
      </w:tr>
    </w:tbl>
    <w:p w:rsidR="00E56296" w:rsidRPr="00B86E59" w:rsidRDefault="00E56296" w:rsidP="00D87FED">
      <w:pPr>
        <w:rPr>
          <w:rFonts w:ascii="Arial Narrow" w:hAnsi="Arial Narrow"/>
          <w:b/>
          <w:sz w:val="20"/>
        </w:rPr>
      </w:pPr>
    </w:p>
    <w:tbl>
      <w:tblPr>
        <w:tblW w:w="9101" w:type="dxa"/>
        <w:tblInd w:w="108" w:type="dxa"/>
        <w:tblLayout w:type="fixed"/>
        <w:tblLook w:val="0000" w:firstRow="0" w:lastRow="0" w:firstColumn="0" w:lastColumn="0" w:noHBand="0" w:noVBand="0"/>
      </w:tblPr>
      <w:tblGrid>
        <w:gridCol w:w="992"/>
        <w:gridCol w:w="2269"/>
        <w:gridCol w:w="28"/>
        <w:gridCol w:w="1560"/>
        <w:gridCol w:w="1559"/>
        <w:gridCol w:w="992"/>
        <w:gridCol w:w="1672"/>
        <w:gridCol w:w="29"/>
      </w:tblGrid>
      <w:tr w:rsidR="00E56296" w:rsidRPr="008F1E1C" w:rsidTr="00E56296">
        <w:trPr>
          <w:cantSplit/>
          <w:trHeight w:val="471"/>
        </w:trPr>
        <w:tc>
          <w:tcPr>
            <w:tcW w:w="3289" w:type="dxa"/>
            <w:gridSpan w:val="3"/>
            <w:tcBorders>
              <w:top w:val="single" w:sz="4" w:space="0" w:color="auto"/>
              <w:left w:val="single" w:sz="4" w:space="0" w:color="auto"/>
              <w:bottom w:val="single" w:sz="4" w:space="0" w:color="auto"/>
              <w:right w:val="single" w:sz="4" w:space="0" w:color="auto"/>
            </w:tcBorders>
          </w:tcPr>
          <w:p w:rsidR="00E56296" w:rsidRPr="00437B4B" w:rsidRDefault="00E56296" w:rsidP="00D87FED">
            <w:pPr>
              <w:pStyle w:val="PbacTableHeading"/>
              <w:spacing w:after="0"/>
              <w:rPr>
                <w:color w:val="000000"/>
              </w:rPr>
            </w:pPr>
            <w:r w:rsidRPr="00437B4B">
              <w:rPr>
                <w:color w:val="000000"/>
              </w:rPr>
              <w:t>Name, Restriction,</w:t>
            </w:r>
          </w:p>
          <w:p w:rsidR="00E56296" w:rsidRPr="00437B4B" w:rsidRDefault="00E56296" w:rsidP="00D87FED">
            <w:pPr>
              <w:pStyle w:val="PbacTableHeading"/>
              <w:spacing w:after="0"/>
              <w:rPr>
                <w:color w:val="000000"/>
              </w:rPr>
            </w:pPr>
            <w:r w:rsidRPr="00437B4B">
              <w:rPr>
                <w:color w:val="000000"/>
              </w:rPr>
              <w:t>Manner of administration and form</w:t>
            </w:r>
          </w:p>
        </w:tc>
        <w:tc>
          <w:tcPr>
            <w:tcW w:w="1560" w:type="dxa"/>
            <w:tcBorders>
              <w:top w:val="single" w:sz="4" w:space="0" w:color="auto"/>
              <w:left w:val="single" w:sz="4" w:space="0" w:color="auto"/>
              <w:bottom w:val="single" w:sz="4" w:space="0" w:color="auto"/>
              <w:right w:val="single" w:sz="4" w:space="0" w:color="auto"/>
            </w:tcBorders>
          </w:tcPr>
          <w:p w:rsidR="00E56296" w:rsidRPr="00437B4B" w:rsidRDefault="00E56296" w:rsidP="00D87FED">
            <w:pPr>
              <w:pStyle w:val="PbacTableHeading"/>
              <w:spacing w:after="0"/>
              <w:rPr>
                <w:color w:val="000000"/>
              </w:rPr>
            </w:pPr>
            <w:r w:rsidRPr="00437B4B">
              <w:rPr>
                <w:color w:val="000000"/>
              </w:rPr>
              <w:t>Max.</w:t>
            </w:r>
          </w:p>
          <w:p w:rsidR="00E56296" w:rsidRPr="00437B4B" w:rsidRDefault="00E56296" w:rsidP="00D87FED">
            <w:pPr>
              <w:pStyle w:val="PbacTableHeading"/>
              <w:spacing w:after="0"/>
              <w:rPr>
                <w:color w:val="000000"/>
              </w:rPr>
            </w:pPr>
            <w:proofErr w:type="spellStart"/>
            <w:r w:rsidRPr="00437B4B">
              <w:rPr>
                <w:color w:val="000000"/>
              </w:rPr>
              <w:t>Qty</w:t>
            </w:r>
            <w:proofErr w:type="spellEnd"/>
            <w:r w:rsidRPr="00437B4B">
              <w:rPr>
                <w:color w:val="000000"/>
              </w:rPr>
              <w:t xml:space="preserve"> packs</w:t>
            </w:r>
          </w:p>
        </w:tc>
        <w:tc>
          <w:tcPr>
            <w:tcW w:w="1559" w:type="dxa"/>
            <w:tcBorders>
              <w:top w:val="single" w:sz="4" w:space="0" w:color="auto"/>
              <w:left w:val="single" w:sz="4" w:space="0" w:color="auto"/>
              <w:bottom w:val="single" w:sz="4" w:space="0" w:color="auto"/>
              <w:right w:val="single" w:sz="4" w:space="0" w:color="auto"/>
            </w:tcBorders>
          </w:tcPr>
          <w:p w:rsidR="00E56296" w:rsidRPr="00437B4B" w:rsidRDefault="00E56296" w:rsidP="00D87FED">
            <w:pPr>
              <w:pStyle w:val="PbacTableHeading"/>
              <w:spacing w:after="0"/>
              <w:rPr>
                <w:color w:val="000000"/>
              </w:rPr>
            </w:pPr>
            <w:r w:rsidRPr="00437B4B">
              <w:rPr>
                <w:color w:val="000000"/>
              </w:rPr>
              <w:t>№.of</w:t>
            </w:r>
          </w:p>
          <w:p w:rsidR="00E56296" w:rsidRPr="00437B4B" w:rsidRDefault="00E56296" w:rsidP="00D87FED">
            <w:pPr>
              <w:pStyle w:val="PbacTableHeading"/>
              <w:spacing w:after="0"/>
              <w:rPr>
                <w:color w:val="000000"/>
              </w:rPr>
            </w:pPr>
            <w:proofErr w:type="spellStart"/>
            <w:r w:rsidRPr="00437B4B">
              <w:rPr>
                <w:color w:val="000000"/>
              </w:rPr>
              <w:t>Rpts</w:t>
            </w:r>
            <w:proofErr w:type="spellEnd"/>
          </w:p>
        </w:tc>
        <w:tc>
          <w:tcPr>
            <w:tcW w:w="2693" w:type="dxa"/>
            <w:gridSpan w:val="3"/>
            <w:tcBorders>
              <w:top w:val="single" w:sz="4" w:space="0" w:color="auto"/>
              <w:left w:val="single" w:sz="4" w:space="0" w:color="auto"/>
              <w:bottom w:val="single" w:sz="4" w:space="0" w:color="auto"/>
              <w:right w:val="single" w:sz="4" w:space="0" w:color="auto"/>
            </w:tcBorders>
          </w:tcPr>
          <w:p w:rsidR="00E56296" w:rsidRPr="00437B4B" w:rsidRDefault="00E56296" w:rsidP="00D87FED">
            <w:pPr>
              <w:pStyle w:val="PbacTableHeading"/>
              <w:spacing w:after="0"/>
              <w:rPr>
                <w:color w:val="000000"/>
                <w:lang w:val="fr-FR"/>
              </w:rPr>
            </w:pPr>
            <w:r w:rsidRPr="00437B4B">
              <w:rPr>
                <w:color w:val="000000"/>
              </w:rPr>
              <w:t>Proprietary Name and Manufacturer</w:t>
            </w:r>
          </w:p>
        </w:tc>
      </w:tr>
      <w:tr w:rsidR="00E56296" w:rsidRPr="008F1E1C" w:rsidTr="00E56296">
        <w:trPr>
          <w:cantSplit/>
          <w:trHeight w:val="577"/>
        </w:trPr>
        <w:tc>
          <w:tcPr>
            <w:tcW w:w="3289" w:type="dxa"/>
            <w:gridSpan w:val="3"/>
            <w:tcBorders>
              <w:top w:val="single" w:sz="4" w:space="0" w:color="auto"/>
              <w:left w:val="single" w:sz="4" w:space="0" w:color="auto"/>
              <w:bottom w:val="single" w:sz="4" w:space="0" w:color="auto"/>
              <w:right w:val="single" w:sz="4" w:space="0" w:color="auto"/>
            </w:tcBorders>
            <w:vAlign w:val="center"/>
          </w:tcPr>
          <w:p w:rsidR="00E56296" w:rsidRPr="00437B4B" w:rsidRDefault="00E56296" w:rsidP="00D87FED">
            <w:pPr>
              <w:pStyle w:val="PbacTableHeading"/>
              <w:rPr>
                <w:b w:val="0"/>
                <w:color w:val="000000"/>
              </w:rPr>
            </w:pPr>
            <w:proofErr w:type="spellStart"/>
            <w:r w:rsidRPr="00437B4B">
              <w:rPr>
                <w:b w:val="0"/>
                <w:color w:val="000000"/>
              </w:rPr>
              <w:t>erenumab</w:t>
            </w:r>
            <w:proofErr w:type="spellEnd"/>
            <w:r w:rsidRPr="00437B4B">
              <w:rPr>
                <w:b w:val="0"/>
                <w:color w:val="000000"/>
              </w:rPr>
              <w:t>, 70</w:t>
            </w:r>
            <w:r>
              <w:rPr>
                <w:b w:val="0"/>
                <w:color w:val="000000"/>
              </w:rPr>
              <w:t xml:space="preserve"> </w:t>
            </w:r>
            <w:r w:rsidRPr="00437B4B">
              <w:rPr>
                <w:b w:val="0"/>
                <w:color w:val="000000"/>
              </w:rPr>
              <w:t>mg/mL, 2×1mL, injection devices</w:t>
            </w:r>
          </w:p>
        </w:tc>
        <w:tc>
          <w:tcPr>
            <w:tcW w:w="1560" w:type="dxa"/>
            <w:tcBorders>
              <w:top w:val="single" w:sz="4" w:space="0" w:color="auto"/>
              <w:left w:val="single" w:sz="4" w:space="0" w:color="auto"/>
              <w:bottom w:val="single" w:sz="4" w:space="0" w:color="auto"/>
              <w:right w:val="single" w:sz="4" w:space="0" w:color="auto"/>
            </w:tcBorders>
            <w:vAlign w:val="center"/>
          </w:tcPr>
          <w:p w:rsidR="00E56296" w:rsidRPr="00437B4B" w:rsidRDefault="00E56296" w:rsidP="00D87FED">
            <w:pPr>
              <w:pStyle w:val="PbacTableHeading"/>
              <w:rPr>
                <w:b w:val="0"/>
                <w:color w:val="000000"/>
              </w:rPr>
            </w:pPr>
            <w:r w:rsidRPr="00437B4B">
              <w:rPr>
                <w:b w:val="0"/>
                <w:color w:val="000000"/>
              </w:rPr>
              <w:t>1</w:t>
            </w:r>
          </w:p>
        </w:tc>
        <w:tc>
          <w:tcPr>
            <w:tcW w:w="1559" w:type="dxa"/>
            <w:tcBorders>
              <w:top w:val="single" w:sz="4" w:space="0" w:color="auto"/>
              <w:left w:val="single" w:sz="4" w:space="0" w:color="auto"/>
              <w:bottom w:val="single" w:sz="4" w:space="0" w:color="auto"/>
              <w:right w:val="single" w:sz="4" w:space="0" w:color="auto"/>
            </w:tcBorders>
            <w:vAlign w:val="center"/>
          </w:tcPr>
          <w:p w:rsidR="00E56296" w:rsidRPr="00437B4B" w:rsidRDefault="00E56296" w:rsidP="00D87FED">
            <w:pPr>
              <w:pStyle w:val="PbacTableHeading"/>
              <w:rPr>
                <w:b w:val="0"/>
                <w:color w:val="000000"/>
              </w:rPr>
            </w:pPr>
            <w:r w:rsidRPr="00437B4B">
              <w:rPr>
                <w:b w:val="0"/>
                <w:color w:val="000000"/>
              </w:rPr>
              <w:t>5</w:t>
            </w:r>
          </w:p>
        </w:tc>
        <w:tc>
          <w:tcPr>
            <w:tcW w:w="992" w:type="dxa"/>
            <w:tcBorders>
              <w:top w:val="single" w:sz="4" w:space="0" w:color="auto"/>
              <w:left w:val="single" w:sz="4" w:space="0" w:color="auto"/>
              <w:bottom w:val="single" w:sz="4" w:space="0" w:color="auto"/>
              <w:right w:val="single" w:sz="4" w:space="0" w:color="auto"/>
            </w:tcBorders>
            <w:vAlign w:val="center"/>
          </w:tcPr>
          <w:p w:rsidR="00E56296" w:rsidRPr="00437B4B" w:rsidRDefault="00E56296" w:rsidP="00D87FED">
            <w:pPr>
              <w:pStyle w:val="PbacTableHeading"/>
              <w:rPr>
                <w:b w:val="0"/>
                <w:color w:val="000000"/>
              </w:rPr>
            </w:pPr>
            <w:proofErr w:type="spellStart"/>
            <w:r w:rsidRPr="00437B4B">
              <w:rPr>
                <w:b w:val="0"/>
                <w:color w:val="000000"/>
              </w:rPr>
              <w:t>Aimovig</w:t>
            </w:r>
            <w:proofErr w:type="spellEnd"/>
            <w:r w:rsidRPr="00437B4B">
              <w:rPr>
                <w:b w:val="0"/>
                <w:color w:val="000000"/>
                <w:vertAlign w:val="superscript"/>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56296" w:rsidRPr="00437B4B" w:rsidRDefault="00E56296" w:rsidP="00D87FED">
            <w:pPr>
              <w:pStyle w:val="PbacTableHeading"/>
              <w:rPr>
                <w:b w:val="0"/>
                <w:color w:val="000000"/>
              </w:rPr>
            </w:pPr>
            <w:r w:rsidRPr="00437B4B">
              <w:rPr>
                <w:b w:val="0"/>
                <w:color w:val="000000"/>
              </w:rPr>
              <w:t>Novartis Pharmaceuticals</w:t>
            </w:r>
          </w:p>
        </w:tc>
      </w:tr>
      <w:tr w:rsidR="00E56296" w:rsidRPr="008C53F7" w:rsidTr="00E56296">
        <w:trPr>
          <w:gridAfter w:val="7"/>
          <w:wAfter w:w="8109" w:type="dxa"/>
          <w:cantSplit/>
          <w:trHeight w:val="360"/>
        </w:trPr>
        <w:tc>
          <w:tcPr>
            <w:tcW w:w="992" w:type="dxa"/>
            <w:tcBorders>
              <w:bottom w:val="single" w:sz="4" w:space="0" w:color="auto"/>
            </w:tcBorders>
          </w:tcPr>
          <w:p w:rsidR="00E56296" w:rsidRPr="00437B4B" w:rsidRDefault="00E56296" w:rsidP="00D87FED">
            <w:pPr>
              <w:rPr>
                <w:rFonts w:ascii="Arial Narrow" w:hAnsi="Arial Narrow"/>
                <w:color w:val="000000"/>
                <w:sz w:val="20"/>
              </w:rPr>
            </w:pPr>
          </w:p>
        </w:tc>
      </w:tr>
      <w:tr w:rsidR="00E56296" w:rsidRPr="008F1E1C" w:rsidTr="00E56296">
        <w:trPr>
          <w:gridAfter w:val="1"/>
          <w:wAfter w:w="29" w:type="dxa"/>
          <w:cantSplit/>
          <w:trHeight w:val="360"/>
        </w:trPr>
        <w:tc>
          <w:tcPr>
            <w:tcW w:w="9072" w:type="dxa"/>
            <w:gridSpan w:val="7"/>
            <w:tcBorders>
              <w:top w:val="single" w:sz="4" w:space="0" w:color="auto"/>
              <w:left w:val="single" w:sz="4" w:space="0" w:color="auto"/>
              <w:bottom w:val="single" w:sz="4" w:space="0" w:color="auto"/>
              <w:right w:val="single" w:sz="4" w:space="0" w:color="auto"/>
            </w:tcBorders>
          </w:tcPr>
          <w:p w:rsidR="00E56296" w:rsidRPr="00437B4B" w:rsidRDefault="00E56296" w:rsidP="00D87FED">
            <w:pPr>
              <w:rPr>
                <w:rFonts w:ascii="Arial Narrow" w:hAnsi="Arial Narrow"/>
                <w:color w:val="000000"/>
                <w:sz w:val="20"/>
              </w:rPr>
            </w:pPr>
            <w:proofErr w:type="spellStart"/>
            <w:r w:rsidRPr="00437B4B">
              <w:rPr>
                <w:rFonts w:ascii="Arial Narrow" w:hAnsi="Arial Narrow"/>
                <w:b/>
                <w:color w:val="000000"/>
                <w:sz w:val="20"/>
              </w:rPr>
              <w:t>Erenumab</w:t>
            </w:r>
            <w:proofErr w:type="spellEnd"/>
            <w:r w:rsidRPr="00437B4B">
              <w:rPr>
                <w:rFonts w:ascii="Arial Narrow" w:hAnsi="Arial Narrow"/>
                <w:b/>
                <w:color w:val="000000"/>
                <w:sz w:val="20"/>
              </w:rPr>
              <w:t xml:space="preserve"> (</w:t>
            </w:r>
            <w:proofErr w:type="spellStart"/>
            <w:r w:rsidRPr="00437B4B">
              <w:rPr>
                <w:rFonts w:ascii="Arial Narrow" w:hAnsi="Arial Narrow"/>
                <w:b/>
                <w:color w:val="000000"/>
                <w:sz w:val="20"/>
              </w:rPr>
              <w:t>Aimovig</w:t>
            </w:r>
            <w:proofErr w:type="spellEnd"/>
            <w:r w:rsidRPr="00437B4B">
              <w:rPr>
                <w:rFonts w:ascii="Arial Narrow" w:hAnsi="Arial Narrow"/>
                <w:b/>
                <w:color w:val="000000"/>
                <w:sz w:val="20"/>
                <w:vertAlign w:val="superscript"/>
              </w:rPr>
              <w:t>®</w:t>
            </w:r>
            <w:r w:rsidRPr="00437B4B">
              <w:rPr>
                <w:rFonts w:ascii="Arial Narrow" w:hAnsi="Arial Narrow"/>
                <w:b/>
                <w:color w:val="000000"/>
                <w:sz w:val="20"/>
              </w:rPr>
              <w:t>)</w:t>
            </w:r>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Category / Program</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t>GENERAL – General Schedule (Code GE)</w:t>
            </w:r>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Prescriber type:</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fldChar w:fldCharType="begin">
                <w:ffData>
                  <w:name w:val="Check1"/>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Dental  </w:t>
            </w:r>
            <w:r w:rsidRPr="008C53F7">
              <w:rPr>
                <w:rFonts w:ascii="Arial Narrow" w:hAnsi="Arial Narrow"/>
                <w:sz w:val="20"/>
              </w:rPr>
              <w:fldChar w:fldCharType="begin">
                <w:ffData>
                  <w:name w:val=""/>
                  <w:enabled/>
                  <w:calcOnExit w:val="0"/>
                  <w:checkBox>
                    <w:sizeAuto/>
                    <w:default w:val="1"/>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Medical Practitioners  </w:t>
            </w:r>
            <w:r w:rsidRPr="008C53F7">
              <w:rPr>
                <w:rFonts w:ascii="Arial Narrow" w:hAnsi="Arial Narrow"/>
                <w:sz w:val="20"/>
              </w:rPr>
              <w:fldChar w:fldCharType="begin">
                <w:ffData>
                  <w:name w:val="Check3"/>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Nurse practitioners  </w:t>
            </w:r>
            <w:r w:rsidRPr="008C53F7">
              <w:rPr>
                <w:rFonts w:ascii="Arial Narrow" w:hAnsi="Arial Narrow"/>
                <w:sz w:val="20"/>
              </w:rPr>
              <w:fldChar w:fldCharType="begin">
                <w:ffData>
                  <w:name w:val=""/>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 xml:space="preserve">Optometrists </w:t>
            </w:r>
            <w:r w:rsidRPr="008C53F7">
              <w:rPr>
                <w:rFonts w:ascii="Arial Narrow" w:hAnsi="Arial Narrow"/>
                <w:sz w:val="20"/>
              </w:rPr>
              <w:fldChar w:fldCharType="begin">
                <w:ffData>
                  <w:name w:val="Check5"/>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Midwives</w:t>
            </w:r>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lastRenderedPageBreak/>
              <w:t>Episodicity:</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8E26AF" w:rsidRDefault="00E56296" w:rsidP="00D87FED">
            <w:pPr>
              <w:rPr>
                <w:rFonts w:ascii="Arial Narrow" w:hAnsi="Arial Narrow"/>
                <w:sz w:val="20"/>
              </w:rPr>
            </w:pPr>
            <w:r w:rsidRPr="008E26AF">
              <w:rPr>
                <w:rFonts w:ascii="Arial Narrow" w:hAnsi="Arial Narrow"/>
                <w:sz w:val="20"/>
              </w:rPr>
              <w:t>Chronic</w:t>
            </w:r>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Severity:</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t>-</w:t>
            </w:r>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 xml:space="preserve">Condition </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t>Migraine</w:t>
            </w:r>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PBS Indication:</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ED64DD">
              <w:rPr>
                <w:rFonts w:ascii="Arial Narrow" w:hAnsi="Arial Narrow"/>
                <w:i/>
                <w:sz w:val="20"/>
              </w:rPr>
              <w:t xml:space="preserve">Chronic </w:t>
            </w:r>
            <w:proofErr w:type="spellStart"/>
            <w:r w:rsidRPr="00ED64DD">
              <w:rPr>
                <w:rFonts w:ascii="Arial Narrow" w:hAnsi="Arial Narrow"/>
                <w:i/>
                <w:sz w:val="20"/>
              </w:rPr>
              <w:t>m</w:t>
            </w:r>
            <w:r w:rsidRPr="00ED64DD">
              <w:rPr>
                <w:rFonts w:ascii="Arial Narrow" w:hAnsi="Arial Narrow"/>
                <w:strike/>
                <w:sz w:val="20"/>
              </w:rPr>
              <w:t>M</w:t>
            </w:r>
            <w:r w:rsidRPr="008C53F7">
              <w:rPr>
                <w:rFonts w:ascii="Arial Narrow" w:hAnsi="Arial Narrow"/>
                <w:sz w:val="20"/>
              </w:rPr>
              <w:t>igraine</w:t>
            </w:r>
            <w:proofErr w:type="spellEnd"/>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Pr>
                <w:rFonts w:ascii="Arial Narrow" w:hAnsi="Arial Narrow"/>
                <w:b/>
                <w:sz w:val="20"/>
              </w:rPr>
              <w:t>Treatment phase:</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C529E5" w:rsidRDefault="00E56296" w:rsidP="00D87FED">
            <w:pPr>
              <w:rPr>
                <w:rFonts w:ascii="Arial Narrow" w:hAnsi="Arial Narrow"/>
                <w:sz w:val="20"/>
              </w:rPr>
            </w:pPr>
            <w:r w:rsidRPr="00C529E5">
              <w:rPr>
                <w:rFonts w:ascii="Arial Narrow" w:hAnsi="Arial Narrow"/>
                <w:sz w:val="20"/>
              </w:rPr>
              <w:t xml:space="preserve">Continuing </w:t>
            </w:r>
          </w:p>
        </w:tc>
      </w:tr>
      <w:tr w:rsidR="00E56296" w:rsidRPr="008C53F7"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Restriction:</w:t>
            </w:r>
          </w:p>
          <w:p w:rsidR="00E56296" w:rsidRPr="008C53F7" w:rsidRDefault="00E56296" w:rsidP="00D87FED">
            <w:pPr>
              <w:rPr>
                <w:rFonts w:ascii="Arial Narrow" w:hAnsi="Arial Narrow"/>
                <w:sz w:val="20"/>
              </w:rPr>
            </w:pPr>
            <w:r w:rsidRPr="008C53F7">
              <w:rPr>
                <w:rFonts w:ascii="Arial Narrow" w:hAnsi="Arial Narrow"/>
                <w:sz w:val="20"/>
              </w:rPr>
              <w:t>Section 85</w:t>
            </w:r>
          </w:p>
          <w:p w:rsidR="00E56296" w:rsidRPr="008C53F7" w:rsidRDefault="00E56296" w:rsidP="00D87FED">
            <w:pPr>
              <w:rPr>
                <w:rFonts w:ascii="Arial Narrow" w:hAnsi="Arial Narrow"/>
                <w:i/>
                <w:sz w:val="20"/>
              </w:rPr>
            </w:pPr>
            <w:r w:rsidRPr="008C53F7">
              <w:rPr>
                <w:rFonts w:ascii="Arial Narrow" w:hAnsi="Arial Narrow"/>
                <w:i/>
                <w:sz w:val="20"/>
              </w:rPr>
              <w:t>Authority required</w:t>
            </w:r>
          </w:p>
          <w:p w:rsidR="00E56296" w:rsidRPr="008C53F7" w:rsidRDefault="00E56296" w:rsidP="00D87FED">
            <w:pPr>
              <w:rPr>
                <w:rFonts w:ascii="Arial Narrow" w:hAnsi="Arial Narrow"/>
                <w:sz w:val="20"/>
              </w:rPr>
            </w:pPr>
          </w:p>
        </w:tc>
        <w:tc>
          <w:tcPr>
            <w:tcW w:w="5811" w:type="dxa"/>
            <w:gridSpan w:val="5"/>
            <w:tcBorders>
              <w:top w:val="single" w:sz="4" w:space="0" w:color="auto"/>
              <w:left w:val="single" w:sz="4" w:space="0" w:color="auto"/>
              <w:bottom w:val="single" w:sz="4" w:space="0" w:color="auto"/>
              <w:right w:val="single" w:sz="4" w:space="0" w:color="auto"/>
            </w:tcBorders>
          </w:tcPr>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1"/>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Restricted benefit</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In Writing</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3"/>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Telephone</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Emergency</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5"/>
                  <w:enabled/>
                  <w:calcOnExit w:val="0"/>
                  <w:checkBox>
                    <w:sizeAuto/>
                    <w:default w:val="0"/>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Authority Required - Electronic</w:t>
            </w:r>
          </w:p>
          <w:p w:rsidR="00E56296" w:rsidRPr="008C53F7" w:rsidRDefault="00E56296" w:rsidP="00D87FED">
            <w:pPr>
              <w:spacing w:line="360" w:lineRule="auto"/>
              <w:rPr>
                <w:rFonts w:ascii="Arial Narrow" w:hAnsi="Arial Narrow"/>
                <w:sz w:val="20"/>
              </w:rPr>
            </w:pPr>
            <w:r w:rsidRPr="008C53F7">
              <w:rPr>
                <w:rFonts w:ascii="Arial Narrow" w:hAnsi="Arial Narrow"/>
                <w:sz w:val="20"/>
              </w:rPr>
              <w:fldChar w:fldCharType="begin">
                <w:ffData>
                  <w:name w:val="Check5"/>
                  <w:enabled/>
                  <w:calcOnExit w:val="0"/>
                  <w:checkBox>
                    <w:sizeAuto/>
                    <w:default w:val="1"/>
                  </w:checkBox>
                </w:ffData>
              </w:fldChar>
            </w:r>
            <w:r w:rsidRPr="008C53F7">
              <w:rPr>
                <w:rFonts w:ascii="Arial Narrow" w:hAnsi="Arial Narrow"/>
                <w:sz w:val="20"/>
              </w:rPr>
              <w:instrText xml:space="preserve"> FORMCHECKBOX </w:instrText>
            </w:r>
            <w:r w:rsidR="008C17FD">
              <w:rPr>
                <w:rFonts w:ascii="Arial Narrow" w:hAnsi="Arial Narrow"/>
                <w:sz w:val="20"/>
              </w:rPr>
            </w:r>
            <w:r w:rsidR="008C17FD">
              <w:rPr>
                <w:rFonts w:ascii="Arial Narrow" w:hAnsi="Arial Narrow"/>
                <w:sz w:val="20"/>
              </w:rPr>
              <w:fldChar w:fldCharType="separate"/>
            </w:r>
            <w:r w:rsidRPr="008C53F7">
              <w:rPr>
                <w:rFonts w:ascii="Arial Narrow" w:hAnsi="Arial Narrow"/>
                <w:sz w:val="20"/>
              </w:rPr>
              <w:fldChar w:fldCharType="end"/>
            </w:r>
            <w:r w:rsidRPr="008C53F7">
              <w:rPr>
                <w:rFonts w:ascii="Arial Narrow" w:hAnsi="Arial Narrow"/>
                <w:sz w:val="20"/>
              </w:rPr>
              <w:t>Streamlined</w:t>
            </w:r>
          </w:p>
        </w:tc>
      </w:tr>
      <w:tr w:rsidR="00E56296"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b/>
                <w:sz w:val="20"/>
              </w:rPr>
            </w:pPr>
            <w:r w:rsidRPr="008C53F7">
              <w:rPr>
                <w:rFonts w:ascii="Arial Narrow" w:hAnsi="Arial Narrow"/>
                <w:b/>
                <w:sz w:val="20"/>
              </w:rPr>
              <w:t>Treatment criteria:</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8C53F7" w:rsidRDefault="00E56296" w:rsidP="00D87FED">
            <w:pPr>
              <w:rPr>
                <w:rFonts w:ascii="Arial Narrow" w:hAnsi="Arial Narrow"/>
                <w:sz w:val="20"/>
              </w:rPr>
            </w:pPr>
            <w:r w:rsidRPr="008C53F7">
              <w:rPr>
                <w:rFonts w:ascii="Arial Narrow" w:hAnsi="Arial Narrow"/>
                <w:sz w:val="20"/>
              </w:rPr>
              <w:t xml:space="preserve">Must be </w:t>
            </w:r>
            <w:r>
              <w:rPr>
                <w:rFonts w:ascii="Arial Narrow" w:hAnsi="Arial Narrow"/>
                <w:sz w:val="20"/>
              </w:rPr>
              <w:t xml:space="preserve">treated by or in consultation with </w:t>
            </w:r>
            <w:r w:rsidRPr="008C53F7">
              <w:rPr>
                <w:rFonts w:ascii="Arial Narrow" w:hAnsi="Arial Narrow"/>
                <w:sz w:val="20"/>
              </w:rPr>
              <w:t xml:space="preserve">a </w:t>
            </w:r>
            <w:r>
              <w:rPr>
                <w:rFonts w:ascii="Arial Narrow" w:hAnsi="Arial Narrow"/>
                <w:sz w:val="20"/>
              </w:rPr>
              <w:t xml:space="preserve">specialist neurologist </w:t>
            </w:r>
            <w:r>
              <w:rPr>
                <w:rFonts w:ascii="Arial Narrow" w:hAnsi="Arial Narrow"/>
                <w:color w:val="000000"/>
                <w:sz w:val="20"/>
              </w:rPr>
              <w:t xml:space="preserve">or a </w:t>
            </w:r>
            <w:r w:rsidRPr="00437B4B">
              <w:rPr>
                <w:rFonts w:ascii="Arial Narrow" w:hAnsi="Arial Narrow"/>
                <w:color w:val="000000"/>
                <w:sz w:val="20"/>
              </w:rPr>
              <w:t xml:space="preserve">specialist </w:t>
            </w:r>
            <w:r>
              <w:rPr>
                <w:rFonts w:ascii="Arial Narrow" w:hAnsi="Arial Narrow"/>
                <w:color w:val="000000"/>
                <w:sz w:val="20"/>
              </w:rPr>
              <w:t>pain medicine physician accredited or experienced in treating headache</w:t>
            </w:r>
            <w:r w:rsidR="00D31A55">
              <w:rPr>
                <w:rFonts w:ascii="Arial Narrow" w:hAnsi="Arial Narrow"/>
                <w:color w:val="000000"/>
                <w:sz w:val="20"/>
              </w:rPr>
              <w:t>.</w:t>
            </w:r>
          </w:p>
        </w:tc>
      </w:tr>
      <w:tr w:rsidR="00E56296" w:rsidRPr="008F1E1C"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437B4B" w:rsidRDefault="00E56296" w:rsidP="00D87FED">
            <w:pPr>
              <w:rPr>
                <w:rFonts w:ascii="Arial Narrow" w:hAnsi="Arial Narrow"/>
                <w:b/>
                <w:color w:val="000000"/>
                <w:sz w:val="20"/>
              </w:rPr>
            </w:pPr>
            <w:r w:rsidRPr="00437B4B">
              <w:rPr>
                <w:rFonts w:ascii="Arial Narrow" w:hAnsi="Arial Narrow"/>
                <w:b/>
                <w:color w:val="000000"/>
                <w:sz w:val="20"/>
              </w:rPr>
              <w:t>Clinical criteria:</w:t>
            </w:r>
          </w:p>
          <w:p w:rsidR="00E56296" w:rsidRPr="00437B4B" w:rsidRDefault="00E56296" w:rsidP="00D87FED">
            <w:pPr>
              <w:rPr>
                <w:rFonts w:ascii="Arial Narrow" w:hAnsi="Arial Narrow"/>
                <w:i/>
                <w:color w:val="000000"/>
                <w:sz w:val="20"/>
              </w:rPr>
            </w:pPr>
          </w:p>
          <w:p w:rsidR="00E56296" w:rsidRPr="00437B4B" w:rsidRDefault="00E56296" w:rsidP="00D87FED">
            <w:pPr>
              <w:rPr>
                <w:rFonts w:ascii="Arial Narrow" w:hAnsi="Arial Narrow"/>
                <w:color w:val="000000"/>
                <w:sz w:val="20"/>
              </w:rPr>
            </w:pPr>
          </w:p>
        </w:tc>
        <w:tc>
          <w:tcPr>
            <w:tcW w:w="5811" w:type="dxa"/>
            <w:gridSpan w:val="5"/>
            <w:tcBorders>
              <w:top w:val="single" w:sz="4" w:space="0" w:color="auto"/>
              <w:left w:val="single" w:sz="4" w:space="0" w:color="auto"/>
              <w:bottom w:val="single" w:sz="4" w:space="0" w:color="auto"/>
              <w:right w:val="single" w:sz="4" w:space="0" w:color="auto"/>
            </w:tcBorders>
          </w:tcPr>
          <w:p w:rsidR="00E56296" w:rsidRDefault="00E56296" w:rsidP="00D87FED">
            <w:pPr>
              <w:rPr>
                <w:rFonts w:ascii="Arial Narrow" w:hAnsi="Arial Narrow"/>
                <w:i/>
                <w:sz w:val="20"/>
              </w:rPr>
            </w:pPr>
            <w:r>
              <w:rPr>
                <w:rFonts w:ascii="Arial Narrow" w:hAnsi="Arial Narrow"/>
                <w:i/>
                <w:sz w:val="20"/>
              </w:rPr>
              <w:t xml:space="preserve">Patient must have previously received PBS-subsidised initial treatment with this drug for this condition; </w:t>
            </w:r>
          </w:p>
          <w:p w:rsidR="00E56296" w:rsidRDefault="00E56296" w:rsidP="00D87FED">
            <w:pPr>
              <w:rPr>
                <w:rFonts w:ascii="Arial Narrow" w:hAnsi="Arial Narrow"/>
                <w:i/>
                <w:sz w:val="20"/>
              </w:rPr>
            </w:pPr>
          </w:p>
          <w:p w:rsidR="00E56296" w:rsidRDefault="00E56296" w:rsidP="00D87FED">
            <w:pPr>
              <w:rPr>
                <w:rFonts w:ascii="Arial Narrow" w:hAnsi="Arial Narrow"/>
                <w:i/>
                <w:sz w:val="20"/>
              </w:rPr>
            </w:pPr>
            <w:r>
              <w:rPr>
                <w:rFonts w:ascii="Arial Narrow" w:hAnsi="Arial Narrow"/>
                <w:i/>
                <w:sz w:val="20"/>
              </w:rPr>
              <w:t xml:space="preserve">AND </w:t>
            </w:r>
          </w:p>
          <w:p w:rsidR="00E56296" w:rsidRPr="000825B2" w:rsidRDefault="00E56296" w:rsidP="00D87FED">
            <w:pPr>
              <w:rPr>
                <w:rFonts w:ascii="Arial Narrow" w:hAnsi="Arial Narrow"/>
                <w:i/>
                <w:sz w:val="20"/>
              </w:rPr>
            </w:pPr>
          </w:p>
          <w:p w:rsidR="00E56296" w:rsidRDefault="00E56296" w:rsidP="00D87FED">
            <w:pPr>
              <w:rPr>
                <w:rFonts w:ascii="Arial Narrow" w:hAnsi="Arial Narrow"/>
                <w:sz w:val="20"/>
              </w:rPr>
            </w:pPr>
            <w:r w:rsidRPr="00B86E59">
              <w:rPr>
                <w:rFonts w:ascii="Arial Narrow" w:hAnsi="Arial Narrow"/>
                <w:sz w:val="20"/>
              </w:rPr>
              <w:t xml:space="preserve">Patient must have achieved and maintained a 50% or greater reduction from baseline in the number of </w:t>
            </w:r>
            <w:r w:rsidRPr="00C529E5">
              <w:rPr>
                <w:rFonts w:ascii="Arial Narrow" w:hAnsi="Arial Narrow"/>
                <w:sz w:val="20"/>
              </w:rPr>
              <w:t xml:space="preserve">migraine </w:t>
            </w:r>
            <w:r w:rsidRPr="00B86E59">
              <w:rPr>
                <w:rFonts w:ascii="Arial Narrow" w:hAnsi="Arial Narrow"/>
                <w:sz w:val="20"/>
              </w:rPr>
              <w:t xml:space="preserve">days per month </w:t>
            </w:r>
            <w:r w:rsidRPr="0099054A">
              <w:rPr>
                <w:rFonts w:ascii="Arial Narrow" w:hAnsi="Arial Narrow"/>
                <w:strike/>
                <w:sz w:val="20"/>
              </w:rPr>
              <w:t>after three treatment cycles (12 weeks duration)</w:t>
            </w:r>
            <w:r w:rsidRPr="00C529E5">
              <w:rPr>
                <w:rFonts w:ascii="Arial Narrow" w:hAnsi="Arial Narrow"/>
                <w:sz w:val="20"/>
              </w:rPr>
              <w:t xml:space="preserve"> in</w:t>
            </w:r>
            <w:r w:rsidRPr="00B86E59">
              <w:rPr>
                <w:rFonts w:ascii="Arial Narrow" w:hAnsi="Arial Narrow"/>
                <w:sz w:val="20"/>
              </w:rPr>
              <w:t xml:space="preserve"> order to be eligible for continuing PBS-subsidised treatment</w:t>
            </w:r>
            <w:r>
              <w:rPr>
                <w:rFonts w:ascii="Arial Narrow" w:hAnsi="Arial Narrow"/>
                <w:sz w:val="20"/>
              </w:rPr>
              <w:t>;</w:t>
            </w:r>
          </w:p>
          <w:p w:rsidR="00E56296" w:rsidRPr="00673EF6" w:rsidRDefault="00E56296" w:rsidP="00D87FED">
            <w:pPr>
              <w:rPr>
                <w:rFonts w:ascii="Arial Narrow" w:hAnsi="Arial Narrow"/>
                <w:strike/>
                <w:sz w:val="20"/>
              </w:rPr>
            </w:pPr>
            <w:r w:rsidRPr="00673EF6">
              <w:rPr>
                <w:rFonts w:ascii="Arial Narrow" w:hAnsi="Arial Narrow"/>
                <w:strike/>
                <w:sz w:val="20"/>
              </w:rPr>
              <w:t>OR</w:t>
            </w:r>
          </w:p>
          <w:p w:rsidR="00E56296" w:rsidRPr="004C6AEB" w:rsidRDefault="00E56296" w:rsidP="00D87FED">
            <w:pPr>
              <w:spacing w:line="254" w:lineRule="auto"/>
              <w:rPr>
                <w:rFonts w:ascii="Arial Narrow" w:hAnsi="Arial Narrow"/>
                <w:i/>
                <w:strike/>
                <w:sz w:val="20"/>
                <w:lang w:val="en-US"/>
              </w:rPr>
            </w:pPr>
            <w:r w:rsidRPr="004C6AEB">
              <w:rPr>
                <w:rFonts w:ascii="Arial Narrow" w:hAnsi="Arial Narrow"/>
                <w:i/>
                <w:strike/>
                <w:sz w:val="20"/>
                <w:lang w:val="en-US"/>
              </w:rPr>
              <w:t>Patient must have achieved and maintained a 50% or greater reduction from baseline in the number of migraine days per month after six treatment cycles (24 weeks duration) in order to be eligible for subsequent continuing PBS-subsidised treatment;</w:t>
            </w:r>
          </w:p>
          <w:p w:rsidR="00E56296" w:rsidRPr="00CA5CE8" w:rsidRDefault="00E56296" w:rsidP="00D87FED">
            <w:pPr>
              <w:spacing w:line="254" w:lineRule="auto"/>
              <w:rPr>
                <w:rFonts w:ascii="Arial Narrow" w:hAnsi="Arial Narrow"/>
                <w:strike/>
                <w:sz w:val="20"/>
                <w:lang w:val="en-US"/>
              </w:rPr>
            </w:pPr>
            <w:r w:rsidRPr="00CA5CE8">
              <w:rPr>
                <w:rFonts w:ascii="Arial Narrow" w:hAnsi="Arial Narrow"/>
                <w:strike/>
                <w:sz w:val="20"/>
                <w:lang w:val="en-US"/>
              </w:rPr>
              <w:t>OR</w:t>
            </w:r>
          </w:p>
          <w:p w:rsidR="00E56296" w:rsidRPr="004C6AEB" w:rsidRDefault="00E56296" w:rsidP="00D87FED">
            <w:pPr>
              <w:spacing w:line="254" w:lineRule="auto"/>
              <w:rPr>
                <w:rFonts w:ascii="Arial Narrow" w:hAnsi="Arial Narrow"/>
                <w:i/>
                <w:strike/>
                <w:sz w:val="20"/>
                <w:lang w:val="en-US"/>
              </w:rPr>
            </w:pPr>
            <w:r w:rsidRPr="00CA5CE8">
              <w:rPr>
                <w:rFonts w:ascii="Arial Narrow" w:hAnsi="Arial Narrow"/>
                <w:strike/>
                <w:sz w:val="20"/>
              </w:rPr>
              <w:t xml:space="preserve">Patient must have received </w:t>
            </w:r>
            <w:proofErr w:type="spellStart"/>
            <w:r w:rsidRPr="00CA5CE8">
              <w:rPr>
                <w:rFonts w:ascii="Arial Narrow" w:hAnsi="Arial Narrow"/>
                <w:strike/>
                <w:sz w:val="20"/>
              </w:rPr>
              <w:t>erenumab</w:t>
            </w:r>
            <w:proofErr w:type="spellEnd"/>
            <w:r w:rsidRPr="00CA5CE8">
              <w:rPr>
                <w:rFonts w:ascii="Arial Narrow" w:hAnsi="Arial Narrow"/>
                <w:strike/>
                <w:sz w:val="20"/>
              </w:rPr>
              <w:t xml:space="preserve"> treatment prior to PBS listing date, and must have achieved and maintained a 50% or greater reduction from baseline in the number of migraine days per month after three treatment cycles (12 weeks duration)</w:t>
            </w:r>
            <w:r w:rsidRPr="00CA5CE8">
              <w:rPr>
                <w:rFonts w:ascii="Arial Narrow" w:hAnsi="Arial Narrow"/>
                <w:strike/>
                <w:sz w:val="20"/>
                <w:lang w:val="en-US"/>
              </w:rPr>
              <w:t xml:space="preserve"> in order to be eligible for subsequent continuing PBS-subsidised treatment;</w:t>
            </w:r>
          </w:p>
          <w:p w:rsidR="00E56296" w:rsidRPr="00B86E59" w:rsidRDefault="00E56296" w:rsidP="00D87FED">
            <w:pPr>
              <w:rPr>
                <w:rFonts w:ascii="Arial Narrow" w:hAnsi="Arial Narrow"/>
                <w:sz w:val="20"/>
              </w:rPr>
            </w:pPr>
            <w:r>
              <w:rPr>
                <w:rFonts w:ascii="Arial Narrow" w:hAnsi="Arial Narrow"/>
                <w:sz w:val="20"/>
              </w:rPr>
              <w:t>A</w:t>
            </w:r>
            <w:r w:rsidRPr="00B86E59">
              <w:rPr>
                <w:rFonts w:ascii="Arial Narrow" w:hAnsi="Arial Narrow"/>
                <w:sz w:val="20"/>
              </w:rPr>
              <w:t>ND</w:t>
            </w:r>
          </w:p>
          <w:p w:rsidR="00E56296" w:rsidRPr="008C53F7" w:rsidRDefault="00E56296" w:rsidP="00D87FED">
            <w:pPr>
              <w:rPr>
                <w:rFonts w:ascii="Arial Narrow" w:hAnsi="Arial Narrow"/>
                <w:sz w:val="20"/>
              </w:rPr>
            </w:pPr>
            <w:r w:rsidRPr="00B86E59">
              <w:rPr>
                <w:rFonts w:ascii="Arial Narrow" w:hAnsi="Arial Narrow"/>
                <w:sz w:val="20"/>
              </w:rPr>
              <w:t>Patient must</w:t>
            </w:r>
            <w:r>
              <w:rPr>
                <w:rFonts w:ascii="Arial Narrow" w:hAnsi="Arial Narrow"/>
                <w:sz w:val="20"/>
              </w:rPr>
              <w:t xml:space="preserve"> </w:t>
            </w:r>
            <w:r>
              <w:rPr>
                <w:rFonts w:ascii="Arial Narrow" w:hAnsi="Arial Narrow"/>
                <w:i/>
                <w:sz w:val="20"/>
              </w:rPr>
              <w:t xml:space="preserve">continue to </w:t>
            </w:r>
            <w:r w:rsidRPr="00B86E59">
              <w:rPr>
                <w:rFonts w:ascii="Arial Narrow" w:hAnsi="Arial Narrow"/>
                <w:sz w:val="20"/>
              </w:rPr>
              <w:t xml:space="preserve">be appropriately managed </w:t>
            </w:r>
            <w:r>
              <w:rPr>
                <w:rFonts w:ascii="Arial Narrow" w:hAnsi="Arial Narrow"/>
                <w:strike/>
                <w:sz w:val="20"/>
              </w:rPr>
              <w:t>by</w:t>
            </w:r>
            <w:r w:rsidRPr="009B1DC4">
              <w:rPr>
                <w:rFonts w:ascii="Arial Narrow" w:hAnsi="Arial Narrow"/>
                <w:strike/>
                <w:sz w:val="20"/>
              </w:rPr>
              <w:t xml:space="preserve"> his or her practitioner</w:t>
            </w:r>
            <w:r w:rsidRPr="00B86E59">
              <w:rPr>
                <w:rFonts w:ascii="Arial Narrow" w:hAnsi="Arial Narrow"/>
                <w:sz w:val="20"/>
              </w:rPr>
              <w:t xml:space="preserve"> for medication</w:t>
            </w:r>
            <w:r w:rsidRPr="001B4F95">
              <w:rPr>
                <w:rFonts w:ascii="Arial Narrow" w:hAnsi="Arial Narrow"/>
                <w:sz w:val="20"/>
              </w:rPr>
              <w:t xml:space="preserve"> overuse</w:t>
            </w:r>
            <w:r w:rsidRPr="00B86E59">
              <w:rPr>
                <w:rFonts w:ascii="Arial Narrow" w:hAnsi="Arial Narrow"/>
                <w:sz w:val="20"/>
              </w:rPr>
              <w:t xml:space="preserve"> headache, </w:t>
            </w:r>
            <w:r w:rsidRPr="009B1DC4">
              <w:rPr>
                <w:rFonts w:ascii="Arial Narrow" w:hAnsi="Arial Narrow"/>
                <w:strike/>
                <w:sz w:val="20"/>
              </w:rPr>
              <w:t xml:space="preserve">prior to initiation of treatment with </w:t>
            </w:r>
            <w:proofErr w:type="spellStart"/>
            <w:r w:rsidRPr="009B1DC4">
              <w:rPr>
                <w:rFonts w:ascii="Arial Narrow" w:hAnsi="Arial Narrow"/>
                <w:strike/>
                <w:sz w:val="20"/>
              </w:rPr>
              <w:t>erenumab</w:t>
            </w:r>
            <w:proofErr w:type="spellEnd"/>
            <w:r w:rsidRPr="009B1DC4">
              <w:rPr>
                <w:rFonts w:ascii="Arial Narrow" w:hAnsi="Arial Narrow"/>
                <w:strike/>
                <w:sz w:val="20"/>
              </w:rPr>
              <w:t>.</w:t>
            </w:r>
          </w:p>
        </w:tc>
      </w:tr>
      <w:tr w:rsidR="00E56296" w:rsidRPr="008F1E1C"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437B4B" w:rsidRDefault="00E56296" w:rsidP="00D87FED">
            <w:pPr>
              <w:rPr>
                <w:rFonts w:ascii="Arial Narrow" w:hAnsi="Arial Narrow"/>
                <w:b/>
                <w:color w:val="000000"/>
                <w:sz w:val="20"/>
              </w:rPr>
            </w:pPr>
            <w:r w:rsidRPr="00437B4B">
              <w:rPr>
                <w:rFonts w:ascii="Arial Narrow" w:hAnsi="Arial Narrow"/>
                <w:b/>
                <w:color w:val="000000"/>
                <w:sz w:val="20"/>
              </w:rPr>
              <w:t>Population criteria:</w:t>
            </w:r>
          </w:p>
          <w:p w:rsidR="00E56296" w:rsidRPr="00437B4B" w:rsidRDefault="00E56296" w:rsidP="00D87FED">
            <w:pPr>
              <w:rPr>
                <w:rFonts w:ascii="Arial Narrow" w:hAnsi="Arial Narrow"/>
                <w:color w:val="000000"/>
                <w:sz w:val="20"/>
              </w:rPr>
            </w:pPr>
          </w:p>
        </w:tc>
        <w:tc>
          <w:tcPr>
            <w:tcW w:w="5811" w:type="dxa"/>
            <w:gridSpan w:val="5"/>
            <w:tcBorders>
              <w:top w:val="single" w:sz="4" w:space="0" w:color="auto"/>
              <w:left w:val="single" w:sz="4" w:space="0" w:color="auto"/>
              <w:bottom w:val="single" w:sz="4" w:space="0" w:color="auto"/>
              <w:right w:val="single" w:sz="4" w:space="0" w:color="auto"/>
            </w:tcBorders>
          </w:tcPr>
          <w:p w:rsidR="00E56296" w:rsidRPr="00437B4B" w:rsidRDefault="00E56296" w:rsidP="00D87FED">
            <w:pPr>
              <w:rPr>
                <w:rFonts w:ascii="Arial Narrow" w:hAnsi="Arial Narrow"/>
                <w:color w:val="000000"/>
                <w:sz w:val="20"/>
              </w:rPr>
            </w:pPr>
            <w:r w:rsidRPr="0059263E">
              <w:rPr>
                <w:rFonts w:ascii="Arial Narrow" w:hAnsi="Arial Narrow"/>
                <w:strike/>
                <w:color w:val="000000"/>
                <w:sz w:val="20"/>
              </w:rPr>
              <w:t>Patient must be aged 18 years or older</w:t>
            </w:r>
            <w:r w:rsidRPr="00437B4B">
              <w:rPr>
                <w:rFonts w:ascii="Arial Narrow" w:hAnsi="Arial Narrow"/>
                <w:color w:val="000000"/>
                <w:sz w:val="20"/>
              </w:rPr>
              <w:t>.</w:t>
            </w:r>
          </w:p>
        </w:tc>
      </w:tr>
      <w:tr w:rsidR="00E56296" w:rsidRPr="008F1E1C" w:rsidTr="00E56296">
        <w:trPr>
          <w:gridAfter w:val="1"/>
          <w:wAfter w:w="29" w:type="dxa"/>
          <w:cantSplit/>
          <w:trHeight w:val="360"/>
        </w:trPr>
        <w:tc>
          <w:tcPr>
            <w:tcW w:w="3261" w:type="dxa"/>
            <w:gridSpan w:val="2"/>
            <w:tcBorders>
              <w:top w:val="single" w:sz="4" w:space="0" w:color="auto"/>
              <w:left w:val="single" w:sz="4" w:space="0" w:color="auto"/>
              <w:bottom w:val="single" w:sz="4" w:space="0" w:color="auto"/>
              <w:right w:val="single" w:sz="4" w:space="0" w:color="auto"/>
            </w:tcBorders>
          </w:tcPr>
          <w:p w:rsidR="00E56296" w:rsidRPr="00437B4B" w:rsidRDefault="00E56296" w:rsidP="00D87FED">
            <w:pPr>
              <w:rPr>
                <w:rFonts w:ascii="Arial Narrow" w:hAnsi="Arial Narrow"/>
                <w:b/>
                <w:color w:val="000000"/>
                <w:sz w:val="20"/>
              </w:rPr>
            </w:pPr>
            <w:r w:rsidRPr="00437B4B">
              <w:rPr>
                <w:rFonts w:ascii="Arial Narrow" w:hAnsi="Arial Narrow"/>
                <w:b/>
                <w:color w:val="000000"/>
                <w:sz w:val="20"/>
              </w:rPr>
              <w:t xml:space="preserve">Administrative Advice </w:t>
            </w:r>
          </w:p>
        </w:tc>
        <w:tc>
          <w:tcPr>
            <w:tcW w:w="5811" w:type="dxa"/>
            <w:gridSpan w:val="5"/>
            <w:tcBorders>
              <w:top w:val="single" w:sz="4" w:space="0" w:color="auto"/>
              <w:left w:val="single" w:sz="4" w:space="0" w:color="auto"/>
              <w:bottom w:val="single" w:sz="4" w:space="0" w:color="auto"/>
              <w:right w:val="single" w:sz="4" w:space="0" w:color="auto"/>
            </w:tcBorders>
          </w:tcPr>
          <w:p w:rsidR="00E56296" w:rsidRPr="00437B4B" w:rsidRDefault="00E56296" w:rsidP="00D87FED">
            <w:pPr>
              <w:rPr>
                <w:rFonts w:ascii="Arial Narrow" w:hAnsi="Arial Narrow"/>
                <w:color w:val="000000"/>
                <w:sz w:val="20"/>
              </w:rPr>
            </w:pPr>
            <w:r w:rsidRPr="00C529E5">
              <w:rPr>
                <w:rFonts w:ascii="Arial Narrow" w:hAnsi="Arial Narrow"/>
                <w:sz w:val="20"/>
              </w:rPr>
              <w:t>This drug is not PBS-subsidised for use in combination with botulinum toxin type A</w:t>
            </w:r>
            <w:r>
              <w:rPr>
                <w:rFonts w:ascii="Arial Narrow" w:hAnsi="Arial Narrow"/>
                <w:i/>
                <w:sz w:val="20"/>
              </w:rPr>
              <w:t>.</w:t>
            </w:r>
          </w:p>
        </w:tc>
      </w:tr>
    </w:tbl>
    <w:p w:rsidR="00E56296" w:rsidRDefault="00E56296" w:rsidP="00D87FED">
      <w:pPr>
        <w:jc w:val="center"/>
      </w:pPr>
    </w:p>
    <w:p w:rsidR="009B634F" w:rsidRPr="00475CBC" w:rsidRDefault="00032A71" w:rsidP="008C17FD">
      <w:pPr>
        <w:pStyle w:val="ListParagraph"/>
        <w:numPr>
          <w:ilvl w:val="1"/>
          <w:numId w:val="2"/>
        </w:numPr>
        <w:spacing w:after="120"/>
      </w:pPr>
      <w:r w:rsidRPr="009B634F">
        <w:t>The</w:t>
      </w:r>
      <w:r w:rsidR="0067244F">
        <w:t xml:space="preserve"> PBAC noted</w:t>
      </w:r>
      <w:r w:rsidR="008C17FD">
        <w:t xml:space="preserve"> </w:t>
      </w:r>
      <w:r w:rsidR="00A545D5">
        <w:t>a number of</w:t>
      </w:r>
      <w:r w:rsidRPr="009B634F">
        <w:t xml:space="preserve"> change</w:t>
      </w:r>
      <w:r w:rsidR="009B634F">
        <w:t>s</w:t>
      </w:r>
      <w:r w:rsidRPr="009B634F">
        <w:t xml:space="preserve"> </w:t>
      </w:r>
      <w:r w:rsidR="00A545D5">
        <w:t>to</w:t>
      </w:r>
      <w:r w:rsidRPr="009B634F">
        <w:t xml:space="preserve"> the requested restriction</w:t>
      </w:r>
      <w:r w:rsidR="009B634F" w:rsidRPr="009B634F">
        <w:t xml:space="preserve"> </w:t>
      </w:r>
      <w:r w:rsidR="00A545D5">
        <w:t>compared to</w:t>
      </w:r>
      <w:r w:rsidR="009B634F" w:rsidRPr="009B634F">
        <w:t xml:space="preserve"> the</w:t>
      </w:r>
      <w:r w:rsidR="009B634F">
        <w:t xml:space="preserve"> </w:t>
      </w:r>
      <w:r w:rsidR="009B634F" w:rsidRPr="00475CBC">
        <w:t>July 2018 requested restriction:</w:t>
      </w:r>
    </w:p>
    <w:p w:rsidR="001E4B2A" w:rsidRPr="00475CBC" w:rsidRDefault="009B634F" w:rsidP="00D87FED">
      <w:pPr>
        <w:pStyle w:val="Bulletpoints"/>
        <w:spacing w:after="120"/>
        <w:ind w:left="1134" w:hanging="283"/>
      </w:pPr>
      <w:r w:rsidRPr="00475CBC">
        <w:t xml:space="preserve">Removal of the requirement </w:t>
      </w:r>
      <w:r w:rsidR="00463A40" w:rsidRPr="00475CBC">
        <w:t>that patients are naïve to Botox.</w:t>
      </w:r>
      <w:r w:rsidR="00C350C3" w:rsidRPr="00475CBC">
        <w:t xml:space="preserve"> </w:t>
      </w:r>
    </w:p>
    <w:p w:rsidR="00263E86" w:rsidRPr="00475CBC" w:rsidRDefault="00263E86" w:rsidP="00D87FED">
      <w:pPr>
        <w:pStyle w:val="Bulletpoints"/>
        <w:spacing w:after="120"/>
        <w:ind w:left="1134" w:hanging="283"/>
      </w:pPr>
      <w:r w:rsidRPr="00475CBC">
        <w:t xml:space="preserve">Removal of the requirement that patients must experience an average of 15 or </w:t>
      </w:r>
      <w:r w:rsidR="00C350C3" w:rsidRPr="00475CBC">
        <w:t>more headache days per month.</w:t>
      </w:r>
      <w:r w:rsidRPr="00475CBC">
        <w:t xml:space="preserve"> The only</w:t>
      </w:r>
      <w:r w:rsidR="005C62BF" w:rsidRPr="00475CBC">
        <w:t xml:space="preserve"> frequency</w:t>
      </w:r>
      <w:r w:rsidR="00B00080" w:rsidRPr="00475CBC">
        <w:t>-</w:t>
      </w:r>
      <w:r w:rsidR="005C62BF" w:rsidRPr="00475CBC">
        <w:t xml:space="preserve">based criterion remaining </w:t>
      </w:r>
      <w:r w:rsidR="00691BE0">
        <w:t xml:space="preserve">was </w:t>
      </w:r>
      <w:r w:rsidR="00691BE0" w:rsidRPr="00475CBC">
        <w:t>that</w:t>
      </w:r>
      <w:r w:rsidR="005C62BF" w:rsidRPr="00475CBC">
        <w:t xml:space="preserve"> </w:t>
      </w:r>
      <w:r w:rsidR="00A545D5" w:rsidRPr="00475CBC">
        <w:t xml:space="preserve">patients must have ≥8 migraine days per month over </w:t>
      </w:r>
      <w:r w:rsidR="00C350C3" w:rsidRPr="00475CBC">
        <w:t xml:space="preserve">a period of at least </w:t>
      </w:r>
      <w:r w:rsidR="00C350C3" w:rsidRPr="00475CBC">
        <w:lastRenderedPageBreak/>
        <w:t xml:space="preserve">6 months. </w:t>
      </w:r>
      <w:r w:rsidR="00475CBC">
        <w:t>The PBAC considered the revised wording was inconsistent with the definition of chronic migraine</w:t>
      </w:r>
      <w:r w:rsidR="009C6C96">
        <w:t xml:space="preserve"> (see paragraph 4.1)</w:t>
      </w:r>
      <w:r w:rsidR="00475CBC">
        <w:t xml:space="preserve">. </w:t>
      </w:r>
    </w:p>
    <w:p w:rsidR="00463A40" w:rsidRPr="00475CBC" w:rsidRDefault="00463A40" w:rsidP="00D87FED">
      <w:pPr>
        <w:pStyle w:val="Bulletpoints"/>
        <w:spacing w:after="120"/>
        <w:ind w:left="1134" w:hanging="283"/>
      </w:pPr>
      <w:r w:rsidRPr="00475CBC">
        <w:t xml:space="preserve">Shortening the </w:t>
      </w:r>
      <w:r w:rsidR="004E5C13" w:rsidRPr="00475CBC">
        <w:t xml:space="preserve">initial </w:t>
      </w:r>
      <w:r w:rsidRPr="00475CBC">
        <w:t xml:space="preserve">response assessment </w:t>
      </w:r>
      <w:proofErr w:type="spellStart"/>
      <w:r w:rsidRPr="00475CBC">
        <w:t>timepoint</w:t>
      </w:r>
      <w:proofErr w:type="spellEnd"/>
      <w:r w:rsidRPr="00475CBC">
        <w:t xml:space="preserve"> to 12 weeks from the original 24 weeks.</w:t>
      </w:r>
      <w:r w:rsidR="00DE55D4" w:rsidRPr="00475CBC">
        <w:t xml:space="preserve"> </w:t>
      </w:r>
    </w:p>
    <w:p w:rsidR="00263E86" w:rsidRPr="00475CBC" w:rsidRDefault="00263E86" w:rsidP="00D87FED">
      <w:pPr>
        <w:pStyle w:val="Bulletpoints"/>
        <w:spacing w:after="120"/>
        <w:ind w:left="1134" w:hanging="283"/>
      </w:pPr>
      <w:r w:rsidRPr="00475CBC">
        <w:t xml:space="preserve">Altering of the response criterion to be </w:t>
      </w:r>
      <w:r w:rsidR="004C5F85" w:rsidRPr="00475CBC">
        <w:t>≥50% reduction in monthly migraine days, while the previous requested restriction used ≥50% reduction in monthly headache days.</w:t>
      </w:r>
    </w:p>
    <w:p w:rsidR="00463A40" w:rsidRDefault="001D14CB" w:rsidP="00D87FED">
      <w:pPr>
        <w:pStyle w:val="Bulletpoints"/>
        <w:spacing w:after="120"/>
        <w:ind w:left="1134" w:hanging="283"/>
      </w:pPr>
      <w:r w:rsidRPr="00475CBC">
        <w:t xml:space="preserve">Continuing therapy </w:t>
      </w:r>
      <w:r w:rsidR="000F2DF9" w:rsidRPr="00475CBC">
        <w:t>to</w:t>
      </w:r>
      <w:r w:rsidRPr="00475CBC">
        <w:t xml:space="preserve"> be</w:t>
      </w:r>
      <w:r w:rsidR="00D74747">
        <w:t xml:space="preserve"> </w:t>
      </w:r>
      <w:r w:rsidR="0048539D" w:rsidRPr="00475CBC">
        <w:t xml:space="preserve">prescribed by a neurologist or a pain/headache specialist, or a </w:t>
      </w:r>
      <w:r w:rsidR="00D14FF3">
        <w:t>general practitioner (</w:t>
      </w:r>
      <w:r w:rsidR="0048539D" w:rsidRPr="00475CBC">
        <w:t>GP</w:t>
      </w:r>
      <w:r w:rsidR="00D14FF3">
        <w:t>)</w:t>
      </w:r>
      <w:r w:rsidR="0048539D" w:rsidRPr="00475CBC">
        <w:t xml:space="preserve"> in consultation with a neurologist or pain/headache specialist. </w:t>
      </w:r>
      <w:r w:rsidR="001461A1">
        <w:t>The ESC considered that there would be clinical uncertainty in dif</w:t>
      </w:r>
      <w:r w:rsidR="00D544EB">
        <w:t>ferentiating migraine days from headache days in practice and this would be particularly challenging for a GP continuing therapy, even in consultation with a specialist.</w:t>
      </w:r>
      <w:r w:rsidR="001461A1">
        <w:t xml:space="preserve"> </w:t>
      </w:r>
      <w:r w:rsidR="00475CBC">
        <w:t>The PBAC considered it may be appropriate to require the first continuing script to be prescribed by a neurologist o</w:t>
      </w:r>
      <w:r w:rsidR="00D87FED">
        <w:t>r a pain/ headache specialist.</w:t>
      </w:r>
    </w:p>
    <w:p w:rsidR="00375674" w:rsidRPr="00A726DC" w:rsidRDefault="00832131" w:rsidP="008C17FD">
      <w:pPr>
        <w:pStyle w:val="BodyText3"/>
        <w:numPr>
          <w:ilvl w:val="1"/>
          <w:numId w:val="2"/>
        </w:numPr>
        <w:rPr>
          <w:sz w:val="24"/>
          <w:szCs w:val="24"/>
        </w:rPr>
      </w:pPr>
      <w:r>
        <w:rPr>
          <w:sz w:val="24"/>
          <w:szCs w:val="24"/>
        </w:rPr>
        <w:t xml:space="preserve">The </w:t>
      </w:r>
      <w:r w:rsidR="00D14FF3" w:rsidRPr="00D14FF3">
        <w:rPr>
          <w:sz w:val="24"/>
          <w:szCs w:val="24"/>
        </w:rPr>
        <w:t xml:space="preserve">DUSC noted the eligibility criteria for continuing treatment did not stipulate the use of any particular tool to assess response </w:t>
      </w:r>
      <w:r w:rsidR="00D14FF3">
        <w:rPr>
          <w:sz w:val="24"/>
          <w:szCs w:val="24"/>
        </w:rPr>
        <w:t>(</w:t>
      </w:r>
      <w:r w:rsidR="00D14FF3" w:rsidRPr="00D14FF3">
        <w:rPr>
          <w:sz w:val="24"/>
          <w:szCs w:val="24"/>
        </w:rPr>
        <w:t xml:space="preserve">e.g. </w:t>
      </w:r>
      <w:r w:rsidR="00D14FF3">
        <w:rPr>
          <w:sz w:val="24"/>
          <w:szCs w:val="24"/>
        </w:rPr>
        <w:t xml:space="preserve">a patient diary) and it is uncertain </w:t>
      </w:r>
      <w:r w:rsidR="00D14FF3" w:rsidRPr="00D14FF3">
        <w:rPr>
          <w:sz w:val="24"/>
          <w:szCs w:val="24"/>
        </w:rPr>
        <w:t>how prescribers will consistently assess patient response.</w:t>
      </w:r>
      <w:r w:rsidR="00D14FF3">
        <w:rPr>
          <w:sz w:val="24"/>
          <w:szCs w:val="24"/>
        </w:rPr>
        <w:t xml:space="preserve"> </w:t>
      </w:r>
      <w:r w:rsidR="00375674">
        <w:rPr>
          <w:sz w:val="24"/>
          <w:szCs w:val="24"/>
        </w:rPr>
        <w:t xml:space="preserve">The PBAC agreed with the DUSC and considered it may be appropriate for the </w:t>
      </w:r>
      <w:r w:rsidR="00375674" w:rsidRPr="00375674">
        <w:rPr>
          <w:sz w:val="24"/>
          <w:szCs w:val="24"/>
        </w:rPr>
        <w:t>restriction criteria to require patients to keep a headache diary to assess response to treatment.</w:t>
      </w:r>
      <w:r w:rsidR="00375674" w:rsidRPr="00375674">
        <w:t xml:space="preserve"> </w:t>
      </w:r>
    </w:p>
    <w:p w:rsidR="00D72110" w:rsidRDefault="00D72110" w:rsidP="008C17FD">
      <w:pPr>
        <w:pStyle w:val="ListParagraph"/>
        <w:numPr>
          <w:ilvl w:val="1"/>
          <w:numId w:val="2"/>
        </w:numPr>
        <w:spacing w:after="120"/>
      </w:pPr>
      <w:r w:rsidRPr="00E444A6">
        <w:t>The limited evidence on the natural history of chronic migraine suggests that remission may occur</w:t>
      </w:r>
      <w:r w:rsidRPr="00E444A6">
        <w:rPr>
          <w:rStyle w:val="FootnoteReference"/>
        </w:rPr>
        <w:footnoteReference w:id="1"/>
      </w:r>
      <w:r>
        <w:t xml:space="preserve"> and the PBAC </w:t>
      </w:r>
      <w:r w:rsidRPr="00E444A6">
        <w:t>noted the proposed restriction provided ongoing continuing treatment, with no requirement for a trial of treatment withdrawal.</w:t>
      </w:r>
    </w:p>
    <w:p w:rsidR="00D67B2D" w:rsidRDefault="003929DB" w:rsidP="008C17FD">
      <w:pPr>
        <w:pStyle w:val="ListParagraph"/>
        <w:numPr>
          <w:ilvl w:val="1"/>
          <w:numId w:val="2"/>
        </w:numPr>
        <w:spacing w:after="120"/>
      </w:pPr>
      <w:r>
        <w:t>The PBAC noted ~15% of patients in the BSC treatment arm of the pivotal study would meet the proposed continuation criteria</w:t>
      </w:r>
      <w:r w:rsidR="00881833">
        <w:t>,</w:t>
      </w:r>
      <w:r>
        <w:t xml:space="preserve"> and treatment with </w:t>
      </w:r>
      <w:proofErr w:type="spellStart"/>
      <w:r>
        <w:t>erenumab</w:t>
      </w:r>
      <w:proofErr w:type="spellEnd"/>
      <w:r>
        <w:t xml:space="preserve"> only allowed an additional ~25% of patients to meet the criteria.</w:t>
      </w:r>
      <w:r w:rsidR="00C905CE" w:rsidRPr="00C905CE">
        <w:t xml:space="preserve"> </w:t>
      </w:r>
      <w:r w:rsidR="00C905CE">
        <w:t xml:space="preserve">In </w:t>
      </w:r>
      <w:r w:rsidR="00691BE0">
        <w:t>addition,</w:t>
      </w:r>
      <w:r w:rsidR="00C905CE">
        <w:t xml:space="preserve"> there is no clear evidence for biological variation in treatment response</w:t>
      </w:r>
      <w:r w:rsidR="00881833">
        <w:t xml:space="preserve"> in the first place</w:t>
      </w:r>
      <w:r w:rsidR="00780FB2">
        <w:t xml:space="preserve"> and therefore</w:t>
      </w:r>
      <w:r w:rsidR="00CC4667">
        <w:t xml:space="preserve"> </w:t>
      </w:r>
      <w:r w:rsidR="00C905CE">
        <w:t xml:space="preserve">it may be appropriate to remove the continuation rule and adjust </w:t>
      </w:r>
      <w:r w:rsidR="00030FA6">
        <w:t xml:space="preserve">(lower) </w:t>
      </w:r>
      <w:r w:rsidR="00780FB2">
        <w:t xml:space="preserve">the </w:t>
      </w:r>
      <w:r w:rsidR="00C905CE">
        <w:t>treatment</w:t>
      </w:r>
      <w:r w:rsidR="00D87FED">
        <w:t>-effect for the overall group.</w:t>
      </w:r>
    </w:p>
    <w:p w:rsidR="004E43B2" w:rsidRPr="00E444A6" w:rsidRDefault="00E444A6" w:rsidP="00D87FED">
      <w:pPr>
        <w:spacing w:after="120"/>
        <w:ind w:firstLine="709"/>
        <w:rPr>
          <w:i/>
        </w:rPr>
      </w:pPr>
      <w:r w:rsidRPr="003F6708">
        <w:rPr>
          <w:i/>
        </w:rPr>
        <w:t>For more detail on the PBAC’s view, see section 7 PBAC outcome.</w:t>
      </w:r>
    </w:p>
    <w:p w:rsidR="00B50DB8" w:rsidRPr="00407F2D" w:rsidRDefault="00B50DB8" w:rsidP="008C17FD">
      <w:pPr>
        <w:pStyle w:val="PBACHeading1"/>
        <w:spacing w:before="240"/>
      </w:pPr>
      <w:bookmarkStart w:id="2" w:name="_Toc535926551"/>
      <w:r w:rsidRPr="00407F2D">
        <w:t>Background</w:t>
      </w:r>
      <w:bookmarkEnd w:id="2"/>
    </w:p>
    <w:p w:rsidR="00B60939" w:rsidRPr="00D87FED" w:rsidRDefault="00591957" w:rsidP="00D87FED">
      <w:pPr>
        <w:pStyle w:val="Heading2"/>
      </w:pPr>
      <w:r w:rsidRPr="00D87FED">
        <w:t>Registration status</w:t>
      </w:r>
    </w:p>
    <w:p w:rsidR="00B94343" w:rsidRPr="00D061B9" w:rsidRDefault="00B94343" w:rsidP="008C17FD">
      <w:pPr>
        <w:pStyle w:val="ListParagraph"/>
        <w:numPr>
          <w:ilvl w:val="1"/>
          <w:numId w:val="2"/>
        </w:numPr>
      </w:pPr>
      <w:proofErr w:type="spellStart"/>
      <w:r w:rsidRPr="00D061B9">
        <w:t>Erenumab</w:t>
      </w:r>
      <w:proofErr w:type="spellEnd"/>
      <w:r w:rsidRPr="00D061B9">
        <w:t xml:space="preserve"> was approved for registration by the </w:t>
      </w:r>
      <w:r w:rsidR="002E6E64" w:rsidRPr="004453CA">
        <w:t>Therapeutic Goods Administration</w:t>
      </w:r>
      <w:r w:rsidR="002E6E64">
        <w:rPr>
          <w:i/>
        </w:rPr>
        <w:t xml:space="preserve"> </w:t>
      </w:r>
      <w:r w:rsidR="002E6E64" w:rsidRPr="00D72110">
        <w:t>(</w:t>
      </w:r>
      <w:r w:rsidRPr="00D72110">
        <w:t>TGA</w:t>
      </w:r>
      <w:r w:rsidR="002E6E64" w:rsidRPr="00D72110">
        <w:t>)</w:t>
      </w:r>
      <w:r w:rsidRPr="00D061B9">
        <w:t xml:space="preserve"> on 2 July 2018 with the </w:t>
      </w:r>
      <w:r w:rsidR="00AE1A3B" w:rsidRPr="00D061B9">
        <w:t>indication “</w:t>
      </w:r>
      <w:r w:rsidRPr="00D061B9">
        <w:t>…prophylaxis of migraine in adults”.</w:t>
      </w:r>
    </w:p>
    <w:p w:rsidR="00F00433" w:rsidRDefault="002B43A9" w:rsidP="008C17FD">
      <w:pPr>
        <w:pStyle w:val="ListParagraph"/>
        <w:keepLines/>
        <w:numPr>
          <w:ilvl w:val="1"/>
          <w:numId w:val="2"/>
        </w:numPr>
      </w:pPr>
      <w:r w:rsidRPr="00D061B9">
        <w:lastRenderedPageBreak/>
        <w:t xml:space="preserve">The </w:t>
      </w:r>
      <w:r w:rsidR="00B4536C" w:rsidRPr="00D061B9">
        <w:t>product information (</w:t>
      </w:r>
      <w:r w:rsidRPr="00D061B9">
        <w:t>PI</w:t>
      </w:r>
      <w:r w:rsidR="00B4536C" w:rsidRPr="00D061B9">
        <w:t>)</w:t>
      </w:r>
      <w:r w:rsidRPr="00D061B9">
        <w:t xml:space="preserve"> states that</w:t>
      </w:r>
      <w:r w:rsidR="00D63A1F" w:rsidRPr="00D061B9">
        <w:t xml:space="preserve"> “The recommended dose of AIMOVIG is 70</w:t>
      </w:r>
      <w:r w:rsidR="00DF6010">
        <w:t> </w:t>
      </w:r>
      <w:r w:rsidR="00D63A1F" w:rsidRPr="00D061B9">
        <w:t>mg injected subcutaneously once every 4 weeks. Some patients may benefit from a dosage of 140 mg injected subcutaneously once every 4 weeks.”</w:t>
      </w:r>
      <w:r w:rsidR="00C350C3">
        <w:t xml:space="preserve"> </w:t>
      </w:r>
      <w:r w:rsidR="00360369">
        <w:t xml:space="preserve">The submission only requested listing for the </w:t>
      </w:r>
      <w:r w:rsidR="00D63A1F" w:rsidRPr="00D061B9">
        <w:t>140</w:t>
      </w:r>
      <w:r w:rsidR="0020512F">
        <w:t xml:space="preserve"> </w:t>
      </w:r>
      <w:r w:rsidR="00D63A1F" w:rsidRPr="00D061B9">
        <w:t xml:space="preserve">mg dose </w:t>
      </w:r>
      <w:r w:rsidR="00360369">
        <w:t xml:space="preserve">of </w:t>
      </w:r>
      <w:proofErr w:type="spellStart"/>
      <w:r w:rsidR="00360369">
        <w:t>erenumab</w:t>
      </w:r>
      <w:proofErr w:type="spellEnd"/>
      <w:r w:rsidR="00360369">
        <w:t xml:space="preserve">. The PBAC considered this was </w:t>
      </w:r>
      <w:r w:rsidR="00D72110">
        <w:t>inappropriate and in</w:t>
      </w:r>
      <w:r w:rsidR="00360369">
        <w:t xml:space="preserve">consistent </w:t>
      </w:r>
      <w:r w:rsidR="00D63A1F" w:rsidRPr="00D061B9">
        <w:t xml:space="preserve">with the recommended dosing of </w:t>
      </w:r>
      <w:proofErr w:type="spellStart"/>
      <w:r w:rsidR="00D63A1F" w:rsidRPr="00D061B9">
        <w:t>erenumab</w:t>
      </w:r>
      <w:proofErr w:type="spellEnd"/>
      <w:r w:rsidR="00D63A1F" w:rsidRPr="00D061B9">
        <w:t>.</w:t>
      </w:r>
      <w:r w:rsidR="00C350C3">
        <w:t xml:space="preserve"> </w:t>
      </w:r>
    </w:p>
    <w:p w:rsidR="00D63A1F" w:rsidRPr="00D061B9" w:rsidRDefault="008B7546" w:rsidP="008C17FD">
      <w:pPr>
        <w:pStyle w:val="ListParagraph"/>
        <w:numPr>
          <w:ilvl w:val="1"/>
          <w:numId w:val="2"/>
        </w:numPr>
      </w:pPr>
      <w:r w:rsidRPr="00D061B9">
        <w:t xml:space="preserve">The resubmission presented results from the open-label extension (Study 255) of the pivotal trial for chronic migraine </w:t>
      </w:r>
      <w:r w:rsidR="001B3E66" w:rsidRPr="00D061B9">
        <w:t>(</w:t>
      </w:r>
      <w:r w:rsidRPr="00D061B9">
        <w:t>Study 295</w:t>
      </w:r>
      <w:r w:rsidR="001B3E66" w:rsidRPr="00D061B9">
        <w:t>),</w:t>
      </w:r>
      <w:r w:rsidRPr="00D061B9">
        <w:t xml:space="preserve"> as well as pharmacokinetic and safety data to support the claim that the 140</w:t>
      </w:r>
      <w:r w:rsidR="0020512F">
        <w:t xml:space="preserve"> </w:t>
      </w:r>
      <w:r w:rsidRPr="00D061B9">
        <w:t>mg dose</w:t>
      </w:r>
      <w:r w:rsidR="00BB1B2A" w:rsidRPr="00D061B9">
        <w:t xml:space="preserve"> demonstrates consistently higher reductions in migraine than the 70</w:t>
      </w:r>
      <w:r w:rsidR="0020512F">
        <w:t xml:space="preserve"> </w:t>
      </w:r>
      <w:r w:rsidR="00BB1B2A" w:rsidRPr="00D061B9">
        <w:t>m</w:t>
      </w:r>
      <w:r w:rsidR="00E83442" w:rsidRPr="00D061B9">
        <w:t>g</w:t>
      </w:r>
      <w:r w:rsidR="00BB1B2A" w:rsidRPr="00D061B9">
        <w:t xml:space="preserve"> dose</w:t>
      </w:r>
      <w:r w:rsidR="006F41A2" w:rsidRPr="00D061B9">
        <w:t xml:space="preserve"> with no additional safety or tolerability risks</w:t>
      </w:r>
      <w:r w:rsidR="00BB1B2A" w:rsidRPr="00D061B9">
        <w:t>.</w:t>
      </w:r>
      <w:r w:rsidR="00E45FD9" w:rsidRPr="00D061B9">
        <w:t xml:space="preserve"> </w:t>
      </w:r>
      <w:r w:rsidR="00D544EB">
        <w:t>Although very limited data was presented in the resubmission, t</w:t>
      </w:r>
      <w:r w:rsidR="00547D94" w:rsidRPr="00DD5D20">
        <w:t>he ESC</w:t>
      </w:r>
      <w:r w:rsidR="003F6708">
        <w:rPr>
          <w:i/>
        </w:rPr>
        <w:t xml:space="preserve"> </w:t>
      </w:r>
      <w:r w:rsidR="003F6708" w:rsidRPr="00360369">
        <w:t>and the PBAC</w:t>
      </w:r>
      <w:r w:rsidR="00547D94" w:rsidRPr="00DD5D20">
        <w:t xml:space="preserve"> </w:t>
      </w:r>
      <w:r w:rsidR="00443015">
        <w:t xml:space="preserve">considered </w:t>
      </w:r>
      <w:r w:rsidR="00547D94" w:rsidRPr="00DD5D20">
        <w:t xml:space="preserve">that the differences in efficacy are not likely to be clinically significant for most patients and </w:t>
      </w:r>
      <w:r w:rsidR="004801B7">
        <w:t xml:space="preserve">noted </w:t>
      </w:r>
      <w:r w:rsidR="00547D94" w:rsidRPr="00DD5D20">
        <w:t xml:space="preserve">the higher prevalence of adverse effects with 140 mg than with 70 mg. </w:t>
      </w:r>
      <w:r w:rsidR="00EE180F">
        <w:t xml:space="preserve">The PBAC noted some outcomes were numerically better for the 140 mg dose than the 70 mg dose in the </w:t>
      </w:r>
      <w:r w:rsidR="00691BE0">
        <w:t xml:space="preserve">subgroup </w:t>
      </w:r>
      <w:r w:rsidR="00691BE0" w:rsidRPr="00A726DC">
        <w:t>of</w:t>
      </w:r>
      <w:r w:rsidR="00A726DC">
        <w:t xml:space="preserve"> patients with an </w:t>
      </w:r>
      <w:r w:rsidR="00A726DC" w:rsidRPr="00A726DC">
        <w:t xml:space="preserve">inadequate response, intolerance or a contraindication to at least three prophylactic migraine </w:t>
      </w:r>
      <w:r w:rsidR="00691BE0">
        <w:t>medications but</w:t>
      </w:r>
      <w:r w:rsidR="00EE180F">
        <w:t xml:space="preserve"> considered the use of the subgroup too uncertain and the patient numbers too small to draw conclusions. </w:t>
      </w:r>
    </w:p>
    <w:p w:rsidR="006B7D23" w:rsidRPr="00D061B9" w:rsidRDefault="006B7D23" w:rsidP="008C17FD">
      <w:pPr>
        <w:pStyle w:val="ListParagraph"/>
        <w:numPr>
          <w:ilvl w:val="1"/>
          <w:numId w:val="2"/>
        </w:numPr>
      </w:pPr>
      <w:r w:rsidRPr="00D061B9">
        <w:t xml:space="preserve">As with the July 2018 submission, the clinical, economic and financial sections of the resubmission </w:t>
      </w:r>
      <w:r w:rsidR="00AE2EC8">
        <w:t>were</w:t>
      </w:r>
      <w:r w:rsidRPr="00D061B9">
        <w:t xml:space="preserve"> based on the 140</w:t>
      </w:r>
      <w:r w:rsidR="0020512F">
        <w:t xml:space="preserve"> </w:t>
      </w:r>
      <w:r w:rsidRPr="00D061B9">
        <w:t>mg dose only, given as 2 x 70</w:t>
      </w:r>
      <w:r w:rsidR="0020512F">
        <w:t xml:space="preserve"> </w:t>
      </w:r>
      <w:r w:rsidRPr="00D061B9">
        <w:t xml:space="preserve">mg injections. </w:t>
      </w:r>
    </w:p>
    <w:p w:rsidR="00B60939" w:rsidRPr="004801B7" w:rsidRDefault="00A95574" w:rsidP="008C17FD">
      <w:pPr>
        <w:pStyle w:val="ListParagraph"/>
        <w:numPr>
          <w:ilvl w:val="1"/>
          <w:numId w:val="2"/>
        </w:numPr>
      </w:pPr>
      <w:r w:rsidRPr="00D061B9">
        <w:t>The resubmission indicated</w:t>
      </w:r>
      <w:r w:rsidR="00BE4D98" w:rsidRPr="00D061B9">
        <w:t xml:space="preserve"> </w:t>
      </w:r>
      <w:r w:rsidRPr="00D061B9">
        <w:t xml:space="preserve">an application </w:t>
      </w:r>
      <w:r w:rsidR="004801B7">
        <w:t xml:space="preserve">had been lodged </w:t>
      </w:r>
      <w:r w:rsidRPr="00D061B9">
        <w:t xml:space="preserve">with the TGA to register </w:t>
      </w:r>
      <w:r w:rsidR="006B1D6D" w:rsidRPr="00D061B9">
        <w:t>a</w:t>
      </w:r>
      <w:r w:rsidRPr="00D061B9">
        <w:t xml:space="preserve"> 140</w:t>
      </w:r>
      <w:r w:rsidR="0020512F">
        <w:t xml:space="preserve"> </w:t>
      </w:r>
      <w:r w:rsidRPr="00D061B9">
        <w:t xml:space="preserve">mg </w:t>
      </w:r>
      <w:r w:rsidR="006B1D6D" w:rsidRPr="00D061B9">
        <w:t xml:space="preserve">injection </w:t>
      </w:r>
      <w:r w:rsidRPr="00D061B9">
        <w:t xml:space="preserve">for </w:t>
      </w:r>
      <w:proofErr w:type="spellStart"/>
      <w:r w:rsidRPr="00D061B9">
        <w:t>erenumab</w:t>
      </w:r>
      <w:proofErr w:type="spellEnd"/>
      <w:r w:rsidR="004801B7">
        <w:t xml:space="preserve"> and the pre-subcommittee response (PSCR) advised registration was </w:t>
      </w:r>
      <w:r w:rsidR="004801B7" w:rsidRPr="004801B7">
        <w:t xml:space="preserve">expected October 2019. </w:t>
      </w:r>
      <w:r w:rsidR="00E83F01" w:rsidRPr="004801B7">
        <w:t xml:space="preserve">The </w:t>
      </w:r>
      <w:r w:rsidR="002E6E64" w:rsidRPr="004801B7">
        <w:t>PBAC</w:t>
      </w:r>
      <w:r w:rsidR="00E83F01" w:rsidRPr="004801B7">
        <w:t xml:space="preserve"> noted </w:t>
      </w:r>
      <w:r w:rsidR="00D72110">
        <w:t xml:space="preserve">in the pre-PBAC response that </w:t>
      </w:r>
      <w:r w:rsidR="00E83F01" w:rsidRPr="004801B7">
        <w:t>t</w:t>
      </w:r>
      <w:r w:rsidR="00522EB6" w:rsidRPr="004801B7">
        <w:t>he Sponsor</w:t>
      </w:r>
      <w:r w:rsidR="00D72110">
        <w:t xml:space="preserve"> agreed</w:t>
      </w:r>
      <w:r w:rsidR="002E6E64" w:rsidRPr="004801B7">
        <w:t xml:space="preserve"> to</w:t>
      </w:r>
      <w:r w:rsidR="004801B7" w:rsidRPr="004801B7">
        <w:t xml:space="preserve"> make both doses (70 mg and 140 mg) available for </w:t>
      </w:r>
      <w:r w:rsidR="00D72110">
        <w:t>use through the PBS</w:t>
      </w:r>
      <w:r w:rsidR="00522EB6" w:rsidRPr="004801B7">
        <w:t>.</w:t>
      </w:r>
      <w:r w:rsidR="008C17FD">
        <w:t xml:space="preserve"> </w:t>
      </w:r>
    </w:p>
    <w:p w:rsidR="00B033E5" w:rsidRPr="00D87FED" w:rsidRDefault="00B033E5" w:rsidP="00D87FED">
      <w:pPr>
        <w:pStyle w:val="Heading2"/>
      </w:pPr>
      <w:r w:rsidRPr="00D87FED">
        <w:t>Previous PBAC consideration</w:t>
      </w:r>
    </w:p>
    <w:p w:rsidR="002C2775" w:rsidRPr="00D061B9" w:rsidRDefault="00D85379" w:rsidP="008C17FD">
      <w:pPr>
        <w:pStyle w:val="ListParagraph"/>
        <w:numPr>
          <w:ilvl w:val="1"/>
          <w:numId w:val="2"/>
        </w:numPr>
      </w:pPr>
      <w:r w:rsidRPr="00D061B9">
        <w:t>Following is a summary of the key concerns identified in the July 2018 PBAC</w:t>
      </w:r>
      <w:r w:rsidR="00165F13" w:rsidRPr="00D061B9">
        <w:t xml:space="preserve"> submission</w:t>
      </w:r>
      <w:r w:rsidRPr="00D061B9">
        <w:t xml:space="preserve"> and the </w:t>
      </w:r>
      <w:r w:rsidR="00D72110">
        <w:t>approach in</w:t>
      </w:r>
      <w:r w:rsidRPr="00D061B9">
        <w:t xml:space="preserve"> the resubmission.</w:t>
      </w:r>
      <w:r w:rsidR="00E067C6" w:rsidRPr="00D061B9">
        <w:t xml:space="preserve"> </w:t>
      </w:r>
    </w:p>
    <w:p w:rsidR="00B60939" w:rsidRPr="009758C8" w:rsidRDefault="00661DFA" w:rsidP="00D87FED">
      <w:pPr>
        <w:keepNext/>
        <w:rPr>
          <w:rStyle w:val="CommentReference"/>
        </w:rPr>
      </w:pPr>
      <w:r w:rsidRPr="009758C8">
        <w:rPr>
          <w:rFonts w:ascii="Arial Narrow" w:hAnsi="Arial Narrow"/>
          <w:b/>
          <w:sz w:val="20"/>
          <w:szCs w:val="20"/>
        </w:rPr>
        <w:lastRenderedPageBreak/>
        <w:t xml:space="preserve">Table </w:t>
      </w:r>
      <w:r w:rsidR="00474C61">
        <w:rPr>
          <w:rFonts w:ascii="Arial Narrow" w:hAnsi="Arial Narrow"/>
          <w:b/>
          <w:noProof/>
          <w:sz w:val="20"/>
          <w:szCs w:val="20"/>
        </w:rPr>
        <w:t>2</w:t>
      </w:r>
      <w:r w:rsidR="00C350C3">
        <w:rPr>
          <w:rStyle w:val="CommentReference"/>
        </w:rPr>
        <w:t xml:space="preserve">: </w:t>
      </w:r>
      <w:r w:rsidR="00203181" w:rsidRPr="009758C8">
        <w:rPr>
          <w:rStyle w:val="CommentReference"/>
        </w:rPr>
        <w:t>Summary of outstanding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2"/>
        <w:gridCol w:w="3935"/>
        <w:gridCol w:w="3650"/>
      </w:tblGrid>
      <w:tr w:rsidR="00923A55" w:rsidRPr="00C259BC" w:rsidTr="00923A55">
        <w:trPr>
          <w:tblHeader/>
        </w:trPr>
        <w:tc>
          <w:tcPr>
            <w:tcW w:w="794" w:type="pct"/>
            <w:vAlign w:val="center"/>
          </w:tcPr>
          <w:p w:rsidR="009758C8" w:rsidRPr="00F5030C" w:rsidRDefault="009758C8" w:rsidP="00D87FED">
            <w:pPr>
              <w:pStyle w:val="PbacTableHeading"/>
              <w:keepNext/>
              <w:spacing w:after="0"/>
              <w:jc w:val="left"/>
            </w:pPr>
            <w:r w:rsidRPr="00F5030C">
              <w:t>Component</w:t>
            </w:r>
          </w:p>
        </w:tc>
        <w:tc>
          <w:tcPr>
            <w:tcW w:w="2182" w:type="pct"/>
            <w:vAlign w:val="center"/>
          </w:tcPr>
          <w:p w:rsidR="009758C8" w:rsidRPr="009758C8" w:rsidRDefault="00484961" w:rsidP="00D87FED">
            <w:pPr>
              <w:pStyle w:val="PbacTableHeading"/>
              <w:keepNext/>
              <w:spacing w:after="0"/>
              <w:jc w:val="center"/>
            </w:pPr>
            <w:r>
              <w:t>July</w:t>
            </w:r>
            <w:r w:rsidRPr="009758C8">
              <w:t xml:space="preserve"> </w:t>
            </w:r>
            <w:r w:rsidR="009758C8" w:rsidRPr="009758C8">
              <w:t>2018 submission</w:t>
            </w:r>
          </w:p>
        </w:tc>
        <w:tc>
          <w:tcPr>
            <w:tcW w:w="2024" w:type="pct"/>
            <w:vAlign w:val="center"/>
          </w:tcPr>
          <w:p w:rsidR="009758C8" w:rsidRPr="009758C8" w:rsidRDefault="009758C8" w:rsidP="00D87FED">
            <w:pPr>
              <w:pStyle w:val="PbacTableHeading"/>
              <w:keepNext/>
              <w:spacing w:after="0"/>
              <w:jc w:val="center"/>
            </w:pPr>
            <w:r w:rsidRPr="009758C8">
              <w:t>Nov</w:t>
            </w:r>
            <w:r w:rsidR="00484961">
              <w:t>ember</w:t>
            </w:r>
            <w:r w:rsidRPr="009758C8">
              <w:t xml:space="preserve"> 2018 resubmission</w:t>
            </w:r>
          </w:p>
        </w:tc>
      </w:tr>
      <w:tr w:rsidR="00923A55" w:rsidRPr="00C259BC" w:rsidTr="00923A55">
        <w:tc>
          <w:tcPr>
            <w:tcW w:w="794" w:type="pct"/>
            <w:vAlign w:val="center"/>
          </w:tcPr>
          <w:p w:rsidR="009758C8" w:rsidRPr="00C259BC" w:rsidRDefault="009758C8" w:rsidP="00D87FED">
            <w:pPr>
              <w:pStyle w:val="PBACTableText"/>
              <w:keepNext/>
              <w:spacing w:before="0" w:after="0"/>
              <w:jc w:val="left"/>
            </w:pPr>
            <w:r w:rsidRPr="00C259BC">
              <w:t>Requested PBS listing</w:t>
            </w:r>
          </w:p>
        </w:tc>
        <w:tc>
          <w:tcPr>
            <w:tcW w:w="2182" w:type="pct"/>
            <w:vAlign w:val="center"/>
          </w:tcPr>
          <w:p w:rsidR="009758C8" w:rsidRPr="00C259BC" w:rsidRDefault="009758C8" w:rsidP="00D87FED">
            <w:pPr>
              <w:pStyle w:val="PBACTableText"/>
              <w:keepNext/>
              <w:spacing w:before="0" w:after="0"/>
              <w:jc w:val="left"/>
            </w:pPr>
            <w:r>
              <w:t>N</w:t>
            </w:r>
            <w:r w:rsidRPr="00C259BC">
              <w:t>o justification for excluding patients who had previously been treated with Boto</w:t>
            </w:r>
            <w:r>
              <w:t>x.</w:t>
            </w:r>
          </w:p>
          <w:p w:rsidR="009758C8" w:rsidRPr="00C259BC" w:rsidRDefault="009758C8" w:rsidP="00D87FED">
            <w:pPr>
              <w:pStyle w:val="PBACTableText"/>
              <w:keepNext/>
              <w:spacing w:before="0" w:after="0"/>
              <w:jc w:val="left"/>
            </w:pPr>
            <w:r>
              <w:t>(paragraph 7.4 July 2018 PSD)</w:t>
            </w:r>
          </w:p>
        </w:tc>
        <w:tc>
          <w:tcPr>
            <w:tcW w:w="2024" w:type="pct"/>
            <w:vAlign w:val="center"/>
          </w:tcPr>
          <w:p w:rsidR="009758C8" w:rsidRPr="00C259BC" w:rsidRDefault="009758C8" w:rsidP="00D87FED">
            <w:pPr>
              <w:pStyle w:val="PBACTableText"/>
              <w:keepNext/>
              <w:spacing w:before="0" w:after="0"/>
              <w:jc w:val="left"/>
            </w:pPr>
            <w:r>
              <w:t>Patients who have been treated with Botox included.</w:t>
            </w:r>
            <w:r w:rsidR="00547D94">
              <w:t xml:space="preserve"> </w:t>
            </w:r>
            <w:r w:rsidR="00547D94" w:rsidRPr="00DD5D20">
              <w:t xml:space="preserve">The ESC </w:t>
            </w:r>
            <w:r w:rsidR="00670FA8" w:rsidRPr="00DD5D20">
              <w:t xml:space="preserve">considered </w:t>
            </w:r>
            <w:r w:rsidR="00547D94" w:rsidRPr="00DD5D20">
              <w:t>this was appropriate.</w:t>
            </w:r>
          </w:p>
        </w:tc>
      </w:tr>
      <w:tr w:rsidR="00923A55" w:rsidRPr="00C259BC" w:rsidTr="00923A55">
        <w:tc>
          <w:tcPr>
            <w:tcW w:w="794" w:type="pct"/>
            <w:vAlign w:val="center"/>
          </w:tcPr>
          <w:p w:rsidR="009758C8" w:rsidRPr="00C259BC" w:rsidRDefault="009758C8" w:rsidP="00D87FED">
            <w:pPr>
              <w:pStyle w:val="PBACTableText"/>
              <w:keepNext/>
              <w:spacing w:before="0" w:after="0"/>
              <w:jc w:val="left"/>
            </w:pPr>
            <w:r>
              <w:t>Clinical place</w:t>
            </w:r>
            <w:r w:rsidR="00EF18B9">
              <w:t>/comparator</w:t>
            </w:r>
          </w:p>
        </w:tc>
        <w:tc>
          <w:tcPr>
            <w:tcW w:w="2182" w:type="pct"/>
            <w:vAlign w:val="center"/>
          </w:tcPr>
          <w:p w:rsidR="009758C8" w:rsidRDefault="00F5030C" w:rsidP="00D87FED">
            <w:pPr>
              <w:pStyle w:val="PBACTableText"/>
              <w:keepNext/>
              <w:spacing w:before="0" w:after="0"/>
              <w:jc w:val="left"/>
            </w:pPr>
            <w:r>
              <w:t xml:space="preserve">Re-evaluate and justify the clinical place of </w:t>
            </w:r>
            <w:proofErr w:type="spellStart"/>
            <w:r>
              <w:t>erenumab</w:t>
            </w:r>
            <w:proofErr w:type="spellEnd"/>
          </w:p>
          <w:p w:rsidR="00F5030C" w:rsidRPr="00C259BC" w:rsidRDefault="00F5030C" w:rsidP="00D87FED">
            <w:pPr>
              <w:pStyle w:val="PBACTableText"/>
              <w:keepNext/>
              <w:spacing w:before="0" w:after="0"/>
              <w:jc w:val="left"/>
            </w:pPr>
            <w:r>
              <w:t>(paragraph 7.20 July 2018 PSD)</w:t>
            </w:r>
          </w:p>
        </w:tc>
        <w:tc>
          <w:tcPr>
            <w:tcW w:w="2024" w:type="pct"/>
            <w:vAlign w:val="center"/>
          </w:tcPr>
          <w:p w:rsidR="009758C8" w:rsidRPr="005E5EDB" w:rsidRDefault="005E5EDB" w:rsidP="00D87FED">
            <w:pPr>
              <w:pStyle w:val="PBACTableText"/>
              <w:keepNext/>
              <w:spacing w:before="0" w:after="0"/>
              <w:jc w:val="left"/>
            </w:pPr>
            <w:r w:rsidRPr="005E5EDB">
              <w:rPr>
                <w:lang w:val="en-US"/>
              </w:rPr>
              <w:t>R</w:t>
            </w:r>
            <w:r w:rsidR="00DC6C06" w:rsidRPr="005E5EDB">
              <w:rPr>
                <w:lang w:val="en-US"/>
              </w:rPr>
              <w:t xml:space="preserve">esubmission has maintained </w:t>
            </w:r>
            <w:proofErr w:type="spellStart"/>
            <w:r w:rsidR="00DC6C06" w:rsidRPr="005E5EDB">
              <w:rPr>
                <w:lang w:val="en-US"/>
              </w:rPr>
              <w:t>erenumab</w:t>
            </w:r>
            <w:proofErr w:type="spellEnd"/>
            <w:r w:rsidR="00DC6C06" w:rsidRPr="005E5EDB">
              <w:rPr>
                <w:lang w:val="en-US"/>
              </w:rPr>
              <w:t xml:space="preserve"> as a last-line treatment option but has broadened the treatment population</w:t>
            </w:r>
            <w:r w:rsidRPr="005E5EDB">
              <w:rPr>
                <w:lang w:val="en-US"/>
              </w:rPr>
              <w:t xml:space="preserve"> to include patients for whom Botox is not a treatment option.</w:t>
            </w:r>
          </w:p>
          <w:p w:rsidR="00EF18B9" w:rsidRPr="00C259BC" w:rsidRDefault="00EF18B9" w:rsidP="00D87FED">
            <w:pPr>
              <w:pStyle w:val="PBACTableText"/>
              <w:keepNext/>
              <w:spacing w:before="0" w:after="0"/>
              <w:jc w:val="left"/>
            </w:pPr>
            <w:r w:rsidRPr="00C259BC">
              <w:t xml:space="preserve">Botox </w:t>
            </w:r>
            <w:r>
              <w:t xml:space="preserve">remained as comparator and </w:t>
            </w:r>
            <w:r w:rsidR="007F4155">
              <w:t>BSC</w:t>
            </w:r>
            <w:r>
              <w:t xml:space="preserve"> added as a comparator for the non-Botox population</w:t>
            </w:r>
            <w:r w:rsidR="00923A55">
              <w:t>.</w:t>
            </w:r>
          </w:p>
        </w:tc>
      </w:tr>
      <w:tr w:rsidR="00923A55" w:rsidRPr="00C259BC" w:rsidTr="00923A55">
        <w:tc>
          <w:tcPr>
            <w:tcW w:w="794" w:type="pct"/>
            <w:vAlign w:val="center"/>
          </w:tcPr>
          <w:p w:rsidR="009758C8" w:rsidRPr="00C259BC" w:rsidRDefault="009758C8" w:rsidP="00D87FED">
            <w:pPr>
              <w:pStyle w:val="PBACTableText"/>
              <w:keepNext/>
              <w:spacing w:before="0" w:after="0"/>
              <w:jc w:val="left"/>
            </w:pPr>
            <w:r w:rsidRPr="00C259BC">
              <w:t xml:space="preserve">Clinical evidence </w:t>
            </w:r>
          </w:p>
        </w:tc>
        <w:tc>
          <w:tcPr>
            <w:tcW w:w="2182" w:type="pct"/>
            <w:vAlign w:val="center"/>
          </w:tcPr>
          <w:p w:rsidR="009758C8" w:rsidRPr="00C259BC" w:rsidRDefault="009758C8" w:rsidP="00D87FED">
            <w:pPr>
              <w:pStyle w:val="PBACTableText"/>
              <w:keepNext/>
              <w:spacing w:before="0" w:after="0"/>
              <w:jc w:val="left"/>
            </w:pPr>
            <w:r>
              <w:t>PBAC considered the subgroup insufficient.</w:t>
            </w:r>
            <w:r w:rsidRPr="00C259BC">
              <w:t xml:space="preserve"> </w:t>
            </w:r>
            <w:r>
              <w:t>(paragraph 7.11 July 2018 PSD)</w:t>
            </w:r>
          </w:p>
        </w:tc>
        <w:tc>
          <w:tcPr>
            <w:tcW w:w="2024" w:type="pct"/>
            <w:vAlign w:val="center"/>
          </w:tcPr>
          <w:p w:rsidR="009758C8" w:rsidRPr="00C259BC" w:rsidRDefault="009758C8" w:rsidP="00D87FED">
            <w:pPr>
              <w:pStyle w:val="PBACTableText"/>
              <w:keepNext/>
              <w:spacing w:before="0" w:after="0"/>
              <w:jc w:val="left"/>
            </w:pPr>
            <w:r>
              <w:t xml:space="preserve">Subgroup </w:t>
            </w:r>
            <w:r w:rsidR="00D6378C">
              <w:t xml:space="preserve">expanded to </w:t>
            </w:r>
            <w:r>
              <w:t>include patients who may have used Botox (N=163; 34.8% of Study 295).</w:t>
            </w:r>
          </w:p>
        </w:tc>
      </w:tr>
      <w:tr w:rsidR="00923A55" w:rsidRPr="00C259BC" w:rsidTr="00923A55">
        <w:tc>
          <w:tcPr>
            <w:tcW w:w="794" w:type="pct"/>
            <w:vAlign w:val="center"/>
          </w:tcPr>
          <w:p w:rsidR="009758C8" w:rsidRPr="00C259BC" w:rsidRDefault="009758C8" w:rsidP="00D87FED">
            <w:pPr>
              <w:pStyle w:val="PBACTableText"/>
              <w:keepNext/>
              <w:spacing w:before="0" w:after="0"/>
              <w:jc w:val="left"/>
            </w:pPr>
            <w:r w:rsidRPr="00C259BC">
              <w:t>Clinical claim</w:t>
            </w:r>
          </w:p>
        </w:tc>
        <w:tc>
          <w:tcPr>
            <w:tcW w:w="2182" w:type="pct"/>
            <w:vAlign w:val="center"/>
          </w:tcPr>
          <w:p w:rsidR="009758C8" w:rsidRPr="00C259BC" w:rsidRDefault="009758C8" w:rsidP="00D87FED">
            <w:pPr>
              <w:pStyle w:val="PBACTableText"/>
              <w:keepNext/>
              <w:spacing w:before="0" w:after="0"/>
              <w:jc w:val="left"/>
            </w:pPr>
            <w:r w:rsidRPr="00C259BC">
              <w:t>Superior comparative effectiveness and comparative safety over Botox</w:t>
            </w:r>
            <w:r>
              <w:t xml:space="preserve"> was not accepted.</w:t>
            </w:r>
          </w:p>
          <w:p w:rsidR="009758C8" w:rsidRPr="00C259BC" w:rsidRDefault="009758C8" w:rsidP="00D87FED">
            <w:pPr>
              <w:pStyle w:val="PBACTableText"/>
              <w:keepNext/>
              <w:spacing w:before="0" w:after="0"/>
              <w:jc w:val="left"/>
            </w:pPr>
            <w:r>
              <w:t>(paragraph 7.11 July 2018 PSD)</w:t>
            </w:r>
          </w:p>
        </w:tc>
        <w:tc>
          <w:tcPr>
            <w:tcW w:w="2024" w:type="pct"/>
            <w:vAlign w:val="center"/>
          </w:tcPr>
          <w:p w:rsidR="009758C8" w:rsidRPr="00C259BC" w:rsidRDefault="009758C8" w:rsidP="00D87FED">
            <w:pPr>
              <w:pStyle w:val="PBACTableText"/>
              <w:keepNext/>
              <w:spacing w:before="0" w:after="0"/>
              <w:jc w:val="left"/>
            </w:pPr>
            <w:r>
              <w:t xml:space="preserve">Claim altered to non-inferior </w:t>
            </w:r>
            <w:r w:rsidRPr="00C259BC">
              <w:t xml:space="preserve">comparative effectiveness and safety over </w:t>
            </w:r>
            <w:r w:rsidR="00AE1A3B" w:rsidRPr="00C259BC">
              <w:t xml:space="preserve">Botox </w:t>
            </w:r>
            <w:r w:rsidR="00AE1A3B">
              <w:t>and</w:t>
            </w:r>
            <w:r>
              <w:t xml:space="preserve"> s</w:t>
            </w:r>
            <w:r w:rsidRPr="00C259BC">
              <w:t xml:space="preserve">uperior comparative effectiveness and equivalent comparative safety over </w:t>
            </w:r>
            <w:r w:rsidR="007F4155">
              <w:t>BSC</w:t>
            </w:r>
            <w:r>
              <w:t>.</w:t>
            </w:r>
          </w:p>
        </w:tc>
      </w:tr>
      <w:tr w:rsidR="00923A55" w:rsidRPr="00C259BC" w:rsidTr="00923A55">
        <w:tc>
          <w:tcPr>
            <w:tcW w:w="794" w:type="pct"/>
            <w:vAlign w:val="center"/>
          </w:tcPr>
          <w:p w:rsidR="009758C8" w:rsidRPr="00C259BC" w:rsidRDefault="009758C8" w:rsidP="00D87FED">
            <w:pPr>
              <w:pStyle w:val="PBACTableText"/>
              <w:keepNext/>
              <w:spacing w:before="0" w:after="0"/>
              <w:jc w:val="left"/>
            </w:pPr>
            <w:r w:rsidRPr="00C259BC">
              <w:t>Economic evaluation</w:t>
            </w:r>
          </w:p>
        </w:tc>
        <w:tc>
          <w:tcPr>
            <w:tcW w:w="2182" w:type="pct"/>
            <w:vAlign w:val="center"/>
          </w:tcPr>
          <w:p w:rsidR="009758C8" w:rsidRDefault="009758C8" w:rsidP="00D87FED">
            <w:pPr>
              <w:pStyle w:val="PBACTableText"/>
              <w:keepNext/>
              <w:spacing w:before="0" w:after="0"/>
              <w:jc w:val="left"/>
            </w:pPr>
            <w:r>
              <w:t>U</w:t>
            </w:r>
            <w:r w:rsidRPr="00C259BC">
              <w:t xml:space="preserve">se </w:t>
            </w:r>
            <w:r>
              <w:t xml:space="preserve">of </w:t>
            </w:r>
            <w:r w:rsidRPr="00C259BC">
              <w:t xml:space="preserve">a cost-utility analysis to assess the cost-effectiveness of </w:t>
            </w:r>
            <w:proofErr w:type="spellStart"/>
            <w:r w:rsidRPr="00C259BC">
              <w:t>erenumab</w:t>
            </w:r>
            <w:proofErr w:type="spellEnd"/>
            <w:r w:rsidRPr="00C259BC">
              <w:t xml:space="preserve"> over Botox was unreliable</w:t>
            </w:r>
            <w:r>
              <w:t xml:space="preserve">. </w:t>
            </w:r>
          </w:p>
          <w:p w:rsidR="00F57D8F" w:rsidRDefault="00F57D8F" w:rsidP="00D87FED">
            <w:pPr>
              <w:pStyle w:val="PBACTableText"/>
              <w:keepNext/>
              <w:spacing w:before="0" w:after="0"/>
              <w:jc w:val="left"/>
            </w:pPr>
            <w:proofErr w:type="spellStart"/>
            <w:r>
              <w:t>E</w:t>
            </w:r>
            <w:r w:rsidRPr="00C259BC">
              <w:t>renumab</w:t>
            </w:r>
            <w:proofErr w:type="spellEnd"/>
            <w:r w:rsidRPr="00C259BC">
              <w:t xml:space="preserve"> would be </w:t>
            </w:r>
            <w:r>
              <w:t>c</w:t>
            </w:r>
            <w:r w:rsidRPr="00C259BC">
              <w:t>ost-effective with an ICER between $15,000-$45,000 per QALY</w:t>
            </w:r>
            <w:r>
              <w:t xml:space="preserve"> </w:t>
            </w:r>
          </w:p>
          <w:p w:rsidR="009758C8" w:rsidRPr="00C259BC" w:rsidRDefault="009758C8" w:rsidP="00D87FED">
            <w:pPr>
              <w:pStyle w:val="PBACTableText"/>
              <w:keepNext/>
              <w:spacing w:before="0" w:after="0"/>
              <w:jc w:val="left"/>
            </w:pPr>
            <w:r>
              <w:t>(paragraph</w:t>
            </w:r>
            <w:r w:rsidR="00F57D8F">
              <w:t>s</w:t>
            </w:r>
            <w:r>
              <w:t xml:space="preserve"> 7.13</w:t>
            </w:r>
            <w:r w:rsidR="00F57D8F">
              <w:t xml:space="preserve"> and 7.20</w:t>
            </w:r>
            <w:r>
              <w:t xml:space="preserve"> July 2018 PSD) </w:t>
            </w:r>
          </w:p>
        </w:tc>
        <w:tc>
          <w:tcPr>
            <w:tcW w:w="2024" w:type="pct"/>
            <w:vAlign w:val="center"/>
          </w:tcPr>
          <w:p w:rsidR="00D72110" w:rsidRDefault="00D72110" w:rsidP="00D87FED">
            <w:pPr>
              <w:pStyle w:val="PBACTableText"/>
              <w:keepNext/>
              <w:spacing w:before="0" w:after="0"/>
              <w:jc w:val="left"/>
            </w:pPr>
            <w:r>
              <w:t>Cost-minimisation analysis versus Botox.</w:t>
            </w:r>
          </w:p>
          <w:p w:rsidR="009758C8" w:rsidRPr="00C259BC" w:rsidRDefault="009758C8" w:rsidP="00D87FED">
            <w:pPr>
              <w:pStyle w:val="PBACTableText"/>
              <w:keepNext/>
              <w:spacing w:before="0" w:after="0"/>
              <w:jc w:val="left"/>
            </w:pPr>
            <w:r>
              <w:t xml:space="preserve">Modelled analysis versus </w:t>
            </w:r>
            <w:r w:rsidR="007F4155">
              <w:t>BSC</w:t>
            </w:r>
            <w:r w:rsidR="00C350C3">
              <w:t>.</w:t>
            </w:r>
            <w:r w:rsidR="00CB085D">
              <w:t xml:space="preserve"> Estimated base case ICER: $</w:t>
            </w:r>
            <w:r w:rsidR="00405DA0">
              <w:rPr>
                <w:noProof/>
                <w:color w:val="000000"/>
                <w:highlight w:val="black"/>
              </w:rPr>
              <w:t>'''''''''''''''</w:t>
            </w:r>
          </w:p>
        </w:tc>
      </w:tr>
      <w:tr w:rsidR="00923A55" w:rsidRPr="00863E22" w:rsidTr="00923A55">
        <w:tc>
          <w:tcPr>
            <w:tcW w:w="794" w:type="pct"/>
            <w:vAlign w:val="center"/>
          </w:tcPr>
          <w:p w:rsidR="009758C8" w:rsidRPr="00C259BC" w:rsidRDefault="009758C8" w:rsidP="00D87FED">
            <w:pPr>
              <w:pStyle w:val="PBACTableText"/>
              <w:keepNext/>
              <w:spacing w:before="0" w:after="0"/>
              <w:jc w:val="left"/>
            </w:pPr>
            <w:r>
              <w:t>Financial implications</w:t>
            </w:r>
          </w:p>
        </w:tc>
        <w:tc>
          <w:tcPr>
            <w:tcW w:w="2182" w:type="pct"/>
            <w:vAlign w:val="center"/>
          </w:tcPr>
          <w:p w:rsidR="009758C8" w:rsidRDefault="009758C8" w:rsidP="00D87FED">
            <w:pPr>
              <w:pStyle w:val="PBACTableText"/>
              <w:keepNext/>
              <w:spacing w:before="0" w:after="0"/>
              <w:jc w:val="left"/>
            </w:pPr>
            <w:r>
              <w:t>U</w:t>
            </w:r>
            <w:r w:rsidRPr="00C259BC">
              <w:t xml:space="preserve">tilisation of </w:t>
            </w:r>
            <w:proofErr w:type="spellStart"/>
            <w:r w:rsidRPr="00C259BC">
              <w:t>erenumab</w:t>
            </w:r>
            <w:proofErr w:type="spellEnd"/>
            <w:r w:rsidRPr="00C259BC">
              <w:t xml:space="preserve"> and resulting financial impact were likely to have been significantly underestimated</w:t>
            </w:r>
            <w:r>
              <w:t>.</w:t>
            </w:r>
          </w:p>
          <w:p w:rsidR="009758C8" w:rsidRPr="00C259BC" w:rsidRDefault="009758C8" w:rsidP="00D87FED">
            <w:pPr>
              <w:pStyle w:val="PBACTableText"/>
              <w:keepNext/>
              <w:spacing w:before="0" w:after="0"/>
              <w:jc w:val="left"/>
            </w:pPr>
            <w:r>
              <w:t>(paragraph 7.19 July 2018 PSD)</w:t>
            </w:r>
          </w:p>
        </w:tc>
        <w:tc>
          <w:tcPr>
            <w:tcW w:w="2024" w:type="pct"/>
            <w:vAlign w:val="center"/>
          </w:tcPr>
          <w:p w:rsidR="009758C8" w:rsidRPr="00863E22" w:rsidRDefault="009758C8" w:rsidP="00D87FED">
            <w:pPr>
              <w:pStyle w:val="PBACTableText"/>
              <w:keepNext/>
              <w:spacing w:before="0" w:after="0"/>
              <w:jc w:val="left"/>
              <w:rPr>
                <w:lang w:val="en-US"/>
              </w:rPr>
            </w:pPr>
            <w:r w:rsidRPr="00863E22">
              <w:rPr>
                <w:lang w:val="en-US"/>
              </w:rPr>
              <w:t>Patient population has been broadened with estimated patient numbers increased to</w:t>
            </w:r>
            <w:r w:rsidR="00D575E6" w:rsidRPr="00863E22">
              <w:rPr>
                <w:lang w:val="en-US"/>
              </w:rPr>
              <w:t xml:space="preserve"> </w:t>
            </w:r>
            <w:r w:rsidR="00405DA0">
              <w:rPr>
                <w:noProof/>
                <w:color w:val="000000"/>
                <w:highlight w:val="black"/>
                <w:lang w:val="en-US"/>
              </w:rPr>
              <w:t>'''''''''''''''''''''</w:t>
            </w:r>
            <w:r w:rsidR="00ED5098" w:rsidRPr="00863E22">
              <w:rPr>
                <w:lang w:val="en-US"/>
              </w:rPr>
              <w:t>.</w:t>
            </w:r>
            <w:r w:rsidRPr="00863E22">
              <w:rPr>
                <w:lang w:val="en-US"/>
              </w:rPr>
              <w:t xml:space="preserve"> Estimated net cost to Government $</w:t>
            </w:r>
            <w:r w:rsidR="00405DA0">
              <w:rPr>
                <w:noProof/>
                <w:color w:val="000000"/>
                <w:highlight w:val="black"/>
                <w:lang w:val="en-US"/>
              </w:rPr>
              <w:t>'''''''''' ''''''''''''''''</w:t>
            </w:r>
            <w:r w:rsidRPr="00863E22">
              <w:rPr>
                <w:lang w:val="en-US"/>
              </w:rPr>
              <w:t xml:space="preserve"> dollars</w:t>
            </w:r>
            <w:r w:rsidR="00F85ACE" w:rsidRPr="00863E22">
              <w:rPr>
                <w:lang w:val="en-US"/>
              </w:rPr>
              <w:t xml:space="preserve"> over the initial 6 years following listing</w:t>
            </w:r>
            <w:r w:rsidRPr="00863E22">
              <w:rPr>
                <w:lang w:val="en-US"/>
              </w:rPr>
              <w:t>.</w:t>
            </w:r>
          </w:p>
        </w:tc>
      </w:tr>
    </w:tbl>
    <w:p w:rsidR="00A069C4" w:rsidRDefault="00A069C4" w:rsidP="00D87FED">
      <w:pPr>
        <w:pStyle w:val="TableFooter"/>
      </w:pPr>
      <w:r>
        <w:t>BSC=best supportive care; PSD=public summary document</w:t>
      </w:r>
    </w:p>
    <w:p w:rsidR="00203181" w:rsidRDefault="00203181" w:rsidP="00D87FED">
      <w:pPr>
        <w:pStyle w:val="TableFooter"/>
      </w:pPr>
    </w:p>
    <w:p w:rsidR="00E55BB5" w:rsidRDefault="00E55BB5" w:rsidP="00D87FED"/>
    <w:p w:rsidR="00E444A6" w:rsidRPr="00E444A6" w:rsidRDefault="00E444A6" w:rsidP="00D87FED">
      <w:pPr>
        <w:spacing w:after="120"/>
        <w:ind w:firstLine="709"/>
        <w:rPr>
          <w:i/>
        </w:rPr>
      </w:pPr>
      <w:r w:rsidRPr="002E6E64">
        <w:rPr>
          <w:i/>
        </w:rPr>
        <w:t>For more detail on the PBAC’s view, see section 7 PBAC outcome.</w:t>
      </w:r>
    </w:p>
    <w:p w:rsidR="00B50DB8" w:rsidRPr="00407F2D" w:rsidRDefault="00203181" w:rsidP="008C17FD">
      <w:pPr>
        <w:pStyle w:val="PBACHeading1"/>
        <w:spacing w:before="240"/>
      </w:pPr>
      <w:bookmarkStart w:id="3" w:name="_Toc535926552"/>
      <w:r>
        <w:t xml:space="preserve">Population and </w:t>
      </w:r>
      <w:r w:rsidR="008E0D3C">
        <w:t>d</w:t>
      </w:r>
      <w:r>
        <w:t>isease</w:t>
      </w:r>
      <w:bookmarkEnd w:id="3"/>
    </w:p>
    <w:p w:rsidR="00B62213" w:rsidRPr="00D061B9" w:rsidRDefault="00B62213" w:rsidP="008C17FD">
      <w:pPr>
        <w:pStyle w:val="ListParagraph"/>
        <w:numPr>
          <w:ilvl w:val="1"/>
          <w:numId w:val="2"/>
        </w:numPr>
      </w:pPr>
      <w:r>
        <w:t xml:space="preserve">Migraine is characterised by recurrent headache, lasting 4 to 72 hours and often </w:t>
      </w:r>
      <w:r w:rsidRPr="00D061B9">
        <w:t>accompanied by symptoms such as nausea, vomiting and hypersensitivity to light a</w:t>
      </w:r>
      <w:r w:rsidR="00C350C3">
        <w:t xml:space="preserve">nd sound. </w:t>
      </w:r>
      <w:r w:rsidRPr="00D061B9">
        <w:t xml:space="preserve">The target population for treatment with </w:t>
      </w:r>
      <w:proofErr w:type="spellStart"/>
      <w:r w:rsidRPr="00D061B9">
        <w:t>erenumab</w:t>
      </w:r>
      <w:proofErr w:type="spellEnd"/>
      <w:r w:rsidRPr="00D061B9">
        <w:t xml:space="preserve"> are adult patients with chronic migraine, defined as 15 or more headache days per month, at least 8 of which hav</w:t>
      </w:r>
      <w:r w:rsidR="00C350C3">
        <w:t xml:space="preserve">e to be typical migraine days. </w:t>
      </w:r>
      <w:r w:rsidR="00255146" w:rsidRPr="00D061B9">
        <w:t xml:space="preserve">The TGA indication is not limited to chronic migraine. </w:t>
      </w:r>
    </w:p>
    <w:p w:rsidR="005B48B0" w:rsidRPr="00D061B9" w:rsidRDefault="003C7693" w:rsidP="008C17FD">
      <w:pPr>
        <w:pStyle w:val="ListParagraph"/>
        <w:numPr>
          <w:ilvl w:val="1"/>
          <w:numId w:val="2"/>
        </w:numPr>
      </w:pPr>
      <w:r w:rsidRPr="00D061B9">
        <w:t xml:space="preserve">The resubmission </w:t>
      </w:r>
      <w:r w:rsidR="00F82819">
        <w:t>proposed</w:t>
      </w:r>
      <w:r w:rsidRPr="00D061B9">
        <w:t xml:space="preserve"> </w:t>
      </w:r>
      <w:proofErr w:type="spellStart"/>
      <w:r w:rsidRPr="00D061B9">
        <w:t>erenumab</w:t>
      </w:r>
      <w:proofErr w:type="spellEnd"/>
      <w:r w:rsidRPr="00D061B9">
        <w:t xml:space="preserve"> as </w:t>
      </w:r>
      <w:r w:rsidR="00F82819">
        <w:rPr>
          <w:lang w:val="en-US"/>
        </w:rPr>
        <w:t>a treatment for</w:t>
      </w:r>
      <w:r w:rsidRPr="00D061B9">
        <w:rPr>
          <w:lang w:val="en-US"/>
        </w:rPr>
        <w:t xml:space="preserve"> patient</w:t>
      </w:r>
      <w:r w:rsidR="00F82819">
        <w:rPr>
          <w:lang w:val="en-US"/>
        </w:rPr>
        <w:t>s who</w:t>
      </w:r>
      <w:r w:rsidRPr="00D061B9">
        <w:rPr>
          <w:lang w:val="en-US"/>
        </w:rPr>
        <w:t xml:space="preserve"> ha</w:t>
      </w:r>
      <w:r w:rsidR="00F82819">
        <w:rPr>
          <w:lang w:val="en-US"/>
        </w:rPr>
        <w:t>ve</w:t>
      </w:r>
      <w:r w:rsidRPr="00D061B9">
        <w:rPr>
          <w:lang w:val="en-US"/>
        </w:rPr>
        <w:t xml:space="preserve"> failed to achieve an adequate response to at least three </w:t>
      </w:r>
      <w:r w:rsidR="00F13578" w:rsidRPr="00D061B9">
        <w:rPr>
          <w:lang w:val="en-US"/>
        </w:rPr>
        <w:t xml:space="preserve">oral </w:t>
      </w:r>
      <w:r w:rsidRPr="00D061B9">
        <w:rPr>
          <w:lang w:val="en-US"/>
        </w:rPr>
        <w:t xml:space="preserve">migraine </w:t>
      </w:r>
      <w:r w:rsidRPr="00D061B9">
        <w:t>prophylactic medications, or is intolerant to, or contraindicated for, the available migraine prophylactic medications.</w:t>
      </w:r>
      <w:r w:rsidR="00C350C3">
        <w:t xml:space="preserve"> </w:t>
      </w:r>
      <w:r w:rsidR="00F82819">
        <w:t>With this clinical positioning</w:t>
      </w:r>
      <w:r w:rsidR="00C26B53" w:rsidRPr="00D061B9">
        <w:t xml:space="preserve"> </w:t>
      </w:r>
      <w:proofErr w:type="spellStart"/>
      <w:r w:rsidR="00C26B53" w:rsidRPr="00D061B9">
        <w:t>erenumab</w:t>
      </w:r>
      <w:proofErr w:type="spellEnd"/>
      <w:r w:rsidR="00C26B53" w:rsidRPr="00D061B9">
        <w:t xml:space="preserve"> </w:t>
      </w:r>
      <w:r w:rsidR="00F82819">
        <w:t>is expected to</w:t>
      </w:r>
      <w:r w:rsidR="00F82819" w:rsidRPr="00D061B9">
        <w:t xml:space="preserve"> </w:t>
      </w:r>
      <w:r w:rsidR="00C26B53" w:rsidRPr="00D061B9">
        <w:t xml:space="preserve">substitute for Botox or </w:t>
      </w:r>
      <w:r w:rsidR="00F82819">
        <w:t>be used when</w:t>
      </w:r>
      <w:r w:rsidR="00C26B53" w:rsidRPr="00D061B9">
        <w:t xml:space="preserve"> Botox is not a treatment option, </w:t>
      </w:r>
      <w:r w:rsidR="00C26B53" w:rsidRPr="00D061B9">
        <w:rPr>
          <w:lang w:val="en-US"/>
        </w:rPr>
        <w:t xml:space="preserve">due to </w:t>
      </w:r>
      <w:r w:rsidR="00D72110">
        <w:rPr>
          <w:lang w:val="en-US"/>
        </w:rPr>
        <w:t xml:space="preserve">lack of </w:t>
      </w:r>
      <w:r w:rsidR="00C26B53" w:rsidRPr="00D061B9">
        <w:rPr>
          <w:lang w:val="en-US"/>
        </w:rPr>
        <w:t xml:space="preserve">access to neurologists or patient preference relating to </w:t>
      </w:r>
      <w:r w:rsidR="00F82819">
        <w:rPr>
          <w:lang w:val="en-US"/>
        </w:rPr>
        <w:t xml:space="preserve">the </w:t>
      </w:r>
      <w:r w:rsidR="00C26B53" w:rsidRPr="00D061B9">
        <w:rPr>
          <w:lang w:val="en-US"/>
        </w:rPr>
        <w:t>Botox injection schedule</w:t>
      </w:r>
      <w:r w:rsidR="00C31F35">
        <w:rPr>
          <w:lang w:val="en-US"/>
        </w:rPr>
        <w:t xml:space="preserve"> as previously noted by the PBAC </w:t>
      </w:r>
      <w:r w:rsidR="00C31F35" w:rsidRPr="00D061B9">
        <w:rPr>
          <w:lang w:val="en-US"/>
        </w:rPr>
        <w:t>(paragraph 7.8 July 2018 PSD)</w:t>
      </w:r>
      <w:r w:rsidR="00C26B53" w:rsidRPr="00D061B9">
        <w:rPr>
          <w:lang w:val="en-US"/>
        </w:rPr>
        <w:t>.</w:t>
      </w:r>
    </w:p>
    <w:p w:rsidR="003446AA" w:rsidRPr="00E76C4C" w:rsidRDefault="00E76C4C" w:rsidP="008C17FD">
      <w:pPr>
        <w:pStyle w:val="ListParagraph"/>
        <w:numPr>
          <w:ilvl w:val="1"/>
          <w:numId w:val="2"/>
        </w:numPr>
      </w:pPr>
      <w:r>
        <w:rPr>
          <w:lang w:val="en-US"/>
        </w:rPr>
        <w:t>T</w:t>
      </w:r>
      <w:r w:rsidR="003446AA" w:rsidRPr="00E76C4C">
        <w:rPr>
          <w:lang w:val="en-US"/>
        </w:rPr>
        <w:t xml:space="preserve">he </w:t>
      </w:r>
      <w:r>
        <w:rPr>
          <w:lang w:val="en-US"/>
        </w:rPr>
        <w:t xml:space="preserve">DUSC considered that while the </w:t>
      </w:r>
      <w:r w:rsidR="001A4FD2">
        <w:rPr>
          <w:lang w:val="en-US"/>
        </w:rPr>
        <w:t xml:space="preserve">total number of patients with chronic migraine is difficult to estimate </w:t>
      </w:r>
      <w:r>
        <w:rPr>
          <w:lang w:val="en-US"/>
        </w:rPr>
        <w:t xml:space="preserve">the prevalence of chronic migraine is likely </w:t>
      </w:r>
      <w:r w:rsidR="001A4FD2">
        <w:rPr>
          <w:lang w:val="en-US"/>
        </w:rPr>
        <w:t xml:space="preserve">to be approximately </w:t>
      </w:r>
      <w:r>
        <w:rPr>
          <w:lang w:val="en-US"/>
        </w:rPr>
        <w:t xml:space="preserve">400,000 patients. </w:t>
      </w:r>
    </w:p>
    <w:p w:rsidR="00E444A6" w:rsidRPr="00E444A6" w:rsidRDefault="00E444A6" w:rsidP="00D87FED">
      <w:pPr>
        <w:spacing w:after="120"/>
        <w:ind w:firstLine="709"/>
        <w:rPr>
          <w:i/>
        </w:rPr>
      </w:pPr>
      <w:r w:rsidRPr="00E33997">
        <w:rPr>
          <w:i/>
        </w:rPr>
        <w:t>For more detail on the PBAC’s view, see section 7 PBAC outcome.</w:t>
      </w:r>
    </w:p>
    <w:p w:rsidR="00B50DB8" w:rsidRPr="00407F2D" w:rsidRDefault="00B50DB8" w:rsidP="008C17FD">
      <w:pPr>
        <w:pStyle w:val="PBACHeading1"/>
        <w:spacing w:before="240"/>
      </w:pPr>
      <w:bookmarkStart w:id="4" w:name="_Toc535926553"/>
      <w:r w:rsidRPr="00407F2D">
        <w:lastRenderedPageBreak/>
        <w:t>Comparator</w:t>
      </w:r>
      <w:bookmarkEnd w:id="4"/>
    </w:p>
    <w:p w:rsidR="003D3FBF" w:rsidRDefault="00A826CE" w:rsidP="008C17FD">
      <w:pPr>
        <w:pStyle w:val="ListParagraph"/>
        <w:numPr>
          <w:ilvl w:val="1"/>
          <w:numId w:val="2"/>
        </w:numPr>
      </w:pPr>
      <w:r w:rsidRPr="00D061B9">
        <w:t xml:space="preserve">Concordant with the clinical place for </w:t>
      </w:r>
      <w:proofErr w:type="spellStart"/>
      <w:r w:rsidRPr="00D061B9">
        <w:t>erenumab</w:t>
      </w:r>
      <w:proofErr w:type="spellEnd"/>
      <w:r w:rsidRPr="00D061B9">
        <w:t xml:space="preserve"> identified above by the resubmission</w:t>
      </w:r>
      <w:r w:rsidR="005358BD" w:rsidRPr="00D061B9">
        <w:t xml:space="preserve">, Botox has been maintained as a comparator and BSC has been added as the comparator for </w:t>
      </w:r>
      <w:r w:rsidR="00C410B2" w:rsidRPr="00D061B9">
        <w:t>the patient population</w:t>
      </w:r>
      <w:r w:rsidR="005358BD" w:rsidRPr="00D061B9">
        <w:t xml:space="preserve"> where Botox is not a treatment option.</w:t>
      </w:r>
      <w:r w:rsidR="00C350C3">
        <w:t xml:space="preserve"> </w:t>
      </w:r>
    </w:p>
    <w:p w:rsidR="003446AA" w:rsidRPr="00E654D1" w:rsidRDefault="003446AA" w:rsidP="008C17FD">
      <w:pPr>
        <w:pStyle w:val="ListParagraph"/>
        <w:numPr>
          <w:ilvl w:val="1"/>
          <w:numId w:val="2"/>
        </w:numPr>
      </w:pPr>
      <w:r w:rsidRPr="00B94D7A">
        <w:t xml:space="preserve">The PBAC considered that Botox </w:t>
      </w:r>
      <w:r w:rsidR="002E6E64" w:rsidRPr="00B94D7A">
        <w:t xml:space="preserve">and BSC </w:t>
      </w:r>
      <w:r w:rsidRPr="00B94D7A">
        <w:t>a</w:t>
      </w:r>
      <w:r w:rsidR="002E6E64" w:rsidRPr="00B94D7A">
        <w:t>re</w:t>
      </w:r>
      <w:r w:rsidRPr="00B94D7A">
        <w:t xml:space="preserve"> reasonable </w:t>
      </w:r>
      <w:r w:rsidRPr="00E654D1">
        <w:t>comparator</w:t>
      </w:r>
      <w:r w:rsidR="002E6E64" w:rsidRPr="00E654D1">
        <w:t>s</w:t>
      </w:r>
      <w:r w:rsidRPr="00E654D1">
        <w:t>.</w:t>
      </w:r>
      <w:r w:rsidR="00B94D7A" w:rsidRPr="00E654D1">
        <w:t xml:space="preserve"> </w:t>
      </w:r>
      <w:r w:rsidR="00D72110">
        <w:t>However, the PBAC did not consider the weighting across the comparators (</w:t>
      </w:r>
      <w:r w:rsidR="00405DA0">
        <w:rPr>
          <w:noProof/>
          <w:color w:val="000000"/>
          <w:highlight w:val="black"/>
        </w:rPr>
        <w:t>'''''</w:t>
      </w:r>
      <w:r w:rsidR="00D72110">
        <w:t xml:space="preserve">% </w:t>
      </w:r>
      <w:r w:rsidR="00D72110" w:rsidRPr="0007114B">
        <w:t xml:space="preserve">Botox, </w:t>
      </w:r>
      <w:r w:rsidR="00405DA0">
        <w:rPr>
          <w:noProof/>
          <w:color w:val="000000"/>
          <w:highlight w:val="black"/>
        </w:rPr>
        <w:t>'''''</w:t>
      </w:r>
      <w:r w:rsidR="00D72110" w:rsidRPr="0007114B">
        <w:t>%</w:t>
      </w:r>
      <w:r w:rsidR="00D72110">
        <w:t xml:space="preserve"> BSC) to be adequately supported. Further, the PBAC did not consider a differential price for the two groups of patients (those treated with Botox versus those not treated with Botox) to be adequately justified. </w:t>
      </w:r>
      <w:r w:rsidR="00780FB2">
        <w:t xml:space="preserve">The PBAC also noted that a proportion of patients may be treated with sequential use of </w:t>
      </w:r>
      <w:proofErr w:type="spellStart"/>
      <w:r w:rsidR="00780FB2">
        <w:t>erenumab</w:t>
      </w:r>
      <w:proofErr w:type="spellEnd"/>
      <w:r w:rsidR="00780FB2">
        <w:t xml:space="preserve"> and Botox.</w:t>
      </w:r>
    </w:p>
    <w:p w:rsidR="00B60939" w:rsidRPr="00E444A6" w:rsidRDefault="00E444A6" w:rsidP="00D87FED">
      <w:pPr>
        <w:spacing w:after="120"/>
        <w:ind w:firstLine="709"/>
        <w:rPr>
          <w:i/>
        </w:rPr>
      </w:pPr>
      <w:r w:rsidRPr="00E33997">
        <w:rPr>
          <w:i/>
        </w:rPr>
        <w:t>For more detail on the PBAC’s view, see section 7 PBAC outcome.</w:t>
      </w:r>
    </w:p>
    <w:p w:rsidR="00B50DB8" w:rsidRPr="00407F2D" w:rsidRDefault="00BD6CF3" w:rsidP="008C17FD">
      <w:pPr>
        <w:pStyle w:val="PBACHeading1"/>
        <w:spacing w:before="240"/>
      </w:pPr>
      <w:bookmarkStart w:id="5" w:name="_Toc535926554"/>
      <w:r>
        <w:t>C</w:t>
      </w:r>
      <w:r w:rsidR="00B50DB8" w:rsidRPr="00407F2D">
        <w:t>onsideration of the evidence</w:t>
      </w:r>
      <w:bookmarkEnd w:id="5"/>
    </w:p>
    <w:p w:rsidR="00E444A6" w:rsidRDefault="00E444A6" w:rsidP="00D87FED">
      <w:pPr>
        <w:pStyle w:val="Heading2"/>
      </w:pPr>
      <w:r>
        <w:t>Sponsor hearing</w:t>
      </w:r>
    </w:p>
    <w:p w:rsidR="00E444A6" w:rsidRDefault="00E444A6" w:rsidP="008C17FD">
      <w:pPr>
        <w:pStyle w:val="ListParagraph"/>
        <w:numPr>
          <w:ilvl w:val="1"/>
          <w:numId w:val="2"/>
        </w:numPr>
      </w:pPr>
      <w:r>
        <w:t xml:space="preserve">There was no hearing for this item. </w:t>
      </w:r>
    </w:p>
    <w:p w:rsidR="00E444A6" w:rsidRDefault="00E444A6" w:rsidP="00D87FED">
      <w:pPr>
        <w:pStyle w:val="Heading2"/>
      </w:pPr>
      <w:r>
        <w:t>Consumer comments</w:t>
      </w:r>
    </w:p>
    <w:p w:rsidR="00274BD4" w:rsidRPr="001217FE" w:rsidRDefault="00274BD4" w:rsidP="008C17FD">
      <w:pPr>
        <w:numPr>
          <w:ilvl w:val="1"/>
          <w:numId w:val="2"/>
        </w:numPr>
        <w:spacing w:after="120"/>
        <w:rPr>
          <w:rFonts w:asciiTheme="minorHAnsi" w:hAnsiTheme="minorHAnsi" w:cs="Arial"/>
          <w:bCs/>
          <w:snapToGrid w:val="0"/>
        </w:rPr>
      </w:pPr>
      <w:r w:rsidRPr="001217FE">
        <w:rPr>
          <w:rFonts w:asciiTheme="minorHAnsi" w:hAnsiTheme="minorHAnsi" w:cs="Arial"/>
          <w:bCs/>
          <w:snapToGrid w:val="0"/>
        </w:rPr>
        <w:t xml:space="preserve">The PBAC noted and welcomed the input from individuals (258), health care professionals (4) and organisations (2) via the Consumer Comments facility on the PBS website. The comments described </w:t>
      </w:r>
      <w:r w:rsidR="00B61AF1">
        <w:rPr>
          <w:rFonts w:asciiTheme="minorHAnsi" w:hAnsiTheme="minorHAnsi" w:cs="Arial"/>
          <w:bCs/>
          <w:snapToGrid w:val="0"/>
        </w:rPr>
        <w:t xml:space="preserve">the debilitating physical, mental and social impact of chronic migraine. </w:t>
      </w:r>
      <w:r w:rsidR="004C370E">
        <w:rPr>
          <w:rFonts w:asciiTheme="minorHAnsi" w:hAnsiTheme="minorHAnsi" w:cs="Arial"/>
          <w:bCs/>
          <w:snapToGrid w:val="0"/>
        </w:rPr>
        <w:t xml:space="preserve">Comments from patients </w:t>
      </w:r>
      <w:r w:rsidR="000475ED">
        <w:rPr>
          <w:rFonts w:asciiTheme="minorHAnsi" w:hAnsiTheme="minorHAnsi" w:cs="Arial"/>
          <w:bCs/>
          <w:snapToGrid w:val="0"/>
        </w:rPr>
        <w:t xml:space="preserve">with </w:t>
      </w:r>
      <w:r w:rsidR="004C370E">
        <w:rPr>
          <w:rFonts w:asciiTheme="minorHAnsi" w:hAnsiTheme="minorHAnsi" w:cs="Arial"/>
          <w:bCs/>
          <w:snapToGrid w:val="0"/>
        </w:rPr>
        <w:t xml:space="preserve">experience with </w:t>
      </w:r>
      <w:r w:rsidR="000475ED">
        <w:rPr>
          <w:rFonts w:asciiTheme="minorHAnsi" w:hAnsiTheme="minorHAnsi" w:cs="Arial"/>
          <w:bCs/>
          <w:snapToGrid w:val="0"/>
        </w:rPr>
        <w:t xml:space="preserve">the use of </w:t>
      </w:r>
      <w:proofErr w:type="spellStart"/>
      <w:r w:rsidR="004C370E">
        <w:rPr>
          <w:rFonts w:asciiTheme="minorHAnsi" w:hAnsiTheme="minorHAnsi" w:cs="Arial"/>
          <w:bCs/>
          <w:snapToGrid w:val="0"/>
        </w:rPr>
        <w:t>erenumab</w:t>
      </w:r>
      <w:proofErr w:type="spellEnd"/>
      <w:r w:rsidR="004C370E">
        <w:rPr>
          <w:rFonts w:asciiTheme="minorHAnsi" w:hAnsiTheme="minorHAnsi" w:cs="Arial"/>
          <w:bCs/>
          <w:snapToGrid w:val="0"/>
        </w:rPr>
        <w:t xml:space="preserve"> describe </w:t>
      </w:r>
      <w:r w:rsidRPr="001217FE">
        <w:rPr>
          <w:rFonts w:asciiTheme="minorHAnsi" w:hAnsiTheme="minorHAnsi" w:cs="Arial"/>
          <w:bCs/>
          <w:snapToGrid w:val="0"/>
        </w:rPr>
        <w:t>a range of benefits of treatment including the ability to return to work, fewer side effects</w:t>
      </w:r>
      <w:r w:rsidR="004C370E">
        <w:rPr>
          <w:rFonts w:asciiTheme="minorHAnsi" w:hAnsiTheme="minorHAnsi" w:cs="Arial"/>
          <w:bCs/>
          <w:snapToGrid w:val="0"/>
        </w:rPr>
        <w:t xml:space="preserve"> than currently available medications</w:t>
      </w:r>
      <w:r w:rsidRPr="001217FE">
        <w:rPr>
          <w:rFonts w:asciiTheme="minorHAnsi" w:hAnsiTheme="minorHAnsi" w:cs="Arial"/>
          <w:bCs/>
          <w:snapToGrid w:val="0"/>
        </w:rPr>
        <w:t>,</w:t>
      </w:r>
      <w:r w:rsidR="00B61AF1">
        <w:rPr>
          <w:rFonts w:asciiTheme="minorHAnsi" w:hAnsiTheme="minorHAnsi" w:cs="Arial"/>
          <w:bCs/>
          <w:snapToGrid w:val="0"/>
        </w:rPr>
        <w:t xml:space="preserve"> decreased use of other medications,</w:t>
      </w:r>
      <w:r w:rsidRPr="001217FE">
        <w:rPr>
          <w:rFonts w:asciiTheme="minorHAnsi" w:hAnsiTheme="minorHAnsi" w:cs="Arial"/>
          <w:bCs/>
          <w:snapToGrid w:val="0"/>
        </w:rPr>
        <w:t xml:space="preserve"> </w:t>
      </w:r>
      <w:r w:rsidR="009835A4" w:rsidRPr="001217FE">
        <w:rPr>
          <w:rFonts w:asciiTheme="minorHAnsi" w:hAnsiTheme="minorHAnsi" w:cs="Arial"/>
          <w:bCs/>
          <w:snapToGrid w:val="0"/>
        </w:rPr>
        <w:t>increased mood and</w:t>
      </w:r>
      <w:r w:rsidR="00983134" w:rsidRPr="001217FE">
        <w:rPr>
          <w:rFonts w:asciiTheme="minorHAnsi" w:hAnsiTheme="minorHAnsi" w:cs="Arial"/>
          <w:bCs/>
          <w:snapToGrid w:val="0"/>
        </w:rPr>
        <w:t xml:space="preserve"> an</w:t>
      </w:r>
      <w:r w:rsidR="009835A4" w:rsidRPr="001217FE">
        <w:rPr>
          <w:rFonts w:asciiTheme="minorHAnsi" w:hAnsiTheme="minorHAnsi" w:cs="Arial"/>
          <w:bCs/>
          <w:snapToGrid w:val="0"/>
        </w:rPr>
        <w:t xml:space="preserve"> improved social life.</w:t>
      </w:r>
      <w:r w:rsidRPr="001217FE">
        <w:rPr>
          <w:rFonts w:asciiTheme="minorHAnsi" w:hAnsiTheme="minorHAnsi" w:cs="Arial"/>
          <w:bCs/>
          <w:snapToGrid w:val="0"/>
        </w:rPr>
        <w:t xml:space="preserve"> </w:t>
      </w:r>
      <w:r w:rsidR="004C370E">
        <w:rPr>
          <w:rFonts w:asciiTheme="minorHAnsi" w:hAnsiTheme="minorHAnsi" w:cs="Arial"/>
          <w:bCs/>
          <w:snapToGrid w:val="0"/>
        </w:rPr>
        <w:t xml:space="preserve">Many patients expressed their concern at being able to afford the medicine if it was not listed on the PBS. The health care professionals described </w:t>
      </w:r>
      <w:r w:rsidR="00FA4582">
        <w:rPr>
          <w:rFonts w:asciiTheme="minorHAnsi" w:hAnsiTheme="minorHAnsi" w:cs="Arial"/>
          <w:bCs/>
          <w:snapToGrid w:val="0"/>
        </w:rPr>
        <w:t xml:space="preserve">observing </w:t>
      </w:r>
      <w:r w:rsidR="004C370E">
        <w:rPr>
          <w:rFonts w:asciiTheme="minorHAnsi" w:hAnsiTheme="minorHAnsi" w:cs="Arial"/>
          <w:bCs/>
          <w:snapToGrid w:val="0"/>
        </w:rPr>
        <w:t xml:space="preserve">a range of </w:t>
      </w:r>
      <w:r w:rsidR="00FA4582">
        <w:rPr>
          <w:rFonts w:asciiTheme="minorHAnsi" w:hAnsiTheme="minorHAnsi" w:cs="Arial"/>
          <w:bCs/>
          <w:snapToGrid w:val="0"/>
        </w:rPr>
        <w:t xml:space="preserve">benefits from </w:t>
      </w:r>
      <w:proofErr w:type="spellStart"/>
      <w:r w:rsidR="004C370E">
        <w:rPr>
          <w:rFonts w:asciiTheme="minorHAnsi" w:hAnsiTheme="minorHAnsi" w:cs="Arial"/>
          <w:bCs/>
          <w:snapToGrid w:val="0"/>
        </w:rPr>
        <w:t>erenumab</w:t>
      </w:r>
      <w:proofErr w:type="spellEnd"/>
      <w:r w:rsidR="004C370E">
        <w:rPr>
          <w:rFonts w:asciiTheme="minorHAnsi" w:hAnsiTheme="minorHAnsi" w:cs="Arial"/>
          <w:bCs/>
          <w:snapToGrid w:val="0"/>
        </w:rPr>
        <w:t xml:space="preserve"> </w:t>
      </w:r>
      <w:r w:rsidR="00FA4582">
        <w:rPr>
          <w:rFonts w:asciiTheme="minorHAnsi" w:hAnsiTheme="minorHAnsi" w:cs="Arial"/>
          <w:bCs/>
          <w:snapToGrid w:val="0"/>
        </w:rPr>
        <w:t xml:space="preserve">treatment in their chronic migraine patients with several respondents </w:t>
      </w:r>
      <w:r w:rsidR="00FA4582" w:rsidRPr="007F6265">
        <w:rPr>
          <w:rFonts w:asciiTheme="minorHAnsi" w:hAnsiTheme="minorHAnsi" w:cs="Arial"/>
          <w:bCs/>
          <w:snapToGrid w:val="0"/>
        </w:rPr>
        <w:t xml:space="preserve">also acknowledging </w:t>
      </w:r>
      <w:r w:rsidR="004C370E" w:rsidRPr="007F6265">
        <w:rPr>
          <w:rFonts w:asciiTheme="minorHAnsi" w:hAnsiTheme="minorHAnsi" w:cs="Arial"/>
          <w:bCs/>
          <w:snapToGrid w:val="0"/>
        </w:rPr>
        <w:t>it does</w:t>
      </w:r>
      <w:r w:rsidR="004C370E">
        <w:rPr>
          <w:rFonts w:asciiTheme="minorHAnsi" w:hAnsiTheme="minorHAnsi" w:cs="Arial"/>
          <w:bCs/>
          <w:snapToGrid w:val="0"/>
        </w:rPr>
        <w:t xml:space="preserve"> not work in everyone. </w:t>
      </w:r>
    </w:p>
    <w:p w:rsidR="00E444A6" w:rsidRPr="001217FE" w:rsidRDefault="00274BD4" w:rsidP="008C17FD">
      <w:pPr>
        <w:pStyle w:val="ListParagraph"/>
        <w:numPr>
          <w:ilvl w:val="1"/>
          <w:numId w:val="2"/>
        </w:numPr>
        <w:spacing w:after="120"/>
      </w:pPr>
      <w:r w:rsidRPr="001217FE">
        <w:rPr>
          <w:rFonts w:asciiTheme="minorHAnsi" w:hAnsiTheme="minorHAnsi" w:cs="Arial"/>
          <w:bCs/>
          <w:snapToGrid w:val="0"/>
        </w:rPr>
        <w:t xml:space="preserve">The PBAC noted the advice received from </w:t>
      </w:r>
      <w:r w:rsidR="009835A4" w:rsidRPr="001217FE">
        <w:rPr>
          <w:rFonts w:asciiTheme="minorHAnsi" w:hAnsiTheme="minorHAnsi" w:cs="Arial"/>
          <w:bCs/>
          <w:snapToGrid w:val="0"/>
        </w:rPr>
        <w:t>Headache Australia</w:t>
      </w:r>
      <w:r w:rsidRPr="001217FE">
        <w:rPr>
          <w:rFonts w:asciiTheme="minorHAnsi" w:hAnsiTheme="minorHAnsi" w:cs="Arial"/>
          <w:bCs/>
          <w:snapToGrid w:val="0"/>
        </w:rPr>
        <w:t xml:space="preserve"> clarifying the likely use of </w:t>
      </w:r>
      <w:proofErr w:type="spellStart"/>
      <w:r w:rsidR="00E90EBD" w:rsidRPr="001217FE">
        <w:rPr>
          <w:rFonts w:asciiTheme="minorHAnsi" w:hAnsiTheme="minorHAnsi" w:cs="Arial"/>
          <w:bCs/>
          <w:snapToGrid w:val="0"/>
        </w:rPr>
        <w:t>erenumab</w:t>
      </w:r>
      <w:proofErr w:type="spellEnd"/>
      <w:r w:rsidRPr="001217FE">
        <w:rPr>
          <w:rFonts w:asciiTheme="minorHAnsi" w:hAnsiTheme="minorHAnsi" w:cs="Arial"/>
          <w:bCs/>
          <w:snapToGrid w:val="0"/>
        </w:rPr>
        <w:t xml:space="preserve"> in clinical practice. The PBAC </w:t>
      </w:r>
      <w:r w:rsidR="00FA4582">
        <w:rPr>
          <w:rFonts w:asciiTheme="minorHAnsi" w:hAnsiTheme="minorHAnsi" w:cs="Arial"/>
          <w:bCs/>
          <w:snapToGrid w:val="0"/>
        </w:rPr>
        <w:t xml:space="preserve">specifically </w:t>
      </w:r>
      <w:r w:rsidRPr="001217FE">
        <w:rPr>
          <w:rFonts w:asciiTheme="minorHAnsi" w:hAnsiTheme="minorHAnsi" w:cs="Arial"/>
          <w:bCs/>
          <w:snapToGrid w:val="0"/>
        </w:rPr>
        <w:t xml:space="preserve">noted the advice that </w:t>
      </w:r>
      <w:proofErr w:type="spellStart"/>
      <w:r w:rsidR="00652FC3" w:rsidRPr="001217FE">
        <w:rPr>
          <w:rFonts w:asciiTheme="minorHAnsi" w:hAnsiTheme="minorHAnsi" w:cs="Arial"/>
          <w:bCs/>
          <w:snapToGrid w:val="0"/>
        </w:rPr>
        <w:t>erenumab</w:t>
      </w:r>
      <w:proofErr w:type="spellEnd"/>
      <w:r w:rsidRPr="001217FE">
        <w:rPr>
          <w:rFonts w:asciiTheme="minorHAnsi" w:hAnsiTheme="minorHAnsi" w:cs="Arial"/>
          <w:bCs/>
          <w:snapToGrid w:val="0"/>
        </w:rPr>
        <w:t xml:space="preserve"> </w:t>
      </w:r>
      <w:r w:rsidR="00652FC3" w:rsidRPr="001217FE">
        <w:rPr>
          <w:rFonts w:asciiTheme="minorHAnsi" w:hAnsiTheme="minorHAnsi" w:cs="Arial"/>
          <w:bCs/>
          <w:snapToGrid w:val="0"/>
        </w:rPr>
        <w:t xml:space="preserve">should only be prescribed by </w:t>
      </w:r>
      <w:r w:rsidR="00542012" w:rsidRPr="001217FE">
        <w:rPr>
          <w:rFonts w:asciiTheme="minorHAnsi" w:hAnsiTheme="minorHAnsi" w:cs="Arial"/>
          <w:bCs/>
          <w:snapToGrid w:val="0"/>
        </w:rPr>
        <w:t>neurologists and pain specialists</w:t>
      </w:r>
      <w:r w:rsidR="00FA4582">
        <w:rPr>
          <w:rFonts w:asciiTheme="minorHAnsi" w:hAnsiTheme="minorHAnsi" w:cs="Arial"/>
          <w:bCs/>
          <w:snapToGrid w:val="0"/>
        </w:rPr>
        <w:t xml:space="preserve"> and the statement that it </w:t>
      </w:r>
      <w:r w:rsidR="000E5A91">
        <w:rPr>
          <w:rFonts w:asciiTheme="minorHAnsi" w:hAnsiTheme="minorHAnsi" w:cs="Arial"/>
          <w:bCs/>
          <w:snapToGrid w:val="0"/>
        </w:rPr>
        <w:t xml:space="preserve">would be </w:t>
      </w:r>
      <w:r w:rsidR="00FA4582">
        <w:rPr>
          <w:rFonts w:asciiTheme="minorHAnsi" w:hAnsiTheme="minorHAnsi" w:cs="Arial"/>
          <w:bCs/>
          <w:snapToGrid w:val="0"/>
        </w:rPr>
        <w:t>preferred that both the 70 mg and 140 mg doses are made available</w:t>
      </w:r>
      <w:r w:rsidR="00542012" w:rsidRPr="001217FE">
        <w:rPr>
          <w:rFonts w:asciiTheme="minorHAnsi" w:hAnsiTheme="minorHAnsi" w:cs="Arial"/>
          <w:bCs/>
          <w:snapToGrid w:val="0"/>
        </w:rPr>
        <w:t xml:space="preserve">. </w:t>
      </w:r>
    </w:p>
    <w:p w:rsidR="00542012" w:rsidRPr="001217FE" w:rsidRDefault="00542012" w:rsidP="008C17FD">
      <w:pPr>
        <w:pStyle w:val="ListParagraph"/>
        <w:numPr>
          <w:ilvl w:val="1"/>
          <w:numId w:val="2"/>
        </w:numPr>
        <w:spacing w:after="120"/>
      </w:pPr>
      <w:r w:rsidRPr="001217FE">
        <w:rPr>
          <w:rFonts w:asciiTheme="minorHAnsi" w:hAnsiTheme="minorHAnsi" w:cs="Arial"/>
          <w:bCs/>
          <w:snapToGrid w:val="0"/>
        </w:rPr>
        <w:t xml:space="preserve">The PBAC noted the </w:t>
      </w:r>
      <w:r w:rsidR="000E5A91">
        <w:rPr>
          <w:rFonts w:asciiTheme="minorHAnsi" w:hAnsiTheme="minorHAnsi" w:cs="Arial"/>
          <w:bCs/>
          <w:snapToGrid w:val="0"/>
        </w:rPr>
        <w:t xml:space="preserve">support </w:t>
      </w:r>
      <w:r w:rsidRPr="001217FE">
        <w:rPr>
          <w:rFonts w:asciiTheme="minorHAnsi" w:hAnsiTheme="minorHAnsi" w:cs="Arial"/>
          <w:bCs/>
          <w:snapToGrid w:val="0"/>
        </w:rPr>
        <w:t>received from the Australian and New Zealand Headache Society (ANZHS)</w:t>
      </w:r>
      <w:r w:rsidR="00CA7B4B">
        <w:rPr>
          <w:rFonts w:asciiTheme="minorHAnsi" w:hAnsiTheme="minorHAnsi" w:cs="Arial"/>
          <w:bCs/>
          <w:snapToGrid w:val="0"/>
        </w:rPr>
        <w:t xml:space="preserve"> </w:t>
      </w:r>
      <w:r w:rsidR="000E5A91">
        <w:rPr>
          <w:rFonts w:asciiTheme="minorHAnsi" w:hAnsiTheme="minorHAnsi" w:cs="Arial"/>
          <w:bCs/>
          <w:snapToGrid w:val="0"/>
        </w:rPr>
        <w:t xml:space="preserve">for listing </w:t>
      </w:r>
      <w:proofErr w:type="spellStart"/>
      <w:r w:rsidR="000E5A91">
        <w:rPr>
          <w:rFonts w:asciiTheme="minorHAnsi" w:hAnsiTheme="minorHAnsi" w:cs="Arial"/>
          <w:bCs/>
          <w:snapToGrid w:val="0"/>
        </w:rPr>
        <w:t>erenumab</w:t>
      </w:r>
      <w:proofErr w:type="spellEnd"/>
      <w:r w:rsidR="000E5A91">
        <w:rPr>
          <w:rFonts w:asciiTheme="minorHAnsi" w:hAnsiTheme="minorHAnsi" w:cs="Arial"/>
          <w:bCs/>
          <w:snapToGrid w:val="0"/>
        </w:rPr>
        <w:t xml:space="preserve"> on the PBS</w:t>
      </w:r>
      <w:r w:rsidRPr="001217FE">
        <w:rPr>
          <w:rFonts w:asciiTheme="minorHAnsi" w:hAnsiTheme="minorHAnsi" w:cs="Arial"/>
          <w:bCs/>
          <w:snapToGrid w:val="0"/>
        </w:rPr>
        <w:t xml:space="preserve">. </w:t>
      </w:r>
    </w:p>
    <w:p w:rsidR="00B60939" w:rsidRPr="00C9624D" w:rsidRDefault="00B60939" w:rsidP="00D87FED">
      <w:pPr>
        <w:pStyle w:val="Heading2"/>
      </w:pPr>
      <w:bookmarkStart w:id="6" w:name="_Toc535926555"/>
      <w:r w:rsidRPr="00C9624D">
        <w:t>Clinical trials</w:t>
      </w:r>
      <w:bookmarkEnd w:id="6"/>
    </w:p>
    <w:p w:rsidR="00644A4C" w:rsidRPr="00D061B9" w:rsidRDefault="00644A4C" w:rsidP="008C17FD">
      <w:pPr>
        <w:pStyle w:val="ListParagraph"/>
        <w:numPr>
          <w:ilvl w:val="1"/>
          <w:numId w:val="2"/>
        </w:numPr>
        <w:spacing w:after="120"/>
      </w:pPr>
      <w:r w:rsidRPr="00D061B9">
        <w:t xml:space="preserve">As for the July 2018 submission, the resubmission was based on one </w:t>
      </w:r>
      <w:proofErr w:type="spellStart"/>
      <w:r w:rsidRPr="00D061B9">
        <w:t>erenumab</w:t>
      </w:r>
      <w:proofErr w:type="spellEnd"/>
      <w:r w:rsidRPr="00D061B9">
        <w:t xml:space="preserve"> trial, Study 295 (N=476), and two Botox trials, PREEMPT I (N=679) and PREEMPT II (N=705). The resubmission also included evidence from</w:t>
      </w:r>
      <w:r w:rsidR="00F90B1E" w:rsidRPr="00D061B9">
        <w:t xml:space="preserve"> Study 255, </w:t>
      </w:r>
      <w:r w:rsidRPr="00D061B9">
        <w:t>the open label extension of Study</w:t>
      </w:r>
      <w:r w:rsidR="00F90B1E" w:rsidRPr="00D061B9">
        <w:t xml:space="preserve"> 295.</w:t>
      </w:r>
    </w:p>
    <w:p w:rsidR="0038623D" w:rsidRPr="001A4FD2" w:rsidRDefault="001A4FD2" w:rsidP="008C17FD">
      <w:pPr>
        <w:pStyle w:val="ListParagraph"/>
        <w:numPr>
          <w:ilvl w:val="1"/>
          <w:numId w:val="2"/>
        </w:numPr>
        <w:spacing w:after="120"/>
      </w:pPr>
      <w:r w:rsidRPr="001A4FD2">
        <w:lastRenderedPageBreak/>
        <w:t xml:space="preserve">The direct comparison versus </w:t>
      </w:r>
      <w:r w:rsidR="007F4155">
        <w:t>BSC</w:t>
      </w:r>
      <w:r w:rsidRPr="001A4FD2">
        <w:t xml:space="preserve"> and the </w:t>
      </w:r>
      <w:r w:rsidR="004620BF" w:rsidRPr="001A4FD2">
        <w:t>indirect comparison versus Boto</w:t>
      </w:r>
      <w:r w:rsidRPr="001A4FD2">
        <w:t xml:space="preserve">x </w:t>
      </w:r>
      <w:r w:rsidR="0038623D" w:rsidRPr="001A4FD2">
        <w:t>were based on a post-hoc subgroup selected to correspond to the requested PBS restriction,</w:t>
      </w:r>
      <w:r w:rsidR="000475ED">
        <w:t xml:space="preserve"> i.e.</w:t>
      </w:r>
      <w:r w:rsidR="0038623D" w:rsidRPr="001A4FD2">
        <w:t xml:space="preserve"> patients who had failed</w:t>
      </w:r>
      <w:r w:rsidR="00943463" w:rsidRPr="001A4FD2">
        <w:t>, were intolerant or contraindicated to</w:t>
      </w:r>
      <w:r w:rsidR="0038623D" w:rsidRPr="001A4FD2">
        <w:t xml:space="preserve"> ≥3 prophylactic medications.</w:t>
      </w:r>
      <w:r w:rsidR="00C350C3" w:rsidRPr="001A4FD2">
        <w:t xml:space="preserve"> </w:t>
      </w:r>
    </w:p>
    <w:p w:rsidR="00862502" w:rsidRPr="00D061B9" w:rsidRDefault="006E22F3" w:rsidP="008C17FD">
      <w:pPr>
        <w:pStyle w:val="ListParagraph"/>
        <w:numPr>
          <w:ilvl w:val="1"/>
          <w:numId w:val="2"/>
        </w:numPr>
        <w:spacing w:after="120"/>
      </w:pPr>
      <w:r w:rsidRPr="00D061B9">
        <w:rPr>
          <w:rFonts w:cs="Calibri"/>
          <w:lang w:val="en-US"/>
        </w:rPr>
        <w:t xml:space="preserve">Details of the trials presented in the </w:t>
      </w:r>
      <w:r w:rsidR="005979CB" w:rsidRPr="00D061B9">
        <w:rPr>
          <w:rFonts w:cs="Calibri"/>
          <w:lang w:val="en-US"/>
        </w:rPr>
        <w:t>re</w:t>
      </w:r>
      <w:r w:rsidRPr="00D061B9">
        <w:rPr>
          <w:rFonts w:cs="Calibri"/>
          <w:lang w:val="en-US"/>
        </w:rPr>
        <w:t>submission are provided in the table below.</w:t>
      </w:r>
    </w:p>
    <w:p w:rsidR="00C34A84" w:rsidRDefault="00C34A84" w:rsidP="00D87FED">
      <w:pPr>
        <w:jc w:val="left"/>
        <w:rPr>
          <w:rFonts w:ascii="Arial Narrow" w:hAnsi="Arial Narrow"/>
          <w:b/>
          <w:sz w:val="20"/>
          <w:szCs w:val="20"/>
        </w:rPr>
      </w:pPr>
      <w:r>
        <w:rPr>
          <w:rFonts w:ascii="Arial Narrow" w:hAnsi="Arial Narrow"/>
          <w:b/>
          <w:sz w:val="20"/>
          <w:szCs w:val="20"/>
        </w:rPr>
        <w:br w:type="page"/>
      </w:r>
    </w:p>
    <w:p w:rsidR="008E0D3C" w:rsidRPr="008E0D3C" w:rsidRDefault="00661DFA" w:rsidP="00D87FED">
      <w:pPr>
        <w:keepNext/>
        <w:rPr>
          <w:rStyle w:val="CommentReference"/>
        </w:rPr>
      </w:pPr>
      <w:r w:rsidRPr="00401364">
        <w:rPr>
          <w:rFonts w:ascii="Arial Narrow" w:hAnsi="Arial Narrow"/>
          <w:b/>
          <w:sz w:val="20"/>
          <w:szCs w:val="20"/>
        </w:rPr>
        <w:lastRenderedPageBreak/>
        <w:t xml:space="preserve">Table </w:t>
      </w:r>
      <w:r w:rsidR="001A4FD2">
        <w:rPr>
          <w:rFonts w:ascii="Arial Narrow" w:hAnsi="Arial Narrow"/>
          <w:b/>
          <w:noProof/>
          <w:sz w:val="20"/>
          <w:szCs w:val="20"/>
        </w:rPr>
        <w:t>3</w:t>
      </w:r>
      <w:r w:rsidR="008E0D3C" w:rsidRPr="008E0D3C">
        <w:rPr>
          <w:rStyle w:val="CommentReference"/>
        </w:rPr>
        <w:t xml:space="preserve">: Trials and associated reports presented in the </w:t>
      </w:r>
      <w:r w:rsidR="00CE79B6">
        <w:rPr>
          <w:rStyle w:val="CommentReference"/>
        </w:rPr>
        <w:t>re</w:t>
      </w:r>
      <w:r w:rsidR="008E0D3C" w:rsidRPr="008E0D3C">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FD4682" w:rsidRPr="00D061B9" w:rsidTr="00DA4798">
        <w:trPr>
          <w:tblHeader/>
        </w:trPr>
        <w:tc>
          <w:tcPr>
            <w:tcW w:w="796" w:type="pct"/>
            <w:vAlign w:val="center"/>
          </w:tcPr>
          <w:p w:rsidR="00FD4682" w:rsidRPr="00D061B9" w:rsidRDefault="00FD4682" w:rsidP="00D87FED">
            <w:pPr>
              <w:pStyle w:val="Tabletext"/>
              <w:keepNext/>
              <w:jc w:val="left"/>
              <w:rPr>
                <w:b/>
              </w:rPr>
            </w:pPr>
            <w:r w:rsidRPr="00D061B9">
              <w:rPr>
                <w:b/>
              </w:rPr>
              <w:t>Trial ID</w:t>
            </w:r>
          </w:p>
        </w:tc>
        <w:tc>
          <w:tcPr>
            <w:tcW w:w="3027" w:type="pct"/>
            <w:vAlign w:val="center"/>
          </w:tcPr>
          <w:p w:rsidR="00FD4682" w:rsidRPr="00D061B9" w:rsidRDefault="00FD4682" w:rsidP="00D87FED">
            <w:pPr>
              <w:pStyle w:val="Tabletext"/>
              <w:keepNext/>
              <w:jc w:val="center"/>
              <w:rPr>
                <w:b/>
              </w:rPr>
            </w:pPr>
            <w:r w:rsidRPr="00D061B9">
              <w:rPr>
                <w:b/>
              </w:rPr>
              <w:t>Protocol title/ Publication title</w:t>
            </w:r>
          </w:p>
        </w:tc>
        <w:tc>
          <w:tcPr>
            <w:tcW w:w="1177" w:type="pct"/>
            <w:vAlign w:val="center"/>
          </w:tcPr>
          <w:p w:rsidR="00FD4682" w:rsidRPr="00D061B9" w:rsidRDefault="00FD4682" w:rsidP="00D87FED">
            <w:pPr>
              <w:pStyle w:val="Tabletext"/>
              <w:keepNext/>
              <w:jc w:val="center"/>
              <w:rPr>
                <w:b/>
              </w:rPr>
            </w:pPr>
            <w:r w:rsidRPr="00D061B9">
              <w:rPr>
                <w:b/>
              </w:rPr>
              <w:t>Publication citation</w:t>
            </w:r>
          </w:p>
        </w:tc>
      </w:tr>
      <w:tr w:rsidR="00FD4682" w:rsidRPr="00D061B9" w:rsidTr="00DA4798">
        <w:tc>
          <w:tcPr>
            <w:tcW w:w="5000" w:type="pct"/>
            <w:gridSpan w:val="3"/>
            <w:tcBorders>
              <w:bottom w:val="nil"/>
            </w:tcBorders>
            <w:vAlign w:val="center"/>
          </w:tcPr>
          <w:p w:rsidR="00FD4682" w:rsidRPr="00D061B9" w:rsidRDefault="00FD4682" w:rsidP="00D87FED">
            <w:pPr>
              <w:pStyle w:val="Tabletext"/>
              <w:keepNext/>
              <w:jc w:val="left"/>
            </w:pPr>
            <w:proofErr w:type="spellStart"/>
            <w:r w:rsidRPr="00D061B9">
              <w:t>Erenumab</w:t>
            </w:r>
            <w:proofErr w:type="spellEnd"/>
          </w:p>
        </w:tc>
      </w:tr>
      <w:tr w:rsidR="00FD4682" w:rsidRPr="00D061B9" w:rsidTr="00DA4798">
        <w:tc>
          <w:tcPr>
            <w:tcW w:w="796" w:type="pct"/>
            <w:tcBorders>
              <w:bottom w:val="nil"/>
            </w:tcBorders>
            <w:vAlign w:val="center"/>
          </w:tcPr>
          <w:p w:rsidR="00FD4682" w:rsidRPr="00D061B9" w:rsidRDefault="00FD4682" w:rsidP="00D87FED">
            <w:pPr>
              <w:pStyle w:val="Tabletext"/>
              <w:keepNext/>
              <w:jc w:val="left"/>
              <w:rPr>
                <w:rFonts w:ascii="Times" w:hAnsi="Times"/>
              </w:rPr>
            </w:pPr>
            <w:r w:rsidRPr="00D061B9">
              <w:t>Study 295</w:t>
            </w:r>
          </w:p>
        </w:tc>
        <w:tc>
          <w:tcPr>
            <w:tcW w:w="3027" w:type="pct"/>
            <w:tcBorders>
              <w:bottom w:val="nil"/>
            </w:tcBorders>
            <w:vAlign w:val="center"/>
          </w:tcPr>
          <w:p w:rsidR="00FD4682" w:rsidRPr="00D061B9" w:rsidRDefault="00FD4682" w:rsidP="00D87FED">
            <w:pPr>
              <w:keepNext/>
              <w:autoSpaceDE w:val="0"/>
              <w:autoSpaceDN w:val="0"/>
              <w:adjustRightInd w:val="0"/>
              <w:jc w:val="left"/>
              <w:rPr>
                <w:rFonts w:ascii="Arial Narrow" w:hAnsi="Arial Narrow" w:cs="Times"/>
                <w:color w:val="000000"/>
                <w:sz w:val="20"/>
                <w:szCs w:val="20"/>
                <w:lang w:val="en-US" w:eastAsia="en-AU"/>
              </w:rPr>
            </w:pPr>
            <w:r w:rsidRPr="00D061B9">
              <w:rPr>
                <w:rFonts w:ascii="Arial Narrow" w:hAnsi="Arial Narrow" w:cs="Arial"/>
                <w:color w:val="000000"/>
                <w:sz w:val="20"/>
                <w:szCs w:val="20"/>
                <w:lang w:val="en-US" w:eastAsia="en-AU"/>
              </w:rPr>
              <w:t xml:space="preserve">A Phase 2, Randomized, Double-blind, Placebo-controlled Study to Evaluate the Efficacy and Safety of AMG 334 in Chronic Migraine Prevention. </w:t>
            </w:r>
          </w:p>
        </w:tc>
        <w:tc>
          <w:tcPr>
            <w:tcW w:w="1177" w:type="pct"/>
            <w:tcBorders>
              <w:bottom w:val="nil"/>
            </w:tcBorders>
            <w:vAlign w:val="center"/>
          </w:tcPr>
          <w:p w:rsidR="00FD4682" w:rsidRPr="00D061B9" w:rsidRDefault="00FD4682" w:rsidP="00D87FED">
            <w:pPr>
              <w:pStyle w:val="Tabletext"/>
              <w:keepNext/>
              <w:rPr>
                <w:szCs w:val="18"/>
              </w:rPr>
            </w:pPr>
            <w:r w:rsidRPr="00D061B9">
              <w:rPr>
                <w:szCs w:val="18"/>
              </w:rPr>
              <w:t xml:space="preserve">Amgen, </w:t>
            </w:r>
            <w:proofErr w:type="spellStart"/>
            <w:r w:rsidRPr="00D061B9">
              <w:rPr>
                <w:szCs w:val="18"/>
              </w:rPr>
              <w:t>Inc</w:t>
            </w:r>
            <w:proofErr w:type="spellEnd"/>
            <w:r w:rsidRPr="00D061B9">
              <w:rPr>
                <w:szCs w:val="18"/>
              </w:rPr>
              <w:t xml:space="preserve"> </w:t>
            </w:r>
          </w:p>
          <w:p w:rsidR="00FD4682" w:rsidRPr="00D061B9" w:rsidRDefault="00FD4682" w:rsidP="00D87FED">
            <w:pPr>
              <w:pStyle w:val="Tabletext"/>
              <w:keepNext/>
            </w:pPr>
            <w:r w:rsidRPr="00D061B9">
              <w:rPr>
                <w:szCs w:val="18"/>
              </w:rPr>
              <w:t>Clinical Study Report</w:t>
            </w:r>
          </w:p>
          <w:p w:rsidR="00FD4682" w:rsidRPr="00D061B9" w:rsidRDefault="00FD4682" w:rsidP="00D87FED">
            <w:pPr>
              <w:pStyle w:val="Tabletext"/>
              <w:keepNext/>
            </w:pPr>
            <w:r w:rsidRPr="00D061B9">
              <w:t>September 2016</w:t>
            </w:r>
          </w:p>
          <w:p w:rsidR="00FD4682" w:rsidRPr="00D061B9" w:rsidRDefault="00FD4682" w:rsidP="00D87FED">
            <w:pPr>
              <w:pStyle w:val="Tabletext"/>
              <w:keepNext/>
              <w:rPr>
                <w:rFonts w:ascii="Times" w:hAnsi="Times"/>
              </w:rPr>
            </w:pPr>
            <w:r w:rsidRPr="00D061B9">
              <w:t>clinicaltrials.gov identifier: NCT02066415</w:t>
            </w:r>
          </w:p>
        </w:tc>
      </w:tr>
      <w:tr w:rsidR="00FD4682" w:rsidRPr="00D061B9" w:rsidTr="00DA4798">
        <w:tc>
          <w:tcPr>
            <w:tcW w:w="796" w:type="pct"/>
            <w:tcBorders>
              <w:top w:val="nil"/>
              <w:bottom w:val="nil"/>
            </w:tcBorders>
            <w:vAlign w:val="center"/>
          </w:tcPr>
          <w:p w:rsidR="00FD4682" w:rsidRPr="00D061B9" w:rsidRDefault="00FD4682" w:rsidP="00D87FED">
            <w:pPr>
              <w:pStyle w:val="Tabletext"/>
              <w:jc w:val="left"/>
            </w:pPr>
          </w:p>
        </w:tc>
        <w:tc>
          <w:tcPr>
            <w:tcW w:w="3027" w:type="pct"/>
            <w:tcBorders>
              <w:top w:val="nil"/>
              <w:bottom w:val="nil"/>
            </w:tcBorders>
            <w:vAlign w:val="center"/>
          </w:tcPr>
          <w:p w:rsidR="00FD4682" w:rsidRPr="00D061B9" w:rsidRDefault="00FD4682" w:rsidP="00D87FED">
            <w:pPr>
              <w:pStyle w:val="Tabletext"/>
              <w:rPr>
                <w:szCs w:val="18"/>
              </w:rPr>
            </w:pPr>
            <w:proofErr w:type="spellStart"/>
            <w:r w:rsidRPr="00D061B9">
              <w:t>Tepper</w:t>
            </w:r>
            <w:proofErr w:type="spellEnd"/>
            <w:r w:rsidRPr="00D061B9">
              <w:t xml:space="preserve"> S </w:t>
            </w:r>
            <w:proofErr w:type="spellStart"/>
            <w:r w:rsidRPr="00D061B9">
              <w:t>Ashina</w:t>
            </w:r>
            <w:proofErr w:type="spellEnd"/>
            <w:r w:rsidRPr="00D061B9">
              <w:t xml:space="preserve"> M, Reuter U, </w:t>
            </w:r>
            <w:proofErr w:type="spellStart"/>
            <w:r w:rsidRPr="00D061B9">
              <w:t>Brandes</w:t>
            </w:r>
            <w:proofErr w:type="spellEnd"/>
            <w:r w:rsidRPr="00D061B9">
              <w:t xml:space="preserve"> JL et al. Safety and efficacy of </w:t>
            </w:r>
            <w:proofErr w:type="spellStart"/>
            <w:r w:rsidRPr="00D061B9">
              <w:t>erenumab</w:t>
            </w:r>
            <w:proofErr w:type="spellEnd"/>
            <w:r w:rsidRPr="00D061B9">
              <w:t xml:space="preserve"> for preventive treatment of chronic migraine: a randomised, double-blind, placebo-controlled phase 2 trial.</w:t>
            </w:r>
          </w:p>
        </w:tc>
        <w:tc>
          <w:tcPr>
            <w:tcW w:w="1177" w:type="pct"/>
            <w:tcBorders>
              <w:top w:val="nil"/>
              <w:bottom w:val="nil"/>
            </w:tcBorders>
            <w:vAlign w:val="center"/>
          </w:tcPr>
          <w:p w:rsidR="00FD4682" w:rsidRPr="00D061B9" w:rsidRDefault="00FD4682" w:rsidP="00D87FED">
            <w:pPr>
              <w:pStyle w:val="Tabletext"/>
              <w:rPr>
                <w:szCs w:val="18"/>
              </w:rPr>
            </w:pPr>
            <w:r w:rsidRPr="00D061B9">
              <w:t xml:space="preserve">Lancet </w:t>
            </w:r>
            <w:proofErr w:type="spellStart"/>
            <w:r w:rsidRPr="00D061B9">
              <w:t>Neurol</w:t>
            </w:r>
            <w:proofErr w:type="spellEnd"/>
            <w:r w:rsidRPr="00D061B9">
              <w:t xml:space="preserve"> 2017; 16: 425-34.</w:t>
            </w:r>
          </w:p>
        </w:tc>
      </w:tr>
      <w:tr w:rsidR="00FD4682" w:rsidRPr="00D061B9" w:rsidTr="00DA4798">
        <w:tc>
          <w:tcPr>
            <w:tcW w:w="796" w:type="pct"/>
            <w:tcBorders>
              <w:bottom w:val="nil"/>
            </w:tcBorders>
            <w:vAlign w:val="center"/>
          </w:tcPr>
          <w:p w:rsidR="00FD4682" w:rsidRPr="00D061B9" w:rsidRDefault="00FD4682" w:rsidP="00D87FED">
            <w:pPr>
              <w:pStyle w:val="Tabletext"/>
              <w:jc w:val="left"/>
              <w:rPr>
                <w:rFonts w:ascii="Times" w:hAnsi="Times"/>
              </w:rPr>
            </w:pPr>
            <w:r w:rsidRPr="00D061B9">
              <w:t>Study 255</w:t>
            </w:r>
          </w:p>
        </w:tc>
        <w:tc>
          <w:tcPr>
            <w:tcW w:w="3027" w:type="pct"/>
            <w:tcBorders>
              <w:bottom w:val="nil"/>
            </w:tcBorders>
            <w:vAlign w:val="center"/>
          </w:tcPr>
          <w:p w:rsidR="00FD4682" w:rsidRPr="00D061B9" w:rsidRDefault="00FD4682" w:rsidP="00D87FED">
            <w:pPr>
              <w:autoSpaceDE w:val="0"/>
              <w:autoSpaceDN w:val="0"/>
              <w:adjustRightInd w:val="0"/>
              <w:jc w:val="left"/>
              <w:rPr>
                <w:rFonts w:ascii="Arial Narrow" w:hAnsi="Arial Narrow"/>
                <w:snapToGrid w:val="0"/>
                <w:sz w:val="20"/>
              </w:rPr>
            </w:pPr>
            <w:r w:rsidRPr="00D061B9">
              <w:rPr>
                <w:rFonts w:ascii="Arial Narrow" w:hAnsi="Arial Narrow" w:cs="Arial"/>
                <w:color w:val="000000"/>
                <w:sz w:val="20"/>
                <w:szCs w:val="20"/>
                <w:lang w:val="en-US" w:eastAsia="en-AU"/>
              </w:rPr>
              <w:t>An Open-label Extension (OLE) Study to Assess the Long-term Safety and Efficacy of AMG 334</w:t>
            </w:r>
            <w:r w:rsidRPr="00D061B9">
              <w:rPr>
                <w:rFonts w:ascii="Arial Narrow" w:hAnsi="Arial Narrow"/>
                <w:snapToGrid w:val="0"/>
                <w:sz w:val="20"/>
              </w:rPr>
              <w:t xml:space="preserve">. </w:t>
            </w:r>
          </w:p>
        </w:tc>
        <w:tc>
          <w:tcPr>
            <w:tcW w:w="1177" w:type="pct"/>
            <w:tcBorders>
              <w:bottom w:val="nil"/>
            </w:tcBorders>
            <w:vAlign w:val="center"/>
          </w:tcPr>
          <w:p w:rsidR="00FD4682" w:rsidRPr="00D061B9" w:rsidRDefault="00FD4682" w:rsidP="00D87FED">
            <w:pPr>
              <w:pStyle w:val="Tabletext"/>
              <w:rPr>
                <w:szCs w:val="18"/>
              </w:rPr>
            </w:pPr>
            <w:r w:rsidRPr="00D061B9">
              <w:rPr>
                <w:szCs w:val="18"/>
              </w:rPr>
              <w:t xml:space="preserve">Amgen, </w:t>
            </w:r>
            <w:proofErr w:type="spellStart"/>
            <w:r w:rsidRPr="00D061B9">
              <w:rPr>
                <w:szCs w:val="18"/>
              </w:rPr>
              <w:t>Inc</w:t>
            </w:r>
            <w:proofErr w:type="spellEnd"/>
            <w:r w:rsidRPr="00D061B9">
              <w:rPr>
                <w:szCs w:val="18"/>
              </w:rPr>
              <w:t xml:space="preserve"> </w:t>
            </w:r>
          </w:p>
          <w:p w:rsidR="00FD4682" w:rsidRPr="00D061B9" w:rsidRDefault="00FD4682" w:rsidP="00D87FED">
            <w:pPr>
              <w:pStyle w:val="Tabletext"/>
            </w:pPr>
            <w:r w:rsidRPr="00D061B9">
              <w:rPr>
                <w:szCs w:val="18"/>
              </w:rPr>
              <w:t>Clinical Study Report</w:t>
            </w:r>
          </w:p>
          <w:p w:rsidR="00FD4682" w:rsidRPr="00D061B9" w:rsidRDefault="00FD4682" w:rsidP="00D87FED">
            <w:pPr>
              <w:pStyle w:val="Tabletext"/>
            </w:pPr>
            <w:r w:rsidRPr="00D061B9">
              <w:t>November 2017</w:t>
            </w:r>
          </w:p>
          <w:p w:rsidR="00FD4682" w:rsidRPr="00D061B9" w:rsidRDefault="00FD4682" w:rsidP="00D87FED">
            <w:pPr>
              <w:jc w:val="left"/>
              <w:rPr>
                <w:rFonts w:ascii="Arial Narrow" w:hAnsi="Arial Narrow"/>
                <w:sz w:val="20"/>
                <w:szCs w:val="20"/>
              </w:rPr>
            </w:pPr>
            <w:r w:rsidRPr="00D061B9">
              <w:rPr>
                <w:rFonts w:ascii="Arial Narrow" w:hAnsi="Arial Narrow"/>
                <w:sz w:val="20"/>
                <w:szCs w:val="20"/>
              </w:rPr>
              <w:t>clinicaltrials.gov identifier:</w:t>
            </w:r>
            <w:r w:rsidRPr="00D061B9">
              <w:t xml:space="preserve"> </w:t>
            </w:r>
            <w:r w:rsidRPr="00D061B9">
              <w:rPr>
                <w:rFonts w:ascii="Arial Narrow" w:hAnsi="Arial Narrow"/>
                <w:color w:val="000000"/>
                <w:sz w:val="20"/>
                <w:szCs w:val="20"/>
                <w:shd w:val="clear" w:color="auto" w:fill="FFFFFF"/>
              </w:rPr>
              <w:t>NCT02174861</w:t>
            </w:r>
          </w:p>
        </w:tc>
      </w:tr>
      <w:tr w:rsidR="00FD4682" w:rsidRPr="00D061B9" w:rsidTr="00DA4798">
        <w:tc>
          <w:tcPr>
            <w:tcW w:w="5000" w:type="pct"/>
            <w:gridSpan w:val="3"/>
            <w:tcBorders>
              <w:bottom w:val="single" w:sz="4" w:space="0" w:color="auto"/>
            </w:tcBorders>
            <w:vAlign w:val="center"/>
          </w:tcPr>
          <w:p w:rsidR="00FD4682" w:rsidRPr="00D061B9" w:rsidRDefault="00FD4682" w:rsidP="00D87FED">
            <w:pPr>
              <w:pStyle w:val="Tabletext"/>
              <w:jc w:val="left"/>
            </w:pPr>
            <w:r w:rsidRPr="00D061B9">
              <w:t>Botox</w:t>
            </w:r>
          </w:p>
        </w:tc>
      </w:tr>
      <w:tr w:rsidR="00FD4682" w:rsidRPr="00D061B9" w:rsidTr="00DA4798">
        <w:tc>
          <w:tcPr>
            <w:tcW w:w="796" w:type="pct"/>
            <w:tcBorders>
              <w:top w:val="single" w:sz="4" w:space="0" w:color="auto"/>
              <w:bottom w:val="single" w:sz="4" w:space="0" w:color="auto"/>
            </w:tcBorders>
            <w:vAlign w:val="center"/>
          </w:tcPr>
          <w:p w:rsidR="00FD4682" w:rsidRPr="00D061B9" w:rsidRDefault="00FD4682" w:rsidP="00D87FED">
            <w:pPr>
              <w:pStyle w:val="Tabletext"/>
              <w:jc w:val="left"/>
            </w:pPr>
            <w:r w:rsidRPr="00D061B9">
              <w:t>PREEMPT I</w:t>
            </w:r>
          </w:p>
        </w:tc>
        <w:tc>
          <w:tcPr>
            <w:tcW w:w="3027" w:type="pct"/>
            <w:tcBorders>
              <w:top w:val="single" w:sz="4" w:space="0" w:color="auto"/>
              <w:bottom w:val="single" w:sz="4" w:space="0" w:color="auto"/>
            </w:tcBorders>
            <w:vAlign w:val="center"/>
          </w:tcPr>
          <w:p w:rsidR="00FD4682" w:rsidRPr="00D061B9" w:rsidRDefault="00FD4682" w:rsidP="00D87FED">
            <w:pPr>
              <w:pStyle w:val="Tabletext"/>
            </w:pPr>
            <w:r w:rsidRPr="00D061B9">
              <w:t xml:space="preserve">Aurora SK, </w:t>
            </w:r>
            <w:proofErr w:type="spellStart"/>
            <w:r w:rsidRPr="00D061B9">
              <w:t>Dodick</w:t>
            </w:r>
            <w:proofErr w:type="spellEnd"/>
            <w:r w:rsidRPr="00D061B9">
              <w:t xml:space="preserve"> DW, </w:t>
            </w:r>
            <w:proofErr w:type="spellStart"/>
            <w:r w:rsidRPr="00D061B9">
              <w:t>Turkel</w:t>
            </w:r>
            <w:proofErr w:type="spellEnd"/>
            <w:r w:rsidRPr="00D061B9">
              <w:t xml:space="preserve"> CC, </w:t>
            </w:r>
            <w:proofErr w:type="spellStart"/>
            <w:r w:rsidRPr="00D061B9">
              <w:t>DeGryse</w:t>
            </w:r>
            <w:proofErr w:type="spellEnd"/>
            <w:r w:rsidRPr="00D061B9">
              <w:t xml:space="preserve"> Re et al. </w:t>
            </w:r>
            <w:proofErr w:type="spellStart"/>
            <w:r w:rsidRPr="00D061B9">
              <w:t>OnabotulinumtoxinA</w:t>
            </w:r>
            <w:proofErr w:type="spellEnd"/>
            <w:r w:rsidRPr="00D061B9">
              <w:t xml:space="preserve"> for treatment of chronic migraine: Results from the double-blind, randomized, placebo-controlled phase of the PREEMPT 1 trial. </w:t>
            </w:r>
          </w:p>
        </w:tc>
        <w:tc>
          <w:tcPr>
            <w:tcW w:w="1177" w:type="pct"/>
            <w:tcBorders>
              <w:top w:val="single" w:sz="4" w:space="0" w:color="auto"/>
              <w:bottom w:val="single" w:sz="4" w:space="0" w:color="auto"/>
            </w:tcBorders>
            <w:vAlign w:val="center"/>
          </w:tcPr>
          <w:p w:rsidR="00FD4682" w:rsidRPr="00D061B9" w:rsidRDefault="00FD4682" w:rsidP="00D87FED">
            <w:pPr>
              <w:pStyle w:val="Tabletext"/>
            </w:pPr>
            <w:proofErr w:type="spellStart"/>
            <w:r w:rsidRPr="00D061B9">
              <w:t>Cephalalgia</w:t>
            </w:r>
            <w:proofErr w:type="spellEnd"/>
            <w:r w:rsidRPr="00D061B9">
              <w:t xml:space="preserve"> 2010; 30(7): 793-803.</w:t>
            </w:r>
          </w:p>
        </w:tc>
      </w:tr>
      <w:tr w:rsidR="00FD4682" w:rsidRPr="00D061B9" w:rsidTr="00DA4798">
        <w:tc>
          <w:tcPr>
            <w:tcW w:w="796" w:type="pct"/>
            <w:tcBorders>
              <w:top w:val="single" w:sz="4" w:space="0" w:color="auto"/>
              <w:bottom w:val="single" w:sz="4" w:space="0" w:color="auto"/>
            </w:tcBorders>
            <w:vAlign w:val="center"/>
          </w:tcPr>
          <w:p w:rsidR="00FD4682" w:rsidRPr="00D061B9" w:rsidRDefault="00FD4682" w:rsidP="00D87FED">
            <w:pPr>
              <w:pStyle w:val="Tabletext"/>
              <w:jc w:val="left"/>
            </w:pPr>
            <w:r w:rsidRPr="00D061B9">
              <w:t>PREEMPT II</w:t>
            </w:r>
          </w:p>
        </w:tc>
        <w:tc>
          <w:tcPr>
            <w:tcW w:w="3027" w:type="pct"/>
            <w:tcBorders>
              <w:top w:val="single" w:sz="4" w:space="0" w:color="auto"/>
              <w:bottom w:val="single" w:sz="4" w:space="0" w:color="auto"/>
            </w:tcBorders>
            <w:vAlign w:val="center"/>
          </w:tcPr>
          <w:p w:rsidR="00FD4682" w:rsidRPr="00D061B9" w:rsidRDefault="00FD4682" w:rsidP="00D87FED">
            <w:pPr>
              <w:pStyle w:val="Tabletext"/>
              <w:rPr>
                <w:szCs w:val="18"/>
              </w:rPr>
            </w:pPr>
            <w:proofErr w:type="spellStart"/>
            <w:r w:rsidRPr="00D061B9">
              <w:t>Diener</w:t>
            </w:r>
            <w:proofErr w:type="spellEnd"/>
            <w:r w:rsidRPr="00D061B9">
              <w:t xml:space="preserve"> et al. </w:t>
            </w:r>
            <w:proofErr w:type="spellStart"/>
            <w:r w:rsidRPr="00D061B9">
              <w:t>OnabotulinumtoxinA</w:t>
            </w:r>
            <w:proofErr w:type="spellEnd"/>
            <w:r w:rsidRPr="00D061B9">
              <w:t xml:space="preserve"> for treatment of chronic migraine: Results from the double-blind, randomized, placebo-controlled phase of the PREEMPT 2 trial. </w:t>
            </w:r>
          </w:p>
        </w:tc>
        <w:tc>
          <w:tcPr>
            <w:tcW w:w="1177" w:type="pct"/>
            <w:tcBorders>
              <w:top w:val="single" w:sz="4" w:space="0" w:color="auto"/>
              <w:bottom w:val="single" w:sz="4" w:space="0" w:color="auto"/>
            </w:tcBorders>
            <w:vAlign w:val="center"/>
          </w:tcPr>
          <w:p w:rsidR="00FD4682" w:rsidRPr="00D061B9" w:rsidRDefault="00FD4682" w:rsidP="00D87FED">
            <w:pPr>
              <w:pStyle w:val="Tabletext"/>
              <w:rPr>
                <w:szCs w:val="18"/>
              </w:rPr>
            </w:pPr>
            <w:proofErr w:type="spellStart"/>
            <w:r w:rsidRPr="00D061B9">
              <w:t>Cephalalgia</w:t>
            </w:r>
            <w:proofErr w:type="spellEnd"/>
            <w:r w:rsidRPr="00D061B9">
              <w:t xml:space="preserve"> 2010; 30(7): 804-814.</w:t>
            </w:r>
          </w:p>
        </w:tc>
      </w:tr>
      <w:tr w:rsidR="00FD4682" w:rsidRPr="00D061B9" w:rsidTr="00DA4798">
        <w:tc>
          <w:tcPr>
            <w:tcW w:w="796" w:type="pct"/>
            <w:tcBorders>
              <w:top w:val="single" w:sz="4" w:space="0" w:color="auto"/>
              <w:bottom w:val="single" w:sz="4" w:space="0" w:color="auto"/>
            </w:tcBorders>
            <w:vAlign w:val="center"/>
          </w:tcPr>
          <w:p w:rsidR="00FD4682" w:rsidRPr="00D061B9" w:rsidRDefault="00FD4682" w:rsidP="00D87FED">
            <w:pPr>
              <w:pStyle w:val="Tabletext"/>
              <w:jc w:val="left"/>
            </w:pPr>
            <w:r w:rsidRPr="00D061B9">
              <w:t>PREEMPT 1 and PREEMPT II pooled analysis</w:t>
            </w:r>
          </w:p>
        </w:tc>
        <w:tc>
          <w:tcPr>
            <w:tcW w:w="3027" w:type="pct"/>
            <w:tcBorders>
              <w:top w:val="single" w:sz="4" w:space="0" w:color="auto"/>
              <w:bottom w:val="single" w:sz="4" w:space="0" w:color="auto"/>
            </w:tcBorders>
            <w:vAlign w:val="center"/>
          </w:tcPr>
          <w:p w:rsidR="00FD4682" w:rsidRPr="00D061B9" w:rsidRDefault="00FD4682" w:rsidP="00D87FED">
            <w:pPr>
              <w:pStyle w:val="Tabletext"/>
            </w:pPr>
            <w:proofErr w:type="spellStart"/>
            <w:r w:rsidRPr="00D061B9">
              <w:t>Dodick</w:t>
            </w:r>
            <w:proofErr w:type="spellEnd"/>
            <w:r w:rsidRPr="00D061B9">
              <w:t xml:space="preserve"> DW, </w:t>
            </w:r>
            <w:proofErr w:type="spellStart"/>
            <w:r w:rsidRPr="00D061B9">
              <w:t>Turkel</w:t>
            </w:r>
            <w:proofErr w:type="spellEnd"/>
            <w:r w:rsidRPr="00D061B9">
              <w:t xml:space="preserve"> CC, </w:t>
            </w:r>
            <w:proofErr w:type="spellStart"/>
            <w:r w:rsidRPr="00D061B9">
              <w:t>DeGryse</w:t>
            </w:r>
            <w:proofErr w:type="spellEnd"/>
            <w:r w:rsidRPr="00D061B9">
              <w:t xml:space="preserve"> RE, Aurora SK et al. </w:t>
            </w:r>
            <w:proofErr w:type="spellStart"/>
            <w:r w:rsidRPr="00D061B9">
              <w:t>OnabotulinumtoxinA</w:t>
            </w:r>
            <w:proofErr w:type="spellEnd"/>
            <w:r w:rsidRPr="00D061B9">
              <w:t xml:space="preserve"> treatment reduce headache duration in adults with chronic migraine: Pooled results from the double-blind, randomized, placebo-controlled phase of the PREEMPT clinical program. </w:t>
            </w:r>
          </w:p>
        </w:tc>
        <w:tc>
          <w:tcPr>
            <w:tcW w:w="1177" w:type="pct"/>
            <w:tcBorders>
              <w:top w:val="single" w:sz="4" w:space="0" w:color="auto"/>
              <w:bottom w:val="single" w:sz="4" w:space="0" w:color="auto"/>
            </w:tcBorders>
            <w:vAlign w:val="center"/>
          </w:tcPr>
          <w:p w:rsidR="00FD4682" w:rsidRPr="00D061B9" w:rsidRDefault="00FD4682" w:rsidP="00D87FED">
            <w:pPr>
              <w:pStyle w:val="Tabletext"/>
            </w:pPr>
            <w:r w:rsidRPr="00D061B9">
              <w:t>Headache 2010; 50: 58-59.</w:t>
            </w:r>
          </w:p>
        </w:tc>
      </w:tr>
    </w:tbl>
    <w:p w:rsidR="008E0D3C" w:rsidRPr="00B1011F" w:rsidRDefault="005979CB" w:rsidP="00D87FED">
      <w:pPr>
        <w:pStyle w:val="TableFooter"/>
        <w:rPr>
          <w:sz w:val="20"/>
        </w:rPr>
      </w:pPr>
      <w:r>
        <w:t>Source: Table 2.9, p29-34 of the resubmission.</w:t>
      </w:r>
    </w:p>
    <w:p w:rsidR="00862502" w:rsidRPr="008F120A" w:rsidRDefault="00862502" w:rsidP="00D87FED"/>
    <w:p w:rsidR="007F1017" w:rsidRDefault="005979CB" w:rsidP="008C17FD">
      <w:pPr>
        <w:pStyle w:val="ListParagraph"/>
        <w:numPr>
          <w:ilvl w:val="1"/>
          <w:numId w:val="2"/>
        </w:numPr>
      </w:pPr>
      <w:r w:rsidRPr="00B50DB8">
        <w:t xml:space="preserve">The key features of the </w:t>
      </w:r>
      <w:r>
        <w:t xml:space="preserve">randomised trials included in the direct comparison versus </w:t>
      </w:r>
      <w:r w:rsidR="007F4155">
        <w:t>BSC</w:t>
      </w:r>
      <w:r>
        <w:t xml:space="preserve"> </w:t>
      </w:r>
      <w:r w:rsidR="000475ED">
        <w:t xml:space="preserve">and the indirect comparison versus Botox </w:t>
      </w:r>
      <w:r>
        <w:t xml:space="preserve">are provided in the table below. </w:t>
      </w:r>
      <w:r w:rsidRPr="00C339DF">
        <w:t xml:space="preserve">As the subgroup analysis presented by the submission formed the basis of the clinical claim, information </w:t>
      </w:r>
      <w:r w:rsidR="00E532A6">
        <w:t>relating</w:t>
      </w:r>
      <w:r w:rsidR="00E532A6" w:rsidRPr="00C339DF">
        <w:t xml:space="preserve"> </w:t>
      </w:r>
      <w:r w:rsidRPr="00C339DF">
        <w:t>to the subgroup is included in the table.</w:t>
      </w:r>
    </w:p>
    <w:p w:rsidR="007F1017" w:rsidRPr="00E2771E" w:rsidRDefault="00661DFA" w:rsidP="00D87FED">
      <w:pPr>
        <w:rPr>
          <w:rStyle w:val="CommentReference"/>
        </w:rPr>
      </w:pPr>
      <w:r w:rsidRPr="00401364">
        <w:rPr>
          <w:rFonts w:ascii="Arial Narrow" w:hAnsi="Arial Narrow"/>
          <w:b/>
          <w:sz w:val="20"/>
          <w:szCs w:val="20"/>
        </w:rPr>
        <w:t xml:space="preserve">Table </w:t>
      </w:r>
      <w:r w:rsidR="00821312">
        <w:rPr>
          <w:rFonts w:ascii="Arial Narrow" w:hAnsi="Arial Narrow"/>
          <w:b/>
          <w:noProof/>
          <w:sz w:val="20"/>
          <w:szCs w:val="20"/>
        </w:rPr>
        <w:t>4</w:t>
      </w:r>
      <w:r w:rsidR="007F1017" w:rsidRPr="00E2771E">
        <w:rPr>
          <w:rStyle w:val="CommentReference"/>
        </w:rPr>
        <w:t>: Key features of the included evidence</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8"/>
        <w:gridCol w:w="1037"/>
        <w:gridCol w:w="1374"/>
        <w:gridCol w:w="1082"/>
        <w:gridCol w:w="1506"/>
        <w:gridCol w:w="1098"/>
        <w:gridCol w:w="1539"/>
      </w:tblGrid>
      <w:tr w:rsidR="005F7C41" w:rsidRPr="00B41614" w:rsidTr="00246CAA">
        <w:trPr>
          <w:tblHeader/>
        </w:trPr>
        <w:tc>
          <w:tcPr>
            <w:tcW w:w="708" w:type="pct"/>
            <w:shd w:val="clear" w:color="auto" w:fill="auto"/>
            <w:vAlign w:val="center"/>
          </w:tcPr>
          <w:p w:rsidR="005F7C41" w:rsidRPr="00B41614" w:rsidRDefault="005F7C41" w:rsidP="00D87FED">
            <w:pPr>
              <w:pStyle w:val="Tabletext"/>
              <w:jc w:val="left"/>
              <w:rPr>
                <w:b/>
                <w:lang w:val="en-US"/>
              </w:rPr>
            </w:pPr>
            <w:r w:rsidRPr="00B41614">
              <w:rPr>
                <w:b/>
                <w:lang w:val="en-US"/>
              </w:rPr>
              <w:t>Trial</w:t>
            </w:r>
          </w:p>
        </w:tc>
        <w:tc>
          <w:tcPr>
            <w:tcW w:w="579" w:type="pct"/>
            <w:shd w:val="clear" w:color="auto" w:fill="auto"/>
            <w:vAlign w:val="center"/>
          </w:tcPr>
          <w:p w:rsidR="005F7C41" w:rsidRPr="00B41614" w:rsidRDefault="005F7C41" w:rsidP="00D87FED">
            <w:pPr>
              <w:pStyle w:val="Tabletext"/>
              <w:jc w:val="center"/>
              <w:rPr>
                <w:b/>
                <w:lang w:val="en-US"/>
              </w:rPr>
            </w:pPr>
            <w:r w:rsidRPr="00B41614">
              <w:rPr>
                <w:b/>
                <w:lang w:val="en-US"/>
              </w:rPr>
              <w:t>N</w:t>
            </w:r>
          </w:p>
        </w:tc>
        <w:tc>
          <w:tcPr>
            <w:tcW w:w="773" w:type="pct"/>
            <w:shd w:val="clear" w:color="auto" w:fill="auto"/>
            <w:vAlign w:val="center"/>
          </w:tcPr>
          <w:p w:rsidR="005F7C41" w:rsidRPr="00B41614" w:rsidRDefault="005F7C41" w:rsidP="00D87FED">
            <w:pPr>
              <w:pStyle w:val="Tabletext"/>
              <w:jc w:val="center"/>
              <w:rPr>
                <w:b/>
                <w:lang w:val="en-US"/>
              </w:rPr>
            </w:pPr>
            <w:r w:rsidRPr="00B41614">
              <w:rPr>
                <w:b/>
                <w:lang w:val="en-US"/>
              </w:rPr>
              <w:t>Design/ duration</w:t>
            </w:r>
          </w:p>
        </w:tc>
        <w:tc>
          <w:tcPr>
            <w:tcW w:w="609" w:type="pct"/>
            <w:shd w:val="clear" w:color="auto" w:fill="auto"/>
            <w:vAlign w:val="center"/>
          </w:tcPr>
          <w:p w:rsidR="005F7C41" w:rsidRPr="00B41614" w:rsidRDefault="005F7C41" w:rsidP="00D87FED">
            <w:pPr>
              <w:pStyle w:val="Tabletext"/>
              <w:jc w:val="center"/>
              <w:rPr>
                <w:b/>
                <w:lang w:val="en-US"/>
              </w:rPr>
            </w:pPr>
            <w:r w:rsidRPr="00B41614">
              <w:rPr>
                <w:b/>
                <w:lang w:val="en-US"/>
              </w:rPr>
              <w:t>Risk of bias</w:t>
            </w:r>
          </w:p>
        </w:tc>
        <w:tc>
          <w:tcPr>
            <w:tcW w:w="847" w:type="pct"/>
            <w:shd w:val="clear" w:color="auto" w:fill="auto"/>
            <w:vAlign w:val="center"/>
          </w:tcPr>
          <w:p w:rsidR="005F7C41" w:rsidRPr="00B41614" w:rsidRDefault="005F7C41" w:rsidP="00D87FED">
            <w:pPr>
              <w:pStyle w:val="Tabletext"/>
              <w:jc w:val="center"/>
              <w:rPr>
                <w:b/>
                <w:lang w:val="en-US"/>
              </w:rPr>
            </w:pPr>
            <w:r w:rsidRPr="00B41614">
              <w:rPr>
                <w:b/>
                <w:lang w:val="en-US"/>
              </w:rPr>
              <w:t>Patient population</w:t>
            </w:r>
          </w:p>
        </w:tc>
        <w:tc>
          <w:tcPr>
            <w:tcW w:w="618" w:type="pct"/>
            <w:shd w:val="clear" w:color="auto" w:fill="auto"/>
            <w:vAlign w:val="center"/>
          </w:tcPr>
          <w:p w:rsidR="005F7C41" w:rsidRPr="00B41614" w:rsidRDefault="005F7C41" w:rsidP="00D87FED">
            <w:pPr>
              <w:pStyle w:val="Tabletext"/>
              <w:jc w:val="center"/>
              <w:rPr>
                <w:b/>
                <w:lang w:val="en-US"/>
              </w:rPr>
            </w:pPr>
            <w:r>
              <w:rPr>
                <w:b/>
                <w:lang w:val="en-US"/>
              </w:rPr>
              <w:t>Outcomes</w:t>
            </w:r>
          </w:p>
        </w:tc>
        <w:tc>
          <w:tcPr>
            <w:tcW w:w="866" w:type="pct"/>
            <w:shd w:val="clear" w:color="auto" w:fill="auto"/>
            <w:vAlign w:val="center"/>
          </w:tcPr>
          <w:p w:rsidR="005F7C41" w:rsidRPr="00B41614" w:rsidRDefault="005F7C41" w:rsidP="00D87FED">
            <w:pPr>
              <w:pStyle w:val="Tabletext"/>
              <w:jc w:val="center"/>
              <w:rPr>
                <w:b/>
                <w:lang w:val="en-US"/>
              </w:rPr>
            </w:pPr>
            <w:r w:rsidRPr="00B41614">
              <w:rPr>
                <w:b/>
                <w:lang w:val="en-US"/>
              </w:rPr>
              <w:t>Use in modelled evaluation</w:t>
            </w:r>
          </w:p>
        </w:tc>
      </w:tr>
      <w:tr w:rsidR="005F7C41" w:rsidRPr="00B41614" w:rsidTr="00855CF2">
        <w:tc>
          <w:tcPr>
            <w:tcW w:w="5000" w:type="pct"/>
            <w:gridSpan w:val="7"/>
            <w:shd w:val="clear" w:color="auto" w:fill="auto"/>
            <w:vAlign w:val="center"/>
          </w:tcPr>
          <w:p w:rsidR="005F7C41" w:rsidRPr="00B41614" w:rsidRDefault="005F7C41" w:rsidP="00D87FED">
            <w:pPr>
              <w:pStyle w:val="Tabletext"/>
              <w:jc w:val="left"/>
              <w:rPr>
                <w:b/>
                <w:lang w:val="en-US"/>
              </w:rPr>
            </w:pPr>
            <w:proofErr w:type="spellStart"/>
            <w:r>
              <w:rPr>
                <w:b/>
                <w:lang w:val="en-US"/>
              </w:rPr>
              <w:t>Erenumab</w:t>
            </w:r>
            <w:proofErr w:type="spellEnd"/>
            <w:r>
              <w:rPr>
                <w:b/>
                <w:lang w:val="en-US"/>
              </w:rPr>
              <w:t xml:space="preserve"> vs. placebo</w:t>
            </w:r>
          </w:p>
        </w:tc>
      </w:tr>
      <w:tr w:rsidR="005F7C41" w:rsidRPr="00E2771E" w:rsidTr="00246CAA">
        <w:tc>
          <w:tcPr>
            <w:tcW w:w="708" w:type="pct"/>
            <w:shd w:val="clear" w:color="auto" w:fill="auto"/>
            <w:vAlign w:val="center"/>
          </w:tcPr>
          <w:p w:rsidR="005F7C41" w:rsidRPr="00E2771E" w:rsidRDefault="005F7C41" w:rsidP="00D87FED">
            <w:pPr>
              <w:pStyle w:val="Tabletext"/>
              <w:jc w:val="left"/>
              <w:rPr>
                <w:lang w:val="en-US"/>
              </w:rPr>
            </w:pPr>
            <w:r>
              <w:rPr>
                <w:lang w:val="en-US"/>
              </w:rPr>
              <w:t>Study 295</w:t>
            </w:r>
          </w:p>
        </w:tc>
        <w:tc>
          <w:tcPr>
            <w:tcW w:w="579" w:type="pct"/>
            <w:shd w:val="clear" w:color="auto" w:fill="auto"/>
            <w:vAlign w:val="center"/>
          </w:tcPr>
          <w:p w:rsidR="009F4B7C" w:rsidRPr="00E2771E" w:rsidRDefault="005F7C41" w:rsidP="00D87FED">
            <w:pPr>
              <w:pStyle w:val="Tabletext"/>
              <w:jc w:val="center"/>
              <w:rPr>
                <w:lang w:val="en-US"/>
              </w:rPr>
            </w:pPr>
            <w:r>
              <w:rPr>
                <w:lang w:val="en-US"/>
              </w:rPr>
              <w:t>476 (</w:t>
            </w:r>
            <w:proofErr w:type="spellStart"/>
            <w:r>
              <w:rPr>
                <w:lang w:val="en-US"/>
              </w:rPr>
              <w:t>subgrp</w:t>
            </w:r>
            <w:proofErr w:type="spellEnd"/>
            <w:r>
              <w:rPr>
                <w:lang w:val="en-US"/>
              </w:rPr>
              <w:t>=</w:t>
            </w:r>
            <w:r w:rsidR="00CC2C02">
              <w:rPr>
                <w:lang w:val="en-US"/>
              </w:rPr>
              <w:t>163</w:t>
            </w:r>
            <w:r>
              <w:rPr>
                <w:lang w:val="en-US"/>
              </w:rPr>
              <w:t>)</w:t>
            </w:r>
          </w:p>
        </w:tc>
        <w:tc>
          <w:tcPr>
            <w:tcW w:w="773" w:type="pct"/>
            <w:shd w:val="clear" w:color="auto" w:fill="auto"/>
            <w:vAlign w:val="center"/>
          </w:tcPr>
          <w:p w:rsidR="005F7C41" w:rsidRPr="00E2771E" w:rsidRDefault="005F7C41" w:rsidP="00D87FED">
            <w:pPr>
              <w:pStyle w:val="Tabletext"/>
              <w:jc w:val="center"/>
              <w:rPr>
                <w:lang w:val="en-US"/>
              </w:rPr>
            </w:pPr>
            <w:r w:rsidRPr="00E2771E">
              <w:rPr>
                <w:lang w:val="en-US"/>
              </w:rPr>
              <w:t>R, DB</w:t>
            </w:r>
            <w:r>
              <w:rPr>
                <w:lang w:val="en-US"/>
              </w:rPr>
              <w:t>, MC</w:t>
            </w:r>
          </w:p>
          <w:p w:rsidR="005F7C41" w:rsidRPr="00E2771E" w:rsidRDefault="005F7C41" w:rsidP="00D87FED">
            <w:pPr>
              <w:pStyle w:val="Tabletext"/>
              <w:jc w:val="center"/>
              <w:rPr>
                <w:lang w:val="en-US"/>
              </w:rPr>
            </w:pPr>
            <w:r>
              <w:rPr>
                <w:lang w:val="en-US"/>
              </w:rPr>
              <w:t>12 weeks</w:t>
            </w:r>
          </w:p>
        </w:tc>
        <w:tc>
          <w:tcPr>
            <w:tcW w:w="609" w:type="pct"/>
            <w:shd w:val="clear" w:color="auto" w:fill="auto"/>
            <w:vAlign w:val="center"/>
          </w:tcPr>
          <w:p w:rsidR="009F4B7C" w:rsidRPr="00E2771E" w:rsidRDefault="005F7C41" w:rsidP="00D87FED">
            <w:pPr>
              <w:pStyle w:val="Tabletext"/>
              <w:jc w:val="center"/>
              <w:rPr>
                <w:lang w:val="en-US"/>
              </w:rPr>
            </w:pPr>
            <w:r w:rsidRPr="00E2771E">
              <w:rPr>
                <w:lang w:val="en-US"/>
              </w:rPr>
              <w:t>Low</w:t>
            </w:r>
          </w:p>
        </w:tc>
        <w:tc>
          <w:tcPr>
            <w:tcW w:w="847" w:type="pct"/>
            <w:shd w:val="clear" w:color="auto" w:fill="auto"/>
            <w:vAlign w:val="center"/>
          </w:tcPr>
          <w:p w:rsidR="005F7C41" w:rsidRPr="00E2771E" w:rsidRDefault="005F7C41" w:rsidP="00D87FED">
            <w:pPr>
              <w:pStyle w:val="Tabletext"/>
              <w:jc w:val="center"/>
              <w:rPr>
                <w:lang w:val="en-US"/>
              </w:rPr>
            </w:pPr>
            <w:r w:rsidRPr="00E2771E">
              <w:rPr>
                <w:lang w:val="en-US"/>
              </w:rPr>
              <w:t xml:space="preserve">Failed </w:t>
            </w:r>
            <w:r>
              <w:rPr>
                <w:lang w:val="en-US"/>
              </w:rPr>
              <w:t xml:space="preserve">≥3 prophylactic medications </w:t>
            </w:r>
          </w:p>
        </w:tc>
        <w:tc>
          <w:tcPr>
            <w:tcW w:w="618" w:type="pct"/>
            <w:shd w:val="clear" w:color="auto" w:fill="auto"/>
            <w:vAlign w:val="center"/>
          </w:tcPr>
          <w:p w:rsidR="005F7C41" w:rsidRPr="00E2771E" w:rsidRDefault="005F7C41" w:rsidP="00D87FED">
            <w:pPr>
              <w:pStyle w:val="Tabletext"/>
              <w:jc w:val="left"/>
              <w:rPr>
                <w:lang w:val="en-US"/>
              </w:rPr>
            </w:pPr>
            <w:r>
              <w:rPr>
                <w:lang w:val="en-US"/>
              </w:rPr>
              <w:t>Change from baseline in monthly migraine days</w:t>
            </w:r>
          </w:p>
        </w:tc>
        <w:tc>
          <w:tcPr>
            <w:tcW w:w="866" w:type="pct"/>
            <w:shd w:val="clear" w:color="auto" w:fill="auto"/>
            <w:vAlign w:val="center"/>
          </w:tcPr>
          <w:p w:rsidR="005F7C41" w:rsidRPr="00E2771E" w:rsidRDefault="005F7C41" w:rsidP="00D87FED">
            <w:pPr>
              <w:pStyle w:val="Tabletext"/>
              <w:jc w:val="left"/>
              <w:rPr>
                <w:lang w:val="en-US"/>
              </w:rPr>
            </w:pPr>
            <w:r>
              <w:rPr>
                <w:lang w:val="en-US"/>
              </w:rPr>
              <w:t>≥50% responder for change in headache days; AEs</w:t>
            </w:r>
          </w:p>
        </w:tc>
      </w:tr>
      <w:tr w:rsidR="005F7C41" w:rsidRPr="00B41614" w:rsidTr="00855CF2">
        <w:tc>
          <w:tcPr>
            <w:tcW w:w="5000" w:type="pct"/>
            <w:gridSpan w:val="7"/>
            <w:shd w:val="clear" w:color="auto" w:fill="auto"/>
            <w:vAlign w:val="center"/>
          </w:tcPr>
          <w:p w:rsidR="005F7C41" w:rsidRPr="00B41614" w:rsidRDefault="005F7C41" w:rsidP="00D87FED">
            <w:pPr>
              <w:pStyle w:val="Tabletext"/>
              <w:jc w:val="left"/>
              <w:rPr>
                <w:b/>
                <w:lang w:val="en-US"/>
              </w:rPr>
            </w:pPr>
            <w:r>
              <w:rPr>
                <w:b/>
                <w:lang w:val="en-US"/>
              </w:rPr>
              <w:t>Botox vs. placebo</w:t>
            </w:r>
          </w:p>
        </w:tc>
      </w:tr>
      <w:tr w:rsidR="005F7C41" w:rsidRPr="00E2771E" w:rsidTr="00246CAA">
        <w:tc>
          <w:tcPr>
            <w:tcW w:w="708" w:type="pct"/>
            <w:shd w:val="clear" w:color="auto" w:fill="auto"/>
            <w:vAlign w:val="center"/>
          </w:tcPr>
          <w:p w:rsidR="005F7C41" w:rsidRPr="00E2771E" w:rsidRDefault="005F7C41" w:rsidP="00D87FED">
            <w:pPr>
              <w:pStyle w:val="Tabletext"/>
              <w:jc w:val="left"/>
              <w:rPr>
                <w:lang w:val="en-US"/>
              </w:rPr>
            </w:pPr>
            <w:r>
              <w:rPr>
                <w:lang w:val="en-US"/>
              </w:rPr>
              <w:t>PREEMPT I and PREEMPT II pooled analysis</w:t>
            </w:r>
          </w:p>
        </w:tc>
        <w:tc>
          <w:tcPr>
            <w:tcW w:w="579" w:type="pct"/>
            <w:shd w:val="clear" w:color="auto" w:fill="auto"/>
            <w:vAlign w:val="center"/>
          </w:tcPr>
          <w:p w:rsidR="009F4B7C" w:rsidRPr="00E2771E" w:rsidRDefault="005F7C41" w:rsidP="00D87FED">
            <w:pPr>
              <w:pStyle w:val="Tabletext"/>
              <w:jc w:val="center"/>
              <w:rPr>
                <w:lang w:val="en-US"/>
              </w:rPr>
            </w:pPr>
            <w:r>
              <w:rPr>
                <w:lang w:val="en-US"/>
              </w:rPr>
              <w:t>1,384 (</w:t>
            </w:r>
            <w:proofErr w:type="spellStart"/>
            <w:r>
              <w:rPr>
                <w:lang w:val="en-US"/>
              </w:rPr>
              <w:t>subgrp</w:t>
            </w:r>
            <w:proofErr w:type="spellEnd"/>
            <w:r>
              <w:rPr>
                <w:lang w:val="en-US"/>
              </w:rPr>
              <w:t>=396 or 479</w:t>
            </w:r>
            <w:r w:rsidRPr="008E7ABD">
              <w:rPr>
                <w:vertAlign w:val="superscript"/>
                <w:lang w:val="en-US"/>
              </w:rPr>
              <w:t>a</w:t>
            </w:r>
            <w:r>
              <w:rPr>
                <w:lang w:val="en-US"/>
              </w:rPr>
              <w:t>)</w:t>
            </w:r>
          </w:p>
        </w:tc>
        <w:tc>
          <w:tcPr>
            <w:tcW w:w="773" w:type="pct"/>
            <w:shd w:val="clear" w:color="auto" w:fill="auto"/>
            <w:vAlign w:val="center"/>
          </w:tcPr>
          <w:p w:rsidR="005F7C41" w:rsidRPr="00E2771E" w:rsidRDefault="005F7C41" w:rsidP="00D87FED">
            <w:pPr>
              <w:pStyle w:val="Tabletext"/>
              <w:jc w:val="center"/>
              <w:rPr>
                <w:lang w:val="en-US"/>
              </w:rPr>
            </w:pPr>
            <w:r w:rsidRPr="00E2771E">
              <w:rPr>
                <w:lang w:val="en-US"/>
              </w:rPr>
              <w:t>R, DB</w:t>
            </w:r>
            <w:r>
              <w:rPr>
                <w:lang w:val="en-US"/>
              </w:rPr>
              <w:t>, MC</w:t>
            </w:r>
          </w:p>
          <w:p w:rsidR="005F7C41" w:rsidRPr="00E2771E" w:rsidRDefault="005F7C41" w:rsidP="00D87FED">
            <w:pPr>
              <w:pStyle w:val="Tabletext"/>
              <w:jc w:val="center"/>
              <w:rPr>
                <w:lang w:val="en-US"/>
              </w:rPr>
            </w:pPr>
            <w:r>
              <w:rPr>
                <w:lang w:val="en-US"/>
              </w:rPr>
              <w:t>24 weeks</w:t>
            </w:r>
          </w:p>
        </w:tc>
        <w:tc>
          <w:tcPr>
            <w:tcW w:w="609" w:type="pct"/>
            <w:shd w:val="clear" w:color="auto" w:fill="auto"/>
            <w:vAlign w:val="center"/>
          </w:tcPr>
          <w:p w:rsidR="005F7C41" w:rsidRPr="00E2771E" w:rsidRDefault="005F7C41" w:rsidP="00D87FED">
            <w:pPr>
              <w:pStyle w:val="Tabletext"/>
              <w:jc w:val="center"/>
              <w:rPr>
                <w:lang w:val="en-US"/>
              </w:rPr>
            </w:pPr>
            <w:r>
              <w:rPr>
                <w:lang w:val="en-US"/>
              </w:rPr>
              <w:t>Low</w:t>
            </w:r>
          </w:p>
        </w:tc>
        <w:tc>
          <w:tcPr>
            <w:tcW w:w="847" w:type="pct"/>
            <w:shd w:val="clear" w:color="auto" w:fill="auto"/>
            <w:vAlign w:val="center"/>
          </w:tcPr>
          <w:p w:rsidR="005F7C41" w:rsidRPr="00E2771E" w:rsidRDefault="005F7C41" w:rsidP="00D87FED">
            <w:pPr>
              <w:pStyle w:val="Tabletext"/>
              <w:jc w:val="center"/>
              <w:rPr>
                <w:lang w:val="en-US"/>
              </w:rPr>
            </w:pPr>
            <w:r w:rsidRPr="00E2771E">
              <w:rPr>
                <w:lang w:val="en-US"/>
              </w:rPr>
              <w:t xml:space="preserve">Failed </w:t>
            </w:r>
            <w:r>
              <w:rPr>
                <w:lang w:val="en-US"/>
              </w:rPr>
              <w:t>≥3 prophylactic medications</w:t>
            </w:r>
          </w:p>
        </w:tc>
        <w:tc>
          <w:tcPr>
            <w:tcW w:w="618" w:type="pct"/>
            <w:shd w:val="clear" w:color="auto" w:fill="auto"/>
            <w:vAlign w:val="center"/>
          </w:tcPr>
          <w:p w:rsidR="005F7C41" w:rsidRPr="00E2771E" w:rsidRDefault="005F7C41" w:rsidP="00D87FED">
            <w:pPr>
              <w:pStyle w:val="Tabletext"/>
              <w:jc w:val="left"/>
              <w:rPr>
                <w:lang w:val="en-US"/>
              </w:rPr>
            </w:pPr>
            <w:r>
              <w:rPr>
                <w:lang w:val="en-US"/>
              </w:rPr>
              <w:t>Change from baseline in headache days</w:t>
            </w:r>
          </w:p>
        </w:tc>
        <w:tc>
          <w:tcPr>
            <w:tcW w:w="866" w:type="pct"/>
            <w:shd w:val="clear" w:color="auto" w:fill="auto"/>
            <w:vAlign w:val="center"/>
          </w:tcPr>
          <w:p w:rsidR="005F7C41" w:rsidRPr="00E2771E" w:rsidRDefault="00083388" w:rsidP="00D87FED">
            <w:pPr>
              <w:pStyle w:val="Tabletext"/>
              <w:jc w:val="left"/>
              <w:rPr>
                <w:lang w:val="en-US"/>
              </w:rPr>
            </w:pPr>
            <w:r>
              <w:rPr>
                <w:lang w:val="en-US"/>
              </w:rPr>
              <w:t>Not used</w:t>
            </w:r>
          </w:p>
        </w:tc>
      </w:tr>
    </w:tbl>
    <w:p w:rsidR="00246CAA" w:rsidRDefault="00246CAA" w:rsidP="00D87FED">
      <w:pPr>
        <w:pStyle w:val="TableFooter"/>
        <w:tabs>
          <w:tab w:val="left" w:pos="142"/>
        </w:tabs>
        <w:ind w:left="142" w:hanging="142"/>
      </w:pPr>
      <w:proofErr w:type="spellStart"/>
      <w:proofErr w:type="gramStart"/>
      <w:r w:rsidRPr="008E7ABD">
        <w:rPr>
          <w:vertAlign w:val="superscript"/>
          <w:lang w:val="en-US"/>
        </w:rPr>
        <w:t>a</w:t>
      </w:r>
      <w:proofErr w:type="spellEnd"/>
      <w:proofErr w:type="gramEnd"/>
      <w:r>
        <w:rPr>
          <w:lang w:val="en-US"/>
        </w:rPr>
        <w:tab/>
        <w:t>The size of the subgroup varied depending on the outcome assessed. The analysis of change in headache days used N=396 and analysis of ≥50% responder rate used N=479.</w:t>
      </w:r>
    </w:p>
    <w:p w:rsidR="00783CEF" w:rsidRPr="00D13A3E" w:rsidRDefault="00783CEF" w:rsidP="00D87FED">
      <w:pPr>
        <w:pStyle w:val="TableFooter"/>
      </w:pPr>
      <w:r>
        <w:t xml:space="preserve">AEs=adverse events; </w:t>
      </w:r>
      <w:r w:rsidRPr="009A6831">
        <w:t xml:space="preserve">DB=double blind; MC=multi-centre; </w:t>
      </w:r>
      <w:r w:rsidRPr="00D13A3E">
        <w:t>R=randomised</w:t>
      </w:r>
      <w:r>
        <w:t xml:space="preserve">; </w:t>
      </w:r>
      <w:proofErr w:type="spellStart"/>
      <w:r>
        <w:t>subgrp</w:t>
      </w:r>
      <w:proofErr w:type="spellEnd"/>
      <w:r>
        <w:t>=subgroup</w:t>
      </w:r>
    </w:p>
    <w:p w:rsidR="00783CEF" w:rsidRPr="007F1017" w:rsidRDefault="00783CEF" w:rsidP="00D87FED">
      <w:pPr>
        <w:pStyle w:val="TableFooter"/>
        <w:rPr>
          <w:szCs w:val="18"/>
        </w:rPr>
      </w:pPr>
      <w:r>
        <w:t>Source: Compiled from Section 2 of the resubmission.</w:t>
      </w:r>
    </w:p>
    <w:p w:rsidR="007F1017" w:rsidRDefault="007F1017" w:rsidP="00D87FED"/>
    <w:p w:rsidR="00855CF2" w:rsidRPr="00D061B9" w:rsidRDefault="004E09B3" w:rsidP="008C17FD">
      <w:pPr>
        <w:pStyle w:val="ListParagraph"/>
        <w:numPr>
          <w:ilvl w:val="1"/>
          <w:numId w:val="2"/>
        </w:numPr>
        <w:spacing w:after="120"/>
      </w:pPr>
      <w:r>
        <w:t xml:space="preserve">Removal of the requirement that </w:t>
      </w:r>
      <w:proofErr w:type="spellStart"/>
      <w:r>
        <w:t>erenumab</w:t>
      </w:r>
      <w:proofErr w:type="spellEnd"/>
      <w:r>
        <w:t xml:space="preserve"> patients be naïve to Botox increased the number of patients in the subgroup </w:t>
      </w:r>
      <w:r w:rsidRPr="00043C8C">
        <w:t xml:space="preserve">from </w:t>
      </w:r>
      <w:r w:rsidR="00405DA0">
        <w:rPr>
          <w:noProof/>
          <w:color w:val="000000"/>
          <w:highlight w:val="black"/>
        </w:rPr>
        <w:t xml:space="preserve">'''''' </w:t>
      </w:r>
      <w:r w:rsidRPr="00043C8C">
        <w:t>(</w:t>
      </w:r>
      <w:r w:rsidR="00405DA0">
        <w:rPr>
          <w:noProof/>
          <w:color w:val="000000"/>
          <w:highlight w:val="black"/>
        </w:rPr>
        <w:t>''''''</w:t>
      </w:r>
      <w:r w:rsidRPr="00043C8C">
        <w:t>%</w:t>
      </w:r>
      <w:r w:rsidR="000475ED" w:rsidRPr="00043C8C">
        <w:t xml:space="preserve"> of the</w:t>
      </w:r>
      <w:r w:rsidR="000475ED">
        <w:t xml:space="preserve"> ITT population</w:t>
      </w:r>
      <w:r>
        <w:t xml:space="preserve">) in the July 2018 submission to 163 (34%) in the resubmission. </w:t>
      </w:r>
    </w:p>
    <w:p w:rsidR="009F4B7C" w:rsidRPr="00D061B9" w:rsidRDefault="00497177" w:rsidP="008C17FD">
      <w:pPr>
        <w:pStyle w:val="ListParagraph"/>
        <w:numPr>
          <w:ilvl w:val="1"/>
          <w:numId w:val="2"/>
        </w:numPr>
        <w:spacing w:after="120"/>
      </w:pPr>
      <w:r w:rsidRPr="00D061B9">
        <w:lastRenderedPageBreak/>
        <w:t xml:space="preserve">While the subgroup had increased in size, there remained a number of concerns with </w:t>
      </w:r>
      <w:r w:rsidR="006B0748" w:rsidRPr="00D061B9">
        <w:t xml:space="preserve">the use of subgroup data for </w:t>
      </w:r>
      <w:r w:rsidR="009F4B7C" w:rsidRPr="00D061B9">
        <w:t xml:space="preserve">both the direct and </w:t>
      </w:r>
      <w:r w:rsidRPr="00D061B9">
        <w:t>the indirect comparison</w:t>
      </w:r>
      <w:r w:rsidR="00D011D3" w:rsidRPr="00D061B9">
        <w:t>s</w:t>
      </w:r>
      <w:r w:rsidRPr="00D061B9">
        <w:t xml:space="preserve">: </w:t>
      </w:r>
    </w:p>
    <w:p w:rsidR="007B4E66" w:rsidRPr="00D061B9" w:rsidRDefault="007B4E66" w:rsidP="00D87FED">
      <w:pPr>
        <w:pStyle w:val="Bulletpoints"/>
        <w:spacing w:after="120"/>
        <w:ind w:left="993" w:hanging="284"/>
      </w:pPr>
      <w:r w:rsidRPr="00D061B9">
        <w:t xml:space="preserve">Patients with no therapeutic response to </w:t>
      </w:r>
      <w:r w:rsidR="00814A5A" w:rsidRPr="00D061B9">
        <w:t>≥</w:t>
      </w:r>
      <w:r w:rsidRPr="00D061B9">
        <w:t xml:space="preserve">3 prophylactic medicines were excluded from Study 295 and it </w:t>
      </w:r>
      <w:r w:rsidR="007605D1" w:rsidRPr="00D061B9">
        <w:t xml:space="preserve">was </w:t>
      </w:r>
      <w:r w:rsidRPr="00D061B9">
        <w:t xml:space="preserve">therefore unclear how representative this subgroup will be of the population that will be treated with </w:t>
      </w:r>
      <w:proofErr w:type="spellStart"/>
      <w:r w:rsidRPr="00D061B9">
        <w:t>erenumab</w:t>
      </w:r>
      <w:proofErr w:type="spellEnd"/>
      <w:r w:rsidRPr="00D061B9">
        <w:t xml:space="preserve"> in clinical practice. </w:t>
      </w:r>
      <w:r w:rsidR="00941BF9" w:rsidRPr="00D061B9">
        <w:t xml:space="preserve">Patients with </w:t>
      </w:r>
      <w:r w:rsidR="00814A5A" w:rsidRPr="00D061B9">
        <w:t>≥3</w:t>
      </w:r>
      <w:r w:rsidR="00941BF9" w:rsidRPr="00D061B9">
        <w:t xml:space="preserve"> treatment failures could have been included in the </w:t>
      </w:r>
      <w:r w:rsidR="00814A5A" w:rsidRPr="00D061B9">
        <w:t>trial</w:t>
      </w:r>
      <w:r w:rsidR="00941BF9" w:rsidRPr="00D061B9">
        <w:t xml:space="preserve">. The difference between ‘no therapeutic response’ and ‘treatment failure’ </w:t>
      </w:r>
      <w:r w:rsidR="00556F45" w:rsidRPr="00D061B9">
        <w:t>wa</w:t>
      </w:r>
      <w:r w:rsidR="00941BF9" w:rsidRPr="00D061B9">
        <w:t>s likely to have been a subjective</w:t>
      </w:r>
      <w:r w:rsidR="00BE1B76" w:rsidRPr="00D061B9">
        <w:t xml:space="preserve"> assessment</w:t>
      </w:r>
      <w:r w:rsidR="00941BF9" w:rsidRPr="00D061B9">
        <w:t xml:space="preserve"> by each individual investigator.</w:t>
      </w:r>
    </w:p>
    <w:p w:rsidR="007B4E66" w:rsidRPr="00D061B9" w:rsidRDefault="007B4E66" w:rsidP="00D87FED">
      <w:pPr>
        <w:pStyle w:val="Bulletpoints"/>
        <w:spacing w:after="120"/>
        <w:ind w:left="993" w:hanging="284"/>
      </w:pPr>
      <w:r w:rsidRPr="00D061B9">
        <w:t>While a number of subgroup analyses were planned</w:t>
      </w:r>
      <w:r w:rsidR="007605D1" w:rsidRPr="00D061B9">
        <w:t xml:space="preserve"> in Study 295</w:t>
      </w:r>
      <w:r w:rsidR="00202F5C" w:rsidRPr="00D061B9">
        <w:t xml:space="preserve"> (</w:t>
      </w:r>
      <w:r w:rsidR="00AE1A3B" w:rsidRPr="00D061B9">
        <w:t>i.e.</w:t>
      </w:r>
      <w:r w:rsidR="00202F5C" w:rsidRPr="00D061B9">
        <w:t>, patient</w:t>
      </w:r>
      <w:r w:rsidR="005810A3" w:rsidRPr="00D061B9">
        <w:t>s</w:t>
      </w:r>
      <w:r w:rsidR="00202F5C" w:rsidRPr="00D061B9">
        <w:t xml:space="preserve"> with none, </w:t>
      </w:r>
      <w:r w:rsidR="00202F5C" w:rsidRPr="00D061B9">
        <w:rPr>
          <w:rFonts w:cs="Calibri"/>
        </w:rPr>
        <w:t>≥</w:t>
      </w:r>
      <w:r w:rsidR="00202F5C" w:rsidRPr="00D061B9">
        <w:t xml:space="preserve">1 or </w:t>
      </w:r>
      <w:r w:rsidR="00202F5C" w:rsidRPr="00D061B9">
        <w:rPr>
          <w:rFonts w:cs="Calibri"/>
        </w:rPr>
        <w:t>≥</w:t>
      </w:r>
      <w:r w:rsidR="00202F5C" w:rsidRPr="00D061B9">
        <w:t>2 failed prior therapies)</w:t>
      </w:r>
      <w:r w:rsidRPr="00D061B9">
        <w:t xml:space="preserve">, </w:t>
      </w:r>
      <w:r w:rsidR="00202F5C" w:rsidRPr="00D061B9">
        <w:t>t</w:t>
      </w:r>
      <w:r w:rsidRPr="00D061B9">
        <w:t xml:space="preserve">he subgroup analysis of patients </w:t>
      </w:r>
      <w:r w:rsidR="00202F5C" w:rsidRPr="00D061B9">
        <w:t xml:space="preserve">with </w:t>
      </w:r>
      <w:r w:rsidRPr="00D061B9">
        <w:t xml:space="preserve">≥3 </w:t>
      </w:r>
      <w:r w:rsidR="00202F5C" w:rsidRPr="00D061B9">
        <w:t xml:space="preserve">failed </w:t>
      </w:r>
      <w:r w:rsidRPr="00D061B9">
        <w:t>prophylactic medicines was a post-hoc analys</w:t>
      </w:r>
      <w:r w:rsidR="00857A31" w:rsidRPr="00D061B9">
        <w:t>i</w:t>
      </w:r>
      <w:r w:rsidRPr="00D061B9">
        <w:t>s</w:t>
      </w:r>
      <w:r w:rsidR="00202F5C" w:rsidRPr="00D061B9">
        <w:t>.</w:t>
      </w:r>
    </w:p>
    <w:p w:rsidR="00497177" w:rsidRPr="00D061B9" w:rsidRDefault="00017B43" w:rsidP="00D87FED">
      <w:pPr>
        <w:pStyle w:val="Bulletpoints"/>
        <w:spacing w:after="120"/>
        <w:ind w:left="993" w:hanging="284"/>
      </w:pPr>
      <w:r w:rsidRPr="00D061B9">
        <w:t xml:space="preserve">Effectiveness outcomes were sourced from the subgroup population but safety outcomes </w:t>
      </w:r>
      <w:r w:rsidR="004E09B3">
        <w:t xml:space="preserve">in the submission </w:t>
      </w:r>
      <w:r w:rsidRPr="00D061B9">
        <w:t xml:space="preserve">were based on the overall trial population. </w:t>
      </w:r>
      <w:r w:rsidR="00475D7A" w:rsidRPr="00D061B9">
        <w:t>The resubmission did not provide any information on treatment exposure or safety for the nominated subgroup.</w:t>
      </w:r>
      <w:r w:rsidR="00D2165C" w:rsidRPr="00D061B9">
        <w:t xml:space="preserve"> </w:t>
      </w:r>
      <w:r w:rsidR="00475D7A" w:rsidRPr="00D061B9">
        <w:t xml:space="preserve">As the subgroup is a patient population that has failed previous medications, it may not be reasonable to assume a similar exposure to treatment or safety profile in this population. </w:t>
      </w:r>
      <w:r w:rsidR="00D575E6" w:rsidRPr="00DD5D20">
        <w:t xml:space="preserve">The PSCR provided </w:t>
      </w:r>
      <w:r w:rsidR="002C1F8C">
        <w:t xml:space="preserve">some </w:t>
      </w:r>
      <w:r w:rsidR="00D575E6" w:rsidRPr="00DD5D20">
        <w:t xml:space="preserve">safety data for the subgroup (see </w:t>
      </w:r>
      <w:r w:rsidR="00D575E6" w:rsidRPr="00E30210">
        <w:t>paragraph 6.</w:t>
      </w:r>
      <w:r w:rsidR="00E30210" w:rsidRPr="00E30210">
        <w:t>20</w:t>
      </w:r>
      <w:r w:rsidR="00D575E6" w:rsidRPr="00E30210">
        <w:t>).</w:t>
      </w:r>
      <w:r w:rsidR="00D575E6">
        <w:t xml:space="preserve"> </w:t>
      </w:r>
    </w:p>
    <w:p w:rsidR="00497177" w:rsidRPr="00ED302F" w:rsidRDefault="007B4E66" w:rsidP="00D87FED">
      <w:pPr>
        <w:pStyle w:val="Bulletpoints"/>
        <w:spacing w:after="120"/>
        <w:ind w:left="993" w:hanging="284"/>
        <w:rPr>
          <w:rFonts w:asciiTheme="minorHAnsi" w:hAnsiTheme="minorHAnsi" w:cstheme="minorHAnsi"/>
        </w:rPr>
      </w:pPr>
      <w:r w:rsidRPr="00D061B9">
        <w:t>The subgroup was selected to reflect the proposed P</w:t>
      </w:r>
      <w:r w:rsidR="007A0E71" w:rsidRPr="00D061B9">
        <w:t xml:space="preserve">BS listing </w:t>
      </w:r>
      <w:r w:rsidRPr="00D061B9">
        <w:t xml:space="preserve">criteria </w:t>
      </w:r>
      <w:r w:rsidR="007A0E71" w:rsidRPr="00D061B9">
        <w:t xml:space="preserve">but removal </w:t>
      </w:r>
      <w:r w:rsidR="007A0E71" w:rsidRPr="00C15275">
        <w:t xml:space="preserve">of </w:t>
      </w:r>
      <w:r w:rsidR="00D2165C" w:rsidRPr="00C15275">
        <w:t xml:space="preserve">the </w:t>
      </w:r>
      <w:r w:rsidR="007A0E71" w:rsidRPr="00C15275">
        <w:t xml:space="preserve">requirement to have more than 15 headache days per month in </w:t>
      </w:r>
      <w:r w:rsidRPr="00C15275">
        <w:t xml:space="preserve">the </w:t>
      </w:r>
      <w:r w:rsidR="007A0E71" w:rsidRPr="00C15275">
        <w:t xml:space="preserve">criteria </w:t>
      </w:r>
      <w:r w:rsidR="00D2165C" w:rsidRPr="00ED302F">
        <w:rPr>
          <w:rFonts w:asciiTheme="minorHAnsi" w:hAnsiTheme="minorHAnsi" w:cstheme="minorHAnsi"/>
        </w:rPr>
        <w:t xml:space="preserve">did not </w:t>
      </w:r>
      <w:r w:rsidR="007A0E71" w:rsidRPr="00ED302F">
        <w:rPr>
          <w:rFonts w:asciiTheme="minorHAnsi" w:hAnsiTheme="minorHAnsi" w:cstheme="minorHAnsi"/>
        </w:rPr>
        <w:t>refle</w:t>
      </w:r>
      <w:r w:rsidRPr="00ED302F">
        <w:rPr>
          <w:rFonts w:asciiTheme="minorHAnsi" w:hAnsiTheme="minorHAnsi" w:cstheme="minorHAnsi"/>
        </w:rPr>
        <w:t xml:space="preserve">ct the inclusion criteria of the </w:t>
      </w:r>
      <w:r w:rsidR="00983A2B" w:rsidRPr="00ED302F">
        <w:rPr>
          <w:rFonts w:asciiTheme="minorHAnsi" w:hAnsiTheme="minorHAnsi" w:cstheme="minorHAnsi"/>
        </w:rPr>
        <w:t>trial</w:t>
      </w:r>
      <w:r w:rsidR="00D2165C" w:rsidRPr="00ED302F">
        <w:rPr>
          <w:rFonts w:asciiTheme="minorHAnsi" w:hAnsiTheme="minorHAnsi" w:cstheme="minorHAnsi"/>
        </w:rPr>
        <w:t xml:space="preserve"> </w:t>
      </w:r>
      <w:r w:rsidRPr="00ED302F">
        <w:rPr>
          <w:rFonts w:asciiTheme="minorHAnsi" w:hAnsiTheme="minorHAnsi" w:cstheme="minorHAnsi"/>
        </w:rPr>
        <w:t xml:space="preserve">which required patients to have more than 15 headache days per month of which 8 or more were migraine days. </w:t>
      </w:r>
    </w:p>
    <w:p w:rsidR="00AC724D" w:rsidRPr="00ED302F" w:rsidRDefault="00C15275" w:rsidP="008C17FD">
      <w:pPr>
        <w:pStyle w:val="ListParagraph"/>
        <w:numPr>
          <w:ilvl w:val="1"/>
          <w:numId w:val="2"/>
        </w:numPr>
        <w:spacing w:after="120"/>
        <w:rPr>
          <w:rFonts w:asciiTheme="minorHAnsi" w:hAnsiTheme="minorHAnsi" w:cstheme="minorHAnsi"/>
        </w:rPr>
      </w:pPr>
      <w:r w:rsidRPr="00ED302F">
        <w:rPr>
          <w:rFonts w:asciiTheme="minorHAnsi" w:hAnsiTheme="minorHAnsi" w:cstheme="minorHAnsi"/>
        </w:rPr>
        <w:t>T</w:t>
      </w:r>
      <w:r w:rsidR="00AC724D" w:rsidRPr="00ED302F">
        <w:rPr>
          <w:rFonts w:asciiTheme="minorHAnsi" w:hAnsiTheme="minorHAnsi" w:cstheme="minorHAnsi"/>
        </w:rPr>
        <w:t xml:space="preserve">he PBAC considered the use of a </w:t>
      </w:r>
      <w:r w:rsidR="007F6265" w:rsidRPr="00ED302F">
        <w:rPr>
          <w:rFonts w:asciiTheme="minorHAnsi" w:hAnsiTheme="minorHAnsi" w:cstheme="minorHAnsi"/>
        </w:rPr>
        <w:t xml:space="preserve">small </w:t>
      </w:r>
      <w:r w:rsidR="00AC724D" w:rsidRPr="00ED302F">
        <w:rPr>
          <w:rFonts w:asciiTheme="minorHAnsi" w:hAnsiTheme="minorHAnsi" w:cstheme="minorHAnsi"/>
        </w:rPr>
        <w:t xml:space="preserve">subgroup </w:t>
      </w:r>
      <w:r w:rsidR="007F6265" w:rsidRPr="00ED302F">
        <w:rPr>
          <w:rFonts w:asciiTheme="minorHAnsi" w:hAnsiTheme="minorHAnsi" w:cstheme="minorHAnsi"/>
        </w:rPr>
        <w:t xml:space="preserve">of patients in the pivotal trial </w:t>
      </w:r>
      <w:r w:rsidR="00AC724D" w:rsidRPr="00ED302F">
        <w:rPr>
          <w:rFonts w:asciiTheme="minorHAnsi" w:hAnsiTheme="minorHAnsi" w:cstheme="minorHAnsi"/>
        </w:rPr>
        <w:t xml:space="preserve">instead of the ITT </w:t>
      </w:r>
      <w:r w:rsidR="007F6265" w:rsidRPr="00ED302F">
        <w:rPr>
          <w:rFonts w:asciiTheme="minorHAnsi" w:hAnsiTheme="minorHAnsi" w:cstheme="minorHAnsi"/>
        </w:rPr>
        <w:t xml:space="preserve">population </w:t>
      </w:r>
      <w:r w:rsidR="00AC724D" w:rsidRPr="00ED302F">
        <w:rPr>
          <w:rFonts w:asciiTheme="minorHAnsi" w:hAnsiTheme="minorHAnsi" w:cstheme="minorHAnsi"/>
        </w:rPr>
        <w:t xml:space="preserve">for the clinical claim in the </w:t>
      </w:r>
      <w:r w:rsidR="001C340D" w:rsidRPr="00ED302F">
        <w:rPr>
          <w:rFonts w:asciiTheme="minorHAnsi" w:hAnsiTheme="minorHAnsi" w:cstheme="minorHAnsi"/>
        </w:rPr>
        <w:t>re</w:t>
      </w:r>
      <w:r w:rsidR="00AC724D" w:rsidRPr="00ED302F">
        <w:rPr>
          <w:rFonts w:asciiTheme="minorHAnsi" w:hAnsiTheme="minorHAnsi" w:cstheme="minorHAnsi"/>
        </w:rPr>
        <w:t>submission was poorly justified</w:t>
      </w:r>
      <w:r w:rsidR="001C340D" w:rsidRPr="00ED302F">
        <w:rPr>
          <w:rFonts w:asciiTheme="minorHAnsi" w:hAnsiTheme="minorHAnsi" w:cstheme="minorHAnsi"/>
        </w:rPr>
        <w:t xml:space="preserve"> and considered there were significant applicability issues with the subgroup that was used</w:t>
      </w:r>
      <w:r w:rsidR="00AC724D" w:rsidRPr="00ED302F">
        <w:rPr>
          <w:rFonts w:asciiTheme="minorHAnsi" w:hAnsiTheme="minorHAnsi" w:cstheme="minorHAnsi"/>
        </w:rPr>
        <w:t xml:space="preserve">. </w:t>
      </w:r>
    </w:p>
    <w:p w:rsidR="00ED302F" w:rsidRPr="0088581F" w:rsidRDefault="00ED302F" w:rsidP="008C17FD">
      <w:pPr>
        <w:pStyle w:val="ListParagraph"/>
        <w:numPr>
          <w:ilvl w:val="1"/>
          <w:numId w:val="2"/>
        </w:numPr>
        <w:spacing w:after="120"/>
      </w:pPr>
      <w:r w:rsidRPr="0088581F">
        <w:rPr>
          <w:rFonts w:asciiTheme="minorHAnsi" w:hAnsiTheme="minorHAnsi" w:cstheme="minorHAnsi"/>
        </w:rPr>
        <w:t xml:space="preserve">The PBAC noted that patients were excluded from the clinical study if they were using a number of commonly used prophylactic medications for migraine which may also limit the </w:t>
      </w:r>
      <w:r w:rsidRPr="0088581F">
        <w:t xml:space="preserve">applicability of the </w:t>
      </w:r>
      <w:r w:rsidR="0088581F" w:rsidRPr="0088581F">
        <w:t xml:space="preserve">clinical data to the </w:t>
      </w:r>
      <w:r w:rsidRPr="0088581F">
        <w:t>population</w:t>
      </w:r>
      <w:r w:rsidR="0088581F" w:rsidRPr="0088581F">
        <w:t xml:space="preserve"> of patients that will be treated with </w:t>
      </w:r>
      <w:proofErr w:type="spellStart"/>
      <w:r w:rsidR="0088581F" w:rsidRPr="0088581F">
        <w:t>erenumab</w:t>
      </w:r>
      <w:proofErr w:type="spellEnd"/>
      <w:r w:rsidR="0088581F" w:rsidRPr="0088581F">
        <w:t>.</w:t>
      </w:r>
      <w:r w:rsidRPr="0088581F">
        <w:t xml:space="preserve"> </w:t>
      </w:r>
    </w:p>
    <w:p w:rsidR="00A874F2" w:rsidRPr="00C9624D" w:rsidRDefault="00A874F2" w:rsidP="00D87FED">
      <w:pPr>
        <w:pStyle w:val="Heading2"/>
      </w:pPr>
      <w:r w:rsidRPr="00C9624D">
        <w:t>Comparative effectiveness</w:t>
      </w:r>
      <w:r>
        <w:t xml:space="preserve"> – </w:t>
      </w:r>
      <w:proofErr w:type="spellStart"/>
      <w:r>
        <w:t>erenumab</w:t>
      </w:r>
      <w:proofErr w:type="spellEnd"/>
      <w:r>
        <w:t xml:space="preserve"> vs. </w:t>
      </w:r>
      <w:r w:rsidR="007F4155">
        <w:t>BSC</w:t>
      </w:r>
    </w:p>
    <w:p w:rsidR="00A874F2" w:rsidRDefault="00A874F2" w:rsidP="008C17FD">
      <w:pPr>
        <w:pStyle w:val="ListParagraph"/>
        <w:numPr>
          <w:ilvl w:val="1"/>
          <w:numId w:val="2"/>
        </w:numPr>
      </w:pPr>
      <w:r>
        <w:t xml:space="preserve">Results of the comparison of </w:t>
      </w:r>
      <w:proofErr w:type="spellStart"/>
      <w:r>
        <w:t>erenumab</w:t>
      </w:r>
      <w:proofErr w:type="spellEnd"/>
      <w:r>
        <w:t xml:space="preserve"> and </w:t>
      </w:r>
      <w:r w:rsidR="007F4155">
        <w:t>BSC</w:t>
      </w:r>
      <w:r>
        <w:t xml:space="preserve">, based on the nominated </w:t>
      </w:r>
      <w:r w:rsidRPr="00DD5D20">
        <w:t>post-hoc</w:t>
      </w:r>
      <w:r>
        <w:t xml:space="preserve"> subgroup of patients who had failed ≥3 prophylactic medications, are provided in the table below. The resubmission provided results for change from baseline in monthly migraine days, headache days and acute medication treatment days, as well as proportion of patients with ≥50% reduction in migraine and headache days.</w:t>
      </w:r>
    </w:p>
    <w:p w:rsidR="00A874F2" w:rsidRDefault="009111A3" w:rsidP="00D87FED">
      <w:r>
        <w:rPr>
          <w:rFonts w:ascii="Arial Narrow" w:hAnsi="Arial Narrow"/>
          <w:b/>
          <w:sz w:val="20"/>
          <w:szCs w:val="20"/>
        </w:rPr>
        <w:br w:type="column"/>
      </w:r>
      <w:r w:rsidR="00A874F2" w:rsidRPr="00370DF9">
        <w:rPr>
          <w:rFonts w:ascii="Arial Narrow" w:hAnsi="Arial Narrow"/>
          <w:b/>
          <w:sz w:val="20"/>
          <w:szCs w:val="20"/>
        </w:rPr>
        <w:lastRenderedPageBreak/>
        <w:t xml:space="preserve">Table </w:t>
      </w:r>
      <w:r w:rsidR="00821312">
        <w:rPr>
          <w:rFonts w:ascii="Arial Narrow" w:hAnsi="Arial Narrow"/>
          <w:b/>
          <w:noProof/>
          <w:sz w:val="20"/>
          <w:szCs w:val="20"/>
        </w:rPr>
        <w:t>5</w:t>
      </w:r>
      <w:r w:rsidR="00A874F2" w:rsidRPr="00A05B11">
        <w:rPr>
          <w:rFonts w:ascii="Arial Narrow" w:hAnsi="Arial Narrow"/>
          <w:b/>
          <w:sz w:val="20"/>
          <w:szCs w:val="20"/>
        </w:rPr>
        <w:t xml:space="preserve">: </w:t>
      </w:r>
      <w:r w:rsidR="00A874F2">
        <w:rPr>
          <w:rFonts w:ascii="Arial Narrow" w:hAnsi="Arial Narrow"/>
          <w:b/>
          <w:sz w:val="20"/>
          <w:szCs w:val="20"/>
        </w:rPr>
        <w:t xml:space="preserve">Subgroup results for the </w:t>
      </w:r>
      <w:proofErr w:type="spellStart"/>
      <w:r w:rsidR="00A874F2">
        <w:rPr>
          <w:rFonts w:ascii="Arial Narrow" w:hAnsi="Arial Narrow"/>
          <w:b/>
          <w:sz w:val="20"/>
          <w:szCs w:val="20"/>
        </w:rPr>
        <w:t>erenumab</w:t>
      </w:r>
      <w:proofErr w:type="spellEnd"/>
      <w:r w:rsidR="00A874F2">
        <w:rPr>
          <w:rFonts w:ascii="Arial Narrow" w:hAnsi="Arial Narrow"/>
          <w:b/>
          <w:sz w:val="20"/>
          <w:szCs w:val="20"/>
        </w:rPr>
        <w:t xml:space="preserve"> – </w:t>
      </w:r>
      <w:r w:rsidR="007F4155">
        <w:rPr>
          <w:rFonts w:ascii="Arial Narrow" w:hAnsi="Arial Narrow"/>
          <w:b/>
          <w:sz w:val="20"/>
          <w:szCs w:val="20"/>
        </w:rPr>
        <w:t>BSC</w:t>
      </w:r>
      <w:r w:rsidR="00A874F2">
        <w:rPr>
          <w:rFonts w:ascii="Arial Narrow" w:hAnsi="Arial Narrow"/>
          <w:b/>
          <w:sz w:val="20"/>
          <w:szCs w:val="20"/>
        </w:rPr>
        <w:t xml:space="preserve"> comparison in Study 295</w:t>
      </w:r>
    </w:p>
    <w:tbl>
      <w:tblPr>
        <w:tblStyle w:val="TableGrid"/>
        <w:tblW w:w="0" w:type="auto"/>
        <w:tblLook w:val="04A0" w:firstRow="1" w:lastRow="0" w:firstColumn="1" w:lastColumn="0" w:noHBand="0" w:noVBand="1"/>
        <w:tblCaption w:val="Table 5: Subgroup results for the erenumab – BSC comparison in Study 295"/>
      </w:tblPr>
      <w:tblGrid>
        <w:gridCol w:w="2083"/>
        <w:gridCol w:w="1261"/>
        <w:gridCol w:w="1281"/>
        <w:gridCol w:w="1269"/>
        <w:gridCol w:w="1136"/>
        <w:gridCol w:w="1987"/>
      </w:tblGrid>
      <w:tr w:rsidR="00A874F2" w:rsidRPr="00024399" w:rsidTr="008C17FD">
        <w:trPr>
          <w:tblHeader/>
        </w:trPr>
        <w:tc>
          <w:tcPr>
            <w:tcW w:w="2093" w:type="dxa"/>
            <w:vMerge w:val="restart"/>
            <w:vAlign w:val="center"/>
          </w:tcPr>
          <w:p w:rsidR="00A874F2" w:rsidRPr="00024399" w:rsidRDefault="00A874F2" w:rsidP="00D87FED">
            <w:pPr>
              <w:rPr>
                <w:rFonts w:ascii="Arial Narrow" w:hAnsi="Arial Narrow"/>
                <w:b/>
                <w:sz w:val="20"/>
                <w:szCs w:val="20"/>
              </w:rPr>
            </w:pPr>
            <w:r>
              <w:rPr>
                <w:rFonts w:ascii="Arial Narrow" w:hAnsi="Arial Narrow"/>
                <w:b/>
                <w:sz w:val="20"/>
                <w:szCs w:val="20"/>
              </w:rPr>
              <w:t>Outcome</w:t>
            </w:r>
          </w:p>
        </w:tc>
        <w:tc>
          <w:tcPr>
            <w:tcW w:w="2545" w:type="dxa"/>
            <w:gridSpan w:val="2"/>
            <w:vAlign w:val="center"/>
          </w:tcPr>
          <w:p w:rsidR="00A874F2" w:rsidRPr="00024399" w:rsidRDefault="00A874F2" w:rsidP="00D87FED">
            <w:pPr>
              <w:jc w:val="center"/>
              <w:rPr>
                <w:rFonts w:ascii="Arial Narrow" w:hAnsi="Arial Narrow"/>
                <w:b/>
                <w:sz w:val="20"/>
                <w:szCs w:val="20"/>
              </w:rPr>
            </w:pPr>
            <w:proofErr w:type="spellStart"/>
            <w:r w:rsidRPr="00024399">
              <w:rPr>
                <w:rFonts w:ascii="Arial Narrow" w:hAnsi="Arial Narrow"/>
                <w:b/>
                <w:sz w:val="20"/>
                <w:szCs w:val="20"/>
              </w:rPr>
              <w:t>Erenumab</w:t>
            </w:r>
            <w:proofErr w:type="spellEnd"/>
            <w:r w:rsidRPr="00024399">
              <w:rPr>
                <w:rFonts w:ascii="Arial Narrow" w:hAnsi="Arial Narrow"/>
                <w:b/>
                <w:sz w:val="20"/>
                <w:szCs w:val="20"/>
              </w:rPr>
              <w:t xml:space="preserve"> </w:t>
            </w:r>
            <w:r w:rsidR="00EE60F5">
              <w:rPr>
                <w:rFonts w:ascii="Arial Narrow" w:hAnsi="Arial Narrow"/>
                <w:b/>
                <w:sz w:val="20"/>
                <w:szCs w:val="20"/>
              </w:rPr>
              <w:t xml:space="preserve">140 mg </w:t>
            </w:r>
            <w:r w:rsidRPr="00024399">
              <w:rPr>
                <w:rFonts w:ascii="Arial Narrow" w:hAnsi="Arial Narrow"/>
                <w:b/>
                <w:sz w:val="20"/>
                <w:szCs w:val="20"/>
              </w:rPr>
              <w:t>(N=65)</w:t>
            </w:r>
          </w:p>
        </w:tc>
        <w:tc>
          <w:tcPr>
            <w:tcW w:w="2406" w:type="dxa"/>
            <w:gridSpan w:val="2"/>
            <w:vAlign w:val="center"/>
          </w:tcPr>
          <w:p w:rsidR="00A874F2" w:rsidRPr="00024399" w:rsidRDefault="00A874F2" w:rsidP="00D87FED">
            <w:pPr>
              <w:jc w:val="center"/>
              <w:rPr>
                <w:rFonts w:ascii="Arial Narrow" w:hAnsi="Arial Narrow"/>
                <w:b/>
                <w:sz w:val="20"/>
                <w:szCs w:val="20"/>
              </w:rPr>
            </w:pPr>
            <w:r w:rsidRPr="00024399">
              <w:rPr>
                <w:rFonts w:ascii="Arial Narrow" w:hAnsi="Arial Narrow"/>
                <w:b/>
                <w:sz w:val="20"/>
                <w:szCs w:val="20"/>
              </w:rPr>
              <w:t>Placebo (N=96)</w:t>
            </w:r>
          </w:p>
        </w:tc>
        <w:tc>
          <w:tcPr>
            <w:tcW w:w="1995" w:type="dxa"/>
            <w:vMerge w:val="restart"/>
            <w:vAlign w:val="center"/>
          </w:tcPr>
          <w:p w:rsidR="00A874F2" w:rsidRPr="00024399" w:rsidRDefault="00A874F2" w:rsidP="00D87FED">
            <w:pPr>
              <w:pStyle w:val="PbacTableHeading"/>
              <w:tabs>
                <w:tab w:val="left" w:pos="167"/>
              </w:tabs>
              <w:spacing w:after="0"/>
              <w:jc w:val="center"/>
            </w:pPr>
            <w:r w:rsidRPr="00024399">
              <w:t xml:space="preserve">Mean difference </w:t>
            </w:r>
          </w:p>
          <w:p w:rsidR="00A874F2" w:rsidRPr="00024399" w:rsidRDefault="00A874F2" w:rsidP="00D87FED">
            <w:pPr>
              <w:jc w:val="center"/>
              <w:rPr>
                <w:rFonts w:ascii="Arial Narrow" w:hAnsi="Arial Narrow"/>
                <w:b/>
                <w:sz w:val="20"/>
                <w:szCs w:val="20"/>
              </w:rPr>
            </w:pPr>
            <w:r w:rsidRPr="00024399">
              <w:rPr>
                <w:rFonts w:ascii="Arial Narrow" w:hAnsi="Arial Narrow"/>
                <w:b/>
                <w:sz w:val="20"/>
                <w:szCs w:val="20"/>
              </w:rPr>
              <w:t>(95% CI)</w:t>
            </w:r>
          </w:p>
        </w:tc>
      </w:tr>
      <w:tr w:rsidR="00A874F2" w:rsidRPr="00024399" w:rsidTr="008C17FD">
        <w:trPr>
          <w:tblHeader/>
        </w:trPr>
        <w:tc>
          <w:tcPr>
            <w:tcW w:w="2093" w:type="dxa"/>
            <w:vMerge/>
            <w:vAlign w:val="center"/>
          </w:tcPr>
          <w:p w:rsidR="00A874F2" w:rsidRPr="00024399" w:rsidRDefault="00A874F2" w:rsidP="00D87FED">
            <w:pPr>
              <w:rPr>
                <w:rFonts w:ascii="Arial Narrow" w:hAnsi="Arial Narrow"/>
                <w:b/>
                <w:sz w:val="20"/>
                <w:szCs w:val="20"/>
              </w:rPr>
            </w:pPr>
          </w:p>
        </w:tc>
        <w:tc>
          <w:tcPr>
            <w:tcW w:w="1262" w:type="dxa"/>
            <w:vAlign w:val="center"/>
          </w:tcPr>
          <w:p w:rsidR="00A874F2" w:rsidRPr="00024399" w:rsidRDefault="00A874F2" w:rsidP="00D87FED">
            <w:pPr>
              <w:jc w:val="center"/>
              <w:rPr>
                <w:rFonts w:ascii="Arial Narrow" w:hAnsi="Arial Narrow"/>
                <w:b/>
                <w:sz w:val="20"/>
                <w:szCs w:val="20"/>
              </w:rPr>
            </w:pPr>
            <w:r w:rsidRPr="00024399">
              <w:rPr>
                <w:rFonts w:ascii="Arial Narrow" w:hAnsi="Arial Narrow"/>
                <w:b/>
                <w:sz w:val="20"/>
                <w:szCs w:val="20"/>
              </w:rPr>
              <w:t>Baseline (</w:t>
            </w:r>
            <w:proofErr w:type="spellStart"/>
            <w:r w:rsidRPr="00024399">
              <w:rPr>
                <w:rFonts w:ascii="Arial Narrow" w:hAnsi="Arial Narrow"/>
                <w:b/>
                <w:sz w:val="20"/>
                <w:szCs w:val="20"/>
              </w:rPr>
              <w:t>mean±SD</w:t>
            </w:r>
            <w:proofErr w:type="spellEnd"/>
            <w:r w:rsidRPr="00024399">
              <w:rPr>
                <w:rFonts w:ascii="Arial Narrow" w:hAnsi="Arial Narrow"/>
                <w:b/>
                <w:sz w:val="20"/>
                <w:szCs w:val="20"/>
              </w:rPr>
              <w:t>)</w:t>
            </w:r>
          </w:p>
        </w:tc>
        <w:tc>
          <w:tcPr>
            <w:tcW w:w="1283" w:type="dxa"/>
            <w:vAlign w:val="center"/>
          </w:tcPr>
          <w:p w:rsidR="00A874F2" w:rsidRPr="00024399" w:rsidRDefault="00A874F2" w:rsidP="00D87FED">
            <w:pPr>
              <w:jc w:val="center"/>
              <w:rPr>
                <w:rFonts w:ascii="Arial Narrow" w:hAnsi="Arial Narrow"/>
                <w:b/>
                <w:sz w:val="20"/>
                <w:szCs w:val="20"/>
              </w:rPr>
            </w:pPr>
            <w:r w:rsidRPr="00024399">
              <w:rPr>
                <w:rFonts w:ascii="Arial Narrow" w:hAnsi="Arial Narrow"/>
                <w:b/>
                <w:sz w:val="20"/>
                <w:szCs w:val="20"/>
              </w:rPr>
              <w:t>Change</w:t>
            </w:r>
            <w:r w:rsidR="008C17FD">
              <w:rPr>
                <w:rFonts w:ascii="Arial Narrow" w:hAnsi="Arial Narrow"/>
                <w:b/>
                <w:sz w:val="20"/>
                <w:szCs w:val="20"/>
              </w:rPr>
              <w:t xml:space="preserve"> </w:t>
            </w:r>
            <w:r w:rsidRPr="00024399">
              <w:rPr>
                <w:rFonts w:ascii="Arial Narrow" w:hAnsi="Arial Narrow"/>
                <w:b/>
                <w:sz w:val="20"/>
                <w:szCs w:val="20"/>
              </w:rPr>
              <w:t>(</w:t>
            </w:r>
            <w:proofErr w:type="spellStart"/>
            <w:r w:rsidRPr="00024399">
              <w:rPr>
                <w:rFonts w:ascii="Arial Narrow" w:hAnsi="Arial Narrow"/>
                <w:b/>
                <w:sz w:val="20"/>
                <w:szCs w:val="20"/>
              </w:rPr>
              <w:t>mean±SE</w:t>
            </w:r>
            <w:proofErr w:type="spellEnd"/>
            <w:r w:rsidRPr="00024399">
              <w:rPr>
                <w:rFonts w:ascii="Arial Narrow" w:hAnsi="Arial Narrow"/>
                <w:b/>
                <w:sz w:val="20"/>
                <w:szCs w:val="20"/>
              </w:rPr>
              <w:t>)</w:t>
            </w:r>
          </w:p>
        </w:tc>
        <w:tc>
          <w:tcPr>
            <w:tcW w:w="1270" w:type="dxa"/>
            <w:vAlign w:val="center"/>
          </w:tcPr>
          <w:p w:rsidR="00A874F2" w:rsidRPr="00024399" w:rsidRDefault="00A874F2" w:rsidP="00D87FED">
            <w:pPr>
              <w:pStyle w:val="PbacTableHeading"/>
              <w:tabs>
                <w:tab w:val="left" w:pos="167"/>
              </w:tabs>
              <w:spacing w:after="0"/>
              <w:jc w:val="center"/>
            </w:pPr>
            <w:r w:rsidRPr="00024399">
              <w:t>Baseline</w:t>
            </w:r>
          </w:p>
          <w:p w:rsidR="00A874F2" w:rsidRPr="00024399" w:rsidRDefault="00A874F2" w:rsidP="00D87FED">
            <w:pPr>
              <w:jc w:val="center"/>
              <w:rPr>
                <w:rFonts w:ascii="Arial Narrow" w:hAnsi="Arial Narrow"/>
                <w:b/>
                <w:sz w:val="20"/>
                <w:szCs w:val="20"/>
              </w:rPr>
            </w:pPr>
            <w:r w:rsidRPr="00024399">
              <w:rPr>
                <w:rFonts w:ascii="Arial Narrow" w:hAnsi="Arial Narrow"/>
                <w:b/>
                <w:sz w:val="20"/>
                <w:szCs w:val="20"/>
              </w:rPr>
              <w:t>(</w:t>
            </w:r>
            <w:proofErr w:type="spellStart"/>
            <w:r w:rsidRPr="00024399">
              <w:rPr>
                <w:rFonts w:ascii="Arial Narrow" w:hAnsi="Arial Narrow"/>
                <w:b/>
                <w:sz w:val="20"/>
                <w:szCs w:val="20"/>
              </w:rPr>
              <w:t>mean±SD</w:t>
            </w:r>
            <w:proofErr w:type="spellEnd"/>
            <w:r w:rsidRPr="00024399">
              <w:rPr>
                <w:rFonts w:ascii="Arial Narrow" w:hAnsi="Arial Narrow"/>
                <w:b/>
                <w:sz w:val="20"/>
                <w:szCs w:val="20"/>
              </w:rPr>
              <w:t>)</w:t>
            </w:r>
          </w:p>
        </w:tc>
        <w:tc>
          <w:tcPr>
            <w:tcW w:w="1136" w:type="dxa"/>
            <w:vAlign w:val="center"/>
          </w:tcPr>
          <w:p w:rsidR="00A874F2" w:rsidRPr="00024399" w:rsidRDefault="00A874F2" w:rsidP="00D87FED">
            <w:pPr>
              <w:jc w:val="center"/>
              <w:rPr>
                <w:rFonts w:ascii="Arial Narrow" w:hAnsi="Arial Narrow"/>
                <w:b/>
                <w:sz w:val="20"/>
                <w:szCs w:val="20"/>
              </w:rPr>
            </w:pPr>
            <w:r w:rsidRPr="00024399">
              <w:rPr>
                <w:rFonts w:ascii="Arial Narrow" w:hAnsi="Arial Narrow"/>
                <w:b/>
                <w:sz w:val="20"/>
                <w:szCs w:val="20"/>
              </w:rPr>
              <w:t>Change</w:t>
            </w:r>
            <w:r w:rsidR="008C17FD">
              <w:rPr>
                <w:rFonts w:ascii="Arial Narrow" w:hAnsi="Arial Narrow"/>
                <w:b/>
                <w:sz w:val="20"/>
                <w:szCs w:val="20"/>
              </w:rPr>
              <w:t xml:space="preserve"> </w:t>
            </w:r>
            <w:r w:rsidRPr="00024399">
              <w:rPr>
                <w:rFonts w:ascii="Arial Narrow" w:hAnsi="Arial Narrow"/>
                <w:b/>
                <w:sz w:val="20"/>
                <w:szCs w:val="20"/>
              </w:rPr>
              <w:t>(</w:t>
            </w:r>
            <w:proofErr w:type="spellStart"/>
            <w:r w:rsidRPr="00024399">
              <w:rPr>
                <w:rFonts w:ascii="Arial Narrow" w:hAnsi="Arial Narrow"/>
                <w:b/>
                <w:sz w:val="20"/>
                <w:szCs w:val="20"/>
              </w:rPr>
              <w:t>mean±SE</w:t>
            </w:r>
            <w:proofErr w:type="spellEnd"/>
            <w:r w:rsidRPr="00024399">
              <w:rPr>
                <w:rFonts w:ascii="Arial Narrow" w:hAnsi="Arial Narrow"/>
                <w:b/>
                <w:sz w:val="20"/>
                <w:szCs w:val="20"/>
              </w:rPr>
              <w:t>)</w:t>
            </w:r>
          </w:p>
        </w:tc>
        <w:tc>
          <w:tcPr>
            <w:tcW w:w="1995" w:type="dxa"/>
            <w:vMerge/>
            <w:vAlign w:val="center"/>
          </w:tcPr>
          <w:p w:rsidR="00A874F2" w:rsidRPr="00024399" w:rsidRDefault="00A874F2" w:rsidP="00D87FED">
            <w:pPr>
              <w:jc w:val="center"/>
              <w:rPr>
                <w:rFonts w:ascii="Arial Narrow" w:hAnsi="Arial Narrow"/>
                <w:b/>
                <w:sz w:val="20"/>
                <w:szCs w:val="20"/>
              </w:rPr>
            </w:pPr>
          </w:p>
        </w:tc>
      </w:tr>
      <w:tr w:rsidR="00A874F2" w:rsidRPr="00024399" w:rsidTr="00AC3A72">
        <w:tc>
          <w:tcPr>
            <w:tcW w:w="9039" w:type="dxa"/>
            <w:gridSpan w:val="6"/>
            <w:vAlign w:val="center"/>
          </w:tcPr>
          <w:p w:rsidR="00A874F2" w:rsidRPr="00024399" w:rsidRDefault="00A874F2" w:rsidP="00D87FED">
            <w:pPr>
              <w:rPr>
                <w:rFonts w:ascii="Arial Narrow" w:hAnsi="Arial Narrow"/>
                <w:b/>
                <w:sz w:val="20"/>
                <w:szCs w:val="20"/>
              </w:rPr>
            </w:pPr>
            <w:r>
              <w:rPr>
                <w:rFonts w:ascii="Arial Narrow" w:hAnsi="Arial Narrow"/>
                <w:b/>
                <w:sz w:val="20"/>
                <w:szCs w:val="20"/>
              </w:rPr>
              <w:t>Change from baseline</w:t>
            </w:r>
          </w:p>
        </w:tc>
      </w:tr>
      <w:tr w:rsidR="00A874F2" w:rsidRPr="00480A73" w:rsidTr="00AC3A72">
        <w:tc>
          <w:tcPr>
            <w:tcW w:w="2093" w:type="dxa"/>
            <w:vAlign w:val="center"/>
          </w:tcPr>
          <w:p w:rsidR="00A874F2" w:rsidRPr="00024399" w:rsidRDefault="00A874F2" w:rsidP="00D87FED">
            <w:pPr>
              <w:rPr>
                <w:rFonts w:ascii="Arial Narrow" w:hAnsi="Arial Narrow"/>
                <w:sz w:val="20"/>
                <w:szCs w:val="20"/>
              </w:rPr>
            </w:pPr>
            <w:r w:rsidRPr="00024399">
              <w:rPr>
                <w:rFonts w:ascii="Arial Narrow" w:hAnsi="Arial Narrow"/>
                <w:sz w:val="20"/>
                <w:szCs w:val="20"/>
              </w:rPr>
              <w:t>Monthly migraine days</w:t>
            </w:r>
          </w:p>
        </w:tc>
        <w:tc>
          <w:tcPr>
            <w:tcW w:w="1262" w:type="dxa"/>
            <w:vAlign w:val="center"/>
          </w:tcPr>
          <w:p w:rsidR="00A874F2" w:rsidRPr="00024399" w:rsidRDefault="00A874F2" w:rsidP="00D87FED">
            <w:pPr>
              <w:jc w:val="center"/>
              <w:rPr>
                <w:rFonts w:ascii="Arial Narrow" w:hAnsi="Arial Narrow"/>
                <w:sz w:val="20"/>
                <w:szCs w:val="20"/>
              </w:rPr>
            </w:pPr>
            <w:r w:rsidRPr="00024399">
              <w:rPr>
                <w:rFonts w:ascii="Arial Narrow" w:hAnsi="Arial Narrow"/>
                <w:sz w:val="20"/>
                <w:szCs w:val="20"/>
              </w:rPr>
              <w:t>19.0±4.7</w:t>
            </w:r>
          </w:p>
        </w:tc>
        <w:tc>
          <w:tcPr>
            <w:tcW w:w="1283" w:type="dxa"/>
            <w:vAlign w:val="center"/>
          </w:tcPr>
          <w:p w:rsidR="00A874F2" w:rsidRPr="00024399" w:rsidRDefault="00A874F2" w:rsidP="00D87FED">
            <w:pPr>
              <w:jc w:val="center"/>
              <w:rPr>
                <w:rFonts w:ascii="Arial Narrow" w:hAnsi="Arial Narrow"/>
                <w:sz w:val="20"/>
                <w:szCs w:val="20"/>
              </w:rPr>
            </w:pPr>
            <w:r w:rsidRPr="00024399">
              <w:rPr>
                <w:rFonts w:ascii="Arial Narrow" w:hAnsi="Arial Narrow"/>
                <w:sz w:val="20"/>
                <w:szCs w:val="20"/>
              </w:rPr>
              <w:t>-7.0±0.9</w:t>
            </w:r>
          </w:p>
        </w:tc>
        <w:tc>
          <w:tcPr>
            <w:tcW w:w="1270" w:type="dxa"/>
            <w:vAlign w:val="center"/>
          </w:tcPr>
          <w:p w:rsidR="00A874F2" w:rsidRPr="00024399" w:rsidRDefault="00A874F2" w:rsidP="00D87FED">
            <w:pPr>
              <w:jc w:val="center"/>
              <w:rPr>
                <w:rFonts w:ascii="Arial Narrow" w:hAnsi="Arial Narrow"/>
                <w:sz w:val="20"/>
                <w:szCs w:val="20"/>
              </w:rPr>
            </w:pPr>
            <w:r w:rsidRPr="00024399">
              <w:rPr>
                <w:rFonts w:ascii="Arial Narrow" w:hAnsi="Arial Narrow"/>
                <w:sz w:val="20"/>
                <w:szCs w:val="20"/>
              </w:rPr>
              <w:t>18.4±4.5</w:t>
            </w:r>
          </w:p>
        </w:tc>
        <w:tc>
          <w:tcPr>
            <w:tcW w:w="1136" w:type="dxa"/>
            <w:vAlign w:val="center"/>
          </w:tcPr>
          <w:p w:rsidR="00A874F2" w:rsidRPr="00024399" w:rsidRDefault="00A874F2" w:rsidP="00D87FED">
            <w:pPr>
              <w:jc w:val="center"/>
              <w:rPr>
                <w:rFonts w:ascii="Arial Narrow" w:hAnsi="Arial Narrow"/>
                <w:sz w:val="20"/>
                <w:szCs w:val="20"/>
              </w:rPr>
            </w:pPr>
            <w:r w:rsidRPr="00024399">
              <w:rPr>
                <w:rFonts w:ascii="Arial Narrow" w:hAnsi="Arial Narrow"/>
                <w:sz w:val="20"/>
                <w:szCs w:val="20"/>
              </w:rPr>
              <w:t>-2.8±0.6</w:t>
            </w:r>
          </w:p>
        </w:tc>
        <w:tc>
          <w:tcPr>
            <w:tcW w:w="1995" w:type="dxa"/>
            <w:vAlign w:val="center"/>
          </w:tcPr>
          <w:p w:rsidR="00A874F2" w:rsidRPr="001C340D" w:rsidRDefault="00A874F2" w:rsidP="00D87FED">
            <w:pPr>
              <w:jc w:val="center"/>
              <w:rPr>
                <w:rFonts w:ascii="Arial Narrow" w:hAnsi="Arial Narrow"/>
                <w:b/>
                <w:sz w:val="20"/>
                <w:szCs w:val="20"/>
              </w:rPr>
            </w:pPr>
            <w:r w:rsidRPr="001C340D">
              <w:rPr>
                <w:rFonts w:ascii="Arial Narrow" w:hAnsi="Arial Narrow"/>
                <w:b/>
                <w:sz w:val="20"/>
                <w:szCs w:val="20"/>
              </w:rPr>
              <w:t>-4.2 (-6.3,-2.1)</w:t>
            </w:r>
          </w:p>
        </w:tc>
      </w:tr>
      <w:tr w:rsidR="00A874F2" w:rsidRPr="00480A73" w:rsidTr="00AC3A72">
        <w:tc>
          <w:tcPr>
            <w:tcW w:w="2093" w:type="dxa"/>
            <w:vAlign w:val="center"/>
          </w:tcPr>
          <w:p w:rsidR="00A874F2" w:rsidRPr="00024399" w:rsidRDefault="00A874F2" w:rsidP="00D87FED">
            <w:pPr>
              <w:rPr>
                <w:rFonts w:ascii="Arial Narrow" w:hAnsi="Arial Narrow"/>
                <w:sz w:val="20"/>
                <w:szCs w:val="20"/>
              </w:rPr>
            </w:pPr>
            <w:r w:rsidRPr="00024399">
              <w:rPr>
                <w:rFonts w:ascii="Arial Narrow" w:hAnsi="Arial Narrow"/>
                <w:sz w:val="20"/>
                <w:szCs w:val="20"/>
              </w:rPr>
              <w:t>Monthly headache days</w:t>
            </w:r>
          </w:p>
        </w:tc>
        <w:tc>
          <w:tcPr>
            <w:tcW w:w="1262" w:type="dxa"/>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283" w:type="dxa"/>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270" w:type="dxa"/>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136" w:type="dxa"/>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995" w:type="dxa"/>
            <w:vAlign w:val="center"/>
          </w:tcPr>
          <w:p w:rsidR="00A874F2" w:rsidRPr="001C340D" w:rsidRDefault="00405DA0" w:rsidP="00D87FED">
            <w:pPr>
              <w:jc w:val="center"/>
              <w:rPr>
                <w:rFonts w:ascii="Arial Narrow" w:hAnsi="Arial Narrow"/>
                <w:b/>
                <w:sz w:val="20"/>
                <w:szCs w:val="20"/>
              </w:rPr>
            </w:pPr>
            <w:r>
              <w:rPr>
                <w:rFonts w:ascii="Arial Narrow" w:hAnsi="Arial Narrow"/>
                <w:b/>
                <w:noProof/>
                <w:color w:val="000000"/>
                <w:sz w:val="20"/>
                <w:szCs w:val="20"/>
                <w:highlight w:val="black"/>
              </w:rPr>
              <w:t>'''''''</w:t>
            </w:r>
            <w:r w:rsidR="00A874F2" w:rsidRPr="001C340D">
              <w:rPr>
                <w:rFonts w:ascii="Arial Narrow" w:hAnsi="Arial Narrow"/>
                <w:b/>
                <w:sz w:val="20"/>
                <w:szCs w:val="20"/>
              </w:rPr>
              <w:t xml:space="preserve"> (</w:t>
            </w:r>
            <w:r>
              <w:rPr>
                <w:rFonts w:ascii="Arial Narrow" w:hAnsi="Arial Narrow"/>
                <w:b/>
                <w:noProof/>
                <w:color w:val="000000"/>
                <w:sz w:val="20"/>
                <w:szCs w:val="20"/>
                <w:highlight w:val="black"/>
              </w:rPr>
              <w:t>'''''''</w:t>
            </w:r>
            <w:r w:rsidR="00A874F2" w:rsidRPr="00AB5216">
              <w:rPr>
                <w:rFonts w:ascii="Arial Narrow" w:hAnsi="Arial Narrow"/>
                <w:b/>
                <w:sz w:val="20"/>
                <w:szCs w:val="20"/>
              </w:rPr>
              <w:t>,</w:t>
            </w:r>
            <w:r>
              <w:rPr>
                <w:rFonts w:ascii="Arial Narrow" w:hAnsi="Arial Narrow"/>
                <w:b/>
                <w:noProof/>
                <w:color w:val="000000"/>
                <w:sz w:val="20"/>
                <w:szCs w:val="20"/>
                <w:highlight w:val="black"/>
              </w:rPr>
              <w:t>'''''''</w:t>
            </w:r>
            <w:r w:rsidR="00A874F2" w:rsidRPr="00AB5216">
              <w:rPr>
                <w:rFonts w:ascii="Arial Narrow" w:hAnsi="Arial Narrow"/>
                <w:b/>
                <w:sz w:val="20"/>
                <w:szCs w:val="20"/>
              </w:rPr>
              <w:t>)</w:t>
            </w:r>
          </w:p>
        </w:tc>
      </w:tr>
      <w:tr w:rsidR="00A874F2" w:rsidRPr="00480A73" w:rsidTr="00AC3A72">
        <w:tc>
          <w:tcPr>
            <w:tcW w:w="2093" w:type="dxa"/>
            <w:tcBorders>
              <w:bottom w:val="double" w:sz="4" w:space="0" w:color="auto"/>
            </w:tcBorders>
            <w:vAlign w:val="center"/>
          </w:tcPr>
          <w:p w:rsidR="00A874F2" w:rsidRPr="00024399" w:rsidRDefault="00A874F2" w:rsidP="00D87FED">
            <w:pPr>
              <w:rPr>
                <w:rFonts w:ascii="Arial Narrow" w:hAnsi="Arial Narrow"/>
                <w:sz w:val="20"/>
                <w:szCs w:val="20"/>
              </w:rPr>
            </w:pPr>
            <w:r w:rsidRPr="00024399">
              <w:rPr>
                <w:rFonts w:ascii="Arial Narrow" w:hAnsi="Arial Narrow"/>
                <w:sz w:val="20"/>
                <w:szCs w:val="20"/>
              </w:rPr>
              <w:t>Acute medication days</w:t>
            </w:r>
          </w:p>
        </w:tc>
        <w:tc>
          <w:tcPr>
            <w:tcW w:w="1262" w:type="dxa"/>
            <w:tcBorders>
              <w:bottom w:val="double" w:sz="4" w:space="0" w:color="auto"/>
            </w:tcBorders>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283" w:type="dxa"/>
            <w:tcBorders>
              <w:bottom w:val="double" w:sz="4" w:space="0" w:color="auto"/>
            </w:tcBorders>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270" w:type="dxa"/>
            <w:tcBorders>
              <w:bottom w:val="double" w:sz="4" w:space="0" w:color="auto"/>
            </w:tcBorders>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136" w:type="dxa"/>
            <w:tcBorders>
              <w:bottom w:val="double" w:sz="4" w:space="0" w:color="auto"/>
            </w:tcBorders>
            <w:vAlign w:val="center"/>
          </w:tcPr>
          <w:p w:rsidR="00A874F2" w:rsidRPr="00024399"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024399">
              <w:rPr>
                <w:rFonts w:ascii="Arial Narrow" w:hAnsi="Arial Narrow"/>
                <w:sz w:val="20"/>
                <w:szCs w:val="20"/>
              </w:rPr>
              <w:t>±</w:t>
            </w:r>
            <w:r>
              <w:rPr>
                <w:rFonts w:ascii="Arial Narrow" w:hAnsi="Arial Narrow"/>
                <w:noProof/>
                <w:color w:val="000000"/>
                <w:sz w:val="20"/>
                <w:szCs w:val="20"/>
                <w:highlight w:val="black"/>
              </w:rPr>
              <w:t>''''''''</w:t>
            </w:r>
          </w:p>
        </w:tc>
        <w:tc>
          <w:tcPr>
            <w:tcW w:w="1995" w:type="dxa"/>
            <w:tcBorders>
              <w:bottom w:val="double" w:sz="4" w:space="0" w:color="auto"/>
            </w:tcBorders>
            <w:vAlign w:val="center"/>
          </w:tcPr>
          <w:p w:rsidR="00A874F2" w:rsidRPr="001C340D" w:rsidRDefault="00405DA0" w:rsidP="00D87FED">
            <w:pPr>
              <w:pStyle w:val="PBACTableText"/>
              <w:spacing w:before="0" w:after="0"/>
              <w:jc w:val="center"/>
              <w:rPr>
                <w:b/>
              </w:rPr>
            </w:pPr>
            <w:r>
              <w:rPr>
                <w:b/>
                <w:noProof/>
                <w:color w:val="000000"/>
                <w:highlight w:val="black"/>
              </w:rPr>
              <w:t>'''''''</w:t>
            </w:r>
            <w:r w:rsidR="00A874F2" w:rsidRPr="001C340D">
              <w:rPr>
                <w:b/>
              </w:rPr>
              <w:t xml:space="preserve"> (</w:t>
            </w:r>
            <w:r>
              <w:rPr>
                <w:b/>
                <w:noProof/>
                <w:color w:val="000000"/>
                <w:highlight w:val="black"/>
              </w:rPr>
              <w:t>''''''''</w:t>
            </w:r>
            <w:r w:rsidR="00A874F2" w:rsidRPr="001C340D">
              <w:rPr>
                <w:b/>
              </w:rPr>
              <w:t>,</w:t>
            </w:r>
            <w:r>
              <w:rPr>
                <w:b/>
                <w:noProof/>
                <w:color w:val="000000"/>
                <w:highlight w:val="black"/>
              </w:rPr>
              <w:t>'''''''</w:t>
            </w:r>
            <w:r w:rsidR="00A874F2" w:rsidRPr="001C340D">
              <w:rPr>
                <w:b/>
              </w:rPr>
              <w:t>)</w:t>
            </w:r>
          </w:p>
        </w:tc>
      </w:tr>
      <w:tr w:rsidR="00A874F2" w:rsidRPr="00480A73" w:rsidTr="00AC3A72">
        <w:tc>
          <w:tcPr>
            <w:tcW w:w="2093" w:type="dxa"/>
            <w:vAlign w:val="center"/>
          </w:tcPr>
          <w:p w:rsidR="00A874F2" w:rsidRPr="00C465B1" w:rsidRDefault="00A874F2" w:rsidP="00D87FED">
            <w:pPr>
              <w:rPr>
                <w:rFonts w:ascii="Arial Narrow" w:hAnsi="Arial Narrow"/>
                <w:sz w:val="20"/>
                <w:szCs w:val="20"/>
              </w:rPr>
            </w:pPr>
          </w:p>
        </w:tc>
        <w:tc>
          <w:tcPr>
            <w:tcW w:w="2545" w:type="dxa"/>
            <w:gridSpan w:val="2"/>
            <w:vAlign w:val="center"/>
          </w:tcPr>
          <w:p w:rsidR="00A874F2" w:rsidRPr="00480A73" w:rsidRDefault="00A874F2" w:rsidP="00D87FED">
            <w:pPr>
              <w:jc w:val="center"/>
              <w:rPr>
                <w:rFonts w:ascii="Arial Narrow" w:hAnsi="Arial Narrow"/>
                <w:b/>
                <w:sz w:val="20"/>
                <w:szCs w:val="20"/>
              </w:rPr>
            </w:pPr>
            <w:proofErr w:type="spellStart"/>
            <w:r w:rsidRPr="00480A73">
              <w:rPr>
                <w:rFonts w:ascii="Arial Narrow" w:hAnsi="Arial Narrow"/>
                <w:b/>
                <w:sz w:val="20"/>
                <w:szCs w:val="20"/>
              </w:rPr>
              <w:t>Erenumab</w:t>
            </w:r>
            <w:proofErr w:type="spellEnd"/>
            <w:r w:rsidRPr="00480A73">
              <w:rPr>
                <w:rFonts w:ascii="Arial Narrow" w:hAnsi="Arial Narrow"/>
                <w:b/>
                <w:sz w:val="20"/>
                <w:szCs w:val="20"/>
              </w:rPr>
              <w:t xml:space="preserve"> </w:t>
            </w:r>
            <w:r w:rsidR="00EE60F5">
              <w:rPr>
                <w:rFonts w:ascii="Arial Narrow" w:hAnsi="Arial Narrow"/>
                <w:b/>
                <w:sz w:val="20"/>
                <w:szCs w:val="20"/>
              </w:rPr>
              <w:t xml:space="preserve">140 mg </w:t>
            </w:r>
            <w:r w:rsidRPr="00480A73">
              <w:rPr>
                <w:rFonts w:ascii="Arial Narrow" w:hAnsi="Arial Narrow"/>
                <w:b/>
                <w:sz w:val="20"/>
                <w:szCs w:val="20"/>
              </w:rPr>
              <w:t>n with event/N (%)</w:t>
            </w:r>
          </w:p>
        </w:tc>
        <w:tc>
          <w:tcPr>
            <w:tcW w:w="2406" w:type="dxa"/>
            <w:gridSpan w:val="2"/>
            <w:vAlign w:val="center"/>
          </w:tcPr>
          <w:p w:rsidR="00A874F2" w:rsidRPr="00480A73" w:rsidRDefault="00A874F2" w:rsidP="00D87FED">
            <w:pPr>
              <w:jc w:val="center"/>
              <w:rPr>
                <w:rFonts w:ascii="Arial Narrow" w:hAnsi="Arial Narrow"/>
                <w:b/>
                <w:sz w:val="20"/>
                <w:szCs w:val="20"/>
              </w:rPr>
            </w:pPr>
            <w:r w:rsidRPr="00480A73">
              <w:rPr>
                <w:rFonts w:ascii="Arial Narrow" w:hAnsi="Arial Narrow"/>
                <w:b/>
                <w:sz w:val="20"/>
                <w:szCs w:val="20"/>
              </w:rPr>
              <w:t>Placebo n with event/N (%)</w:t>
            </w:r>
          </w:p>
        </w:tc>
        <w:tc>
          <w:tcPr>
            <w:tcW w:w="1995" w:type="dxa"/>
            <w:vAlign w:val="center"/>
          </w:tcPr>
          <w:p w:rsidR="00A874F2" w:rsidRPr="00480A73" w:rsidRDefault="00A874F2" w:rsidP="00D87FED">
            <w:pPr>
              <w:jc w:val="center"/>
              <w:rPr>
                <w:rFonts w:ascii="Arial Narrow" w:hAnsi="Arial Narrow"/>
                <w:b/>
                <w:sz w:val="20"/>
                <w:szCs w:val="20"/>
              </w:rPr>
            </w:pPr>
            <w:r w:rsidRPr="00480A73">
              <w:rPr>
                <w:rFonts w:ascii="Arial Narrow" w:hAnsi="Arial Narrow"/>
                <w:b/>
                <w:sz w:val="20"/>
                <w:szCs w:val="20"/>
              </w:rPr>
              <w:t>OR (95% CI)</w:t>
            </w:r>
          </w:p>
        </w:tc>
      </w:tr>
      <w:tr w:rsidR="00A874F2" w:rsidRPr="00480A73" w:rsidTr="00AC3A72">
        <w:tc>
          <w:tcPr>
            <w:tcW w:w="9039" w:type="dxa"/>
            <w:gridSpan w:val="6"/>
            <w:vAlign w:val="center"/>
          </w:tcPr>
          <w:p w:rsidR="00A874F2" w:rsidRPr="00480A73" w:rsidRDefault="00A874F2" w:rsidP="00D87FED">
            <w:pPr>
              <w:rPr>
                <w:rFonts w:ascii="Arial Narrow" w:hAnsi="Arial Narrow"/>
                <w:b/>
                <w:sz w:val="20"/>
                <w:szCs w:val="20"/>
              </w:rPr>
            </w:pPr>
            <w:r>
              <w:rPr>
                <w:rFonts w:ascii="Arial Narrow" w:hAnsi="Arial Narrow"/>
                <w:b/>
                <w:sz w:val="20"/>
                <w:szCs w:val="20"/>
              </w:rPr>
              <w:t>≥50% responder</w:t>
            </w:r>
          </w:p>
        </w:tc>
      </w:tr>
      <w:tr w:rsidR="00A874F2" w:rsidRPr="001C1CF9" w:rsidTr="00AC3A72">
        <w:tc>
          <w:tcPr>
            <w:tcW w:w="2093" w:type="dxa"/>
            <w:vAlign w:val="center"/>
          </w:tcPr>
          <w:p w:rsidR="00A874F2" w:rsidRPr="00C465B1" w:rsidRDefault="00A874F2" w:rsidP="00D87FED">
            <w:pPr>
              <w:rPr>
                <w:rFonts w:ascii="Arial Narrow" w:hAnsi="Arial Narrow"/>
                <w:sz w:val="20"/>
                <w:szCs w:val="20"/>
              </w:rPr>
            </w:pPr>
            <w:r>
              <w:rPr>
                <w:rFonts w:ascii="Arial Narrow" w:hAnsi="Arial Narrow"/>
                <w:sz w:val="20"/>
                <w:szCs w:val="20"/>
              </w:rPr>
              <w:t>Migraine days</w:t>
            </w:r>
          </w:p>
        </w:tc>
        <w:tc>
          <w:tcPr>
            <w:tcW w:w="2545" w:type="dxa"/>
            <w:gridSpan w:val="2"/>
          </w:tcPr>
          <w:p w:rsidR="00A874F2" w:rsidRPr="00480A73" w:rsidRDefault="00A874F2" w:rsidP="00D87FED">
            <w:pPr>
              <w:jc w:val="center"/>
              <w:rPr>
                <w:rFonts w:ascii="Arial Narrow" w:hAnsi="Arial Narrow"/>
                <w:sz w:val="20"/>
                <w:szCs w:val="20"/>
              </w:rPr>
            </w:pPr>
            <w:r w:rsidRPr="00480A73">
              <w:rPr>
                <w:rFonts w:ascii="Arial Narrow" w:hAnsi="Arial Narrow"/>
                <w:sz w:val="20"/>
                <w:szCs w:val="20"/>
              </w:rPr>
              <w:t>25/65 (38.5%)</w:t>
            </w:r>
          </w:p>
        </w:tc>
        <w:tc>
          <w:tcPr>
            <w:tcW w:w="2406" w:type="dxa"/>
            <w:gridSpan w:val="2"/>
          </w:tcPr>
          <w:p w:rsidR="00A874F2" w:rsidRPr="00480A73" w:rsidRDefault="00A874F2" w:rsidP="00D87FED">
            <w:pPr>
              <w:jc w:val="center"/>
              <w:rPr>
                <w:rFonts w:ascii="Arial Narrow" w:hAnsi="Arial Narrow"/>
                <w:sz w:val="20"/>
                <w:szCs w:val="20"/>
              </w:rPr>
            </w:pPr>
            <w:r w:rsidRPr="00480A73">
              <w:rPr>
                <w:rFonts w:ascii="Arial Narrow" w:hAnsi="Arial Narrow"/>
                <w:sz w:val="20"/>
                <w:szCs w:val="20"/>
              </w:rPr>
              <w:t>15/98 (15.3%)</w:t>
            </w:r>
          </w:p>
        </w:tc>
        <w:tc>
          <w:tcPr>
            <w:tcW w:w="1995" w:type="dxa"/>
          </w:tcPr>
          <w:p w:rsidR="00A874F2" w:rsidRPr="009B0905" w:rsidRDefault="00A874F2" w:rsidP="00D87FED">
            <w:pPr>
              <w:jc w:val="center"/>
              <w:rPr>
                <w:rFonts w:ascii="Arial Narrow" w:hAnsi="Arial Narrow"/>
                <w:sz w:val="20"/>
                <w:szCs w:val="20"/>
              </w:rPr>
            </w:pPr>
            <w:r w:rsidRPr="001C340D">
              <w:rPr>
                <w:rFonts w:ascii="Arial Narrow" w:hAnsi="Arial Narrow"/>
                <w:b/>
                <w:sz w:val="20"/>
                <w:szCs w:val="20"/>
              </w:rPr>
              <w:t>3.48 (1.64, 7.39</w:t>
            </w:r>
            <w:r w:rsidRPr="009B0905">
              <w:rPr>
                <w:rFonts w:ascii="Arial Narrow" w:hAnsi="Arial Narrow"/>
                <w:sz w:val="20"/>
                <w:szCs w:val="20"/>
              </w:rPr>
              <w:t>)</w:t>
            </w:r>
          </w:p>
        </w:tc>
      </w:tr>
      <w:tr w:rsidR="00A874F2" w:rsidRPr="001C1CF9" w:rsidTr="00AC3A72">
        <w:tc>
          <w:tcPr>
            <w:tcW w:w="2093" w:type="dxa"/>
            <w:vAlign w:val="center"/>
          </w:tcPr>
          <w:p w:rsidR="00A874F2" w:rsidRPr="00C465B1" w:rsidRDefault="00A874F2" w:rsidP="00D87FED">
            <w:pPr>
              <w:rPr>
                <w:rFonts w:ascii="Arial Narrow" w:hAnsi="Arial Narrow"/>
                <w:sz w:val="20"/>
                <w:szCs w:val="20"/>
              </w:rPr>
            </w:pPr>
            <w:r>
              <w:rPr>
                <w:rFonts w:ascii="Arial Narrow" w:hAnsi="Arial Narrow"/>
                <w:sz w:val="20"/>
                <w:szCs w:val="20"/>
              </w:rPr>
              <w:t>Headache days</w:t>
            </w:r>
          </w:p>
        </w:tc>
        <w:tc>
          <w:tcPr>
            <w:tcW w:w="2545" w:type="dxa"/>
            <w:gridSpan w:val="2"/>
          </w:tcPr>
          <w:p w:rsidR="00A874F2" w:rsidRPr="00480A73"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480A73">
              <w:rPr>
                <w:rFonts w:ascii="Arial Narrow" w:hAnsi="Arial Narrow"/>
                <w:sz w:val="20"/>
                <w:szCs w:val="20"/>
              </w:rPr>
              <w:t>/</w:t>
            </w:r>
            <w:r>
              <w:rPr>
                <w:rFonts w:ascii="Arial Narrow" w:hAnsi="Arial Narrow"/>
                <w:noProof/>
                <w:color w:val="000000"/>
                <w:sz w:val="20"/>
                <w:szCs w:val="20"/>
                <w:highlight w:val="black"/>
              </w:rPr>
              <w:t>''''''</w:t>
            </w:r>
            <w:r w:rsidR="00A874F2" w:rsidRPr="00480A73">
              <w:rPr>
                <w:rFonts w:ascii="Arial Narrow" w:hAnsi="Arial Narrow"/>
                <w:sz w:val="20"/>
                <w:szCs w:val="20"/>
              </w:rPr>
              <w:t xml:space="preserve"> (</w:t>
            </w:r>
            <w:r>
              <w:rPr>
                <w:rFonts w:ascii="Arial Narrow" w:hAnsi="Arial Narrow"/>
                <w:noProof/>
                <w:color w:val="000000"/>
                <w:sz w:val="20"/>
                <w:szCs w:val="20"/>
                <w:highlight w:val="black"/>
              </w:rPr>
              <w:t>''''''''''</w:t>
            </w:r>
            <w:r w:rsidR="00A874F2" w:rsidRPr="00480A73">
              <w:rPr>
                <w:rFonts w:ascii="Arial Narrow" w:hAnsi="Arial Narrow"/>
                <w:sz w:val="20"/>
                <w:szCs w:val="20"/>
              </w:rPr>
              <w:t>%)</w:t>
            </w:r>
          </w:p>
        </w:tc>
        <w:tc>
          <w:tcPr>
            <w:tcW w:w="2406" w:type="dxa"/>
            <w:gridSpan w:val="2"/>
          </w:tcPr>
          <w:p w:rsidR="00A874F2" w:rsidRPr="00480A73" w:rsidRDefault="00405DA0" w:rsidP="00D87FED">
            <w:pPr>
              <w:jc w:val="center"/>
              <w:rPr>
                <w:rFonts w:ascii="Arial Narrow" w:hAnsi="Arial Narrow"/>
                <w:sz w:val="20"/>
                <w:szCs w:val="20"/>
              </w:rPr>
            </w:pPr>
            <w:r>
              <w:rPr>
                <w:rFonts w:ascii="Arial Narrow" w:hAnsi="Arial Narrow"/>
                <w:noProof/>
                <w:color w:val="000000"/>
                <w:sz w:val="20"/>
                <w:szCs w:val="20"/>
                <w:highlight w:val="black"/>
              </w:rPr>
              <w:t>''''''</w:t>
            </w:r>
            <w:r w:rsidR="00A874F2" w:rsidRPr="00480A73">
              <w:rPr>
                <w:rFonts w:ascii="Arial Narrow" w:hAnsi="Arial Narrow"/>
                <w:sz w:val="20"/>
                <w:szCs w:val="20"/>
              </w:rPr>
              <w:t>/</w:t>
            </w:r>
            <w:r>
              <w:rPr>
                <w:rFonts w:ascii="Arial Narrow" w:hAnsi="Arial Narrow"/>
                <w:noProof/>
                <w:color w:val="000000"/>
                <w:sz w:val="20"/>
                <w:szCs w:val="20"/>
                <w:highlight w:val="black"/>
              </w:rPr>
              <w:t>''''''</w:t>
            </w:r>
            <w:r w:rsidR="00A874F2">
              <w:rPr>
                <w:rFonts w:ascii="Arial Narrow" w:hAnsi="Arial Narrow"/>
                <w:sz w:val="20"/>
                <w:szCs w:val="20"/>
              </w:rPr>
              <w:t xml:space="preserve"> </w:t>
            </w:r>
            <w:r w:rsidR="00A874F2" w:rsidRPr="00480A73">
              <w:rPr>
                <w:rFonts w:ascii="Arial Narrow" w:hAnsi="Arial Narrow"/>
                <w:sz w:val="20"/>
                <w:szCs w:val="20"/>
              </w:rPr>
              <w:t>(</w:t>
            </w:r>
            <w:r>
              <w:rPr>
                <w:rFonts w:ascii="Arial Narrow" w:hAnsi="Arial Narrow"/>
                <w:noProof/>
                <w:color w:val="000000"/>
                <w:sz w:val="20"/>
                <w:szCs w:val="20"/>
                <w:highlight w:val="black"/>
              </w:rPr>
              <w:t>''''''''''</w:t>
            </w:r>
            <w:r w:rsidR="00A874F2" w:rsidRPr="00480A73">
              <w:rPr>
                <w:rFonts w:ascii="Arial Narrow" w:hAnsi="Arial Narrow"/>
                <w:sz w:val="20"/>
                <w:szCs w:val="20"/>
              </w:rPr>
              <w:t>%)</w:t>
            </w:r>
          </w:p>
        </w:tc>
        <w:tc>
          <w:tcPr>
            <w:tcW w:w="1995" w:type="dxa"/>
          </w:tcPr>
          <w:p w:rsidR="00A874F2" w:rsidRPr="001C340D" w:rsidRDefault="00405DA0" w:rsidP="00D87FED">
            <w:pPr>
              <w:jc w:val="center"/>
              <w:rPr>
                <w:rFonts w:ascii="Arial Narrow" w:hAnsi="Arial Narrow"/>
                <w:b/>
                <w:sz w:val="20"/>
                <w:szCs w:val="20"/>
              </w:rPr>
            </w:pPr>
            <w:r>
              <w:rPr>
                <w:rFonts w:ascii="Arial Narrow" w:hAnsi="Arial Narrow"/>
                <w:b/>
                <w:noProof/>
                <w:color w:val="000000"/>
                <w:sz w:val="20"/>
                <w:szCs w:val="20"/>
                <w:highlight w:val="black"/>
              </w:rPr>
              <w:t>'''''''''</w:t>
            </w:r>
            <w:r w:rsidR="00A874F2" w:rsidRPr="001C340D">
              <w:rPr>
                <w:rFonts w:ascii="Arial Narrow" w:hAnsi="Arial Narrow"/>
                <w:b/>
                <w:sz w:val="20"/>
                <w:szCs w:val="20"/>
              </w:rPr>
              <w:t xml:space="preserve"> (</w:t>
            </w:r>
            <w:r>
              <w:rPr>
                <w:rFonts w:ascii="Arial Narrow" w:hAnsi="Arial Narrow"/>
                <w:b/>
                <w:noProof/>
                <w:color w:val="000000"/>
                <w:sz w:val="20"/>
                <w:szCs w:val="20"/>
                <w:highlight w:val="black"/>
              </w:rPr>
              <w:t>''''''''</w:t>
            </w:r>
            <w:r w:rsidR="00A874F2" w:rsidRPr="001C340D">
              <w:rPr>
                <w:rFonts w:ascii="Arial Narrow" w:hAnsi="Arial Narrow"/>
                <w:b/>
                <w:sz w:val="20"/>
                <w:szCs w:val="20"/>
              </w:rPr>
              <w:t xml:space="preserve">, </w:t>
            </w:r>
            <w:r>
              <w:rPr>
                <w:rFonts w:ascii="Arial Narrow" w:hAnsi="Arial Narrow"/>
                <w:b/>
                <w:noProof/>
                <w:color w:val="000000"/>
                <w:sz w:val="20"/>
                <w:szCs w:val="20"/>
                <w:highlight w:val="black"/>
              </w:rPr>
              <w:t>''''''''</w:t>
            </w:r>
            <w:r w:rsidR="00A874F2" w:rsidRPr="001C340D">
              <w:rPr>
                <w:rFonts w:ascii="Arial Narrow" w:hAnsi="Arial Narrow"/>
                <w:b/>
                <w:sz w:val="20"/>
                <w:szCs w:val="20"/>
              </w:rPr>
              <w:t>)</w:t>
            </w:r>
          </w:p>
        </w:tc>
      </w:tr>
    </w:tbl>
    <w:p w:rsidR="00A874F2" w:rsidRDefault="00A874F2" w:rsidP="00D87FED">
      <w:pPr>
        <w:rPr>
          <w:rFonts w:ascii="Arial Narrow" w:hAnsi="Arial Narrow"/>
          <w:sz w:val="18"/>
          <w:szCs w:val="18"/>
        </w:rPr>
      </w:pPr>
      <w:r>
        <w:rPr>
          <w:rFonts w:ascii="Arial Narrow" w:hAnsi="Arial Narrow"/>
          <w:sz w:val="18"/>
          <w:szCs w:val="18"/>
        </w:rPr>
        <w:t xml:space="preserve">CI=confidence interval; OR=odds ratio; SD=standard deviation; SE=standard </w:t>
      </w:r>
      <w:r w:rsidRPr="00FB0F46">
        <w:rPr>
          <w:rFonts w:ascii="Arial Narrow" w:hAnsi="Arial Narrow"/>
          <w:sz w:val="18"/>
          <w:szCs w:val="18"/>
        </w:rPr>
        <w:t xml:space="preserve">error; </w:t>
      </w:r>
      <w:r w:rsidRPr="00FB0F46">
        <w:rPr>
          <w:rFonts w:ascii="Arial Narrow" w:hAnsi="Arial Narrow"/>
          <w:b/>
          <w:sz w:val="18"/>
          <w:szCs w:val="18"/>
        </w:rPr>
        <w:t>bold</w:t>
      </w:r>
      <w:r w:rsidRPr="00FB0F46">
        <w:rPr>
          <w:rFonts w:ascii="Arial Narrow" w:hAnsi="Arial Narrow"/>
          <w:sz w:val="18"/>
          <w:szCs w:val="18"/>
        </w:rPr>
        <w:t>=statistically significant</w:t>
      </w:r>
    </w:p>
    <w:p w:rsidR="00A874F2" w:rsidRDefault="00A874F2" w:rsidP="00D87FED">
      <w:r>
        <w:rPr>
          <w:rFonts w:ascii="Arial Narrow" w:hAnsi="Arial Narrow"/>
          <w:sz w:val="18"/>
          <w:szCs w:val="18"/>
        </w:rPr>
        <w:t>Source: Table 2.34 and Table 2.35, p73 of the resubmission.</w:t>
      </w:r>
    </w:p>
    <w:p w:rsidR="00A874F2" w:rsidRPr="00D061B9" w:rsidRDefault="00A874F2" w:rsidP="00D87FED"/>
    <w:p w:rsidR="00A874F2" w:rsidRDefault="00A874F2" w:rsidP="008C17FD">
      <w:pPr>
        <w:pStyle w:val="ListParagraph"/>
        <w:numPr>
          <w:ilvl w:val="1"/>
          <w:numId w:val="2"/>
        </w:numPr>
      </w:pPr>
      <w:r w:rsidRPr="00D061B9">
        <w:t xml:space="preserve">The analyses showed statistically significant advantages for </w:t>
      </w:r>
      <w:proofErr w:type="spellStart"/>
      <w:r w:rsidRPr="00D061B9">
        <w:t>erenumab</w:t>
      </w:r>
      <w:proofErr w:type="spellEnd"/>
      <w:r w:rsidRPr="00D061B9">
        <w:t xml:space="preserve"> compared to placebo across all outcomes presented.</w:t>
      </w:r>
    </w:p>
    <w:p w:rsidR="00821312" w:rsidRDefault="00CF0CEE" w:rsidP="008C17FD">
      <w:pPr>
        <w:pStyle w:val="ListParagraph"/>
        <w:numPr>
          <w:ilvl w:val="1"/>
          <w:numId w:val="2"/>
        </w:numPr>
      </w:pPr>
      <w:r>
        <w:t>In the subgroup of patients, t</w:t>
      </w:r>
      <w:r w:rsidR="00F004A2" w:rsidRPr="00DD5D20">
        <w:t xml:space="preserve">he ESC noted </w:t>
      </w:r>
      <w:r w:rsidR="00797997" w:rsidRPr="00DD5D20">
        <w:t>a mean reduction in MMD of 5.4 days for the 70</w:t>
      </w:r>
      <w:r w:rsidR="00D6214B" w:rsidRPr="00DD5D20">
        <w:t xml:space="preserve"> </w:t>
      </w:r>
      <w:r w:rsidR="00797997" w:rsidRPr="00DD5D20">
        <w:t xml:space="preserve">mg dose [mean difference vs placebo </w:t>
      </w:r>
      <w:r w:rsidR="000B7B5B" w:rsidRPr="00DD5D20">
        <w:t xml:space="preserve">- </w:t>
      </w:r>
      <w:r w:rsidR="00797997" w:rsidRPr="00DD5D20">
        <w:t>2.6 days (95%CI: -4.5, -0.7)] with 34.8% of patients achieving a ≥50% reduction in MMD [OR vs placebo 2.96 (95%CI: 1.39, 6.27)]</w:t>
      </w:r>
      <w:r w:rsidR="00797997" w:rsidRPr="00DD5D20">
        <w:rPr>
          <w:rStyle w:val="FootnoteReference"/>
        </w:rPr>
        <w:footnoteReference w:id="2"/>
      </w:r>
      <w:r w:rsidR="00797997" w:rsidRPr="00DD5D20">
        <w:t>.</w:t>
      </w:r>
      <w:r>
        <w:t xml:space="preserve"> The mean reduction in MMD for the 140 mg dose was 7.0 days [mean difference vs placebo -4.2 (95%CI: -6.3, -2.1)] with 38.5% of patients achieving a </w:t>
      </w:r>
      <w:r w:rsidRPr="00DD5D20">
        <w:t xml:space="preserve">≥50% reduction in MMD [OR vs placebo </w:t>
      </w:r>
      <w:r w:rsidR="00B04EC4">
        <w:t>3.48 (95%CI: 1.64, 7.39</w:t>
      </w:r>
      <w:r w:rsidRPr="00DD5D20">
        <w:t>)].</w:t>
      </w:r>
    </w:p>
    <w:p w:rsidR="00821312" w:rsidRPr="00821312" w:rsidRDefault="00063DBA" w:rsidP="008C17FD">
      <w:pPr>
        <w:pStyle w:val="ListParagraph"/>
        <w:numPr>
          <w:ilvl w:val="1"/>
          <w:numId w:val="2"/>
        </w:numPr>
      </w:pPr>
      <w:r>
        <w:t>T</w:t>
      </w:r>
      <w:r w:rsidR="00821312">
        <w:t xml:space="preserve">he ITT results for Study 295 </w:t>
      </w:r>
      <w:r>
        <w:t>for the 70 mg and 140 mg dose are</w:t>
      </w:r>
      <w:r w:rsidR="00821312">
        <w:t xml:space="preserve"> presented in </w:t>
      </w:r>
      <w:r w:rsidR="00821312" w:rsidRPr="00821312">
        <w:t>Table 6</w:t>
      </w:r>
      <w:r>
        <w:t xml:space="preserve">. The PBAC noted the mean change from baseline in monthly migraine days (the primary endpoint) </w:t>
      </w:r>
      <w:r w:rsidR="008E213F">
        <w:t xml:space="preserve">were </w:t>
      </w:r>
      <w:r>
        <w:t xml:space="preserve">similar for the 70 mg and 140 mg dose. </w:t>
      </w:r>
    </w:p>
    <w:p w:rsidR="00821312" w:rsidRPr="00821312" w:rsidRDefault="00821312" w:rsidP="00D87FED">
      <w:pPr>
        <w:keepNext/>
      </w:pPr>
      <w:bookmarkStart w:id="7" w:name="_Ref5281374"/>
      <w:r w:rsidRPr="00821312">
        <w:rPr>
          <w:rFonts w:ascii="Arial Narrow" w:hAnsi="Arial Narrow"/>
          <w:b/>
          <w:sz w:val="20"/>
          <w:szCs w:val="20"/>
        </w:rPr>
        <w:t xml:space="preserve">Table </w:t>
      </w:r>
      <w:r>
        <w:rPr>
          <w:rFonts w:ascii="Arial Narrow" w:hAnsi="Arial Narrow"/>
          <w:b/>
          <w:noProof/>
          <w:sz w:val="20"/>
          <w:szCs w:val="20"/>
        </w:rPr>
        <w:t>6</w:t>
      </w:r>
      <w:bookmarkEnd w:id="7"/>
      <w:r w:rsidRPr="00821312">
        <w:rPr>
          <w:rFonts w:ascii="Arial Narrow" w:hAnsi="Arial Narrow"/>
          <w:b/>
          <w:sz w:val="20"/>
          <w:szCs w:val="20"/>
        </w:rPr>
        <w:t xml:space="preserve">: Efficacy outcomes for </w:t>
      </w:r>
      <w:proofErr w:type="spellStart"/>
      <w:r w:rsidRPr="00821312">
        <w:rPr>
          <w:rFonts w:ascii="Arial Narrow" w:hAnsi="Arial Narrow"/>
          <w:b/>
          <w:sz w:val="20"/>
          <w:szCs w:val="20"/>
        </w:rPr>
        <w:t>erenumab</w:t>
      </w:r>
      <w:proofErr w:type="spellEnd"/>
      <w:r w:rsidRPr="00821312">
        <w:rPr>
          <w:rFonts w:ascii="Arial Narrow" w:hAnsi="Arial Narrow"/>
          <w:b/>
          <w:sz w:val="20"/>
          <w:szCs w:val="20"/>
        </w:rPr>
        <w:t xml:space="preserve"> 70 mg and 140 mg, ITT population, Study 295</w:t>
      </w:r>
    </w:p>
    <w:tbl>
      <w:tblPr>
        <w:tblStyle w:val="TableGrid"/>
        <w:tblW w:w="0" w:type="auto"/>
        <w:tblLook w:val="04A0" w:firstRow="1" w:lastRow="0" w:firstColumn="1" w:lastColumn="0" w:noHBand="0" w:noVBand="1"/>
        <w:tblCaption w:val="Table 6: Efficacy outcomes for erenumab 70 mg and 140 mg, ITT population, Study 295"/>
      </w:tblPr>
      <w:tblGrid>
        <w:gridCol w:w="1502"/>
        <w:gridCol w:w="1502"/>
        <w:gridCol w:w="1503"/>
        <w:gridCol w:w="1503"/>
        <w:gridCol w:w="1503"/>
        <w:gridCol w:w="1503"/>
      </w:tblGrid>
      <w:tr w:rsidR="00821312" w:rsidRPr="00821312" w:rsidTr="008C17FD">
        <w:trPr>
          <w:tblHeader/>
        </w:trPr>
        <w:tc>
          <w:tcPr>
            <w:tcW w:w="1502" w:type="dxa"/>
            <w:vMerge w:val="restart"/>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Outcome at 12 weeks</w:t>
            </w:r>
          </w:p>
        </w:tc>
        <w:tc>
          <w:tcPr>
            <w:tcW w:w="1502" w:type="dxa"/>
          </w:tcPr>
          <w:p w:rsidR="00821312" w:rsidRPr="00821312" w:rsidRDefault="00821312" w:rsidP="00D87FED">
            <w:pPr>
              <w:keepNext/>
              <w:jc w:val="center"/>
              <w:rPr>
                <w:rFonts w:ascii="Arial Narrow" w:hAnsi="Arial Narrow"/>
                <w:b/>
                <w:sz w:val="20"/>
                <w:szCs w:val="20"/>
              </w:rPr>
            </w:pPr>
            <w:r w:rsidRPr="00821312">
              <w:rPr>
                <w:rFonts w:ascii="Arial Narrow" w:hAnsi="Arial Narrow"/>
                <w:b/>
                <w:sz w:val="20"/>
                <w:szCs w:val="20"/>
              </w:rPr>
              <w:t>Placebo</w:t>
            </w:r>
          </w:p>
          <w:p w:rsidR="00821312" w:rsidRPr="00821312" w:rsidRDefault="00821312" w:rsidP="00D87FED">
            <w:pPr>
              <w:keepNext/>
              <w:jc w:val="center"/>
              <w:rPr>
                <w:rFonts w:ascii="Arial Narrow" w:hAnsi="Arial Narrow"/>
                <w:b/>
                <w:sz w:val="20"/>
                <w:szCs w:val="20"/>
              </w:rPr>
            </w:pPr>
            <w:r w:rsidRPr="00821312">
              <w:rPr>
                <w:rFonts w:ascii="Arial Narrow" w:hAnsi="Arial Narrow"/>
                <w:b/>
                <w:sz w:val="20"/>
                <w:szCs w:val="20"/>
              </w:rPr>
              <w:t>n=281</w:t>
            </w:r>
          </w:p>
        </w:tc>
        <w:tc>
          <w:tcPr>
            <w:tcW w:w="3006" w:type="dxa"/>
            <w:gridSpan w:val="2"/>
          </w:tcPr>
          <w:p w:rsidR="00821312" w:rsidRPr="00821312" w:rsidRDefault="00821312" w:rsidP="00D87FED">
            <w:pPr>
              <w:keepNext/>
              <w:jc w:val="center"/>
              <w:rPr>
                <w:rFonts w:ascii="Arial Narrow" w:hAnsi="Arial Narrow"/>
                <w:b/>
                <w:sz w:val="20"/>
                <w:szCs w:val="20"/>
              </w:rPr>
            </w:pPr>
            <w:proofErr w:type="spellStart"/>
            <w:r w:rsidRPr="00821312">
              <w:rPr>
                <w:rFonts w:ascii="Arial Narrow" w:hAnsi="Arial Narrow"/>
                <w:b/>
                <w:sz w:val="20"/>
                <w:szCs w:val="20"/>
              </w:rPr>
              <w:t>Erenumab</w:t>
            </w:r>
            <w:proofErr w:type="spellEnd"/>
            <w:r w:rsidRPr="00821312">
              <w:rPr>
                <w:rFonts w:ascii="Arial Narrow" w:hAnsi="Arial Narrow"/>
                <w:b/>
                <w:sz w:val="20"/>
                <w:szCs w:val="20"/>
              </w:rPr>
              <w:t xml:space="preserve"> 70 mg</w:t>
            </w:r>
          </w:p>
          <w:p w:rsidR="00821312" w:rsidRPr="00821312" w:rsidRDefault="00821312" w:rsidP="00D87FED">
            <w:pPr>
              <w:keepNext/>
              <w:jc w:val="center"/>
              <w:rPr>
                <w:rFonts w:ascii="Arial Narrow" w:hAnsi="Arial Narrow"/>
                <w:b/>
                <w:sz w:val="20"/>
                <w:szCs w:val="20"/>
              </w:rPr>
            </w:pPr>
            <w:r w:rsidRPr="00821312">
              <w:rPr>
                <w:rFonts w:ascii="Arial Narrow" w:hAnsi="Arial Narrow"/>
                <w:b/>
                <w:sz w:val="20"/>
                <w:szCs w:val="20"/>
              </w:rPr>
              <w:t>n=188</w:t>
            </w:r>
          </w:p>
        </w:tc>
        <w:tc>
          <w:tcPr>
            <w:tcW w:w="3006" w:type="dxa"/>
            <w:gridSpan w:val="2"/>
          </w:tcPr>
          <w:p w:rsidR="00821312" w:rsidRPr="00821312" w:rsidRDefault="00821312" w:rsidP="00D87FED">
            <w:pPr>
              <w:keepNext/>
              <w:jc w:val="center"/>
              <w:rPr>
                <w:rFonts w:ascii="Arial Narrow" w:hAnsi="Arial Narrow"/>
                <w:b/>
                <w:sz w:val="20"/>
                <w:szCs w:val="20"/>
              </w:rPr>
            </w:pPr>
            <w:proofErr w:type="spellStart"/>
            <w:r w:rsidRPr="00821312">
              <w:rPr>
                <w:rFonts w:ascii="Arial Narrow" w:hAnsi="Arial Narrow"/>
                <w:b/>
                <w:sz w:val="20"/>
                <w:szCs w:val="20"/>
              </w:rPr>
              <w:t>Erenumab</w:t>
            </w:r>
            <w:proofErr w:type="spellEnd"/>
            <w:r w:rsidRPr="00821312">
              <w:rPr>
                <w:rFonts w:ascii="Arial Narrow" w:hAnsi="Arial Narrow"/>
                <w:b/>
                <w:sz w:val="20"/>
                <w:szCs w:val="20"/>
              </w:rPr>
              <w:t xml:space="preserve"> 140 mg</w:t>
            </w:r>
          </w:p>
          <w:p w:rsidR="00821312" w:rsidRPr="00821312" w:rsidRDefault="00821312" w:rsidP="00D87FED">
            <w:pPr>
              <w:keepNext/>
              <w:jc w:val="center"/>
              <w:rPr>
                <w:rFonts w:ascii="Arial Narrow" w:hAnsi="Arial Narrow"/>
                <w:b/>
                <w:sz w:val="20"/>
                <w:szCs w:val="20"/>
              </w:rPr>
            </w:pPr>
            <w:r w:rsidRPr="00821312">
              <w:rPr>
                <w:rFonts w:ascii="Arial Narrow" w:hAnsi="Arial Narrow"/>
                <w:b/>
                <w:sz w:val="20"/>
                <w:szCs w:val="20"/>
              </w:rPr>
              <w:t>n=187</w:t>
            </w:r>
          </w:p>
        </w:tc>
      </w:tr>
      <w:tr w:rsidR="00821312" w:rsidRPr="00821312" w:rsidTr="008C17FD">
        <w:trPr>
          <w:tblHeader/>
        </w:trPr>
        <w:tc>
          <w:tcPr>
            <w:tcW w:w="1502" w:type="dxa"/>
            <w:vMerge/>
          </w:tcPr>
          <w:p w:rsidR="00821312" w:rsidRPr="00821312" w:rsidRDefault="00821312" w:rsidP="00D87FED">
            <w:pPr>
              <w:keepNext/>
              <w:rPr>
                <w:rFonts w:ascii="Arial Narrow" w:hAnsi="Arial Narrow"/>
                <w:b/>
                <w:sz w:val="20"/>
                <w:szCs w:val="20"/>
              </w:rPr>
            </w:pPr>
          </w:p>
        </w:tc>
        <w:tc>
          <w:tcPr>
            <w:tcW w:w="1502"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 xml:space="preserve">Change from baseline  </w:t>
            </w:r>
          </w:p>
          <w:p w:rsidR="00821312" w:rsidRPr="00821312" w:rsidRDefault="00821312" w:rsidP="00D87FED">
            <w:pPr>
              <w:keepNext/>
              <w:rPr>
                <w:rFonts w:ascii="Arial Narrow" w:hAnsi="Arial Narrow"/>
                <w:b/>
                <w:sz w:val="20"/>
                <w:szCs w:val="20"/>
              </w:rPr>
            </w:pP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 xml:space="preserve">Change from baseline </w:t>
            </w:r>
          </w:p>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 xml:space="preserve"> </w:t>
            </w: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Mean difference vs placebo</w:t>
            </w: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 xml:space="preserve">Change from baseline </w:t>
            </w:r>
          </w:p>
          <w:p w:rsidR="00821312" w:rsidRPr="00821312" w:rsidRDefault="00821312" w:rsidP="00D87FED">
            <w:pPr>
              <w:keepNext/>
              <w:rPr>
                <w:rFonts w:ascii="Arial Narrow" w:hAnsi="Arial Narrow"/>
                <w:b/>
                <w:sz w:val="20"/>
                <w:szCs w:val="20"/>
              </w:rPr>
            </w:pP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Mean difference vs placebo</w:t>
            </w:r>
          </w:p>
        </w:tc>
      </w:tr>
      <w:tr w:rsidR="00821312" w:rsidRPr="00821312" w:rsidTr="009A2933">
        <w:tc>
          <w:tcPr>
            <w:tcW w:w="1502" w:type="dxa"/>
          </w:tcPr>
          <w:p w:rsidR="00821312" w:rsidRPr="00821312" w:rsidRDefault="00821312" w:rsidP="00D87FED">
            <w:pPr>
              <w:keepNext/>
              <w:rPr>
                <w:rFonts w:ascii="Arial Narrow" w:hAnsi="Arial Narrow"/>
                <w:sz w:val="20"/>
                <w:szCs w:val="20"/>
              </w:rPr>
            </w:pPr>
            <w:r w:rsidRPr="00821312">
              <w:rPr>
                <w:rFonts w:ascii="Arial Narrow" w:hAnsi="Arial Narrow"/>
                <w:sz w:val="20"/>
                <w:szCs w:val="20"/>
              </w:rPr>
              <w:t>Monthly migraine days</w:t>
            </w:r>
          </w:p>
        </w:tc>
        <w:tc>
          <w:tcPr>
            <w:tcW w:w="1502"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-4.18</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(-4.86,-3.50)</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-6.64</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(-7.47, -5.81)</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-2.46</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(-3.52, -1.39)</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-6.63</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(-7.45, -5.80)</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-2.45</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(-3.51, -1.38)</w:t>
            </w:r>
          </w:p>
        </w:tc>
      </w:tr>
      <w:tr w:rsidR="00821312" w:rsidRPr="00821312" w:rsidTr="009A2933">
        <w:tc>
          <w:tcPr>
            <w:tcW w:w="1502" w:type="dxa"/>
          </w:tcPr>
          <w:p w:rsidR="00821312" w:rsidRPr="00821312" w:rsidRDefault="00821312" w:rsidP="00D87FED">
            <w:pPr>
              <w:keepNext/>
              <w:rPr>
                <w:rFonts w:ascii="Arial Narrow" w:hAnsi="Arial Narrow"/>
                <w:sz w:val="20"/>
                <w:szCs w:val="20"/>
              </w:rPr>
            </w:pPr>
            <w:r w:rsidRPr="00821312">
              <w:rPr>
                <w:rFonts w:ascii="Arial Narrow" w:hAnsi="Arial Narrow"/>
                <w:sz w:val="20"/>
                <w:szCs w:val="20"/>
              </w:rPr>
              <w:t>Monthly headache days</w:t>
            </w:r>
          </w:p>
        </w:tc>
        <w:tc>
          <w:tcPr>
            <w:tcW w:w="1502"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w:t>
            </w:r>
            <w:r w:rsidR="00405DA0">
              <w:rPr>
                <w:rFonts w:ascii="Arial Narrow" w:hAnsi="Arial Narrow"/>
                <w:noProof/>
                <w:color w:val="000000"/>
                <w:sz w:val="20"/>
                <w:szCs w:val="20"/>
                <w:highlight w:val="black"/>
              </w:rPr>
              <w:t>'''''''''''</w:t>
            </w:r>
            <w:r w:rsidRPr="00821312">
              <w:rPr>
                <w:rFonts w:ascii="Arial Narrow" w:hAnsi="Arial Narrow"/>
                <w:sz w:val="20"/>
                <w:szCs w:val="20"/>
              </w:rPr>
              <w:t xml:space="preserve">, </w:t>
            </w:r>
            <w:r w:rsidR="00405DA0">
              <w:rPr>
                <w:rFonts w:ascii="Arial Narrow" w:hAnsi="Arial Narrow"/>
                <w:noProof/>
                <w:color w:val="000000"/>
                <w:sz w:val="20"/>
                <w:szCs w:val="20"/>
                <w:highlight w:val="black"/>
              </w:rPr>
              <w:t>''''''''''''</w:t>
            </w:r>
            <w:r w:rsidRPr="00821312">
              <w:rPr>
                <w:rFonts w:ascii="Arial Narrow" w:hAnsi="Arial Narrow"/>
                <w:sz w:val="20"/>
                <w:szCs w:val="20"/>
              </w:rPr>
              <w:t>)</w:t>
            </w:r>
          </w:p>
        </w:tc>
        <w:tc>
          <w:tcPr>
            <w:tcW w:w="1503"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w:t>
            </w:r>
            <w:r w:rsidR="00405DA0">
              <w:rPr>
                <w:rFonts w:ascii="Arial Narrow" w:hAnsi="Arial Narrow"/>
                <w:noProof/>
                <w:color w:val="000000"/>
                <w:sz w:val="20"/>
                <w:szCs w:val="20"/>
                <w:highlight w:val="black"/>
              </w:rPr>
              <w:t>'''''''''''''</w:t>
            </w:r>
            <w:r w:rsidRPr="00821312">
              <w:rPr>
                <w:rFonts w:ascii="Arial Narrow" w:hAnsi="Arial Narrow"/>
                <w:sz w:val="20"/>
                <w:szCs w:val="20"/>
              </w:rPr>
              <w:t xml:space="preserve">, </w:t>
            </w:r>
            <w:r w:rsidR="00405DA0">
              <w:rPr>
                <w:rFonts w:ascii="Arial Narrow" w:hAnsi="Arial Narrow"/>
                <w:noProof/>
                <w:color w:val="000000"/>
                <w:sz w:val="20"/>
                <w:szCs w:val="20"/>
                <w:highlight w:val="black"/>
              </w:rPr>
              <w:t>''''''''''''</w:t>
            </w:r>
            <w:r w:rsidRPr="00821312">
              <w:rPr>
                <w:rFonts w:ascii="Arial Narrow" w:hAnsi="Arial Narrow"/>
                <w:sz w:val="20"/>
                <w:szCs w:val="20"/>
              </w:rPr>
              <w:t>)</w:t>
            </w:r>
          </w:p>
        </w:tc>
        <w:tc>
          <w:tcPr>
            <w:tcW w:w="1503"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w:t>
            </w:r>
            <w:r w:rsidR="00405DA0">
              <w:rPr>
                <w:rFonts w:ascii="Arial Narrow" w:hAnsi="Arial Narrow"/>
                <w:noProof/>
                <w:color w:val="000000"/>
                <w:sz w:val="20"/>
                <w:szCs w:val="20"/>
                <w:highlight w:val="black"/>
              </w:rPr>
              <w:t>'''''''''''''</w:t>
            </w:r>
            <w:r w:rsidRPr="00821312">
              <w:rPr>
                <w:rFonts w:ascii="Arial Narrow" w:hAnsi="Arial Narrow"/>
                <w:sz w:val="20"/>
                <w:szCs w:val="20"/>
              </w:rPr>
              <w:t xml:space="preserve">, </w:t>
            </w:r>
            <w:r w:rsidR="00405DA0">
              <w:rPr>
                <w:rFonts w:ascii="Arial Narrow" w:hAnsi="Arial Narrow"/>
                <w:noProof/>
                <w:color w:val="000000"/>
                <w:sz w:val="20"/>
                <w:szCs w:val="20"/>
                <w:highlight w:val="black"/>
              </w:rPr>
              <w:t>''''''''''''''</w:t>
            </w:r>
            <w:r w:rsidRPr="00821312">
              <w:rPr>
                <w:rFonts w:ascii="Arial Narrow" w:hAnsi="Arial Narrow"/>
                <w:sz w:val="20"/>
                <w:szCs w:val="20"/>
              </w:rPr>
              <w:t>)</w:t>
            </w:r>
          </w:p>
        </w:tc>
        <w:tc>
          <w:tcPr>
            <w:tcW w:w="1503"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w:t>
            </w:r>
            <w:r w:rsidR="00405DA0">
              <w:rPr>
                <w:rFonts w:ascii="Arial Narrow" w:hAnsi="Arial Narrow"/>
                <w:noProof/>
                <w:color w:val="000000"/>
                <w:sz w:val="20"/>
                <w:szCs w:val="20"/>
                <w:highlight w:val="black"/>
              </w:rPr>
              <w:t>'''''''''''''</w:t>
            </w:r>
            <w:r w:rsidRPr="00821312">
              <w:rPr>
                <w:rFonts w:ascii="Arial Narrow" w:hAnsi="Arial Narrow"/>
                <w:sz w:val="20"/>
                <w:szCs w:val="20"/>
              </w:rPr>
              <w:t xml:space="preserve">, </w:t>
            </w:r>
            <w:r w:rsidR="00405DA0">
              <w:rPr>
                <w:rFonts w:ascii="Arial Narrow" w:hAnsi="Arial Narrow"/>
                <w:noProof/>
                <w:color w:val="000000"/>
                <w:sz w:val="20"/>
                <w:szCs w:val="20"/>
                <w:highlight w:val="black"/>
              </w:rPr>
              <w:t>'''''''''''</w:t>
            </w:r>
            <w:r w:rsidRPr="00821312">
              <w:rPr>
                <w:rFonts w:ascii="Arial Narrow" w:hAnsi="Arial Narrow"/>
                <w:sz w:val="20"/>
                <w:szCs w:val="20"/>
              </w:rPr>
              <w:t>)</w:t>
            </w:r>
          </w:p>
        </w:tc>
        <w:tc>
          <w:tcPr>
            <w:tcW w:w="1503"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w:t>
            </w:r>
            <w:r w:rsidR="00405DA0">
              <w:rPr>
                <w:rFonts w:ascii="Arial Narrow" w:hAnsi="Arial Narrow"/>
                <w:noProof/>
                <w:color w:val="000000"/>
                <w:sz w:val="20"/>
                <w:szCs w:val="20"/>
                <w:highlight w:val="black"/>
              </w:rPr>
              <w:t>''''''''''''</w:t>
            </w:r>
            <w:r w:rsidRPr="00863E22">
              <w:rPr>
                <w:rFonts w:ascii="Arial Narrow" w:hAnsi="Arial Narrow"/>
                <w:sz w:val="20"/>
                <w:szCs w:val="20"/>
              </w:rPr>
              <w:t>, -</w:t>
            </w:r>
            <w:r w:rsidR="00405DA0">
              <w:rPr>
                <w:rFonts w:ascii="Arial Narrow" w:hAnsi="Arial Narrow"/>
                <w:noProof/>
                <w:color w:val="000000"/>
                <w:sz w:val="20"/>
                <w:szCs w:val="20"/>
                <w:highlight w:val="black"/>
              </w:rPr>
              <w:t>'''''''''''</w:t>
            </w:r>
            <w:r w:rsidRPr="00863E22">
              <w:rPr>
                <w:rFonts w:ascii="Arial Narrow" w:hAnsi="Arial Narrow"/>
                <w:sz w:val="20"/>
                <w:szCs w:val="20"/>
              </w:rPr>
              <w:t>)</w:t>
            </w:r>
          </w:p>
        </w:tc>
      </w:tr>
      <w:tr w:rsidR="00821312" w:rsidRPr="00821312" w:rsidTr="009A2933">
        <w:tc>
          <w:tcPr>
            <w:tcW w:w="1502" w:type="dxa"/>
          </w:tcPr>
          <w:p w:rsidR="00821312" w:rsidRPr="00821312" w:rsidRDefault="00821312" w:rsidP="00D87FED">
            <w:pPr>
              <w:keepNext/>
              <w:rPr>
                <w:rFonts w:ascii="Arial Narrow" w:hAnsi="Arial Narrow"/>
                <w:sz w:val="20"/>
                <w:szCs w:val="20"/>
              </w:rPr>
            </w:pPr>
          </w:p>
        </w:tc>
        <w:tc>
          <w:tcPr>
            <w:tcW w:w="1502"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50% responder</w:t>
            </w: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50% responder</w:t>
            </w: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OR vs placebo</w:t>
            </w: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50% responder</w:t>
            </w:r>
          </w:p>
        </w:tc>
        <w:tc>
          <w:tcPr>
            <w:tcW w:w="1503" w:type="dxa"/>
          </w:tcPr>
          <w:p w:rsidR="00821312" w:rsidRPr="00821312" w:rsidRDefault="00821312" w:rsidP="00D87FED">
            <w:pPr>
              <w:keepNext/>
              <w:rPr>
                <w:rFonts w:ascii="Arial Narrow" w:hAnsi="Arial Narrow"/>
                <w:b/>
                <w:sz w:val="20"/>
                <w:szCs w:val="20"/>
              </w:rPr>
            </w:pPr>
            <w:r w:rsidRPr="00821312">
              <w:rPr>
                <w:rFonts w:ascii="Arial Narrow" w:hAnsi="Arial Narrow"/>
                <w:b/>
                <w:sz w:val="20"/>
                <w:szCs w:val="20"/>
              </w:rPr>
              <w:t>OR vs placebo</w:t>
            </w:r>
          </w:p>
        </w:tc>
      </w:tr>
      <w:tr w:rsidR="00821312" w:rsidRPr="00821312" w:rsidTr="009A2933">
        <w:tc>
          <w:tcPr>
            <w:tcW w:w="1502" w:type="dxa"/>
          </w:tcPr>
          <w:p w:rsidR="00821312" w:rsidRPr="00821312" w:rsidRDefault="00821312" w:rsidP="00D87FED">
            <w:pPr>
              <w:keepNext/>
              <w:rPr>
                <w:rFonts w:ascii="Arial Narrow" w:hAnsi="Arial Narrow"/>
                <w:sz w:val="20"/>
                <w:szCs w:val="20"/>
              </w:rPr>
            </w:pPr>
            <w:r w:rsidRPr="00821312">
              <w:rPr>
                <w:rFonts w:ascii="Arial Narrow" w:hAnsi="Arial Narrow"/>
                <w:sz w:val="20"/>
                <w:szCs w:val="20"/>
              </w:rPr>
              <w:t>Monthly migraine days</w:t>
            </w:r>
          </w:p>
        </w:tc>
        <w:tc>
          <w:tcPr>
            <w:tcW w:w="1502"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23.5%</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39.9%</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2.18</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(1.46,3.27)</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41.2%</w:t>
            </w:r>
          </w:p>
        </w:tc>
        <w:tc>
          <w:tcPr>
            <w:tcW w:w="1503" w:type="dxa"/>
          </w:tcPr>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2.34</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(1.56, 3.51)</w:t>
            </w:r>
          </w:p>
        </w:tc>
      </w:tr>
      <w:tr w:rsidR="00821312" w:rsidRPr="00821312" w:rsidTr="009A2933">
        <w:tc>
          <w:tcPr>
            <w:tcW w:w="1502" w:type="dxa"/>
          </w:tcPr>
          <w:p w:rsidR="00821312" w:rsidRPr="00821312" w:rsidRDefault="00821312" w:rsidP="00D87FED">
            <w:pPr>
              <w:keepNext/>
              <w:rPr>
                <w:rFonts w:ascii="Arial Narrow" w:hAnsi="Arial Narrow"/>
                <w:sz w:val="20"/>
                <w:szCs w:val="20"/>
              </w:rPr>
            </w:pPr>
            <w:r w:rsidRPr="00821312">
              <w:rPr>
                <w:rFonts w:ascii="Arial Narrow" w:hAnsi="Arial Narrow"/>
                <w:sz w:val="20"/>
                <w:szCs w:val="20"/>
              </w:rPr>
              <w:t>Monthly headache days</w:t>
            </w:r>
          </w:p>
        </w:tc>
        <w:tc>
          <w:tcPr>
            <w:tcW w:w="1502" w:type="dxa"/>
          </w:tcPr>
          <w:p w:rsidR="00821312" w:rsidRPr="00821312"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821312" w:rsidRPr="00821312">
              <w:rPr>
                <w:rFonts w:ascii="Arial Narrow" w:hAnsi="Arial Narrow"/>
                <w:sz w:val="20"/>
                <w:szCs w:val="20"/>
              </w:rPr>
              <w:t>%</w:t>
            </w:r>
          </w:p>
        </w:tc>
        <w:tc>
          <w:tcPr>
            <w:tcW w:w="1503"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03"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03" w:type="dxa"/>
          </w:tcPr>
          <w:p w:rsidR="00821312" w:rsidRPr="00821312"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821312" w:rsidRPr="00821312">
              <w:rPr>
                <w:rFonts w:ascii="Arial Narrow" w:hAnsi="Arial Narrow"/>
                <w:sz w:val="20"/>
                <w:szCs w:val="20"/>
              </w:rPr>
              <w:t>%</w:t>
            </w:r>
          </w:p>
        </w:tc>
        <w:tc>
          <w:tcPr>
            <w:tcW w:w="1503" w:type="dxa"/>
          </w:tcPr>
          <w:p w:rsidR="00821312" w:rsidRPr="00405DA0" w:rsidRDefault="00405DA0" w:rsidP="00D87FED">
            <w:pPr>
              <w:keepNext/>
              <w:jc w:val="center"/>
              <w:rPr>
                <w:rFonts w:ascii="Arial Narrow" w:hAnsi="Arial Narrow"/>
                <w:sz w:val="20"/>
                <w:szCs w:val="20"/>
                <w:highlight w:val="black"/>
              </w:rPr>
            </w:pPr>
            <w:r>
              <w:rPr>
                <w:rFonts w:ascii="Arial Narrow" w:hAnsi="Arial Narrow"/>
                <w:noProof/>
                <w:color w:val="000000"/>
                <w:sz w:val="20"/>
                <w:szCs w:val="20"/>
                <w:highlight w:val="black"/>
              </w:rPr>
              <w:t xml:space="preserve">'''''''''' </w:t>
            </w:r>
          </w:p>
          <w:p w:rsidR="00821312" w:rsidRPr="00821312" w:rsidRDefault="00821312" w:rsidP="00D87FED">
            <w:pPr>
              <w:keepNext/>
              <w:jc w:val="center"/>
              <w:rPr>
                <w:rFonts w:ascii="Arial Narrow" w:hAnsi="Arial Narrow"/>
                <w:sz w:val="20"/>
                <w:szCs w:val="20"/>
              </w:rPr>
            </w:pPr>
            <w:r w:rsidRPr="00821312">
              <w:rPr>
                <w:rFonts w:ascii="Arial Narrow" w:hAnsi="Arial Narrow"/>
                <w:sz w:val="20"/>
                <w:szCs w:val="20"/>
              </w:rPr>
              <w:t>(</w:t>
            </w:r>
            <w:r w:rsidR="00405DA0">
              <w:rPr>
                <w:rFonts w:ascii="Arial Narrow" w:hAnsi="Arial Narrow"/>
                <w:noProof/>
                <w:color w:val="000000"/>
                <w:sz w:val="20"/>
                <w:szCs w:val="20"/>
                <w:highlight w:val="black"/>
              </w:rPr>
              <w:t>''''''''''</w:t>
            </w:r>
            <w:r w:rsidRPr="00821312">
              <w:rPr>
                <w:rFonts w:ascii="Arial Narrow" w:hAnsi="Arial Narrow"/>
                <w:sz w:val="20"/>
                <w:szCs w:val="20"/>
              </w:rPr>
              <w:t xml:space="preserve">, </w:t>
            </w:r>
            <w:r w:rsidR="00405DA0">
              <w:rPr>
                <w:rFonts w:ascii="Arial Narrow" w:hAnsi="Arial Narrow"/>
                <w:noProof/>
                <w:color w:val="000000"/>
                <w:sz w:val="20"/>
                <w:szCs w:val="20"/>
                <w:highlight w:val="black"/>
              </w:rPr>
              <w:t>''''''''''</w:t>
            </w:r>
            <w:r w:rsidRPr="00821312">
              <w:rPr>
                <w:rFonts w:ascii="Arial Narrow" w:hAnsi="Arial Narrow"/>
                <w:sz w:val="20"/>
                <w:szCs w:val="20"/>
              </w:rPr>
              <w:t>)</w:t>
            </w:r>
          </w:p>
        </w:tc>
      </w:tr>
    </w:tbl>
    <w:p w:rsidR="00821312" w:rsidRPr="00821312" w:rsidRDefault="00821312" w:rsidP="00D87FED">
      <w:pPr>
        <w:keepNext/>
        <w:rPr>
          <w:rFonts w:ascii="Arial Narrow" w:hAnsi="Arial Narrow"/>
          <w:sz w:val="18"/>
          <w:szCs w:val="18"/>
        </w:rPr>
      </w:pPr>
      <w:r w:rsidRPr="00821312">
        <w:rPr>
          <w:rFonts w:ascii="Arial Narrow" w:hAnsi="Arial Narrow"/>
          <w:sz w:val="18"/>
          <w:szCs w:val="18"/>
        </w:rPr>
        <w:t>NA</w:t>
      </w:r>
      <w:r w:rsidR="003D5FC1">
        <w:rPr>
          <w:rFonts w:ascii="Arial Narrow" w:hAnsi="Arial Narrow"/>
          <w:sz w:val="18"/>
          <w:szCs w:val="18"/>
        </w:rPr>
        <w:t>=</w:t>
      </w:r>
      <w:r w:rsidRPr="00821312">
        <w:rPr>
          <w:rFonts w:ascii="Arial Narrow" w:hAnsi="Arial Narrow"/>
          <w:sz w:val="18"/>
          <w:szCs w:val="18"/>
        </w:rPr>
        <w:t>not available</w:t>
      </w:r>
      <w:r w:rsidR="003D5FC1">
        <w:rPr>
          <w:rFonts w:ascii="Arial Narrow" w:hAnsi="Arial Narrow"/>
          <w:sz w:val="18"/>
          <w:szCs w:val="18"/>
        </w:rPr>
        <w:t>;</w:t>
      </w:r>
      <w:r w:rsidRPr="00821312">
        <w:rPr>
          <w:rFonts w:ascii="Arial Narrow" w:hAnsi="Arial Narrow"/>
          <w:sz w:val="18"/>
          <w:szCs w:val="18"/>
        </w:rPr>
        <w:t xml:space="preserve"> </w:t>
      </w:r>
      <w:r w:rsidRPr="00821312">
        <w:rPr>
          <w:rFonts w:ascii="Arial Narrow" w:hAnsi="Arial Narrow"/>
          <w:sz w:val="18"/>
          <w:szCs w:val="18"/>
        </w:rPr>
        <w:tab/>
        <w:t>OR</w:t>
      </w:r>
      <w:r w:rsidR="003D5FC1">
        <w:rPr>
          <w:rFonts w:ascii="Arial Narrow" w:hAnsi="Arial Narrow"/>
          <w:sz w:val="18"/>
          <w:szCs w:val="18"/>
        </w:rPr>
        <w:t>=</w:t>
      </w:r>
      <w:r w:rsidRPr="00821312">
        <w:rPr>
          <w:rFonts w:ascii="Arial Narrow" w:hAnsi="Arial Narrow"/>
          <w:sz w:val="18"/>
          <w:szCs w:val="18"/>
        </w:rPr>
        <w:t>odds ratio</w:t>
      </w:r>
    </w:p>
    <w:p w:rsidR="00821312" w:rsidRPr="00DD5D20" w:rsidRDefault="00821312" w:rsidP="00D87FED">
      <w:pPr>
        <w:keepNext/>
        <w:rPr>
          <w:rFonts w:ascii="Arial Narrow" w:hAnsi="Arial Narrow"/>
          <w:sz w:val="18"/>
          <w:szCs w:val="18"/>
        </w:rPr>
      </w:pPr>
      <w:r w:rsidRPr="00821312">
        <w:rPr>
          <w:rFonts w:ascii="Arial Narrow" w:hAnsi="Arial Narrow"/>
          <w:sz w:val="18"/>
          <w:szCs w:val="18"/>
        </w:rPr>
        <w:t xml:space="preserve">Source: </w:t>
      </w:r>
      <w:r>
        <w:rPr>
          <w:rFonts w:ascii="Arial Narrow" w:hAnsi="Arial Narrow"/>
          <w:sz w:val="18"/>
          <w:szCs w:val="18"/>
        </w:rPr>
        <w:t xml:space="preserve">compiled during evaluation. </w:t>
      </w:r>
      <w:r w:rsidRPr="00821312">
        <w:rPr>
          <w:rFonts w:ascii="Arial Narrow" w:hAnsi="Arial Narrow"/>
          <w:sz w:val="18"/>
          <w:szCs w:val="18"/>
        </w:rPr>
        <w:t xml:space="preserve">Table 10-1, </w:t>
      </w:r>
      <w:proofErr w:type="spellStart"/>
      <w:r w:rsidRPr="00821312">
        <w:rPr>
          <w:rFonts w:ascii="Arial Narrow" w:hAnsi="Arial Narrow"/>
          <w:sz w:val="18"/>
          <w:szCs w:val="18"/>
        </w:rPr>
        <w:t>pg</w:t>
      </w:r>
      <w:proofErr w:type="spellEnd"/>
      <w:r w:rsidRPr="00821312">
        <w:rPr>
          <w:rFonts w:ascii="Arial Narrow" w:hAnsi="Arial Narrow"/>
          <w:sz w:val="18"/>
          <w:szCs w:val="18"/>
        </w:rPr>
        <w:t xml:space="preserve"> 54, CSR; table 10-5, </w:t>
      </w:r>
      <w:proofErr w:type="spellStart"/>
      <w:r w:rsidRPr="00821312">
        <w:rPr>
          <w:rFonts w:ascii="Arial Narrow" w:hAnsi="Arial Narrow"/>
          <w:sz w:val="18"/>
          <w:szCs w:val="18"/>
        </w:rPr>
        <w:t>pg</w:t>
      </w:r>
      <w:proofErr w:type="spellEnd"/>
      <w:r w:rsidRPr="00821312">
        <w:rPr>
          <w:rFonts w:ascii="Arial Narrow" w:hAnsi="Arial Narrow"/>
          <w:sz w:val="18"/>
          <w:szCs w:val="18"/>
        </w:rPr>
        <w:t xml:space="preserve"> 61, CSR; Table 14-4.4.7, </w:t>
      </w:r>
      <w:proofErr w:type="spellStart"/>
      <w:r w:rsidRPr="00821312">
        <w:rPr>
          <w:rFonts w:ascii="Arial Narrow" w:hAnsi="Arial Narrow"/>
          <w:sz w:val="18"/>
          <w:szCs w:val="18"/>
        </w:rPr>
        <w:t>pg</w:t>
      </w:r>
      <w:proofErr w:type="spellEnd"/>
      <w:r w:rsidRPr="00821312">
        <w:rPr>
          <w:rFonts w:ascii="Arial Narrow" w:hAnsi="Arial Narrow"/>
          <w:sz w:val="18"/>
          <w:szCs w:val="18"/>
        </w:rPr>
        <w:t xml:space="preserve"> 281. Monthly headache </w:t>
      </w:r>
      <w:proofErr w:type="gramStart"/>
      <w:r w:rsidRPr="00821312">
        <w:rPr>
          <w:rFonts w:ascii="Arial Narrow" w:hAnsi="Arial Narrow"/>
          <w:sz w:val="18"/>
          <w:szCs w:val="18"/>
        </w:rPr>
        <w:t>days</w:t>
      </w:r>
      <w:proofErr w:type="gramEnd"/>
      <w:r w:rsidRPr="00821312">
        <w:rPr>
          <w:rFonts w:ascii="Arial Narrow" w:hAnsi="Arial Narrow"/>
          <w:sz w:val="18"/>
          <w:szCs w:val="18"/>
        </w:rPr>
        <w:t xml:space="preserve"> 50% responder data from submission (Table 2.24, </w:t>
      </w:r>
      <w:proofErr w:type="spellStart"/>
      <w:r w:rsidRPr="00821312">
        <w:rPr>
          <w:rFonts w:ascii="Arial Narrow" w:hAnsi="Arial Narrow"/>
          <w:sz w:val="18"/>
          <w:szCs w:val="18"/>
        </w:rPr>
        <w:t>pg</w:t>
      </w:r>
      <w:proofErr w:type="spellEnd"/>
      <w:r w:rsidRPr="00821312">
        <w:rPr>
          <w:rFonts w:ascii="Arial Narrow" w:hAnsi="Arial Narrow"/>
          <w:sz w:val="18"/>
          <w:szCs w:val="18"/>
        </w:rPr>
        <w:t xml:space="preserve"> 61) (results for 70 mg dose not presented in the submission).</w:t>
      </w:r>
      <w:r w:rsidRPr="00DD5D20">
        <w:rPr>
          <w:rFonts w:ascii="Arial Narrow" w:hAnsi="Arial Narrow"/>
          <w:sz w:val="18"/>
          <w:szCs w:val="18"/>
        </w:rPr>
        <w:t xml:space="preserve"> </w:t>
      </w:r>
    </w:p>
    <w:p w:rsidR="00F10220" w:rsidRPr="00DD5D20" w:rsidRDefault="00F10220" w:rsidP="00D87FED"/>
    <w:p w:rsidR="00B60939" w:rsidRPr="00C9624D" w:rsidRDefault="00B60939" w:rsidP="00D87FED">
      <w:pPr>
        <w:pStyle w:val="Heading2"/>
      </w:pPr>
      <w:bookmarkStart w:id="8" w:name="_Toc535926556"/>
      <w:r w:rsidRPr="00C9624D">
        <w:lastRenderedPageBreak/>
        <w:t>Comparative effectiveness</w:t>
      </w:r>
      <w:r w:rsidR="0085771A">
        <w:t xml:space="preserve"> </w:t>
      </w:r>
      <w:r w:rsidR="00D464C7">
        <w:t>–</w:t>
      </w:r>
      <w:r w:rsidR="0085771A">
        <w:t xml:space="preserve"> </w:t>
      </w:r>
      <w:proofErr w:type="spellStart"/>
      <w:r w:rsidR="00D464C7">
        <w:t>erenumab</w:t>
      </w:r>
      <w:proofErr w:type="spellEnd"/>
      <w:r w:rsidR="00D464C7">
        <w:t xml:space="preserve"> vs. Botox</w:t>
      </w:r>
      <w:bookmarkEnd w:id="8"/>
    </w:p>
    <w:p w:rsidR="00C74105" w:rsidRPr="00D061B9" w:rsidRDefault="00BD079B" w:rsidP="008C17FD">
      <w:pPr>
        <w:pStyle w:val="ListParagraph"/>
        <w:numPr>
          <w:ilvl w:val="1"/>
          <w:numId w:val="2"/>
        </w:numPr>
      </w:pPr>
      <w:r w:rsidRPr="00D061B9">
        <w:t xml:space="preserve">The results of the indirect comparison of </w:t>
      </w:r>
      <w:proofErr w:type="spellStart"/>
      <w:r w:rsidRPr="00D061B9">
        <w:t>erenumab</w:t>
      </w:r>
      <w:proofErr w:type="spellEnd"/>
      <w:r w:rsidRPr="00D061B9">
        <w:t xml:space="preserve"> and Botox based on the subgroup</w:t>
      </w:r>
      <w:r w:rsidR="00CC4670" w:rsidRPr="00D061B9">
        <w:t>, comparing</w:t>
      </w:r>
      <w:r w:rsidRPr="00D061B9">
        <w:t xml:space="preserve"> </w:t>
      </w:r>
      <w:r w:rsidR="00CC4670" w:rsidRPr="00D061B9">
        <w:t xml:space="preserve">change from baseline in monthly headache days and proportion of patients with ≥50% reduction in mean headache days, </w:t>
      </w:r>
      <w:r w:rsidRPr="00D061B9">
        <w:t>are provided in the table below.</w:t>
      </w:r>
      <w:r w:rsidR="003B127B">
        <w:t xml:space="preserve"> </w:t>
      </w:r>
    </w:p>
    <w:p w:rsidR="00DD0178" w:rsidRPr="006A3FA2" w:rsidRDefault="00212283" w:rsidP="00D87FED">
      <w:pPr>
        <w:keepNext/>
        <w:rPr>
          <w:rFonts w:ascii="Arial Narrow" w:hAnsi="Arial Narrow"/>
          <w:b/>
        </w:rPr>
      </w:pPr>
      <w:r w:rsidRPr="006A3FA2">
        <w:rPr>
          <w:rFonts w:ascii="Arial Narrow" w:hAnsi="Arial Narrow"/>
          <w:b/>
          <w:sz w:val="20"/>
          <w:szCs w:val="20"/>
        </w:rPr>
        <w:t xml:space="preserve">Table </w:t>
      </w:r>
      <w:r w:rsidR="00821312">
        <w:rPr>
          <w:rFonts w:ascii="Arial Narrow" w:hAnsi="Arial Narrow"/>
          <w:b/>
          <w:noProof/>
          <w:sz w:val="20"/>
          <w:szCs w:val="20"/>
        </w:rPr>
        <w:t>7</w:t>
      </w:r>
      <w:r w:rsidRPr="006A3FA2">
        <w:rPr>
          <w:rStyle w:val="CommentReference"/>
          <w:b w:val="0"/>
          <w:szCs w:val="20"/>
        </w:rPr>
        <w:t>:</w:t>
      </w:r>
      <w:r w:rsidRPr="006A3FA2">
        <w:rPr>
          <w:rStyle w:val="CommentReference"/>
          <w:b w:val="0"/>
        </w:rPr>
        <w:t xml:space="preserve"> </w:t>
      </w:r>
      <w:r w:rsidR="00DD0178" w:rsidRPr="006A3FA2">
        <w:rPr>
          <w:rStyle w:val="CommentReference"/>
          <w:szCs w:val="20"/>
        </w:rPr>
        <w:t xml:space="preserve">Indirect comparisons </w:t>
      </w:r>
      <w:r w:rsidR="00AE1A3B" w:rsidRPr="006A3FA2">
        <w:rPr>
          <w:rStyle w:val="CommentReference"/>
          <w:szCs w:val="20"/>
        </w:rPr>
        <w:t>- change</w:t>
      </w:r>
      <w:r w:rsidR="00DD0178" w:rsidRPr="006A3FA2">
        <w:rPr>
          <w:rStyle w:val="CommentReference"/>
          <w:szCs w:val="20"/>
        </w:rPr>
        <w:t xml:space="preserve"> from baseline in monthly headache days and ≥50% reduction in monthly headache days: subgroup</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905"/>
        <w:gridCol w:w="1749"/>
        <w:gridCol w:w="1365"/>
        <w:gridCol w:w="1286"/>
        <w:gridCol w:w="1287"/>
      </w:tblGrid>
      <w:tr w:rsidR="00DD0178" w:rsidRPr="007D2D5F" w:rsidTr="007A4002">
        <w:trPr>
          <w:tblHeader/>
          <w:jc w:val="center"/>
        </w:trPr>
        <w:tc>
          <w:tcPr>
            <w:tcW w:w="1613" w:type="dxa"/>
            <w:vMerge w:val="restart"/>
            <w:shd w:val="clear" w:color="auto" w:fill="auto"/>
            <w:vAlign w:val="center"/>
          </w:tcPr>
          <w:p w:rsidR="00DD0178" w:rsidRPr="000D51FB" w:rsidRDefault="00DD0178" w:rsidP="00D87FED">
            <w:pPr>
              <w:pStyle w:val="Tabletext"/>
              <w:keepNext/>
              <w:rPr>
                <w:b/>
              </w:rPr>
            </w:pPr>
            <w:r w:rsidRPr="000D51FB">
              <w:rPr>
                <w:b/>
              </w:rPr>
              <w:t>Trial</w:t>
            </w:r>
          </w:p>
        </w:tc>
        <w:tc>
          <w:tcPr>
            <w:tcW w:w="5019" w:type="dxa"/>
            <w:gridSpan w:val="3"/>
            <w:shd w:val="clear" w:color="auto" w:fill="auto"/>
            <w:vAlign w:val="center"/>
          </w:tcPr>
          <w:p w:rsidR="00DD0178" w:rsidRPr="000D51FB" w:rsidRDefault="00DD0178" w:rsidP="00D87FED">
            <w:pPr>
              <w:pStyle w:val="Tabletext"/>
              <w:keepNext/>
              <w:jc w:val="center"/>
              <w:rPr>
                <w:b/>
              </w:rPr>
            </w:pPr>
            <w:r>
              <w:rPr>
                <w:b/>
              </w:rPr>
              <w:t>Mean c</w:t>
            </w:r>
            <w:r w:rsidRPr="000D51FB">
              <w:rPr>
                <w:b/>
              </w:rPr>
              <w:t>hange from baseline</w:t>
            </w:r>
            <w:r>
              <w:rPr>
                <w:b/>
              </w:rPr>
              <w:t xml:space="preserve"> (SD)</w:t>
            </w:r>
            <w:r w:rsidRPr="000D51FB">
              <w:rPr>
                <w:b/>
              </w:rPr>
              <w:t xml:space="preserve"> in </w:t>
            </w:r>
            <w:r>
              <w:rPr>
                <w:b/>
              </w:rPr>
              <w:t>monthly headache days</w:t>
            </w:r>
          </w:p>
        </w:tc>
        <w:tc>
          <w:tcPr>
            <w:tcW w:w="2573" w:type="dxa"/>
            <w:gridSpan w:val="2"/>
            <w:vMerge w:val="restart"/>
            <w:shd w:val="clear" w:color="auto" w:fill="auto"/>
            <w:vAlign w:val="center"/>
          </w:tcPr>
          <w:p w:rsidR="00DD0178" w:rsidRDefault="00DD0178" w:rsidP="00D87FED">
            <w:pPr>
              <w:pStyle w:val="Tabletext"/>
              <w:keepNext/>
              <w:jc w:val="center"/>
              <w:rPr>
                <w:b/>
              </w:rPr>
            </w:pPr>
            <w:r>
              <w:rPr>
                <w:b/>
              </w:rPr>
              <w:t>Treatment effect</w:t>
            </w:r>
          </w:p>
          <w:p w:rsidR="00DD0178" w:rsidRPr="000D51FB" w:rsidRDefault="00DD0178" w:rsidP="00D87FED">
            <w:pPr>
              <w:pStyle w:val="Tabletext"/>
              <w:keepNext/>
              <w:jc w:val="center"/>
              <w:rPr>
                <w:b/>
              </w:rPr>
            </w:pPr>
            <w:r>
              <w:rPr>
                <w:b/>
              </w:rPr>
              <w:t>WMD</w:t>
            </w:r>
            <w:r w:rsidRPr="000D51FB">
              <w:rPr>
                <w:b/>
              </w:rPr>
              <w:t xml:space="preserve"> (95% CI)</w:t>
            </w:r>
          </w:p>
        </w:tc>
      </w:tr>
      <w:tr w:rsidR="00DD0178" w:rsidRPr="007D2D5F" w:rsidTr="007A4002">
        <w:trPr>
          <w:tblHeader/>
          <w:jc w:val="center"/>
        </w:trPr>
        <w:tc>
          <w:tcPr>
            <w:tcW w:w="1613" w:type="dxa"/>
            <w:vMerge/>
            <w:shd w:val="clear" w:color="auto" w:fill="auto"/>
            <w:vAlign w:val="center"/>
          </w:tcPr>
          <w:p w:rsidR="00DD0178" w:rsidRPr="007D2D5F" w:rsidRDefault="00DD0178" w:rsidP="00D87FED">
            <w:pPr>
              <w:pStyle w:val="Tabletext"/>
              <w:keepNext/>
            </w:pPr>
          </w:p>
        </w:tc>
        <w:tc>
          <w:tcPr>
            <w:tcW w:w="1905" w:type="dxa"/>
            <w:shd w:val="clear" w:color="auto" w:fill="auto"/>
            <w:vAlign w:val="center"/>
          </w:tcPr>
          <w:p w:rsidR="00DD0178" w:rsidRPr="0012305B" w:rsidRDefault="00DD0178" w:rsidP="00D87FED">
            <w:pPr>
              <w:pStyle w:val="Tabletext"/>
              <w:keepNext/>
              <w:jc w:val="center"/>
              <w:rPr>
                <w:b/>
              </w:rPr>
            </w:pPr>
            <w:proofErr w:type="spellStart"/>
            <w:r>
              <w:rPr>
                <w:b/>
              </w:rPr>
              <w:t>Erenumab</w:t>
            </w:r>
            <w:proofErr w:type="spellEnd"/>
            <w:r w:rsidR="000B7B5B">
              <w:rPr>
                <w:b/>
              </w:rPr>
              <w:t xml:space="preserve"> 140</w:t>
            </w:r>
            <w:r w:rsidR="008328C0">
              <w:rPr>
                <w:b/>
              </w:rPr>
              <w:t xml:space="preserve"> </w:t>
            </w:r>
            <w:r w:rsidR="000B7B5B">
              <w:rPr>
                <w:b/>
              </w:rPr>
              <w:t>mg</w:t>
            </w:r>
          </w:p>
        </w:tc>
        <w:tc>
          <w:tcPr>
            <w:tcW w:w="1749" w:type="dxa"/>
            <w:shd w:val="clear" w:color="auto" w:fill="auto"/>
            <w:vAlign w:val="center"/>
          </w:tcPr>
          <w:p w:rsidR="00DD0178" w:rsidRPr="0012305B" w:rsidRDefault="00DD0178" w:rsidP="00D87FED">
            <w:pPr>
              <w:pStyle w:val="Tabletext"/>
              <w:keepNext/>
              <w:jc w:val="center"/>
              <w:rPr>
                <w:b/>
              </w:rPr>
            </w:pPr>
            <w:r>
              <w:rPr>
                <w:b/>
              </w:rPr>
              <w:t>Placebo</w:t>
            </w:r>
          </w:p>
        </w:tc>
        <w:tc>
          <w:tcPr>
            <w:tcW w:w="1365" w:type="dxa"/>
            <w:shd w:val="clear" w:color="auto" w:fill="auto"/>
            <w:vAlign w:val="center"/>
          </w:tcPr>
          <w:p w:rsidR="00DD0178" w:rsidRPr="0012305B" w:rsidRDefault="00DD0178" w:rsidP="00D87FED">
            <w:pPr>
              <w:pStyle w:val="Tabletext"/>
              <w:keepNext/>
              <w:jc w:val="center"/>
              <w:rPr>
                <w:b/>
              </w:rPr>
            </w:pPr>
            <w:r>
              <w:rPr>
                <w:b/>
              </w:rPr>
              <w:t>Botox</w:t>
            </w:r>
          </w:p>
        </w:tc>
        <w:tc>
          <w:tcPr>
            <w:tcW w:w="2573" w:type="dxa"/>
            <w:gridSpan w:val="2"/>
            <w:vMerge/>
            <w:shd w:val="clear" w:color="auto" w:fill="auto"/>
            <w:vAlign w:val="center"/>
          </w:tcPr>
          <w:p w:rsidR="00DD0178" w:rsidRPr="007D2D5F" w:rsidRDefault="00DD0178" w:rsidP="00D87FED">
            <w:pPr>
              <w:pStyle w:val="Tabletext"/>
              <w:keepNext/>
              <w:jc w:val="center"/>
            </w:pPr>
          </w:p>
        </w:tc>
      </w:tr>
      <w:tr w:rsidR="00DD0178" w:rsidRPr="007D2D5F" w:rsidTr="007A4002">
        <w:trPr>
          <w:jc w:val="center"/>
        </w:trPr>
        <w:tc>
          <w:tcPr>
            <w:tcW w:w="1613" w:type="dxa"/>
            <w:shd w:val="clear" w:color="auto" w:fill="auto"/>
            <w:vAlign w:val="center"/>
          </w:tcPr>
          <w:p w:rsidR="00DD0178" w:rsidRDefault="00DD0178" w:rsidP="00D87FED">
            <w:pPr>
              <w:pStyle w:val="Tabletext"/>
              <w:keepNext/>
            </w:pPr>
            <w:r>
              <w:t xml:space="preserve">Study 295 </w:t>
            </w:r>
          </w:p>
          <w:p w:rsidR="00DD0178" w:rsidRPr="007D2D5F" w:rsidRDefault="00DD0178" w:rsidP="00D87FED">
            <w:pPr>
              <w:pStyle w:val="Tabletext"/>
              <w:keepNext/>
            </w:pPr>
            <w:r>
              <w:t>(12 weeks)</w:t>
            </w:r>
          </w:p>
        </w:tc>
        <w:tc>
          <w:tcPr>
            <w:tcW w:w="1905" w:type="dxa"/>
            <w:shd w:val="clear" w:color="auto" w:fill="auto"/>
            <w:vAlign w:val="center"/>
          </w:tcPr>
          <w:p w:rsidR="00DD0178" w:rsidRPr="007D2D5F" w:rsidRDefault="00DD0178" w:rsidP="00D87FED">
            <w:pPr>
              <w:pStyle w:val="Tabletext"/>
              <w:keepNext/>
              <w:jc w:val="center"/>
            </w:pPr>
            <w:r w:rsidRPr="007D2D5F">
              <w:t>N=</w:t>
            </w:r>
            <w:r>
              <w:t>65</w:t>
            </w:r>
          </w:p>
          <w:p w:rsidR="00DD0178" w:rsidRPr="007D2D5F" w:rsidRDefault="00405DA0" w:rsidP="00D87FED">
            <w:pPr>
              <w:pStyle w:val="Tabletext"/>
              <w:keepNext/>
              <w:jc w:val="center"/>
            </w:pPr>
            <w:r>
              <w:rPr>
                <w:noProof/>
                <w:color w:val="000000"/>
                <w:highlight w:val="black"/>
              </w:rPr>
              <w:t>'''''''''''''</w:t>
            </w:r>
            <w:r w:rsidR="00DD0178" w:rsidRPr="007D2D5F">
              <w:t xml:space="preserve"> (</w:t>
            </w:r>
            <w:r>
              <w:rPr>
                <w:noProof/>
                <w:color w:val="000000"/>
                <w:highlight w:val="black"/>
              </w:rPr>
              <w:t>'''''''''''</w:t>
            </w:r>
            <w:r w:rsidR="00DD0178" w:rsidRPr="007D2D5F">
              <w:t>)</w:t>
            </w:r>
          </w:p>
        </w:tc>
        <w:tc>
          <w:tcPr>
            <w:tcW w:w="1749" w:type="dxa"/>
            <w:shd w:val="clear" w:color="auto" w:fill="auto"/>
            <w:vAlign w:val="center"/>
          </w:tcPr>
          <w:p w:rsidR="00DD0178" w:rsidRPr="007D2D5F" w:rsidRDefault="00DD0178" w:rsidP="00D87FED">
            <w:pPr>
              <w:pStyle w:val="Tabletext"/>
              <w:keepNext/>
              <w:jc w:val="center"/>
            </w:pPr>
            <w:r w:rsidRPr="007D2D5F">
              <w:t>N=</w:t>
            </w:r>
            <w:r>
              <w:t>96</w:t>
            </w:r>
          </w:p>
          <w:p w:rsidR="00DD0178" w:rsidRPr="007D2D5F" w:rsidRDefault="00405DA0" w:rsidP="00D87FED">
            <w:pPr>
              <w:pStyle w:val="Tabletext"/>
              <w:keepNext/>
              <w:jc w:val="center"/>
            </w:pPr>
            <w:r>
              <w:rPr>
                <w:noProof/>
                <w:color w:val="000000"/>
                <w:highlight w:val="black"/>
              </w:rPr>
              <w:t>''''''''''''''</w:t>
            </w:r>
            <w:r w:rsidR="00DD0178" w:rsidRPr="007D2D5F">
              <w:t xml:space="preserve"> (</w:t>
            </w:r>
            <w:r>
              <w:rPr>
                <w:noProof/>
                <w:color w:val="000000"/>
                <w:highlight w:val="black"/>
              </w:rPr>
              <w:t>'''''''''''</w:t>
            </w:r>
            <w:r w:rsidR="00DD0178" w:rsidRPr="007D2D5F">
              <w:t>)</w:t>
            </w:r>
          </w:p>
        </w:tc>
        <w:tc>
          <w:tcPr>
            <w:tcW w:w="1365" w:type="dxa"/>
            <w:shd w:val="clear" w:color="auto" w:fill="auto"/>
            <w:vAlign w:val="center"/>
          </w:tcPr>
          <w:p w:rsidR="00DD0178" w:rsidRPr="00405DA0" w:rsidRDefault="00405DA0" w:rsidP="00D87FED">
            <w:pPr>
              <w:pStyle w:val="Tabletext"/>
              <w:keepNext/>
              <w:jc w:val="center"/>
              <w:rPr>
                <w:highlight w:val="black"/>
              </w:rPr>
            </w:pPr>
            <w:r>
              <w:rPr>
                <w:noProof/>
                <w:color w:val="000000"/>
                <w:highlight w:val="black"/>
              </w:rPr>
              <w:t>''</w:t>
            </w:r>
          </w:p>
        </w:tc>
        <w:tc>
          <w:tcPr>
            <w:tcW w:w="2573" w:type="dxa"/>
            <w:gridSpan w:val="2"/>
            <w:shd w:val="clear" w:color="auto" w:fill="auto"/>
            <w:vAlign w:val="center"/>
          </w:tcPr>
          <w:p w:rsidR="00DD0178" w:rsidRPr="007A4002" w:rsidRDefault="00405DA0" w:rsidP="00D87FED">
            <w:pPr>
              <w:pStyle w:val="Tabletext"/>
              <w:keepNext/>
              <w:jc w:val="center"/>
              <w:rPr>
                <w:b/>
              </w:rPr>
            </w:pPr>
            <w:r>
              <w:rPr>
                <w:b/>
                <w:noProof/>
                <w:color w:val="000000"/>
                <w:highlight w:val="black"/>
              </w:rPr>
              <w:t>'''''''''</w:t>
            </w:r>
            <w:r w:rsidR="00DD0178" w:rsidRPr="007A4002">
              <w:rPr>
                <w:b/>
              </w:rPr>
              <w:t xml:space="preserve"> (</w:t>
            </w:r>
            <w:r>
              <w:rPr>
                <w:b/>
                <w:noProof/>
                <w:color w:val="000000"/>
                <w:highlight w:val="black"/>
              </w:rPr>
              <w:t>'''''''''</w:t>
            </w:r>
            <w:r w:rsidR="00DD0178" w:rsidRPr="007A4002">
              <w:rPr>
                <w:b/>
              </w:rPr>
              <w:t xml:space="preserve">, </w:t>
            </w:r>
            <w:r>
              <w:rPr>
                <w:b/>
                <w:noProof/>
                <w:color w:val="000000"/>
                <w:highlight w:val="black"/>
              </w:rPr>
              <w:t>''''''''''</w:t>
            </w:r>
            <w:r w:rsidR="00DD0178" w:rsidRPr="007A4002">
              <w:rPr>
                <w:b/>
              </w:rPr>
              <w:t>)</w:t>
            </w:r>
          </w:p>
        </w:tc>
      </w:tr>
      <w:tr w:rsidR="00DD0178" w:rsidRPr="007D2D5F" w:rsidTr="007A4002">
        <w:trPr>
          <w:jc w:val="center"/>
        </w:trPr>
        <w:tc>
          <w:tcPr>
            <w:tcW w:w="1613" w:type="dxa"/>
            <w:shd w:val="clear" w:color="auto" w:fill="auto"/>
            <w:vAlign w:val="center"/>
          </w:tcPr>
          <w:p w:rsidR="00DD0178" w:rsidRPr="007D2D5F" w:rsidRDefault="00DD0178" w:rsidP="00D87FED">
            <w:pPr>
              <w:pStyle w:val="Tabletext"/>
              <w:keepNext/>
            </w:pPr>
            <w:r>
              <w:t>Pooled PREEMPT trials (24 weeks)</w:t>
            </w:r>
          </w:p>
        </w:tc>
        <w:tc>
          <w:tcPr>
            <w:tcW w:w="1905" w:type="dxa"/>
            <w:shd w:val="clear" w:color="auto" w:fill="auto"/>
            <w:vAlign w:val="center"/>
          </w:tcPr>
          <w:p w:rsidR="00DD0178" w:rsidRPr="007D2D5F" w:rsidRDefault="00DD0178" w:rsidP="00D87FED">
            <w:pPr>
              <w:pStyle w:val="Tabletext"/>
              <w:keepNext/>
              <w:jc w:val="center"/>
            </w:pPr>
            <w:r>
              <w:t>-</w:t>
            </w:r>
          </w:p>
        </w:tc>
        <w:tc>
          <w:tcPr>
            <w:tcW w:w="1749" w:type="dxa"/>
            <w:shd w:val="clear" w:color="auto" w:fill="auto"/>
            <w:vAlign w:val="center"/>
          </w:tcPr>
          <w:p w:rsidR="00DD0178" w:rsidRPr="007D2D5F" w:rsidRDefault="00DD0178" w:rsidP="00D87FED">
            <w:pPr>
              <w:pStyle w:val="Tabletext"/>
              <w:keepNext/>
              <w:jc w:val="center"/>
            </w:pPr>
            <w:r w:rsidRPr="007D2D5F">
              <w:t>N=</w:t>
            </w:r>
            <w:r>
              <w:t>248</w:t>
            </w:r>
          </w:p>
          <w:p w:rsidR="00DD0178" w:rsidRPr="007D2D5F" w:rsidRDefault="00DD0178" w:rsidP="00D87FED">
            <w:pPr>
              <w:pStyle w:val="Tabletext"/>
              <w:keepNext/>
              <w:jc w:val="center"/>
            </w:pPr>
            <w:r w:rsidRPr="007D2D5F">
              <w:t>-</w:t>
            </w:r>
            <w:r>
              <w:t>4.7</w:t>
            </w:r>
            <w:r w:rsidRPr="007D2D5F">
              <w:t xml:space="preserve"> (</w:t>
            </w:r>
            <w:r>
              <w:t>6.4</w:t>
            </w:r>
            <w:r w:rsidRPr="007D2D5F">
              <w:t>)</w:t>
            </w:r>
          </w:p>
        </w:tc>
        <w:tc>
          <w:tcPr>
            <w:tcW w:w="1365" w:type="dxa"/>
            <w:shd w:val="clear" w:color="auto" w:fill="auto"/>
            <w:vAlign w:val="center"/>
          </w:tcPr>
          <w:p w:rsidR="00DD0178" w:rsidRPr="007D2D5F" w:rsidRDefault="00DD0178" w:rsidP="00D87FED">
            <w:pPr>
              <w:pStyle w:val="Tabletext"/>
              <w:keepNext/>
              <w:jc w:val="center"/>
            </w:pPr>
            <w:r w:rsidRPr="007D2D5F">
              <w:t>N=</w:t>
            </w:r>
            <w:r>
              <w:t>231</w:t>
            </w:r>
          </w:p>
          <w:p w:rsidR="00DD0178" w:rsidRPr="007D2D5F" w:rsidRDefault="00DD0178" w:rsidP="00D87FED">
            <w:pPr>
              <w:pStyle w:val="Tabletext"/>
              <w:keepNext/>
              <w:jc w:val="center"/>
            </w:pPr>
            <w:r w:rsidRPr="007D2D5F">
              <w:t>-</w:t>
            </w:r>
            <w:r>
              <w:t>7.4</w:t>
            </w:r>
            <w:r w:rsidRPr="007D2D5F">
              <w:t xml:space="preserve"> (</w:t>
            </w:r>
            <w:r>
              <w:t>6.6</w:t>
            </w:r>
            <w:r w:rsidRPr="007D2D5F">
              <w:t>)</w:t>
            </w:r>
          </w:p>
        </w:tc>
        <w:tc>
          <w:tcPr>
            <w:tcW w:w="2573" w:type="dxa"/>
            <w:gridSpan w:val="2"/>
            <w:shd w:val="clear" w:color="auto" w:fill="auto"/>
            <w:vAlign w:val="center"/>
          </w:tcPr>
          <w:p w:rsidR="00DD0178" w:rsidRPr="007A4002" w:rsidRDefault="00DD0178" w:rsidP="00D87FED">
            <w:pPr>
              <w:pStyle w:val="Tabletext"/>
              <w:keepNext/>
              <w:jc w:val="center"/>
              <w:rPr>
                <w:b/>
              </w:rPr>
            </w:pPr>
            <w:r w:rsidRPr="007A4002">
              <w:rPr>
                <w:b/>
              </w:rPr>
              <w:t>-2.70 (-3.87, -1.53)</w:t>
            </w:r>
          </w:p>
        </w:tc>
      </w:tr>
      <w:tr w:rsidR="00DD0178" w:rsidRPr="007D2D5F" w:rsidTr="007A4002">
        <w:trPr>
          <w:jc w:val="center"/>
        </w:trPr>
        <w:tc>
          <w:tcPr>
            <w:tcW w:w="6632" w:type="dxa"/>
            <w:gridSpan w:val="4"/>
            <w:tcBorders>
              <w:bottom w:val="double" w:sz="4" w:space="0" w:color="auto"/>
            </w:tcBorders>
            <w:shd w:val="clear" w:color="auto" w:fill="auto"/>
            <w:vAlign w:val="center"/>
          </w:tcPr>
          <w:p w:rsidR="00DD0178" w:rsidRPr="006A030D" w:rsidRDefault="00DD0178" w:rsidP="00D87FED">
            <w:pPr>
              <w:pStyle w:val="Tabletext"/>
              <w:keepNext/>
              <w:jc w:val="right"/>
              <w:rPr>
                <w:b/>
              </w:rPr>
            </w:pPr>
            <w:r w:rsidRPr="005B26E0">
              <w:rPr>
                <w:b/>
              </w:rPr>
              <w:t>Indirect mean difference (random effects)</w:t>
            </w:r>
          </w:p>
        </w:tc>
        <w:tc>
          <w:tcPr>
            <w:tcW w:w="2573" w:type="dxa"/>
            <w:gridSpan w:val="2"/>
            <w:tcBorders>
              <w:bottom w:val="double" w:sz="4" w:space="0" w:color="auto"/>
            </w:tcBorders>
            <w:shd w:val="clear" w:color="auto" w:fill="auto"/>
            <w:vAlign w:val="center"/>
          </w:tcPr>
          <w:p w:rsidR="00DD0178" w:rsidRPr="007A4002" w:rsidRDefault="00405DA0" w:rsidP="00D87FED">
            <w:pPr>
              <w:pStyle w:val="Tabletext"/>
              <w:keepNext/>
              <w:jc w:val="center"/>
            </w:pPr>
            <w:r>
              <w:rPr>
                <w:noProof/>
                <w:color w:val="000000"/>
                <w:highlight w:val="black"/>
              </w:rPr>
              <w:t>''''''''''''''</w:t>
            </w:r>
            <w:r w:rsidR="00DD0178" w:rsidRPr="007A4002">
              <w:t xml:space="preserve"> (</w:t>
            </w:r>
            <w:r>
              <w:rPr>
                <w:noProof/>
                <w:color w:val="000000"/>
                <w:highlight w:val="black"/>
              </w:rPr>
              <w:t>''''''''''''</w:t>
            </w:r>
            <w:r w:rsidR="00DD0178" w:rsidRPr="007A4002">
              <w:t xml:space="preserve">, </w:t>
            </w:r>
            <w:r>
              <w:rPr>
                <w:noProof/>
                <w:color w:val="000000"/>
                <w:highlight w:val="black"/>
              </w:rPr>
              <w:t>''''''''''</w:t>
            </w:r>
            <w:r w:rsidR="00DD0178" w:rsidRPr="007A4002">
              <w:t>)</w:t>
            </w:r>
          </w:p>
        </w:tc>
      </w:tr>
      <w:tr w:rsidR="00DD0178" w:rsidRPr="007D2D5F" w:rsidTr="007A4002">
        <w:trPr>
          <w:jc w:val="center"/>
        </w:trPr>
        <w:tc>
          <w:tcPr>
            <w:tcW w:w="1613" w:type="dxa"/>
            <w:vMerge w:val="restart"/>
            <w:tcBorders>
              <w:top w:val="double" w:sz="4" w:space="0" w:color="auto"/>
            </w:tcBorders>
            <w:shd w:val="clear" w:color="auto" w:fill="auto"/>
            <w:vAlign w:val="center"/>
          </w:tcPr>
          <w:p w:rsidR="00DD0178" w:rsidRDefault="00DD0178" w:rsidP="00D87FED">
            <w:pPr>
              <w:pStyle w:val="Tabletext"/>
              <w:keepNext/>
            </w:pPr>
          </w:p>
        </w:tc>
        <w:tc>
          <w:tcPr>
            <w:tcW w:w="5019" w:type="dxa"/>
            <w:gridSpan w:val="3"/>
            <w:tcBorders>
              <w:top w:val="double" w:sz="4" w:space="0" w:color="auto"/>
              <w:bottom w:val="single" w:sz="4" w:space="0" w:color="auto"/>
            </w:tcBorders>
            <w:shd w:val="clear" w:color="auto" w:fill="auto"/>
            <w:vAlign w:val="center"/>
          </w:tcPr>
          <w:p w:rsidR="00DD0178" w:rsidRDefault="00DD0178" w:rsidP="00D87FED">
            <w:pPr>
              <w:pStyle w:val="Tabletext"/>
              <w:keepNext/>
              <w:jc w:val="center"/>
              <w:rPr>
                <w:b/>
              </w:rPr>
            </w:pPr>
            <w:r>
              <w:rPr>
                <w:b/>
              </w:rPr>
              <w:t xml:space="preserve">≥50% reduction in monthly headache days </w:t>
            </w:r>
          </w:p>
          <w:p w:rsidR="00DD0178" w:rsidRPr="007D2D5F" w:rsidRDefault="00DD0178" w:rsidP="00D87FED">
            <w:pPr>
              <w:pStyle w:val="Tabletext"/>
              <w:keepNext/>
              <w:jc w:val="center"/>
            </w:pPr>
            <w:proofErr w:type="gramStart"/>
            <w:r>
              <w:rPr>
                <w:b/>
              </w:rPr>
              <w:t>n</w:t>
            </w:r>
            <w:proofErr w:type="gramEnd"/>
            <w:r>
              <w:rPr>
                <w:b/>
              </w:rPr>
              <w:t xml:space="preserve"> with event/N (%)</w:t>
            </w:r>
          </w:p>
        </w:tc>
        <w:tc>
          <w:tcPr>
            <w:tcW w:w="2573" w:type="dxa"/>
            <w:gridSpan w:val="2"/>
            <w:tcBorders>
              <w:top w:val="double" w:sz="4" w:space="0" w:color="auto"/>
            </w:tcBorders>
            <w:shd w:val="clear" w:color="auto" w:fill="auto"/>
            <w:vAlign w:val="center"/>
          </w:tcPr>
          <w:p w:rsidR="00DD0178" w:rsidRPr="007A4002" w:rsidRDefault="00DD0178" w:rsidP="00D87FED">
            <w:pPr>
              <w:pStyle w:val="Tabletext"/>
              <w:keepNext/>
              <w:jc w:val="center"/>
            </w:pPr>
            <w:r w:rsidRPr="007A4002">
              <w:rPr>
                <w:b/>
              </w:rPr>
              <w:t>Treatment effect</w:t>
            </w:r>
          </w:p>
        </w:tc>
      </w:tr>
      <w:tr w:rsidR="00DD0178" w:rsidRPr="007D2D5F" w:rsidTr="007A4002">
        <w:trPr>
          <w:jc w:val="center"/>
        </w:trPr>
        <w:tc>
          <w:tcPr>
            <w:tcW w:w="1613" w:type="dxa"/>
            <w:vMerge/>
            <w:shd w:val="clear" w:color="auto" w:fill="auto"/>
            <w:vAlign w:val="center"/>
          </w:tcPr>
          <w:p w:rsidR="00DD0178" w:rsidRDefault="00DD0178" w:rsidP="00D87FED">
            <w:pPr>
              <w:pStyle w:val="Tabletext"/>
              <w:keepNext/>
            </w:pPr>
          </w:p>
        </w:tc>
        <w:tc>
          <w:tcPr>
            <w:tcW w:w="1905" w:type="dxa"/>
            <w:tcBorders>
              <w:top w:val="single" w:sz="4" w:space="0" w:color="auto"/>
            </w:tcBorders>
            <w:shd w:val="clear" w:color="auto" w:fill="auto"/>
            <w:vAlign w:val="center"/>
          </w:tcPr>
          <w:p w:rsidR="00DD0178" w:rsidRPr="007D2D5F" w:rsidRDefault="00DD0178" w:rsidP="00D87FED">
            <w:pPr>
              <w:pStyle w:val="Tabletext"/>
              <w:keepNext/>
              <w:jc w:val="center"/>
            </w:pPr>
            <w:proofErr w:type="spellStart"/>
            <w:r>
              <w:rPr>
                <w:b/>
              </w:rPr>
              <w:t>Erenumab</w:t>
            </w:r>
            <w:proofErr w:type="spellEnd"/>
            <w:r w:rsidR="000B7B5B">
              <w:rPr>
                <w:b/>
              </w:rPr>
              <w:t xml:space="preserve"> 140</w:t>
            </w:r>
            <w:r w:rsidR="008328C0">
              <w:rPr>
                <w:b/>
              </w:rPr>
              <w:t xml:space="preserve"> </w:t>
            </w:r>
            <w:r w:rsidR="000B7B5B">
              <w:rPr>
                <w:b/>
              </w:rPr>
              <w:t>mg</w:t>
            </w:r>
          </w:p>
        </w:tc>
        <w:tc>
          <w:tcPr>
            <w:tcW w:w="1749" w:type="dxa"/>
            <w:tcBorders>
              <w:top w:val="single" w:sz="4" w:space="0" w:color="auto"/>
            </w:tcBorders>
            <w:shd w:val="clear" w:color="auto" w:fill="auto"/>
            <w:vAlign w:val="center"/>
          </w:tcPr>
          <w:p w:rsidR="00DD0178" w:rsidRPr="007D2D5F" w:rsidRDefault="00DD0178" w:rsidP="00D87FED">
            <w:pPr>
              <w:pStyle w:val="Tabletext"/>
              <w:keepNext/>
              <w:jc w:val="center"/>
            </w:pPr>
            <w:r>
              <w:rPr>
                <w:b/>
              </w:rPr>
              <w:t>Placebo</w:t>
            </w:r>
          </w:p>
        </w:tc>
        <w:tc>
          <w:tcPr>
            <w:tcW w:w="1365" w:type="dxa"/>
            <w:tcBorders>
              <w:top w:val="single" w:sz="4" w:space="0" w:color="auto"/>
            </w:tcBorders>
            <w:shd w:val="clear" w:color="auto" w:fill="auto"/>
            <w:vAlign w:val="center"/>
          </w:tcPr>
          <w:p w:rsidR="00DD0178" w:rsidRPr="007D2D5F" w:rsidRDefault="00DD0178" w:rsidP="00D87FED">
            <w:pPr>
              <w:pStyle w:val="Tabletext"/>
              <w:keepNext/>
              <w:jc w:val="center"/>
            </w:pPr>
            <w:r>
              <w:rPr>
                <w:b/>
              </w:rPr>
              <w:t>Botox</w:t>
            </w:r>
          </w:p>
        </w:tc>
        <w:tc>
          <w:tcPr>
            <w:tcW w:w="1286" w:type="dxa"/>
            <w:shd w:val="clear" w:color="auto" w:fill="auto"/>
            <w:vAlign w:val="center"/>
          </w:tcPr>
          <w:p w:rsidR="00DD0178" w:rsidRPr="007A4002" w:rsidRDefault="00DD0178" w:rsidP="00D87FED">
            <w:pPr>
              <w:pStyle w:val="Tabletext"/>
              <w:keepNext/>
              <w:jc w:val="center"/>
              <w:rPr>
                <w:b/>
              </w:rPr>
            </w:pPr>
            <w:r w:rsidRPr="007A4002">
              <w:rPr>
                <w:b/>
              </w:rPr>
              <w:t>OR (95% CI)</w:t>
            </w:r>
          </w:p>
        </w:tc>
        <w:tc>
          <w:tcPr>
            <w:tcW w:w="1287" w:type="dxa"/>
            <w:shd w:val="clear" w:color="auto" w:fill="auto"/>
            <w:vAlign w:val="center"/>
          </w:tcPr>
          <w:p w:rsidR="00DD0178" w:rsidRPr="007A4002" w:rsidRDefault="00DD0178" w:rsidP="00D87FED">
            <w:pPr>
              <w:pStyle w:val="Tabletext"/>
              <w:keepNext/>
              <w:jc w:val="center"/>
              <w:rPr>
                <w:b/>
              </w:rPr>
            </w:pPr>
            <w:r w:rsidRPr="007A4002">
              <w:rPr>
                <w:b/>
              </w:rPr>
              <w:t>RR (95% CI)</w:t>
            </w:r>
          </w:p>
        </w:tc>
      </w:tr>
      <w:tr w:rsidR="00DD0178" w:rsidRPr="007D2D5F" w:rsidTr="007A4002">
        <w:trPr>
          <w:jc w:val="center"/>
        </w:trPr>
        <w:tc>
          <w:tcPr>
            <w:tcW w:w="1613" w:type="dxa"/>
            <w:tcBorders>
              <w:top w:val="single" w:sz="4" w:space="0" w:color="auto"/>
            </w:tcBorders>
            <w:shd w:val="clear" w:color="auto" w:fill="auto"/>
            <w:vAlign w:val="center"/>
          </w:tcPr>
          <w:p w:rsidR="00DD0178" w:rsidRDefault="00DD0178" w:rsidP="00D87FED">
            <w:pPr>
              <w:pStyle w:val="Tabletext"/>
              <w:keepNext/>
            </w:pPr>
            <w:r>
              <w:t xml:space="preserve">Study 295 </w:t>
            </w:r>
          </w:p>
          <w:p w:rsidR="00DD0178" w:rsidRDefault="00DD0178" w:rsidP="00D87FED">
            <w:pPr>
              <w:pStyle w:val="Tabletext"/>
              <w:keepNext/>
            </w:pPr>
            <w:r>
              <w:t>(12 weeks)</w:t>
            </w:r>
          </w:p>
        </w:tc>
        <w:tc>
          <w:tcPr>
            <w:tcW w:w="1905" w:type="dxa"/>
            <w:tcBorders>
              <w:top w:val="single" w:sz="4" w:space="0" w:color="auto"/>
            </w:tcBorders>
            <w:shd w:val="clear" w:color="auto" w:fill="auto"/>
            <w:vAlign w:val="center"/>
          </w:tcPr>
          <w:p w:rsidR="00DD0178" w:rsidRPr="007D2D5F" w:rsidRDefault="00405DA0" w:rsidP="00D87FED">
            <w:pPr>
              <w:pStyle w:val="Tabletext"/>
              <w:keepNext/>
              <w:jc w:val="center"/>
            </w:pPr>
            <w:r>
              <w:rPr>
                <w:noProof/>
                <w:color w:val="000000"/>
                <w:highlight w:val="black"/>
              </w:rPr>
              <w:t>'''''</w:t>
            </w:r>
            <w:r w:rsidR="00DD0178">
              <w:t>/65 (</w:t>
            </w:r>
            <w:proofErr w:type="gramStart"/>
            <w:r>
              <w:rPr>
                <w:noProof/>
                <w:color w:val="000000"/>
                <w:highlight w:val="black"/>
              </w:rPr>
              <w:t>''''''''''</w:t>
            </w:r>
            <w:r w:rsidR="00DD0178">
              <w:t>%</w:t>
            </w:r>
            <w:proofErr w:type="gramEnd"/>
            <w:r w:rsidR="00DD0178">
              <w:t>)</w:t>
            </w:r>
          </w:p>
        </w:tc>
        <w:tc>
          <w:tcPr>
            <w:tcW w:w="1749" w:type="dxa"/>
            <w:tcBorders>
              <w:top w:val="single" w:sz="4" w:space="0" w:color="auto"/>
            </w:tcBorders>
            <w:shd w:val="clear" w:color="auto" w:fill="auto"/>
            <w:vAlign w:val="center"/>
          </w:tcPr>
          <w:p w:rsidR="00DD0178" w:rsidRPr="007D2D5F" w:rsidRDefault="00405DA0" w:rsidP="00D87FED">
            <w:pPr>
              <w:pStyle w:val="Tabletext"/>
              <w:keepNext/>
              <w:jc w:val="center"/>
            </w:pPr>
            <w:r>
              <w:rPr>
                <w:noProof/>
                <w:color w:val="000000"/>
                <w:highlight w:val="black"/>
              </w:rPr>
              <w:t>''''''</w:t>
            </w:r>
            <w:r w:rsidR="00DD0178">
              <w:t>/98 (</w:t>
            </w:r>
            <w:r>
              <w:rPr>
                <w:noProof/>
                <w:color w:val="000000"/>
                <w:highlight w:val="black"/>
              </w:rPr>
              <w:t>'''''''''''</w:t>
            </w:r>
            <w:r w:rsidR="00DD0178">
              <w:t>%)</w:t>
            </w:r>
          </w:p>
        </w:tc>
        <w:tc>
          <w:tcPr>
            <w:tcW w:w="1365" w:type="dxa"/>
            <w:tcBorders>
              <w:top w:val="single" w:sz="4" w:space="0" w:color="auto"/>
            </w:tcBorders>
            <w:shd w:val="clear" w:color="auto" w:fill="auto"/>
            <w:vAlign w:val="center"/>
          </w:tcPr>
          <w:p w:rsidR="00DD0178" w:rsidRPr="00405DA0" w:rsidRDefault="00405DA0" w:rsidP="00D87FED">
            <w:pPr>
              <w:pStyle w:val="Tabletext"/>
              <w:keepNext/>
              <w:jc w:val="center"/>
              <w:rPr>
                <w:highlight w:val="black"/>
              </w:rPr>
            </w:pPr>
            <w:r>
              <w:rPr>
                <w:noProof/>
                <w:color w:val="000000"/>
                <w:highlight w:val="black"/>
              </w:rPr>
              <w:t>''</w:t>
            </w:r>
          </w:p>
        </w:tc>
        <w:tc>
          <w:tcPr>
            <w:tcW w:w="1286" w:type="dxa"/>
            <w:tcBorders>
              <w:top w:val="single" w:sz="4" w:space="0" w:color="auto"/>
            </w:tcBorders>
            <w:shd w:val="clear" w:color="auto" w:fill="auto"/>
            <w:vAlign w:val="center"/>
          </w:tcPr>
          <w:p w:rsidR="00DD0178" w:rsidRPr="00405DA0" w:rsidRDefault="00405DA0" w:rsidP="00D87FED">
            <w:pPr>
              <w:pStyle w:val="Tabletext"/>
              <w:keepNext/>
              <w:jc w:val="center"/>
              <w:rPr>
                <w:b/>
                <w:highlight w:val="black"/>
              </w:rPr>
            </w:pPr>
            <w:r>
              <w:rPr>
                <w:b/>
                <w:noProof/>
                <w:color w:val="000000"/>
                <w:highlight w:val="black"/>
              </w:rPr>
              <w:t xml:space="preserve">''''''''' </w:t>
            </w:r>
          </w:p>
          <w:p w:rsidR="00DD0178" w:rsidRPr="007A4002" w:rsidRDefault="00DD0178" w:rsidP="00D87FED">
            <w:pPr>
              <w:pStyle w:val="Tabletext"/>
              <w:keepNext/>
              <w:jc w:val="center"/>
              <w:rPr>
                <w:b/>
              </w:rPr>
            </w:pPr>
            <w:r w:rsidRPr="007A4002">
              <w:rPr>
                <w:b/>
              </w:rPr>
              <w:t>(</w:t>
            </w:r>
            <w:r w:rsidR="00405DA0">
              <w:rPr>
                <w:b/>
                <w:noProof/>
                <w:color w:val="000000"/>
                <w:highlight w:val="black"/>
              </w:rPr>
              <w:t>'''''''''</w:t>
            </w:r>
            <w:r w:rsidRPr="007A4002">
              <w:rPr>
                <w:b/>
              </w:rPr>
              <w:t xml:space="preserve">, </w:t>
            </w:r>
            <w:r w:rsidR="00405DA0">
              <w:rPr>
                <w:b/>
                <w:noProof/>
                <w:color w:val="000000"/>
                <w:highlight w:val="black"/>
              </w:rPr>
              <w:t>'''''''''</w:t>
            </w:r>
            <w:r w:rsidRPr="007A4002">
              <w:rPr>
                <w:b/>
              </w:rPr>
              <w:t>)</w:t>
            </w:r>
          </w:p>
        </w:tc>
        <w:tc>
          <w:tcPr>
            <w:tcW w:w="1287" w:type="dxa"/>
            <w:tcBorders>
              <w:top w:val="single" w:sz="4" w:space="0" w:color="auto"/>
            </w:tcBorders>
            <w:shd w:val="clear" w:color="auto" w:fill="auto"/>
            <w:vAlign w:val="center"/>
          </w:tcPr>
          <w:p w:rsidR="00DD0178" w:rsidRPr="00405DA0" w:rsidRDefault="00405DA0" w:rsidP="00D87FED">
            <w:pPr>
              <w:pStyle w:val="Tabletext"/>
              <w:keepNext/>
              <w:jc w:val="center"/>
              <w:rPr>
                <w:b/>
                <w:highlight w:val="black"/>
              </w:rPr>
            </w:pPr>
            <w:r>
              <w:rPr>
                <w:b/>
                <w:noProof/>
                <w:color w:val="000000"/>
                <w:highlight w:val="black"/>
              </w:rPr>
              <w:t xml:space="preserve">'''''''''' </w:t>
            </w:r>
          </w:p>
          <w:p w:rsidR="00DD0178" w:rsidRPr="007A4002" w:rsidRDefault="00DD0178" w:rsidP="00D87FED">
            <w:pPr>
              <w:pStyle w:val="Tabletext"/>
              <w:keepNext/>
              <w:jc w:val="center"/>
              <w:rPr>
                <w:b/>
              </w:rPr>
            </w:pPr>
            <w:r w:rsidRPr="007A4002">
              <w:rPr>
                <w:b/>
              </w:rPr>
              <w:t>(</w:t>
            </w:r>
            <w:r w:rsidR="00405DA0">
              <w:rPr>
                <w:b/>
                <w:noProof/>
                <w:color w:val="000000"/>
                <w:highlight w:val="black"/>
              </w:rPr>
              <w:t>'''''''''</w:t>
            </w:r>
            <w:r w:rsidRPr="007A4002">
              <w:rPr>
                <w:b/>
              </w:rPr>
              <w:t xml:space="preserve">, </w:t>
            </w:r>
            <w:r w:rsidR="00405DA0">
              <w:rPr>
                <w:b/>
                <w:noProof/>
                <w:color w:val="000000"/>
                <w:highlight w:val="black"/>
              </w:rPr>
              <w:t>'''''''''</w:t>
            </w:r>
            <w:r w:rsidRPr="007A4002">
              <w:rPr>
                <w:b/>
              </w:rPr>
              <w:t>)</w:t>
            </w:r>
          </w:p>
        </w:tc>
      </w:tr>
      <w:tr w:rsidR="00DD0178" w:rsidRPr="007D2D5F" w:rsidTr="007A4002">
        <w:trPr>
          <w:jc w:val="center"/>
        </w:trPr>
        <w:tc>
          <w:tcPr>
            <w:tcW w:w="1613" w:type="dxa"/>
            <w:tcBorders>
              <w:top w:val="single" w:sz="4" w:space="0" w:color="auto"/>
            </w:tcBorders>
            <w:shd w:val="clear" w:color="auto" w:fill="auto"/>
            <w:vAlign w:val="center"/>
          </w:tcPr>
          <w:p w:rsidR="00DD0178" w:rsidRDefault="00DD0178" w:rsidP="00D87FED">
            <w:pPr>
              <w:pStyle w:val="Tabletext"/>
              <w:keepNext/>
            </w:pPr>
            <w:r>
              <w:t>Pooled PREEMPT trials (24 weeks)</w:t>
            </w:r>
          </w:p>
        </w:tc>
        <w:tc>
          <w:tcPr>
            <w:tcW w:w="1905" w:type="dxa"/>
            <w:tcBorders>
              <w:top w:val="single" w:sz="4" w:space="0" w:color="auto"/>
            </w:tcBorders>
            <w:shd w:val="clear" w:color="auto" w:fill="auto"/>
            <w:vAlign w:val="center"/>
          </w:tcPr>
          <w:p w:rsidR="00DD0178" w:rsidRPr="007D2D5F" w:rsidRDefault="00DD0178" w:rsidP="00D87FED">
            <w:pPr>
              <w:pStyle w:val="Tabletext"/>
              <w:keepNext/>
              <w:jc w:val="center"/>
            </w:pPr>
            <w:r>
              <w:t>-</w:t>
            </w:r>
          </w:p>
        </w:tc>
        <w:tc>
          <w:tcPr>
            <w:tcW w:w="1749" w:type="dxa"/>
            <w:tcBorders>
              <w:top w:val="single" w:sz="4" w:space="0" w:color="auto"/>
            </w:tcBorders>
            <w:shd w:val="clear" w:color="auto" w:fill="auto"/>
            <w:vAlign w:val="center"/>
          </w:tcPr>
          <w:p w:rsidR="00DD0178" w:rsidRPr="007D2D5F" w:rsidRDefault="00DD0178" w:rsidP="00D87FED">
            <w:pPr>
              <w:pStyle w:val="Tabletext"/>
              <w:keepNext/>
              <w:jc w:val="center"/>
            </w:pPr>
            <w:r>
              <w:t>51/207</w:t>
            </w:r>
            <w:r w:rsidRPr="0012305B">
              <w:t xml:space="preserve"> (</w:t>
            </w:r>
            <w:r>
              <w:t>24.6</w:t>
            </w:r>
            <w:r w:rsidRPr="0012305B">
              <w:t>%)</w:t>
            </w:r>
          </w:p>
        </w:tc>
        <w:tc>
          <w:tcPr>
            <w:tcW w:w="1365" w:type="dxa"/>
            <w:tcBorders>
              <w:top w:val="single" w:sz="4" w:space="0" w:color="auto"/>
            </w:tcBorders>
            <w:shd w:val="clear" w:color="auto" w:fill="auto"/>
            <w:vAlign w:val="center"/>
          </w:tcPr>
          <w:p w:rsidR="00DD0178" w:rsidRPr="007D2D5F" w:rsidRDefault="00DD0178" w:rsidP="00D87FED">
            <w:pPr>
              <w:pStyle w:val="Tabletext"/>
              <w:keepNext/>
              <w:jc w:val="center"/>
            </w:pPr>
            <w:r>
              <w:t>76/189</w:t>
            </w:r>
            <w:r w:rsidRPr="0012305B">
              <w:t xml:space="preserve"> (</w:t>
            </w:r>
            <w:r>
              <w:t>40.2</w:t>
            </w:r>
            <w:r w:rsidRPr="0012305B">
              <w:t>%)</w:t>
            </w:r>
          </w:p>
        </w:tc>
        <w:tc>
          <w:tcPr>
            <w:tcW w:w="1286" w:type="dxa"/>
            <w:tcBorders>
              <w:top w:val="single" w:sz="4" w:space="0" w:color="auto"/>
            </w:tcBorders>
            <w:shd w:val="clear" w:color="auto" w:fill="auto"/>
            <w:vAlign w:val="center"/>
          </w:tcPr>
          <w:p w:rsidR="00DD0178" w:rsidRPr="007A4002" w:rsidRDefault="00DD0178" w:rsidP="00D87FED">
            <w:pPr>
              <w:pStyle w:val="Tabletext"/>
              <w:keepNext/>
              <w:jc w:val="center"/>
              <w:rPr>
                <w:b/>
              </w:rPr>
            </w:pPr>
            <w:r w:rsidRPr="007A4002">
              <w:rPr>
                <w:b/>
              </w:rPr>
              <w:t xml:space="preserve">2.06 </w:t>
            </w:r>
          </w:p>
          <w:p w:rsidR="00DD0178" w:rsidRPr="007A4002" w:rsidRDefault="00DD0178" w:rsidP="00D87FED">
            <w:pPr>
              <w:pStyle w:val="Tabletext"/>
              <w:keepNext/>
              <w:jc w:val="center"/>
              <w:rPr>
                <w:b/>
              </w:rPr>
            </w:pPr>
            <w:r w:rsidRPr="007A4002">
              <w:rPr>
                <w:b/>
              </w:rPr>
              <w:t>(1.34, 3.16)</w:t>
            </w:r>
          </w:p>
        </w:tc>
        <w:tc>
          <w:tcPr>
            <w:tcW w:w="1287" w:type="dxa"/>
            <w:tcBorders>
              <w:top w:val="single" w:sz="4" w:space="0" w:color="auto"/>
            </w:tcBorders>
            <w:shd w:val="clear" w:color="auto" w:fill="auto"/>
            <w:vAlign w:val="center"/>
          </w:tcPr>
          <w:p w:rsidR="00DD0178" w:rsidRPr="007A4002" w:rsidRDefault="00DD0178" w:rsidP="00D87FED">
            <w:pPr>
              <w:pStyle w:val="Tabletext"/>
              <w:keepNext/>
              <w:jc w:val="center"/>
              <w:rPr>
                <w:b/>
              </w:rPr>
            </w:pPr>
            <w:r w:rsidRPr="007A4002">
              <w:rPr>
                <w:b/>
              </w:rPr>
              <w:t xml:space="preserve">1.63 </w:t>
            </w:r>
          </w:p>
          <w:p w:rsidR="00DD0178" w:rsidRPr="007A4002" w:rsidRDefault="00DD0178" w:rsidP="00D87FED">
            <w:pPr>
              <w:pStyle w:val="Tabletext"/>
              <w:keepNext/>
              <w:jc w:val="center"/>
              <w:rPr>
                <w:b/>
              </w:rPr>
            </w:pPr>
            <w:r w:rsidRPr="007A4002">
              <w:rPr>
                <w:b/>
              </w:rPr>
              <w:t>(1.22, 2.19)</w:t>
            </w:r>
          </w:p>
        </w:tc>
      </w:tr>
      <w:tr w:rsidR="00DD0178" w:rsidRPr="0012305B" w:rsidTr="007A4002">
        <w:trPr>
          <w:jc w:val="center"/>
        </w:trPr>
        <w:tc>
          <w:tcPr>
            <w:tcW w:w="6632" w:type="dxa"/>
            <w:gridSpan w:val="4"/>
            <w:shd w:val="clear" w:color="auto" w:fill="auto"/>
            <w:vAlign w:val="center"/>
          </w:tcPr>
          <w:p w:rsidR="00DD0178" w:rsidRPr="005B26E0" w:rsidRDefault="00DD0178" w:rsidP="00D87FED">
            <w:pPr>
              <w:pStyle w:val="Tabletext"/>
              <w:keepNext/>
              <w:jc w:val="right"/>
              <w:rPr>
                <w:b/>
              </w:rPr>
            </w:pPr>
            <w:r w:rsidRPr="005B26E0">
              <w:rPr>
                <w:b/>
              </w:rPr>
              <w:t xml:space="preserve">Indirect </w:t>
            </w:r>
            <w:r>
              <w:rPr>
                <w:b/>
              </w:rPr>
              <w:t xml:space="preserve">comparison </w:t>
            </w:r>
            <w:r w:rsidRPr="005B26E0">
              <w:rPr>
                <w:b/>
              </w:rPr>
              <w:t>(random effects)</w:t>
            </w:r>
          </w:p>
        </w:tc>
        <w:tc>
          <w:tcPr>
            <w:tcW w:w="1286" w:type="dxa"/>
            <w:shd w:val="clear" w:color="auto" w:fill="auto"/>
            <w:vAlign w:val="center"/>
          </w:tcPr>
          <w:p w:rsidR="00DD0178" w:rsidRPr="00405DA0" w:rsidRDefault="00405DA0" w:rsidP="00D87FED">
            <w:pPr>
              <w:pStyle w:val="Tabletext"/>
              <w:keepNext/>
              <w:jc w:val="center"/>
              <w:rPr>
                <w:highlight w:val="black"/>
              </w:rPr>
            </w:pPr>
            <w:r>
              <w:rPr>
                <w:noProof/>
                <w:color w:val="000000"/>
                <w:highlight w:val="black"/>
              </w:rPr>
              <w:t xml:space="preserve">''''''''''' </w:t>
            </w:r>
          </w:p>
          <w:p w:rsidR="00DD0178" w:rsidRPr="006A030D" w:rsidRDefault="00DD0178" w:rsidP="00D87FED">
            <w:pPr>
              <w:pStyle w:val="Tabletext"/>
              <w:keepNext/>
              <w:jc w:val="center"/>
            </w:pPr>
            <w:r>
              <w:t>(</w:t>
            </w:r>
            <w:r w:rsidR="00405DA0">
              <w:rPr>
                <w:noProof/>
                <w:color w:val="000000"/>
                <w:highlight w:val="black"/>
              </w:rPr>
              <w:t>''''''''''</w:t>
            </w:r>
            <w:r>
              <w:t xml:space="preserve">, </w:t>
            </w:r>
            <w:r w:rsidR="00405DA0">
              <w:rPr>
                <w:noProof/>
                <w:color w:val="000000"/>
                <w:highlight w:val="black"/>
              </w:rPr>
              <w:t>'''''''''''</w:t>
            </w:r>
            <w:r>
              <w:t>)</w:t>
            </w:r>
          </w:p>
        </w:tc>
        <w:tc>
          <w:tcPr>
            <w:tcW w:w="1287" w:type="dxa"/>
            <w:shd w:val="clear" w:color="auto" w:fill="auto"/>
            <w:vAlign w:val="center"/>
          </w:tcPr>
          <w:p w:rsidR="00DD0178" w:rsidRPr="00405DA0" w:rsidRDefault="00405DA0" w:rsidP="00D87FED">
            <w:pPr>
              <w:pStyle w:val="Tabletext"/>
              <w:keepNext/>
              <w:jc w:val="center"/>
              <w:rPr>
                <w:highlight w:val="black"/>
              </w:rPr>
            </w:pPr>
            <w:r>
              <w:rPr>
                <w:noProof/>
                <w:color w:val="000000"/>
                <w:highlight w:val="black"/>
              </w:rPr>
              <w:t xml:space="preserve">''''''''''' </w:t>
            </w:r>
          </w:p>
          <w:p w:rsidR="00DD0178" w:rsidRPr="006A030D" w:rsidRDefault="00DD0178" w:rsidP="00D87FED">
            <w:pPr>
              <w:pStyle w:val="Tabletext"/>
              <w:keepNext/>
              <w:jc w:val="center"/>
            </w:pPr>
            <w:r>
              <w:t>(</w:t>
            </w:r>
            <w:r w:rsidR="00405DA0">
              <w:rPr>
                <w:noProof/>
                <w:color w:val="000000"/>
                <w:highlight w:val="black"/>
              </w:rPr>
              <w:t>''''''''''</w:t>
            </w:r>
            <w:r>
              <w:t xml:space="preserve">, </w:t>
            </w:r>
            <w:r w:rsidR="00405DA0">
              <w:rPr>
                <w:noProof/>
                <w:color w:val="000000"/>
                <w:highlight w:val="black"/>
              </w:rPr>
              <w:t>''''''''''</w:t>
            </w:r>
            <w:r>
              <w:t>)</w:t>
            </w:r>
          </w:p>
        </w:tc>
      </w:tr>
    </w:tbl>
    <w:p w:rsidR="00DD0178" w:rsidRDefault="00DD0178" w:rsidP="00D87FED">
      <w:pPr>
        <w:pStyle w:val="TableFooter"/>
        <w:keepNext/>
      </w:pPr>
      <w:r>
        <w:t>Source: Table 2.37, p76; Table 2.38, p77 of the resubmission.</w:t>
      </w:r>
    </w:p>
    <w:p w:rsidR="00CC4670" w:rsidRDefault="00DD0178" w:rsidP="00D87FED">
      <w:pPr>
        <w:pStyle w:val="TableFooter"/>
      </w:pPr>
      <w:r>
        <w:t>CI=confidence interval; OR=odds ratio; RR=relative risk; SD=standard deviation; WMD=weighted mean differen</w:t>
      </w:r>
      <w:r w:rsidR="00212283">
        <w:t>ce</w:t>
      </w:r>
      <w:r w:rsidR="00C07E57">
        <w:t xml:space="preserve">; </w:t>
      </w:r>
      <w:r w:rsidR="00C07E57" w:rsidRPr="00C07E57">
        <w:rPr>
          <w:b/>
        </w:rPr>
        <w:t>bold</w:t>
      </w:r>
      <w:r w:rsidR="00C07E57">
        <w:t>=statistically significant</w:t>
      </w:r>
    </w:p>
    <w:p w:rsidR="00C74105" w:rsidRPr="007B6650" w:rsidRDefault="00C74105" w:rsidP="00D87FED"/>
    <w:p w:rsidR="000B7717" w:rsidRPr="00D061B9" w:rsidRDefault="00856172" w:rsidP="008C17FD">
      <w:pPr>
        <w:pStyle w:val="ListParagraph"/>
        <w:numPr>
          <w:ilvl w:val="1"/>
          <w:numId w:val="2"/>
        </w:numPr>
        <w:spacing w:after="120"/>
      </w:pPr>
      <w:r w:rsidRPr="00D061B9">
        <w:t>While the indirect comparison demonstrated no statistically significant differences between the two agents, there are a number of concerns with the comparison:</w:t>
      </w:r>
    </w:p>
    <w:p w:rsidR="00856172" w:rsidRPr="00D061B9" w:rsidRDefault="00856172" w:rsidP="00D87FED">
      <w:pPr>
        <w:pStyle w:val="Bulletpoints"/>
        <w:spacing w:after="120"/>
        <w:ind w:left="1134" w:hanging="283"/>
      </w:pPr>
      <w:r w:rsidRPr="00D061B9">
        <w:t>The response in the placebo arm in the pooled Botox tr</w:t>
      </w:r>
      <w:r w:rsidR="00DC1E53" w:rsidRPr="00D061B9">
        <w:t>ia</w:t>
      </w:r>
      <w:r w:rsidRPr="00D061B9">
        <w:t xml:space="preserve">ls </w:t>
      </w:r>
      <w:r w:rsidR="00670C08" w:rsidRPr="00D061B9">
        <w:t>wa</w:t>
      </w:r>
      <w:r w:rsidRPr="00D061B9">
        <w:t>s considerably higher than the placebo response in Study 295 for both outcomes</w:t>
      </w:r>
      <w:r w:rsidR="007F573D">
        <w:t xml:space="preserve">. </w:t>
      </w:r>
      <w:r w:rsidRPr="00D061B9">
        <w:t xml:space="preserve">As such, the comparison </w:t>
      </w:r>
      <w:r w:rsidR="00670C08" w:rsidRPr="00D061B9">
        <w:t>did</w:t>
      </w:r>
      <w:r w:rsidRPr="00D061B9">
        <w:t xml:space="preserve"> not me</w:t>
      </w:r>
      <w:r w:rsidR="00ED5098">
        <w:t>e</w:t>
      </w:r>
      <w:r w:rsidRPr="00D061B9">
        <w:t>t the assumption of transitivity.</w:t>
      </w:r>
    </w:p>
    <w:p w:rsidR="00856172" w:rsidRPr="00D061B9" w:rsidRDefault="00856172" w:rsidP="00D87FED">
      <w:pPr>
        <w:pStyle w:val="Bulletpoints"/>
        <w:spacing w:after="120"/>
        <w:ind w:left="1134" w:hanging="283"/>
      </w:pPr>
      <w:r w:rsidRPr="00D061B9">
        <w:t xml:space="preserve">Change from baseline in monthly headache days was an exploratory outcome in Study 295 while proportion of patients with ≥50% reduction in monthly headache days was not defined as a primary, secondary or exploratory outcome in Study 295 and the resubmission has provided no information on </w:t>
      </w:r>
      <w:r w:rsidR="003B127B">
        <w:t>how the outcome was calculated</w:t>
      </w:r>
      <w:r w:rsidRPr="00D061B9">
        <w:t xml:space="preserve">. </w:t>
      </w:r>
    </w:p>
    <w:p w:rsidR="00856172" w:rsidRPr="00D061B9" w:rsidRDefault="00856172" w:rsidP="00D87FED">
      <w:pPr>
        <w:pStyle w:val="Bulletpoints"/>
        <w:spacing w:after="120"/>
        <w:ind w:left="1135" w:hanging="284"/>
      </w:pPr>
      <w:r w:rsidRPr="00D061B9">
        <w:t xml:space="preserve">The </w:t>
      </w:r>
      <w:proofErr w:type="spellStart"/>
      <w:r w:rsidRPr="00D061B9">
        <w:t>timepoint</w:t>
      </w:r>
      <w:proofErr w:type="spellEnd"/>
      <w:r w:rsidRPr="00D061B9">
        <w:t xml:space="preserve"> for analysis was 12 weeks in Study 295 for </w:t>
      </w:r>
      <w:proofErr w:type="spellStart"/>
      <w:r w:rsidRPr="00D061B9">
        <w:t>erenumab</w:t>
      </w:r>
      <w:proofErr w:type="spellEnd"/>
      <w:r w:rsidRPr="00D061B9">
        <w:t xml:space="preserve"> and 24 weeks for the Botox trials. The resubmission argued that the comparison is conservative, as the open label extension trial Study 255 has shown an improvement in response over time with </w:t>
      </w:r>
      <w:proofErr w:type="spellStart"/>
      <w:r w:rsidRPr="00D061B9">
        <w:t>erenumab</w:t>
      </w:r>
      <w:proofErr w:type="spellEnd"/>
      <w:r w:rsidRPr="00D061B9">
        <w:t>. The</w:t>
      </w:r>
      <w:r w:rsidR="007A74AA">
        <w:t xml:space="preserve"> PBAC noted</w:t>
      </w:r>
      <w:r w:rsidRPr="00D061B9">
        <w:t xml:space="preserve"> evidence from Study 255 was not powered to demonstrate an improvement in </w:t>
      </w:r>
      <w:proofErr w:type="spellStart"/>
      <w:r w:rsidRPr="00D061B9">
        <w:t>erenumab</w:t>
      </w:r>
      <w:proofErr w:type="spellEnd"/>
      <w:r w:rsidRPr="00D061B9">
        <w:t xml:space="preserve"> response over time (incidence of AEs was its primary outcome). </w:t>
      </w:r>
    </w:p>
    <w:p w:rsidR="008A4311" w:rsidRDefault="008A4311" w:rsidP="008C17FD">
      <w:pPr>
        <w:pStyle w:val="ListParagraph"/>
        <w:numPr>
          <w:ilvl w:val="1"/>
          <w:numId w:val="2"/>
        </w:numPr>
        <w:spacing w:after="120"/>
      </w:pPr>
      <w:r w:rsidRPr="00D061B9">
        <w:rPr>
          <w:rFonts w:cs="Calibri"/>
          <w:lang w:val="en-US" w:eastAsia="en-AU"/>
        </w:rPr>
        <w:t xml:space="preserve">The resubmission also provided results for the </w:t>
      </w:r>
      <w:r w:rsidRPr="00D061B9">
        <w:t xml:space="preserve">indirect comparison </w:t>
      </w:r>
      <w:r w:rsidR="003A59F6">
        <w:t>using</w:t>
      </w:r>
      <w:r w:rsidR="003A59F6" w:rsidRPr="00D061B9">
        <w:t xml:space="preserve"> </w:t>
      </w:r>
      <w:r w:rsidRPr="00D061B9">
        <w:t>the overall trial populations</w:t>
      </w:r>
      <w:r w:rsidR="00F10220">
        <w:t xml:space="preserve"> (</w:t>
      </w:r>
      <w:r w:rsidR="00F10220" w:rsidRPr="00DD5D20">
        <w:t>Table 8</w:t>
      </w:r>
      <w:r w:rsidR="00F10220">
        <w:t>)</w:t>
      </w:r>
      <w:r w:rsidRPr="00D061B9">
        <w:t xml:space="preserve">. As for the subgroup population, the indirect comparison of </w:t>
      </w:r>
      <w:proofErr w:type="spellStart"/>
      <w:r w:rsidRPr="00D061B9">
        <w:t>erenumab</w:t>
      </w:r>
      <w:proofErr w:type="spellEnd"/>
      <w:r w:rsidRPr="00D061B9">
        <w:t xml:space="preserve"> and Botox showed no statistically significant difference for change in monthly headache days or proportion of patients with ≥50% reduction in headache days. </w:t>
      </w:r>
      <w:r w:rsidR="003A59F6">
        <w:t>As for</w:t>
      </w:r>
      <w:r w:rsidRPr="00D061B9">
        <w:t xml:space="preserve"> the subgroup comparison</w:t>
      </w:r>
      <w:r w:rsidR="00370DF9">
        <w:t xml:space="preserve"> (</w:t>
      </w:r>
      <w:r w:rsidR="00F10220">
        <w:t>T</w:t>
      </w:r>
      <w:r w:rsidR="00370DF9">
        <w:t>able 7)</w:t>
      </w:r>
      <w:r w:rsidRPr="00D061B9">
        <w:t xml:space="preserve">, the response in the placebo arm of </w:t>
      </w:r>
      <w:r w:rsidRPr="00D061B9">
        <w:lastRenderedPageBreak/>
        <w:t xml:space="preserve">the PREEMPT trials was considerably higher than that observed in the placebo arm of the </w:t>
      </w:r>
      <w:proofErr w:type="spellStart"/>
      <w:r w:rsidRPr="00D061B9">
        <w:t>erenumab</w:t>
      </w:r>
      <w:proofErr w:type="spellEnd"/>
      <w:r w:rsidRPr="00D061B9">
        <w:t xml:space="preserve"> trial</w:t>
      </w:r>
      <w:r w:rsidR="000D1D08" w:rsidRPr="00D061B9">
        <w:t xml:space="preserve"> which may impact on</w:t>
      </w:r>
      <w:r w:rsidR="002537E1" w:rsidRPr="00D061B9">
        <w:t xml:space="preserve"> </w:t>
      </w:r>
      <w:r w:rsidRPr="00D061B9">
        <w:t>the validity of the indirect comparison.</w:t>
      </w:r>
    </w:p>
    <w:p w:rsidR="00CA2F6A" w:rsidRPr="00DD5D20" w:rsidRDefault="00CA2F6A" w:rsidP="00D87FED">
      <w:pPr>
        <w:rPr>
          <w:rStyle w:val="CommentReference"/>
        </w:rPr>
      </w:pPr>
      <w:r w:rsidRPr="00DD5D20">
        <w:rPr>
          <w:rFonts w:ascii="Arial Narrow" w:hAnsi="Arial Narrow"/>
          <w:b/>
          <w:sz w:val="20"/>
          <w:szCs w:val="20"/>
        </w:rPr>
        <w:t xml:space="preserve">Table </w:t>
      </w:r>
      <w:r w:rsidR="00821312">
        <w:rPr>
          <w:rFonts w:ascii="Arial Narrow" w:hAnsi="Arial Narrow"/>
          <w:b/>
          <w:noProof/>
          <w:sz w:val="20"/>
          <w:szCs w:val="20"/>
        </w:rPr>
        <w:t>8</w:t>
      </w:r>
      <w:r w:rsidRPr="00DD5D20">
        <w:rPr>
          <w:rStyle w:val="CommentReference"/>
        </w:rPr>
        <w:t>: Indirect comparisons - change from baseline in monthly headache days and ≥50% reduction in monthly headache days: overall trial population</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905"/>
        <w:gridCol w:w="1749"/>
        <w:gridCol w:w="1365"/>
        <w:gridCol w:w="1286"/>
        <w:gridCol w:w="1287"/>
      </w:tblGrid>
      <w:tr w:rsidR="00CA2F6A" w:rsidRPr="00DD5D20" w:rsidTr="00440EA9">
        <w:trPr>
          <w:tblHeader/>
          <w:jc w:val="center"/>
        </w:trPr>
        <w:tc>
          <w:tcPr>
            <w:tcW w:w="1613" w:type="dxa"/>
            <w:vMerge w:val="restart"/>
            <w:shd w:val="clear" w:color="auto" w:fill="auto"/>
            <w:vAlign w:val="center"/>
          </w:tcPr>
          <w:p w:rsidR="00CA2F6A" w:rsidRPr="00DD5D20" w:rsidRDefault="00CA2F6A" w:rsidP="00D87FED">
            <w:pPr>
              <w:pStyle w:val="Tabletext"/>
              <w:keepNext/>
              <w:rPr>
                <w:b/>
              </w:rPr>
            </w:pPr>
            <w:r w:rsidRPr="00DD5D20">
              <w:rPr>
                <w:b/>
              </w:rPr>
              <w:t>Trial</w:t>
            </w:r>
          </w:p>
        </w:tc>
        <w:tc>
          <w:tcPr>
            <w:tcW w:w="5019" w:type="dxa"/>
            <w:gridSpan w:val="3"/>
            <w:shd w:val="clear" w:color="auto" w:fill="auto"/>
            <w:vAlign w:val="center"/>
          </w:tcPr>
          <w:p w:rsidR="00CA2F6A" w:rsidRPr="00DD5D20" w:rsidRDefault="00CA2F6A" w:rsidP="00D87FED">
            <w:pPr>
              <w:pStyle w:val="Tabletext"/>
              <w:jc w:val="center"/>
              <w:rPr>
                <w:b/>
              </w:rPr>
            </w:pPr>
            <w:r w:rsidRPr="00DD5D20">
              <w:rPr>
                <w:b/>
              </w:rPr>
              <w:t>Mean change from baseline (SD) in monthly headache days</w:t>
            </w:r>
          </w:p>
        </w:tc>
        <w:tc>
          <w:tcPr>
            <w:tcW w:w="2573" w:type="dxa"/>
            <w:gridSpan w:val="2"/>
            <w:vMerge w:val="restart"/>
            <w:shd w:val="clear" w:color="auto" w:fill="auto"/>
            <w:vAlign w:val="center"/>
          </w:tcPr>
          <w:p w:rsidR="00CA2F6A" w:rsidRPr="00DD5D20" w:rsidRDefault="00CA2F6A" w:rsidP="00D87FED">
            <w:pPr>
              <w:pStyle w:val="Tabletext"/>
              <w:jc w:val="center"/>
              <w:rPr>
                <w:b/>
              </w:rPr>
            </w:pPr>
            <w:r w:rsidRPr="00DD5D20">
              <w:rPr>
                <w:b/>
              </w:rPr>
              <w:t>Treatment effect</w:t>
            </w:r>
          </w:p>
          <w:p w:rsidR="00CA2F6A" w:rsidRPr="00DD5D20" w:rsidRDefault="00CA2F6A" w:rsidP="00D87FED">
            <w:pPr>
              <w:pStyle w:val="Tabletext"/>
              <w:jc w:val="center"/>
              <w:rPr>
                <w:b/>
              </w:rPr>
            </w:pPr>
            <w:r w:rsidRPr="00DD5D20">
              <w:rPr>
                <w:b/>
              </w:rPr>
              <w:t>WMD (95% CI)</w:t>
            </w:r>
          </w:p>
        </w:tc>
      </w:tr>
      <w:tr w:rsidR="00CA2F6A" w:rsidRPr="00DD5D20" w:rsidTr="00440EA9">
        <w:trPr>
          <w:tblHeader/>
          <w:jc w:val="center"/>
        </w:trPr>
        <w:tc>
          <w:tcPr>
            <w:tcW w:w="1613" w:type="dxa"/>
            <w:vMerge/>
            <w:shd w:val="clear" w:color="auto" w:fill="auto"/>
            <w:vAlign w:val="center"/>
          </w:tcPr>
          <w:p w:rsidR="00CA2F6A" w:rsidRPr="00DD5D20" w:rsidRDefault="00CA2F6A" w:rsidP="00D87FED">
            <w:pPr>
              <w:pStyle w:val="Tabletext"/>
            </w:pPr>
          </w:p>
        </w:tc>
        <w:tc>
          <w:tcPr>
            <w:tcW w:w="1905" w:type="dxa"/>
            <w:shd w:val="clear" w:color="auto" w:fill="auto"/>
            <w:vAlign w:val="center"/>
          </w:tcPr>
          <w:p w:rsidR="00CA2F6A" w:rsidRPr="00DD5D20" w:rsidRDefault="00CA2F6A" w:rsidP="00D87FED">
            <w:pPr>
              <w:pStyle w:val="Tabletext"/>
              <w:jc w:val="center"/>
              <w:rPr>
                <w:b/>
              </w:rPr>
            </w:pPr>
            <w:proofErr w:type="spellStart"/>
            <w:r w:rsidRPr="00DD5D20">
              <w:rPr>
                <w:b/>
              </w:rPr>
              <w:t>Erenumab</w:t>
            </w:r>
            <w:proofErr w:type="spellEnd"/>
            <w:r w:rsidR="000B7B5B" w:rsidRPr="00DD5D20">
              <w:rPr>
                <w:b/>
              </w:rPr>
              <w:t xml:space="preserve"> 140 mg</w:t>
            </w:r>
          </w:p>
        </w:tc>
        <w:tc>
          <w:tcPr>
            <w:tcW w:w="1749" w:type="dxa"/>
            <w:shd w:val="clear" w:color="auto" w:fill="auto"/>
            <w:vAlign w:val="center"/>
          </w:tcPr>
          <w:p w:rsidR="00CA2F6A" w:rsidRPr="00DD5D20" w:rsidRDefault="00CA2F6A" w:rsidP="00D87FED">
            <w:pPr>
              <w:pStyle w:val="Tabletext"/>
              <w:jc w:val="center"/>
              <w:rPr>
                <w:b/>
              </w:rPr>
            </w:pPr>
            <w:r w:rsidRPr="00DD5D20">
              <w:rPr>
                <w:b/>
              </w:rPr>
              <w:t>Placebo</w:t>
            </w:r>
          </w:p>
        </w:tc>
        <w:tc>
          <w:tcPr>
            <w:tcW w:w="1365" w:type="dxa"/>
            <w:shd w:val="clear" w:color="auto" w:fill="auto"/>
            <w:vAlign w:val="center"/>
          </w:tcPr>
          <w:p w:rsidR="00CA2F6A" w:rsidRPr="00DD5D20" w:rsidRDefault="00CA2F6A" w:rsidP="00D87FED">
            <w:pPr>
              <w:pStyle w:val="Tabletext"/>
              <w:jc w:val="center"/>
              <w:rPr>
                <w:b/>
              </w:rPr>
            </w:pPr>
            <w:r w:rsidRPr="00DD5D20">
              <w:rPr>
                <w:b/>
              </w:rPr>
              <w:t>Botox</w:t>
            </w:r>
          </w:p>
        </w:tc>
        <w:tc>
          <w:tcPr>
            <w:tcW w:w="2573" w:type="dxa"/>
            <w:gridSpan w:val="2"/>
            <w:vMerge/>
            <w:shd w:val="clear" w:color="auto" w:fill="auto"/>
            <w:vAlign w:val="center"/>
          </w:tcPr>
          <w:p w:rsidR="00CA2F6A" w:rsidRPr="00DD5D20" w:rsidRDefault="00CA2F6A" w:rsidP="00D87FED">
            <w:pPr>
              <w:pStyle w:val="Tabletext"/>
              <w:jc w:val="center"/>
            </w:pPr>
          </w:p>
        </w:tc>
      </w:tr>
      <w:tr w:rsidR="00CA2F6A" w:rsidRPr="00440EA9" w:rsidTr="00440EA9">
        <w:trPr>
          <w:jc w:val="center"/>
        </w:trPr>
        <w:tc>
          <w:tcPr>
            <w:tcW w:w="1613" w:type="dxa"/>
            <w:shd w:val="clear" w:color="auto" w:fill="auto"/>
            <w:vAlign w:val="center"/>
          </w:tcPr>
          <w:p w:rsidR="00CA2F6A" w:rsidRPr="00440EA9" w:rsidRDefault="00CA2F6A" w:rsidP="00D87FED">
            <w:pPr>
              <w:pStyle w:val="Tabletext"/>
            </w:pPr>
            <w:r w:rsidRPr="00440EA9">
              <w:t xml:space="preserve">Study 295 </w:t>
            </w:r>
          </w:p>
          <w:p w:rsidR="00CA2F6A" w:rsidRPr="00440EA9" w:rsidRDefault="00CA2F6A" w:rsidP="00D87FED">
            <w:pPr>
              <w:pStyle w:val="Tabletext"/>
            </w:pPr>
            <w:r w:rsidRPr="00440EA9">
              <w:t>(12 weeks)</w:t>
            </w:r>
          </w:p>
        </w:tc>
        <w:tc>
          <w:tcPr>
            <w:tcW w:w="1905" w:type="dxa"/>
            <w:shd w:val="clear" w:color="auto" w:fill="auto"/>
            <w:vAlign w:val="center"/>
          </w:tcPr>
          <w:p w:rsidR="00CA2F6A" w:rsidRPr="00440EA9" w:rsidRDefault="00CA2F6A" w:rsidP="00D87FED">
            <w:pPr>
              <w:pStyle w:val="Tabletext"/>
              <w:jc w:val="center"/>
            </w:pPr>
            <w:r w:rsidRPr="00440EA9">
              <w:t>N=187</w:t>
            </w:r>
          </w:p>
          <w:p w:rsidR="00CA2F6A" w:rsidRPr="00440EA9" w:rsidRDefault="00CA2F6A" w:rsidP="00D87FED">
            <w:pPr>
              <w:pStyle w:val="Tabletext"/>
              <w:jc w:val="center"/>
            </w:pPr>
            <w:r w:rsidRPr="00440EA9">
              <w:t>-7.02 (5.74)</w:t>
            </w:r>
          </w:p>
        </w:tc>
        <w:tc>
          <w:tcPr>
            <w:tcW w:w="1749" w:type="dxa"/>
            <w:shd w:val="clear" w:color="auto" w:fill="auto"/>
            <w:vAlign w:val="center"/>
          </w:tcPr>
          <w:p w:rsidR="00CA2F6A" w:rsidRPr="00440EA9" w:rsidRDefault="00CA2F6A" w:rsidP="00D87FED">
            <w:pPr>
              <w:pStyle w:val="Tabletext"/>
              <w:jc w:val="center"/>
            </w:pPr>
            <w:r w:rsidRPr="00440EA9">
              <w:t>N=281</w:t>
            </w:r>
          </w:p>
          <w:p w:rsidR="00CA2F6A" w:rsidRPr="00440EA9" w:rsidRDefault="00405DA0" w:rsidP="00D87FED">
            <w:pPr>
              <w:pStyle w:val="Tabletext"/>
              <w:jc w:val="center"/>
            </w:pPr>
            <w:r>
              <w:rPr>
                <w:noProof/>
                <w:color w:val="000000"/>
                <w:highlight w:val="black"/>
              </w:rPr>
              <w:t>'''''''''''</w:t>
            </w:r>
            <w:r w:rsidR="00CA2F6A" w:rsidRPr="00440EA9">
              <w:t xml:space="preserve"> (</w:t>
            </w:r>
            <w:r>
              <w:rPr>
                <w:noProof/>
                <w:color w:val="000000"/>
                <w:highlight w:val="black"/>
              </w:rPr>
              <w:t>''''''''''</w:t>
            </w:r>
            <w:r w:rsidR="00440EA9">
              <w:t>)</w:t>
            </w:r>
          </w:p>
        </w:tc>
        <w:tc>
          <w:tcPr>
            <w:tcW w:w="1365" w:type="dxa"/>
            <w:shd w:val="clear" w:color="auto" w:fill="auto"/>
            <w:vAlign w:val="center"/>
          </w:tcPr>
          <w:p w:rsidR="00CA2F6A" w:rsidRPr="00440EA9" w:rsidRDefault="00CA2F6A" w:rsidP="00D87FED">
            <w:pPr>
              <w:pStyle w:val="Tabletext"/>
              <w:jc w:val="center"/>
            </w:pPr>
            <w:r w:rsidRPr="00440EA9">
              <w:t>-</w:t>
            </w:r>
          </w:p>
        </w:tc>
        <w:tc>
          <w:tcPr>
            <w:tcW w:w="2573" w:type="dxa"/>
            <w:gridSpan w:val="2"/>
            <w:shd w:val="clear" w:color="auto" w:fill="auto"/>
            <w:vAlign w:val="center"/>
          </w:tcPr>
          <w:p w:rsidR="00CA2F6A" w:rsidRPr="00440EA9" w:rsidRDefault="00405DA0" w:rsidP="00D87FED">
            <w:pPr>
              <w:pStyle w:val="Tabletext"/>
              <w:jc w:val="center"/>
              <w:rPr>
                <w:b/>
              </w:rPr>
            </w:pPr>
            <w:r>
              <w:rPr>
                <w:b/>
                <w:noProof/>
                <w:color w:val="000000"/>
                <w:highlight w:val="black"/>
              </w:rPr>
              <w:t>'''''''''''</w:t>
            </w:r>
            <w:r w:rsidR="00CA2F6A" w:rsidRPr="00440EA9">
              <w:rPr>
                <w:b/>
              </w:rPr>
              <w:t xml:space="preserve"> (</w:t>
            </w:r>
            <w:r>
              <w:rPr>
                <w:b/>
                <w:noProof/>
                <w:color w:val="000000"/>
                <w:highlight w:val="black"/>
              </w:rPr>
              <w:t>''''''''''</w:t>
            </w:r>
            <w:r w:rsidR="00CA2F6A" w:rsidRPr="00440EA9">
              <w:rPr>
                <w:b/>
              </w:rPr>
              <w:t xml:space="preserve">, </w:t>
            </w:r>
            <w:r>
              <w:rPr>
                <w:b/>
                <w:noProof/>
                <w:color w:val="000000"/>
                <w:highlight w:val="black"/>
              </w:rPr>
              <w:t>'''''''''''</w:t>
            </w:r>
            <w:r w:rsidR="00CA2F6A" w:rsidRPr="00440EA9">
              <w:rPr>
                <w:b/>
              </w:rPr>
              <w:t>)</w:t>
            </w:r>
          </w:p>
        </w:tc>
      </w:tr>
      <w:tr w:rsidR="00CA2F6A" w:rsidRPr="00440EA9" w:rsidTr="00440EA9">
        <w:trPr>
          <w:jc w:val="center"/>
        </w:trPr>
        <w:tc>
          <w:tcPr>
            <w:tcW w:w="1613" w:type="dxa"/>
            <w:shd w:val="clear" w:color="auto" w:fill="auto"/>
            <w:vAlign w:val="center"/>
          </w:tcPr>
          <w:p w:rsidR="00CA2F6A" w:rsidRPr="00440EA9" w:rsidRDefault="00CA2F6A" w:rsidP="00D87FED">
            <w:pPr>
              <w:pStyle w:val="Tabletext"/>
            </w:pPr>
            <w:r w:rsidRPr="00440EA9">
              <w:t>Pooled PREEMPT trials (24 weeks)</w:t>
            </w:r>
          </w:p>
        </w:tc>
        <w:tc>
          <w:tcPr>
            <w:tcW w:w="1905" w:type="dxa"/>
            <w:shd w:val="clear" w:color="auto" w:fill="auto"/>
            <w:vAlign w:val="center"/>
          </w:tcPr>
          <w:p w:rsidR="00CA2F6A" w:rsidRPr="00440EA9" w:rsidRDefault="00CA2F6A" w:rsidP="00D87FED">
            <w:pPr>
              <w:pStyle w:val="Tabletext"/>
              <w:jc w:val="center"/>
            </w:pPr>
            <w:r w:rsidRPr="00440EA9">
              <w:t>-</w:t>
            </w:r>
          </w:p>
        </w:tc>
        <w:tc>
          <w:tcPr>
            <w:tcW w:w="1749" w:type="dxa"/>
            <w:shd w:val="clear" w:color="auto" w:fill="auto"/>
            <w:vAlign w:val="center"/>
          </w:tcPr>
          <w:p w:rsidR="00CA2F6A" w:rsidRPr="00440EA9" w:rsidRDefault="00CA2F6A" w:rsidP="00D87FED">
            <w:pPr>
              <w:pStyle w:val="Tabletext"/>
              <w:jc w:val="center"/>
            </w:pPr>
            <w:r w:rsidRPr="00440EA9">
              <w:t>N=688</w:t>
            </w:r>
          </w:p>
          <w:p w:rsidR="00CA2F6A" w:rsidRPr="00440EA9" w:rsidRDefault="00CA2F6A" w:rsidP="00D87FED">
            <w:pPr>
              <w:pStyle w:val="Tabletext"/>
              <w:jc w:val="center"/>
            </w:pPr>
            <w:r w:rsidRPr="00440EA9">
              <w:t>-6.6 (6.7)</w:t>
            </w:r>
          </w:p>
        </w:tc>
        <w:tc>
          <w:tcPr>
            <w:tcW w:w="1365" w:type="dxa"/>
            <w:shd w:val="clear" w:color="auto" w:fill="auto"/>
            <w:vAlign w:val="center"/>
          </w:tcPr>
          <w:p w:rsidR="00CA2F6A" w:rsidRPr="00440EA9" w:rsidRDefault="00CA2F6A" w:rsidP="00D87FED">
            <w:pPr>
              <w:pStyle w:val="Tabletext"/>
              <w:jc w:val="center"/>
            </w:pPr>
            <w:r w:rsidRPr="00440EA9">
              <w:t>N=696</w:t>
            </w:r>
          </w:p>
          <w:p w:rsidR="00CA2F6A" w:rsidRPr="00440EA9" w:rsidRDefault="00CA2F6A" w:rsidP="00D87FED">
            <w:pPr>
              <w:pStyle w:val="Tabletext"/>
              <w:jc w:val="center"/>
            </w:pPr>
            <w:r w:rsidRPr="00440EA9">
              <w:t>-8.4 (6.6)</w:t>
            </w:r>
          </w:p>
        </w:tc>
        <w:tc>
          <w:tcPr>
            <w:tcW w:w="2573" w:type="dxa"/>
            <w:gridSpan w:val="2"/>
            <w:shd w:val="clear" w:color="auto" w:fill="auto"/>
            <w:vAlign w:val="center"/>
          </w:tcPr>
          <w:p w:rsidR="00CA2F6A" w:rsidRPr="00440EA9" w:rsidRDefault="00CA2F6A" w:rsidP="00D87FED">
            <w:pPr>
              <w:pStyle w:val="Tabletext"/>
              <w:jc w:val="center"/>
              <w:rPr>
                <w:b/>
              </w:rPr>
            </w:pPr>
            <w:r w:rsidRPr="00440EA9">
              <w:rPr>
                <w:b/>
              </w:rPr>
              <w:t>-1.86</w:t>
            </w:r>
            <w:r w:rsidR="008C17FD">
              <w:rPr>
                <w:b/>
              </w:rPr>
              <w:t xml:space="preserve"> </w:t>
            </w:r>
            <w:r w:rsidRPr="00440EA9">
              <w:rPr>
                <w:b/>
              </w:rPr>
              <w:t>(-2.74, -0.98)</w:t>
            </w:r>
          </w:p>
        </w:tc>
      </w:tr>
      <w:tr w:rsidR="00CA2F6A" w:rsidRPr="00440EA9" w:rsidTr="00440EA9">
        <w:trPr>
          <w:jc w:val="center"/>
        </w:trPr>
        <w:tc>
          <w:tcPr>
            <w:tcW w:w="6632" w:type="dxa"/>
            <w:gridSpan w:val="4"/>
            <w:tcBorders>
              <w:bottom w:val="double" w:sz="4" w:space="0" w:color="auto"/>
            </w:tcBorders>
            <w:shd w:val="clear" w:color="auto" w:fill="auto"/>
            <w:vAlign w:val="center"/>
          </w:tcPr>
          <w:p w:rsidR="00CA2F6A" w:rsidRPr="00440EA9" w:rsidRDefault="00CA2F6A" w:rsidP="00D87FED">
            <w:pPr>
              <w:pStyle w:val="Tabletext"/>
              <w:jc w:val="right"/>
              <w:rPr>
                <w:b/>
              </w:rPr>
            </w:pPr>
            <w:r w:rsidRPr="00440EA9">
              <w:rPr>
                <w:b/>
              </w:rPr>
              <w:t>Indirect mean difference (random effects)</w:t>
            </w:r>
          </w:p>
        </w:tc>
        <w:tc>
          <w:tcPr>
            <w:tcW w:w="2573" w:type="dxa"/>
            <w:gridSpan w:val="2"/>
            <w:tcBorders>
              <w:bottom w:val="double" w:sz="4" w:space="0" w:color="auto"/>
            </w:tcBorders>
            <w:shd w:val="clear" w:color="auto" w:fill="auto"/>
            <w:vAlign w:val="center"/>
          </w:tcPr>
          <w:p w:rsidR="00CA2F6A" w:rsidRPr="00440EA9" w:rsidRDefault="00405DA0" w:rsidP="00D87FED">
            <w:pPr>
              <w:pStyle w:val="Tabletext"/>
              <w:jc w:val="center"/>
            </w:pPr>
            <w:r>
              <w:rPr>
                <w:noProof/>
                <w:color w:val="000000"/>
                <w:highlight w:val="black"/>
              </w:rPr>
              <w:t>'''''''''''''</w:t>
            </w:r>
            <w:r w:rsidR="008C17FD">
              <w:t xml:space="preserve"> </w:t>
            </w:r>
            <w:r w:rsidR="00CA2F6A" w:rsidRPr="00440EA9">
              <w:t>(</w:t>
            </w:r>
            <w:r>
              <w:rPr>
                <w:noProof/>
                <w:color w:val="000000"/>
                <w:highlight w:val="black"/>
              </w:rPr>
              <w:t>'''''''''''''</w:t>
            </w:r>
            <w:r w:rsidR="00CA2F6A" w:rsidRPr="00440EA9">
              <w:t xml:space="preserve">, </w:t>
            </w:r>
            <w:r>
              <w:rPr>
                <w:noProof/>
                <w:color w:val="000000"/>
                <w:highlight w:val="black"/>
              </w:rPr>
              <w:t>''''''''''''</w:t>
            </w:r>
            <w:r w:rsidR="00CA2F6A" w:rsidRPr="00440EA9">
              <w:t>)</w:t>
            </w:r>
          </w:p>
        </w:tc>
      </w:tr>
      <w:tr w:rsidR="00CA2F6A" w:rsidRPr="00440EA9" w:rsidTr="00440EA9">
        <w:trPr>
          <w:jc w:val="center"/>
        </w:trPr>
        <w:tc>
          <w:tcPr>
            <w:tcW w:w="1613" w:type="dxa"/>
            <w:vMerge w:val="restart"/>
            <w:tcBorders>
              <w:top w:val="double" w:sz="4" w:space="0" w:color="auto"/>
            </w:tcBorders>
            <w:shd w:val="clear" w:color="auto" w:fill="auto"/>
            <w:vAlign w:val="center"/>
          </w:tcPr>
          <w:p w:rsidR="00CA2F6A" w:rsidRPr="00440EA9" w:rsidRDefault="00CA2F6A" w:rsidP="00D87FED">
            <w:pPr>
              <w:pStyle w:val="Tabletext"/>
            </w:pPr>
          </w:p>
        </w:tc>
        <w:tc>
          <w:tcPr>
            <w:tcW w:w="5019" w:type="dxa"/>
            <w:gridSpan w:val="3"/>
            <w:tcBorders>
              <w:top w:val="double" w:sz="4" w:space="0" w:color="auto"/>
              <w:bottom w:val="single" w:sz="4" w:space="0" w:color="auto"/>
            </w:tcBorders>
            <w:shd w:val="clear" w:color="auto" w:fill="auto"/>
            <w:vAlign w:val="center"/>
          </w:tcPr>
          <w:p w:rsidR="00CA2F6A" w:rsidRPr="00440EA9" w:rsidRDefault="00CA2F6A" w:rsidP="00D87FED">
            <w:pPr>
              <w:pStyle w:val="Tabletext"/>
              <w:jc w:val="center"/>
              <w:rPr>
                <w:b/>
              </w:rPr>
            </w:pPr>
            <w:r w:rsidRPr="00440EA9">
              <w:rPr>
                <w:b/>
              </w:rPr>
              <w:t xml:space="preserve">≥50% reduction in monthly headache days </w:t>
            </w:r>
          </w:p>
          <w:p w:rsidR="00CA2F6A" w:rsidRPr="00440EA9" w:rsidRDefault="00CA2F6A" w:rsidP="00D87FED">
            <w:pPr>
              <w:pStyle w:val="Tabletext"/>
              <w:jc w:val="center"/>
            </w:pPr>
            <w:proofErr w:type="gramStart"/>
            <w:r w:rsidRPr="00440EA9">
              <w:rPr>
                <w:b/>
              </w:rPr>
              <w:t>n</w:t>
            </w:r>
            <w:proofErr w:type="gramEnd"/>
            <w:r w:rsidRPr="00440EA9">
              <w:rPr>
                <w:b/>
              </w:rPr>
              <w:t xml:space="preserve"> with event/N (%)</w:t>
            </w:r>
          </w:p>
        </w:tc>
        <w:tc>
          <w:tcPr>
            <w:tcW w:w="2573" w:type="dxa"/>
            <w:gridSpan w:val="2"/>
            <w:tcBorders>
              <w:top w:val="double" w:sz="4" w:space="0" w:color="auto"/>
            </w:tcBorders>
            <w:shd w:val="clear" w:color="auto" w:fill="auto"/>
            <w:vAlign w:val="center"/>
          </w:tcPr>
          <w:p w:rsidR="00CA2F6A" w:rsidRPr="00440EA9" w:rsidRDefault="00CA2F6A" w:rsidP="00D87FED">
            <w:pPr>
              <w:pStyle w:val="Tabletext"/>
              <w:jc w:val="center"/>
            </w:pPr>
            <w:r w:rsidRPr="00440EA9">
              <w:rPr>
                <w:b/>
              </w:rPr>
              <w:t>Treatment effect</w:t>
            </w:r>
          </w:p>
        </w:tc>
      </w:tr>
      <w:tr w:rsidR="00CA2F6A" w:rsidRPr="00440EA9" w:rsidTr="00440EA9">
        <w:trPr>
          <w:jc w:val="center"/>
        </w:trPr>
        <w:tc>
          <w:tcPr>
            <w:tcW w:w="1613" w:type="dxa"/>
            <w:vMerge/>
            <w:shd w:val="clear" w:color="auto" w:fill="auto"/>
            <w:vAlign w:val="center"/>
          </w:tcPr>
          <w:p w:rsidR="00CA2F6A" w:rsidRPr="00440EA9" w:rsidRDefault="00CA2F6A" w:rsidP="00D87FED">
            <w:pPr>
              <w:pStyle w:val="Tabletext"/>
            </w:pPr>
          </w:p>
        </w:tc>
        <w:tc>
          <w:tcPr>
            <w:tcW w:w="1905" w:type="dxa"/>
            <w:tcBorders>
              <w:top w:val="single" w:sz="4" w:space="0" w:color="auto"/>
            </w:tcBorders>
            <w:shd w:val="clear" w:color="auto" w:fill="auto"/>
            <w:vAlign w:val="center"/>
          </w:tcPr>
          <w:p w:rsidR="00CA2F6A" w:rsidRPr="00440EA9" w:rsidRDefault="00CA2F6A" w:rsidP="00D87FED">
            <w:pPr>
              <w:pStyle w:val="Tabletext"/>
              <w:jc w:val="center"/>
            </w:pPr>
            <w:proofErr w:type="spellStart"/>
            <w:r w:rsidRPr="00440EA9">
              <w:rPr>
                <w:b/>
              </w:rPr>
              <w:t>Erenumab</w:t>
            </w:r>
            <w:proofErr w:type="spellEnd"/>
            <w:r w:rsidR="000B7B5B" w:rsidRPr="00440EA9">
              <w:rPr>
                <w:b/>
              </w:rPr>
              <w:t xml:space="preserve"> 140 mg</w:t>
            </w:r>
          </w:p>
        </w:tc>
        <w:tc>
          <w:tcPr>
            <w:tcW w:w="1749" w:type="dxa"/>
            <w:tcBorders>
              <w:top w:val="single" w:sz="4" w:space="0" w:color="auto"/>
            </w:tcBorders>
            <w:shd w:val="clear" w:color="auto" w:fill="auto"/>
            <w:vAlign w:val="center"/>
          </w:tcPr>
          <w:p w:rsidR="00CA2F6A" w:rsidRPr="00440EA9" w:rsidRDefault="00CA2F6A" w:rsidP="00D87FED">
            <w:pPr>
              <w:pStyle w:val="Tabletext"/>
              <w:jc w:val="center"/>
            </w:pPr>
            <w:r w:rsidRPr="00440EA9">
              <w:rPr>
                <w:b/>
              </w:rPr>
              <w:t>Placebo</w:t>
            </w:r>
          </w:p>
        </w:tc>
        <w:tc>
          <w:tcPr>
            <w:tcW w:w="1365" w:type="dxa"/>
            <w:tcBorders>
              <w:top w:val="single" w:sz="4" w:space="0" w:color="auto"/>
            </w:tcBorders>
            <w:shd w:val="clear" w:color="auto" w:fill="auto"/>
            <w:vAlign w:val="center"/>
          </w:tcPr>
          <w:p w:rsidR="00CA2F6A" w:rsidRPr="00440EA9" w:rsidRDefault="00CA2F6A" w:rsidP="00D87FED">
            <w:pPr>
              <w:pStyle w:val="Tabletext"/>
              <w:jc w:val="center"/>
            </w:pPr>
            <w:r w:rsidRPr="00440EA9">
              <w:rPr>
                <w:b/>
              </w:rPr>
              <w:t>Botox</w:t>
            </w:r>
          </w:p>
        </w:tc>
        <w:tc>
          <w:tcPr>
            <w:tcW w:w="1286" w:type="dxa"/>
            <w:shd w:val="clear" w:color="auto" w:fill="auto"/>
            <w:vAlign w:val="center"/>
          </w:tcPr>
          <w:p w:rsidR="00CA2F6A" w:rsidRPr="00440EA9" w:rsidRDefault="00CA2F6A" w:rsidP="00D87FED">
            <w:pPr>
              <w:pStyle w:val="Tabletext"/>
              <w:jc w:val="center"/>
              <w:rPr>
                <w:b/>
              </w:rPr>
            </w:pPr>
            <w:r w:rsidRPr="00440EA9">
              <w:rPr>
                <w:b/>
              </w:rPr>
              <w:t>OR (95% CI)</w:t>
            </w:r>
          </w:p>
        </w:tc>
        <w:tc>
          <w:tcPr>
            <w:tcW w:w="1287" w:type="dxa"/>
            <w:shd w:val="clear" w:color="auto" w:fill="auto"/>
            <w:vAlign w:val="center"/>
          </w:tcPr>
          <w:p w:rsidR="00CA2F6A" w:rsidRPr="00440EA9" w:rsidRDefault="00CA2F6A" w:rsidP="00D87FED">
            <w:pPr>
              <w:pStyle w:val="Tabletext"/>
              <w:jc w:val="center"/>
              <w:rPr>
                <w:b/>
              </w:rPr>
            </w:pPr>
            <w:r w:rsidRPr="00440EA9">
              <w:rPr>
                <w:b/>
              </w:rPr>
              <w:t>RR (95% CI)</w:t>
            </w:r>
          </w:p>
        </w:tc>
      </w:tr>
      <w:tr w:rsidR="00CA2F6A" w:rsidRPr="00440EA9" w:rsidTr="00440EA9">
        <w:trPr>
          <w:jc w:val="center"/>
        </w:trPr>
        <w:tc>
          <w:tcPr>
            <w:tcW w:w="1613" w:type="dxa"/>
            <w:tcBorders>
              <w:top w:val="single" w:sz="4" w:space="0" w:color="auto"/>
            </w:tcBorders>
            <w:shd w:val="clear" w:color="auto" w:fill="auto"/>
            <w:vAlign w:val="center"/>
          </w:tcPr>
          <w:p w:rsidR="00CA2F6A" w:rsidRPr="00440EA9" w:rsidRDefault="00CA2F6A" w:rsidP="00D87FED">
            <w:pPr>
              <w:pStyle w:val="Tabletext"/>
            </w:pPr>
            <w:r w:rsidRPr="00440EA9">
              <w:t xml:space="preserve">Study 295 </w:t>
            </w:r>
          </w:p>
          <w:p w:rsidR="00CA2F6A" w:rsidRPr="00440EA9" w:rsidRDefault="00CA2F6A" w:rsidP="00D87FED">
            <w:pPr>
              <w:pStyle w:val="Tabletext"/>
            </w:pPr>
            <w:r w:rsidRPr="00440EA9">
              <w:t>(12 weeks)</w:t>
            </w:r>
          </w:p>
        </w:tc>
        <w:tc>
          <w:tcPr>
            <w:tcW w:w="1905" w:type="dxa"/>
            <w:tcBorders>
              <w:top w:val="single" w:sz="4" w:space="0" w:color="auto"/>
            </w:tcBorders>
            <w:shd w:val="clear" w:color="auto" w:fill="auto"/>
            <w:vAlign w:val="center"/>
          </w:tcPr>
          <w:p w:rsidR="00CA2F6A" w:rsidRPr="00440EA9" w:rsidRDefault="00405DA0" w:rsidP="00D87FED">
            <w:pPr>
              <w:pStyle w:val="Tabletext"/>
              <w:jc w:val="center"/>
            </w:pPr>
            <w:r>
              <w:rPr>
                <w:noProof/>
                <w:color w:val="000000"/>
                <w:highlight w:val="black"/>
              </w:rPr>
              <w:t>'''''''</w:t>
            </w:r>
            <w:r w:rsidR="00CA2F6A" w:rsidRPr="00440EA9">
              <w:t>/187 (33.2%)</w:t>
            </w:r>
          </w:p>
        </w:tc>
        <w:tc>
          <w:tcPr>
            <w:tcW w:w="1749" w:type="dxa"/>
            <w:tcBorders>
              <w:top w:val="single" w:sz="4" w:space="0" w:color="auto"/>
            </w:tcBorders>
            <w:shd w:val="clear" w:color="auto" w:fill="auto"/>
            <w:vAlign w:val="center"/>
          </w:tcPr>
          <w:p w:rsidR="00CA2F6A" w:rsidRPr="00440EA9" w:rsidRDefault="00405DA0" w:rsidP="00D87FED">
            <w:pPr>
              <w:pStyle w:val="Tabletext"/>
              <w:jc w:val="center"/>
            </w:pPr>
            <w:r>
              <w:rPr>
                <w:noProof/>
                <w:color w:val="000000"/>
                <w:highlight w:val="black"/>
              </w:rPr>
              <w:t>'''''''</w:t>
            </w:r>
            <w:r w:rsidR="00CA2F6A" w:rsidRPr="00440EA9">
              <w:t>/281 (20.3%)</w:t>
            </w:r>
          </w:p>
        </w:tc>
        <w:tc>
          <w:tcPr>
            <w:tcW w:w="1365" w:type="dxa"/>
            <w:tcBorders>
              <w:top w:val="single" w:sz="4" w:space="0" w:color="auto"/>
            </w:tcBorders>
            <w:shd w:val="clear" w:color="auto" w:fill="auto"/>
            <w:vAlign w:val="center"/>
          </w:tcPr>
          <w:p w:rsidR="00CA2F6A" w:rsidRPr="00440EA9" w:rsidRDefault="00CA2F6A" w:rsidP="00D87FED">
            <w:pPr>
              <w:pStyle w:val="Tabletext"/>
              <w:jc w:val="center"/>
            </w:pPr>
            <w:r w:rsidRPr="00440EA9">
              <w:t>-</w:t>
            </w:r>
          </w:p>
        </w:tc>
        <w:tc>
          <w:tcPr>
            <w:tcW w:w="1286" w:type="dxa"/>
            <w:tcBorders>
              <w:top w:val="single" w:sz="4" w:space="0" w:color="auto"/>
            </w:tcBorders>
            <w:shd w:val="clear" w:color="auto" w:fill="auto"/>
          </w:tcPr>
          <w:p w:rsidR="00CA2F6A" w:rsidRPr="00405DA0" w:rsidRDefault="00405DA0" w:rsidP="00D87FED">
            <w:pPr>
              <w:pStyle w:val="Tabletext"/>
              <w:jc w:val="center"/>
              <w:rPr>
                <w:b/>
                <w:highlight w:val="black"/>
              </w:rPr>
            </w:pPr>
            <w:r>
              <w:rPr>
                <w:b/>
                <w:noProof/>
                <w:color w:val="000000"/>
                <w:highlight w:val="black"/>
              </w:rPr>
              <w:t xml:space="preserve">''''''''' </w:t>
            </w:r>
          </w:p>
          <w:p w:rsidR="00CA2F6A" w:rsidRPr="00440EA9" w:rsidRDefault="00CA2F6A" w:rsidP="00D87FED">
            <w:pPr>
              <w:pStyle w:val="Tabletext"/>
              <w:jc w:val="center"/>
              <w:rPr>
                <w:b/>
              </w:rPr>
            </w:pPr>
            <w:r w:rsidRPr="00440EA9">
              <w:rPr>
                <w:b/>
              </w:rPr>
              <w:t>(</w:t>
            </w:r>
            <w:r w:rsidR="00405DA0">
              <w:rPr>
                <w:b/>
                <w:noProof/>
                <w:color w:val="000000"/>
                <w:highlight w:val="black"/>
              </w:rPr>
              <w:t>'''''''''</w:t>
            </w:r>
            <w:r w:rsidRPr="00440EA9">
              <w:rPr>
                <w:b/>
              </w:rPr>
              <w:t xml:space="preserve">, </w:t>
            </w:r>
            <w:r w:rsidR="00405DA0">
              <w:rPr>
                <w:b/>
                <w:noProof/>
                <w:color w:val="000000"/>
                <w:highlight w:val="black"/>
              </w:rPr>
              <w:t>''''''''''</w:t>
            </w:r>
            <w:r w:rsidRPr="00440EA9">
              <w:rPr>
                <w:b/>
              </w:rPr>
              <w:t>)</w:t>
            </w:r>
          </w:p>
        </w:tc>
        <w:tc>
          <w:tcPr>
            <w:tcW w:w="1287" w:type="dxa"/>
            <w:tcBorders>
              <w:top w:val="single" w:sz="4" w:space="0" w:color="auto"/>
            </w:tcBorders>
            <w:shd w:val="clear" w:color="auto" w:fill="auto"/>
          </w:tcPr>
          <w:p w:rsidR="00CA2F6A" w:rsidRPr="00405DA0" w:rsidRDefault="00405DA0" w:rsidP="00D87FED">
            <w:pPr>
              <w:pStyle w:val="Tabletext"/>
              <w:jc w:val="center"/>
              <w:rPr>
                <w:b/>
                <w:color w:val="000000"/>
                <w:highlight w:val="black"/>
              </w:rPr>
            </w:pPr>
            <w:r>
              <w:rPr>
                <w:b/>
                <w:noProof/>
                <w:color w:val="000000"/>
                <w:highlight w:val="black"/>
              </w:rPr>
              <w:t xml:space="preserve">'''''''' </w:t>
            </w:r>
          </w:p>
          <w:p w:rsidR="00CA2F6A" w:rsidRPr="00440EA9" w:rsidRDefault="00CA2F6A" w:rsidP="00D87FED">
            <w:pPr>
              <w:pStyle w:val="Tabletext"/>
              <w:jc w:val="center"/>
              <w:rPr>
                <w:b/>
              </w:rPr>
            </w:pPr>
            <w:r w:rsidRPr="00440EA9">
              <w:rPr>
                <w:b/>
                <w:color w:val="000000"/>
              </w:rPr>
              <w:t>(</w:t>
            </w:r>
            <w:r w:rsidR="00405DA0">
              <w:rPr>
                <w:b/>
                <w:noProof/>
                <w:color w:val="000000"/>
                <w:highlight w:val="black"/>
              </w:rPr>
              <w:t>''''''''</w:t>
            </w:r>
            <w:r w:rsidRPr="00440EA9">
              <w:rPr>
                <w:b/>
                <w:color w:val="000000"/>
              </w:rPr>
              <w:t xml:space="preserve">, </w:t>
            </w:r>
            <w:r w:rsidR="00405DA0">
              <w:rPr>
                <w:b/>
                <w:noProof/>
                <w:color w:val="000000"/>
                <w:highlight w:val="black"/>
              </w:rPr>
              <w:t>''''''''</w:t>
            </w:r>
            <w:r w:rsidRPr="00440EA9">
              <w:rPr>
                <w:b/>
                <w:color w:val="000000"/>
              </w:rPr>
              <w:t>)</w:t>
            </w:r>
          </w:p>
        </w:tc>
      </w:tr>
      <w:tr w:rsidR="00CA2F6A" w:rsidRPr="00440EA9" w:rsidTr="00440EA9">
        <w:trPr>
          <w:jc w:val="center"/>
        </w:trPr>
        <w:tc>
          <w:tcPr>
            <w:tcW w:w="1613" w:type="dxa"/>
            <w:tcBorders>
              <w:top w:val="single" w:sz="4" w:space="0" w:color="auto"/>
            </w:tcBorders>
            <w:shd w:val="clear" w:color="auto" w:fill="auto"/>
            <w:vAlign w:val="center"/>
          </w:tcPr>
          <w:p w:rsidR="00CA2F6A" w:rsidRPr="00440EA9" w:rsidRDefault="00CA2F6A" w:rsidP="00D87FED">
            <w:pPr>
              <w:pStyle w:val="Tabletext"/>
            </w:pPr>
            <w:r w:rsidRPr="00440EA9">
              <w:t>Pooled PREEMPT trials (24 weeks)</w:t>
            </w:r>
          </w:p>
        </w:tc>
        <w:tc>
          <w:tcPr>
            <w:tcW w:w="1905" w:type="dxa"/>
            <w:tcBorders>
              <w:top w:val="single" w:sz="4" w:space="0" w:color="auto"/>
            </w:tcBorders>
            <w:shd w:val="clear" w:color="auto" w:fill="auto"/>
            <w:vAlign w:val="center"/>
          </w:tcPr>
          <w:p w:rsidR="00CA2F6A" w:rsidRPr="00440EA9" w:rsidRDefault="00CA2F6A" w:rsidP="00D87FED">
            <w:pPr>
              <w:pStyle w:val="Tabletext"/>
              <w:jc w:val="center"/>
            </w:pPr>
            <w:r w:rsidRPr="00440EA9">
              <w:t>-</w:t>
            </w:r>
          </w:p>
        </w:tc>
        <w:tc>
          <w:tcPr>
            <w:tcW w:w="1749" w:type="dxa"/>
            <w:tcBorders>
              <w:top w:val="single" w:sz="4" w:space="0" w:color="auto"/>
            </w:tcBorders>
            <w:shd w:val="clear" w:color="auto" w:fill="auto"/>
            <w:vAlign w:val="center"/>
          </w:tcPr>
          <w:p w:rsidR="00CA2F6A" w:rsidRPr="00440EA9" w:rsidRDefault="00CA2F6A" w:rsidP="00D87FED">
            <w:pPr>
              <w:pStyle w:val="Tabletext"/>
              <w:jc w:val="center"/>
            </w:pPr>
            <w:r w:rsidRPr="00440EA9">
              <w:t>244/696 (35.1%)</w:t>
            </w:r>
          </w:p>
        </w:tc>
        <w:tc>
          <w:tcPr>
            <w:tcW w:w="1365" w:type="dxa"/>
            <w:tcBorders>
              <w:top w:val="single" w:sz="4" w:space="0" w:color="auto"/>
            </w:tcBorders>
            <w:shd w:val="clear" w:color="auto" w:fill="auto"/>
            <w:vAlign w:val="center"/>
          </w:tcPr>
          <w:p w:rsidR="00CA2F6A" w:rsidRPr="00440EA9" w:rsidRDefault="00CA2F6A" w:rsidP="00D87FED">
            <w:pPr>
              <w:pStyle w:val="Tabletext"/>
              <w:jc w:val="center"/>
            </w:pPr>
            <w:r w:rsidRPr="00440EA9">
              <w:t>323/688 (47.0%)</w:t>
            </w:r>
          </w:p>
        </w:tc>
        <w:tc>
          <w:tcPr>
            <w:tcW w:w="1286" w:type="dxa"/>
            <w:tcBorders>
              <w:top w:val="single" w:sz="4" w:space="0" w:color="auto"/>
            </w:tcBorders>
            <w:shd w:val="clear" w:color="auto" w:fill="auto"/>
          </w:tcPr>
          <w:p w:rsidR="00CA2F6A" w:rsidRPr="00440EA9" w:rsidRDefault="00CA2F6A" w:rsidP="00D87FED">
            <w:pPr>
              <w:pStyle w:val="Tabletext"/>
              <w:jc w:val="center"/>
              <w:rPr>
                <w:b/>
              </w:rPr>
            </w:pPr>
            <w:r w:rsidRPr="00440EA9">
              <w:rPr>
                <w:b/>
              </w:rPr>
              <w:t xml:space="preserve">1.64 </w:t>
            </w:r>
          </w:p>
          <w:p w:rsidR="00CA2F6A" w:rsidRPr="00440EA9" w:rsidRDefault="00CA2F6A" w:rsidP="00D87FED">
            <w:pPr>
              <w:pStyle w:val="Tabletext"/>
              <w:jc w:val="center"/>
              <w:rPr>
                <w:b/>
              </w:rPr>
            </w:pPr>
            <w:r w:rsidRPr="00440EA9">
              <w:rPr>
                <w:b/>
              </w:rPr>
              <w:t>(1.32, 2.03)</w:t>
            </w:r>
          </w:p>
        </w:tc>
        <w:tc>
          <w:tcPr>
            <w:tcW w:w="1287" w:type="dxa"/>
            <w:tcBorders>
              <w:top w:val="single" w:sz="4" w:space="0" w:color="auto"/>
            </w:tcBorders>
            <w:shd w:val="clear" w:color="auto" w:fill="auto"/>
          </w:tcPr>
          <w:p w:rsidR="00CA2F6A" w:rsidRPr="00440EA9" w:rsidRDefault="00CA2F6A" w:rsidP="00D87FED">
            <w:pPr>
              <w:pStyle w:val="Tabletext"/>
              <w:jc w:val="center"/>
              <w:rPr>
                <w:b/>
                <w:color w:val="000000"/>
              </w:rPr>
            </w:pPr>
            <w:r w:rsidRPr="00440EA9">
              <w:rPr>
                <w:b/>
                <w:color w:val="000000"/>
              </w:rPr>
              <w:t xml:space="preserve">1.34 </w:t>
            </w:r>
          </w:p>
          <w:p w:rsidR="00CA2F6A" w:rsidRPr="00440EA9" w:rsidRDefault="00CA2F6A" w:rsidP="00D87FED">
            <w:pPr>
              <w:pStyle w:val="Tabletext"/>
              <w:jc w:val="center"/>
              <w:rPr>
                <w:b/>
              </w:rPr>
            </w:pPr>
            <w:r w:rsidRPr="00440EA9">
              <w:rPr>
                <w:b/>
                <w:color w:val="000000"/>
              </w:rPr>
              <w:t>(1.18, 1.52)</w:t>
            </w:r>
          </w:p>
        </w:tc>
      </w:tr>
      <w:tr w:rsidR="00CA2F6A" w:rsidRPr="00440EA9" w:rsidTr="00440EA9">
        <w:trPr>
          <w:jc w:val="center"/>
        </w:trPr>
        <w:tc>
          <w:tcPr>
            <w:tcW w:w="6632" w:type="dxa"/>
            <w:gridSpan w:val="4"/>
            <w:shd w:val="clear" w:color="auto" w:fill="auto"/>
            <w:vAlign w:val="center"/>
          </w:tcPr>
          <w:p w:rsidR="00CA2F6A" w:rsidRPr="00440EA9" w:rsidRDefault="00CA2F6A" w:rsidP="00D87FED">
            <w:pPr>
              <w:pStyle w:val="Tabletext"/>
              <w:jc w:val="right"/>
              <w:rPr>
                <w:b/>
              </w:rPr>
            </w:pPr>
            <w:r w:rsidRPr="00440EA9">
              <w:rPr>
                <w:b/>
              </w:rPr>
              <w:t>Indirect comparison (random effects)</w:t>
            </w:r>
          </w:p>
        </w:tc>
        <w:tc>
          <w:tcPr>
            <w:tcW w:w="1286" w:type="dxa"/>
            <w:shd w:val="clear" w:color="auto" w:fill="auto"/>
            <w:vAlign w:val="center"/>
          </w:tcPr>
          <w:p w:rsidR="00CA2F6A" w:rsidRPr="00405DA0" w:rsidRDefault="00405DA0" w:rsidP="00D87FED">
            <w:pPr>
              <w:pStyle w:val="Tabletext"/>
              <w:jc w:val="center"/>
              <w:rPr>
                <w:highlight w:val="black"/>
              </w:rPr>
            </w:pPr>
            <w:r>
              <w:rPr>
                <w:noProof/>
                <w:color w:val="000000"/>
                <w:highlight w:val="black"/>
              </w:rPr>
              <w:t xml:space="preserve">'''''''''' </w:t>
            </w:r>
          </w:p>
          <w:p w:rsidR="00CA2F6A" w:rsidRPr="00440EA9" w:rsidRDefault="00CA2F6A" w:rsidP="00D87FED">
            <w:pPr>
              <w:pStyle w:val="Tabletext"/>
              <w:jc w:val="center"/>
            </w:pPr>
            <w:r w:rsidRPr="00440EA9">
              <w:t>(</w:t>
            </w:r>
            <w:r w:rsidR="00405DA0">
              <w:rPr>
                <w:noProof/>
                <w:color w:val="000000"/>
                <w:highlight w:val="black"/>
              </w:rPr>
              <w:t>''''''''''</w:t>
            </w:r>
            <w:r w:rsidRPr="00440EA9">
              <w:t xml:space="preserve">, </w:t>
            </w:r>
            <w:r w:rsidR="00405DA0">
              <w:rPr>
                <w:noProof/>
                <w:color w:val="000000"/>
                <w:highlight w:val="black"/>
              </w:rPr>
              <w:t>''''''''''</w:t>
            </w:r>
            <w:r w:rsidRPr="00440EA9">
              <w:t>)</w:t>
            </w:r>
          </w:p>
        </w:tc>
        <w:tc>
          <w:tcPr>
            <w:tcW w:w="1287" w:type="dxa"/>
            <w:shd w:val="clear" w:color="auto" w:fill="auto"/>
            <w:vAlign w:val="center"/>
          </w:tcPr>
          <w:p w:rsidR="00CA2F6A" w:rsidRPr="00405DA0" w:rsidRDefault="00405DA0" w:rsidP="00D87FED">
            <w:pPr>
              <w:pStyle w:val="Tabletext"/>
              <w:jc w:val="center"/>
              <w:rPr>
                <w:highlight w:val="black"/>
              </w:rPr>
            </w:pPr>
            <w:r>
              <w:rPr>
                <w:noProof/>
                <w:color w:val="000000"/>
                <w:highlight w:val="black"/>
              </w:rPr>
              <w:t xml:space="preserve">'''''''''' </w:t>
            </w:r>
          </w:p>
          <w:p w:rsidR="00CA2F6A" w:rsidRPr="00440EA9" w:rsidRDefault="00CA2F6A" w:rsidP="00D87FED">
            <w:pPr>
              <w:pStyle w:val="Tabletext"/>
              <w:jc w:val="center"/>
            </w:pPr>
            <w:r w:rsidRPr="00440EA9">
              <w:t>(</w:t>
            </w:r>
            <w:r w:rsidR="00405DA0">
              <w:rPr>
                <w:noProof/>
                <w:color w:val="000000"/>
                <w:highlight w:val="black"/>
              </w:rPr>
              <w:t>''''''''''</w:t>
            </w:r>
            <w:r w:rsidRPr="00440EA9">
              <w:t xml:space="preserve">, </w:t>
            </w:r>
            <w:r w:rsidR="00405DA0">
              <w:rPr>
                <w:noProof/>
                <w:color w:val="000000"/>
                <w:highlight w:val="black"/>
              </w:rPr>
              <w:t>''''''''''</w:t>
            </w:r>
            <w:r w:rsidRPr="00440EA9">
              <w:t>)</w:t>
            </w:r>
          </w:p>
        </w:tc>
      </w:tr>
    </w:tbl>
    <w:p w:rsidR="00CA2F6A" w:rsidRPr="00440EA9" w:rsidRDefault="00CA2F6A" w:rsidP="00D87FED">
      <w:pPr>
        <w:pStyle w:val="TableFooter"/>
      </w:pPr>
      <w:r w:rsidRPr="00440EA9">
        <w:t>Source: Table 2.39, p78; Table 2.40, p79 of the resubmission.</w:t>
      </w:r>
    </w:p>
    <w:p w:rsidR="00CA2F6A" w:rsidRDefault="00CA2F6A" w:rsidP="00D87FED">
      <w:pPr>
        <w:pStyle w:val="TableFooter"/>
      </w:pPr>
      <w:r w:rsidRPr="00440EA9">
        <w:t>CI=confidence interval; OR=odds ratio; RR=relative risk; SD=standard deviation; WMD=weighted mean difference</w:t>
      </w:r>
    </w:p>
    <w:p w:rsidR="003B127B" w:rsidRPr="00DD5D20" w:rsidRDefault="003B127B" w:rsidP="00D87FED">
      <w:pPr>
        <w:pStyle w:val="TableFooter"/>
        <w:rPr>
          <w:sz w:val="20"/>
        </w:rPr>
      </w:pPr>
    </w:p>
    <w:p w:rsidR="00A874F2" w:rsidRPr="00C9624D" w:rsidRDefault="00A874F2" w:rsidP="00D87FED">
      <w:pPr>
        <w:pStyle w:val="Heading2"/>
      </w:pPr>
      <w:bookmarkStart w:id="9" w:name="_Toc535926558"/>
      <w:r w:rsidRPr="00C9624D">
        <w:t>Comparative harms</w:t>
      </w:r>
      <w:r>
        <w:t xml:space="preserve"> – </w:t>
      </w:r>
      <w:proofErr w:type="spellStart"/>
      <w:r>
        <w:t>erenumab</w:t>
      </w:r>
      <w:proofErr w:type="spellEnd"/>
      <w:r>
        <w:t xml:space="preserve"> vs. </w:t>
      </w:r>
      <w:r w:rsidR="007F4155">
        <w:t>BSC</w:t>
      </w:r>
    </w:p>
    <w:p w:rsidR="00F10220" w:rsidRPr="00780941" w:rsidRDefault="00A874F2" w:rsidP="008C17FD">
      <w:pPr>
        <w:pStyle w:val="ListParagraph"/>
        <w:numPr>
          <w:ilvl w:val="1"/>
          <w:numId w:val="2"/>
        </w:numPr>
        <w:spacing w:after="120"/>
      </w:pPr>
      <w:r w:rsidRPr="00D061B9">
        <w:t xml:space="preserve">The resubmission did not provide any comparisons based on the subgroup </w:t>
      </w:r>
      <w:r w:rsidRPr="00F10220">
        <w:rPr>
          <w:rFonts w:cs="Calibri"/>
          <w:lang w:val="en-US" w:eastAsia="en-AU"/>
        </w:rPr>
        <w:t>population for safety outcomes.</w:t>
      </w:r>
      <w:r w:rsidR="00954BF5">
        <w:t xml:space="preserve"> </w:t>
      </w:r>
      <w:r w:rsidRPr="00DD5D20">
        <w:t>The PSCR presented a</w:t>
      </w:r>
      <w:r w:rsidR="00F10220" w:rsidRPr="00DD5D20">
        <w:t xml:space="preserve"> </w:t>
      </w:r>
      <w:r w:rsidRPr="00DD5D20">
        <w:t xml:space="preserve">comparison of the safety of </w:t>
      </w:r>
      <w:proofErr w:type="spellStart"/>
      <w:r w:rsidRPr="00DD5D20">
        <w:t>erenumab</w:t>
      </w:r>
      <w:proofErr w:type="spellEnd"/>
      <w:r w:rsidRPr="00DD5D20">
        <w:t xml:space="preserve"> </w:t>
      </w:r>
      <w:r w:rsidR="003B127B">
        <w:t xml:space="preserve">140 mg </w:t>
      </w:r>
      <w:r w:rsidRPr="00DD5D20">
        <w:t>and placebo in the ITT population and the subgroup</w:t>
      </w:r>
      <w:r w:rsidRPr="00780941">
        <w:t xml:space="preserve">. </w:t>
      </w:r>
      <w:r w:rsidR="001C12C9">
        <w:t>The PBAC noted</w:t>
      </w:r>
      <w:r w:rsidR="000475ED">
        <w:t>, although based on a small sample size,</w:t>
      </w:r>
      <w:r w:rsidR="001C12C9">
        <w:t xml:space="preserve"> </w:t>
      </w:r>
      <w:r w:rsidR="000475ED">
        <w:t>t</w:t>
      </w:r>
      <w:r w:rsidR="001C12C9" w:rsidRPr="00D061B9">
        <w:t>here was a greater occurrence of any AE for the subgroup population (60.0%</w:t>
      </w:r>
      <w:r w:rsidR="000475ED">
        <w:t>, n=65</w:t>
      </w:r>
      <w:r w:rsidR="001C12C9" w:rsidRPr="00D061B9">
        <w:t>) than had been observed in the overall trial population (46.8%</w:t>
      </w:r>
      <w:r w:rsidR="000475ED">
        <w:t>, n=188</w:t>
      </w:r>
      <w:r w:rsidR="001C12C9" w:rsidRPr="00D061B9">
        <w:t>).</w:t>
      </w:r>
    </w:p>
    <w:p w:rsidR="00A874F2" w:rsidRPr="00F10220" w:rsidRDefault="009111A3" w:rsidP="00D87FED">
      <w:pPr>
        <w:rPr>
          <w:rFonts w:ascii="Arial Narrow" w:hAnsi="Arial Narrow"/>
          <w:b/>
          <w:i/>
          <w:sz w:val="20"/>
          <w:szCs w:val="20"/>
        </w:rPr>
      </w:pPr>
      <w:r>
        <w:rPr>
          <w:rFonts w:ascii="Arial Narrow" w:hAnsi="Arial Narrow"/>
          <w:b/>
          <w:sz w:val="20"/>
          <w:szCs w:val="20"/>
        </w:rPr>
        <w:br w:type="column"/>
      </w:r>
      <w:r w:rsidR="00A874F2" w:rsidRPr="00F10220">
        <w:rPr>
          <w:rFonts w:ascii="Arial Narrow" w:hAnsi="Arial Narrow"/>
          <w:b/>
          <w:sz w:val="20"/>
          <w:szCs w:val="20"/>
        </w:rPr>
        <w:lastRenderedPageBreak/>
        <w:t xml:space="preserve">Table </w:t>
      </w:r>
      <w:r w:rsidR="00821312">
        <w:rPr>
          <w:rFonts w:ascii="Arial Narrow" w:hAnsi="Arial Narrow"/>
          <w:b/>
          <w:noProof/>
          <w:sz w:val="20"/>
          <w:szCs w:val="20"/>
        </w:rPr>
        <w:t>9</w:t>
      </w:r>
      <w:r w:rsidR="00A874F2" w:rsidRPr="00DD5D20">
        <w:rPr>
          <w:rFonts w:ascii="Arial Narrow" w:hAnsi="Arial Narrow"/>
          <w:b/>
          <w:noProof/>
          <w:sz w:val="20"/>
          <w:szCs w:val="20"/>
        </w:rPr>
        <w:t>:</w:t>
      </w:r>
      <w:r w:rsidR="00A874F2" w:rsidRPr="00DD5D20">
        <w:rPr>
          <w:rFonts w:ascii="Arial Narrow" w:hAnsi="Arial Narrow"/>
          <w:b/>
          <w:sz w:val="20"/>
          <w:szCs w:val="20"/>
        </w:rPr>
        <w:t xml:space="preserve"> </w:t>
      </w:r>
      <w:r w:rsidR="000B7B5B" w:rsidRPr="00DD5D20">
        <w:rPr>
          <w:rFonts w:ascii="Arial Narrow" w:hAnsi="Arial Narrow"/>
          <w:b/>
          <w:sz w:val="20"/>
          <w:szCs w:val="20"/>
        </w:rPr>
        <w:t>C</w:t>
      </w:r>
      <w:r w:rsidR="00A874F2" w:rsidRPr="00DD5D20">
        <w:rPr>
          <w:rFonts w:ascii="Arial Narrow" w:hAnsi="Arial Narrow"/>
          <w:b/>
          <w:sz w:val="20"/>
          <w:szCs w:val="20"/>
        </w:rPr>
        <w:t xml:space="preserve">omparison of AEs (total trial population vs subgroup, </w:t>
      </w:r>
      <w:proofErr w:type="spellStart"/>
      <w:r w:rsidR="00A874F2" w:rsidRPr="00DD5D20">
        <w:rPr>
          <w:rFonts w:ascii="Arial Narrow" w:hAnsi="Arial Narrow"/>
          <w:b/>
          <w:sz w:val="20"/>
          <w:szCs w:val="20"/>
        </w:rPr>
        <w:t>erenumab</w:t>
      </w:r>
      <w:proofErr w:type="spellEnd"/>
      <w:r w:rsidR="00A874F2" w:rsidRPr="00DD5D20">
        <w:rPr>
          <w:rFonts w:ascii="Arial Narrow" w:hAnsi="Arial Narrow"/>
          <w:b/>
          <w:sz w:val="20"/>
          <w:szCs w:val="20"/>
        </w:rPr>
        <w:t xml:space="preserve">) </w:t>
      </w:r>
    </w:p>
    <w:tbl>
      <w:tblPr>
        <w:tblStyle w:val="TableGrid"/>
        <w:tblW w:w="4890" w:type="pct"/>
        <w:tblLayout w:type="fixed"/>
        <w:tblLook w:val="04A0" w:firstRow="1" w:lastRow="0" w:firstColumn="1" w:lastColumn="0" w:noHBand="0" w:noVBand="1"/>
        <w:tblCaption w:val="Table 9: Comparison of AEs (total trial population vs subgroup, erenumab) "/>
      </w:tblPr>
      <w:tblGrid>
        <w:gridCol w:w="1699"/>
        <w:gridCol w:w="1134"/>
        <w:gridCol w:w="1273"/>
        <w:gridCol w:w="1138"/>
        <w:gridCol w:w="1132"/>
        <w:gridCol w:w="1134"/>
        <w:gridCol w:w="1309"/>
      </w:tblGrid>
      <w:tr w:rsidR="00A874F2" w:rsidRPr="00DD5D20" w:rsidTr="008C17FD">
        <w:trPr>
          <w:trHeight w:val="276"/>
          <w:tblHeader/>
        </w:trPr>
        <w:tc>
          <w:tcPr>
            <w:tcW w:w="963" w:type="pct"/>
            <w:vMerge w:val="restart"/>
            <w:tcBorders>
              <w:right w:val="single" w:sz="4" w:space="0" w:color="auto"/>
            </w:tcBorders>
            <w:hideMark/>
          </w:tcPr>
          <w:p w:rsidR="00A874F2" w:rsidRPr="0045038A" w:rsidRDefault="00A874F2" w:rsidP="00D87FED">
            <w:pPr>
              <w:pStyle w:val="Tabletext"/>
              <w:rPr>
                <w:b/>
              </w:rPr>
            </w:pPr>
            <w:r w:rsidRPr="0045038A">
              <w:rPr>
                <w:b/>
              </w:rPr>
              <w:t>Item</w:t>
            </w:r>
          </w:p>
        </w:tc>
        <w:tc>
          <w:tcPr>
            <w:tcW w:w="2010" w:type="pct"/>
            <w:gridSpan w:val="3"/>
            <w:tcBorders>
              <w:top w:val="single" w:sz="4" w:space="0" w:color="auto"/>
              <w:left w:val="single" w:sz="4" w:space="0" w:color="auto"/>
              <w:bottom w:val="single" w:sz="4" w:space="0" w:color="auto"/>
              <w:right w:val="single" w:sz="4" w:space="0" w:color="auto"/>
            </w:tcBorders>
            <w:hideMark/>
          </w:tcPr>
          <w:p w:rsidR="00A874F2" w:rsidRPr="0045038A" w:rsidRDefault="000B7B5B" w:rsidP="00D87FED">
            <w:pPr>
              <w:pStyle w:val="Tabletext"/>
              <w:jc w:val="center"/>
              <w:rPr>
                <w:b/>
              </w:rPr>
            </w:pPr>
            <w:r w:rsidRPr="0045038A">
              <w:rPr>
                <w:b/>
              </w:rPr>
              <w:t>Full trial population (ITT)</w:t>
            </w:r>
          </w:p>
        </w:tc>
        <w:tc>
          <w:tcPr>
            <w:tcW w:w="2027" w:type="pct"/>
            <w:gridSpan w:val="3"/>
            <w:tcBorders>
              <w:top w:val="single" w:sz="4" w:space="0" w:color="auto"/>
              <w:left w:val="single" w:sz="4" w:space="0" w:color="auto"/>
              <w:bottom w:val="single" w:sz="4" w:space="0" w:color="auto"/>
              <w:right w:val="single" w:sz="4" w:space="0" w:color="auto"/>
            </w:tcBorders>
          </w:tcPr>
          <w:p w:rsidR="00A874F2" w:rsidRPr="0045038A" w:rsidRDefault="000B7B5B" w:rsidP="00D87FED">
            <w:pPr>
              <w:pStyle w:val="Tabletext"/>
              <w:jc w:val="center"/>
              <w:rPr>
                <w:b/>
              </w:rPr>
            </w:pPr>
            <w:r w:rsidRPr="0045038A">
              <w:rPr>
                <w:b/>
              </w:rPr>
              <w:t>3+ treatment failures</w:t>
            </w:r>
          </w:p>
        </w:tc>
      </w:tr>
      <w:tr w:rsidR="0045038A" w:rsidRPr="00DD5D20" w:rsidTr="008C17FD">
        <w:trPr>
          <w:trHeight w:val="552"/>
          <w:tblHeader/>
        </w:trPr>
        <w:tc>
          <w:tcPr>
            <w:tcW w:w="963" w:type="pct"/>
            <w:vMerge/>
            <w:hideMark/>
          </w:tcPr>
          <w:p w:rsidR="00814820" w:rsidRPr="0045038A" w:rsidRDefault="00814820" w:rsidP="00D87FED">
            <w:pPr>
              <w:pStyle w:val="Tabletext"/>
              <w:rPr>
                <w:b/>
              </w:rPr>
            </w:pPr>
          </w:p>
        </w:tc>
        <w:tc>
          <w:tcPr>
            <w:tcW w:w="643" w:type="pct"/>
            <w:tcBorders>
              <w:top w:val="single" w:sz="4" w:space="0" w:color="auto"/>
              <w:bottom w:val="single" w:sz="4" w:space="0" w:color="auto"/>
            </w:tcBorders>
          </w:tcPr>
          <w:p w:rsidR="00814820" w:rsidRPr="0045038A" w:rsidRDefault="00814820" w:rsidP="00D87FED">
            <w:pPr>
              <w:pStyle w:val="Tabletext"/>
              <w:jc w:val="center"/>
              <w:rPr>
                <w:b/>
              </w:rPr>
            </w:pPr>
            <w:proofErr w:type="spellStart"/>
            <w:r w:rsidRPr="0045038A">
              <w:rPr>
                <w:b/>
              </w:rPr>
              <w:t>Erenumab</w:t>
            </w:r>
            <w:proofErr w:type="spellEnd"/>
            <w:r w:rsidR="000B7B5B" w:rsidRPr="0045038A">
              <w:rPr>
                <w:b/>
              </w:rPr>
              <w:t xml:space="preserve"> 140</w:t>
            </w:r>
            <w:r w:rsidR="008328C0">
              <w:rPr>
                <w:b/>
              </w:rPr>
              <w:t xml:space="preserve"> </w:t>
            </w:r>
            <w:r w:rsidR="000B7B5B" w:rsidRPr="0045038A">
              <w:rPr>
                <w:b/>
              </w:rPr>
              <w:t>mg</w:t>
            </w:r>
          </w:p>
        </w:tc>
        <w:tc>
          <w:tcPr>
            <w:tcW w:w="722" w:type="pct"/>
            <w:tcBorders>
              <w:top w:val="single" w:sz="4" w:space="0" w:color="auto"/>
              <w:bottom w:val="single" w:sz="4" w:space="0" w:color="auto"/>
              <w:right w:val="single" w:sz="4" w:space="0" w:color="auto"/>
            </w:tcBorders>
          </w:tcPr>
          <w:p w:rsidR="00814820" w:rsidRPr="0045038A" w:rsidRDefault="00F10220" w:rsidP="00D87FED">
            <w:pPr>
              <w:pStyle w:val="Tabletext"/>
              <w:jc w:val="center"/>
              <w:rPr>
                <w:b/>
              </w:rPr>
            </w:pPr>
            <w:r w:rsidRPr="0045038A">
              <w:rPr>
                <w:b/>
              </w:rPr>
              <w:t>Placebo</w:t>
            </w:r>
          </w:p>
        </w:tc>
        <w:tc>
          <w:tcPr>
            <w:tcW w:w="645" w:type="pct"/>
            <w:vMerge w:val="restart"/>
            <w:tcBorders>
              <w:top w:val="single" w:sz="4" w:space="0" w:color="auto"/>
              <w:left w:val="single" w:sz="4" w:space="0" w:color="auto"/>
              <w:right w:val="single" w:sz="4" w:space="0" w:color="auto"/>
            </w:tcBorders>
          </w:tcPr>
          <w:p w:rsidR="00814820" w:rsidRPr="0045038A" w:rsidRDefault="00814820" w:rsidP="00D87FED">
            <w:pPr>
              <w:pStyle w:val="Tabletext"/>
              <w:jc w:val="center"/>
              <w:rPr>
                <w:b/>
              </w:rPr>
            </w:pPr>
            <w:r w:rsidRPr="0045038A">
              <w:rPr>
                <w:b/>
              </w:rPr>
              <w:t>OR(95% CI)</w:t>
            </w:r>
          </w:p>
        </w:tc>
        <w:tc>
          <w:tcPr>
            <w:tcW w:w="642" w:type="pct"/>
            <w:tcBorders>
              <w:top w:val="single" w:sz="4" w:space="0" w:color="auto"/>
              <w:left w:val="single" w:sz="4" w:space="0" w:color="auto"/>
              <w:bottom w:val="single" w:sz="4" w:space="0" w:color="auto"/>
            </w:tcBorders>
          </w:tcPr>
          <w:p w:rsidR="00814820" w:rsidRPr="0045038A" w:rsidRDefault="00814820" w:rsidP="00D87FED">
            <w:pPr>
              <w:pStyle w:val="Tabletext"/>
              <w:jc w:val="center"/>
              <w:rPr>
                <w:b/>
              </w:rPr>
            </w:pPr>
            <w:proofErr w:type="spellStart"/>
            <w:r w:rsidRPr="0045038A">
              <w:rPr>
                <w:b/>
              </w:rPr>
              <w:t>Erenumab</w:t>
            </w:r>
            <w:proofErr w:type="spellEnd"/>
            <w:r w:rsidRPr="0045038A">
              <w:rPr>
                <w:b/>
              </w:rPr>
              <w:t xml:space="preserve"> </w:t>
            </w:r>
            <w:r w:rsidR="000B7B5B" w:rsidRPr="0045038A">
              <w:rPr>
                <w:b/>
              </w:rPr>
              <w:t>140</w:t>
            </w:r>
            <w:r w:rsidR="008328C0">
              <w:rPr>
                <w:b/>
              </w:rPr>
              <w:t xml:space="preserve"> </w:t>
            </w:r>
            <w:r w:rsidR="000B7B5B" w:rsidRPr="0045038A">
              <w:rPr>
                <w:b/>
              </w:rPr>
              <w:t>mg</w:t>
            </w:r>
          </w:p>
        </w:tc>
        <w:tc>
          <w:tcPr>
            <w:tcW w:w="643" w:type="pct"/>
            <w:tcBorders>
              <w:top w:val="single" w:sz="4" w:space="0" w:color="auto"/>
              <w:bottom w:val="single" w:sz="4" w:space="0" w:color="auto"/>
              <w:right w:val="single" w:sz="4" w:space="0" w:color="auto"/>
            </w:tcBorders>
            <w:hideMark/>
          </w:tcPr>
          <w:p w:rsidR="00814820" w:rsidRPr="0045038A" w:rsidRDefault="00F10220" w:rsidP="00D87FED">
            <w:pPr>
              <w:pStyle w:val="Tabletext"/>
              <w:jc w:val="center"/>
              <w:rPr>
                <w:b/>
              </w:rPr>
            </w:pPr>
            <w:r w:rsidRPr="0045038A">
              <w:rPr>
                <w:b/>
              </w:rPr>
              <w:t>Placebo</w:t>
            </w:r>
          </w:p>
        </w:tc>
        <w:tc>
          <w:tcPr>
            <w:tcW w:w="742" w:type="pct"/>
            <w:tcBorders>
              <w:top w:val="single" w:sz="4" w:space="0" w:color="auto"/>
              <w:left w:val="single" w:sz="4" w:space="0" w:color="auto"/>
              <w:bottom w:val="nil"/>
              <w:right w:val="single" w:sz="4" w:space="0" w:color="auto"/>
            </w:tcBorders>
          </w:tcPr>
          <w:p w:rsidR="00814820" w:rsidRPr="0045038A" w:rsidRDefault="00814820" w:rsidP="00D87FED">
            <w:pPr>
              <w:pStyle w:val="Tabletext"/>
              <w:jc w:val="center"/>
              <w:rPr>
                <w:b/>
              </w:rPr>
            </w:pPr>
            <w:r w:rsidRPr="0045038A">
              <w:rPr>
                <w:b/>
              </w:rPr>
              <w:t>OR (95% CI)</w:t>
            </w:r>
          </w:p>
        </w:tc>
      </w:tr>
      <w:tr w:rsidR="0045038A" w:rsidRPr="00DD5D20" w:rsidTr="008C17FD">
        <w:trPr>
          <w:trHeight w:val="307"/>
          <w:tblHeader/>
        </w:trPr>
        <w:tc>
          <w:tcPr>
            <w:tcW w:w="963" w:type="pct"/>
            <w:vMerge/>
            <w:tcBorders>
              <w:bottom w:val="single" w:sz="4" w:space="0" w:color="auto"/>
            </w:tcBorders>
            <w:hideMark/>
          </w:tcPr>
          <w:p w:rsidR="00814820" w:rsidRPr="0045038A" w:rsidRDefault="00814820" w:rsidP="00D87FED">
            <w:pPr>
              <w:pStyle w:val="Tabletext"/>
              <w:rPr>
                <w:b/>
              </w:rPr>
            </w:pPr>
          </w:p>
        </w:tc>
        <w:tc>
          <w:tcPr>
            <w:tcW w:w="643" w:type="pct"/>
            <w:tcBorders>
              <w:bottom w:val="single" w:sz="4" w:space="0" w:color="auto"/>
            </w:tcBorders>
          </w:tcPr>
          <w:p w:rsidR="00814820" w:rsidRPr="0045038A" w:rsidRDefault="00814820" w:rsidP="00D87FED">
            <w:pPr>
              <w:pStyle w:val="Tabletext"/>
              <w:jc w:val="center"/>
              <w:rPr>
                <w:b/>
              </w:rPr>
            </w:pPr>
            <w:r w:rsidRPr="0045038A">
              <w:rPr>
                <w:b/>
              </w:rPr>
              <w:t>n/</w:t>
            </w:r>
            <w:proofErr w:type="gramStart"/>
            <w:r w:rsidRPr="0045038A">
              <w:rPr>
                <w:b/>
              </w:rPr>
              <w:t>N(</w:t>
            </w:r>
            <w:proofErr w:type="gramEnd"/>
            <w:r w:rsidRPr="0045038A">
              <w:rPr>
                <w:b/>
              </w:rPr>
              <w:t>%)</w:t>
            </w:r>
          </w:p>
        </w:tc>
        <w:tc>
          <w:tcPr>
            <w:tcW w:w="722" w:type="pct"/>
            <w:tcBorders>
              <w:bottom w:val="single" w:sz="4" w:space="0" w:color="auto"/>
              <w:right w:val="single" w:sz="4" w:space="0" w:color="auto"/>
            </w:tcBorders>
          </w:tcPr>
          <w:p w:rsidR="00814820" w:rsidRPr="0045038A" w:rsidRDefault="00814820" w:rsidP="00D87FED">
            <w:pPr>
              <w:pStyle w:val="Tabletext"/>
              <w:jc w:val="center"/>
              <w:rPr>
                <w:b/>
              </w:rPr>
            </w:pPr>
            <w:r w:rsidRPr="0045038A">
              <w:rPr>
                <w:b/>
              </w:rPr>
              <w:t>n/</w:t>
            </w:r>
            <w:proofErr w:type="gramStart"/>
            <w:r w:rsidRPr="0045038A">
              <w:rPr>
                <w:b/>
              </w:rPr>
              <w:t>N(</w:t>
            </w:r>
            <w:proofErr w:type="gramEnd"/>
            <w:r w:rsidRPr="0045038A">
              <w:rPr>
                <w:b/>
              </w:rPr>
              <w:t>%)</w:t>
            </w:r>
          </w:p>
        </w:tc>
        <w:tc>
          <w:tcPr>
            <w:tcW w:w="645" w:type="pct"/>
            <w:vMerge/>
            <w:tcBorders>
              <w:left w:val="single" w:sz="4" w:space="0" w:color="auto"/>
              <w:bottom w:val="single" w:sz="4" w:space="0" w:color="auto"/>
              <w:right w:val="single" w:sz="4" w:space="0" w:color="auto"/>
            </w:tcBorders>
          </w:tcPr>
          <w:p w:rsidR="00814820" w:rsidRPr="0045038A" w:rsidRDefault="00814820" w:rsidP="00D87FED">
            <w:pPr>
              <w:pStyle w:val="Tabletext"/>
              <w:jc w:val="center"/>
              <w:rPr>
                <w:b/>
              </w:rPr>
            </w:pPr>
          </w:p>
        </w:tc>
        <w:tc>
          <w:tcPr>
            <w:tcW w:w="642" w:type="pct"/>
            <w:tcBorders>
              <w:left w:val="single" w:sz="4" w:space="0" w:color="auto"/>
              <w:bottom w:val="single" w:sz="4" w:space="0" w:color="auto"/>
            </w:tcBorders>
          </w:tcPr>
          <w:p w:rsidR="00814820" w:rsidRPr="0045038A" w:rsidRDefault="00814820" w:rsidP="00D87FED">
            <w:pPr>
              <w:pStyle w:val="Tabletext"/>
              <w:jc w:val="center"/>
              <w:rPr>
                <w:b/>
              </w:rPr>
            </w:pPr>
            <w:r w:rsidRPr="0045038A">
              <w:rPr>
                <w:b/>
              </w:rPr>
              <w:t>n/</w:t>
            </w:r>
            <w:proofErr w:type="gramStart"/>
            <w:r w:rsidRPr="0045038A">
              <w:rPr>
                <w:b/>
              </w:rPr>
              <w:t>N(</w:t>
            </w:r>
            <w:proofErr w:type="gramEnd"/>
            <w:r w:rsidRPr="0045038A">
              <w:rPr>
                <w:b/>
              </w:rPr>
              <w:t>%)</w:t>
            </w:r>
          </w:p>
        </w:tc>
        <w:tc>
          <w:tcPr>
            <w:tcW w:w="643" w:type="pct"/>
            <w:tcBorders>
              <w:bottom w:val="single" w:sz="4" w:space="0" w:color="auto"/>
              <w:right w:val="single" w:sz="4" w:space="0" w:color="auto"/>
            </w:tcBorders>
            <w:hideMark/>
          </w:tcPr>
          <w:p w:rsidR="00814820" w:rsidRPr="0045038A" w:rsidRDefault="00814820" w:rsidP="00D87FED">
            <w:pPr>
              <w:pStyle w:val="Tabletext"/>
              <w:jc w:val="center"/>
              <w:rPr>
                <w:b/>
              </w:rPr>
            </w:pPr>
            <w:r w:rsidRPr="0045038A">
              <w:rPr>
                <w:b/>
              </w:rPr>
              <w:t>n/</w:t>
            </w:r>
            <w:proofErr w:type="gramStart"/>
            <w:r w:rsidRPr="0045038A">
              <w:rPr>
                <w:b/>
              </w:rPr>
              <w:t>N(</w:t>
            </w:r>
            <w:proofErr w:type="gramEnd"/>
            <w:r w:rsidRPr="0045038A">
              <w:rPr>
                <w:b/>
              </w:rPr>
              <w:t>%)</w:t>
            </w:r>
          </w:p>
        </w:tc>
        <w:tc>
          <w:tcPr>
            <w:tcW w:w="742" w:type="pct"/>
            <w:tcBorders>
              <w:top w:val="nil"/>
              <w:left w:val="single" w:sz="4" w:space="0" w:color="auto"/>
              <w:bottom w:val="single" w:sz="4" w:space="0" w:color="auto"/>
              <w:right w:val="single" w:sz="4" w:space="0" w:color="auto"/>
            </w:tcBorders>
          </w:tcPr>
          <w:p w:rsidR="00814820" w:rsidRPr="0045038A" w:rsidRDefault="00814820" w:rsidP="00D87FED">
            <w:pPr>
              <w:pStyle w:val="Tabletext"/>
              <w:jc w:val="center"/>
              <w:rPr>
                <w:b/>
              </w:rPr>
            </w:pPr>
          </w:p>
        </w:tc>
      </w:tr>
      <w:tr w:rsidR="0045038A" w:rsidRPr="00DD5D20" w:rsidTr="0045038A">
        <w:trPr>
          <w:trHeight w:val="436"/>
        </w:trPr>
        <w:tc>
          <w:tcPr>
            <w:tcW w:w="963" w:type="pct"/>
            <w:tcBorders>
              <w:top w:val="single" w:sz="4" w:space="0" w:color="auto"/>
              <w:left w:val="single" w:sz="4" w:space="0" w:color="auto"/>
              <w:bottom w:val="single" w:sz="4" w:space="0" w:color="auto"/>
              <w:right w:val="single" w:sz="4" w:space="0" w:color="auto"/>
            </w:tcBorders>
            <w:hideMark/>
          </w:tcPr>
          <w:p w:rsidR="00814820" w:rsidRPr="0045038A" w:rsidRDefault="00814820" w:rsidP="00D87FED">
            <w:pPr>
              <w:pStyle w:val="Tabletext"/>
            </w:pPr>
            <w:r w:rsidRPr="0045038A">
              <w:t>Any AE</w:t>
            </w:r>
          </w:p>
        </w:tc>
        <w:tc>
          <w:tcPr>
            <w:tcW w:w="643" w:type="pct"/>
            <w:tcBorders>
              <w:top w:val="single" w:sz="4" w:space="0" w:color="auto"/>
              <w:left w:val="single" w:sz="4" w:space="0" w:color="auto"/>
              <w:bottom w:val="single" w:sz="4" w:space="0" w:color="auto"/>
              <w:right w:val="single" w:sz="4" w:space="0" w:color="auto"/>
            </w:tcBorders>
          </w:tcPr>
          <w:p w:rsidR="00814820" w:rsidRPr="0045038A" w:rsidRDefault="00814820" w:rsidP="00D87FED">
            <w:pPr>
              <w:pStyle w:val="Tabletext"/>
              <w:jc w:val="center"/>
            </w:pPr>
            <w:r w:rsidRPr="0045038A">
              <w:t>88/188 (46.81)</w:t>
            </w:r>
          </w:p>
        </w:tc>
        <w:tc>
          <w:tcPr>
            <w:tcW w:w="72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110/282 (39.01)</w:t>
            </w:r>
          </w:p>
        </w:tc>
        <w:tc>
          <w:tcPr>
            <w:tcW w:w="645"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1.38</w:t>
            </w:r>
          </w:p>
          <w:p w:rsidR="00814820" w:rsidRPr="00863E22" w:rsidRDefault="00814820" w:rsidP="00D87FED">
            <w:pPr>
              <w:pStyle w:val="Tabletext"/>
              <w:jc w:val="center"/>
            </w:pPr>
            <w:r w:rsidRPr="00863E22">
              <w:t>(0.95, 2.00)</w:t>
            </w:r>
          </w:p>
        </w:tc>
        <w:tc>
          <w:tcPr>
            <w:tcW w:w="64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39/65</w:t>
            </w:r>
          </w:p>
          <w:p w:rsidR="00814820" w:rsidRPr="00863E22" w:rsidRDefault="00814820" w:rsidP="00D87FED">
            <w:pPr>
              <w:pStyle w:val="Tabletext"/>
              <w:jc w:val="center"/>
            </w:pPr>
            <w:r w:rsidRPr="00863E22">
              <w:t>(60.00)</w:t>
            </w:r>
          </w:p>
        </w:tc>
        <w:tc>
          <w:tcPr>
            <w:tcW w:w="643" w:type="pct"/>
            <w:tcBorders>
              <w:top w:val="single" w:sz="4" w:space="0" w:color="auto"/>
              <w:left w:val="single" w:sz="4" w:space="0" w:color="auto"/>
              <w:bottom w:val="single" w:sz="4" w:space="0" w:color="auto"/>
              <w:right w:val="single" w:sz="4" w:space="0" w:color="auto"/>
            </w:tcBorders>
            <w:hideMark/>
          </w:tcPr>
          <w:p w:rsidR="00814820" w:rsidRPr="00863E22" w:rsidRDefault="00814820" w:rsidP="00D87FED">
            <w:pPr>
              <w:pStyle w:val="Tabletext"/>
              <w:jc w:val="center"/>
            </w:pPr>
            <w:r w:rsidRPr="00863E22">
              <w:t>42/98 (42.86)</w:t>
            </w:r>
          </w:p>
        </w:tc>
        <w:tc>
          <w:tcPr>
            <w:tcW w:w="74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2.</w:t>
            </w:r>
            <w:r w:rsidR="003565B5" w:rsidRPr="00863E22">
              <w:t>00</w:t>
            </w:r>
          </w:p>
          <w:p w:rsidR="00814820" w:rsidRPr="00863E22" w:rsidRDefault="00814820" w:rsidP="00D87FED">
            <w:pPr>
              <w:pStyle w:val="Tabletext"/>
              <w:jc w:val="center"/>
            </w:pPr>
            <w:r w:rsidRPr="00863E22">
              <w:t>(1.06, 3.78)</w:t>
            </w:r>
          </w:p>
        </w:tc>
      </w:tr>
      <w:tr w:rsidR="0045038A" w:rsidRPr="00DD5D20" w:rsidTr="0045038A">
        <w:trPr>
          <w:trHeight w:val="245"/>
        </w:trPr>
        <w:tc>
          <w:tcPr>
            <w:tcW w:w="963" w:type="pct"/>
            <w:tcBorders>
              <w:top w:val="single" w:sz="4" w:space="0" w:color="auto"/>
              <w:left w:val="single" w:sz="4" w:space="0" w:color="auto"/>
              <w:bottom w:val="single" w:sz="4" w:space="0" w:color="auto"/>
              <w:right w:val="single" w:sz="4" w:space="0" w:color="auto"/>
            </w:tcBorders>
            <w:hideMark/>
          </w:tcPr>
          <w:p w:rsidR="00814820" w:rsidRPr="0045038A" w:rsidRDefault="00814820" w:rsidP="00D87FED">
            <w:pPr>
              <w:pStyle w:val="Tabletext"/>
            </w:pPr>
            <w:r w:rsidRPr="0045038A">
              <w:t>Any SAE</w:t>
            </w:r>
          </w:p>
        </w:tc>
        <w:tc>
          <w:tcPr>
            <w:tcW w:w="643" w:type="pct"/>
            <w:tcBorders>
              <w:top w:val="single" w:sz="4" w:space="0" w:color="auto"/>
              <w:left w:val="single" w:sz="4" w:space="0" w:color="auto"/>
              <w:bottom w:val="single" w:sz="4" w:space="0" w:color="auto"/>
              <w:right w:val="single" w:sz="4" w:space="0" w:color="auto"/>
            </w:tcBorders>
          </w:tcPr>
          <w:p w:rsidR="00814820" w:rsidRPr="0045038A" w:rsidRDefault="00814820" w:rsidP="00D87FED">
            <w:pPr>
              <w:pStyle w:val="Tabletext"/>
              <w:jc w:val="center"/>
            </w:pPr>
            <w:r w:rsidRPr="0045038A">
              <w:t>2/188</w:t>
            </w:r>
          </w:p>
          <w:p w:rsidR="00814820" w:rsidRPr="0045038A" w:rsidRDefault="00814820" w:rsidP="00D87FED">
            <w:pPr>
              <w:pStyle w:val="Tabletext"/>
              <w:jc w:val="center"/>
            </w:pPr>
            <w:r w:rsidRPr="0045038A">
              <w:t>(1.06)</w:t>
            </w:r>
          </w:p>
        </w:tc>
        <w:tc>
          <w:tcPr>
            <w:tcW w:w="72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7/282</w:t>
            </w:r>
          </w:p>
          <w:p w:rsidR="00814820" w:rsidRPr="00863E22" w:rsidRDefault="00814820" w:rsidP="00D87FED">
            <w:pPr>
              <w:pStyle w:val="Tabletext"/>
              <w:jc w:val="center"/>
            </w:pPr>
            <w:r w:rsidRPr="00863E22">
              <w:t>(2.48)</w:t>
            </w:r>
          </w:p>
        </w:tc>
        <w:tc>
          <w:tcPr>
            <w:tcW w:w="645"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0.42</w:t>
            </w:r>
          </w:p>
          <w:p w:rsidR="00814820" w:rsidRPr="00863E22" w:rsidRDefault="00814820" w:rsidP="00D87FED">
            <w:pPr>
              <w:pStyle w:val="Tabletext"/>
              <w:jc w:val="center"/>
            </w:pPr>
            <w:r w:rsidRPr="00863E22">
              <w:t>(0.09, 2.06)</w:t>
            </w:r>
          </w:p>
        </w:tc>
        <w:tc>
          <w:tcPr>
            <w:tcW w:w="64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0/65</w:t>
            </w:r>
          </w:p>
          <w:p w:rsidR="00814820" w:rsidRPr="00863E22" w:rsidRDefault="00814820" w:rsidP="00D87FED">
            <w:pPr>
              <w:pStyle w:val="Tabletext"/>
              <w:jc w:val="center"/>
            </w:pPr>
            <w:r w:rsidRPr="00863E22">
              <w:t>(0.00)</w:t>
            </w:r>
          </w:p>
        </w:tc>
        <w:tc>
          <w:tcPr>
            <w:tcW w:w="643" w:type="pct"/>
            <w:tcBorders>
              <w:top w:val="single" w:sz="4" w:space="0" w:color="auto"/>
              <w:left w:val="single" w:sz="4" w:space="0" w:color="auto"/>
              <w:bottom w:val="single" w:sz="4" w:space="0" w:color="auto"/>
              <w:right w:val="single" w:sz="4" w:space="0" w:color="auto"/>
            </w:tcBorders>
            <w:hideMark/>
          </w:tcPr>
          <w:p w:rsidR="00814820" w:rsidRPr="00863E22" w:rsidRDefault="00814820" w:rsidP="00D87FED">
            <w:pPr>
              <w:pStyle w:val="Tabletext"/>
              <w:jc w:val="center"/>
            </w:pPr>
            <w:r w:rsidRPr="00863E22">
              <w:t>3/98</w:t>
            </w:r>
          </w:p>
          <w:p w:rsidR="00814820" w:rsidRPr="00863E22" w:rsidRDefault="00814820" w:rsidP="00D87FED">
            <w:pPr>
              <w:pStyle w:val="Tabletext"/>
              <w:jc w:val="center"/>
            </w:pPr>
            <w:r w:rsidRPr="00863E22">
              <w:t>(3.06)</w:t>
            </w:r>
          </w:p>
        </w:tc>
        <w:tc>
          <w:tcPr>
            <w:tcW w:w="74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0.21</w:t>
            </w:r>
          </w:p>
          <w:p w:rsidR="00814820" w:rsidRPr="00863E22" w:rsidRDefault="00814820" w:rsidP="00D87FED">
            <w:pPr>
              <w:pStyle w:val="Tabletext"/>
              <w:jc w:val="center"/>
            </w:pPr>
            <w:r w:rsidRPr="00863E22">
              <w:t>(0.01, 4.1)</w:t>
            </w:r>
          </w:p>
        </w:tc>
      </w:tr>
      <w:tr w:rsidR="0045038A" w:rsidRPr="00DD5D20" w:rsidTr="0045038A">
        <w:trPr>
          <w:trHeight w:val="643"/>
        </w:trPr>
        <w:tc>
          <w:tcPr>
            <w:tcW w:w="963" w:type="pct"/>
            <w:tcBorders>
              <w:top w:val="single" w:sz="4" w:space="0" w:color="auto"/>
              <w:left w:val="single" w:sz="4" w:space="0" w:color="auto"/>
              <w:bottom w:val="single" w:sz="4" w:space="0" w:color="auto"/>
              <w:right w:val="single" w:sz="4" w:space="0" w:color="auto"/>
            </w:tcBorders>
            <w:hideMark/>
          </w:tcPr>
          <w:p w:rsidR="00814820" w:rsidRPr="0045038A" w:rsidRDefault="00814820" w:rsidP="00D87FED">
            <w:pPr>
              <w:pStyle w:val="Tabletext"/>
            </w:pPr>
            <w:r w:rsidRPr="0045038A">
              <w:t>AE resulting in discontinuation</w:t>
            </w:r>
          </w:p>
        </w:tc>
        <w:tc>
          <w:tcPr>
            <w:tcW w:w="643" w:type="pct"/>
            <w:tcBorders>
              <w:top w:val="single" w:sz="4" w:space="0" w:color="auto"/>
              <w:left w:val="single" w:sz="4" w:space="0" w:color="auto"/>
              <w:bottom w:val="single" w:sz="4" w:space="0" w:color="auto"/>
              <w:right w:val="single" w:sz="4" w:space="0" w:color="auto"/>
            </w:tcBorders>
          </w:tcPr>
          <w:p w:rsidR="00814820" w:rsidRPr="0045038A" w:rsidRDefault="00814820" w:rsidP="00D87FED">
            <w:pPr>
              <w:pStyle w:val="Tabletext"/>
              <w:jc w:val="center"/>
            </w:pPr>
            <w:r w:rsidRPr="0045038A">
              <w:t>2/188</w:t>
            </w:r>
          </w:p>
          <w:p w:rsidR="00814820" w:rsidRPr="0045038A" w:rsidRDefault="00814820" w:rsidP="00D87FED">
            <w:pPr>
              <w:pStyle w:val="Tabletext"/>
              <w:jc w:val="center"/>
            </w:pPr>
            <w:r w:rsidRPr="0045038A">
              <w:t>(1.06)</w:t>
            </w:r>
          </w:p>
        </w:tc>
        <w:tc>
          <w:tcPr>
            <w:tcW w:w="72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2/282</w:t>
            </w:r>
          </w:p>
          <w:p w:rsidR="00814820" w:rsidRPr="00863E22" w:rsidRDefault="00814820" w:rsidP="00D87FED">
            <w:pPr>
              <w:pStyle w:val="Tabletext"/>
              <w:jc w:val="center"/>
            </w:pPr>
            <w:r w:rsidRPr="00863E22">
              <w:t>(0.71)</w:t>
            </w:r>
          </w:p>
        </w:tc>
        <w:tc>
          <w:tcPr>
            <w:tcW w:w="645"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1.51</w:t>
            </w:r>
          </w:p>
          <w:p w:rsidR="00814820" w:rsidRPr="00863E22" w:rsidRDefault="00814820" w:rsidP="00D87FED">
            <w:pPr>
              <w:pStyle w:val="Tabletext"/>
              <w:jc w:val="center"/>
            </w:pPr>
            <w:r w:rsidRPr="00863E22">
              <w:t>(0.21, 10.78)</w:t>
            </w:r>
          </w:p>
        </w:tc>
        <w:tc>
          <w:tcPr>
            <w:tcW w:w="64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0/65</w:t>
            </w:r>
          </w:p>
          <w:p w:rsidR="00814820" w:rsidRPr="00863E22" w:rsidRDefault="00814820" w:rsidP="00D87FED">
            <w:pPr>
              <w:pStyle w:val="Tabletext"/>
              <w:jc w:val="center"/>
            </w:pPr>
            <w:r w:rsidRPr="00863E22">
              <w:t>(0.00)</w:t>
            </w:r>
          </w:p>
        </w:tc>
        <w:tc>
          <w:tcPr>
            <w:tcW w:w="643" w:type="pct"/>
            <w:tcBorders>
              <w:top w:val="single" w:sz="4" w:space="0" w:color="auto"/>
              <w:left w:val="single" w:sz="4" w:space="0" w:color="auto"/>
              <w:bottom w:val="single" w:sz="4" w:space="0" w:color="auto"/>
              <w:right w:val="single" w:sz="4" w:space="0" w:color="auto"/>
            </w:tcBorders>
            <w:hideMark/>
          </w:tcPr>
          <w:p w:rsidR="00814820" w:rsidRPr="00863E22" w:rsidRDefault="00814820" w:rsidP="00D87FED">
            <w:pPr>
              <w:pStyle w:val="Tabletext"/>
              <w:jc w:val="center"/>
            </w:pPr>
            <w:r w:rsidRPr="00863E22">
              <w:t>1/98</w:t>
            </w:r>
          </w:p>
          <w:p w:rsidR="00814820" w:rsidRPr="00863E22" w:rsidRDefault="00814820" w:rsidP="00D87FED">
            <w:pPr>
              <w:pStyle w:val="Tabletext"/>
              <w:jc w:val="center"/>
            </w:pPr>
            <w:r w:rsidRPr="00863E22">
              <w:t>(1.02)</w:t>
            </w:r>
          </w:p>
        </w:tc>
        <w:tc>
          <w:tcPr>
            <w:tcW w:w="742" w:type="pct"/>
            <w:tcBorders>
              <w:top w:val="single" w:sz="4" w:space="0" w:color="auto"/>
              <w:left w:val="single" w:sz="4" w:space="0" w:color="auto"/>
              <w:bottom w:val="single" w:sz="4" w:space="0" w:color="auto"/>
              <w:right w:val="single" w:sz="4" w:space="0" w:color="auto"/>
            </w:tcBorders>
          </w:tcPr>
          <w:p w:rsidR="00814820" w:rsidRPr="00863E22" w:rsidRDefault="00814820" w:rsidP="00D87FED">
            <w:pPr>
              <w:pStyle w:val="Tabletext"/>
              <w:jc w:val="center"/>
            </w:pPr>
            <w:r w:rsidRPr="00863E22">
              <w:t>0.5</w:t>
            </w:r>
          </w:p>
          <w:p w:rsidR="00814820" w:rsidRPr="00863E22" w:rsidRDefault="00814820" w:rsidP="00D87FED">
            <w:pPr>
              <w:pStyle w:val="Tabletext"/>
              <w:jc w:val="center"/>
            </w:pPr>
            <w:r w:rsidRPr="00863E22">
              <w:t>(0.02, 12.37)</w:t>
            </w:r>
          </w:p>
        </w:tc>
      </w:tr>
    </w:tbl>
    <w:p w:rsidR="00A874F2" w:rsidRPr="00DD5D20" w:rsidRDefault="00284D68" w:rsidP="00D87FED">
      <w:pPr>
        <w:pStyle w:val="TableFooter"/>
      </w:pPr>
      <w:r w:rsidRPr="00DD5D20">
        <w:t xml:space="preserve">AE= adverse event </w:t>
      </w:r>
      <w:r w:rsidR="00A874F2" w:rsidRPr="00DD5D20">
        <w:t xml:space="preserve">CI = confidence interval; OR=odds ratio; N = population </w:t>
      </w:r>
      <w:r w:rsidRPr="00DD5D20">
        <w:t>NA=not reported</w:t>
      </w:r>
      <w:r w:rsidR="00A874F2" w:rsidRPr="00DD5D20">
        <w:t>; SAE= serious adverse event;</w:t>
      </w:r>
    </w:p>
    <w:p w:rsidR="00A874F2" w:rsidRPr="00DD5D20" w:rsidRDefault="00A874F2" w:rsidP="00D87FED">
      <w:pPr>
        <w:spacing w:after="240"/>
        <w:rPr>
          <w:rFonts w:ascii="Arial Narrow" w:hAnsi="Arial Narrow"/>
          <w:sz w:val="18"/>
        </w:rPr>
      </w:pPr>
      <w:r w:rsidRPr="00DD5D20">
        <w:rPr>
          <w:rFonts w:ascii="Arial Narrow" w:hAnsi="Arial Narrow"/>
          <w:sz w:val="18"/>
        </w:rPr>
        <w:t xml:space="preserve">Source: </w:t>
      </w:r>
      <w:proofErr w:type="spellStart"/>
      <w:r w:rsidRPr="00DD5D20">
        <w:rPr>
          <w:rFonts w:ascii="Arial Narrow" w:hAnsi="Arial Narrow"/>
          <w:sz w:val="18"/>
        </w:rPr>
        <w:t>Ashina</w:t>
      </w:r>
      <w:proofErr w:type="spellEnd"/>
      <w:r w:rsidRPr="00DD5D20">
        <w:rPr>
          <w:rFonts w:ascii="Arial Narrow" w:hAnsi="Arial Narrow"/>
          <w:sz w:val="18"/>
        </w:rPr>
        <w:t xml:space="preserve"> et al 2018</w:t>
      </w:r>
      <w:r w:rsidR="003A196E" w:rsidRPr="00DD5D20">
        <w:rPr>
          <w:rStyle w:val="FootnoteReference"/>
          <w:rFonts w:ascii="Arial Narrow" w:hAnsi="Arial Narrow"/>
          <w:sz w:val="18"/>
        </w:rPr>
        <w:footnoteReference w:id="3"/>
      </w:r>
      <w:r w:rsidRPr="00DD5D20">
        <w:rPr>
          <w:rFonts w:ascii="Arial Narrow" w:hAnsi="Arial Narrow"/>
          <w:sz w:val="18"/>
        </w:rPr>
        <w:t>, Study 295</w:t>
      </w:r>
    </w:p>
    <w:p w:rsidR="00A874F2" w:rsidRDefault="001C12C9" w:rsidP="008C17FD">
      <w:pPr>
        <w:pStyle w:val="ListParagraph"/>
        <w:numPr>
          <w:ilvl w:val="1"/>
          <w:numId w:val="2"/>
        </w:numPr>
      </w:pPr>
      <w:r>
        <w:t xml:space="preserve">A comparison of safety outcomes for </w:t>
      </w:r>
      <w:proofErr w:type="spellStart"/>
      <w:r w:rsidR="00A874F2" w:rsidRPr="00D061B9">
        <w:t>erenumab</w:t>
      </w:r>
      <w:proofErr w:type="spellEnd"/>
      <w:r w:rsidR="00A874F2" w:rsidRPr="00D061B9">
        <w:t xml:space="preserve"> </w:t>
      </w:r>
      <w:r>
        <w:t xml:space="preserve">140 mg </w:t>
      </w:r>
      <w:r w:rsidR="00A874F2" w:rsidRPr="00D061B9">
        <w:t xml:space="preserve">and placebo based on the overall trial population </w:t>
      </w:r>
      <w:r>
        <w:t>are provided in the table below</w:t>
      </w:r>
      <w:r w:rsidR="00A874F2" w:rsidRPr="00D061B9">
        <w:t xml:space="preserve">. </w:t>
      </w:r>
    </w:p>
    <w:p w:rsidR="00A874F2" w:rsidRDefault="00A874F2" w:rsidP="00D87FED">
      <w:pPr>
        <w:keepNext/>
      </w:pPr>
      <w:r w:rsidRPr="00A05B11">
        <w:rPr>
          <w:rFonts w:ascii="Arial Narrow" w:hAnsi="Arial Narrow"/>
          <w:b/>
          <w:sz w:val="20"/>
          <w:szCs w:val="20"/>
        </w:rPr>
        <w:t xml:space="preserve">Table </w:t>
      </w:r>
      <w:r w:rsidR="00821312">
        <w:rPr>
          <w:rFonts w:ascii="Arial Narrow" w:hAnsi="Arial Narrow"/>
          <w:b/>
          <w:noProof/>
          <w:sz w:val="20"/>
          <w:szCs w:val="20"/>
        </w:rPr>
        <w:t>10</w:t>
      </w:r>
      <w:r w:rsidRPr="00A05B11">
        <w:rPr>
          <w:rFonts w:ascii="Arial Narrow" w:hAnsi="Arial Narrow"/>
          <w:b/>
          <w:sz w:val="20"/>
          <w:szCs w:val="20"/>
        </w:rPr>
        <w:t xml:space="preserve">: </w:t>
      </w:r>
      <w:r>
        <w:rPr>
          <w:rFonts w:ascii="Arial Narrow" w:hAnsi="Arial Narrow"/>
          <w:b/>
          <w:sz w:val="20"/>
          <w:szCs w:val="20"/>
        </w:rPr>
        <w:t>S</w:t>
      </w:r>
      <w:r w:rsidRPr="00EB1A56">
        <w:rPr>
          <w:rFonts w:ascii="Arial Narrow" w:hAnsi="Arial Narrow"/>
          <w:b/>
          <w:sz w:val="20"/>
          <w:szCs w:val="20"/>
        </w:rPr>
        <w:t>afety outcomes in Study 295</w:t>
      </w:r>
      <w:r>
        <w:rPr>
          <w:rFonts w:ascii="Arial Narrow" w:hAnsi="Arial Narrow"/>
          <w:b/>
          <w:sz w:val="20"/>
          <w:szCs w:val="20"/>
        </w:rPr>
        <w:t xml:space="preserve"> – </w:t>
      </w:r>
      <w:proofErr w:type="spellStart"/>
      <w:r>
        <w:rPr>
          <w:rFonts w:ascii="Arial Narrow" w:hAnsi="Arial Narrow"/>
          <w:b/>
          <w:sz w:val="20"/>
          <w:szCs w:val="20"/>
        </w:rPr>
        <w:t>erenumab</w:t>
      </w:r>
      <w:proofErr w:type="spellEnd"/>
      <w:r>
        <w:rPr>
          <w:rFonts w:ascii="Arial Narrow" w:hAnsi="Arial Narrow"/>
          <w:b/>
          <w:sz w:val="20"/>
          <w:szCs w:val="20"/>
        </w:rPr>
        <w:t xml:space="preserve"> vs. </w:t>
      </w:r>
      <w:r w:rsidR="007F4155">
        <w:rPr>
          <w:rFonts w:ascii="Arial Narrow" w:hAnsi="Arial Narrow"/>
          <w:b/>
          <w:sz w:val="20"/>
          <w:szCs w:val="20"/>
        </w:rPr>
        <w:t>BSC</w:t>
      </w:r>
    </w:p>
    <w:tbl>
      <w:tblPr>
        <w:tblStyle w:val="TableGrid"/>
        <w:tblW w:w="0" w:type="auto"/>
        <w:tblCellMar>
          <w:left w:w="28" w:type="dxa"/>
          <w:right w:w="28" w:type="dxa"/>
        </w:tblCellMar>
        <w:tblLook w:val="04A0" w:firstRow="1" w:lastRow="0" w:firstColumn="1" w:lastColumn="0" w:noHBand="0" w:noVBand="1"/>
        <w:tblCaption w:val="Table 10: Safety outcomes in Study 295 – erenumab vs. BSC"/>
      </w:tblPr>
      <w:tblGrid>
        <w:gridCol w:w="2512"/>
        <w:gridCol w:w="1559"/>
        <w:gridCol w:w="1554"/>
        <w:gridCol w:w="1697"/>
        <w:gridCol w:w="1695"/>
      </w:tblGrid>
      <w:tr w:rsidR="00A874F2" w:rsidRPr="00EB1A56" w:rsidTr="00AC3A72">
        <w:trPr>
          <w:tblHeader/>
        </w:trPr>
        <w:tc>
          <w:tcPr>
            <w:tcW w:w="2512" w:type="dxa"/>
            <w:vAlign w:val="center"/>
          </w:tcPr>
          <w:p w:rsidR="00A874F2" w:rsidRPr="00EB1A56" w:rsidRDefault="00A874F2" w:rsidP="00D87FED">
            <w:pPr>
              <w:keepNext/>
              <w:rPr>
                <w:rFonts w:ascii="Arial Narrow" w:hAnsi="Arial Narrow"/>
                <w:b/>
                <w:sz w:val="20"/>
                <w:szCs w:val="20"/>
              </w:rPr>
            </w:pPr>
            <w:r>
              <w:rPr>
                <w:rFonts w:ascii="Arial Narrow" w:hAnsi="Arial Narrow"/>
                <w:b/>
                <w:sz w:val="20"/>
                <w:szCs w:val="20"/>
              </w:rPr>
              <w:t>Outcome</w:t>
            </w:r>
          </w:p>
        </w:tc>
        <w:tc>
          <w:tcPr>
            <w:tcW w:w="1559" w:type="dxa"/>
            <w:vAlign w:val="center"/>
          </w:tcPr>
          <w:p w:rsidR="00A874F2" w:rsidRDefault="00A874F2" w:rsidP="00D87FED">
            <w:pPr>
              <w:keepNext/>
              <w:jc w:val="center"/>
              <w:rPr>
                <w:rFonts w:ascii="Arial Narrow" w:hAnsi="Arial Narrow"/>
                <w:b/>
                <w:sz w:val="20"/>
                <w:szCs w:val="20"/>
              </w:rPr>
            </w:pPr>
            <w:proofErr w:type="spellStart"/>
            <w:r>
              <w:rPr>
                <w:rFonts w:ascii="Arial Narrow" w:hAnsi="Arial Narrow"/>
                <w:b/>
                <w:sz w:val="20"/>
                <w:szCs w:val="20"/>
              </w:rPr>
              <w:t>Erenumab</w:t>
            </w:r>
            <w:proofErr w:type="spellEnd"/>
            <w:r w:rsidR="000B7B5B">
              <w:rPr>
                <w:rFonts w:ascii="Arial Narrow" w:hAnsi="Arial Narrow"/>
                <w:b/>
                <w:sz w:val="20"/>
                <w:szCs w:val="20"/>
              </w:rPr>
              <w:t xml:space="preserve"> 140</w:t>
            </w:r>
            <w:r w:rsidR="008328C0">
              <w:rPr>
                <w:rFonts w:ascii="Arial Narrow" w:hAnsi="Arial Narrow"/>
                <w:b/>
                <w:sz w:val="20"/>
                <w:szCs w:val="20"/>
              </w:rPr>
              <w:t xml:space="preserve"> </w:t>
            </w:r>
            <w:r w:rsidR="000B7B5B">
              <w:rPr>
                <w:rFonts w:ascii="Arial Narrow" w:hAnsi="Arial Narrow"/>
                <w:b/>
                <w:sz w:val="20"/>
                <w:szCs w:val="20"/>
              </w:rPr>
              <w:t>mg</w:t>
            </w:r>
            <w:r>
              <w:rPr>
                <w:rFonts w:ascii="Arial Narrow" w:hAnsi="Arial Narrow"/>
                <w:b/>
                <w:sz w:val="20"/>
                <w:szCs w:val="20"/>
              </w:rPr>
              <w:t xml:space="preserve"> (N=188)</w:t>
            </w:r>
          </w:p>
          <w:p w:rsidR="00A874F2" w:rsidRPr="00EB1A56" w:rsidRDefault="00A874F2" w:rsidP="00D87FED">
            <w:pPr>
              <w:keepNext/>
              <w:jc w:val="center"/>
              <w:rPr>
                <w:rFonts w:ascii="Arial Narrow" w:hAnsi="Arial Narrow"/>
                <w:b/>
                <w:sz w:val="20"/>
                <w:szCs w:val="20"/>
              </w:rPr>
            </w:pPr>
            <w:proofErr w:type="gramStart"/>
            <w:r>
              <w:rPr>
                <w:rFonts w:ascii="Arial Narrow" w:hAnsi="Arial Narrow"/>
                <w:b/>
                <w:sz w:val="20"/>
                <w:szCs w:val="20"/>
              </w:rPr>
              <w:t>n</w:t>
            </w:r>
            <w:proofErr w:type="gramEnd"/>
            <w:r>
              <w:rPr>
                <w:rFonts w:ascii="Arial Narrow" w:hAnsi="Arial Narrow"/>
                <w:b/>
                <w:sz w:val="20"/>
                <w:szCs w:val="20"/>
              </w:rPr>
              <w:t xml:space="preserve"> (%)</w:t>
            </w:r>
          </w:p>
        </w:tc>
        <w:tc>
          <w:tcPr>
            <w:tcW w:w="1554" w:type="dxa"/>
            <w:vAlign w:val="center"/>
          </w:tcPr>
          <w:p w:rsidR="00A874F2" w:rsidRDefault="00A874F2" w:rsidP="00D87FED">
            <w:pPr>
              <w:keepNext/>
              <w:jc w:val="center"/>
              <w:rPr>
                <w:rFonts w:ascii="Arial Narrow" w:hAnsi="Arial Narrow"/>
                <w:b/>
                <w:sz w:val="20"/>
                <w:szCs w:val="20"/>
              </w:rPr>
            </w:pPr>
            <w:r>
              <w:rPr>
                <w:rFonts w:ascii="Arial Narrow" w:hAnsi="Arial Narrow"/>
                <w:b/>
                <w:sz w:val="20"/>
                <w:szCs w:val="20"/>
              </w:rPr>
              <w:t>Placebo (N=282)</w:t>
            </w:r>
          </w:p>
          <w:p w:rsidR="00A874F2" w:rsidRPr="00EB1A56" w:rsidRDefault="00A874F2" w:rsidP="00D87FED">
            <w:pPr>
              <w:keepNext/>
              <w:jc w:val="center"/>
              <w:rPr>
                <w:rFonts w:ascii="Arial Narrow" w:hAnsi="Arial Narrow"/>
                <w:b/>
                <w:sz w:val="20"/>
                <w:szCs w:val="20"/>
              </w:rPr>
            </w:pPr>
            <w:proofErr w:type="gramStart"/>
            <w:r>
              <w:rPr>
                <w:rFonts w:ascii="Arial Narrow" w:hAnsi="Arial Narrow"/>
                <w:b/>
                <w:sz w:val="20"/>
                <w:szCs w:val="20"/>
              </w:rPr>
              <w:t>n</w:t>
            </w:r>
            <w:proofErr w:type="gramEnd"/>
            <w:r>
              <w:rPr>
                <w:rFonts w:ascii="Arial Narrow" w:hAnsi="Arial Narrow"/>
                <w:b/>
                <w:sz w:val="20"/>
                <w:szCs w:val="20"/>
              </w:rPr>
              <w:t xml:space="preserve"> (%)</w:t>
            </w:r>
          </w:p>
        </w:tc>
        <w:tc>
          <w:tcPr>
            <w:tcW w:w="1697" w:type="dxa"/>
            <w:vAlign w:val="center"/>
          </w:tcPr>
          <w:p w:rsidR="00A874F2" w:rsidRDefault="00A874F2" w:rsidP="00D87FED">
            <w:pPr>
              <w:keepNext/>
              <w:jc w:val="center"/>
              <w:rPr>
                <w:rFonts w:ascii="Arial Narrow" w:hAnsi="Arial Narrow"/>
                <w:b/>
                <w:sz w:val="20"/>
                <w:szCs w:val="20"/>
              </w:rPr>
            </w:pPr>
            <w:r>
              <w:rPr>
                <w:rFonts w:ascii="Arial Narrow" w:hAnsi="Arial Narrow"/>
                <w:b/>
                <w:sz w:val="20"/>
                <w:szCs w:val="20"/>
              </w:rPr>
              <w:t xml:space="preserve">RR </w:t>
            </w:r>
          </w:p>
          <w:p w:rsidR="00A874F2" w:rsidRPr="00EB1A56" w:rsidRDefault="00A874F2" w:rsidP="00D87FED">
            <w:pPr>
              <w:keepNext/>
              <w:jc w:val="center"/>
              <w:rPr>
                <w:rFonts w:ascii="Arial Narrow" w:hAnsi="Arial Narrow"/>
                <w:b/>
                <w:sz w:val="20"/>
                <w:szCs w:val="20"/>
              </w:rPr>
            </w:pPr>
            <w:r>
              <w:rPr>
                <w:rFonts w:ascii="Arial Narrow" w:hAnsi="Arial Narrow"/>
                <w:b/>
                <w:sz w:val="20"/>
                <w:szCs w:val="20"/>
              </w:rPr>
              <w:t>(95% CI)</w:t>
            </w:r>
          </w:p>
        </w:tc>
        <w:tc>
          <w:tcPr>
            <w:tcW w:w="1695" w:type="dxa"/>
            <w:vAlign w:val="center"/>
          </w:tcPr>
          <w:p w:rsidR="00A874F2" w:rsidRDefault="00A874F2" w:rsidP="00D87FED">
            <w:pPr>
              <w:keepNext/>
              <w:jc w:val="center"/>
              <w:rPr>
                <w:rFonts w:ascii="Arial Narrow" w:hAnsi="Arial Narrow"/>
                <w:b/>
                <w:sz w:val="20"/>
                <w:szCs w:val="20"/>
              </w:rPr>
            </w:pPr>
            <w:r>
              <w:rPr>
                <w:rFonts w:ascii="Arial Narrow" w:hAnsi="Arial Narrow"/>
                <w:b/>
                <w:sz w:val="20"/>
                <w:szCs w:val="20"/>
              </w:rPr>
              <w:t xml:space="preserve">RD </w:t>
            </w:r>
          </w:p>
          <w:p w:rsidR="00A874F2" w:rsidRPr="00EB1A56" w:rsidRDefault="00A874F2" w:rsidP="00D87FED">
            <w:pPr>
              <w:keepNext/>
              <w:jc w:val="center"/>
              <w:rPr>
                <w:rFonts w:ascii="Arial Narrow" w:hAnsi="Arial Narrow"/>
                <w:b/>
                <w:sz w:val="20"/>
                <w:szCs w:val="20"/>
              </w:rPr>
            </w:pPr>
            <w:r>
              <w:rPr>
                <w:rFonts w:ascii="Arial Narrow" w:hAnsi="Arial Narrow"/>
                <w:b/>
                <w:sz w:val="20"/>
                <w:szCs w:val="20"/>
              </w:rPr>
              <w:t>(95% CI)</w:t>
            </w:r>
          </w:p>
        </w:tc>
      </w:tr>
      <w:tr w:rsidR="00A874F2" w:rsidRPr="008A49DD" w:rsidTr="00AC3A72">
        <w:tc>
          <w:tcPr>
            <w:tcW w:w="2512" w:type="dxa"/>
            <w:vAlign w:val="center"/>
          </w:tcPr>
          <w:p w:rsidR="00A874F2" w:rsidRPr="0046718A" w:rsidRDefault="00A874F2" w:rsidP="00D87FED">
            <w:pPr>
              <w:keepNext/>
              <w:rPr>
                <w:rFonts w:ascii="Arial Narrow" w:hAnsi="Arial Narrow"/>
                <w:sz w:val="20"/>
                <w:szCs w:val="20"/>
              </w:rPr>
            </w:pPr>
            <w:r w:rsidRPr="0046718A">
              <w:rPr>
                <w:rFonts w:ascii="Arial Narrow" w:hAnsi="Arial Narrow"/>
                <w:sz w:val="20"/>
                <w:szCs w:val="20"/>
              </w:rPr>
              <w:t>Any AE</w:t>
            </w:r>
          </w:p>
        </w:tc>
        <w:tc>
          <w:tcPr>
            <w:tcW w:w="1559"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88 (46.8%)</w:t>
            </w:r>
          </w:p>
        </w:tc>
        <w:tc>
          <w:tcPr>
            <w:tcW w:w="1554"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110 (39.0%)</w:t>
            </w:r>
          </w:p>
        </w:tc>
        <w:tc>
          <w:tcPr>
            <w:tcW w:w="1697"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1.2</w:t>
            </w:r>
            <w:r>
              <w:rPr>
                <w:rFonts w:ascii="Arial Narrow" w:hAnsi="Arial Narrow" w:cs="Arial"/>
                <w:sz w:val="20"/>
                <w:szCs w:val="20"/>
              </w:rPr>
              <w:t>0</w:t>
            </w:r>
            <w:r w:rsidRPr="000B7511">
              <w:rPr>
                <w:rFonts w:ascii="Arial Narrow" w:hAnsi="Arial Narrow" w:cs="Arial"/>
                <w:sz w:val="20"/>
                <w:szCs w:val="20"/>
              </w:rPr>
              <w:t xml:space="preserve"> (0.97,</w:t>
            </w:r>
            <w:r>
              <w:rPr>
                <w:rFonts w:ascii="Arial Narrow" w:hAnsi="Arial Narrow" w:cs="Arial"/>
                <w:sz w:val="20"/>
                <w:szCs w:val="20"/>
              </w:rPr>
              <w:t xml:space="preserve"> </w:t>
            </w:r>
            <w:r w:rsidRPr="000B7511">
              <w:rPr>
                <w:rFonts w:ascii="Arial Narrow" w:hAnsi="Arial Narrow" w:cs="Arial"/>
                <w:sz w:val="20"/>
                <w:szCs w:val="20"/>
              </w:rPr>
              <w:t>1.48)</w:t>
            </w:r>
          </w:p>
        </w:tc>
        <w:tc>
          <w:tcPr>
            <w:tcW w:w="1695"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0.08 (-0.01,</w:t>
            </w:r>
            <w:r>
              <w:rPr>
                <w:rFonts w:ascii="Arial Narrow" w:hAnsi="Arial Narrow" w:cs="Arial"/>
                <w:sz w:val="20"/>
                <w:szCs w:val="20"/>
              </w:rPr>
              <w:t xml:space="preserve"> </w:t>
            </w:r>
            <w:r w:rsidRPr="000B7511">
              <w:rPr>
                <w:rFonts w:ascii="Arial Narrow" w:hAnsi="Arial Narrow" w:cs="Arial"/>
                <w:sz w:val="20"/>
                <w:szCs w:val="20"/>
              </w:rPr>
              <w:t>0</w:t>
            </w:r>
            <w:r w:rsidRPr="003565B5">
              <w:rPr>
                <w:rFonts w:ascii="Arial Narrow" w:hAnsi="Arial Narrow" w:cs="Arial"/>
                <w:sz w:val="20"/>
                <w:szCs w:val="20"/>
              </w:rPr>
              <w:t>.</w:t>
            </w:r>
            <w:r w:rsidR="003565B5" w:rsidRPr="003565B5">
              <w:rPr>
                <w:rFonts w:ascii="Arial Narrow" w:hAnsi="Arial Narrow" w:cs="Arial"/>
                <w:sz w:val="20"/>
                <w:szCs w:val="20"/>
              </w:rPr>
              <w:t>17</w:t>
            </w:r>
            <w:r w:rsidRPr="003565B5">
              <w:rPr>
                <w:rFonts w:ascii="Arial Narrow" w:hAnsi="Arial Narrow" w:cs="Arial"/>
                <w:sz w:val="20"/>
                <w:szCs w:val="20"/>
              </w:rPr>
              <w:t>)</w:t>
            </w:r>
          </w:p>
        </w:tc>
      </w:tr>
      <w:tr w:rsidR="00A874F2" w:rsidRPr="008A49DD" w:rsidTr="00AC3A72">
        <w:tc>
          <w:tcPr>
            <w:tcW w:w="2512" w:type="dxa"/>
            <w:vAlign w:val="center"/>
          </w:tcPr>
          <w:p w:rsidR="00A874F2" w:rsidRPr="00EB1A56" w:rsidRDefault="00A874F2" w:rsidP="00D87FED">
            <w:pPr>
              <w:keepNext/>
              <w:rPr>
                <w:rFonts w:ascii="Arial Narrow" w:hAnsi="Arial Narrow"/>
                <w:sz w:val="20"/>
                <w:szCs w:val="20"/>
              </w:rPr>
            </w:pPr>
            <w:r>
              <w:rPr>
                <w:rFonts w:ascii="Arial Narrow" w:hAnsi="Arial Narrow"/>
                <w:sz w:val="20"/>
                <w:szCs w:val="20"/>
              </w:rPr>
              <w:t>SAE</w:t>
            </w:r>
          </w:p>
        </w:tc>
        <w:tc>
          <w:tcPr>
            <w:tcW w:w="1559"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2 (1.</w:t>
            </w:r>
            <w:r>
              <w:rPr>
                <w:rFonts w:ascii="Arial Narrow" w:hAnsi="Arial Narrow"/>
                <w:sz w:val="20"/>
                <w:szCs w:val="20"/>
              </w:rPr>
              <w:t>1</w:t>
            </w:r>
            <w:r w:rsidRPr="00EB1A56">
              <w:rPr>
                <w:rFonts w:ascii="Arial Narrow" w:hAnsi="Arial Narrow"/>
                <w:sz w:val="20"/>
                <w:szCs w:val="20"/>
              </w:rPr>
              <w:t>%)</w:t>
            </w:r>
          </w:p>
        </w:tc>
        <w:tc>
          <w:tcPr>
            <w:tcW w:w="1554"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7 (2.</w:t>
            </w:r>
            <w:r>
              <w:rPr>
                <w:rFonts w:ascii="Arial Narrow" w:hAnsi="Arial Narrow"/>
                <w:sz w:val="20"/>
                <w:szCs w:val="20"/>
              </w:rPr>
              <w:t>5</w:t>
            </w:r>
            <w:r w:rsidRPr="00EB1A56">
              <w:rPr>
                <w:rFonts w:ascii="Arial Narrow" w:hAnsi="Arial Narrow"/>
                <w:sz w:val="20"/>
                <w:szCs w:val="20"/>
              </w:rPr>
              <w:t>%)</w:t>
            </w:r>
          </w:p>
        </w:tc>
        <w:tc>
          <w:tcPr>
            <w:tcW w:w="1697"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0.43 (0.09,</w:t>
            </w:r>
            <w:r>
              <w:rPr>
                <w:rFonts w:ascii="Arial Narrow" w:hAnsi="Arial Narrow" w:cs="Arial"/>
                <w:sz w:val="20"/>
                <w:szCs w:val="20"/>
              </w:rPr>
              <w:t xml:space="preserve"> </w:t>
            </w:r>
            <w:r w:rsidRPr="000B7511">
              <w:rPr>
                <w:rFonts w:ascii="Arial Narrow" w:hAnsi="Arial Narrow" w:cs="Arial"/>
                <w:sz w:val="20"/>
                <w:szCs w:val="20"/>
              </w:rPr>
              <w:t>2.04)</w:t>
            </w:r>
          </w:p>
        </w:tc>
        <w:tc>
          <w:tcPr>
            <w:tcW w:w="1695"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-0.01 (-0.04,</w:t>
            </w:r>
            <w:r>
              <w:rPr>
                <w:rFonts w:ascii="Arial Narrow" w:hAnsi="Arial Narrow" w:cs="Arial"/>
                <w:sz w:val="20"/>
                <w:szCs w:val="20"/>
              </w:rPr>
              <w:t xml:space="preserve"> </w:t>
            </w:r>
            <w:r w:rsidRPr="000B7511">
              <w:rPr>
                <w:rFonts w:ascii="Arial Narrow" w:hAnsi="Arial Narrow" w:cs="Arial"/>
                <w:sz w:val="20"/>
                <w:szCs w:val="20"/>
              </w:rPr>
              <w:t>0.01)</w:t>
            </w:r>
          </w:p>
        </w:tc>
      </w:tr>
      <w:tr w:rsidR="00A874F2" w:rsidRPr="008A49DD" w:rsidTr="00AC3A72">
        <w:tc>
          <w:tcPr>
            <w:tcW w:w="2512" w:type="dxa"/>
            <w:vAlign w:val="center"/>
          </w:tcPr>
          <w:p w:rsidR="00A874F2" w:rsidRPr="00EB1A56" w:rsidRDefault="00A874F2" w:rsidP="00D87FED">
            <w:pPr>
              <w:keepNext/>
              <w:rPr>
                <w:rFonts w:ascii="Arial Narrow" w:hAnsi="Arial Narrow"/>
                <w:sz w:val="20"/>
                <w:szCs w:val="20"/>
              </w:rPr>
            </w:pPr>
            <w:r>
              <w:rPr>
                <w:rFonts w:ascii="Arial Narrow" w:hAnsi="Arial Narrow"/>
                <w:sz w:val="20"/>
                <w:szCs w:val="20"/>
              </w:rPr>
              <w:t>AE resulting in discontinuation</w:t>
            </w:r>
          </w:p>
        </w:tc>
        <w:tc>
          <w:tcPr>
            <w:tcW w:w="1559"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2 (1.</w:t>
            </w:r>
            <w:r>
              <w:rPr>
                <w:rFonts w:ascii="Arial Narrow" w:hAnsi="Arial Narrow"/>
                <w:sz w:val="20"/>
                <w:szCs w:val="20"/>
              </w:rPr>
              <w:t>1</w:t>
            </w:r>
            <w:r w:rsidRPr="00EB1A56">
              <w:rPr>
                <w:rFonts w:ascii="Arial Narrow" w:hAnsi="Arial Narrow"/>
                <w:sz w:val="20"/>
                <w:szCs w:val="20"/>
              </w:rPr>
              <w:t>%)</w:t>
            </w:r>
          </w:p>
        </w:tc>
        <w:tc>
          <w:tcPr>
            <w:tcW w:w="1554"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2 (0.7%)</w:t>
            </w:r>
          </w:p>
        </w:tc>
        <w:tc>
          <w:tcPr>
            <w:tcW w:w="1697"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1.5</w:t>
            </w:r>
            <w:r>
              <w:rPr>
                <w:rFonts w:ascii="Arial Narrow" w:hAnsi="Arial Narrow" w:cs="Arial"/>
                <w:sz w:val="20"/>
                <w:szCs w:val="20"/>
              </w:rPr>
              <w:t>0</w:t>
            </w:r>
            <w:r w:rsidRPr="000B7511">
              <w:rPr>
                <w:rFonts w:ascii="Arial Narrow" w:hAnsi="Arial Narrow" w:cs="Arial"/>
                <w:sz w:val="20"/>
                <w:szCs w:val="20"/>
              </w:rPr>
              <w:t xml:space="preserve"> (0.21,</w:t>
            </w:r>
            <w:r>
              <w:rPr>
                <w:rFonts w:ascii="Arial Narrow" w:hAnsi="Arial Narrow" w:cs="Arial"/>
                <w:sz w:val="20"/>
                <w:szCs w:val="20"/>
              </w:rPr>
              <w:t xml:space="preserve"> </w:t>
            </w:r>
            <w:r w:rsidRPr="000B7511">
              <w:rPr>
                <w:rFonts w:ascii="Arial Narrow" w:hAnsi="Arial Narrow" w:cs="Arial"/>
                <w:sz w:val="20"/>
                <w:szCs w:val="20"/>
              </w:rPr>
              <w:t>10.56)</w:t>
            </w:r>
          </w:p>
        </w:tc>
        <w:tc>
          <w:tcPr>
            <w:tcW w:w="1695"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0</w:t>
            </w:r>
            <w:r>
              <w:rPr>
                <w:rFonts w:ascii="Arial Narrow" w:hAnsi="Arial Narrow" w:cs="Arial"/>
                <w:sz w:val="20"/>
                <w:szCs w:val="20"/>
              </w:rPr>
              <w:t>.00</w:t>
            </w:r>
            <w:r w:rsidRPr="000B7511">
              <w:rPr>
                <w:rFonts w:ascii="Arial Narrow" w:hAnsi="Arial Narrow" w:cs="Arial"/>
                <w:sz w:val="20"/>
                <w:szCs w:val="20"/>
              </w:rPr>
              <w:t xml:space="preserve"> (-0.01,</w:t>
            </w:r>
            <w:r>
              <w:rPr>
                <w:rFonts w:ascii="Arial Narrow" w:hAnsi="Arial Narrow" w:cs="Arial"/>
                <w:sz w:val="20"/>
                <w:szCs w:val="20"/>
              </w:rPr>
              <w:t xml:space="preserve"> </w:t>
            </w:r>
            <w:r w:rsidRPr="000B7511">
              <w:rPr>
                <w:rFonts w:ascii="Arial Narrow" w:hAnsi="Arial Narrow" w:cs="Arial"/>
                <w:sz w:val="20"/>
                <w:szCs w:val="20"/>
              </w:rPr>
              <w:t>0.02)</w:t>
            </w:r>
          </w:p>
        </w:tc>
      </w:tr>
      <w:tr w:rsidR="00A874F2" w:rsidRPr="008A49DD" w:rsidTr="00AC3A72">
        <w:tc>
          <w:tcPr>
            <w:tcW w:w="2512" w:type="dxa"/>
            <w:vAlign w:val="center"/>
          </w:tcPr>
          <w:p w:rsidR="00A874F2" w:rsidRPr="00EB1A56" w:rsidRDefault="00A874F2" w:rsidP="00D87FED">
            <w:pPr>
              <w:keepNext/>
              <w:rPr>
                <w:rFonts w:ascii="Arial Narrow" w:hAnsi="Arial Narrow"/>
                <w:sz w:val="20"/>
                <w:szCs w:val="20"/>
              </w:rPr>
            </w:pPr>
            <w:r>
              <w:rPr>
                <w:rFonts w:ascii="Arial Narrow" w:hAnsi="Arial Narrow"/>
                <w:sz w:val="20"/>
                <w:szCs w:val="20"/>
              </w:rPr>
              <w:t>Death</w:t>
            </w:r>
          </w:p>
        </w:tc>
        <w:tc>
          <w:tcPr>
            <w:tcW w:w="1559"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0</w:t>
            </w:r>
            <w:r>
              <w:rPr>
                <w:rFonts w:ascii="Arial Narrow" w:hAnsi="Arial Narrow"/>
                <w:sz w:val="20"/>
                <w:szCs w:val="20"/>
              </w:rPr>
              <w:t xml:space="preserve"> </w:t>
            </w:r>
            <w:r w:rsidRPr="00EB1A56">
              <w:rPr>
                <w:rFonts w:ascii="Arial Narrow" w:hAnsi="Arial Narrow"/>
                <w:sz w:val="20"/>
                <w:szCs w:val="20"/>
              </w:rPr>
              <w:t>(0%)</w:t>
            </w:r>
          </w:p>
        </w:tc>
        <w:tc>
          <w:tcPr>
            <w:tcW w:w="1554"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0 (0%)</w:t>
            </w:r>
          </w:p>
        </w:tc>
        <w:tc>
          <w:tcPr>
            <w:tcW w:w="1697" w:type="dxa"/>
            <w:vAlign w:val="center"/>
          </w:tcPr>
          <w:p w:rsidR="00A874F2" w:rsidRPr="008A49DD" w:rsidRDefault="00A874F2" w:rsidP="00D87FED">
            <w:pPr>
              <w:keepNext/>
              <w:jc w:val="center"/>
              <w:rPr>
                <w:rFonts w:ascii="Arial Narrow" w:hAnsi="Arial Narrow"/>
                <w:sz w:val="20"/>
                <w:szCs w:val="20"/>
              </w:rPr>
            </w:pPr>
            <w:r w:rsidRPr="008A49DD">
              <w:rPr>
                <w:rFonts w:ascii="Arial Narrow" w:hAnsi="Arial Narrow" w:cs="Arial"/>
                <w:sz w:val="20"/>
                <w:szCs w:val="20"/>
              </w:rPr>
              <w:t>-</w:t>
            </w:r>
          </w:p>
        </w:tc>
        <w:tc>
          <w:tcPr>
            <w:tcW w:w="1695" w:type="dxa"/>
            <w:vAlign w:val="center"/>
          </w:tcPr>
          <w:p w:rsidR="00A874F2" w:rsidRPr="008A49DD" w:rsidRDefault="00A874F2" w:rsidP="00D87FED">
            <w:pPr>
              <w:keepNext/>
              <w:jc w:val="center"/>
              <w:rPr>
                <w:rFonts w:ascii="Arial Narrow" w:hAnsi="Arial Narrow"/>
                <w:sz w:val="20"/>
                <w:szCs w:val="20"/>
              </w:rPr>
            </w:pPr>
            <w:r w:rsidRPr="008A49DD">
              <w:rPr>
                <w:rFonts w:ascii="Arial Narrow" w:hAnsi="Arial Narrow" w:cs="Arial"/>
                <w:sz w:val="20"/>
                <w:szCs w:val="20"/>
              </w:rPr>
              <w:t>-</w:t>
            </w:r>
          </w:p>
        </w:tc>
      </w:tr>
      <w:tr w:rsidR="001C12C9" w:rsidRPr="008A49DD" w:rsidTr="007025AC">
        <w:tc>
          <w:tcPr>
            <w:tcW w:w="9017" w:type="dxa"/>
            <w:gridSpan w:val="5"/>
            <w:vAlign w:val="center"/>
          </w:tcPr>
          <w:p w:rsidR="001C12C9" w:rsidRPr="001C12C9" w:rsidRDefault="001C12C9" w:rsidP="00D87FED">
            <w:pPr>
              <w:keepNext/>
              <w:jc w:val="left"/>
              <w:rPr>
                <w:rFonts w:ascii="Arial Narrow" w:hAnsi="Arial Narrow" w:cs="Arial"/>
                <w:b/>
                <w:sz w:val="20"/>
                <w:szCs w:val="20"/>
              </w:rPr>
            </w:pPr>
            <w:r w:rsidRPr="001C12C9">
              <w:rPr>
                <w:rFonts w:ascii="Arial Narrow" w:hAnsi="Arial Narrow"/>
                <w:b/>
                <w:sz w:val="20"/>
                <w:szCs w:val="20"/>
              </w:rPr>
              <w:t>Treatment-emergent AEs in ≥ 2% patients</w:t>
            </w:r>
          </w:p>
        </w:tc>
      </w:tr>
      <w:tr w:rsidR="00A874F2" w:rsidRPr="008A49DD" w:rsidTr="00AC3A72">
        <w:tc>
          <w:tcPr>
            <w:tcW w:w="2512" w:type="dxa"/>
            <w:vAlign w:val="center"/>
          </w:tcPr>
          <w:p w:rsidR="00A874F2" w:rsidRPr="00EB1A56" w:rsidRDefault="00A874F2" w:rsidP="00D87FED">
            <w:pPr>
              <w:keepNext/>
              <w:rPr>
                <w:rFonts w:ascii="Arial Narrow" w:hAnsi="Arial Narrow"/>
                <w:sz w:val="20"/>
                <w:szCs w:val="20"/>
              </w:rPr>
            </w:pPr>
            <w:r>
              <w:rPr>
                <w:rFonts w:ascii="Arial Narrow" w:hAnsi="Arial Narrow"/>
                <w:sz w:val="20"/>
                <w:szCs w:val="20"/>
              </w:rPr>
              <w:t>Injection site pain</w:t>
            </w:r>
          </w:p>
        </w:tc>
        <w:tc>
          <w:tcPr>
            <w:tcW w:w="1559"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 xml:space="preserve">7 (3.72%) </w:t>
            </w:r>
          </w:p>
        </w:tc>
        <w:tc>
          <w:tcPr>
            <w:tcW w:w="1554" w:type="dxa"/>
            <w:vAlign w:val="center"/>
          </w:tcPr>
          <w:p w:rsidR="00A874F2" w:rsidRPr="00EB1A56" w:rsidRDefault="00A874F2" w:rsidP="00D87FED">
            <w:pPr>
              <w:keepNext/>
              <w:jc w:val="center"/>
              <w:rPr>
                <w:rFonts w:ascii="Arial Narrow" w:hAnsi="Arial Narrow"/>
                <w:sz w:val="20"/>
                <w:szCs w:val="20"/>
              </w:rPr>
            </w:pPr>
            <w:r w:rsidRPr="00EB1A56">
              <w:rPr>
                <w:rFonts w:ascii="Arial Narrow" w:hAnsi="Arial Narrow"/>
                <w:sz w:val="20"/>
                <w:szCs w:val="20"/>
              </w:rPr>
              <w:t>3 (1.06%)</w:t>
            </w:r>
          </w:p>
        </w:tc>
        <w:tc>
          <w:tcPr>
            <w:tcW w:w="1697"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3.5 (0.92,</w:t>
            </w:r>
            <w:r>
              <w:rPr>
                <w:rFonts w:ascii="Arial Narrow" w:hAnsi="Arial Narrow" w:cs="Arial"/>
                <w:sz w:val="20"/>
                <w:szCs w:val="20"/>
              </w:rPr>
              <w:t xml:space="preserve"> </w:t>
            </w:r>
            <w:r w:rsidRPr="000B7511">
              <w:rPr>
                <w:rFonts w:ascii="Arial Narrow" w:hAnsi="Arial Narrow" w:cs="Arial"/>
                <w:sz w:val="20"/>
                <w:szCs w:val="20"/>
              </w:rPr>
              <w:t>13.36)</w:t>
            </w:r>
          </w:p>
        </w:tc>
        <w:tc>
          <w:tcPr>
            <w:tcW w:w="1695" w:type="dxa"/>
            <w:vAlign w:val="center"/>
          </w:tcPr>
          <w:p w:rsidR="00A874F2" w:rsidRPr="008A49DD" w:rsidRDefault="00A874F2" w:rsidP="00D87FED">
            <w:pPr>
              <w:keepNext/>
              <w:jc w:val="center"/>
              <w:rPr>
                <w:rFonts w:ascii="Arial Narrow" w:hAnsi="Arial Narrow"/>
                <w:sz w:val="20"/>
                <w:szCs w:val="20"/>
              </w:rPr>
            </w:pPr>
            <w:r w:rsidRPr="000B7511">
              <w:rPr>
                <w:rFonts w:ascii="Arial Narrow" w:hAnsi="Arial Narrow" w:cs="Arial"/>
                <w:sz w:val="20"/>
                <w:szCs w:val="20"/>
              </w:rPr>
              <w:t>0.03 (0</w:t>
            </w:r>
            <w:r>
              <w:rPr>
                <w:rFonts w:ascii="Arial Narrow" w:hAnsi="Arial Narrow" w:cs="Arial"/>
                <w:sz w:val="20"/>
                <w:szCs w:val="20"/>
              </w:rPr>
              <w:t>.0</w:t>
            </w:r>
            <w:r w:rsidRPr="000B7511">
              <w:rPr>
                <w:rFonts w:ascii="Arial Narrow" w:hAnsi="Arial Narrow" w:cs="Arial"/>
                <w:sz w:val="20"/>
                <w:szCs w:val="20"/>
              </w:rPr>
              <w:t>,</w:t>
            </w:r>
            <w:r>
              <w:rPr>
                <w:rFonts w:ascii="Arial Narrow" w:hAnsi="Arial Narrow" w:cs="Arial"/>
                <w:sz w:val="20"/>
                <w:szCs w:val="20"/>
              </w:rPr>
              <w:t xml:space="preserve"> </w:t>
            </w:r>
            <w:r w:rsidRPr="000B7511">
              <w:rPr>
                <w:rFonts w:ascii="Arial Narrow" w:hAnsi="Arial Narrow" w:cs="Arial"/>
                <w:sz w:val="20"/>
                <w:szCs w:val="20"/>
              </w:rPr>
              <w:t>0.06)</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Upper respiratory tract infection</w:t>
            </w:r>
          </w:p>
        </w:tc>
        <w:tc>
          <w:tcPr>
            <w:tcW w:w="1559"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6 (3.2</w:t>
            </w:r>
            <w:r>
              <w:rPr>
                <w:rFonts w:ascii="Arial Narrow" w:hAnsi="Arial Narrow"/>
                <w:sz w:val="20"/>
                <w:szCs w:val="20"/>
              </w:rPr>
              <w:t>%</w:t>
            </w:r>
            <w:r w:rsidRPr="002668EA">
              <w:rPr>
                <w:rFonts w:ascii="Arial Narrow" w:hAnsi="Arial Narrow"/>
                <w:sz w:val="20"/>
                <w:szCs w:val="20"/>
              </w:rPr>
              <w:t>)</w:t>
            </w:r>
          </w:p>
        </w:tc>
        <w:tc>
          <w:tcPr>
            <w:tcW w:w="1554"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4 (1.4</w:t>
            </w:r>
            <w:r>
              <w:rPr>
                <w:rFonts w:ascii="Arial Narrow" w:hAnsi="Arial Narrow"/>
                <w:sz w:val="20"/>
                <w:szCs w:val="20"/>
              </w:rPr>
              <w:t>%</w:t>
            </w:r>
            <w:r w:rsidRPr="002668EA">
              <w:rPr>
                <w:rFonts w:ascii="Arial Narrow" w:hAnsi="Arial Narrow"/>
                <w:sz w:val="20"/>
                <w:szCs w:val="20"/>
              </w:rPr>
              <w:t>)</w:t>
            </w:r>
          </w:p>
        </w:tc>
        <w:tc>
          <w:tcPr>
            <w:tcW w:w="1697"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2.25 (0.64,</w:t>
            </w:r>
            <w:r>
              <w:rPr>
                <w:rFonts w:ascii="Arial Narrow" w:hAnsi="Arial Narrow"/>
                <w:sz w:val="20"/>
                <w:szCs w:val="20"/>
              </w:rPr>
              <w:t xml:space="preserve"> </w:t>
            </w:r>
            <w:r w:rsidRPr="002668EA">
              <w:rPr>
                <w:rFonts w:ascii="Arial Narrow" w:hAnsi="Arial Narrow"/>
                <w:sz w:val="20"/>
                <w:szCs w:val="20"/>
              </w:rPr>
              <w:t>7.87)</w:t>
            </w:r>
          </w:p>
        </w:tc>
        <w:tc>
          <w:tcPr>
            <w:tcW w:w="1695"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0.02 (-0.01,</w:t>
            </w:r>
            <w:r>
              <w:rPr>
                <w:rFonts w:ascii="Arial Narrow" w:hAnsi="Arial Narrow"/>
                <w:sz w:val="20"/>
                <w:szCs w:val="20"/>
              </w:rPr>
              <w:t xml:space="preserve"> </w:t>
            </w:r>
            <w:r w:rsidRPr="002668EA">
              <w:rPr>
                <w:rFonts w:ascii="Arial Narrow" w:hAnsi="Arial Narrow"/>
                <w:sz w:val="20"/>
                <w:szCs w:val="20"/>
              </w:rPr>
              <w:t>0.05)</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Nausea</w:t>
            </w:r>
          </w:p>
        </w:tc>
        <w:tc>
          <w:tcPr>
            <w:tcW w:w="1559"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6 (3.2</w:t>
            </w:r>
            <w:r>
              <w:rPr>
                <w:rFonts w:ascii="Arial Narrow" w:hAnsi="Arial Narrow"/>
                <w:sz w:val="20"/>
                <w:szCs w:val="20"/>
              </w:rPr>
              <w:t>%</w:t>
            </w:r>
            <w:r w:rsidRPr="002668EA">
              <w:rPr>
                <w:rFonts w:ascii="Arial Narrow" w:hAnsi="Arial Narrow"/>
                <w:sz w:val="20"/>
                <w:szCs w:val="20"/>
              </w:rPr>
              <w:t>)</w:t>
            </w:r>
          </w:p>
        </w:tc>
        <w:tc>
          <w:tcPr>
            <w:tcW w:w="1554"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7 (2.5</w:t>
            </w:r>
            <w:r>
              <w:rPr>
                <w:rFonts w:ascii="Arial Narrow" w:hAnsi="Arial Narrow"/>
                <w:sz w:val="20"/>
                <w:szCs w:val="20"/>
              </w:rPr>
              <w:t>%</w:t>
            </w:r>
            <w:r w:rsidRPr="002668EA">
              <w:rPr>
                <w:rFonts w:ascii="Arial Narrow" w:hAnsi="Arial Narrow"/>
                <w:sz w:val="20"/>
                <w:szCs w:val="20"/>
              </w:rPr>
              <w:t>)</w:t>
            </w:r>
          </w:p>
        </w:tc>
        <w:tc>
          <w:tcPr>
            <w:tcW w:w="1697"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1.29 (0.44,</w:t>
            </w:r>
            <w:r>
              <w:rPr>
                <w:rFonts w:ascii="Arial Narrow" w:hAnsi="Arial Narrow"/>
                <w:sz w:val="20"/>
                <w:szCs w:val="20"/>
              </w:rPr>
              <w:t xml:space="preserve"> </w:t>
            </w:r>
            <w:r w:rsidRPr="002668EA">
              <w:rPr>
                <w:rFonts w:ascii="Arial Narrow" w:hAnsi="Arial Narrow"/>
                <w:sz w:val="20"/>
                <w:szCs w:val="20"/>
              </w:rPr>
              <w:t>3.77)</w:t>
            </w:r>
          </w:p>
        </w:tc>
        <w:tc>
          <w:tcPr>
            <w:tcW w:w="1695"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0.01 (-0.02,</w:t>
            </w:r>
            <w:r>
              <w:rPr>
                <w:rFonts w:ascii="Arial Narrow" w:hAnsi="Arial Narrow"/>
                <w:sz w:val="20"/>
                <w:szCs w:val="20"/>
              </w:rPr>
              <w:t xml:space="preserve"> </w:t>
            </w:r>
            <w:r w:rsidRPr="002668EA">
              <w:rPr>
                <w:rFonts w:ascii="Arial Narrow" w:hAnsi="Arial Narrow"/>
                <w:sz w:val="20"/>
                <w:szCs w:val="20"/>
              </w:rPr>
              <w:t>0.04)</w:t>
            </w:r>
          </w:p>
        </w:tc>
      </w:tr>
      <w:tr w:rsidR="00A874F2" w:rsidRPr="002668EA" w:rsidTr="00AC3A72">
        <w:tc>
          <w:tcPr>
            <w:tcW w:w="2512" w:type="dxa"/>
          </w:tcPr>
          <w:p w:rsidR="00A874F2" w:rsidRPr="002668EA" w:rsidRDefault="00A874F2" w:rsidP="00D87FED">
            <w:pPr>
              <w:keepNext/>
              <w:rPr>
                <w:rFonts w:ascii="Arial Narrow" w:hAnsi="Arial Narrow"/>
                <w:sz w:val="20"/>
                <w:szCs w:val="20"/>
              </w:rPr>
            </w:pPr>
            <w:proofErr w:type="spellStart"/>
            <w:r w:rsidRPr="002668EA">
              <w:rPr>
                <w:rFonts w:ascii="Arial Narrow" w:hAnsi="Arial Narrow"/>
                <w:sz w:val="20"/>
                <w:szCs w:val="20"/>
              </w:rPr>
              <w:t>Nasopharyngitis</w:t>
            </w:r>
            <w:proofErr w:type="spellEnd"/>
          </w:p>
        </w:tc>
        <w:tc>
          <w:tcPr>
            <w:tcW w:w="1559"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3 (1.6</w:t>
            </w:r>
            <w:r>
              <w:rPr>
                <w:rFonts w:ascii="Arial Narrow" w:hAnsi="Arial Narrow"/>
                <w:sz w:val="20"/>
                <w:szCs w:val="20"/>
              </w:rPr>
              <w:t>%</w:t>
            </w:r>
            <w:r w:rsidRPr="002668EA">
              <w:rPr>
                <w:rFonts w:ascii="Arial Narrow" w:hAnsi="Arial Narrow"/>
                <w:sz w:val="20"/>
                <w:szCs w:val="20"/>
              </w:rPr>
              <w:t>)</w:t>
            </w:r>
          </w:p>
        </w:tc>
        <w:tc>
          <w:tcPr>
            <w:tcW w:w="1554"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16 (5.7</w:t>
            </w:r>
            <w:r>
              <w:rPr>
                <w:rFonts w:ascii="Arial Narrow" w:hAnsi="Arial Narrow"/>
                <w:sz w:val="20"/>
                <w:szCs w:val="20"/>
              </w:rPr>
              <w:t>%</w:t>
            </w:r>
            <w:r w:rsidRPr="002668EA">
              <w:rPr>
                <w:rFonts w:ascii="Arial Narrow" w:hAnsi="Arial Narrow"/>
                <w:sz w:val="20"/>
                <w:szCs w:val="20"/>
              </w:rPr>
              <w:t>)</w:t>
            </w:r>
          </w:p>
        </w:tc>
        <w:tc>
          <w:tcPr>
            <w:tcW w:w="1697" w:type="dxa"/>
          </w:tcPr>
          <w:p w:rsidR="00A874F2" w:rsidRPr="002668EA" w:rsidRDefault="00A874F2" w:rsidP="00D87FED">
            <w:pPr>
              <w:keepNext/>
              <w:jc w:val="center"/>
              <w:rPr>
                <w:rFonts w:ascii="Arial Narrow" w:hAnsi="Arial Narrow" w:cs="Arial"/>
                <w:b/>
                <w:sz w:val="20"/>
                <w:szCs w:val="20"/>
              </w:rPr>
            </w:pPr>
            <w:r w:rsidRPr="002668EA">
              <w:rPr>
                <w:rFonts w:ascii="Arial Narrow" w:hAnsi="Arial Narrow"/>
                <w:b/>
                <w:sz w:val="20"/>
                <w:szCs w:val="20"/>
              </w:rPr>
              <w:t>0.28 (0.08, 0.95)</w:t>
            </w:r>
          </w:p>
        </w:tc>
        <w:tc>
          <w:tcPr>
            <w:tcW w:w="1695" w:type="dxa"/>
          </w:tcPr>
          <w:p w:rsidR="00A874F2" w:rsidRPr="002668EA" w:rsidRDefault="00A874F2" w:rsidP="00D87FED">
            <w:pPr>
              <w:keepNext/>
              <w:jc w:val="center"/>
              <w:rPr>
                <w:rFonts w:ascii="Arial Narrow" w:hAnsi="Arial Narrow" w:cs="Arial"/>
                <w:b/>
                <w:sz w:val="20"/>
                <w:szCs w:val="20"/>
              </w:rPr>
            </w:pPr>
            <w:r w:rsidRPr="002668EA">
              <w:rPr>
                <w:rFonts w:ascii="Arial Narrow" w:hAnsi="Arial Narrow"/>
                <w:b/>
                <w:sz w:val="20"/>
                <w:szCs w:val="20"/>
              </w:rPr>
              <w:t>-0.04 (-0.07, -0.01)</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Constipation</w:t>
            </w:r>
          </w:p>
        </w:tc>
        <w:tc>
          <w:tcPr>
            <w:tcW w:w="1559"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8 (4.3</w:t>
            </w:r>
            <w:r>
              <w:rPr>
                <w:rFonts w:ascii="Arial Narrow" w:hAnsi="Arial Narrow"/>
                <w:sz w:val="20"/>
                <w:szCs w:val="20"/>
              </w:rPr>
              <w:t>%</w:t>
            </w:r>
            <w:r w:rsidRPr="002668EA">
              <w:rPr>
                <w:rFonts w:ascii="Arial Narrow" w:hAnsi="Arial Narrow"/>
                <w:sz w:val="20"/>
                <w:szCs w:val="20"/>
              </w:rPr>
              <w:t>)</w:t>
            </w:r>
          </w:p>
        </w:tc>
        <w:tc>
          <w:tcPr>
            <w:tcW w:w="1554"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1 (0.4</w:t>
            </w:r>
            <w:r>
              <w:rPr>
                <w:rFonts w:ascii="Arial Narrow" w:hAnsi="Arial Narrow"/>
                <w:sz w:val="20"/>
                <w:szCs w:val="20"/>
              </w:rPr>
              <w:t>%</w:t>
            </w:r>
            <w:r w:rsidRPr="002668EA">
              <w:rPr>
                <w:rFonts w:ascii="Arial Narrow" w:hAnsi="Arial Narrow"/>
                <w:sz w:val="20"/>
                <w:szCs w:val="20"/>
              </w:rPr>
              <w:t>)</w:t>
            </w:r>
          </w:p>
        </w:tc>
        <w:tc>
          <w:tcPr>
            <w:tcW w:w="1697" w:type="dxa"/>
          </w:tcPr>
          <w:p w:rsidR="00A874F2" w:rsidRPr="002668EA" w:rsidRDefault="00A874F2" w:rsidP="00D87FED">
            <w:pPr>
              <w:keepNext/>
              <w:jc w:val="center"/>
              <w:rPr>
                <w:rFonts w:ascii="Arial Narrow" w:hAnsi="Arial Narrow" w:cs="Arial"/>
                <w:b/>
                <w:sz w:val="20"/>
                <w:szCs w:val="20"/>
              </w:rPr>
            </w:pPr>
            <w:r w:rsidRPr="002668EA">
              <w:rPr>
                <w:rFonts w:ascii="Arial Narrow" w:hAnsi="Arial Narrow"/>
                <w:b/>
                <w:sz w:val="20"/>
                <w:szCs w:val="20"/>
              </w:rPr>
              <w:t>12.00</w:t>
            </w:r>
            <w:r>
              <w:rPr>
                <w:rFonts w:ascii="Arial Narrow" w:hAnsi="Arial Narrow"/>
                <w:b/>
                <w:sz w:val="20"/>
                <w:szCs w:val="20"/>
              </w:rPr>
              <w:t xml:space="preserve"> </w:t>
            </w:r>
            <w:r w:rsidRPr="002668EA">
              <w:rPr>
                <w:rFonts w:ascii="Arial Narrow" w:hAnsi="Arial Narrow"/>
                <w:b/>
                <w:sz w:val="20"/>
                <w:szCs w:val="20"/>
              </w:rPr>
              <w:t>(1.51, 98.16)</w:t>
            </w:r>
          </w:p>
        </w:tc>
        <w:tc>
          <w:tcPr>
            <w:tcW w:w="1695" w:type="dxa"/>
          </w:tcPr>
          <w:p w:rsidR="00A874F2" w:rsidRPr="002668EA" w:rsidRDefault="00A874F2" w:rsidP="00D87FED">
            <w:pPr>
              <w:keepNext/>
              <w:jc w:val="center"/>
              <w:rPr>
                <w:rFonts w:ascii="Arial Narrow" w:hAnsi="Arial Narrow" w:cs="Arial"/>
                <w:b/>
                <w:sz w:val="20"/>
                <w:szCs w:val="20"/>
              </w:rPr>
            </w:pPr>
            <w:r w:rsidRPr="002668EA">
              <w:rPr>
                <w:rFonts w:ascii="Arial Narrow" w:hAnsi="Arial Narrow"/>
                <w:b/>
                <w:sz w:val="20"/>
                <w:szCs w:val="20"/>
              </w:rPr>
              <w:t>0.04 (0.01, 0.07)</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Muscle spasms</w:t>
            </w:r>
          </w:p>
        </w:tc>
        <w:tc>
          <w:tcPr>
            <w:tcW w:w="1559"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7 (3.7</w:t>
            </w:r>
            <w:r>
              <w:rPr>
                <w:rFonts w:ascii="Arial Narrow" w:hAnsi="Arial Narrow"/>
                <w:sz w:val="20"/>
                <w:szCs w:val="20"/>
              </w:rPr>
              <w:t>%</w:t>
            </w:r>
            <w:r w:rsidRPr="002668EA">
              <w:rPr>
                <w:rFonts w:ascii="Arial Narrow" w:hAnsi="Arial Narrow"/>
                <w:sz w:val="20"/>
                <w:szCs w:val="20"/>
              </w:rPr>
              <w:t>)</w:t>
            </w:r>
          </w:p>
        </w:tc>
        <w:tc>
          <w:tcPr>
            <w:tcW w:w="1554"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4 (1.4</w:t>
            </w:r>
            <w:r>
              <w:rPr>
                <w:rFonts w:ascii="Arial Narrow" w:hAnsi="Arial Narrow"/>
                <w:sz w:val="20"/>
                <w:szCs w:val="20"/>
              </w:rPr>
              <w:t>%</w:t>
            </w:r>
            <w:r w:rsidRPr="002668EA">
              <w:rPr>
                <w:rFonts w:ascii="Arial Narrow" w:hAnsi="Arial Narrow"/>
                <w:sz w:val="20"/>
                <w:szCs w:val="20"/>
              </w:rPr>
              <w:t>)</w:t>
            </w:r>
          </w:p>
        </w:tc>
        <w:tc>
          <w:tcPr>
            <w:tcW w:w="1697"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2.63 (0.78,</w:t>
            </w:r>
            <w:r>
              <w:rPr>
                <w:rFonts w:ascii="Arial Narrow" w:hAnsi="Arial Narrow"/>
                <w:sz w:val="20"/>
                <w:szCs w:val="20"/>
              </w:rPr>
              <w:t xml:space="preserve"> </w:t>
            </w:r>
            <w:r w:rsidRPr="002668EA">
              <w:rPr>
                <w:rFonts w:ascii="Arial Narrow" w:hAnsi="Arial Narrow"/>
                <w:sz w:val="20"/>
                <w:szCs w:val="20"/>
              </w:rPr>
              <w:t>8.84)</w:t>
            </w:r>
          </w:p>
        </w:tc>
        <w:tc>
          <w:tcPr>
            <w:tcW w:w="1695"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0.02 (-0.01,</w:t>
            </w:r>
            <w:r>
              <w:rPr>
                <w:rFonts w:ascii="Arial Narrow" w:hAnsi="Arial Narrow"/>
                <w:sz w:val="20"/>
                <w:szCs w:val="20"/>
              </w:rPr>
              <w:t xml:space="preserve"> </w:t>
            </w:r>
            <w:r w:rsidRPr="002668EA">
              <w:rPr>
                <w:rFonts w:ascii="Arial Narrow" w:hAnsi="Arial Narrow"/>
                <w:sz w:val="20"/>
                <w:szCs w:val="20"/>
              </w:rPr>
              <w:t>0.05)</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Migraine</w:t>
            </w:r>
          </w:p>
        </w:tc>
        <w:tc>
          <w:tcPr>
            <w:tcW w:w="1559"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5 (2.7</w:t>
            </w:r>
            <w:r>
              <w:rPr>
                <w:rFonts w:ascii="Arial Narrow" w:hAnsi="Arial Narrow"/>
                <w:sz w:val="20"/>
                <w:szCs w:val="20"/>
              </w:rPr>
              <w:t>%</w:t>
            </w:r>
            <w:r w:rsidRPr="002668EA">
              <w:rPr>
                <w:rFonts w:ascii="Arial Narrow" w:hAnsi="Arial Narrow"/>
                <w:sz w:val="20"/>
                <w:szCs w:val="20"/>
              </w:rPr>
              <w:t>)</w:t>
            </w:r>
          </w:p>
        </w:tc>
        <w:tc>
          <w:tcPr>
            <w:tcW w:w="1554" w:type="dxa"/>
          </w:tcPr>
          <w:p w:rsidR="00A874F2" w:rsidRPr="002668EA" w:rsidRDefault="00A874F2" w:rsidP="00D87FED">
            <w:pPr>
              <w:keepNext/>
              <w:jc w:val="center"/>
              <w:rPr>
                <w:rFonts w:ascii="Arial Narrow" w:hAnsi="Arial Narrow"/>
                <w:sz w:val="20"/>
                <w:szCs w:val="20"/>
              </w:rPr>
            </w:pPr>
            <w:r w:rsidRPr="002668EA">
              <w:rPr>
                <w:rFonts w:ascii="Arial Narrow" w:hAnsi="Arial Narrow"/>
                <w:sz w:val="20"/>
                <w:szCs w:val="20"/>
              </w:rPr>
              <w:t>3 (1.1</w:t>
            </w:r>
            <w:r>
              <w:rPr>
                <w:rFonts w:ascii="Arial Narrow" w:hAnsi="Arial Narrow"/>
                <w:sz w:val="20"/>
                <w:szCs w:val="20"/>
              </w:rPr>
              <w:t>%</w:t>
            </w:r>
            <w:r w:rsidRPr="002668EA">
              <w:rPr>
                <w:rFonts w:ascii="Arial Narrow" w:hAnsi="Arial Narrow"/>
                <w:sz w:val="20"/>
                <w:szCs w:val="20"/>
              </w:rPr>
              <w:t>)</w:t>
            </w:r>
          </w:p>
        </w:tc>
        <w:tc>
          <w:tcPr>
            <w:tcW w:w="1697"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2.50 (0.60, 10.34)</w:t>
            </w:r>
          </w:p>
        </w:tc>
        <w:tc>
          <w:tcPr>
            <w:tcW w:w="1695" w:type="dxa"/>
          </w:tcPr>
          <w:p w:rsidR="00A874F2" w:rsidRPr="002668EA" w:rsidRDefault="00A874F2" w:rsidP="00D87FED">
            <w:pPr>
              <w:keepNext/>
              <w:jc w:val="center"/>
              <w:rPr>
                <w:rFonts w:ascii="Arial Narrow" w:hAnsi="Arial Narrow" w:cs="Arial"/>
                <w:sz w:val="20"/>
                <w:szCs w:val="20"/>
              </w:rPr>
            </w:pPr>
            <w:r w:rsidRPr="002668EA">
              <w:rPr>
                <w:rFonts w:ascii="Arial Narrow" w:hAnsi="Arial Narrow"/>
                <w:sz w:val="20"/>
                <w:szCs w:val="20"/>
              </w:rPr>
              <w:t>0.02 (-0.01,</w:t>
            </w:r>
            <w:r>
              <w:rPr>
                <w:rFonts w:ascii="Arial Narrow" w:hAnsi="Arial Narrow"/>
                <w:sz w:val="20"/>
                <w:szCs w:val="20"/>
              </w:rPr>
              <w:t xml:space="preserve"> </w:t>
            </w:r>
            <w:r w:rsidRPr="002668EA">
              <w:rPr>
                <w:rFonts w:ascii="Arial Narrow" w:hAnsi="Arial Narrow"/>
                <w:sz w:val="20"/>
                <w:szCs w:val="20"/>
              </w:rPr>
              <w:t>0.04)</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Cough</w:t>
            </w:r>
          </w:p>
        </w:tc>
        <w:tc>
          <w:tcPr>
            <w:tcW w:w="1559"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554"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7"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5"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r w:rsidR="00A874F2">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Fatigue</w:t>
            </w:r>
          </w:p>
        </w:tc>
        <w:tc>
          <w:tcPr>
            <w:tcW w:w="1559"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554"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7"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5"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r w:rsidR="00A874F2">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Diarrhoea</w:t>
            </w:r>
          </w:p>
        </w:tc>
        <w:tc>
          <w:tcPr>
            <w:tcW w:w="1559"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554"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7"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5"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r w:rsidR="00A874F2">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r>
      <w:tr w:rsidR="00A874F2" w:rsidRPr="00C02BB7"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Injection site erythema</w:t>
            </w:r>
          </w:p>
        </w:tc>
        <w:tc>
          <w:tcPr>
            <w:tcW w:w="1559"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554"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7" w:type="dxa"/>
          </w:tcPr>
          <w:p w:rsidR="00A874F2" w:rsidRPr="00405DA0" w:rsidRDefault="00405DA0" w:rsidP="00D87FED">
            <w:pPr>
              <w:keepNext/>
              <w:jc w:val="center"/>
              <w:rPr>
                <w:rFonts w:ascii="Arial Narrow" w:hAnsi="Arial Narrow" w:cs="Arial"/>
                <w:sz w:val="20"/>
                <w:szCs w:val="20"/>
                <w:highlight w:val="black"/>
              </w:rPr>
            </w:pPr>
            <w:r>
              <w:rPr>
                <w:rFonts w:ascii="Arial Narrow" w:hAnsi="Arial Narrow"/>
                <w:noProof/>
                <w:color w:val="000000"/>
                <w:sz w:val="20"/>
                <w:szCs w:val="20"/>
                <w:highlight w:val="black"/>
              </w:rPr>
              <w:t>''</w:t>
            </w:r>
          </w:p>
        </w:tc>
        <w:tc>
          <w:tcPr>
            <w:tcW w:w="1695" w:type="dxa"/>
          </w:tcPr>
          <w:p w:rsidR="00A874F2" w:rsidRPr="00C02BB7" w:rsidRDefault="00405DA0" w:rsidP="00D87FED">
            <w:pPr>
              <w:keepNext/>
              <w:jc w:val="center"/>
              <w:rPr>
                <w:rFonts w:ascii="Arial Narrow" w:hAnsi="Arial Narrow" w:cs="Arial"/>
                <w:b/>
                <w:sz w:val="20"/>
                <w:szCs w:val="20"/>
              </w:rPr>
            </w:pPr>
            <w:r>
              <w:rPr>
                <w:rFonts w:ascii="Arial Narrow" w:hAnsi="Arial Narrow"/>
                <w:b/>
                <w:noProof/>
                <w:color w:val="000000"/>
                <w:sz w:val="20"/>
                <w:szCs w:val="20"/>
                <w:highlight w:val="black"/>
              </w:rPr>
              <w:t>'''''''''</w:t>
            </w:r>
            <w:r w:rsidR="00A874F2" w:rsidRPr="00C02BB7">
              <w:rPr>
                <w:rFonts w:ascii="Arial Narrow" w:hAnsi="Arial Narrow"/>
                <w:b/>
                <w:sz w:val="20"/>
                <w:szCs w:val="20"/>
              </w:rPr>
              <w:t xml:space="preserve"> (</w:t>
            </w:r>
            <w:r>
              <w:rPr>
                <w:rFonts w:ascii="Arial Narrow" w:hAnsi="Arial Narrow"/>
                <w:b/>
                <w:noProof/>
                <w:color w:val="000000"/>
                <w:sz w:val="20"/>
                <w:szCs w:val="20"/>
                <w:highlight w:val="black"/>
              </w:rPr>
              <w:t>'''''''''</w:t>
            </w:r>
            <w:r w:rsidR="00A874F2" w:rsidRPr="00C02BB7">
              <w:rPr>
                <w:rFonts w:ascii="Arial Narrow" w:hAnsi="Arial Narrow"/>
                <w:b/>
                <w:sz w:val="20"/>
                <w:szCs w:val="20"/>
              </w:rPr>
              <w:t>,</w:t>
            </w:r>
            <w:r w:rsidR="00A874F2">
              <w:rPr>
                <w:rFonts w:ascii="Arial Narrow" w:hAnsi="Arial Narrow"/>
                <w:b/>
                <w:sz w:val="20"/>
                <w:szCs w:val="20"/>
              </w:rPr>
              <w:t xml:space="preserve"> </w:t>
            </w:r>
            <w:r>
              <w:rPr>
                <w:rFonts w:ascii="Arial Narrow" w:hAnsi="Arial Narrow"/>
                <w:b/>
                <w:noProof/>
                <w:color w:val="000000"/>
                <w:sz w:val="20"/>
                <w:szCs w:val="20"/>
                <w:highlight w:val="black"/>
              </w:rPr>
              <w:t>'''''''''</w:t>
            </w:r>
            <w:r w:rsidR="00A874F2" w:rsidRPr="00C02BB7">
              <w:rPr>
                <w:rFonts w:ascii="Arial Narrow" w:hAnsi="Arial Narrow"/>
                <w:b/>
                <w:sz w:val="20"/>
                <w:szCs w:val="20"/>
              </w:rPr>
              <w:t>)</w:t>
            </w:r>
          </w:p>
        </w:tc>
      </w:tr>
      <w:tr w:rsidR="00A874F2" w:rsidRPr="002668EA" w:rsidTr="00AC3A72">
        <w:tc>
          <w:tcPr>
            <w:tcW w:w="2512" w:type="dxa"/>
          </w:tcPr>
          <w:p w:rsidR="00A874F2" w:rsidRPr="002668EA" w:rsidRDefault="00A874F2" w:rsidP="00D87FED">
            <w:pPr>
              <w:keepNext/>
              <w:rPr>
                <w:rFonts w:ascii="Arial Narrow" w:hAnsi="Arial Narrow"/>
                <w:sz w:val="20"/>
                <w:szCs w:val="20"/>
              </w:rPr>
            </w:pPr>
            <w:r w:rsidRPr="002668EA">
              <w:rPr>
                <w:rFonts w:ascii="Arial Narrow" w:hAnsi="Arial Narrow"/>
                <w:sz w:val="20"/>
                <w:szCs w:val="20"/>
              </w:rPr>
              <w:t xml:space="preserve">Rhinitis </w:t>
            </w:r>
          </w:p>
        </w:tc>
        <w:tc>
          <w:tcPr>
            <w:tcW w:w="1559"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554" w:type="dxa"/>
          </w:tcPr>
          <w:p w:rsidR="00A874F2" w:rsidRPr="002668EA" w:rsidRDefault="00405DA0" w:rsidP="00D87FED">
            <w:pPr>
              <w:keepNext/>
              <w:jc w:val="center"/>
              <w:rPr>
                <w:rFonts w:ascii="Arial Narrow" w:hAnsi="Arial Narrow"/>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7"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c>
          <w:tcPr>
            <w:tcW w:w="1695" w:type="dxa"/>
          </w:tcPr>
          <w:p w:rsidR="00A874F2" w:rsidRPr="002668EA" w:rsidRDefault="00405DA0" w:rsidP="00D87FED">
            <w:pPr>
              <w:keepNext/>
              <w:jc w:val="center"/>
              <w:rPr>
                <w:rFonts w:ascii="Arial Narrow" w:hAnsi="Arial Narrow" w:cs="Arial"/>
                <w:sz w:val="20"/>
                <w:szCs w:val="20"/>
              </w:rPr>
            </w:pPr>
            <w:r>
              <w:rPr>
                <w:rFonts w:ascii="Arial Narrow" w:hAnsi="Arial Narrow"/>
                <w:noProof/>
                <w:color w:val="000000"/>
                <w:sz w:val="20"/>
                <w:szCs w:val="20"/>
                <w:highlight w:val="black"/>
              </w:rPr>
              <w:t>'''''''''''</w:t>
            </w:r>
            <w:r w:rsidR="00A874F2" w:rsidRPr="002668EA">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r w:rsidR="00A874F2">
              <w:rPr>
                <w:rFonts w:ascii="Arial Narrow" w:hAnsi="Arial Narrow"/>
                <w:sz w:val="20"/>
                <w:szCs w:val="20"/>
              </w:rPr>
              <w:t xml:space="preserve"> </w:t>
            </w:r>
            <w:r>
              <w:rPr>
                <w:rFonts w:ascii="Arial Narrow" w:hAnsi="Arial Narrow"/>
                <w:noProof/>
                <w:color w:val="000000"/>
                <w:sz w:val="20"/>
                <w:szCs w:val="20"/>
                <w:highlight w:val="black"/>
              </w:rPr>
              <w:t>''''''''''''</w:t>
            </w:r>
            <w:r w:rsidR="00A874F2" w:rsidRPr="002668EA">
              <w:rPr>
                <w:rFonts w:ascii="Arial Narrow" w:hAnsi="Arial Narrow"/>
                <w:sz w:val="20"/>
                <w:szCs w:val="20"/>
              </w:rPr>
              <w:t>)</w:t>
            </w:r>
          </w:p>
        </w:tc>
      </w:tr>
    </w:tbl>
    <w:p w:rsidR="00A874F2" w:rsidRDefault="00A874F2" w:rsidP="00D87FED">
      <w:pPr>
        <w:pStyle w:val="TableFooter"/>
      </w:pPr>
      <w:r>
        <w:t xml:space="preserve">AE=adverse event; CI=confidence interval; RR=relative risk; RD=risk difference; SAE=serious adverse event; </w:t>
      </w:r>
      <w:r w:rsidRPr="002668EA">
        <w:rPr>
          <w:b/>
        </w:rPr>
        <w:t>bold</w:t>
      </w:r>
      <w:r>
        <w:t>=statistically significant</w:t>
      </w:r>
    </w:p>
    <w:p w:rsidR="00A874F2" w:rsidRPr="008A49DD" w:rsidRDefault="00A874F2" w:rsidP="00D87FED">
      <w:pPr>
        <w:pStyle w:val="TableFooter"/>
      </w:pPr>
      <w:r>
        <w:t>Source: Table 2.28 and Table 2.29, p66 of the resubmission</w:t>
      </w:r>
    </w:p>
    <w:p w:rsidR="00A874F2" w:rsidRPr="000F47BB" w:rsidRDefault="00A874F2" w:rsidP="008C17FD">
      <w:pPr>
        <w:pStyle w:val="ListParagraph"/>
        <w:numPr>
          <w:ilvl w:val="1"/>
          <w:numId w:val="2"/>
        </w:numPr>
        <w:spacing w:after="120"/>
      </w:pPr>
      <w:r>
        <w:t xml:space="preserve">The overall trial comparisons indicated statistically significantly more frequent occurrence of constipation and injection site erythema in </w:t>
      </w:r>
      <w:proofErr w:type="spellStart"/>
      <w:r>
        <w:t>erenumab</w:t>
      </w:r>
      <w:proofErr w:type="spellEnd"/>
      <w:r>
        <w:t xml:space="preserve">-treated patients </w:t>
      </w:r>
      <w:r w:rsidRPr="000F47BB">
        <w:t xml:space="preserve">compared </w:t>
      </w:r>
      <w:r w:rsidR="000475ED">
        <w:t>with</w:t>
      </w:r>
      <w:r w:rsidR="000475ED" w:rsidRPr="000F47BB">
        <w:t xml:space="preserve"> </w:t>
      </w:r>
      <w:r w:rsidRPr="000F47BB">
        <w:t xml:space="preserve">those treated with placebo. </w:t>
      </w:r>
      <w:proofErr w:type="spellStart"/>
      <w:r w:rsidRPr="000F47BB">
        <w:t>Nasopharyngitis</w:t>
      </w:r>
      <w:proofErr w:type="spellEnd"/>
      <w:r w:rsidRPr="000F47BB">
        <w:t xml:space="preserve"> occurred statistically significantly more frequently in placebo-treated patients. </w:t>
      </w:r>
    </w:p>
    <w:p w:rsidR="00A874F2" w:rsidRPr="000F47BB" w:rsidRDefault="00A874F2" w:rsidP="008C17FD">
      <w:pPr>
        <w:pStyle w:val="ListParagraph"/>
        <w:numPr>
          <w:ilvl w:val="1"/>
          <w:numId w:val="2"/>
        </w:numPr>
        <w:spacing w:after="120"/>
      </w:pPr>
      <w:r w:rsidRPr="000F47BB">
        <w:t>While the specific AEs presented in the resubmission were treatment-emergent AEs, the resubmission did not provide any data for treatment-related AEs. The</w:t>
      </w:r>
      <w:r w:rsidR="006A7F58">
        <w:t xml:space="preserve"> TGA</w:t>
      </w:r>
      <w:r w:rsidRPr="000F47BB">
        <w:t xml:space="preserve"> </w:t>
      </w:r>
      <w:r w:rsidR="00983134" w:rsidRPr="000F47BB">
        <w:t>clinical evaluation report (</w:t>
      </w:r>
      <w:r w:rsidRPr="000F47BB">
        <w:t>CER</w:t>
      </w:r>
      <w:r w:rsidR="00983134" w:rsidRPr="000F47BB">
        <w:t>)</w:t>
      </w:r>
      <w:r w:rsidRPr="000F47BB">
        <w:t xml:space="preserve"> provided a summary of drug-related adverse events across the </w:t>
      </w:r>
      <w:r w:rsidRPr="000F47BB">
        <w:lastRenderedPageBreak/>
        <w:t xml:space="preserve">pooled </w:t>
      </w:r>
      <w:proofErr w:type="spellStart"/>
      <w:r w:rsidRPr="000F47BB">
        <w:t>erenumab</w:t>
      </w:r>
      <w:proofErr w:type="spellEnd"/>
      <w:r w:rsidRPr="000F47BB">
        <w:t xml:space="preserve"> trials 295, 296, 178 and 297. </w:t>
      </w:r>
      <w:r w:rsidR="002D19BB" w:rsidRPr="000F47BB">
        <w:t xml:space="preserve">These </w:t>
      </w:r>
      <w:r w:rsidR="002D19BB">
        <w:t>trials</w:t>
      </w:r>
      <w:r w:rsidR="002D19BB" w:rsidRPr="000F47BB">
        <w:t xml:space="preserve"> included </w:t>
      </w:r>
      <w:r w:rsidR="002D19BB">
        <w:t xml:space="preserve">chronic and </w:t>
      </w:r>
      <w:r w:rsidR="002D19BB" w:rsidRPr="000F47BB">
        <w:t>episodic migraine patients.</w:t>
      </w:r>
      <w:r w:rsidR="002D19BB">
        <w:t xml:space="preserve"> </w:t>
      </w:r>
      <w:r w:rsidRPr="000F47BB">
        <w:t xml:space="preserve">Drug-related AEs were defined as those that occurred with ≥1% overall incidence in either the 70 mg or 140 mg groups and with ≥2 times the rate of the placebo group. </w:t>
      </w:r>
      <w:r w:rsidR="002D19BB">
        <w:t xml:space="preserve">For the pooled </w:t>
      </w:r>
      <w:r w:rsidRPr="000F47BB">
        <w:t xml:space="preserve">data injection site reactions, constipation, pruritus and muscle spasms </w:t>
      </w:r>
      <w:r w:rsidR="002D19BB">
        <w:t xml:space="preserve">were defined </w:t>
      </w:r>
      <w:r w:rsidRPr="000F47BB">
        <w:t xml:space="preserve">as drug-related AEs. </w:t>
      </w:r>
    </w:p>
    <w:p w:rsidR="00A874F2" w:rsidRPr="000F47BB" w:rsidRDefault="00A874F2" w:rsidP="008C17FD">
      <w:pPr>
        <w:pStyle w:val="ListParagraph"/>
        <w:numPr>
          <w:ilvl w:val="1"/>
          <w:numId w:val="2"/>
        </w:numPr>
        <w:spacing w:after="120"/>
      </w:pPr>
      <w:r w:rsidRPr="000F47BB">
        <w:t xml:space="preserve">The resubmission </w:t>
      </w:r>
      <w:r w:rsidR="002D19BB">
        <w:t>did</w:t>
      </w:r>
      <w:r w:rsidR="002D19BB" w:rsidRPr="000F47BB">
        <w:t xml:space="preserve"> </w:t>
      </w:r>
      <w:r w:rsidRPr="000F47BB">
        <w:t xml:space="preserve">not addressed the potential cardiovascular risk associated with </w:t>
      </w:r>
      <w:proofErr w:type="spellStart"/>
      <w:r w:rsidRPr="000F47BB">
        <w:t>erenumab</w:t>
      </w:r>
      <w:proofErr w:type="spellEnd"/>
      <w:r w:rsidRPr="000F47BB">
        <w:t>. Robbins (2018)</w:t>
      </w:r>
      <w:r w:rsidRPr="000F47BB">
        <w:rPr>
          <w:rStyle w:val="FootnoteReference"/>
        </w:rPr>
        <w:footnoteReference w:id="4"/>
      </w:r>
      <w:r w:rsidRPr="000F47BB">
        <w:t xml:space="preserve"> noted that CGRP may be helpful in preventing cardiovascular disease but when the protective effects of CGRP are diminished it is possible that cardiac or cerebral infarcts may become more severe. </w:t>
      </w:r>
      <w:proofErr w:type="spellStart"/>
      <w:r w:rsidR="00D91B11" w:rsidRPr="000F47BB">
        <w:t>MaassenVanDenBrink</w:t>
      </w:r>
      <w:proofErr w:type="spellEnd"/>
      <w:r w:rsidR="00D91B11" w:rsidRPr="000F47BB">
        <w:t xml:space="preserve"> (2018)</w:t>
      </w:r>
      <w:r w:rsidR="00D91B11" w:rsidRPr="000F47BB">
        <w:rPr>
          <w:rStyle w:val="FootnoteReference"/>
        </w:rPr>
        <w:footnoteReference w:id="5"/>
      </w:r>
      <w:r w:rsidR="00D91B11" w:rsidRPr="000F47BB">
        <w:t xml:space="preserve"> </w:t>
      </w:r>
      <w:r w:rsidR="00D91B11">
        <w:t xml:space="preserve">considered </w:t>
      </w:r>
      <w:r w:rsidR="00D91B11" w:rsidRPr="000F47BB">
        <w:t xml:space="preserve">that </w:t>
      </w:r>
      <w:r w:rsidR="00D91B11">
        <w:t xml:space="preserve">appropriate studies assessing the safety of </w:t>
      </w:r>
      <w:r w:rsidR="00D91B11" w:rsidRPr="000F47BB">
        <w:t xml:space="preserve">blocking the effects of calcitonin gene-related peptide (CGRP) </w:t>
      </w:r>
      <w:r w:rsidR="00D91B11">
        <w:t>are lacking and the risk may be different in women (who make up the majority of migraine sufferers) compared to men.</w:t>
      </w:r>
      <w:r w:rsidR="008C17FD">
        <w:t xml:space="preserve"> </w:t>
      </w:r>
      <w:r w:rsidRPr="000F47BB">
        <w:t xml:space="preserve">The ESC noted that Study 295 excluded patients with known cardiovascular disease or uncontrolled hypertension and the risks of </w:t>
      </w:r>
      <w:proofErr w:type="spellStart"/>
      <w:r w:rsidRPr="000F47BB">
        <w:t>erenumab</w:t>
      </w:r>
      <w:proofErr w:type="spellEnd"/>
      <w:r w:rsidRPr="000F47BB">
        <w:t xml:space="preserve"> in this population are not known.</w:t>
      </w:r>
      <w:r w:rsidR="00634939" w:rsidRPr="000F47BB">
        <w:t xml:space="preserve"> </w:t>
      </w:r>
    </w:p>
    <w:p w:rsidR="00B60939" w:rsidRPr="00C9624D" w:rsidRDefault="00B60939" w:rsidP="00D87FED">
      <w:pPr>
        <w:pStyle w:val="Heading2"/>
      </w:pPr>
      <w:r w:rsidRPr="00C9624D">
        <w:t>Comparative harms</w:t>
      </w:r>
      <w:r w:rsidR="00D464C7">
        <w:t xml:space="preserve"> – </w:t>
      </w:r>
      <w:proofErr w:type="spellStart"/>
      <w:r w:rsidR="00D464C7">
        <w:t>erenumab</w:t>
      </w:r>
      <w:proofErr w:type="spellEnd"/>
      <w:r w:rsidR="00D464C7">
        <w:t xml:space="preserve"> v. Botox</w:t>
      </w:r>
      <w:bookmarkEnd w:id="9"/>
    </w:p>
    <w:p w:rsidR="00744C2D" w:rsidRDefault="00744C2D" w:rsidP="008C17FD">
      <w:pPr>
        <w:pStyle w:val="ListParagraph"/>
        <w:numPr>
          <w:ilvl w:val="1"/>
          <w:numId w:val="2"/>
        </w:numPr>
        <w:spacing w:after="120"/>
      </w:pPr>
      <w:r>
        <w:t>As for the July 2018 submission, the resubmission provided only an indirect comparison of the overall trial po</w:t>
      </w:r>
      <w:r w:rsidR="00D061B9">
        <w:t xml:space="preserve">pulations for safety outcomes. </w:t>
      </w:r>
      <w:r>
        <w:t>The resubmission stated that AEs were not reported for the subgroup in the Botox trials, hence no indirect comparison was possible for that subgroup population.</w:t>
      </w:r>
    </w:p>
    <w:p w:rsidR="00744C2D" w:rsidRDefault="00BA0614" w:rsidP="008C17FD">
      <w:pPr>
        <w:pStyle w:val="ListParagraph"/>
        <w:numPr>
          <w:ilvl w:val="1"/>
          <w:numId w:val="2"/>
        </w:numPr>
        <w:spacing w:after="120"/>
      </w:pPr>
      <w:r>
        <w:t xml:space="preserve">The resubmission provided the same grouped safety outcomes as presented in the July 2018 submission: any AE; SAE; AEs resulting </w:t>
      </w:r>
      <w:r w:rsidR="00D061B9">
        <w:t xml:space="preserve">in discontinuation; and death. </w:t>
      </w:r>
      <w:r>
        <w:t>The resubmission also presented an additional outcome, injection site pain, as data for this outcome was available in the publication of the pooled Botox trials. Results of the comparisons are provided below.</w:t>
      </w:r>
    </w:p>
    <w:p w:rsidR="00CF02D7" w:rsidRDefault="00CF02D7" w:rsidP="00D87FED">
      <w:pPr>
        <w:keepNext/>
      </w:pPr>
      <w:r w:rsidRPr="00A05B11">
        <w:rPr>
          <w:rFonts w:ascii="Arial Narrow" w:hAnsi="Arial Narrow"/>
          <w:b/>
          <w:sz w:val="20"/>
          <w:szCs w:val="20"/>
        </w:rPr>
        <w:t xml:space="preserve">Table </w:t>
      </w:r>
      <w:r w:rsidR="00821312">
        <w:rPr>
          <w:rFonts w:ascii="Arial Narrow" w:hAnsi="Arial Narrow"/>
          <w:b/>
          <w:noProof/>
          <w:sz w:val="20"/>
          <w:szCs w:val="20"/>
        </w:rPr>
        <w:t>11</w:t>
      </w:r>
      <w:r w:rsidRPr="00A05B11">
        <w:rPr>
          <w:rFonts w:ascii="Arial Narrow" w:hAnsi="Arial Narrow"/>
          <w:b/>
          <w:sz w:val="20"/>
          <w:szCs w:val="20"/>
        </w:rPr>
        <w:t xml:space="preserve">: </w:t>
      </w:r>
      <w:r w:rsidRPr="00C23D48">
        <w:rPr>
          <w:rFonts w:ascii="Arial Narrow" w:hAnsi="Arial Narrow"/>
          <w:b/>
          <w:sz w:val="20"/>
          <w:szCs w:val="20"/>
        </w:rPr>
        <w:t xml:space="preserve">Results of the indirect comparisons between </w:t>
      </w:r>
      <w:proofErr w:type="spellStart"/>
      <w:r w:rsidRPr="00C23D48">
        <w:rPr>
          <w:rFonts w:ascii="Arial Narrow" w:hAnsi="Arial Narrow"/>
          <w:b/>
          <w:sz w:val="20"/>
          <w:szCs w:val="20"/>
        </w:rPr>
        <w:t>erenumab</w:t>
      </w:r>
      <w:proofErr w:type="spellEnd"/>
      <w:r w:rsidRPr="00C23D48">
        <w:rPr>
          <w:rFonts w:ascii="Arial Narrow" w:hAnsi="Arial Narrow"/>
          <w:b/>
          <w:sz w:val="20"/>
          <w:szCs w:val="20"/>
        </w:rPr>
        <w:t xml:space="preserve"> and Botox for safety outcomes</w:t>
      </w:r>
      <w:r>
        <w:rPr>
          <w:rFonts w:ascii="Arial Narrow" w:hAnsi="Arial Narrow"/>
          <w:b/>
          <w:sz w:val="20"/>
          <w:szCs w:val="20"/>
        </w:rPr>
        <w:t xml:space="preserve"> – overall trial population</w:t>
      </w:r>
    </w:p>
    <w:tbl>
      <w:tblPr>
        <w:tblStyle w:val="TableGrid"/>
        <w:tblW w:w="9289" w:type="dxa"/>
        <w:tblCellMar>
          <w:left w:w="28" w:type="dxa"/>
          <w:right w:w="28" w:type="dxa"/>
        </w:tblCellMar>
        <w:tblLook w:val="04A0" w:firstRow="1" w:lastRow="0" w:firstColumn="1" w:lastColumn="0" w:noHBand="0" w:noVBand="1"/>
        <w:tblCaption w:val="Table 11: Results of the indirect comparisons between erenumab and Botox for safety outcomes – overall trial population"/>
      </w:tblPr>
      <w:tblGrid>
        <w:gridCol w:w="1338"/>
        <w:gridCol w:w="1146"/>
        <w:gridCol w:w="1136"/>
        <w:gridCol w:w="1166"/>
        <w:gridCol w:w="1126"/>
        <w:gridCol w:w="1137"/>
        <w:gridCol w:w="1105"/>
        <w:gridCol w:w="1135"/>
      </w:tblGrid>
      <w:tr w:rsidR="00CF02D7" w:rsidTr="008C17FD">
        <w:trPr>
          <w:tblHeader/>
        </w:trPr>
        <w:tc>
          <w:tcPr>
            <w:tcW w:w="1338" w:type="dxa"/>
            <w:vAlign w:val="center"/>
          </w:tcPr>
          <w:p w:rsidR="00CF02D7" w:rsidRDefault="00CF02D7" w:rsidP="00D87FED">
            <w:pPr>
              <w:keepNext/>
              <w:rPr>
                <w:rFonts w:ascii="Arial Narrow" w:hAnsi="Arial Narrow"/>
                <w:b/>
                <w:sz w:val="20"/>
                <w:szCs w:val="20"/>
              </w:rPr>
            </w:pPr>
          </w:p>
        </w:tc>
        <w:tc>
          <w:tcPr>
            <w:tcW w:w="2282" w:type="dxa"/>
            <w:gridSpan w:val="2"/>
            <w:vAlign w:val="center"/>
          </w:tcPr>
          <w:p w:rsidR="00CF02D7" w:rsidRPr="00C23D48" w:rsidRDefault="00CF02D7" w:rsidP="00D87FED">
            <w:pPr>
              <w:keepNext/>
              <w:jc w:val="center"/>
              <w:rPr>
                <w:rFonts w:ascii="Arial Narrow" w:hAnsi="Arial Narrow"/>
                <w:b/>
                <w:sz w:val="20"/>
                <w:szCs w:val="20"/>
              </w:rPr>
            </w:pPr>
            <w:proofErr w:type="gramStart"/>
            <w:r w:rsidRPr="00C23D48">
              <w:rPr>
                <w:rFonts w:ascii="Arial Narrow" w:hAnsi="Arial Narrow"/>
                <w:b/>
                <w:sz w:val="20"/>
                <w:szCs w:val="20"/>
              </w:rPr>
              <w:t>n</w:t>
            </w:r>
            <w:proofErr w:type="gramEnd"/>
            <w:r w:rsidRPr="00C23D48">
              <w:rPr>
                <w:rFonts w:ascii="Arial Narrow" w:hAnsi="Arial Narrow"/>
                <w:b/>
                <w:sz w:val="20"/>
                <w:szCs w:val="20"/>
              </w:rPr>
              <w:t xml:space="preserve"> with event/N (%)</w:t>
            </w:r>
          </w:p>
        </w:tc>
        <w:tc>
          <w:tcPr>
            <w:tcW w:w="1166" w:type="dxa"/>
            <w:vMerge w:val="restart"/>
            <w:vAlign w:val="center"/>
          </w:tcPr>
          <w:p w:rsidR="00CF02D7" w:rsidRDefault="00CF02D7" w:rsidP="00D87FED">
            <w:pPr>
              <w:keepNext/>
              <w:jc w:val="center"/>
              <w:rPr>
                <w:rFonts w:ascii="Arial Narrow" w:hAnsi="Arial Narrow"/>
                <w:b/>
                <w:sz w:val="20"/>
                <w:szCs w:val="20"/>
              </w:rPr>
            </w:pPr>
            <w:r>
              <w:rPr>
                <w:rFonts w:ascii="Arial Narrow" w:hAnsi="Arial Narrow"/>
                <w:b/>
                <w:sz w:val="20"/>
                <w:szCs w:val="20"/>
              </w:rPr>
              <w:t>OR</w:t>
            </w:r>
          </w:p>
        </w:tc>
        <w:tc>
          <w:tcPr>
            <w:tcW w:w="2263" w:type="dxa"/>
            <w:gridSpan w:val="2"/>
            <w:vAlign w:val="center"/>
          </w:tcPr>
          <w:p w:rsidR="00CF02D7" w:rsidRDefault="00CF02D7" w:rsidP="00D87FED">
            <w:pPr>
              <w:keepNext/>
              <w:jc w:val="center"/>
              <w:rPr>
                <w:rFonts w:ascii="Arial Narrow" w:hAnsi="Arial Narrow"/>
                <w:b/>
                <w:sz w:val="20"/>
                <w:szCs w:val="20"/>
              </w:rPr>
            </w:pPr>
            <w:proofErr w:type="gramStart"/>
            <w:r w:rsidRPr="00C23D48">
              <w:rPr>
                <w:rFonts w:ascii="Arial Narrow" w:hAnsi="Arial Narrow"/>
                <w:b/>
                <w:sz w:val="20"/>
                <w:szCs w:val="20"/>
              </w:rPr>
              <w:t>n</w:t>
            </w:r>
            <w:proofErr w:type="gramEnd"/>
            <w:r w:rsidRPr="00C23D48">
              <w:rPr>
                <w:rFonts w:ascii="Arial Narrow" w:hAnsi="Arial Narrow"/>
                <w:b/>
                <w:sz w:val="20"/>
                <w:szCs w:val="20"/>
              </w:rPr>
              <w:t xml:space="preserve"> with event/N (%)</w:t>
            </w:r>
          </w:p>
        </w:tc>
        <w:tc>
          <w:tcPr>
            <w:tcW w:w="1105" w:type="dxa"/>
            <w:vMerge w:val="restart"/>
            <w:vAlign w:val="center"/>
          </w:tcPr>
          <w:p w:rsidR="00CF02D7" w:rsidRDefault="00CF02D7" w:rsidP="00D87FED">
            <w:pPr>
              <w:keepNext/>
              <w:jc w:val="center"/>
              <w:rPr>
                <w:rFonts w:ascii="Arial Narrow" w:hAnsi="Arial Narrow"/>
                <w:b/>
                <w:sz w:val="20"/>
                <w:szCs w:val="20"/>
              </w:rPr>
            </w:pPr>
            <w:r>
              <w:rPr>
                <w:rFonts w:ascii="Arial Narrow" w:hAnsi="Arial Narrow"/>
                <w:b/>
                <w:sz w:val="20"/>
                <w:szCs w:val="20"/>
              </w:rPr>
              <w:t>OR</w:t>
            </w:r>
          </w:p>
        </w:tc>
        <w:tc>
          <w:tcPr>
            <w:tcW w:w="1135" w:type="dxa"/>
            <w:vMerge w:val="restart"/>
            <w:vAlign w:val="center"/>
          </w:tcPr>
          <w:p w:rsidR="00CF02D7" w:rsidRDefault="00CF02D7" w:rsidP="00D87FED">
            <w:pPr>
              <w:keepNext/>
              <w:jc w:val="center"/>
              <w:rPr>
                <w:rFonts w:ascii="Arial Narrow" w:hAnsi="Arial Narrow"/>
                <w:b/>
                <w:sz w:val="20"/>
                <w:szCs w:val="20"/>
              </w:rPr>
            </w:pPr>
            <w:r>
              <w:rPr>
                <w:rFonts w:ascii="Arial Narrow" w:hAnsi="Arial Narrow"/>
                <w:b/>
                <w:sz w:val="20"/>
                <w:szCs w:val="20"/>
              </w:rPr>
              <w:t>Indirect OR (95% CI)</w:t>
            </w:r>
          </w:p>
        </w:tc>
      </w:tr>
      <w:tr w:rsidR="00CF02D7" w:rsidRPr="00C23D48" w:rsidTr="008C17FD">
        <w:trPr>
          <w:tblHeader/>
        </w:trPr>
        <w:tc>
          <w:tcPr>
            <w:tcW w:w="1338" w:type="dxa"/>
            <w:vAlign w:val="center"/>
          </w:tcPr>
          <w:p w:rsidR="00CF02D7" w:rsidRPr="00C23D48" w:rsidRDefault="00CF02D7" w:rsidP="00D87FED">
            <w:pPr>
              <w:keepNext/>
              <w:rPr>
                <w:rFonts w:ascii="Arial Narrow" w:hAnsi="Arial Narrow"/>
                <w:b/>
                <w:sz w:val="20"/>
                <w:szCs w:val="20"/>
              </w:rPr>
            </w:pPr>
            <w:r>
              <w:rPr>
                <w:rFonts w:ascii="Arial Narrow" w:hAnsi="Arial Narrow"/>
                <w:b/>
                <w:sz w:val="20"/>
                <w:szCs w:val="20"/>
              </w:rPr>
              <w:t>Outcome</w:t>
            </w:r>
          </w:p>
        </w:tc>
        <w:tc>
          <w:tcPr>
            <w:tcW w:w="1146" w:type="dxa"/>
            <w:vAlign w:val="center"/>
          </w:tcPr>
          <w:p w:rsidR="00CF02D7" w:rsidRPr="00C23D48" w:rsidRDefault="00CF02D7" w:rsidP="00D87FED">
            <w:pPr>
              <w:keepNext/>
              <w:jc w:val="center"/>
              <w:rPr>
                <w:rFonts w:ascii="Arial Narrow" w:hAnsi="Arial Narrow"/>
                <w:b/>
                <w:sz w:val="20"/>
                <w:szCs w:val="20"/>
              </w:rPr>
            </w:pPr>
            <w:proofErr w:type="spellStart"/>
            <w:r>
              <w:rPr>
                <w:rFonts w:ascii="Arial Narrow" w:hAnsi="Arial Narrow"/>
                <w:b/>
                <w:sz w:val="20"/>
                <w:szCs w:val="20"/>
              </w:rPr>
              <w:t>Erenumab</w:t>
            </w:r>
            <w:proofErr w:type="spellEnd"/>
            <w:r w:rsidR="000B7B5B">
              <w:rPr>
                <w:rFonts w:ascii="Arial Narrow" w:hAnsi="Arial Narrow"/>
                <w:b/>
                <w:sz w:val="20"/>
                <w:szCs w:val="20"/>
              </w:rPr>
              <w:t xml:space="preserve"> 140 mg</w:t>
            </w:r>
          </w:p>
        </w:tc>
        <w:tc>
          <w:tcPr>
            <w:tcW w:w="1136" w:type="dxa"/>
            <w:vAlign w:val="center"/>
          </w:tcPr>
          <w:p w:rsidR="00CF02D7" w:rsidRPr="00C23D48" w:rsidRDefault="00CF02D7" w:rsidP="00D87FED">
            <w:pPr>
              <w:keepNext/>
              <w:jc w:val="center"/>
              <w:rPr>
                <w:rFonts w:ascii="Arial Narrow" w:hAnsi="Arial Narrow"/>
                <w:b/>
                <w:sz w:val="20"/>
                <w:szCs w:val="20"/>
              </w:rPr>
            </w:pPr>
            <w:r>
              <w:rPr>
                <w:rFonts w:ascii="Arial Narrow" w:hAnsi="Arial Narrow"/>
                <w:b/>
                <w:sz w:val="20"/>
                <w:szCs w:val="20"/>
              </w:rPr>
              <w:t>Placebo</w:t>
            </w:r>
          </w:p>
        </w:tc>
        <w:tc>
          <w:tcPr>
            <w:tcW w:w="1166" w:type="dxa"/>
            <w:vMerge/>
            <w:vAlign w:val="center"/>
          </w:tcPr>
          <w:p w:rsidR="00CF02D7" w:rsidRPr="00C23D48" w:rsidRDefault="00CF02D7" w:rsidP="00D87FED">
            <w:pPr>
              <w:keepNext/>
              <w:jc w:val="center"/>
              <w:rPr>
                <w:rFonts w:ascii="Arial Narrow" w:hAnsi="Arial Narrow"/>
                <w:b/>
                <w:sz w:val="20"/>
                <w:szCs w:val="20"/>
              </w:rPr>
            </w:pPr>
          </w:p>
        </w:tc>
        <w:tc>
          <w:tcPr>
            <w:tcW w:w="1126" w:type="dxa"/>
            <w:vAlign w:val="center"/>
          </w:tcPr>
          <w:p w:rsidR="00CF02D7" w:rsidRPr="00C23D48" w:rsidRDefault="00CF02D7" w:rsidP="00D87FED">
            <w:pPr>
              <w:keepNext/>
              <w:jc w:val="center"/>
              <w:rPr>
                <w:rFonts w:ascii="Arial Narrow" w:hAnsi="Arial Narrow"/>
                <w:b/>
                <w:sz w:val="20"/>
                <w:szCs w:val="20"/>
              </w:rPr>
            </w:pPr>
            <w:r>
              <w:rPr>
                <w:rFonts w:ascii="Arial Narrow" w:hAnsi="Arial Narrow"/>
                <w:b/>
                <w:sz w:val="20"/>
                <w:szCs w:val="20"/>
              </w:rPr>
              <w:t xml:space="preserve">Botox </w:t>
            </w:r>
          </w:p>
        </w:tc>
        <w:tc>
          <w:tcPr>
            <w:tcW w:w="1137" w:type="dxa"/>
            <w:vAlign w:val="center"/>
          </w:tcPr>
          <w:p w:rsidR="00CF02D7" w:rsidRPr="00C23D48" w:rsidRDefault="00CF02D7" w:rsidP="00D87FED">
            <w:pPr>
              <w:keepNext/>
              <w:jc w:val="center"/>
              <w:rPr>
                <w:rFonts w:ascii="Arial Narrow" w:hAnsi="Arial Narrow"/>
                <w:b/>
                <w:sz w:val="20"/>
                <w:szCs w:val="20"/>
              </w:rPr>
            </w:pPr>
            <w:r>
              <w:rPr>
                <w:rFonts w:ascii="Arial Narrow" w:hAnsi="Arial Narrow"/>
                <w:b/>
                <w:sz w:val="20"/>
                <w:szCs w:val="20"/>
              </w:rPr>
              <w:t xml:space="preserve">Placebo </w:t>
            </w:r>
          </w:p>
        </w:tc>
        <w:tc>
          <w:tcPr>
            <w:tcW w:w="1105" w:type="dxa"/>
            <w:vMerge/>
            <w:vAlign w:val="center"/>
          </w:tcPr>
          <w:p w:rsidR="00CF02D7" w:rsidRPr="00C23D48" w:rsidRDefault="00CF02D7" w:rsidP="00D87FED">
            <w:pPr>
              <w:keepNext/>
              <w:jc w:val="center"/>
              <w:rPr>
                <w:rFonts w:ascii="Arial Narrow" w:hAnsi="Arial Narrow"/>
                <w:b/>
                <w:sz w:val="20"/>
                <w:szCs w:val="20"/>
              </w:rPr>
            </w:pPr>
          </w:p>
        </w:tc>
        <w:tc>
          <w:tcPr>
            <w:tcW w:w="1135" w:type="dxa"/>
            <w:vMerge/>
            <w:vAlign w:val="center"/>
          </w:tcPr>
          <w:p w:rsidR="00CF02D7" w:rsidRPr="00C23D48" w:rsidRDefault="00CF02D7" w:rsidP="00D87FED">
            <w:pPr>
              <w:keepNext/>
              <w:jc w:val="center"/>
              <w:rPr>
                <w:rFonts w:ascii="Arial Narrow" w:hAnsi="Arial Narrow"/>
                <w:b/>
                <w:sz w:val="20"/>
                <w:szCs w:val="20"/>
              </w:rPr>
            </w:pPr>
          </w:p>
        </w:tc>
      </w:tr>
      <w:tr w:rsidR="00CF02D7" w:rsidRPr="00863E22" w:rsidTr="00047D14">
        <w:tc>
          <w:tcPr>
            <w:tcW w:w="1338" w:type="dxa"/>
            <w:vAlign w:val="center"/>
          </w:tcPr>
          <w:p w:rsidR="00CF02D7" w:rsidRPr="00863E22" w:rsidRDefault="00CF02D7" w:rsidP="00D87FED">
            <w:pPr>
              <w:keepNext/>
              <w:rPr>
                <w:rFonts w:ascii="Arial Narrow" w:hAnsi="Arial Narrow"/>
                <w:sz w:val="20"/>
                <w:szCs w:val="20"/>
              </w:rPr>
            </w:pPr>
            <w:r w:rsidRPr="00863E22">
              <w:rPr>
                <w:rFonts w:ascii="Arial Narrow" w:hAnsi="Arial Narrow"/>
                <w:sz w:val="20"/>
                <w:szCs w:val="20"/>
              </w:rPr>
              <w:t>Any AE</w:t>
            </w:r>
          </w:p>
        </w:tc>
        <w:tc>
          <w:tcPr>
            <w:tcW w:w="114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88/188 (46.81%)</w:t>
            </w:r>
          </w:p>
        </w:tc>
        <w:tc>
          <w:tcPr>
            <w:tcW w:w="113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110/282 (39.01%)</w:t>
            </w:r>
          </w:p>
        </w:tc>
        <w:tc>
          <w:tcPr>
            <w:tcW w:w="116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1.38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(0.95, 2.00)</w:t>
            </w:r>
          </w:p>
        </w:tc>
        <w:tc>
          <w:tcPr>
            <w:tcW w:w="112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429/687 (62.45%)</w:t>
            </w:r>
          </w:p>
        </w:tc>
        <w:tc>
          <w:tcPr>
            <w:tcW w:w="1137"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358/692 (51.73%)</w:t>
            </w:r>
          </w:p>
        </w:tc>
        <w:tc>
          <w:tcPr>
            <w:tcW w:w="110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1.55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(1.25, 1.92)</w:t>
            </w:r>
          </w:p>
        </w:tc>
        <w:tc>
          <w:tcPr>
            <w:tcW w:w="113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0.89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(0.58, 1.37)</w:t>
            </w:r>
          </w:p>
        </w:tc>
      </w:tr>
      <w:tr w:rsidR="00CF02D7" w:rsidRPr="00863E22" w:rsidTr="00047D14">
        <w:tc>
          <w:tcPr>
            <w:tcW w:w="1338" w:type="dxa"/>
            <w:vAlign w:val="center"/>
          </w:tcPr>
          <w:p w:rsidR="00CF02D7" w:rsidRPr="00863E22" w:rsidRDefault="00CF02D7" w:rsidP="00D87FED">
            <w:pPr>
              <w:keepNext/>
              <w:rPr>
                <w:rFonts w:ascii="Arial Narrow" w:hAnsi="Arial Narrow"/>
                <w:sz w:val="20"/>
                <w:szCs w:val="20"/>
              </w:rPr>
            </w:pPr>
            <w:r w:rsidRPr="00863E22">
              <w:rPr>
                <w:rFonts w:ascii="Arial Narrow" w:hAnsi="Arial Narrow"/>
                <w:sz w:val="20"/>
                <w:szCs w:val="20"/>
              </w:rPr>
              <w:t>SAE</w:t>
            </w:r>
          </w:p>
        </w:tc>
        <w:tc>
          <w:tcPr>
            <w:tcW w:w="114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2/188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(1.06%)</w:t>
            </w:r>
          </w:p>
        </w:tc>
        <w:tc>
          <w:tcPr>
            <w:tcW w:w="113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7/282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(2.48%)</w:t>
            </w:r>
          </w:p>
        </w:tc>
        <w:tc>
          <w:tcPr>
            <w:tcW w:w="116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0.42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(0.09, 2.06)</w:t>
            </w:r>
          </w:p>
        </w:tc>
        <w:tc>
          <w:tcPr>
            <w:tcW w:w="112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33/687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(4.8%)</w:t>
            </w:r>
          </w:p>
        </w:tc>
        <w:tc>
          <w:tcPr>
            <w:tcW w:w="1137"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16/692 (2.31%)</w:t>
            </w:r>
          </w:p>
        </w:tc>
        <w:tc>
          <w:tcPr>
            <w:tcW w:w="110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2.13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(1.16, 3.91)</w:t>
            </w:r>
          </w:p>
        </w:tc>
        <w:tc>
          <w:tcPr>
            <w:tcW w:w="113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0.20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(0.04, 1.06)</w:t>
            </w:r>
          </w:p>
        </w:tc>
      </w:tr>
      <w:tr w:rsidR="00CF02D7" w:rsidRPr="00863E22" w:rsidTr="00047D14">
        <w:tc>
          <w:tcPr>
            <w:tcW w:w="1338" w:type="dxa"/>
            <w:vAlign w:val="center"/>
          </w:tcPr>
          <w:p w:rsidR="00CF02D7" w:rsidRPr="00863E22" w:rsidRDefault="00CF02D7" w:rsidP="00D87FED">
            <w:pPr>
              <w:keepNext/>
              <w:rPr>
                <w:rFonts w:ascii="Arial Narrow" w:hAnsi="Arial Narrow"/>
                <w:sz w:val="20"/>
                <w:szCs w:val="20"/>
              </w:rPr>
            </w:pPr>
            <w:r w:rsidRPr="00863E22">
              <w:rPr>
                <w:rFonts w:ascii="Arial Narrow" w:hAnsi="Arial Narrow"/>
                <w:sz w:val="20"/>
                <w:szCs w:val="20"/>
              </w:rPr>
              <w:t>Discontinuation due to AE</w:t>
            </w:r>
          </w:p>
        </w:tc>
        <w:tc>
          <w:tcPr>
            <w:tcW w:w="114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2/188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(1.06%)</w:t>
            </w:r>
          </w:p>
        </w:tc>
        <w:tc>
          <w:tcPr>
            <w:tcW w:w="113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2/282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(0.71%)</w:t>
            </w:r>
          </w:p>
        </w:tc>
        <w:tc>
          <w:tcPr>
            <w:tcW w:w="116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1.51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(0.21, 10.78)</w:t>
            </w:r>
          </w:p>
        </w:tc>
        <w:tc>
          <w:tcPr>
            <w:tcW w:w="112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26/687 (3.78%)</w:t>
            </w:r>
          </w:p>
        </w:tc>
        <w:tc>
          <w:tcPr>
            <w:tcW w:w="1137"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8/692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(1.16%)</w:t>
            </w:r>
          </w:p>
        </w:tc>
        <w:tc>
          <w:tcPr>
            <w:tcW w:w="110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3.36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(1.51, 7.48)</w:t>
            </w:r>
          </w:p>
        </w:tc>
        <w:tc>
          <w:tcPr>
            <w:tcW w:w="113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0.45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(0.05, 3.76)</w:t>
            </w:r>
          </w:p>
        </w:tc>
      </w:tr>
      <w:tr w:rsidR="00CF02D7" w:rsidRPr="00863E22" w:rsidTr="00047D14">
        <w:tc>
          <w:tcPr>
            <w:tcW w:w="1338" w:type="dxa"/>
            <w:vAlign w:val="center"/>
          </w:tcPr>
          <w:p w:rsidR="00CF02D7" w:rsidRPr="00863E22" w:rsidRDefault="00CF02D7" w:rsidP="00D87FED">
            <w:pPr>
              <w:keepNext/>
              <w:rPr>
                <w:rFonts w:ascii="Arial Narrow" w:hAnsi="Arial Narrow"/>
                <w:sz w:val="20"/>
                <w:szCs w:val="20"/>
              </w:rPr>
            </w:pPr>
            <w:r w:rsidRPr="00863E22">
              <w:rPr>
                <w:rFonts w:ascii="Arial Narrow" w:hAnsi="Arial Narrow"/>
                <w:sz w:val="20"/>
                <w:szCs w:val="20"/>
              </w:rPr>
              <w:t>Death due to AE</w:t>
            </w:r>
          </w:p>
        </w:tc>
        <w:tc>
          <w:tcPr>
            <w:tcW w:w="114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0/188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w:t>
            </w:r>
          </w:p>
        </w:tc>
        <w:tc>
          <w:tcPr>
            <w:tcW w:w="113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0/282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w:t>
            </w:r>
          </w:p>
        </w:tc>
        <w:tc>
          <w:tcPr>
            <w:tcW w:w="116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w:t>
            </w:r>
          </w:p>
        </w:tc>
        <w:tc>
          <w:tcPr>
            <w:tcW w:w="112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0/687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w:t>
            </w:r>
          </w:p>
        </w:tc>
        <w:tc>
          <w:tcPr>
            <w:tcW w:w="1137"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0/692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w:t>
            </w:r>
          </w:p>
        </w:tc>
        <w:tc>
          <w:tcPr>
            <w:tcW w:w="110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w:t>
            </w:r>
          </w:p>
        </w:tc>
        <w:tc>
          <w:tcPr>
            <w:tcW w:w="113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w:t>
            </w:r>
          </w:p>
        </w:tc>
      </w:tr>
      <w:tr w:rsidR="00CF02D7" w:rsidRPr="00863E22" w:rsidTr="00047D14">
        <w:tc>
          <w:tcPr>
            <w:tcW w:w="1338" w:type="dxa"/>
            <w:vAlign w:val="center"/>
          </w:tcPr>
          <w:p w:rsidR="00CF02D7" w:rsidRPr="00863E22" w:rsidRDefault="00CF02D7" w:rsidP="00D87FED">
            <w:pPr>
              <w:keepNext/>
              <w:rPr>
                <w:rFonts w:ascii="Arial Narrow" w:hAnsi="Arial Narrow"/>
                <w:sz w:val="20"/>
                <w:szCs w:val="20"/>
              </w:rPr>
            </w:pPr>
            <w:r w:rsidRPr="00863E22">
              <w:rPr>
                <w:rFonts w:ascii="Arial Narrow" w:hAnsi="Arial Narrow"/>
                <w:sz w:val="20"/>
                <w:szCs w:val="20"/>
              </w:rPr>
              <w:t>Injection site pain</w:t>
            </w:r>
          </w:p>
        </w:tc>
        <w:tc>
          <w:tcPr>
            <w:tcW w:w="114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7/188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(3.72%)</w:t>
            </w:r>
          </w:p>
        </w:tc>
        <w:tc>
          <w:tcPr>
            <w:tcW w:w="113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3/282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(1.06%)</w:t>
            </w:r>
          </w:p>
        </w:tc>
        <w:tc>
          <w:tcPr>
            <w:tcW w:w="116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3.6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(0.92, 14.09)</w:t>
            </w:r>
          </w:p>
        </w:tc>
        <w:tc>
          <w:tcPr>
            <w:tcW w:w="1126"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22/687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(3.2%)</w:t>
            </w:r>
          </w:p>
        </w:tc>
        <w:tc>
          <w:tcPr>
            <w:tcW w:w="1137"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14/692 (2.02%)</w:t>
            </w:r>
          </w:p>
        </w:tc>
        <w:tc>
          <w:tcPr>
            <w:tcW w:w="110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1.6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(0.81, 3.16)</w:t>
            </w:r>
          </w:p>
        </w:tc>
        <w:tc>
          <w:tcPr>
            <w:tcW w:w="1135" w:type="dxa"/>
            <w:vAlign w:val="center"/>
          </w:tcPr>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 xml:space="preserve">2.25 </w:t>
            </w:r>
          </w:p>
          <w:p w:rsidR="00CF02D7" w:rsidRPr="00863E22" w:rsidRDefault="00CF02D7" w:rsidP="00D87FED">
            <w:pPr>
              <w:keepNext/>
              <w:jc w:val="center"/>
              <w:rPr>
                <w:rFonts w:ascii="Arial Narrow" w:hAnsi="Arial Narrow"/>
                <w:sz w:val="20"/>
                <w:szCs w:val="20"/>
              </w:rPr>
            </w:pPr>
            <w:r w:rsidRPr="00863E22">
              <w:rPr>
                <w:rFonts w:ascii="Arial Narrow" w:hAnsi="Arial Narrow"/>
                <w:sz w:val="20"/>
                <w:szCs w:val="20"/>
              </w:rPr>
              <w:t>(0.49, 10.</w:t>
            </w:r>
            <w:r w:rsidR="003C7E7C" w:rsidRPr="00863E22">
              <w:rPr>
                <w:rFonts w:ascii="Arial Narrow" w:hAnsi="Arial Narrow"/>
                <w:sz w:val="20"/>
                <w:szCs w:val="20"/>
              </w:rPr>
              <w:t>34</w:t>
            </w:r>
            <w:r w:rsidRPr="00863E22">
              <w:rPr>
                <w:rFonts w:ascii="Arial Narrow" w:hAnsi="Arial Narrow"/>
                <w:sz w:val="20"/>
                <w:szCs w:val="20"/>
              </w:rPr>
              <w:t>)</w:t>
            </w:r>
          </w:p>
        </w:tc>
      </w:tr>
    </w:tbl>
    <w:p w:rsidR="00CF02D7" w:rsidRDefault="00CF02D7" w:rsidP="00D87FED">
      <w:pPr>
        <w:pStyle w:val="TableFooter"/>
      </w:pPr>
      <w:r w:rsidRPr="00863E22">
        <w:t>AE=adverse event; CI=confidence interval; OR=odds ratio; SAE=serious adverse events</w:t>
      </w:r>
    </w:p>
    <w:p w:rsidR="00CF02D7" w:rsidRDefault="00CD793C" w:rsidP="00D87FED">
      <w:pPr>
        <w:pStyle w:val="TableFooter"/>
      </w:pPr>
      <w:r>
        <w:t xml:space="preserve">Source: </w:t>
      </w:r>
      <w:r w:rsidR="00CF02D7">
        <w:t>Table 2.41, p80 of the resubmission.</w:t>
      </w:r>
    </w:p>
    <w:p w:rsidR="00CF02D7" w:rsidRDefault="00CF02D7" w:rsidP="00D87FED"/>
    <w:p w:rsidR="00BA0614" w:rsidRPr="00AF35D1" w:rsidRDefault="00CF02D7" w:rsidP="008C17FD">
      <w:pPr>
        <w:pStyle w:val="ListParagraph"/>
        <w:numPr>
          <w:ilvl w:val="1"/>
          <w:numId w:val="2"/>
        </w:numPr>
        <w:spacing w:after="120"/>
      </w:pPr>
      <w:r w:rsidRPr="00D061B9">
        <w:t xml:space="preserve">There were no statistically significant differences between </w:t>
      </w:r>
      <w:proofErr w:type="spellStart"/>
      <w:r w:rsidRPr="00D061B9">
        <w:t>erenumab</w:t>
      </w:r>
      <w:proofErr w:type="spellEnd"/>
      <w:r w:rsidRPr="00D061B9">
        <w:t xml:space="preserve"> and Botox for the occurrence of any of the grouped ou</w:t>
      </w:r>
      <w:r w:rsidR="00CD793C">
        <w:t xml:space="preserve">tcomes or injection site pain. </w:t>
      </w:r>
      <w:r w:rsidRPr="00D061B9">
        <w:t xml:space="preserve">As noted above, </w:t>
      </w:r>
      <w:r w:rsidRPr="00AF35D1">
        <w:t>the comparisons presented by the resubmission were based on the overall trial population and it cannot be assumed the observed results will apply to the nominated subgroup which corresponds to the proposed PBS population.</w:t>
      </w:r>
      <w:r w:rsidR="009B73FC">
        <w:t xml:space="preserve"> The PBAC also noted the transitivity issues (paragraph 6.18) across the trials which may impact on assessing the comparative safety of </w:t>
      </w:r>
      <w:proofErr w:type="spellStart"/>
      <w:r w:rsidR="009B73FC">
        <w:t>erenumab</w:t>
      </w:r>
      <w:proofErr w:type="spellEnd"/>
      <w:r w:rsidR="009B73FC">
        <w:t xml:space="preserve"> and Botox.</w:t>
      </w:r>
    </w:p>
    <w:p w:rsidR="00D451D8" w:rsidRPr="00D451D8" w:rsidRDefault="00D3362F" w:rsidP="008C17FD">
      <w:pPr>
        <w:pStyle w:val="ListParagraph"/>
        <w:numPr>
          <w:ilvl w:val="1"/>
          <w:numId w:val="2"/>
        </w:numPr>
        <w:spacing w:after="120"/>
      </w:pPr>
      <w:r w:rsidRPr="00DD5D20">
        <w:t xml:space="preserve">The PSCR provided </w:t>
      </w:r>
      <w:r w:rsidR="00C965FD" w:rsidRPr="00DD5D20">
        <w:t xml:space="preserve">an indirect comparison of </w:t>
      </w:r>
      <w:r w:rsidR="005A7292">
        <w:t xml:space="preserve">an additional </w:t>
      </w:r>
      <w:r w:rsidRPr="00DD5D20">
        <w:t xml:space="preserve">6 adverse events </w:t>
      </w:r>
      <w:r w:rsidR="00C965FD" w:rsidRPr="00DD5D20">
        <w:t>that we</w:t>
      </w:r>
      <w:r w:rsidR="00C965FD" w:rsidRPr="008E5F02">
        <w:t xml:space="preserve">re reported </w:t>
      </w:r>
      <w:r w:rsidR="005A7292" w:rsidRPr="008E5F02">
        <w:t xml:space="preserve">in a publication of the pooled </w:t>
      </w:r>
      <w:r w:rsidR="00C965FD" w:rsidRPr="008E5F02">
        <w:t>Boto</w:t>
      </w:r>
      <w:r w:rsidR="006A0C84" w:rsidRPr="008E5F02">
        <w:t xml:space="preserve">x </w:t>
      </w:r>
      <w:r w:rsidR="005A7292" w:rsidRPr="008E5F02">
        <w:t>trials (</w:t>
      </w:r>
      <w:proofErr w:type="spellStart"/>
      <w:r w:rsidR="005A7292" w:rsidRPr="008E5F02">
        <w:t>Dodick</w:t>
      </w:r>
      <w:proofErr w:type="spellEnd"/>
      <w:r w:rsidR="005A7292" w:rsidRPr="008E5F02">
        <w:t xml:space="preserve"> 2010</w:t>
      </w:r>
      <w:r w:rsidR="008E5F02" w:rsidRPr="008E5F02">
        <w:rPr>
          <w:rStyle w:val="FootnoteReference"/>
        </w:rPr>
        <w:footnoteReference w:id="6"/>
      </w:r>
      <w:r w:rsidR="005A7292" w:rsidRPr="008E5F02">
        <w:t xml:space="preserve">) </w:t>
      </w:r>
      <w:r w:rsidR="006A0C84" w:rsidRPr="008E5F02">
        <w:t>and for which there</w:t>
      </w:r>
      <w:r w:rsidR="006A0C84" w:rsidRPr="00DD5D20">
        <w:t xml:space="preserve"> </w:t>
      </w:r>
      <w:r w:rsidR="003A59F6" w:rsidRPr="00DD5D20">
        <w:t>were</w:t>
      </w:r>
      <w:r w:rsidR="00C965FD" w:rsidRPr="00DD5D20">
        <w:t xml:space="preserve"> data available for </w:t>
      </w:r>
      <w:proofErr w:type="spellStart"/>
      <w:r w:rsidR="00C965FD" w:rsidRPr="00DD5D20">
        <w:t>erenumab</w:t>
      </w:r>
      <w:proofErr w:type="spellEnd"/>
      <w:r w:rsidR="00C965FD" w:rsidRPr="00DD5D20">
        <w:t xml:space="preserve"> </w:t>
      </w:r>
      <w:r w:rsidR="00BA0763" w:rsidRPr="00DD5D20">
        <w:t>(see T</w:t>
      </w:r>
      <w:r w:rsidR="002C59B3" w:rsidRPr="00DD5D20">
        <w:t>able</w:t>
      </w:r>
      <w:r w:rsidR="00BA0763" w:rsidRPr="00DD5D20">
        <w:t xml:space="preserve"> </w:t>
      </w:r>
      <w:r w:rsidR="00E93584" w:rsidRPr="00DD5D20">
        <w:t>12</w:t>
      </w:r>
      <w:r w:rsidR="002C59B3" w:rsidRPr="00DD5D20">
        <w:t xml:space="preserve"> below)</w:t>
      </w:r>
      <w:r w:rsidRPr="00DD5D20">
        <w:t>.</w:t>
      </w:r>
      <w:r w:rsidR="00C965FD" w:rsidRPr="00DD5D20">
        <w:t xml:space="preserve"> The PSCR stated</w:t>
      </w:r>
      <w:r w:rsidRPr="00DD5D20">
        <w:t xml:space="preserve"> the analysis demonstrated similar </w:t>
      </w:r>
      <w:r w:rsidR="009D424D" w:rsidRPr="00DD5D20">
        <w:t>occurrences</w:t>
      </w:r>
      <w:r w:rsidRPr="00DD5D20">
        <w:t xml:space="preserve"> of the </w:t>
      </w:r>
      <w:r w:rsidR="00A874F2" w:rsidRPr="00DD5D20">
        <w:t>6</w:t>
      </w:r>
      <w:r w:rsidRPr="00DD5D20">
        <w:t xml:space="preserve"> AEs between </w:t>
      </w:r>
      <w:proofErr w:type="spellStart"/>
      <w:r w:rsidRPr="00DD5D20">
        <w:t>ere</w:t>
      </w:r>
      <w:r w:rsidR="00C965FD" w:rsidRPr="00DD5D20">
        <w:t>numab</w:t>
      </w:r>
      <w:proofErr w:type="spellEnd"/>
      <w:r w:rsidR="00C965FD" w:rsidRPr="00DD5D20">
        <w:t xml:space="preserve"> and Botox with a trend of </w:t>
      </w:r>
      <w:proofErr w:type="spellStart"/>
      <w:r w:rsidR="00963731" w:rsidRPr="00DD5D20">
        <w:t>erenumab</w:t>
      </w:r>
      <w:proofErr w:type="spellEnd"/>
      <w:r w:rsidR="00963731" w:rsidRPr="00DD5D20">
        <w:t xml:space="preserve"> having less AEs.</w:t>
      </w:r>
    </w:p>
    <w:p w:rsidR="002C59B3" w:rsidRPr="00DD5D20" w:rsidRDefault="009111A3" w:rsidP="00D87FED">
      <w:pPr>
        <w:jc w:val="left"/>
        <w:rPr>
          <w:rFonts w:ascii="Arial Narrow" w:hAnsi="Arial Narrow"/>
          <w:b/>
          <w:sz w:val="20"/>
          <w:szCs w:val="20"/>
        </w:rPr>
      </w:pPr>
      <w:r>
        <w:rPr>
          <w:rFonts w:ascii="Arial Narrow" w:hAnsi="Arial Narrow"/>
          <w:b/>
          <w:sz w:val="20"/>
          <w:szCs w:val="20"/>
        </w:rPr>
        <w:br w:type="column"/>
      </w:r>
      <w:r w:rsidR="00BA0763" w:rsidRPr="00A05B11">
        <w:rPr>
          <w:rFonts w:ascii="Arial Narrow" w:hAnsi="Arial Narrow"/>
          <w:b/>
          <w:sz w:val="20"/>
          <w:szCs w:val="20"/>
        </w:rPr>
        <w:lastRenderedPageBreak/>
        <w:t xml:space="preserve">Table </w:t>
      </w:r>
      <w:r w:rsidR="00821312">
        <w:rPr>
          <w:rFonts w:ascii="Arial Narrow" w:hAnsi="Arial Narrow"/>
          <w:b/>
          <w:noProof/>
          <w:sz w:val="20"/>
          <w:szCs w:val="20"/>
        </w:rPr>
        <w:t>12</w:t>
      </w:r>
      <w:r w:rsidR="002C59B3" w:rsidRPr="00DD5D20">
        <w:rPr>
          <w:rFonts w:ascii="Arial Narrow" w:hAnsi="Arial Narrow"/>
          <w:b/>
          <w:noProof/>
          <w:sz w:val="20"/>
          <w:szCs w:val="20"/>
        </w:rPr>
        <w:t xml:space="preserve">: </w:t>
      </w:r>
      <w:r w:rsidR="002C59B3" w:rsidRPr="00DD5D20">
        <w:rPr>
          <w:rFonts w:ascii="Arial Narrow" w:hAnsi="Arial Narrow"/>
          <w:b/>
          <w:sz w:val="20"/>
          <w:szCs w:val="20"/>
        </w:rPr>
        <w:t>Indirect comparison in total trial population (</w:t>
      </w:r>
      <w:proofErr w:type="spellStart"/>
      <w:r w:rsidR="002C59B3" w:rsidRPr="00DD5D20">
        <w:rPr>
          <w:rFonts w:ascii="Arial Narrow" w:hAnsi="Arial Narrow"/>
          <w:b/>
          <w:sz w:val="20"/>
          <w:szCs w:val="20"/>
        </w:rPr>
        <w:t>erenumab</w:t>
      </w:r>
      <w:proofErr w:type="spellEnd"/>
      <w:r w:rsidR="002C59B3" w:rsidRPr="00DD5D20">
        <w:rPr>
          <w:rFonts w:ascii="Arial Narrow" w:hAnsi="Arial Narrow"/>
          <w:b/>
          <w:sz w:val="20"/>
          <w:szCs w:val="20"/>
        </w:rPr>
        <w:t xml:space="preserve"> vs </w:t>
      </w:r>
      <w:r w:rsidR="00300653" w:rsidRPr="00DD5D20">
        <w:rPr>
          <w:rFonts w:ascii="Arial Narrow" w:hAnsi="Arial Narrow"/>
          <w:b/>
          <w:sz w:val="20"/>
          <w:szCs w:val="20"/>
        </w:rPr>
        <w:t>B</w:t>
      </w:r>
      <w:r w:rsidR="002C59B3" w:rsidRPr="00DD5D20">
        <w:rPr>
          <w:rFonts w:ascii="Arial Narrow" w:hAnsi="Arial Narrow"/>
          <w:b/>
          <w:sz w:val="20"/>
          <w:szCs w:val="20"/>
        </w:rPr>
        <w:t>otox)</w:t>
      </w:r>
    </w:p>
    <w:tbl>
      <w:tblPr>
        <w:tblW w:w="5000" w:type="pct"/>
        <w:tblBorders>
          <w:top w:val="single" w:sz="4" w:space="0" w:color="auto"/>
          <w:bottom w:val="single" w:sz="4" w:space="0" w:color="auto"/>
        </w:tblBorders>
        <w:tblLook w:val="04A0" w:firstRow="1" w:lastRow="0" w:firstColumn="1" w:lastColumn="0" w:noHBand="0" w:noVBand="1"/>
      </w:tblPr>
      <w:tblGrid>
        <w:gridCol w:w="1383"/>
        <w:gridCol w:w="1018"/>
        <w:gridCol w:w="1008"/>
        <w:gridCol w:w="1208"/>
        <w:gridCol w:w="1006"/>
        <w:gridCol w:w="1006"/>
        <w:gridCol w:w="1209"/>
        <w:gridCol w:w="1179"/>
      </w:tblGrid>
      <w:tr w:rsidR="002C59B3" w:rsidRPr="00DD5D20" w:rsidTr="008C574E">
        <w:trPr>
          <w:trHeight w:val="442"/>
          <w:tblHeader/>
        </w:trPr>
        <w:tc>
          <w:tcPr>
            <w:tcW w:w="747" w:type="pct"/>
            <w:tcBorders>
              <w:top w:val="single" w:sz="4" w:space="0" w:color="auto"/>
              <w:left w:val="single" w:sz="4" w:space="0" w:color="auto"/>
              <w:bottom w:val="nil"/>
              <w:right w:val="single" w:sz="4" w:space="0" w:color="auto"/>
            </w:tcBorders>
            <w:shd w:val="clear" w:color="auto" w:fill="auto"/>
            <w:vAlign w:val="center"/>
          </w:tcPr>
          <w:p w:rsidR="002C59B3" w:rsidRPr="00DD5D20" w:rsidRDefault="002C59B3" w:rsidP="00D87FED">
            <w:pPr>
              <w:pStyle w:val="Tabletext"/>
            </w:pPr>
          </w:p>
        </w:tc>
        <w:tc>
          <w:tcPr>
            <w:tcW w:w="562" w:type="pct"/>
            <w:tcBorders>
              <w:top w:val="single" w:sz="4" w:space="0" w:color="auto"/>
              <w:left w:val="single" w:sz="4" w:space="0" w:color="auto"/>
              <w:bottom w:val="nil"/>
            </w:tcBorders>
            <w:shd w:val="clear" w:color="auto" w:fill="auto"/>
            <w:vAlign w:val="center"/>
          </w:tcPr>
          <w:p w:rsidR="002C59B3" w:rsidRPr="00DD5D20" w:rsidRDefault="002C59B3" w:rsidP="00D87FED">
            <w:pPr>
              <w:pStyle w:val="Tabletext"/>
              <w:jc w:val="center"/>
              <w:rPr>
                <w:b/>
              </w:rPr>
            </w:pPr>
            <w:proofErr w:type="spellStart"/>
            <w:r w:rsidRPr="00DD5D20">
              <w:rPr>
                <w:b/>
              </w:rPr>
              <w:t>Erenumab</w:t>
            </w:r>
            <w:proofErr w:type="spellEnd"/>
          </w:p>
        </w:tc>
        <w:tc>
          <w:tcPr>
            <w:tcW w:w="563" w:type="pct"/>
            <w:tcBorders>
              <w:top w:val="single" w:sz="4" w:space="0" w:color="auto"/>
              <w:bottom w:val="nil"/>
            </w:tcBorders>
            <w:vAlign w:val="center"/>
          </w:tcPr>
          <w:p w:rsidR="002C59B3" w:rsidRPr="00DD5D20" w:rsidRDefault="002C59B3" w:rsidP="00D87FED">
            <w:pPr>
              <w:pStyle w:val="Tabletext"/>
              <w:jc w:val="center"/>
              <w:rPr>
                <w:b/>
              </w:rPr>
            </w:pPr>
          </w:p>
        </w:tc>
        <w:tc>
          <w:tcPr>
            <w:tcW w:w="674" w:type="pct"/>
            <w:tcBorders>
              <w:top w:val="single" w:sz="4" w:space="0" w:color="auto"/>
              <w:bottom w:val="nil"/>
            </w:tcBorders>
            <w:shd w:val="clear" w:color="auto" w:fill="auto"/>
            <w:vAlign w:val="center"/>
          </w:tcPr>
          <w:p w:rsidR="002C59B3" w:rsidRPr="00DD5D20" w:rsidRDefault="002C59B3" w:rsidP="00D87FED">
            <w:pPr>
              <w:pStyle w:val="Tabletext"/>
              <w:jc w:val="center"/>
            </w:pPr>
          </w:p>
        </w:tc>
        <w:tc>
          <w:tcPr>
            <w:tcW w:w="561" w:type="pct"/>
            <w:tcBorders>
              <w:top w:val="single" w:sz="4" w:space="0" w:color="auto"/>
              <w:left w:val="single" w:sz="4" w:space="0" w:color="auto"/>
              <w:bottom w:val="nil"/>
            </w:tcBorders>
            <w:shd w:val="clear" w:color="auto" w:fill="auto"/>
            <w:vAlign w:val="center"/>
          </w:tcPr>
          <w:p w:rsidR="002C59B3" w:rsidRPr="00DD5D20" w:rsidRDefault="002C59B3" w:rsidP="00D87FED">
            <w:pPr>
              <w:pStyle w:val="Tabletext"/>
              <w:jc w:val="center"/>
              <w:rPr>
                <w:b/>
              </w:rPr>
            </w:pPr>
            <w:r w:rsidRPr="00DD5D20">
              <w:rPr>
                <w:b/>
              </w:rPr>
              <w:t>Botox</w:t>
            </w:r>
          </w:p>
        </w:tc>
        <w:tc>
          <w:tcPr>
            <w:tcW w:w="561" w:type="pct"/>
            <w:tcBorders>
              <w:top w:val="single" w:sz="4" w:space="0" w:color="auto"/>
              <w:bottom w:val="nil"/>
            </w:tcBorders>
            <w:shd w:val="clear" w:color="auto" w:fill="auto"/>
            <w:vAlign w:val="center"/>
          </w:tcPr>
          <w:p w:rsidR="002C59B3" w:rsidRPr="00DD5D20" w:rsidRDefault="002C59B3" w:rsidP="00D87FED">
            <w:pPr>
              <w:pStyle w:val="Tabletext"/>
              <w:jc w:val="center"/>
              <w:rPr>
                <w:b/>
              </w:rPr>
            </w:pPr>
          </w:p>
        </w:tc>
        <w:tc>
          <w:tcPr>
            <w:tcW w:w="674" w:type="pct"/>
            <w:tcBorders>
              <w:top w:val="single" w:sz="4" w:space="0" w:color="auto"/>
              <w:bottom w:val="nil"/>
              <w:right w:val="single" w:sz="4" w:space="0" w:color="auto"/>
            </w:tcBorders>
            <w:shd w:val="clear" w:color="auto" w:fill="auto"/>
            <w:vAlign w:val="center"/>
          </w:tcPr>
          <w:p w:rsidR="002C59B3" w:rsidRPr="00DD5D20" w:rsidRDefault="002C59B3" w:rsidP="00D87FED">
            <w:pPr>
              <w:pStyle w:val="Tabletext"/>
              <w:jc w:val="center"/>
              <w:rPr>
                <w:b/>
              </w:rPr>
            </w:pPr>
          </w:p>
        </w:tc>
        <w:tc>
          <w:tcPr>
            <w:tcW w:w="657" w:type="pct"/>
            <w:tcBorders>
              <w:top w:val="single" w:sz="4" w:space="0" w:color="auto"/>
              <w:left w:val="single" w:sz="4" w:space="0" w:color="auto"/>
              <w:bottom w:val="nil"/>
              <w:right w:val="single" w:sz="4" w:space="0" w:color="auto"/>
            </w:tcBorders>
            <w:shd w:val="clear" w:color="auto" w:fill="auto"/>
            <w:vAlign w:val="center"/>
          </w:tcPr>
          <w:p w:rsidR="002C59B3" w:rsidRPr="00DD5D20" w:rsidRDefault="002C59B3" w:rsidP="00D87FED">
            <w:pPr>
              <w:pStyle w:val="Tabletext"/>
              <w:jc w:val="center"/>
              <w:rPr>
                <w:b/>
              </w:rPr>
            </w:pPr>
            <w:r w:rsidRPr="00DD5D20">
              <w:rPr>
                <w:b/>
              </w:rPr>
              <w:t>Indirect</w:t>
            </w:r>
          </w:p>
        </w:tc>
      </w:tr>
      <w:tr w:rsidR="002C59B3" w:rsidRPr="00DD5D20" w:rsidTr="008C574E">
        <w:trPr>
          <w:trHeight w:val="442"/>
          <w:tblHeader/>
        </w:trPr>
        <w:tc>
          <w:tcPr>
            <w:tcW w:w="747" w:type="pct"/>
            <w:tcBorders>
              <w:top w:val="nil"/>
              <w:left w:val="single" w:sz="4" w:space="0" w:color="auto"/>
              <w:bottom w:val="nil"/>
              <w:right w:val="single" w:sz="4" w:space="0" w:color="auto"/>
            </w:tcBorders>
            <w:shd w:val="clear" w:color="auto" w:fill="auto"/>
            <w:vAlign w:val="center"/>
            <w:hideMark/>
          </w:tcPr>
          <w:p w:rsidR="002C59B3" w:rsidRPr="00DD5D20" w:rsidRDefault="002C59B3" w:rsidP="00D87FED">
            <w:pPr>
              <w:pStyle w:val="Tabletext"/>
            </w:pPr>
          </w:p>
        </w:tc>
        <w:tc>
          <w:tcPr>
            <w:tcW w:w="562" w:type="pct"/>
            <w:tcBorders>
              <w:top w:val="single" w:sz="4" w:space="0" w:color="auto"/>
              <w:left w:val="single" w:sz="4" w:space="0" w:color="auto"/>
              <w:bottom w:val="nil"/>
            </w:tcBorders>
            <w:shd w:val="clear" w:color="auto" w:fill="auto"/>
            <w:vAlign w:val="center"/>
          </w:tcPr>
          <w:p w:rsidR="002C59B3" w:rsidRPr="00DD5D20" w:rsidRDefault="002C59B3" w:rsidP="00D87FED">
            <w:pPr>
              <w:pStyle w:val="Tabletext"/>
              <w:jc w:val="center"/>
              <w:rPr>
                <w:b/>
              </w:rPr>
            </w:pPr>
            <w:proofErr w:type="spellStart"/>
            <w:r w:rsidRPr="00DD5D20">
              <w:rPr>
                <w:b/>
              </w:rPr>
              <w:t>Erenumab</w:t>
            </w:r>
            <w:proofErr w:type="spellEnd"/>
            <w:r w:rsidR="000B7B5B" w:rsidRPr="00DD5D20">
              <w:rPr>
                <w:b/>
              </w:rPr>
              <w:t xml:space="preserve"> 140</w:t>
            </w:r>
            <w:r w:rsidR="008328C0">
              <w:rPr>
                <w:b/>
              </w:rPr>
              <w:t xml:space="preserve"> </w:t>
            </w:r>
            <w:r w:rsidR="000B7B5B" w:rsidRPr="00DD5D20">
              <w:rPr>
                <w:b/>
              </w:rPr>
              <w:t>mg</w:t>
            </w:r>
          </w:p>
        </w:tc>
        <w:tc>
          <w:tcPr>
            <w:tcW w:w="563" w:type="pct"/>
            <w:tcBorders>
              <w:top w:val="single" w:sz="4" w:space="0" w:color="auto"/>
              <w:bottom w:val="nil"/>
            </w:tcBorders>
            <w:vAlign w:val="center"/>
          </w:tcPr>
          <w:p w:rsidR="002C59B3" w:rsidRPr="00DD5D20" w:rsidRDefault="00300653" w:rsidP="00D87FED">
            <w:pPr>
              <w:pStyle w:val="Tabletext"/>
              <w:jc w:val="center"/>
              <w:rPr>
                <w:b/>
              </w:rPr>
            </w:pPr>
            <w:r w:rsidRPr="00DD5D20">
              <w:rPr>
                <w:b/>
              </w:rPr>
              <w:t>Placebo</w:t>
            </w:r>
          </w:p>
        </w:tc>
        <w:tc>
          <w:tcPr>
            <w:tcW w:w="674" w:type="pct"/>
            <w:tcBorders>
              <w:top w:val="single" w:sz="4" w:space="0" w:color="auto"/>
              <w:bottom w:val="nil"/>
            </w:tcBorders>
            <w:shd w:val="clear" w:color="auto" w:fill="auto"/>
            <w:vAlign w:val="center"/>
          </w:tcPr>
          <w:p w:rsidR="002C59B3" w:rsidRPr="00DD5D20" w:rsidRDefault="002C59B3" w:rsidP="00D87FED">
            <w:pPr>
              <w:pStyle w:val="Tabletext"/>
              <w:jc w:val="center"/>
              <w:rPr>
                <w:b/>
              </w:rPr>
            </w:pPr>
            <w:r w:rsidRPr="00DD5D20">
              <w:rPr>
                <w:b/>
              </w:rPr>
              <w:t>OR (95% CI)</w:t>
            </w:r>
          </w:p>
        </w:tc>
        <w:tc>
          <w:tcPr>
            <w:tcW w:w="561" w:type="pct"/>
            <w:tcBorders>
              <w:top w:val="single" w:sz="4" w:space="0" w:color="auto"/>
              <w:left w:val="single" w:sz="4" w:space="0" w:color="auto"/>
              <w:bottom w:val="nil"/>
            </w:tcBorders>
            <w:shd w:val="clear" w:color="auto" w:fill="auto"/>
            <w:vAlign w:val="center"/>
          </w:tcPr>
          <w:p w:rsidR="002C59B3" w:rsidRPr="00DD5D20" w:rsidRDefault="002C59B3" w:rsidP="00D87FED">
            <w:pPr>
              <w:pStyle w:val="Tabletext"/>
              <w:jc w:val="center"/>
              <w:rPr>
                <w:b/>
              </w:rPr>
            </w:pPr>
            <w:r w:rsidRPr="00DD5D20">
              <w:rPr>
                <w:b/>
              </w:rPr>
              <w:t>Botox</w:t>
            </w:r>
          </w:p>
        </w:tc>
        <w:tc>
          <w:tcPr>
            <w:tcW w:w="561" w:type="pct"/>
            <w:tcBorders>
              <w:top w:val="single" w:sz="4" w:space="0" w:color="auto"/>
              <w:bottom w:val="nil"/>
            </w:tcBorders>
            <w:shd w:val="clear" w:color="auto" w:fill="auto"/>
            <w:vAlign w:val="center"/>
          </w:tcPr>
          <w:p w:rsidR="002C59B3" w:rsidRPr="00DD5D20" w:rsidRDefault="00300653" w:rsidP="00D87FED">
            <w:pPr>
              <w:pStyle w:val="Tabletext"/>
              <w:jc w:val="center"/>
              <w:rPr>
                <w:b/>
              </w:rPr>
            </w:pPr>
            <w:r w:rsidRPr="00DD5D20">
              <w:rPr>
                <w:b/>
              </w:rPr>
              <w:t>Placebo</w:t>
            </w:r>
          </w:p>
        </w:tc>
        <w:tc>
          <w:tcPr>
            <w:tcW w:w="674" w:type="pct"/>
            <w:tcBorders>
              <w:top w:val="single" w:sz="4" w:space="0" w:color="auto"/>
              <w:bottom w:val="nil"/>
              <w:right w:val="single" w:sz="4" w:space="0" w:color="auto"/>
            </w:tcBorders>
            <w:shd w:val="clear" w:color="auto" w:fill="auto"/>
            <w:vAlign w:val="center"/>
            <w:hideMark/>
          </w:tcPr>
          <w:p w:rsidR="002C59B3" w:rsidRPr="00DD5D20" w:rsidRDefault="002C59B3" w:rsidP="00D87FED">
            <w:pPr>
              <w:pStyle w:val="Tabletext"/>
              <w:jc w:val="center"/>
              <w:rPr>
                <w:b/>
              </w:rPr>
            </w:pPr>
            <w:r w:rsidRPr="00DD5D20">
              <w:rPr>
                <w:b/>
              </w:rPr>
              <w:t>OR (95% CI)</w:t>
            </w:r>
          </w:p>
        </w:tc>
        <w:tc>
          <w:tcPr>
            <w:tcW w:w="657" w:type="pct"/>
            <w:tcBorders>
              <w:top w:val="single" w:sz="4" w:space="0" w:color="auto"/>
              <w:left w:val="single" w:sz="4" w:space="0" w:color="auto"/>
              <w:bottom w:val="nil"/>
              <w:right w:val="single" w:sz="4" w:space="0" w:color="auto"/>
            </w:tcBorders>
            <w:shd w:val="clear" w:color="auto" w:fill="auto"/>
            <w:vAlign w:val="center"/>
            <w:hideMark/>
          </w:tcPr>
          <w:p w:rsidR="002C59B3" w:rsidRPr="00DD5D20" w:rsidRDefault="002C59B3" w:rsidP="00D87FED">
            <w:pPr>
              <w:pStyle w:val="Tabletext"/>
              <w:jc w:val="center"/>
              <w:rPr>
                <w:b/>
              </w:rPr>
            </w:pPr>
            <w:r w:rsidRPr="00DD5D20">
              <w:rPr>
                <w:b/>
              </w:rPr>
              <w:t>OR (95% CI)</w:t>
            </w:r>
          </w:p>
        </w:tc>
      </w:tr>
      <w:tr w:rsidR="002C59B3" w:rsidRPr="00DD5D20" w:rsidTr="008C574E">
        <w:trPr>
          <w:trHeight w:val="221"/>
          <w:tblHeader/>
        </w:trPr>
        <w:tc>
          <w:tcPr>
            <w:tcW w:w="747" w:type="pct"/>
            <w:tcBorders>
              <w:top w:val="nil"/>
              <w:left w:val="single" w:sz="4" w:space="0" w:color="auto"/>
              <w:bottom w:val="single" w:sz="4" w:space="0" w:color="auto"/>
              <w:right w:val="single" w:sz="4" w:space="0" w:color="auto"/>
            </w:tcBorders>
            <w:shd w:val="clear" w:color="auto" w:fill="auto"/>
            <w:vAlign w:val="center"/>
            <w:hideMark/>
          </w:tcPr>
          <w:p w:rsidR="002C59B3" w:rsidRPr="00DD5D20" w:rsidRDefault="002C59B3" w:rsidP="00D87FED">
            <w:pPr>
              <w:pStyle w:val="Tabletext"/>
            </w:pPr>
          </w:p>
        </w:tc>
        <w:tc>
          <w:tcPr>
            <w:tcW w:w="562" w:type="pct"/>
            <w:tcBorders>
              <w:top w:val="nil"/>
              <w:left w:val="single" w:sz="4" w:space="0" w:color="auto"/>
              <w:bottom w:val="single" w:sz="4" w:space="0" w:color="auto"/>
            </w:tcBorders>
            <w:shd w:val="clear" w:color="auto" w:fill="auto"/>
            <w:vAlign w:val="center"/>
          </w:tcPr>
          <w:p w:rsidR="002C59B3" w:rsidRPr="00DD5D20" w:rsidRDefault="002C59B3" w:rsidP="00D87FED">
            <w:pPr>
              <w:pStyle w:val="Tabletext"/>
              <w:jc w:val="center"/>
              <w:rPr>
                <w:b/>
              </w:rPr>
            </w:pPr>
            <w:r w:rsidRPr="00DD5D20">
              <w:rPr>
                <w:b/>
              </w:rPr>
              <w:t>n/</w:t>
            </w:r>
            <w:proofErr w:type="gramStart"/>
            <w:r w:rsidRPr="00DD5D20">
              <w:rPr>
                <w:b/>
              </w:rPr>
              <w:t>N(</w:t>
            </w:r>
            <w:proofErr w:type="gramEnd"/>
            <w:r w:rsidRPr="00DD5D20">
              <w:rPr>
                <w:b/>
              </w:rPr>
              <w:t>%)</w:t>
            </w:r>
          </w:p>
        </w:tc>
        <w:tc>
          <w:tcPr>
            <w:tcW w:w="563" w:type="pct"/>
            <w:tcBorders>
              <w:top w:val="nil"/>
              <w:bottom w:val="single" w:sz="4" w:space="0" w:color="auto"/>
            </w:tcBorders>
            <w:vAlign w:val="center"/>
          </w:tcPr>
          <w:p w:rsidR="002C59B3" w:rsidRPr="00DD5D20" w:rsidRDefault="002C59B3" w:rsidP="00D87FED">
            <w:pPr>
              <w:pStyle w:val="Tabletext"/>
              <w:jc w:val="center"/>
              <w:rPr>
                <w:b/>
              </w:rPr>
            </w:pPr>
            <w:r w:rsidRPr="00DD5D20">
              <w:rPr>
                <w:b/>
              </w:rPr>
              <w:t>n/</w:t>
            </w:r>
            <w:proofErr w:type="gramStart"/>
            <w:r w:rsidRPr="00DD5D20">
              <w:rPr>
                <w:b/>
              </w:rPr>
              <w:t>N(</w:t>
            </w:r>
            <w:proofErr w:type="gramEnd"/>
            <w:r w:rsidRPr="00DD5D20">
              <w:rPr>
                <w:b/>
              </w:rPr>
              <w:t>%)</w:t>
            </w:r>
          </w:p>
        </w:tc>
        <w:tc>
          <w:tcPr>
            <w:tcW w:w="674" w:type="pct"/>
            <w:tcBorders>
              <w:top w:val="nil"/>
              <w:bottom w:val="single" w:sz="4" w:space="0" w:color="auto"/>
            </w:tcBorders>
            <w:shd w:val="clear" w:color="auto" w:fill="auto"/>
            <w:vAlign w:val="center"/>
          </w:tcPr>
          <w:p w:rsidR="002C59B3" w:rsidRPr="00DD5D20" w:rsidRDefault="002C59B3" w:rsidP="00D87FED">
            <w:pPr>
              <w:pStyle w:val="Tabletext"/>
              <w:jc w:val="center"/>
            </w:pPr>
          </w:p>
        </w:tc>
        <w:tc>
          <w:tcPr>
            <w:tcW w:w="561" w:type="pct"/>
            <w:tcBorders>
              <w:top w:val="nil"/>
              <w:left w:val="single" w:sz="4" w:space="0" w:color="auto"/>
              <w:bottom w:val="single" w:sz="4" w:space="0" w:color="auto"/>
            </w:tcBorders>
            <w:shd w:val="clear" w:color="auto" w:fill="auto"/>
            <w:vAlign w:val="center"/>
          </w:tcPr>
          <w:p w:rsidR="002C59B3" w:rsidRPr="00DD5D20" w:rsidRDefault="002C59B3" w:rsidP="00D87FED">
            <w:pPr>
              <w:pStyle w:val="Tabletext"/>
              <w:jc w:val="center"/>
              <w:rPr>
                <w:b/>
              </w:rPr>
            </w:pPr>
            <w:r w:rsidRPr="00DD5D20">
              <w:rPr>
                <w:b/>
              </w:rPr>
              <w:t>n/</w:t>
            </w:r>
            <w:proofErr w:type="gramStart"/>
            <w:r w:rsidRPr="00DD5D20">
              <w:rPr>
                <w:b/>
              </w:rPr>
              <w:t>N(</w:t>
            </w:r>
            <w:proofErr w:type="gramEnd"/>
            <w:r w:rsidRPr="00DD5D20">
              <w:rPr>
                <w:b/>
              </w:rPr>
              <w:t>%)</w:t>
            </w:r>
          </w:p>
        </w:tc>
        <w:tc>
          <w:tcPr>
            <w:tcW w:w="561" w:type="pct"/>
            <w:tcBorders>
              <w:top w:val="nil"/>
              <w:bottom w:val="single" w:sz="4" w:space="0" w:color="auto"/>
            </w:tcBorders>
            <w:shd w:val="clear" w:color="auto" w:fill="auto"/>
            <w:vAlign w:val="center"/>
          </w:tcPr>
          <w:p w:rsidR="002C59B3" w:rsidRPr="00DD5D20" w:rsidRDefault="002C59B3" w:rsidP="00D87FED">
            <w:pPr>
              <w:pStyle w:val="Tabletext"/>
              <w:jc w:val="center"/>
              <w:rPr>
                <w:b/>
              </w:rPr>
            </w:pPr>
            <w:r w:rsidRPr="00DD5D20">
              <w:rPr>
                <w:b/>
              </w:rPr>
              <w:t>n/</w:t>
            </w:r>
            <w:proofErr w:type="gramStart"/>
            <w:r w:rsidRPr="00DD5D20">
              <w:rPr>
                <w:b/>
              </w:rPr>
              <w:t>N(</w:t>
            </w:r>
            <w:proofErr w:type="gramEnd"/>
            <w:r w:rsidRPr="00DD5D20">
              <w:rPr>
                <w:b/>
              </w:rPr>
              <w:t>%)</w:t>
            </w:r>
          </w:p>
        </w:tc>
        <w:tc>
          <w:tcPr>
            <w:tcW w:w="674" w:type="pct"/>
            <w:tcBorders>
              <w:top w:val="nil"/>
              <w:bottom w:val="single" w:sz="4" w:space="0" w:color="auto"/>
              <w:right w:val="single" w:sz="4" w:space="0" w:color="auto"/>
            </w:tcBorders>
            <w:shd w:val="clear" w:color="auto" w:fill="auto"/>
            <w:vAlign w:val="center"/>
            <w:hideMark/>
          </w:tcPr>
          <w:p w:rsidR="002C59B3" w:rsidRPr="00DD5D20" w:rsidRDefault="002C59B3" w:rsidP="00D87FED">
            <w:pPr>
              <w:pStyle w:val="Tabletext"/>
              <w:jc w:val="center"/>
              <w:rPr>
                <w:b/>
              </w:rPr>
            </w:pPr>
          </w:p>
        </w:tc>
        <w:tc>
          <w:tcPr>
            <w:tcW w:w="657" w:type="pct"/>
            <w:tcBorders>
              <w:top w:val="nil"/>
              <w:left w:val="single" w:sz="4" w:space="0" w:color="auto"/>
              <w:bottom w:val="single" w:sz="4" w:space="0" w:color="auto"/>
              <w:right w:val="single" w:sz="4" w:space="0" w:color="auto"/>
            </w:tcBorders>
            <w:shd w:val="clear" w:color="auto" w:fill="auto"/>
            <w:vAlign w:val="center"/>
            <w:hideMark/>
          </w:tcPr>
          <w:p w:rsidR="002C59B3" w:rsidRPr="00DD5D20" w:rsidRDefault="002C59B3" w:rsidP="00D87FED">
            <w:pPr>
              <w:pStyle w:val="Tabletext"/>
              <w:jc w:val="center"/>
              <w:rPr>
                <w:b/>
              </w:rPr>
            </w:pPr>
          </w:p>
        </w:tc>
      </w:tr>
      <w:tr w:rsidR="002C59B3" w:rsidRPr="00DD5D20" w:rsidTr="008C574E">
        <w:trPr>
          <w:trHeight w:val="442"/>
        </w:trPr>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rPr>
                <w:b/>
              </w:rPr>
            </w:pPr>
            <w:r w:rsidRPr="00DD5D20">
              <w:t>Neck Pain</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405DA0" w:rsidP="00D87FED">
            <w:pPr>
              <w:pStyle w:val="Tabletext"/>
              <w:jc w:val="center"/>
              <w:rPr>
                <w:b/>
              </w:rPr>
            </w:pPr>
            <w:r>
              <w:rPr>
                <w:noProof/>
                <w:color w:val="000000"/>
                <w:highlight w:val="black"/>
              </w:rPr>
              <w:t>'''</w:t>
            </w:r>
            <w:r w:rsidR="002C59B3" w:rsidRPr="00DD5D20">
              <w:t>/1.88 (</w:t>
            </w:r>
            <w:r>
              <w:rPr>
                <w:noProof/>
                <w:color w:val="000000"/>
                <w:highlight w:val="black"/>
              </w:rPr>
              <w:t>''''''''''</w:t>
            </w:r>
            <w:r w:rsidR="002C59B3" w:rsidRPr="00DD5D20">
              <w:t>)</w:t>
            </w:r>
          </w:p>
        </w:tc>
        <w:tc>
          <w:tcPr>
            <w:tcW w:w="563" w:type="pct"/>
            <w:tcBorders>
              <w:top w:val="single" w:sz="4" w:space="0" w:color="auto"/>
              <w:left w:val="single" w:sz="4" w:space="0" w:color="auto"/>
              <w:bottom w:val="single" w:sz="4" w:space="0" w:color="auto"/>
              <w:right w:val="single" w:sz="4" w:space="0" w:color="auto"/>
            </w:tcBorders>
          </w:tcPr>
          <w:p w:rsidR="002C59B3" w:rsidRPr="00DD5D20" w:rsidRDefault="00405DA0" w:rsidP="00D87FED">
            <w:pPr>
              <w:pStyle w:val="Tabletext"/>
              <w:jc w:val="center"/>
            </w:pPr>
            <w:r>
              <w:rPr>
                <w:noProof/>
                <w:color w:val="000000"/>
                <w:highlight w:val="black"/>
              </w:rPr>
              <w:t>''''</w:t>
            </w:r>
            <w:r w:rsidR="002C59B3" w:rsidRPr="00DD5D20">
              <w:t>/282 (</w:t>
            </w:r>
            <w:r>
              <w:rPr>
                <w:noProof/>
                <w:color w:val="000000"/>
                <w:highlight w:val="black"/>
              </w:rPr>
              <w:t>''''''''''</w:t>
            </w:r>
            <w:r w:rsidR="002C59B3" w:rsidRPr="00DD5D20">
              <w:t>)</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46/687</w:t>
            </w:r>
          </w:p>
          <w:p w:rsidR="002C59B3" w:rsidRPr="00DD5D20" w:rsidRDefault="002C59B3" w:rsidP="00D87FED">
            <w:pPr>
              <w:pStyle w:val="Tabletext"/>
              <w:jc w:val="center"/>
              <w:rPr>
                <w:b/>
              </w:rPr>
            </w:pPr>
            <w:r w:rsidRPr="00DD5D20">
              <w:t>(6.7)</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rPr>
                <w:b/>
              </w:rPr>
            </w:pPr>
            <w:r w:rsidRPr="00DD5D20">
              <w:t>15/692 (2.17)</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jc w:val="center"/>
            </w:pPr>
            <w:r w:rsidRPr="00DD5D20">
              <w:t>3.24</w:t>
            </w:r>
          </w:p>
          <w:p w:rsidR="002C59B3" w:rsidRPr="00DD5D20" w:rsidRDefault="002C59B3" w:rsidP="00D87FED">
            <w:pPr>
              <w:pStyle w:val="Tabletext"/>
              <w:jc w:val="center"/>
              <w:rPr>
                <w:b/>
              </w:rPr>
            </w:pPr>
            <w:r w:rsidRPr="00DD5D20">
              <w:t>(1.79, 5.86)</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2C59B3" w:rsidRPr="00405DA0" w:rsidRDefault="00405DA0" w:rsidP="00D87FED">
            <w:pPr>
              <w:pStyle w:val="Tabletext"/>
              <w:jc w:val="center"/>
              <w:rPr>
                <w:highlight w:val="black"/>
              </w:rPr>
            </w:pPr>
            <w:r>
              <w:rPr>
                <w:noProof/>
                <w:color w:val="000000"/>
                <w:highlight w:val="black"/>
              </w:rPr>
              <w:t>'''''''''''</w:t>
            </w:r>
          </w:p>
          <w:p w:rsidR="002C59B3" w:rsidRPr="003C7E7C" w:rsidRDefault="002C59B3" w:rsidP="00D87FED">
            <w:pPr>
              <w:pStyle w:val="Tabletext"/>
              <w:jc w:val="center"/>
              <w:rPr>
                <w:b/>
              </w:rPr>
            </w:pPr>
            <w:r w:rsidRPr="003C7E7C">
              <w:t>(</w:t>
            </w:r>
            <w:r w:rsidR="00405DA0">
              <w:rPr>
                <w:noProof/>
                <w:color w:val="000000"/>
                <w:highlight w:val="black"/>
              </w:rPr>
              <w:t>''''''''''</w:t>
            </w:r>
            <w:r w:rsidRPr="003C7E7C">
              <w:t xml:space="preserve">, </w:t>
            </w:r>
            <w:r w:rsidR="00405DA0">
              <w:rPr>
                <w:noProof/>
                <w:color w:val="000000"/>
                <w:highlight w:val="black"/>
              </w:rPr>
              <w:t>''''''''''</w:t>
            </w:r>
            <w:r w:rsidRPr="003C7E7C">
              <w:t>)</w:t>
            </w:r>
          </w:p>
        </w:tc>
      </w:tr>
      <w:tr w:rsidR="002C59B3" w:rsidRPr="00DD5D20" w:rsidTr="008C574E">
        <w:trPr>
          <w:trHeight w:val="442"/>
        </w:trPr>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rPr>
                <w:b/>
              </w:rPr>
            </w:pPr>
            <w:r w:rsidRPr="00DD5D20">
              <w:t>Muscular weakness</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405DA0" w:rsidP="00D87FED">
            <w:pPr>
              <w:pStyle w:val="Tabletext"/>
              <w:jc w:val="center"/>
            </w:pPr>
            <w:r>
              <w:rPr>
                <w:noProof/>
                <w:color w:val="000000"/>
                <w:highlight w:val="black"/>
              </w:rPr>
              <w:t>'''</w:t>
            </w:r>
            <w:r w:rsidR="002C59B3" w:rsidRPr="00DD5D20">
              <w:t>/188</w:t>
            </w:r>
          </w:p>
          <w:p w:rsidR="002C59B3" w:rsidRPr="00DD5D20" w:rsidRDefault="002C59B3" w:rsidP="00D87FED">
            <w:pPr>
              <w:pStyle w:val="Tabletext"/>
              <w:jc w:val="center"/>
              <w:rPr>
                <w:b/>
              </w:rPr>
            </w:pPr>
            <w:r w:rsidRPr="00DD5D20">
              <w:t>(</w:t>
            </w:r>
            <w:r w:rsidR="00405DA0">
              <w:rPr>
                <w:noProof/>
                <w:color w:val="000000"/>
                <w:highlight w:val="black"/>
              </w:rPr>
              <w:t>''''''''''</w:t>
            </w:r>
            <w:r w:rsidRPr="00DD5D20">
              <w:t>)</w:t>
            </w:r>
          </w:p>
        </w:tc>
        <w:tc>
          <w:tcPr>
            <w:tcW w:w="563" w:type="pct"/>
            <w:tcBorders>
              <w:top w:val="single" w:sz="4" w:space="0" w:color="auto"/>
              <w:left w:val="single" w:sz="4" w:space="0" w:color="auto"/>
              <w:bottom w:val="single" w:sz="4" w:space="0" w:color="auto"/>
              <w:right w:val="single" w:sz="4" w:space="0" w:color="auto"/>
            </w:tcBorders>
          </w:tcPr>
          <w:p w:rsidR="002C59B3" w:rsidRPr="00DD5D20" w:rsidRDefault="00405DA0" w:rsidP="00D87FED">
            <w:pPr>
              <w:pStyle w:val="Tabletext"/>
              <w:jc w:val="center"/>
            </w:pPr>
            <w:r>
              <w:rPr>
                <w:noProof/>
                <w:color w:val="000000"/>
                <w:highlight w:val="black"/>
              </w:rPr>
              <w:t>'''</w:t>
            </w:r>
            <w:r w:rsidR="002C59B3" w:rsidRPr="00DD5D20">
              <w:t>/282 (</w:t>
            </w:r>
            <w:r>
              <w:rPr>
                <w:noProof/>
                <w:color w:val="000000"/>
                <w:highlight w:val="black"/>
              </w:rPr>
              <w:t>''''''''''</w:t>
            </w:r>
            <w:r w:rsidR="002C59B3" w:rsidRPr="00DD5D20">
              <w:t>)</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38/687</w:t>
            </w:r>
          </w:p>
          <w:p w:rsidR="002C59B3" w:rsidRPr="00DD5D20" w:rsidRDefault="002C59B3" w:rsidP="00D87FED">
            <w:pPr>
              <w:pStyle w:val="Tabletext"/>
              <w:jc w:val="center"/>
              <w:rPr>
                <w:b/>
              </w:rPr>
            </w:pPr>
            <w:r w:rsidRPr="00DD5D20">
              <w:t>(5.53)</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rPr>
                <w:b/>
              </w:rPr>
            </w:pPr>
            <w:r w:rsidRPr="00DD5D20">
              <w:t>2/692 (0.29)</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jc w:val="center"/>
              <w:rPr>
                <w:b/>
              </w:rPr>
            </w:pPr>
            <w:r w:rsidRPr="00DD5D20">
              <w:t>20.2 (4.85, 84.07)</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2C59B3" w:rsidRPr="00405DA0" w:rsidRDefault="00405DA0" w:rsidP="00D87FED">
            <w:pPr>
              <w:pStyle w:val="Tabletext"/>
              <w:jc w:val="center"/>
              <w:rPr>
                <w:b/>
                <w:highlight w:val="black"/>
              </w:rPr>
            </w:pPr>
            <w:r>
              <w:rPr>
                <w:noProof/>
                <w:color w:val="000000"/>
                <w:highlight w:val="black"/>
              </w:rPr>
              <w:t>'''</w:t>
            </w:r>
          </w:p>
        </w:tc>
      </w:tr>
      <w:tr w:rsidR="002C59B3" w:rsidRPr="00DD5D20" w:rsidTr="008C574E">
        <w:trPr>
          <w:trHeight w:val="442"/>
        </w:trPr>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rPr>
                <w:b/>
              </w:rPr>
            </w:pPr>
            <w:r w:rsidRPr="00DD5D20">
              <w:t>Musculoskeletal pain</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405DA0" w:rsidP="00D87FED">
            <w:pPr>
              <w:pStyle w:val="Tabletext"/>
              <w:jc w:val="center"/>
              <w:rPr>
                <w:b/>
              </w:rPr>
            </w:pPr>
            <w:r>
              <w:rPr>
                <w:noProof/>
                <w:color w:val="000000"/>
                <w:highlight w:val="black"/>
              </w:rPr>
              <w:t>''''</w:t>
            </w:r>
            <w:r w:rsidR="002C59B3" w:rsidRPr="00DD5D20">
              <w:t>/188 (</w:t>
            </w:r>
            <w:r>
              <w:rPr>
                <w:noProof/>
                <w:color w:val="000000"/>
                <w:highlight w:val="black"/>
              </w:rPr>
              <w:t>''''''''''</w:t>
            </w:r>
            <w:r w:rsidR="002C59B3" w:rsidRPr="00DD5D20">
              <w:t>)</w:t>
            </w:r>
          </w:p>
        </w:tc>
        <w:tc>
          <w:tcPr>
            <w:tcW w:w="563" w:type="pct"/>
            <w:tcBorders>
              <w:top w:val="single" w:sz="4" w:space="0" w:color="auto"/>
              <w:left w:val="single" w:sz="4" w:space="0" w:color="auto"/>
              <w:bottom w:val="single" w:sz="4" w:space="0" w:color="auto"/>
              <w:right w:val="single" w:sz="4" w:space="0" w:color="auto"/>
            </w:tcBorders>
          </w:tcPr>
          <w:p w:rsidR="002C59B3" w:rsidRPr="00DD5D20" w:rsidRDefault="00405DA0" w:rsidP="00D87FED">
            <w:pPr>
              <w:pStyle w:val="Tabletext"/>
              <w:jc w:val="center"/>
            </w:pPr>
            <w:r>
              <w:rPr>
                <w:noProof/>
                <w:color w:val="000000"/>
                <w:highlight w:val="black"/>
              </w:rPr>
              <w:t>'''</w:t>
            </w:r>
            <w:r w:rsidR="002C59B3" w:rsidRPr="00DD5D20">
              <w:t>/282 (</w:t>
            </w:r>
            <w:r>
              <w:rPr>
                <w:noProof/>
                <w:color w:val="000000"/>
                <w:highlight w:val="black"/>
              </w:rPr>
              <w:t>''''''''''</w:t>
            </w:r>
            <w:r w:rsidR="002C59B3" w:rsidRPr="00DD5D20">
              <w:t>)</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15/687</w:t>
            </w:r>
          </w:p>
          <w:p w:rsidR="002C59B3" w:rsidRPr="00DD5D20" w:rsidRDefault="002C59B3" w:rsidP="00D87FED">
            <w:pPr>
              <w:pStyle w:val="Tabletext"/>
              <w:jc w:val="center"/>
              <w:rPr>
                <w:b/>
              </w:rPr>
            </w:pPr>
            <w:r w:rsidRPr="00DD5D20">
              <w:t>(2.18)</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rPr>
                <w:b/>
              </w:rPr>
            </w:pPr>
            <w:r w:rsidRPr="00DD5D20">
              <w:t>5/692 (0.72)</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jc w:val="center"/>
            </w:pPr>
            <w:r w:rsidRPr="00DD5D20">
              <w:t>3.07</w:t>
            </w:r>
          </w:p>
          <w:p w:rsidR="002C59B3" w:rsidRPr="00DD5D20" w:rsidRDefault="002C59B3" w:rsidP="00D87FED">
            <w:pPr>
              <w:pStyle w:val="Tabletext"/>
              <w:jc w:val="center"/>
              <w:rPr>
                <w:b/>
              </w:rPr>
            </w:pPr>
            <w:r w:rsidRPr="00DD5D20">
              <w:t>(1.11, 8.49)</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r>
      <w:tr w:rsidR="002C59B3" w:rsidRPr="00DD5D20" w:rsidTr="008C574E">
        <w:trPr>
          <w:trHeight w:val="442"/>
        </w:trPr>
        <w:tc>
          <w:tcPr>
            <w:tcW w:w="747"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rPr>
                <w:b/>
              </w:rPr>
            </w:pPr>
            <w:r w:rsidRPr="00DD5D20">
              <w:t>Headache</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405DA0" w:rsidP="00D87FED">
            <w:pPr>
              <w:pStyle w:val="Tabletext"/>
              <w:jc w:val="center"/>
              <w:rPr>
                <w:b/>
              </w:rPr>
            </w:pPr>
            <w:r>
              <w:rPr>
                <w:noProof/>
                <w:color w:val="000000"/>
                <w:highlight w:val="black"/>
              </w:rPr>
              <w:t>''''</w:t>
            </w:r>
            <w:r w:rsidR="002C59B3" w:rsidRPr="00DD5D20">
              <w:t>/188 (</w:t>
            </w:r>
            <w:r>
              <w:rPr>
                <w:noProof/>
                <w:color w:val="000000"/>
                <w:highlight w:val="black"/>
              </w:rPr>
              <w:t>''''''''''</w:t>
            </w:r>
            <w:r w:rsidR="002C59B3" w:rsidRPr="00DD5D20">
              <w:t>)</w:t>
            </w:r>
          </w:p>
        </w:tc>
        <w:tc>
          <w:tcPr>
            <w:tcW w:w="563" w:type="pct"/>
            <w:tcBorders>
              <w:top w:val="single" w:sz="4" w:space="0" w:color="auto"/>
              <w:left w:val="single" w:sz="4" w:space="0" w:color="auto"/>
              <w:bottom w:val="single" w:sz="4" w:space="0" w:color="auto"/>
              <w:right w:val="single" w:sz="4" w:space="0" w:color="auto"/>
            </w:tcBorders>
          </w:tcPr>
          <w:p w:rsidR="002C59B3" w:rsidRPr="00DD5D20" w:rsidRDefault="00405DA0" w:rsidP="00D87FED">
            <w:pPr>
              <w:pStyle w:val="Tabletext"/>
              <w:jc w:val="center"/>
            </w:pPr>
            <w:r>
              <w:rPr>
                <w:noProof/>
                <w:color w:val="000000"/>
                <w:highlight w:val="black"/>
              </w:rPr>
              <w:t>''''</w:t>
            </w:r>
            <w:r w:rsidR="002C59B3" w:rsidRPr="00DD5D20">
              <w:t>/282 (</w:t>
            </w:r>
            <w:r>
              <w:rPr>
                <w:noProof/>
                <w:color w:val="000000"/>
                <w:highlight w:val="black"/>
              </w:rPr>
              <w:t>''''''''''</w:t>
            </w:r>
            <w:r w:rsidR="002C59B3" w:rsidRPr="00DD5D20">
              <w:t>)</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20/687</w:t>
            </w:r>
          </w:p>
          <w:p w:rsidR="002C59B3" w:rsidRPr="00DD5D20" w:rsidRDefault="002C59B3" w:rsidP="00D87FED">
            <w:pPr>
              <w:pStyle w:val="Tabletext"/>
              <w:jc w:val="center"/>
              <w:rPr>
                <w:b/>
              </w:rPr>
            </w:pPr>
            <w:r w:rsidRPr="00DD5D20">
              <w:t>(2.91)</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rPr>
                <w:b/>
              </w:rPr>
            </w:pPr>
            <w:r w:rsidRPr="00DD5D20">
              <w:t>11/692 (1.59)</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2C59B3" w:rsidRPr="00DD5D20" w:rsidRDefault="002C59B3" w:rsidP="00D87FED">
            <w:pPr>
              <w:pStyle w:val="Tabletext"/>
              <w:jc w:val="center"/>
            </w:pPr>
            <w:r w:rsidRPr="00DD5D20">
              <w:t>1.86</w:t>
            </w:r>
          </w:p>
          <w:p w:rsidR="002C59B3" w:rsidRPr="00DD5D20" w:rsidRDefault="002C59B3" w:rsidP="00D87FED">
            <w:pPr>
              <w:pStyle w:val="Tabletext"/>
              <w:jc w:val="center"/>
              <w:rPr>
                <w:b/>
              </w:rPr>
            </w:pPr>
            <w:r w:rsidRPr="00DD5D20">
              <w:t>(0.88, 3.9)</w:t>
            </w:r>
          </w:p>
        </w:tc>
        <w:tc>
          <w:tcPr>
            <w:tcW w:w="657" w:type="pct"/>
            <w:tcBorders>
              <w:top w:val="single" w:sz="4" w:space="0" w:color="auto"/>
              <w:left w:val="single" w:sz="4" w:space="0" w:color="auto"/>
              <w:bottom w:val="single" w:sz="4" w:space="0" w:color="auto"/>
              <w:right w:val="single" w:sz="4" w:space="0" w:color="auto"/>
            </w:tcBorders>
            <w:shd w:val="clear" w:color="auto" w:fill="auto"/>
            <w:hideMark/>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r>
      <w:tr w:rsidR="002C59B3" w:rsidRPr="00DD5D20" w:rsidTr="008C574E">
        <w:trPr>
          <w:trHeight w:val="442"/>
        </w:trPr>
        <w:tc>
          <w:tcPr>
            <w:tcW w:w="747"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rPr>
                <w:b/>
              </w:rPr>
            </w:pPr>
            <w:r w:rsidRPr="00DD5D20">
              <w:t>Myalgia</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405DA0" w:rsidP="00D87FED">
            <w:pPr>
              <w:pStyle w:val="Tabletext"/>
              <w:jc w:val="center"/>
              <w:rPr>
                <w:b/>
              </w:rPr>
            </w:pPr>
            <w:r>
              <w:rPr>
                <w:noProof/>
                <w:color w:val="000000"/>
                <w:highlight w:val="black"/>
              </w:rPr>
              <w:t>'''</w:t>
            </w:r>
            <w:r w:rsidR="002C59B3" w:rsidRPr="00DD5D20">
              <w:t>/188 (</w:t>
            </w:r>
            <w:r>
              <w:rPr>
                <w:noProof/>
                <w:color w:val="000000"/>
                <w:highlight w:val="black"/>
              </w:rPr>
              <w:t>'''''''''''</w:t>
            </w:r>
            <w:r w:rsidR="002C59B3" w:rsidRPr="00DD5D20">
              <w:t>)</w:t>
            </w:r>
          </w:p>
        </w:tc>
        <w:tc>
          <w:tcPr>
            <w:tcW w:w="563" w:type="pct"/>
            <w:tcBorders>
              <w:top w:val="single" w:sz="4" w:space="0" w:color="auto"/>
              <w:left w:val="single" w:sz="4" w:space="0" w:color="auto"/>
              <w:bottom w:val="single" w:sz="4" w:space="0" w:color="auto"/>
              <w:right w:val="single" w:sz="4" w:space="0" w:color="auto"/>
            </w:tcBorders>
          </w:tcPr>
          <w:p w:rsidR="002C59B3" w:rsidRPr="00DD5D20" w:rsidRDefault="00405DA0" w:rsidP="00D87FED">
            <w:pPr>
              <w:pStyle w:val="Tabletext"/>
              <w:jc w:val="center"/>
            </w:pPr>
            <w:r>
              <w:rPr>
                <w:noProof/>
                <w:color w:val="000000"/>
                <w:highlight w:val="black"/>
              </w:rPr>
              <w:t>'''</w:t>
            </w:r>
            <w:r w:rsidR="002C59B3" w:rsidRPr="00DD5D20">
              <w:t>/282 (</w:t>
            </w:r>
            <w:r>
              <w:rPr>
                <w:noProof/>
                <w:color w:val="000000"/>
                <w:highlight w:val="black"/>
              </w:rPr>
              <w:t>''''''''''</w:t>
            </w:r>
            <w:r w:rsidR="002C59B3" w:rsidRPr="00DD5D20">
              <w:t>)</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18/687</w:t>
            </w:r>
          </w:p>
          <w:p w:rsidR="002C59B3" w:rsidRPr="00DD5D20" w:rsidRDefault="002C59B3" w:rsidP="00D87FED">
            <w:pPr>
              <w:pStyle w:val="Tabletext"/>
              <w:jc w:val="center"/>
              <w:rPr>
                <w:b/>
              </w:rPr>
            </w:pPr>
            <w:r w:rsidRPr="00DD5D20">
              <w:t>(2.62)</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rPr>
                <w:b/>
              </w:rPr>
            </w:pPr>
            <w:r w:rsidRPr="00DD5D20">
              <w:t>2/692 (0.29)</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9.28</w:t>
            </w:r>
          </w:p>
          <w:p w:rsidR="002C59B3" w:rsidRPr="00DD5D20" w:rsidRDefault="002C59B3" w:rsidP="00D87FED">
            <w:pPr>
              <w:pStyle w:val="Tabletext"/>
              <w:jc w:val="center"/>
              <w:rPr>
                <w:b/>
              </w:rPr>
            </w:pPr>
            <w:r w:rsidRPr="00DD5D20">
              <w:t>(2.15, 40.16)</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r>
      <w:tr w:rsidR="002C59B3" w:rsidRPr="00DD5D20" w:rsidTr="008C574E">
        <w:trPr>
          <w:trHeight w:val="442"/>
        </w:trPr>
        <w:tc>
          <w:tcPr>
            <w:tcW w:w="747"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AF35D1" w:rsidP="00D87FED">
            <w:pPr>
              <w:pStyle w:val="Tabletext"/>
              <w:rPr>
                <w:b/>
              </w:rPr>
            </w:pPr>
            <w:r w:rsidRPr="00DD5D20">
              <w:t>Musculoskeletal stiffness</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405DA0" w:rsidP="00D87FED">
            <w:pPr>
              <w:pStyle w:val="Tabletext"/>
              <w:jc w:val="center"/>
            </w:pPr>
            <w:r>
              <w:rPr>
                <w:noProof/>
                <w:color w:val="000000"/>
                <w:highlight w:val="black"/>
              </w:rPr>
              <w:t>'''</w:t>
            </w:r>
            <w:r w:rsidR="002C59B3" w:rsidRPr="00DD5D20">
              <w:t>/188</w:t>
            </w:r>
          </w:p>
          <w:p w:rsidR="002C59B3" w:rsidRPr="00DD5D20" w:rsidRDefault="002C59B3" w:rsidP="00D87FED">
            <w:pPr>
              <w:pStyle w:val="Tabletext"/>
              <w:jc w:val="center"/>
              <w:rPr>
                <w:b/>
              </w:rPr>
            </w:pPr>
            <w:r w:rsidRPr="00DD5D20">
              <w:t>(</w:t>
            </w:r>
            <w:r w:rsidR="00405DA0">
              <w:rPr>
                <w:noProof/>
                <w:color w:val="000000"/>
                <w:highlight w:val="black"/>
              </w:rPr>
              <w:t>''''</w:t>
            </w:r>
            <w:r w:rsidRPr="00DD5D20">
              <w:t>)</w:t>
            </w:r>
          </w:p>
        </w:tc>
        <w:tc>
          <w:tcPr>
            <w:tcW w:w="563" w:type="pct"/>
            <w:tcBorders>
              <w:top w:val="single" w:sz="4" w:space="0" w:color="auto"/>
              <w:left w:val="single" w:sz="4" w:space="0" w:color="auto"/>
              <w:bottom w:val="single" w:sz="4" w:space="0" w:color="auto"/>
              <w:right w:val="single" w:sz="4" w:space="0" w:color="auto"/>
            </w:tcBorders>
          </w:tcPr>
          <w:p w:rsidR="002C59B3" w:rsidRPr="00DD5D20" w:rsidRDefault="00405DA0" w:rsidP="00D87FED">
            <w:pPr>
              <w:pStyle w:val="Tabletext"/>
              <w:jc w:val="center"/>
            </w:pPr>
            <w:r>
              <w:rPr>
                <w:noProof/>
                <w:color w:val="000000"/>
                <w:highlight w:val="black"/>
              </w:rPr>
              <w:t>''''</w:t>
            </w:r>
            <w:r w:rsidR="002C59B3" w:rsidRPr="00DD5D20">
              <w:t>/282 (</w:t>
            </w:r>
            <w:r>
              <w:rPr>
                <w:noProof/>
                <w:color w:val="000000"/>
                <w:highlight w:val="black"/>
              </w:rPr>
              <w:t>''''''''''</w:t>
            </w:r>
            <w:r w:rsidR="002C59B3" w:rsidRPr="00DD5D20">
              <w:t>)</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16/687</w:t>
            </w:r>
          </w:p>
          <w:p w:rsidR="002C59B3" w:rsidRPr="00DD5D20" w:rsidRDefault="002C59B3" w:rsidP="00D87FED">
            <w:pPr>
              <w:pStyle w:val="Tabletext"/>
              <w:jc w:val="center"/>
              <w:rPr>
                <w:b/>
              </w:rPr>
            </w:pPr>
            <w:r w:rsidRPr="00DD5D20">
              <w:t>(2.33)</w:t>
            </w: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rPr>
                <w:b/>
              </w:rPr>
            </w:pPr>
            <w:r w:rsidRPr="00DD5D20">
              <w:t>5/692 (0.72)</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2C59B3" w:rsidRPr="00DD5D20" w:rsidRDefault="002C59B3" w:rsidP="00D87FED">
            <w:pPr>
              <w:pStyle w:val="Tabletext"/>
              <w:jc w:val="center"/>
            </w:pPr>
            <w:r w:rsidRPr="00DD5D20">
              <w:t>3.28</w:t>
            </w:r>
          </w:p>
          <w:p w:rsidR="002C59B3" w:rsidRPr="00DD5D20" w:rsidRDefault="002C59B3" w:rsidP="00D87FED">
            <w:pPr>
              <w:pStyle w:val="Tabletext"/>
              <w:jc w:val="center"/>
              <w:rPr>
                <w:b/>
              </w:rPr>
            </w:pPr>
            <w:r w:rsidRPr="00DD5D20">
              <w:t>(1.19, 8.99)</w:t>
            </w: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2C59B3" w:rsidRPr="00405DA0" w:rsidRDefault="00405DA0" w:rsidP="00D87FED">
            <w:pPr>
              <w:pStyle w:val="Tabletext"/>
              <w:jc w:val="center"/>
              <w:rPr>
                <w:highlight w:val="black"/>
              </w:rPr>
            </w:pPr>
            <w:r>
              <w:rPr>
                <w:noProof/>
                <w:color w:val="000000"/>
                <w:highlight w:val="black"/>
              </w:rPr>
              <w:t>''''''''''</w:t>
            </w:r>
          </w:p>
          <w:p w:rsidR="002C59B3" w:rsidRPr="00DD5D20" w:rsidRDefault="002C59B3" w:rsidP="00D87FED">
            <w:pPr>
              <w:pStyle w:val="Tabletext"/>
              <w:jc w:val="center"/>
              <w:rPr>
                <w:b/>
              </w:rPr>
            </w:pPr>
            <w:r w:rsidRPr="00DD5D20">
              <w:t>(</w:t>
            </w:r>
            <w:r w:rsidR="00405DA0">
              <w:rPr>
                <w:noProof/>
                <w:color w:val="000000"/>
                <w:highlight w:val="black"/>
              </w:rPr>
              <w:t>''''''''''</w:t>
            </w:r>
            <w:r w:rsidRPr="00DD5D20">
              <w:t xml:space="preserve">, </w:t>
            </w:r>
            <w:r w:rsidR="00405DA0">
              <w:rPr>
                <w:noProof/>
                <w:color w:val="000000"/>
                <w:highlight w:val="black"/>
              </w:rPr>
              <w:t>''''''''''</w:t>
            </w:r>
            <w:r w:rsidRPr="00DD5D20">
              <w:t>)</w:t>
            </w:r>
          </w:p>
        </w:tc>
      </w:tr>
    </w:tbl>
    <w:p w:rsidR="002C59B3" w:rsidRPr="00DD5D20" w:rsidRDefault="002C59B3" w:rsidP="00D87FED">
      <w:pPr>
        <w:pStyle w:val="NoSpacing"/>
        <w:widowControl/>
        <w:rPr>
          <w:rFonts w:ascii="Arial Narrow" w:hAnsi="Arial Narrow"/>
          <w:sz w:val="18"/>
          <w:szCs w:val="18"/>
        </w:rPr>
      </w:pPr>
      <w:r w:rsidRPr="00DD5D20">
        <w:rPr>
          <w:rFonts w:ascii="Arial Narrow" w:hAnsi="Arial Narrow"/>
          <w:sz w:val="18"/>
          <w:szCs w:val="18"/>
        </w:rPr>
        <w:t xml:space="preserve">Note: 1 </w:t>
      </w:r>
      <w:proofErr w:type="spellStart"/>
      <w:r w:rsidRPr="00DD5D20">
        <w:rPr>
          <w:rFonts w:ascii="Arial Narrow" w:hAnsi="Arial Narrow"/>
          <w:sz w:val="18"/>
          <w:szCs w:val="18"/>
        </w:rPr>
        <w:t>erenumab</w:t>
      </w:r>
      <w:proofErr w:type="spellEnd"/>
      <w:r w:rsidRPr="00DD5D20">
        <w:rPr>
          <w:rFonts w:ascii="Arial Narrow" w:hAnsi="Arial Narrow"/>
          <w:sz w:val="18"/>
          <w:szCs w:val="18"/>
        </w:rPr>
        <w:t xml:space="preserve"> study 295 vs Botox pooled results</w:t>
      </w:r>
    </w:p>
    <w:p w:rsidR="002C59B3" w:rsidRPr="00DD5D20" w:rsidRDefault="002C59B3" w:rsidP="00D87FED">
      <w:pPr>
        <w:pStyle w:val="NoSpacing"/>
        <w:widowControl/>
        <w:rPr>
          <w:rFonts w:ascii="Arial Narrow" w:hAnsi="Arial Narrow"/>
          <w:sz w:val="18"/>
          <w:szCs w:val="18"/>
        </w:rPr>
      </w:pPr>
      <w:r w:rsidRPr="00DD5D20">
        <w:rPr>
          <w:rFonts w:ascii="Arial Narrow" w:hAnsi="Arial Narrow"/>
          <w:sz w:val="18"/>
          <w:szCs w:val="18"/>
        </w:rPr>
        <w:t>CI = confidence interval; OR=odds ratio; AE= adverse event; SAE= serious adverse event; NA=not reported.</w:t>
      </w:r>
    </w:p>
    <w:p w:rsidR="002C59B3" w:rsidRDefault="002C59B3" w:rsidP="00D87FED">
      <w:pPr>
        <w:pStyle w:val="NoSpacing"/>
        <w:widowControl/>
        <w:rPr>
          <w:rFonts w:ascii="Arial Narrow" w:hAnsi="Arial Narrow"/>
          <w:sz w:val="18"/>
          <w:szCs w:val="18"/>
        </w:rPr>
      </w:pPr>
      <w:r w:rsidRPr="00DD5D20">
        <w:rPr>
          <w:rFonts w:ascii="Arial Narrow" w:hAnsi="Arial Narrow"/>
          <w:sz w:val="18"/>
          <w:szCs w:val="18"/>
        </w:rPr>
        <w:t xml:space="preserve">Source: Study 295, </w:t>
      </w:r>
      <w:proofErr w:type="spellStart"/>
      <w:r w:rsidRPr="00DD5D20">
        <w:rPr>
          <w:rFonts w:ascii="Arial Narrow" w:hAnsi="Arial Narrow"/>
          <w:sz w:val="18"/>
          <w:szCs w:val="18"/>
        </w:rPr>
        <w:t>Dodick</w:t>
      </w:r>
      <w:proofErr w:type="spellEnd"/>
      <w:r w:rsidRPr="00DD5D20">
        <w:rPr>
          <w:rFonts w:ascii="Arial Narrow" w:hAnsi="Arial Narrow"/>
          <w:sz w:val="18"/>
          <w:szCs w:val="18"/>
        </w:rPr>
        <w:t xml:space="preserve"> 2010</w:t>
      </w:r>
    </w:p>
    <w:p w:rsidR="00D87FED" w:rsidRPr="00DD5D20" w:rsidRDefault="00D87FED" w:rsidP="00D87FED">
      <w:pPr>
        <w:pStyle w:val="NoSpacing"/>
        <w:widowControl/>
        <w:rPr>
          <w:rFonts w:ascii="Arial Narrow" w:hAnsi="Arial Narrow"/>
          <w:sz w:val="18"/>
          <w:szCs w:val="18"/>
        </w:rPr>
      </w:pPr>
    </w:p>
    <w:p w:rsidR="007F1017" w:rsidRPr="00C9624D" w:rsidRDefault="007F1017" w:rsidP="00D87FED">
      <w:pPr>
        <w:pStyle w:val="Heading2"/>
      </w:pPr>
      <w:bookmarkStart w:id="10" w:name="_Toc535926560"/>
      <w:r w:rsidRPr="00C9624D">
        <w:t>Benefits/harms</w:t>
      </w:r>
      <w:bookmarkEnd w:id="10"/>
    </w:p>
    <w:p w:rsidR="0046779D" w:rsidRPr="00D061B9" w:rsidRDefault="0046779D" w:rsidP="008C17FD">
      <w:pPr>
        <w:pStyle w:val="ListParagraph"/>
        <w:numPr>
          <w:ilvl w:val="1"/>
          <w:numId w:val="2"/>
        </w:numPr>
        <w:spacing w:after="120"/>
      </w:pPr>
      <w:r w:rsidRPr="00D061B9">
        <w:t>On the basis of the direct evidence presented by the submission</w:t>
      </w:r>
      <w:r w:rsidR="005514FA" w:rsidRPr="00D061B9">
        <w:t xml:space="preserve"> (see Tab</w:t>
      </w:r>
      <w:r w:rsidR="00326D25" w:rsidRPr="00D061B9">
        <w:t xml:space="preserve">les </w:t>
      </w:r>
      <w:r w:rsidR="00326D25" w:rsidRPr="00984033">
        <w:t>6</w:t>
      </w:r>
      <w:r w:rsidR="00326D25" w:rsidRPr="00D061B9">
        <w:t xml:space="preserve"> </w:t>
      </w:r>
      <w:r w:rsidR="00984033">
        <w:t xml:space="preserve">and Table 10 </w:t>
      </w:r>
      <w:r w:rsidR="00640448" w:rsidRPr="00D061B9">
        <w:t>above</w:t>
      </w:r>
      <w:r w:rsidR="00326D25" w:rsidRPr="00D061B9">
        <w:t>)</w:t>
      </w:r>
      <w:r w:rsidRPr="00D061B9">
        <w:t>, for every 100 p</w:t>
      </w:r>
      <w:r w:rsidR="000B7B5B">
        <w:t xml:space="preserve">atients treated with </w:t>
      </w:r>
      <w:proofErr w:type="spellStart"/>
      <w:r w:rsidR="000B7B5B">
        <w:t>erenumab</w:t>
      </w:r>
      <w:proofErr w:type="spellEnd"/>
      <w:r w:rsidR="007929C5">
        <w:t xml:space="preserve"> 140 mg</w:t>
      </w:r>
      <w:r w:rsidR="000B7B5B">
        <w:t xml:space="preserve"> </w:t>
      </w:r>
      <w:r w:rsidR="000F55C0">
        <w:t>i</w:t>
      </w:r>
      <w:r w:rsidRPr="00D061B9">
        <w:t xml:space="preserve">n comparison to </w:t>
      </w:r>
      <w:r w:rsidR="00474E75">
        <w:t>BSC</w:t>
      </w:r>
      <w:r w:rsidR="00474E75" w:rsidRPr="00D061B9">
        <w:t xml:space="preserve"> </w:t>
      </w:r>
      <w:r w:rsidRPr="00D061B9">
        <w:t>and over a duration of follow-up of 12 weeks:</w:t>
      </w:r>
    </w:p>
    <w:p w:rsidR="0046779D" w:rsidRPr="00D061B9" w:rsidRDefault="0046779D" w:rsidP="00D87FED">
      <w:pPr>
        <w:pStyle w:val="Bulletpoints"/>
        <w:spacing w:after="120"/>
        <w:ind w:left="993" w:hanging="284"/>
      </w:pPr>
      <w:r w:rsidRPr="00D061B9">
        <w:t xml:space="preserve">Approximately </w:t>
      </w:r>
      <w:r w:rsidR="001C3088" w:rsidRPr="00D061B9">
        <w:t>23</w:t>
      </w:r>
      <w:r w:rsidRPr="00D061B9">
        <w:t xml:space="preserve"> more patients would have ≥50% reduction in monthly migraine days.</w:t>
      </w:r>
    </w:p>
    <w:p w:rsidR="00D2192E" w:rsidRPr="00D061B9" w:rsidRDefault="00D2192E" w:rsidP="00D87FED">
      <w:pPr>
        <w:pStyle w:val="Bulletpoints"/>
        <w:spacing w:after="120"/>
        <w:ind w:left="993" w:hanging="284"/>
      </w:pPr>
      <w:r w:rsidRPr="00D061B9">
        <w:t xml:space="preserve">Approximately 4 fewer patients would have </w:t>
      </w:r>
      <w:proofErr w:type="spellStart"/>
      <w:r w:rsidRPr="00D061B9">
        <w:t>nasopharyngitis</w:t>
      </w:r>
      <w:proofErr w:type="spellEnd"/>
      <w:r w:rsidRPr="00D061B9">
        <w:t>.</w:t>
      </w:r>
    </w:p>
    <w:p w:rsidR="002537E1" w:rsidRPr="00D061B9" w:rsidRDefault="00D2192E" w:rsidP="00D87FED">
      <w:pPr>
        <w:pStyle w:val="Bulletpoints"/>
        <w:spacing w:after="120"/>
        <w:ind w:left="993" w:hanging="284"/>
      </w:pPr>
      <w:r w:rsidRPr="00D061B9">
        <w:t xml:space="preserve">Approximately 4 </w:t>
      </w:r>
      <w:r w:rsidR="00323086" w:rsidRPr="00D061B9">
        <w:t xml:space="preserve">more </w:t>
      </w:r>
      <w:r w:rsidRPr="00D061B9">
        <w:t xml:space="preserve">patients would have </w:t>
      </w:r>
      <w:r w:rsidR="00EA5932" w:rsidRPr="00D061B9">
        <w:t>constipation</w:t>
      </w:r>
      <w:r w:rsidR="002537E1" w:rsidRPr="00D061B9">
        <w:t>.</w:t>
      </w:r>
    </w:p>
    <w:p w:rsidR="00814820" w:rsidRPr="00D061B9" w:rsidRDefault="00EA5932" w:rsidP="00D87FED">
      <w:pPr>
        <w:pStyle w:val="Bulletpoints"/>
        <w:spacing w:after="120"/>
        <w:ind w:left="993" w:hanging="284"/>
      </w:pPr>
      <w:r w:rsidRPr="00D061B9">
        <w:t>Approximately 3 more patients would have injection site erythema</w:t>
      </w:r>
      <w:r w:rsidR="00ED5098">
        <w:t xml:space="preserve"> </w:t>
      </w:r>
      <w:r w:rsidR="00ED5098" w:rsidRPr="00DD5D20">
        <w:t>(redness)</w:t>
      </w:r>
      <w:r w:rsidRPr="00D061B9">
        <w:t>.</w:t>
      </w:r>
    </w:p>
    <w:p w:rsidR="00AF5E64" w:rsidRDefault="00AF5E64" w:rsidP="008C17FD">
      <w:pPr>
        <w:pStyle w:val="ListParagraph"/>
        <w:numPr>
          <w:ilvl w:val="1"/>
          <w:numId w:val="2"/>
        </w:numPr>
        <w:spacing w:after="120"/>
      </w:pPr>
      <w:r>
        <w:t xml:space="preserve">Over a 12 week time period, </w:t>
      </w:r>
      <w:r w:rsidRPr="00D061B9">
        <w:t>patient</w:t>
      </w:r>
      <w:r>
        <w:t>s</w:t>
      </w:r>
      <w:r w:rsidRPr="00D061B9">
        <w:t xml:space="preserve"> treated with </w:t>
      </w:r>
      <w:proofErr w:type="spellStart"/>
      <w:r w:rsidRPr="00D061B9">
        <w:t>erenumab</w:t>
      </w:r>
      <w:proofErr w:type="spellEnd"/>
      <w:r w:rsidRPr="00D061B9">
        <w:t xml:space="preserve"> </w:t>
      </w:r>
      <w:r>
        <w:t xml:space="preserve">140 mg </w:t>
      </w:r>
      <w:r w:rsidRPr="00D061B9">
        <w:t>would experience a</w:t>
      </w:r>
      <w:r>
        <w:t>n average</w:t>
      </w:r>
      <w:r w:rsidRPr="00D061B9">
        <w:t xml:space="preserve"> reduction of approximately 4.2 migraine days per month</w:t>
      </w:r>
      <w:r>
        <w:t xml:space="preserve"> compared to patients treated with BSC.</w:t>
      </w:r>
    </w:p>
    <w:p w:rsidR="00814820" w:rsidRPr="00D061B9" w:rsidRDefault="00814820" w:rsidP="008C17FD">
      <w:pPr>
        <w:pStyle w:val="ListParagraph"/>
        <w:numPr>
          <w:ilvl w:val="1"/>
          <w:numId w:val="2"/>
        </w:numPr>
        <w:spacing w:after="120"/>
      </w:pPr>
      <w:r w:rsidRPr="00D061B9">
        <w:t xml:space="preserve">On the basis of the indirect evidence presented by the submission (see Tables </w:t>
      </w:r>
      <w:r>
        <w:t>7</w:t>
      </w:r>
      <w:r w:rsidRPr="00D061B9">
        <w:t xml:space="preserve"> and</w:t>
      </w:r>
      <w:r w:rsidR="008C17FD">
        <w:t xml:space="preserve"> </w:t>
      </w:r>
      <w:r>
        <w:t xml:space="preserve">11 </w:t>
      </w:r>
      <w:r w:rsidRPr="00D061B9">
        <w:t xml:space="preserve">above) the comparison of </w:t>
      </w:r>
      <w:r w:rsidRPr="00DD5D20">
        <w:t xml:space="preserve">12 weeks of </w:t>
      </w:r>
      <w:proofErr w:type="spellStart"/>
      <w:r w:rsidRPr="00D061B9">
        <w:t>erenumab</w:t>
      </w:r>
      <w:proofErr w:type="spellEnd"/>
      <w:r w:rsidRPr="00D061B9">
        <w:t xml:space="preserve"> </w:t>
      </w:r>
      <w:r w:rsidR="0008598B">
        <w:t xml:space="preserve">140 mg </w:t>
      </w:r>
      <w:r w:rsidRPr="00D061B9">
        <w:t xml:space="preserve">and </w:t>
      </w:r>
      <w:r w:rsidRPr="00DD5D20">
        <w:t xml:space="preserve">24 weeks of </w:t>
      </w:r>
      <w:r w:rsidRPr="00D061B9">
        <w:t>Botox resulted in:</w:t>
      </w:r>
    </w:p>
    <w:p w:rsidR="00814820" w:rsidRPr="00D061B9" w:rsidRDefault="00814820" w:rsidP="008C17FD">
      <w:pPr>
        <w:pStyle w:val="ListParagraph"/>
        <w:numPr>
          <w:ilvl w:val="0"/>
          <w:numId w:val="1"/>
        </w:numPr>
        <w:spacing w:after="120"/>
        <w:ind w:left="993" w:hanging="284"/>
      </w:pPr>
      <w:r w:rsidRPr="00D061B9">
        <w:t>No difference in the reduction of monthly headache days.</w:t>
      </w:r>
    </w:p>
    <w:p w:rsidR="00814820" w:rsidRPr="00D061B9" w:rsidRDefault="00814820" w:rsidP="008C17FD">
      <w:pPr>
        <w:pStyle w:val="ListParagraph"/>
        <w:numPr>
          <w:ilvl w:val="0"/>
          <w:numId w:val="1"/>
        </w:numPr>
        <w:spacing w:after="120"/>
        <w:ind w:left="993" w:hanging="284"/>
      </w:pPr>
      <w:r w:rsidRPr="00D061B9">
        <w:t>No difference in the proportion of patients with ≥50% reduction in monthly headache days.</w:t>
      </w:r>
    </w:p>
    <w:p w:rsidR="00814820" w:rsidRPr="00D061B9" w:rsidRDefault="00814820" w:rsidP="008C17FD">
      <w:pPr>
        <w:pStyle w:val="ListParagraph"/>
        <w:numPr>
          <w:ilvl w:val="0"/>
          <w:numId w:val="1"/>
        </w:numPr>
        <w:spacing w:after="120"/>
        <w:ind w:left="993" w:hanging="284"/>
      </w:pPr>
      <w:r w:rsidRPr="00D061B9">
        <w:t xml:space="preserve">No difference in the </w:t>
      </w:r>
      <w:r w:rsidR="002D19BB">
        <w:t>number</w:t>
      </w:r>
      <w:r w:rsidR="002D19BB" w:rsidRPr="00DD5D20">
        <w:t xml:space="preserve"> </w:t>
      </w:r>
      <w:r w:rsidRPr="00DD5D20">
        <w:t xml:space="preserve">(but different types) </w:t>
      </w:r>
      <w:r w:rsidRPr="00D061B9">
        <w:t xml:space="preserve">of AEs, SAEs, or </w:t>
      </w:r>
      <w:r w:rsidR="002D19BB">
        <w:t xml:space="preserve">cases of </w:t>
      </w:r>
      <w:r w:rsidRPr="00D061B9">
        <w:t>injection site pain.</w:t>
      </w:r>
    </w:p>
    <w:p w:rsidR="00B60939" w:rsidRPr="00C9624D" w:rsidRDefault="00B60939" w:rsidP="00D87FED">
      <w:pPr>
        <w:pStyle w:val="Heading2"/>
        <w:spacing w:before="240"/>
      </w:pPr>
      <w:bookmarkStart w:id="11" w:name="_Toc535926561"/>
      <w:r w:rsidRPr="00C9624D">
        <w:lastRenderedPageBreak/>
        <w:t>Clinical claim</w:t>
      </w:r>
      <w:bookmarkEnd w:id="11"/>
    </w:p>
    <w:p w:rsidR="000F55C0" w:rsidRPr="00D061B9" w:rsidRDefault="000F55C0" w:rsidP="008C17FD">
      <w:pPr>
        <w:pStyle w:val="ListParagraph"/>
        <w:numPr>
          <w:ilvl w:val="1"/>
          <w:numId w:val="2"/>
        </w:numPr>
        <w:spacing w:after="120"/>
      </w:pPr>
      <w:r w:rsidRPr="00D061B9">
        <w:t xml:space="preserve">Based on the direct comparison of </w:t>
      </w:r>
      <w:proofErr w:type="spellStart"/>
      <w:r w:rsidRPr="00D061B9">
        <w:t>erenumab</w:t>
      </w:r>
      <w:proofErr w:type="spellEnd"/>
      <w:r w:rsidRPr="00D061B9">
        <w:t xml:space="preserve"> and </w:t>
      </w:r>
      <w:r w:rsidR="007F4155">
        <w:t>BSC</w:t>
      </w:r>
      <w:r w:rsidRPr="00D061B9">
        <w:t xml:space="preserve">, the resubmission described </w:t>
      </w:r>
      <w:proofErr w:type="spellStart"/>
      <w:r w:rsidRPr="00D061B9">
        <w:t>erenumab</w:t>
      </w:r>
      <w:proofErr w:type="spellEnd"/>
      <w:r w:rsidRPr="00D061B9">
        <w:t xml:space="preserve"> as superior in terms of comparative effectiveness and equivalent in terms of comparative safety compared to </w:t>
      </w:r>
      <w:r w:rsidR="007F4155">
        <w:t>BSC</w:t>
      </w:r>
      <w:r w:rsidRPr="00D061B9">
        <w:t>.</w:t>
      </w:r>
    </w:p>
    <w:p w:rsidR="00C8566D" w:rsidRPr="00D061B9" w:rsidRDefault="00EA5932" w:rsidP="008C17FD">
      <w:pPr>
        <w:pStyle w:val="ListParagraph"/>
        <w:numPr>
          <w:ilvl w:val="1"/>
          <w:numId w:val="2"/>
        </w:numPr>
        <w:spacing w:after="120"/>
      </w:pPr>
      <w:r w:rsidRPr="00D061B9">
        <w:t xml:space="preserve">Based on the indirect comparison of </w:t>
      </w:r>
      <w:proofErr w:type="spellStart"/>
      <w:r w:rsidRPr="00D061B9">
        <w:t>erenumab</w:t>
      </w:r>
      <w:proofErr w:type="spellEnd"/>
      <w:r w:rsidRPr="00D061B9">
        <w:t xml:space="preserve"> and Botox, </w:t>
      </w:r>
      <w:r w:rsidR="009F33AE" w:rsidRPr="00D061B9">
        <w:t>t</w:t>
      </w:r>
      <w:r w:rsidR="00D51C1D" w:rsidRPr="00D061B9">
        <w:t xml:space="preserve">he resubmission described </w:t>
      </w:r>
      <w:proofErr w:type="spellStart"/>
      <w:r w:rsidR="00D51C1D" w:rsidRPr="00D061B9">
        <w:t>erenumab</w:t>
      </w:r>
      <w:proofErr w:type="spellEnd"/>
      <w:r w:rsidR="00D51C1D" w:rsidRPr="00D061B9">
        <w:t xml:space="preserve"> as non-inferior in terms of comparative effectiveness and </w:t>
      </w:r>
      <w:r w:rsidR="00C532A9" w:rsidRPr="00D061B9">
        <w:t xml:space="preserve">non-inferior in terms of </w:t>
      </w:r>
      <w:r w:rsidR="00D51C1D" w:rsidRPr="00D061B9">
        <w:t>comparative safety.</w:t>
      </w:r>
      <w:r w:rsidR="00FC1F44">
        <w:t xml:space="preserve"> </w:t>
      </w:r>
    </w:p>
    <w:p w:rsidR="00E910D9" w:rsidRPr="00294623" w:rsidRDefault="00E910D9" w:rsidP="008C17FD">
      <w:pPr>
        <w:pStyle w:val="ListParagraph"/>
        <w:numPr>
          <w:ilvl w:val="1"/>
          <w:numId w:val="2"/>
        </w:numPr>
        <w:spacing w:after="120"/>
      </w:pPr>
      <w:r w:rsidRPr="00294623">
        <w:t xml:space="preserve">The PBAC considered that the claim of </w:t>
      </w:r>
      <w:r w:rsidR="00FA11C6" w:rsidRPr="00294623">
        <w:t xml:space="preserve">superior </w:t>
      </w:r>
      <w:r w:rsidRPr="00294623">
        <w:t>comparative effectiveness</w:t>
      </w:r>
      <w:r w:rsidR="00FA11C6" w:rsidRPr="00294623">
        <w:t xml:space="preserve"> compared to </w:t>
      </w:r>
      <w:r w:rsidR="007F4155">
        <w:t>BSC</w:t>
      </w:r>
      <w:r w:rsidR="00FA11C6" w:rsidRPr="00294623">
        <w:t xml:space="preserve"> was reasonable but considered the magnitude of the benefit was highly uncertain. The PBAC considered the claim that </w:t>
      </w:r>
      <w:proofErr w:type="spellStart"/>
      <w:r w:rsidR="00FA11C6" w:rsidRPr="00294623">
        <w:t>erenumab</w:t>
      </w:r>
      <w:proofErr w:type="spellEnd"/>
      <w:r w:rsidR="00FA11C6" w:rsidRPr="00294623">
        <w:t xml:space="preserve"> has equivalent safety to </w:t>
      </w:r>
      <w:r w:rsidR="007F4155">
        <w:t>BSC</w:t>
      </w:r>
      <w:r w:rsidR="00FA11C6" w:rsidRPr="00294623">
        <w:t xml:space="preserve"> to also be </w:t>
      </w:r>
      <w:r w:rsidR="00CA0090">
        <w:t>not adequately supported.</w:t>
      </w:r>
      <w:r w:rsidR="00FA11C6" w:rsidRPr="00294623">
        <w:t xml:space="preserve"> </w:t>
      </w:r>
    </w:p>
    <w:p w:rsidR="00E910D9" w:rsidRPr="00294623" w:rsidRDefault="00E910D9" w:rsidP="008C17FD">
      <w:pPr>
        <w:pStyle w:val="ListParagraph"/>
        <w:numPr>
          <w:ilvl w:val="1"/>
          <w:numId w:val="2"/>
        </w:numPr>
        <w:spacing w:after="120"/>
      </w:pPr>
      <w:r w:rsidRPr="00294623">
        <w:t xml:space="preserve">The PBAC considered that the claim of </w:t>
      </w:r>
      <w:r w:rsidR="0059760B" w:rsidRPr="00294623">
        <w:t xml:space="preserve">non-inferior </w:t>
      </w:r>
      <w:r w:rsidRPr="00294623">
        <w:t xml:space="preserve">comparative </w:t>
      </w:r>
      <w:r w:rsidR="0059760B" w:rsidRPr="00294623">
        <w:t xml:space="preserve">effectiveness and safety compared to Botox </w:t>
      </w:r>
      <w:r w:rsidRPr="00294623">
        <w:t>was not adequately supported by the data.</w:t>
      </w:r>
      <w:r w:rsidR="0059760B" w:rsidRPr="00294623">
        <w:t xml:space="preserve"> </w:t>
      </w:r>
    </w:p>
    <w:p w:rsidR="00FA11C6" w:rsidRDefault="00FA11C6" w:rsidP="008C17FD">
      <w:pPr>
        <w:pStyle w:val="ListParagraph"/>
        <w:numPr>
          <w:ilvl w:val="1"/>
          <w:numId w:val="2"/>
        </w:numPr>
        <w:spacing w:after="120"/>
      </w:pPr>
      <w:r w:rsidRPr="00294623">
        <w:t xml:space="preserve">The PBAC noted the clinical claims in the submission were based on clinical data from a small (34%) subgroup of patients in the pivotal clinical study and were only based on the 140 mg dose of </w:t>
      </w:r>
      <w:proofErr w:type="spellStart"/>
      <w:r w:rsidRPr="00294623">
        <w:t>erenumab</w:t>
      </w:r>
      <w:proofErr w:type="spellEnd"/>
      <w:r w:rsidRPr="00294623">
        <w:t xml:space="preserve">. </w:t>
      </w:r>
    </w:p>
    <w:p w:rsidR="00A828C5" w:rsidRPr="0074603A" w:rsidRDefault="00A828C5" w:rsidP="008C17FD">
      <w:pPr>
        <w:pStyle w:val="ListParagraph"/>
        <w:numPr>
          <w:ilvl w:val="1"/>
          <w:numId w:val="2"/>
        </w:numPr>
        <w:spacing w:after="120"/>
      </w:pPr>
      <w:r w:rsidRPr="0074603A">
        <w:t>The PBAC noted no</w:t>
      </w:r>
      <w:r w:rsidR="00EF6CDA" w:rsidRPr="0074603A">
        <w:t xml:space="preserve"> clinical data </w:t>
      </w:r>
      <w:r w:rsidR="002D19BB">
        <w:t>were</w:t>
      </w:r>
      <w:r w:rsidR="002D19BB" w:rsidRPr="0074603A">
        <w:t xml:space="preserve"> </w:t>
      </w:r>
      <w:r w:rsidR="00EF6CDA" w:rsidRPr="0074603A">
        <w:t xml:space="preserve">presented in the resubmission for the 70 mg dose of </w:t>
      </w:r>
      <w:proofErr w:type="spellStart"/>
      <w:r w:rsidR="00EF6CDA" w:rsidRPr="0074603A">
        <w:t>erenumab</w:t>
      </w:r>
      <w:proofErr w:type="spellEnd"/>
      <w:r w:rsidR="00EF6CDA" w:rsidRPr="0074603A">
        <w:t xml:space="preserve"> </w:t>
      </w:r>
      <w:r w:rsidR="00060597">
        <w:t xml:space="preserve">for </w:t>
      </w:r>
      <w:r w:rsidR="006838B2">
        <w:t xml:space="preserve">either </w:t>
      </w:r>
      <w:r w:rsidR="00060597">
        <w:t xml:space="preserve">the </w:t>
      </w:r>
      <w:r w:rsidR="00060597" w:rsidRPr="0074603A">
        <w:t>ITT or subgroup population</w:t>
      </w:r>
      <w:r w:rsidR="00EF6CDA" w:rsidRPr="0074603A">
        <w:t xml:space="preserve">. </w:t>
      </w:r>
    </w:p>
    <w:p w:rsidR="00A828C5" w:rsidRDefault="00A828C5" w:rsidP="008C17FD">
      <w:pPr>
        <w:pStyle w:val="ListParagraph"/>
        <w:numPr>
          <w:ilvl w:val="1"/>
          <w:numId w:val="2"/>
        </w:numPr>
        <w:spacing w:after="120"/>
      </w:pPr>
      <w:r w:rsidRPr="00063DBA">
        <w:t xml:space="preserve">The PBAC noted the resubmission did </w:t>
      </w:r>
      <w:r>
        <w:t xml:space="preserve">not nominate </w:t>
      </w:r>
      <w:r w:rsidRPr="00063DBA">
        <w:t xml:space="preserve">a non-inferiority margin for the indirect comparison versus Botox and considered the lack of statistically </w:t>
      </w:r>
      <w:r w:rsidRPr="00A828C5">
        <w:t xml:space="preserve">significant difference does not adequately establish non-inferiority. </w:t>
      </w:r>
    </w:p>
    <w:p w:rsidR="00B60939" w:rsidRPr="00C9624D" w:rsidRDefault="00B60939" w:rsidP="00D87FED">
      <w:pPr>
        <w:pStyle w:val="Heading2"/>
      </w:pPr>
      <w:bookmarkStart w:id="12" w:name="_Toc535926562"/>
      <w:r w:rsidRPr="00C9624D">
        <w:t>Economic analysis</w:t>
      </w:r>
      <w:bookmarkEnd w:id="12"/>
      <w:r w:rsidR="00491B3A" w:rsidRPr="00C9624D">
        <w:t xml:space="preserve"> </w:t>
      </w:r>
    </w:p>
    <w:p w:rsidR="00BE0E3F" w:rsidRDefault="00D962B8" w:rsidP="008C17FD">
      <w:pPr>
        <w:pStyle w:val="ListParagraph"/>
        <w:numPr>
          <w:ilvl w:val="1"/>
          <w:numId w:val="2"/>
        </w:numPr>
        <w:spacing w:after="120"/>
      </w:pPr>
      <w:r w:rsidRPr="00D061B9">
        <w:t xml:space="preserve">The resubmission presented a cost-utility analysis </w:t>
      </w:r>
      <w:r w:rsidR="00485F75">
        <w:t xml:space="preserve">(CUA) </w:t>
      </w:r>
      <w:r w:rsidRPr="00D061B9">
        <w:t>based on</w:t>
      </w:r>
      <w:r w:rsidR="004668D3" w:rsidRPr="00D061B9">
        <w:t xml:space="preserve"> the within trial comparison of </w:t>
      </w:r>
      <w:proofErr w:type="spellStart"/>
      <w:r w:rsidR="004668D3" w:rsidRPr="00D061B9">
        <w:t>erenumab</w:t>
      </w:r>
      <w:proofErr w:type="spellEnd"/>
      <w:r w:rsidR="004668D3" w:rsidRPr="00D061B9">
        <w:t xml:space="preserve"> and </w:t>
      </w:r>
      <w:r w:rsidR="007F4155">
        <w:t>BSC</w:t>
      </w:r>
      <w:r w:rsidR="004668D3" w:rsidRPr="00D061B9">
        <w:t xml:space="preserve"> a</w:t>
      </w:r>
      <w:r w:rsidR="00FC07B4">
        <w:t xml:space="preserve">nd </w:t>
      </w:r>
      <w:r w:rsidR="004668D3" w:rsidRPr="00D061B9">
        <w:t xml:space="preserve">a cost-minimisation analysis </w:t>
      </w:r>
      <w:r w:rsidR="00485F75">
        <w:t xml:space="preserve">(CMA) </w:t>
      </w:r>
      <w:r w:rsidR="004668D3" w:rsidRPr="00D061B9">
        <w:t>based on the in</w:t>
      </w:r>
      <w:r w:rsidR="00CD793C">
        <w:t>direct comparison versus Botox.</w:t>
      </w:r>
      <w:r w:rsidR="004668D3" w:rsidRPr="00D061B9">
        <w:t xml:space="preserve"> </w:t>
      </w:r>
    </w:p>
    <w:p w:rsidR="00FC07B4" w:rsidRPr="00D87FED" w:rsidRDefault="00FC07B4" w:rsidP="00D87FED">
      <w:pPr>
        <w:keepNext/>
        <w:spacing w:after="120"/>
        <w:rPr>
          <w:u w:val="single"/>
        </w:rPr>
      </w:pPr>
      <w:r w:rsidRPr="00FC07B4">
        <w:rPr>
          <w:u w:val="single"/>
        </w:rPr>
        <w:t>Cost utility analysis</w:t>
      </w:r>
    </w:p>
    <w:p w:rsidR="004668D3" w:rsidRPr="00D061B9" w:rsidRDefault="00395F9C" w:rsidP="008C17FD">
      <w:pPr>
        <w:pStyle w:val="ListParagraph"/>
        <w:numPr>
          <w:ilvl w:val="1"/>
          <w:numId w:val="2"/>
        </w:numPr>
        <w:spacing w:after="120"/>
      </w:pPr>
      <w:r w:rsidRPr="00D061B9">
        <w:t xml:space="preserve">The economic model in the July 2018 submission was based on a superiority claim </w:t>
      </w:r>
      <w:r w:rsidR="00AA16B6" w:rsidRPr="00D061B9">
        <w:t>versus</w:t>
      </w:r>
      <w:r w:rsidRPr="00D061B9">
        <w:t xml:space="preserve"> Botox.</w:t>
      </w:r>
      <w:r w:rsidR="00CD793C">
        <w:t xml:space="preserve"> </w:t>
      </w:r>
      <w:r w:rsidR="00AA16B6" w:rsidRPr="00D061B9">
        <w:t>The PBAC and ESC had raised a number of points regarding the economic evaluation presented in the July 2018 submission.</w:t>
      </w:r>
      <w:r w:rsidRPr="00D061B9">
        <w:t xml:space="preserve"> </w:t>
      </w:r>
      <w:r w:rsidR="00BE0E3F" w:rsidRPr="00D061B9">
        <w:t>A summary of those points along with the resubmission’s response is provided in the table below.</w:t>
      </w:r>
      <w:r w:rsidR="00D962B8" w:rsidRPr="00D061B9">
        <w:t xml:space="preserve"> </w:t>
      </w:r>
    </w:p>
    <w:p w:rsidR="00BE0E3F" w:rsidRDefault="00BE0E3F" w:rsidP="00863E22">
      <w:pPr>
        <w:keepNext/>
        <w:keepLines/>
      </w:pPr>
      <w:r w:rsidRPr="00401364">
        <w:rPr>
          <w:rFonts w:ascii="Arial Narrow" w:hAnsi="Arial Narrow"/>
          <w:b/>
          <w:sz w:val="20"/>
          <w:szCs w:val="20"/>
        </w:rPr>
        <w:lastRenderedPageBreak/>
        <w:t xml:space="preserve">Table </w:t>
      </w:r>
      <w:r w:rsidR="00821312">
        <w:rPr>
          <w:rFonts w:ascii="Arial Narrow" w:hAnsi="Arial Narrow"/>
          <w:b/>
          <w:noProof/>
          <w:sz w:val="20"/>
          <w:szCs w:val="20"/>
        </w:rPr>
        <w:t>13</w:t>
      </w:r>
      <w:r w:rsidRPr="00A56B6A">
        <w:rPr>
          <w:rStyle w:val="CommentReference"/>
        </w:rPr>
        <w:t xml:space="preserve">: </w:t>
      </w:r>
      <w:r w:rsidR="00E44705">
        <w:rPr>
          <w:rStyle w:val="CommentReference"/>
        </w:rPr>
        <w:t>PBAC and ESC comments on the July 2018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1"/>
        <w:gridCol w:w="4063"/>
        <w:gridCol w:w="3663"/>
      </w:tblGrid>
      <w:tr w:rsidR="003D1C2B" w:rsidRPr="00D061B9" w:rsidTr="0079339F">
        <w:trPr>
          <w:tblHeader/>
        </w:trPr>
        <w:tc>
          <w:tcPr>
            <w:tcW w:w="716" w:type="pct"/>
            <w:vAlign w:val="center"/>
          </w:tcPr>
          <w:p w:rsidR="003D1C2B" w:rsidRPr="00D061B9" w:rsidRDefault="003D1C2B" w:rsidP="00863E22">
            <w:pPr>
              <w:pStyle w:val="Tabletext"/>
              <w:keepNext/>
              <w:keepLines/>
              <w:jc w:val="left"/>
              <w:rPr>
                <w:b/>
              </w:rPr>
            </w:pPr>
          </w:p>
        </w:tc>
        <w:tc>
          <w:tcPr>
            <w:tcW w:w="2253" w:type="pct"/>
            <w:vAlign w:val="center"/>
          </w:tcPr>
          <w:p w:rsidR="003D1C2B" w:rsidRPr="00D061B9" w:rsidRDefault="003D1C2B" w:rsidP="00863E22">
            <w:pPr>
              <w:pStyle w:val="Tabletext"/>
              <w:keepNext/>
              <w:keepLines/>
              <w:jc w:val="center"/>
              <w:rPr>
                <w:b/>
              </w:rPr>
            </w:pPr>
            <w:r w:rsidRPr="00D061B9">
              <w:rPr>
                <w:b/>
              </w:rPr>
              <w:t>Comment</w:t>
            </w:r>
          </w:p>
        </w:tc>
        <w:tc>
          <w:tcPr>
            <w:tcW w:w="2031" w:type="pct"/>
            <w:vAlign w:val="center"/>
          </w:tcPr>
          <w:p w:rsidR="003D1C2B" w:rsidRPr="00D061B9" w:rsidRDefault="003D1C2B" w:rsidP="00863E22">
            <w:pPr>
              <w:pStyle w:val="Tabletext"/>
              <w:keepNext/>
              <w:keepLines/>
              <w:jc w:val="center"/>
              <w:rPr>
                <w:b/>
              </w:rPr>
            </w:pPr>
            <w:r w:rsidRPr="00D061B9">
              <w:rPr>
                <w:b/>
              </w:rPr>
              <w:t>Resubmission response</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Efficacy outcome</w:t>
            </w:r>
          </w:p>
        </w:tc>
        <w:tc>
          <w:tcPr>
            <w:tcW w:w="2253" w:type="pct"/>
            <w:vAlign w:val="center"/>
          </w:tcPr>
          <w:p w:rsidR="003D1C2B" w:rsidRPr="00D061B9" w:rsidRDefault="003D1C2B" w:rsidP="008C17FD">
            <w:pPr>
              <w:pStyle w:val="Tabletext"/>
              <w:keepNext/>
              <w:keepLines/>
              <w:numPr>
                <w:ilvl w:val="0"/>
                <w:numId w:val="1"/>
              </w:numPr>
              <w:ind w:left="118" w:hanging="118"/>
              <w:jc w:val="left"/>
            </w:pPr>
            <w:r w:rsidRPr="00D061B9">
              <w:t xml:space="preserve">The efficacy outcome (50% responder rate based on the indirect comparison of </w:t>
            </w:r>
            <w:proofErr w:type="spellStart"/>
            <w:r w:rsidRPr="00D061B9">
              <w:t>erenumab</w:t>
            </w:r>
            <w:proofErr w:type="spellEnd"/>
            <w:r w:rsidRPr="00D061B9">
              <w:t xml:space="preserve"> and Botox) did not reach statistical significance</w:t>
            </w:r>
            <w:r w:rsidR="00066A2C">
              <w:t xml:space="preserve"> and it was not valid to include in mode</w:t>
            </w:r>
            <w:r w:rsidR="00106104">
              <w:t>l</w:t>
            </w:r>
          </w:p>
          <w:p w:rsidR="003D1C2B" w:rsidRPr="00D061B9" w:rsidRDefault="003D1C2B" w:rsidP="00863E22">
            <w:pPr>
              <w:pStyle w:val="Tabletext"/>
              <w:keepNext/>
              <w:keepLines/>
              <w:jc w:val="left"/>
            </w:pPr>
            <w:r w:rsidRPr="00D061B9">
              <w:t>(</w:t>
            </w:r>
            <w:proofErr w:type="gramStart"/>
            <w:r w:rsidRPr="00D061B9">
              <w:t>paragraph</w:t>
            </w:r>
            <w:proofErr w:type="gramEnd"/>
            <w:r w:rsidRPr="00D061B9">
              <w:t xml:space="preserve"> 6.45 PSD; paragraph 6.25 ESC Advice).</w:t>
            </w:r>
          </w:p>
        </w:tc>
        <w:tc>
          <w:tcPr>
            <w:tcW w:w="2031" w:type="pct"/>
            <w:vAlign w:val="center"/>
          </w:tcPr>
          <w:p w:rsidR="003D1C2B" w:rsidRPr="00D061B9" w:rsidRDefault="00015646" w:rsidP="008C17FD">
            <w:pPr>
              <w:pStyle w:val="Tabletext"/>
              <w:keepNext/>
              <w:keepLines/>
              <w:numPr>
                <w:ilvl w:val="0"/>
                <w:numId w:val="1"/>
              </w:numPr>
              <w:ind w:left="129" w:hanging="129"/>
              <w:jc w:val="left"/>
            </w:pPr>
            <w:r w:rsidRPr="00D061B9">
              <w:t>T</w:t>
            </w:r>
            <w:r w:rsidR="003D1C2B" w:rsidRPr="00D061B9">
              <w:t xml:space="preserve">he </w:t>
            </w:r>
            <w:r w:rsidR="00CD793C">
              <w:t xml:space="preserve">comparator </w:t>
            </w:r>
            <w:r w:rsidR="003F0A33">
              <w:t>revised to</w:t>
            </w:r>
            <w:r w:rsidR="00CD793C">
              <w:t xml:space="preserve"> </w:t>
            </w:r>
            <w:r w:rsidR="007F4155">
              <w:t>BSC</w:t>
            </w:r>
            <w:r w:rsidR="00CD793C">
              <w:t xml:space="preserve">. </w:t>
            </w:r>
            <w:r w:rsidR="003D1C2B" w:rsidRPr="00D061B9">
              <w:t xml:space="preserve">The advantage for </w:t>
            </w:r>
            <w:proofErr w:type="spellStart"/>
            <w:r w:rsidR="003D1C2B" w:rsidRPr="00D061B9">
              <w:t>erenumab</w:t>
            </w:r>
            <w:proofErr w:type="spellEnd"/>
            <w:r w:rsidR="003D1C2B" w:rsidRPr="00D061B9">
              <w:t xml:space="preserve"> over placebo was statistically significant for the outcome of 50% responder rate.</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Duration of response</w:t>
            </w:r>
          </w:p>
        </w:tc>
        <w:tc>
          <w:tcPr>
            <w:tcW w:w="2253" w:type="pct"/>
            <w:vAlign w:val="center"/>
          </w:tcPr>
          <w:p w:rsidR="003D1C2B" w:rsidRPr="00D061B9" w:rsidRDefault="003D1C2B" w:rsidP="008C17FD">
            <w:pPr>
              <w:pStyle w:val="Tabletext"/>
              <w:keepNext/>
              <w:keepLines/>
              <w:numPr>
                <w:ilvl w:val="0"/>
                <w:numId w:val="4"/>
              </w:numPr>
              <w:ind w:left="118" w:hanging="118"/>
              <w:jc w:val="left"/>
            </w:pPr>
            <w:r w:rsidRPr="00D061B9">
              <w:t xml:space="preserve">The model assumed that responders will maintain response for the duration of the economic model (5 years), </w:t>
            </w:r>
            <w:r w:rsidR="00CD793C">
              <w:t>unless they die or discontinue.</w:t>
            </w:r>
            <w:r w:rsidRPr="00D061B9">
              <w:t xml:space="preserve"> The submission did not provide any evidence to support maintenance of response.</w:t>
            </w:r>
          </w:p>
          <w:p w:rsidR="003D1C2B" w:rsidRPr="00D061B9" w:rsidRDefault="003D1C2B" w:rsidP="00863E22">
            <w:pPr>
              <w:pStyle w:val="Tabletext"/>
              <w:keepNext/>
              <w:keepLines/>
              <w:jc w:val="left"/>
            </w:pPr>
            <w:r w:rsidRPr="00D061B9">
              <w:t>(paragraph 6.46 PSD; paragraph 6.25 ESC Advice)</w:t>
            </w:r>
          </w:p>
        </w:tc>
        <w:tc>
          <w:tcPr>
            <w:tcW w:w="2031" w:type="pct"/>
            <w:vAlign w:val="center"/>
          </w:tcPr>
          <w:p w:rsidR="003D1C2B" w:rsidRPr="00D061B9" w:rsidRDefault="003D1C2B" w:rsidP="008C17FD">
            <w:pPr>
              <w:pStyle w:val="Tabletext"/>
              <w:keepNext/>
              <w:keepLines/>
              <w:numPr>
                <w:ilvl w:val="0"/>
                <w:numId w:val="4"/>
              </w:numPr>
              <w:ind w:left="129" w:hanging="129"/>
              <w:jc w:val="left"/>
            </w:pPr>
            <w:r w:rsidRPr="00D061B9">
              <w:t xml:space="preserve">The resubmission cited evidence from the open-label extension trial Study 255 to support </w:t>
            </w:r>
            <w:r w:rsidR="00107A5D" w:rsidRPr="00D061B9">
              <w:t>maintenance</w:t>
            </w:r>
            <w:r w:rsidRPr="00D061B9">
              <w:t xml:space="preserve"> of response.</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Discontinuation</w:t>
            </w:r>
          </w:p>
        </w:tc>
        <w:tc>
          <w:tcPr>
            <w:tcW w:w="2253" w:type="pct"/>
            <w:vAlign w:val="center"/>
          </w:tcPr>
          <w:p w:rsidR="003D1C2B" w:rsidRPr="00D061B9" w:rsidRDefault="003D1C2B" w:rsidP="008C17FD">
            <w:pPr>
              <w:pStyle w:val="Tabletext"/>
              <w:keepNext/>
              <w:keepLines/>
              <w:numPr>
                <w:ilvl w:val="0"/>
                <w:numId w:val="5"/>
              </w:numPr>
              <w:ind w:left="118" w:hanging="118"/>
              <w:jc w:val="left"/>
            </w:pPr>
            <w:r w:rsidRPr="00D061B9">
              <w:t>The rates of discontinuation were sourced from results of the overall trial population and not the proposed PBS population, with no discussion of the applicability of these results to the proposed PBS population.</w:t>
            </w:r>
          </w:p>
          <w:p w:rsidR="003D1C2B" w:rsidRPr="00D061B9" w:rsidRDefault="003D1C2B" w:rsidP="00863E22">
            <w:pPr>
              <w:pStyle w:val="Tabletext"/>
              <w:keepNext/>
              <w:keepLines/>
              <w:jc w:val="left"/>
            </w:pPr>
            <w:r w:rsidRPr="00D061B9">
              <w:t>(paragraph 6.47 PSD; paragraph 6.25 ESC ADV)</w:t>
            </w:r>
          </w:p>
        </w:tc>
        <w:tc>
          <w:tcPr>
            <w:tcW w:w="2031" w:type="pct"/>
            <w:vAlign w:val="center"/>
          </w:tcPr>
          <w:p w:rsidR="003D1C2B" w:rsidRPr="00D061B9" w:rsidRDefault="003D1C2B" w:rsidP="008C17FD">
            <w:pPr>
              <w:pStyle w:val="Tabletext"/>
              <w:keepNext/>
              <w:keepLines/>
              <w:numPr>
                <w:ilvl w:val="0"/>
                <w:numId w:val="5"/>
              </w:numPr>
              <w:ind w:left="129" w:hanging="129"/>
              <w:jc w:val="left"/>
            </w:pPr>
            <w:r w:rsidRPr="00D061B9">
              <w:t xml:space="preserve">Rates of discontinuation </w:t>
            </w:r>
            <w:r w:rsidR="003F0A33">
              <w:t>continued to be</w:t>
            </w:r>
            <w:r w:rsidR="003F0A33" w:rsidRPr="00D061B9">
              <w:t xml:space="preserve"> </w:t>
            </w:r>
            <w:r w:rsidRPr="00D061B9">
              <w:t>sourced from the overall trial population on the basis that subgroup data were not available. The resubmission conducted sensitivity analyses for discontinuation.</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Utility values</w:t>
            </w:r>
          </w:p>
        </w:tc>
        <w:tc>
          <w:tcPr>
            <w:tcW w:w="2253" w:type="pct"/>
            <w:vAlign w:val="center"/>
          </w:tcPr>
          <w:p w:rsidR="003D1C2B" w:rsidRPr="00D061B9" w:rsidRDefault="003D1C2B" w:rsidP="008C17FD">
            <w:pPr>
              <w:pStyle w:val="Tabletext"/>
              <w:keepNext/>
              <w:keepLines/>
              <w:numPr>
                <w:ilvl w:val="0"/>
                <w:numId w:val="1"/>
              </w:numPr>
              <w:ind w:left="118" w:hanging="118"/>
              <w:jc w:val="left"/>
            </w:pPr>
            <w:r w:rsidRPr="00D061B9">
              <w:t>Severity of headache was not factored into the model, despite the fact that it can have a large impact on utility as shown by Stafford (2012)</w:t>
            </w:r>
            <w:r w:rsidRPr="00D061B9">
              <w:rPr>
                <w:rStyle w:val="FootnoteReference"/>
              </w:rPr>
              <w:footnoteReference w:id="7"/>
            </w:r>
            <w:r w:rsidRPr="00D061B9">
              <w:t xml:space="preserve">. </w:t>
            </w:r>
          </w:p>
          <w:p w:rsidR="003D1C2B" w:rsidRPr="00D061B9" w:rsidRDefault="003D1C2B" w:rsidP="00863E22">
            <w:pPr>
              <w:pStyle w:val="Tabletext"/>
              <w:keepNext/>
              <w:keepLines/>
              <w:jc w:val="left"/>
            </w:pPr>
            <w:r w:rsidRPr="00D061B9">
              <w:t>(</w:t>
            </w:r>
            <w:proofErr w:type="gramStart"/>
            <w:r w:rsidRPr="00D061B9">
              <w:t>paragraph</w:t>
            </w:r>
            <w:proofErr w:type="gramEnd"/>
            <w:r w:rsidRPr="00D061B9">
              <w:t xml:space="preserve"> 6.48 PSD; paragraph 6.25 ESC Advice).</w:t>
            </w:r>
          </w:p>
          <w:p w:rsidR="003D1C2B" w:rsidRPr="00D061B9" w:rsidRDefault="003D1C2B" w:rsidP="008C17FD">
            <w:pPr>
              <w:pStyle w:val="Tabletext"/>
              <w:keepNext/>
              <w:keepLines/>
              <w:numPr>
                <w:ilvl w:val="0"/>
                <w:numId w:val="1"/>
              </w:numPr>
              <w:ind w:left="118" w:hanging="118"/>
              <w:jc w:val="left"/>
            </w:pPr>
            <w:r w:rsidRPr="00D061B9">
              <w:t>The ESC noted that there are other sources of utilities that could be used to increase the validity of the modelling, such as Brown et al (2008)</w:t>
            </w:r>
            <w:r w:rsidRPr="00D061B9">
              <w:rPr>
                <w:rStyle w:val="FootnoteReference"/>
              </w:rPr>
              <w:footnoteReference w:id="8"/>
            </w:r>
            <w:r w:rsidRPr="00D061B9">
              <w:t>.</w:t>
            </w:r>
          </w:p>
          <w:p w:rsidR="003D1C2B" w:rsidRPr="00D061B9" w:rsidRDefault="003D1C2B" w:rsidP="00863E22">
            <w:pPr>
              <w:pStyle w:val="Tabletext"/>
              <w:keepNext/>
              <w:keepLines/>
              <w:jc w:val="left"/>
            </w:pPr>
            <w:r w:rsidRPr="00D061B9">
              <w:t>(paragraph 6.53 PSD; paragraph 6.26 ESC ADV)</w:t>
            </w:r>
          </w:p>
        </w:tc>
        <w:tc>
          <w:tcPr>
            <w:tcW w:w="2031" w:type="pct"/>
            <w:vAlign w:val="center"/>
          </w:tcPr>
          <w:p w:rsidR="003D1C2B" w:rsidRPr="00D061B9" w:rsidRDefault="003D1C2B" w:rsidP="008C17FD">
            <w:pPr>
              <w:pStyle w:val="Tabletext"/>
              <w:keepNext/>
              <w:keepLines/>
              <w:numPr>
                <w:ilvl w:val="0"/>
                <w:numId w:val="1"/>
              </w:numPr>
              <w:ind w:left="129" w:hanging="129"/>
              <w:jc w:val="left"/>
            </w:pPr>
            <w:r w:rsidRPr="00D061B9">
              <w:t>Severity of headache was not included in the determination of utility values for the model.</w:t>
            </w:r>
          </w:p>
          <w:p w:rsidR="003D1C2B" w:rsidRPr="00D061B9" w:rsidRDefault="0024218F" w:rsidP="008C17FD">
            <w:pPr>
              <w:pStyle w:val="Tabletext"/>
              <w:keepNext/>
              <w:keepLines/>
              <w:numPr>
                <w:ilvl w:val="0"/>
                <w:numId w:val="1"/>
              </w:numPr>
              <w:ind w:left="129" w:hanging="129"/>
              <w:jc w:val="left"/>
            </w:pPr>
            <w:r w:rsidRPr="00D061B9">
              <w:t>While u</w:t>
            </w:r>
            <w:r w:rsidR="003D1C2B" w:rsidRPr="00D061B9">
              <w:t>tility values were altered due to the changes made in calculation of MMD distributions</w:t>
            </w:r>
            <w:r w:rsidR="003F0A33">
              <w:t>,</w:t>
            </w:r>
            <w:r w:rsidR="003D1C2B" w:rsidRPr="00D061B9">
              <w:t xml:space="preserve"> values were still sourced from MSQ results from Study 295 and no alternate utility sources were considered by the resubmission.</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 xml:space="preserve">Resource use </w:t>
            </w:r>
          </w:p>
        </w:tc>
        <w:tc>
          <w:tcPr>
            <w:tcW w:w="2253" w:type="pct"/>
            <w:vAlign w:val="center"/>
          </w:tcPr>
          <w:p w:rsidR="003D1C2B" w:rsidRPr="00D061B9" w:rsidRDefault="003D1C2B" w:rsidP="008C17FD">
            <w:pPr>
              <w:pStyle w:val="Tabletext"/>
              <w:keepNext/>
              <w:keepLines/>
              <w:numPr>
                <w:ilvl w:val="0"/>
                <w:numId w:val="7"/>
              </w:numPr>
              <w:ind w:left="118" w:hanging="118"/>
              <w:jc w:val="left"/>
            </w:pPr>
            <w:r w:rsidRPr="00D061B9">
              <w:t xml:space="preserve">The ESC advised that the potential financial </w:t>
            </w:r>
            <w:r w:rsidR="00E90757" w:rsidRPr="00D061B9">
              <w:t xml:space="preserve">and </w:t>
            </w:r>
            <w:r w:rsidRPr="00D061B9">
              <w:t xml:space="preserve">effectiveness impact of </w:t>
            </w:r>
            <w:r w:rsidR="00E90757" w:rsidRPr="00D061B9">
              <w:t xml:space="preserve">self-administration and wastage </w:t>
            </w:r>
            <w:r w:rsidRPr="00D061B9">
              <w:t>was worth consideration.</w:t>
            </w:r>
          </w:p>
          <w:p w:rsidR="003D1C2B" w:rsidRPr="00D061B9" w:rsidRDefault="003D1C2B" w:rsidP="00863E22">
            <w:pPr>
              <w:pStyle w:val="Tabletext"/>
              <w:keepNext/>
              <w:keepLines/>
              <w:jc w:val="left"/>
            </w:pPr>
            <w:r w:rsidRPr="00D061B9">
              <w:t>(paragraph 6.49 PSD; paragraph 6.25 ESC ADV)</w:t>
            </w:r>
          </w:p>
          <w:p w:rsidR="003D1C2B" w:rsidRPr="00D061B9" w:rsidRDefault="008339CA" w:rsidP="008C17FD">
            <w:pPr>
              <w:pStyle w:val="Tabletext"/>
              <w:keepNext/>
              <w:keepLines/>
              <w:numPr>
                <w:ilvl w:val="0"/>
                <w:numId w:val="7"/>
              </w:numPr>
              <w:ind w:left="118" w:hanging="118"/>
              <w:jc w:val="left"/>
            </w:pPr>
            <w:r w:rsidRPr="00D061B9">
              <w:rPr>
                <w:rStyle w:val="CommentReference"/>
                <w:b w:val="0"/>
                <w:szCs w:val="20"/>
              </w:rPr>
              <w:t>M</w:t>
            </w:r>
            <w:r w:rsidR="003D1C2B" w:rsidRPr="00D061B9">
              <w:t xml:space="preserve">aintenance healthcare </w:t>
            </w:r>
            <w:r w:rsidR="00107A5D" w:rsidRPr="00D061B9">
              <w:t>res</w:t>
            </w:r>
            <w:r w:rsidR="0062038B" w:rsidRPr="00D061B9">
              <w:t>o</w:t>
            </w:r>
            <w:r w:rsidR="00107A5D" w:rsidRPr="00D061B9">
              <w:t>urce usage</w:t>
            </w:r>
            <w:r w:rsidR="003D1C2B" w:rsidRPr="00D061B9">
              <w:t xml:space="preserve"> </w:t>
            </w:r>
            <w:r w:rsidR="0062038B" w:rsidRPr="00D061B9">
              <w:t>was</w:t>
            </w:r>
            <w:r w:rsidR="003D1C2B" w:rsidRPr="00D061B9">
              <w:t xml:space="preserve"> based on data from a European study which </w:t>
            </w:r>
            <w:r w:rsidRPr="00D061B9">
              <w:t>wa</w:t>
            </w:r>
            <w:r w:rsidR="003D1C2B" w:rsidRPr="00D061B9">
              <w:t>s likely to differ to the Australian contex</w:t>
            </w:r>
            <w:r w:rsidRPr="00D061B9">
              <w:t>t.</w:t>
            </w:r>
          </w:p>
          <w:p w:rsidR="003D1C2B" w:rsidRPr="00D061B9" w:rsidRDefault="003D1C2B" w:rsidP="00863E22">
            <w:pPr>
              <w:pStyle w:val="Tabletext"/>
              <w:keepNext/>
              <w:keepLines/>
              <w:jc w:val="left"/>
              <w:rPr>
                <w:b/>
                <w:szCs w:val="20"/>
              </w:rPr>
            </w:pPr>
            <w:r w:rsidRPr="00D061B9">
              <w:rPr>
                <w:rStyle w:val="CommentReference"/>
                <w:b w:val="0"/>
                <w:szCs w:val="20"/>
              </w:rPr>
              <w:t>(paragraph 6.50 PSD; paragraph 6.25 ESC ADV)</w:t>
            </w:r>
          </w:p>
        </w:tc>
        <w:tc>
          <w:tcPr>
            <w:tcW w:w="2031" w:type="pct"/>
            <w:vAlign w:val="center"/>
          </w:tcPr>
          <w:p w:rsidR="003D1C2B" w:rsidRPr="00D061B9" w:rsidRDefault="008339CA" w:rsidP="008C17FD">
            <w:pPr>
              <w:pStyle w:val="Tabletext"/>
              <w:keepNext/>
              <w:keepLines/>
              <w:numPr>
                <w:ilvl w:val="0"/>
                <w:numId w:val="7"/>
              </w:numPr>
              <w:ind w:left="129" w:hanging="129"/>
              <w:jc w:val="left"/>
            </w:pPr>
            <w:r w:rsidRPr="00D061B9">
              <w:t>N</w:t>
            </w:r>
            <w:r w:rsidR="003D1C2B" w:rsidRPr="00D061B9">
              <w:t>o discussion of wastage and its potential impact was provided.</w:t>
            </w:r>
          </w:p>
          <w:p w:rsidR="003D1C2B" w:rsidRPr="00D061B9" w:rsidRDefault="003D1C2B" w:rsidP="008C17FD">
            <w:pPr>
              <w:pStyle w:val="Tabletext"/>
              <w:keepNext/>
              <w:keepLines/>
              <w:numPr>
                <w:ilvl w:val="0"/>
                <w:numId w:val="7"/>
              </w:numPr>
              <w:ind w:left="129" w:hanging="129"/>
              <w:jc w:val="left"/>
            </w:pPr>
            <w:r w:rsidRPr="00D061B9">
              <w:t>Maintenance healthcare costs remained based on the European study.</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Use of MMD distributions</w:t>
            </w:r>
          </w:p>
        </w:tc>
        <w:tc>
          <w:tcPr>
            <w:tcW w:w="2253" w:type="pct"/>
            <w:vAlign w:val="center"/>
          </w:tcPr>
          <w:p w:rsidR="003D1C2B" w:rsidRPr="00D061B9" w:rsidRDefault="008339CA" w:rsidP="008C17FD">
            <w:pPr>
              <w:pStyle w:val="Tabletext"/>
              <w:keepNext/>
              <w:keepLines/>
              <w:numPr>
                <w:ilvl w:val="0"/>
                <w:numId w:val="8"/>
              </w:numPr>
              <w:ind w:left="118" w:hanging="118"/>
              <w:jc w:val="left"/>
            </w:pPr>
            <w:r w:rsidRPr="00D061B9">
              <w:t>MMD distributions were used to determine utility values and resource use.</w:t>
            </w:r>
            <w:r w:rsidR="00E90757" w:rsidRPr="00D061B9">
              <w:t xml:space="preserve"> </w:t>
            </w:r>
            <w:r w:rsidR="00685F2D" w:rsidRPr="00D061B9">
              <w:t>B</w:t>
            </w:r>
            <w:r w:rsidR="003D1C2B" w:rsidRPr="00D061B9">
              <w:t>aseline distributions included data for the 70</w:t>
            </w:r>
            <w:r w:rsidR="0020512F">
              <w:t xml:space="preserve"> </w:t>
            </w:r>
            <w:r w:rsidR="003D1C2B" w:rsidRPr="00D061B9">
              <w:t xml:space="preserve">mg dose of </w:t>
            </w:r>
            <w:proofErr w:type="spellStart"/>
            <w:r w:rsidR="003D1C2B" w:rsidRPr="00D061B9">
              <w:t>erenumab</w:t>
            </w:r>
            <w:proofErr w:type="spellEnd"/>
            <w:r w:rsidR="00DE7191" w:rsidRPr="00D061B9">
              <w:t>. The</w:t>
            </w:r>
            <w:r w:rsidR="003D1C2B" w:rsidRPr="00D061B9">
              <w:t xml:space="preserve"> economic model applied an assessment point of 24 weeks for responders</w:t>
            </w:r>
            <w:r w:rsidR="00DE7191" w:rsidRPr="00D061B9">
              <w:t xml:space="preserve"> </w:t>
            </w:r>
            <w:r w:rsidR="00AE1A3B" w:rsidRPr="00D061B9">
              <w:t>however, the</w:t>
            </w:r>
            <w:r w:rsidR="003D1C2B" w:rsidRPr="00D061B9">
              <w:t xml:space="preserve"> MMD distributions define</w:t>
            </w:r>
            <w:r w:rsidR="00685F2D" w:rsidRPr="00D061B9">
              <w:t xml:space="preserve">d </w:t>
            </w:r>
            <w:r w:rsidR="003D1C2B" w:rsidRPr="00D061B9">
              <w:t>responders at 12 weeks.</w:t>
            </w:r>
          </w:p>
          <w:p w:rsidR="003D1C2B" w:rsidRPr="00D061B9" w:rsidRDefault="0062038B" w:rsidP="00863E22">
            <w:pPr>
              <w:pStyle w:val="Tabletext"/>
              <w:keepNext/>
              <w:keepLines/>
              <w:jc w:val="left"/>
            </w:pPr>
            <w:r w:rsidRPr="00D061B9">
              <w:t xml:space="preserve"> </w:t>
            </w:r>
            <w:r w:rsidR="003D1C2B" w:rsidRPr="00D061B9">
              <w:t>(paragraph 6.51 PSD; paragraph 6.25 ESC ADV)</w:t>
            </w:r>
          </w:p>
        </w:tc>
        <w:tc>
          <w:tcPr>
            <w:tcW w:w="2031" w:type="pct"/>
            <w:vAlign w:val="center"/>
          </w:tcPr>
          <w:p w:rsidR="003D1C2B" w:rsidRPr="00D061B9" w:rsidRDefault="003D1C2B" w:rsidP="00863E22">
            <w:pPr>
              <w:pStyle w:val="Tabletext"/>
              <w:keepNext/>
              <w:keepLines/>
              <w:jc w:val="left"/>
            </w:pPr>
          </w:p>
          <w:p w:rsidR="003D1C2B" w:rsidRPr="00D061B9" w:rsidRDefault="003D1C2B" w:rsidP="008C17FD">
            <w:pPr>
              <w:pStyle w:val="Tabletext"/>
              <w:keepNext/>
              <w:keepLines/>
              <w:numPr>
                <w:ilvl w:val="0"/>
                <w:numId w:val="8"/>
              </w:numPr>
              <w:ind w:left="129" w:hanging="129"/>
              <w:jc w:val="left"/>
            </w:pPr>
            <w:r w:rsidRPr="00D061B9">
              <w:t>Distributions no longer include data from the 70</w:t>
            </w:r>
            <w:r w:rsidR="0020512F">
              <w:t xml:space="preserve"> </w:t>
            </w:r>
            <w:r w:rsidRPr="00D061B9">
              <w:t>mg group.</w:t>
            </w:r>
          </w:p>
          <w:p w:rsidR="003D1C2B" w:rsidRPr="00D061B9" w:rsidRDefault="003D1C2B" w:rsidP="008C17FD">
            <w:pPr>
              <w:pStyle w:val="Tabletext"/>
              <w:keepNext/>
              <w:keepLines/>
              <w:numPr>
                <w:ilvl w:val="0"/>
                <w:numId w:val="8"/>
              </w:numPr>
              <w:ind w:left="129" w:hanging="129"/>
              <w:jc w:val="left"/>
            </w:pPr>
            <w:r w:rsidRPr="00D061B9">
              <w:t xml:space="preserve">The assessment </w:t>
            </w:r>
            <w:proofErr w:type="spellStart"/>
            <w:r w:rsidRPr="00D061B9">
              <w:t>timepoint</w:t>
            </w:r>
            <w:proofErr w:type="spellEnd"/>
            <w:r w:rsidRPr="00D061B9">
              <w:t xml:space="preserve"> in the model </w:t>
            </w:r>
            <w:r w:rsidR="006838B2">
              <w:t xml:space="preserve">was </w:t>
            </w:r>
            <w:r w:rsidRPr="00D061B9">
              <w:t>changed to 12 weeks.</w:t>
            </w:r>
          </w:p>
          <w:p w:rsidR="003D1C2B" w:rsidRPr="00D061B9" w:rsidRDefault="003D1C2B" w:rsidP="008C17FD">
            <w:pPr>
              <w:pStyle w:val="Tabletext"/>
              <w:keepNext/>
              <w:keepLines/>
              <w:numPr>
                <w:ilvl w:val="0"/>
                <w:numId w:val="8"/>
              </w:numPr>
              <w:ind w:left="129" w:hanging="129"/>
              <w:jc w:val="left"/>
            </w:pPr>
            <w:r w:rsidRPr="00D061B9">
              <w:t>Distributions are based on subgroup and treatment-specific data.</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Extrapolation</w:t>
            </w:r>
          </w:p>
        </w:tc>
        <w:tc>
          <w:tcPr>
            <w:tcW w:w="2253" w:type="pct"/>
            <w:vAlign w:val="center"/>
          </w:tcPr>
          <w:p w:rsidR="003D1C2B" w:rsidRPr="00D061B9" w:rsidRDefault="003F0A33" w:rsidP="008C17FD">
            <w:pPr>
              <w:pStyle w:val="Tabletext"/>
              <w:keepNext/>
              <w:keepLines/>
              <w:numPr>
                <w:ilvl w:val="0"/>
                <w:numId w:val="6"/>
              </w:numPr>
              <w:ind w:left="118" w:hanging="118"/>
              <w:jc w:val="left"/>
            </w:pPr>
            <w:r>
              <w:t>T</w:t>
            </w:r>
            <w:r w:rsidR="003D1C2B" w:rsidRPr="00D061B9">
              <w:t xml:space="preserve">he observed short-term (12 weeks or 3 months) benefit </w:t>
            </w:r>
            <w:r>
              <w:t>was</w:t>
            </w:r>
            <w:r w:rsidRPr="00D061B9">
              <w:t xml:space="preserve"> </w:t>
            </w:r>
            <w:r w:rsidR="003D1C2B" w:rsidRPr="00D061B9">
              <w:t xml:space="preserve">assumed </w:t>
            </w:r>
            <w:r>
              <w:t>to</w:t>
            </w:r>
            <w:r w:rsidR="003D1C2B" w:rsidRPr="00D061B9">
              <w:t xml:space="preserve"> be maintained on a last observation carried forward basis.</w:t>
            </w:r>
          </w:p>
          <w:p w:rsidR="003D1C2B" w:rsidRPr="00D061B9" w:rsidRDefault="003D1C2B" w:rsidP="00863E22">
            <w:pPr>
              <w:pStyle w:val="Tabletext"/>
              <w:keepNext/>
              <w:keepLines/>
              <w:jc w:val="left"/>
            </w:pPr>
            <w:r w:rsidRPr="00D061B9">
              <w:t>(paragraph 6.54 PSD; paragraph 6.27 ESC ADV)</w:t>
            </w:r>
          </w:p>
        </w:tc>
        <w:tc>
          <w:tcPr>
            <w:tcW w:w="2031" w:type="pct"/>
            <w:vAlign w:val="center"/>
          </w:tcPr>
          <w:p w:rsidR="003D1C2B" w:rsidRPr="00D061B9" w:rsidRDefault="003D1C2B" w:rsidP="008C17FD">
            <w:pPr>
              <w:pStyle w:val="Tabletext"/>
              <w:keepNext/>
              <w:keepLines/>
              <w:numPr>
                <w:ilvl w:val="0"/>
                <w:numId w:val="6"/>
              </w:numPr>
              <w:ind w:left="129" w:hanging="129"/>
              <w:jc w:val="left"/>
            </w:pPr>
            <w:r w:rsidRPr="00D061B9">
              <w:t>The resubmission maintained the same approach to extrapolation</w:t>
            </w:r>
            <w:r w:rsidR="00015646" w:rsidRPr="00D061B9">
              <w:t>, citing 52-week evidence from Study 255 to support maintenance of response</w:t>
            </w:r>
            <w:r w:rsidRPr="00D061B9">
              <w:t>.</w:t>
            </w:r>
          </w:p>
        </w:tc>
      </w:tr>
      <w:tr w:rsidR="003D1C2B" w:rsidRPr="00D061B9" w:rsidTr="0079339F">
        <w:tc>
          <w:tcPr>
            <w:tcW w:w="716" w:type="pct"/>
            <w:vAlign w:val="center"/>
          </w:tcPr>
          <w:p w:rsidR="003D1C2B" w:rsidRPr="00D061B9" w:rsidRDefault="003D1C2B" w:rsidP="00863E22">
            <w:pPr>
              <w:pStyle w:val="Tabletext"/>
              <w:keepNext/>
              <w:keepLines/>
              <w:jc w:val="left"/>
            </w:pPr>
            <w:r w:rsidRPr="00D061B9">
              <w:t>Cost-effectiveness</w:t>
            </w:r>
          </w:p>
        </w:tc>
        <w:tc>
          <w:tcPr>
            <w:tcW w:w="2253" w:type="pct"/>
            <w:vAlign w:val="center"/>
          </w:tcPr>
          <w:p w:rsidR="003D1C2B" w:rsidRPr="00D061B9" w:rsidRDefault="0062038B" w:rsidP="008C17FD">
            <w:pPr>
              <w:pStyle w:val="Tabletext"/>
              <w:keepNext/>
              <w:keepLines/>
              <w:numPr>
                <w:ilvl w:val="0"/>
                <w:numId w:val="1"/>
              </w:numPr>
              <w:ind w:left="118" w:hanging="118"/>
              <w:jc w:val="left"/>
            </w:pPr>
            <w:proofErr w:type="spellStart"/>
            <w:r w:rsidRPr="00D061B9">
              <w:t>E</w:t>
            </w:r>
            <w:r w:rsidR="003D1C2B" w:rsidRPr="00D061B9">
              <w:t>renumab</w:t>
            </w:r>
            <w:proofErr w:type="spellEnd"/>
            <w:r w:rsidR="003D1C2B" w:rsidRPr="00D061B9">
              <w:t xml:space="preserve"> would be cost-effective with an ICER </w:t>
            </w:r>
            <w:proofErr w:type="gramStart"/>
            <w:r w:rsidR="003D1C2B" w:rsidRPr="00D061B9">
              <w:t>between $15,000 - $45,000 per QALY, in line with the base case ICER of Botox for chronic migraine</w:t>
            </w:r>
            <w:proofErr w:type="gramEnd"/>
            <w:r w:rsidR="003D1C2B" w:rsidRPr="00D061B9">
              <w:t>.</w:t>
            </w:r>
          </w:p>
          <w:p w:rsidR="003D1C2B" w:rsidRPr="00D061B9" w:rsidRDefault="003D1C2B" w:rsidP="00863E22">
            <w:pPr>
              <w:pStyle w:val="Tabletext"/>
              <w:keepNext/>
              <w:keepLines/>
              <w:jc w:val="left"/>
            </w:pPr>
            <w:r w:rsidRPr="00D061B9">
              <w:t>(paragraph 7.20 PSD)</w:t>
            </w:r>
          </w:p>
        </w:tc>
        <w:tc>
          <w:tcPr>
            <w:tcW w:w="2031" w:type="pct"/>
            <w:vAlign w:val="center"/>
          </w:tcPr>
          <w:p w:rsidR="003D1C2B" w:rsidRPr="00D061B9" w:rsidRDefault="003D1C2B" w:rsidP="008C17FD">
            <w:pPr>
              <w:pStyle w:val="Tabletext"/>
              <w:keepNext/>
              <w:keepLines/>
              <w:numPr>
                <w:ilvl w:val="0"/>
                <w:numId w:val="1"/>
              </w:numPr>
              <w:ind w:left="129" w:hanging="129"/>
              <w:jc w:val="left"/>
            </w:pPr>
            <w:r w:rsidRPr="00D061B9">
              <w:t>Base case ICER of $</w:t>
            </w:r>
            <w:r w:rsidR="00405DA0">
              <w:rPr>
                <w:noProof/>
                <w:color w:val="000000"/>
                <w:highlight w:val="black"/>
              </w:rPr>
              <w:t>'''''''''''''''</w:t>
            </w:r>
            <w:r w:rsidRPr="00D061B9">
              <w:t xml:space="preserve">. </w:t>
            </w:r>
          </w:p>
        </w:tc>
      </w:tr>
    </w:tbl>
    <w:p w:rsidR="00474E75" w:rsidRDefault="00474E75" w:rsidP="00863E22">
      <w:pPr>
        <w:pStyle w:val="TableFooter"/>
        <w:keepNext/>
        <w:keepLines/>
      </w:pPr>
      <w:r>
        <w:t>ICER=incremental cost effectiveness ratio; MMD=monthly migraine days; MSQ=</w:t>
      </w:r>
      <w:r w:rsidRPr="00474E75">
        <w:t>Migraine-specific Quality of Life Questionnaire</w:t>
      </w:r>
      <w:r>
        <w:t>; PSD=public summary document</w:t>
      </w:r>
    </w:p>
    <w:p w:rsidR="00BE0E3F" w:rsidRDefault="0062038B" w:rsidP="00863E22">
      <w:pPr>
        <w:pStyle w:val="TableFooter"/>
        <w:keepNext/>
        <w:keepLines/>
      </w:pPr>
      <w:r>
        <w:t>Source: Compiled from Section 3.2 of the resubmission and 5.05.COM</w:t>
      </w:r>
      <w:r w:rsidR="00F36203">
        <w:t>.61-78.</w:t>
      </w:r>
    </w:p>
    <w:p w:rsidR="00BE0E3F" w:rsidRDefault="00BE0E3F" w:rsidP="00D87FED"/>
    <w:p w:rsidR="00D962B8" w:rsidRPr="00D061B9" w:rsidRDefault="00F36203" w:rsidP="008C17FD">
      <w:pPr>
        <w:pStyle w:val="ListParagraph"/>
        <w:numPr>
          <w:ilvl w:val="1"/>
          <w:numId w:val="2"/>
        </w:numPr>
        <w:spacing w:after="120"/>
      </w:pPr>
      <w:r w:rsidRPr="00D061B9">
        <w:t xml:space="preserve">The resubmission </w:t>
      </w:r>
      <w:r w:rsidR="000C603E" w:rsidRPr="00D061B9">
        <w:t>changed the comparator in the modelled evaluation to</w:t>
      </w:r>
      <w:r w:rsidR="00CD793C">
        <w:t xml:space="preserve"> </w:t>
      </w:r>
      <w:r w:rsidR="007F4155">
        <w:t>BSC</w:t>
      </w:r>
      <w:r w:rsidR="00CD793C">
        <w:t xml:space="preserve"> instead of Botox. </w:t>
      </w:r>
      <w:r w:rsidR="000C603E" w:rsidRPr="00D061B9">
        <w:t xml:space="preserve">As such, </w:t>
      </w:r>
      <w:r w:rsidR="00B91E07" w:rsidRPr="00D061B9">
        <w:t xml:space="preserve">the comparison is now direct and </w:t>
      </w:r>
      <w:proofErr w:type="spellStart"/>
      <w:r w:rsidR="00B91E07" w:rsidRPr="00D061B9">
        <w:t>erenumab</w:t>
      </w:r>
      <w:proofErr w:type="spellEnd"/>
      <w:r w:rsidR="00B91E07" w:rsidRPr="00D061B9">
        <w:t xml:space="preserve"> has a statistically </w:t>
      </w:r>
      <w:r w:rsidR="00B91E07" w:rsidRPr="00D061B9">
        <w:lastRenderedPageBreak/>
        <w:t>significant advantage over the comparator for the modell</w:t>
      </w:r>
      <w:r w:rsidR="00910083" w:rsidRPr="00D061B9">
        <w:t>e</w:t>
      </w:r>
      <w:r w:rsidR="00B91E07" w:rsidRPr="00D061B9">
        <w:t>d outcome</w:t>
      </w:r>
      <w:r w:rsidR="00910083" w:rsidRPr="00D061B9">
        <w:t xml:space="preserve"> of ≥50% responder rate</w:t>
      </w:r>
      <w:r w:rsidR="00B91E07" w:rsidRPr="00D061B9">
        <w:t>.</w:t>
      </w:r>
      <w:r w:rsidR="00AC1B53" w:rsidRPr="00D061B9">
        <w:t xml:space="preserve"> </w:t>
      </w:r>
      <w:r w:rsidR="00B33A3F">
        <w:t>However</w:t>
      </w:r>
      <w:r w:rsidR="00B33A3F" w:rsidRPr="00B33A3F">
        <w:t>, t</w:t>
      </w:r>
      <w:r w:rsidR="00106104" w:rsidRPr="00B33A3F">
        <w:t>he PBAC considered the magnitude of benefit continues to be</w:t>
      </w:r>
      <w:r w:rsidR="00B33A3F" w:rsidRPr="00B33A3F">
        <w:t xml:space="preserve"> highly</w:t>
      </w:r>
      <w:r w:rsidR="00106104" w:rsidRPr="00B33A3F">
        <w:t xml:space="preserve"> uncertain given the issues raised with the subgroup</w:t>
      </w:r>
      <w:r w:rsidR="00D71A29">
        <w:t xml:space="preserve"> analysis</w:t>
      </w:r>
      <w:r w:rsidR="00106104" w:rsidRPr="00B33A3F">
        <w:t>.</w:t>
      </w:r>
      <w:r w:rsidR="008C17FD">
        <w:t xml:space="preserve"> </w:t>
      </w:r>
    </w:p>
    <w:p w:rsidR="002F4B58" w:rsidRPr="002F4B58" w:rsidRDefault="00B91E07" w:rsidP="008C17FD">
      <w:pPr>
        <w:pStyle w:val="ListParagraph"/>
        <w:numPr>
          <w:ilvl w:val="1"/>
          <w:numId w:val="2"/>
        </w:numPr>
        <w:spacing w:after="120"/>
      </w:pPr>
      <w:r w:rsidRPr="00D061B9">
        <w:t xml:space="preserve">The resubmission altered how the MMD distributions, </w:t>
      </w:r>
      <w:r w:rsidR="002D03F9">
        <w:t>which determine</w:t>
      </w:r>
      <w:r w:rsidRPr="00D061B9">
        <w:t xml:space="preserve"> utility values and healthcare resource usage</w:t>
      </w:r>
      <w:r w:rsidR="00106104">
        <w:t xml:space="preserve">, </w:t>
      </w:r>
      <w:r w:rsidRPr="00D061B9">
        <w:t>are derived</w:t>
      </w:r>
      <w:r w:rsidR="00CD793C">
        <w:t xml:space="preserve">. </w:t>
      </w:r>
      <w:r w:rsidR="00825548" w:rsidRPr="00D061B9">
        <w:t xml:space="preserve">The data used for the MMD distributions was subgroup-based and excluded the </w:t>
      </w:r>
      <w:proofErr w:type="spellStart"/>
      <w:r w:rsidR="00825548" w:rsidRPr="00D061B9">
        <w:t>erenumab</w:t>
      </w:r>
      <w:proofErr w:type="spellEnd"/>
      <w:r w:rsidR="00825548" w:rsidRPr="00D061B9">
        <w:t xml:space="preserve"> 70</w:t>
      </w:r>
      <w:r w:rsidR="0020512F">
        <w:t xml:space="preserve"> </w:t>
      </w:r>
      <w:r w:rsidR="00825548" w:rsidRPr="00D061B9">
        <w:t>mg dose</w:t>
      </w:r>
      <w:r w:rsidR="00CD793C">
        <w:t>.</w:t>
      </w:r>
      <w:r w:rsidR="00825548" w:rsidRPr="00D061B9">
        <w:t xml:space="preserve"> The</w:t>
      </w:r>
      <w:r w:rsidR="00CF755C" w:rsidRPr="00D061B9">
        <w:t xml:space="preserve"> </w:t>
      </w:r>
      <w:r w:rsidR="00825548" w:rsidRPr="00D061B9">
        <w:t xml:space="preserve">ESC </w:t>
      </w:r>
      <w:r w:rsidR="00C778F6" w:rsidRPr="00D061B9">
        <w:t xml:space="preserve">previously </w:t>
      </w:r>
      <w:r w:rsidR="00825548" w:rsidRPr="00D061B9">
        <w:t>raised that the distributions</w:t>
      </w:r>
      <w:r w:rsidR="00CF755C" w:rsidRPr="00D061B9">
        <w:t xml:space="preserve"> applied in the July 2018 model were implausible (paragraph 6.25 July 2018 ESC Advice). The revised MMD distributions remained implausible, as </w:t>
      </w:r>
      <w:r w:rsidR="001837ED" w:rsidRPr="00D061B9">
        <w:t>there were unrealistically high MMDs for responders, as well as values of 28 MMDs for a small proportion of responders and close to 30% of responders with just one MMD.</w:t>
      </w:r>
      <w:r w:rsidR="002F4B58" w:rsidRPr="002F4B58">
        <w:t xml:space="preserve"> </w:t>
      </w:r>
      <w:r w:rsidR="00B2335B" w:rsidRPr="00DD5D20">
        <w:t>The ESC</w:t>
      </w:r>
      <w:r w:rsidR="00106104">
        <w:t xml:space="preserve"> and PBAC</w:t>
      </w:r>
      <w:r w:rsidR="00BE4714">
        <w:rPr>
          <w:i/>
        </w:rPr>
        <w:t xml:space="preserve"> </w:t>
      </w:r>
      <w:r w:rsidR="00B2335B" w:rsidRPr="00DD5D20">
        <w:t xml:space="preserve">considered the differences in the MMD distributions for </w:t>
      </w:r>
      <w:proofErr w:type="spellStart"/>
      <w:r w:rsidR="00B2335B" w:rsidRPr="00DD5D20">
        <w:t>erenumab</w:t>
      </w:r>
      <w:proofErr w:type="spellEnd"/>
      <w:r w:rsidR="00B2335B" w:rsidRPr="00DD5D20">
        <w:t xml:space="preserve"> and </w:t>
      </w:r>
      <w:r w:rsidR="000B7B5B" w:rsidRPr="00DD5D20">
        <w:t>BSC</w:t>
      </w:r>
      <w:r w:rsidR="00B2335B" w:rsidRPr="00DD5D20">
        <w:t xml:space="preserve"> for both responders and non-responders lacked validity including that </w:t>
      </w:r>
      <w:proofErr w:type="spellStart"/>
      <w:r w:rsidR="00B2335B" w:rsidRPr="00DD5D20">
        <w:t>erenumab</w:t>
      </w:r>
      <w:proofErr w:type="spellEnd"/>
      <w:r w:rsidR="00B2335B" w:rsidRPr="00DD5D20">
        <w:t xml:space="preserve"> non-responders have slightly fewer MMD days than BSC non-responders.</w:t>
      </w:r>
    </w:p>
    <w:p w:rsidR="00FC3EFB" w:rsidRPr="00D061B9" w:rsidRDefault="00FC3EFB" w:rsidP="008C17FD">
      <w:pPr>
        <w:pStyle w:val="ListParagraph"/>
        <w:numPr>
          <w:ilvl w:val="1"/>
          <w:numId w:val="2"/>
        </w:numPr>
        <w:spacing w:after="120"/>
      </w:pPr>
      <w:r w:rsidRPr="00D061B9">
        <w:t>The resubmission</w:t>
      </w:r>
      <w:r w:rsidR="00340D03" w:rsidRPr="00D061B9">
        <w:t xml:space="preserve"> applied the same sources for discontinuation rates</w:t>
      </w:r>
      <w:r w:rsidR="004B443E" w:rsidRPr="00D061B9">
        <w:t xml:space="preserve"> (Study 295 and Study 255) as used in the July 2018 submission</w:t>
      </w:r>
      <w:r w:rsidRPr="00D061B9">
        <w:t xml:space="preserve"> and maintained the assumption that response observed at 12 weeks would be maintained for the duration of the model (5 years).</w:t>
      </w:r>
    </w:p>
    <w:p w:rsidR="00275C5A" w:rsidRPr="00D061B9" w:rsidRDefault="00253B4C" w:rsidP="008C17FD">
      <w:pPr>
        <w:pStyle w:val="ListParagraph"/>
        <w:numPr>
          <w:ilvl w:val="1"/>
          <w:numId w:val="2"/>
        </w:numPr>
        <w:spacing w:after="120"/>
      </w:pPr>
      <w:r w:rsidRPr="00D061B9">
        <w:t>The table below provides a summary of the model structure.</w:t>
      </w:r>
    </w:p>
    <w:p w:rsidR="00275C5A" w:rsidRDefault="00661DFA" w:rsidP="00D87FED">
      <w:pPr>
        <w:keepNext/>
        <w:rPr>
          <w:rStyle w:val="CommentReference"/>
        </w:rPr>
      </w:pPr>
      <w:r w:rsidRPr="00401364">
        <w:rPr>
          <w:rFonts w:ascii="Arial Narrow" w:hAnsi="Arial Narrow"/>
          <w:b/>
          <w:sz w:val="20"/>
          <w:szCs w:val="20"/>
        </w:rPr>
        <w:t xml:space="preserve">Table </w:t>
      </w:r>
      <w:r w:rsidR="00821312">
        <w:rPr>
          <w:rFonts w:ascii="Arial Narrow" w:hAnsi="Arial Narrow"/>
          <w:b/>
          <w:noProof/>
          <w:sz w:val="20"/>
          <w:szCs w:val="20"/>
        </w:rPr>
        <w:t>14</w:t>
      </w:r>
      <w:r w:rsidR="00275C5A" w:rsidRPr="00A56B6A">
        <w:rPr>
          <w:rStyle w:val="CommentReference"/>
        </w:rPr>
        <w:t>: Summary of model structure and rationale</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43"/>
        <w:gridCol w:w="6051"/>
      </w:tblGrid>
      <w:tr w:rsidR="00DC797C" w:rsidRPr="003D1DE4" w:rsidTr="00DC797C">
        <w:trPr>
          <w:tblHeader/>
        </w:trPr>
        <w:tc>
          <w:tcPr>
            <w:tcW w:w="1598" w:type="pct"/>
            <w:shd w:val="clear" w:color="auto" w:fill="auto"/>
            <w:vAlign w:val="center"/>
          </w:tcPr>
          <w:p w:rsidR="00275C5A" w:rsidRPr="003D1DE4" w:rsidRDefault="00275C5A" w:rsidP="00D87FED">
            <w:pPr>
              <w:pStyle w:val="Tabletext"/>
              <w:keepNext/>
              <w:ind w:right="85"/>
              <w:rPr>
                <w:b/>
              </w:rPr>
            </w:pPr>
            <w:r w:rsidRPr="003D1DE4">
              <w:rPr>
                <w:b/>
              </w:rPr>
              <w:t>Component</w:t>
            </w:r>
          </w:p>
        </w:tc>
        <w:tc>
          <w:tcPr>
            <w:tcW w:w="3402" w:type="pct"/>
            <w:shd w:val="clear" w:color="auto" w:fill="auto"/>
            <w:vAlign w:val="center"/>
          </w:tcPr>
          <w:p w:rsidR="00275C5A" w:rsidRPr="003D1DE4" w:rsidRDefault="00275C5A" w:rsidP="00D87FED">
            <w:pPr>
              <w:pStyle w:val="Tabletext"/>
              <w:keepNext/>
              <w:ind w:right="85"/>
              <w:jc w:val="center"/>
              <w:rPr>
                <w:b/>
              </w:rPr>
            </w:pPr>
            <w:r w:rsidRPr="003D1DE4">
              <w:rPr>
                <w:b/>
              </w:rPr>
              <w:t>Summary</w:t>
            </w:r>
          </w:p>
        </w:tc>
      </w:tr>
      <w:tr w:rsidR="00DC797C" w:rsidRPr="00E2771E" w:rsidTr="00DC797C">
        <w:tc>
          <w:tcPr>
            <w:tcW w:w="1598" w:type="pct"/>
            <w:shd w:val="clear" w:color="auto" w:fill="auto"/>
            <w:vAlign w:val="center"/>
          </w:tcPr>
          <w:p w:rsidR="00275C5A" w:rsidRPr="00E2771E" w:rsidRDefault="00275C5A" w:rsidP="00D87FED">
            <w:pPr>
              <w:pStyle w:val="Tabletext"/>
              <w:keepNext/>
              <w:ind w:right="85"/>
            </w:pPr>
            <w:r w:rsidRPr="00E2771E">
              <w:t>Time horizon</w:t>
            </w:r>
          </w:p>
        </w:tc>
        <w:tc>
          <w:tcPr>
            <w:tcW w:w="3402" w:type="pct"/>
            <w:shd w:val="clear" w:color="auto" w:fill="auto"/>
            <w:vAlign w:val="center"/>
          </w:tcPr>
          <w:p w:rsidR="00275C5A" w:rsidRPr="00E2771E" w:rsidRDefault="00291DCF" w:rsidP="00D87FED">
            <w:pPr>
              <w:pStyle w:val="Tabletext"/>
              <w:keepNext/>
              <w:ind w:right="85"/>
            </w:pPr>
            <w:r>
              <w:t xml:space="preserve">5 years in the model base case vs. 12 weeks in the </w:t>
            </w:r>
            <w:proofErr w:type="spellStart"/>
            <w:r>
              <w:t>erenumab</w:t>
            </w:r>
            <w:proofErr w:type="spellEnd"/>
            <w:r>
              <w:t xml:space="preserve"> trial.</w:t>
            </w:r>
          </w:p>
        </w:tc>
      </w:tr>
      <w:tr w:rsidR="00DC797C" w:rsidRPr="00E2771E" w:rsidTr="00DC797C">
        <w:tc>
          <w:tcPr>
            <w:tcW w:w="1598" w:type="pct"/>
            <w:shd w:val="clear" w:color="auto" w:fill="auto"/>
            <w:vAlign w:val="center"/>
          </w:tcPr>
          <w:p w:rsidR="00275C5A" w:rsidRPr="00E2771E" w:rsidRDefault="00275C5A" w:rsidP="00D87FED">
            <w:pPr>
              <w:pStyle w:val="Tabletext"/>
              <w:keepNext/>
              <w:ind w:right="85"/>
            </w:pPr>
            <w:r w:rsidRPr="00E2771E">
              <w:t>Outcomes</w:t>
            </w:r>
          </w:p>
        </w:tc>
        <w:tc>
          <w:tcPr>
            <w:tcW w:w="3402" w:type="pct"/>
            <w:shd w:val="clear" w:color="auto" w:fill="auto"/>
            <w:vAlign w:val="center"/>
          </w:tcPr>
          <w:p w:rsidR="00275C5A" w:rsidRPr="00E2771E" w:rsidRDefault="00291DCF" w:rsidP="00D87FED">
            <w:pPr>
              <w:pStyle w:val="Tabletext"/>
              <w:keepNext/>
              <w:ind w:right="85"/>
            </w:pPr>
            <w:r>
              <w:t>Quality-adjusted life years (QALYs).</w:t>
            </w:r>
          </w:p>
        </w:tc>
      </w:tr>
      <w:tr w:rsidR="00DC797C" w:rsidRPr="00E2771E" w:rsidTr="00DC797C">
        <w:tc>
          <w:tcPr>
            <w:tcW w:w="1598" w:type="pct"/>
            <w:shd w:val="clear" w:color="auto" w:fill="auto"/>
            <w:vAlign w:val="center"/>
          </w:tcPr>
          <w:p w:rsidR="00275C5A" w:rsidRPr="00E2771E" w:rsidRDefault="00275C5A" w:rsidP="00D87FED">
            <w:pPr>
              <w:pStyle w:val="Tabletext"/>
              <w:keepNext/>
              <w:ind w:right="85"/>
            </w:pPr>
            <w:r w:rsidRPr="00E2771E">
              <w:t>Methods used to generate results</w:t>
            </w:r>
          </w:p>
        </w:tc>
        <w:tc>
          <w:tcPr>
            <w:tcW w:w="3402" w:type="pct"/>
            <w:shd w:val="clear" w:color="auto" w:fill="auto"/>
            <w:vAlign w:val="center"/>
          </w:tcPr>
          <w:p w:rsidR="00275C5A" w:rsidRPr="00E2771E" w:rsidRDefault="00291DCF" w:rsidP="00D87FED">
            <w:pPr>
              <w:pStyle w:val="Tabletext"/>
              <w:keepNext/>
              <w:ind w:right="85"/>
            </w:pPr>
            <w:r>
              <w:t>Markov cohort analysis.</w:t>
            </w:r>
          </w:p>
        </w:tc>
      </w:tr>
      <w:tr w:rsidR="00DC797C" w:rsidRPr="00E2771E" w:rsidTr="00DC797C">
        <w:tc>
          <w:tcPr>
            <w:tcW w:w="1598" w:type="pct"/>
            <w:shd w:val="clear" w:color="auto" w:fill="auto"/>
            <w:vAlign w:val="center"/>
          </w:tcPr>
          <w:p w:rsidR="00275C5A" w:rsidRPr="00E2771E" w:rsidRDefault="00275C5A" w:rsidP="00D87FED">
            <w:pPr>
              <w:pStyle w:val="Tabletext"/>
              <w:keepNext/>
              <w:ind w:right="85"/>
            </w:pPr>
            <w:r w:rsidRPr="00E2771E">
              <w:t>Health states</w:t>
            </w:r>
          </w:p>
        </w:tc>
        <w:tc>
          <w:tcPr>
            <w:tcW w:w="3402" w:type="pct"/>
            <w:shd w:val="clear" w:color="auto" w:fill="auto"/>
            <w:vAlign w:val="center"/>
          </w:tcPr>
          <w:p w:rsidR="00291DCF" w:rsidRDefault="00291DCF" w:rsidP="00D87FED">
            <w:pPr>
              <w:pStyle w:val="Tabletext"/>
              <w:keepNext/>
              <w:ind w:right="85"/>
            </w:pPr>
            <w:r>
              <w:t>Responder;</w:t>
            </w:r>
          </w:p>
          <w:p w:rsidR="00291DCF" w:rsidRDefault="00291DCF" w:rsidP="00D87FED">
            <w:pPr>
              <w:pStyle w:val="Tabletext"/>
              <w:keepNext/>
              <w:ind w:right="85"/>
            </w:pPr>
            <w:r>
              <w:t>Non-responder;</w:t>
            </w:r>
          </w:p>
          <w:p w:rsidR="00291DCF" w:rsidRDefault="00291DCF" w:rsidP="00D87FED">
            <w:pPr>
              <w:pStyle w:val="Tabletext"/>
              <w:keepNext/>
              <w:ind w:right="85"/>
            </w:pPr>
            <w:r>
              <w:t>In response/on treatment;</w:t>
            </w:r>
          </w:p>
          <w:p w:rsidR="00291DCF" w:rsidRDefault="00291DCF" w:rsidP="00D87FED">
            <w:pPr>
              <w:pStyle w:val="Tabletext"/>
              <w:keepNext/>
              <w:ind w:right="85"/>
            </w:pPr>
            <w:r>
              <w:t>Discontinued due to poor response;</w:t>
            </w:r>
          </w:p>
          <w:p w:rsidR="00291DCF" w:rsidRDefault="00291DCF" w:rsidP="00D87FED">
            <w:pPr>
              <w:pStyle w:val="Tabletext"/>
              <w:keepNext/>
              <w:ind w:right="85"/>
            </w:pPr>
            <w:r>
              <w:t>Discontinued due to adverse events;</w:t>
            </w:r>
          </w:p>
          <w:p w:rsidR="00275C5A" w:rsidRPr="00E2771E" w:rsidRDefault="00291DCF" w:rsidP="00D87FED">
            <w:pPr>
              <w:pStyle w:val="Tabletext"/>
              <w:keepNext/>
              <w:ind w:right="85"/>
            </w:pPr>
            <w:r>
              <w:t>Dead.</w:t>
            </w:r>
          </w:p>
        </w:tc>
      </w:tr>
      <w:tr w:rsidR="00DC797C" w:rsidRPr="00E2771E" w:rsidTr="00DC797C">
        <w:tc>
          <w:tcPr>
            <w:tcW w:w="1598" w:type="pct"/>
            <w:shd w:val="clear" w:color="auto" w:fill="auto"/>
            <w:vAlign w:val="center"/>
          </w:tcPr>
          <w:p w:rsidR="00275C5A" w:rsidRPr="00E2771E" w:rsidRDefault="00275C5A" w:rsidP="00D87FED">
            <w:pPr>
              <w:pStyle w:val="Tabletext"/>
              <w:keepNext/>
              <w:ind w:right="85"/>
            </w:pPr>
            <w:r w:rsidRPr="00E2771E">
              <w:t>Cycle length</w:t>
            </w:r>
          </w:p>
        </w:tc>
        <w:tc>
          <w:tcPr>
            <w:tcW w:w="3402" w:type="pct"/>
            <w:shd w:val="clear" w:color="auto" w:fill="auto"/>
            <w:vAlign w:val="center"/>
          </w:tcPr>
          <w:p w:rsidR="00275C5A" w:rsidRPr="00E2771E" w:rsidRDefault="00291DCF" w:rsidP="00D87FED">
            <w:pPr>
              <w:pStyle w:val="Tabletext"/>
              <w:keepNext/>
              <w:ind w:right="85"/>
            </w:pPr>
            <w:r>
              <w:t>3 months with half cycle correction.</w:t>
            </w:r>
          </w:p>
        </w:tc>
      </w:tr>
      <w:tr w:rsidR="00DC797C" w:rsidRPr="00E2771E" w:rsidTr="00DC797C">
        <w:tc>
          <w:tcPr>
            <w:tcW w:w="1598" w:type="pct"/>
            <w:shd w:val="clear" w:color="auto" w:fill="auto"/>
            <w:vAlign w:val="center"/>
          </w:tcPr>
          <w:p w:rsidR="00275C5A" w:rsidRPr="00E2771E" w:rsidRDefault="00275C5A" w:rsidP="00D87FED">
            <w:pPr>
              <w:pStyle w:val="Tabletext"/>
              <w:keepNext/>
              <w:ind w:right="85"/>
            </w:pPr>
            <w:r w:rsidRPr="00E2771E">
              <w:t>Transition probabilities</w:t>
            </w:r>
          </w:p>
        </w:tc>
        <w:tc>
          <w:tcPr>
            <w:tcW w:w="3402" w:type="pct"/>
            <w:shd w:val="clear" w:color="auto" w:fill="auto"/>
            <w:vAlign w:val="center"/>
          </w:tcPr>
          <w:p w:rsidR="00275C5A" w:rsidRPr="00E2771E" w:rsidRDefault="00DC797C" w:rsidP="00D87FED">
            <w:pPr>
              <w:pStyle w:val="Tabletext"/>
              <w:keepNext/>
              <w:ind w:right="85"/>
            </w:pPr>
            <w:r>
              <w:t>Study 295</w:t>
            </w:r>
          </w:p>
        </w:tc>
      </w:tr>
    </w:tbl>
    <w:p w:rsidR="003270E4" w:rsidRPr="0072416F" w:rsidRDefault="003270E4" w:rsidP="00D87FED">
      <w:pPr>
        <w:pStyle w:val="TableFooter"/>
      </w:pPr>
      <w:r>
        <w:t>Source:</w:t>
      </w:r>
      <w:r w:rsidR="005A16E7">
        <w:t xml:space="preserve"> Source: Table 3.6, p99 of the resubmission.</w:t>
      </w:r>
      <w:r>
        <w:t xml:space="preserve"> </w:t>
      </w:r>
    </w:p>
    <w:p w:rsidR="00275C5A" w:rsidRPr="00275C5A" w:rsidRDefault="00275C5A" w:rsidP="00D87FED"/>
    <w:p w:rsidR="00275C5A" w:rsidRPr="00B50DB8" w:rsidRDefault="00442441" w:rsidP="008C17FD">
      <w:pPr>
        <w:pStyle w:val="ListParagraph"/>
        <w:numPr>
          <w:ilvl w:val="1"/>
          <w:numId w:val="2"/>
        </w:numPr>
      </w:pPr>
      <w:r w:rsidRPr="002001A2">
        <w:t>A summary of the key drivers of the economic model is provided in the table below</w:t>
      </w:r>
      <w:r w:rsidRPr="00442441">
        <w:t>.</w:t>
      </w:r>
    </w:p>
    <w:p w:rsidR="00D110BD" w:rsidRDefault="00661DFA" w:rsidP="00863E22">
      <w:pPr>
        <w:keepNext/>
        <w:keepLines/>
        <w:rPr>
          <w:rStyle w:val="CommentReference"/>
        </w:rPr>
      </w:pPr>
      <w:r w:rsidRPr="00401364">
        <w:rPr>
          <w:rFonts w:ascii="Arial Narrow" w:hAnsi="Arial Narrow"/>
          <w:b/>
          <w:sz w:val="20"/>
          <w:szCs w:val="20"/>
        </w:rPr>
        <w:lastRenderedPageBreak/>
        <w:t xml:space="preserve">Table </w:t>
      </w:r>
      <w:r w:rsidR="00821312">
        <w:rPr>
          <w:rFonts w:ascii="Arial Narrow" w:hAnsi="Arial Narrow"/>
          <w:b/>
          <w:noProof/>
          <w:sz w:val="20"/>
          <w:szCs w:val="20"/>
        </w:rPr>
        <w:t>15</w:t>
      </w:r>
      <w:r>
        <w:rPr>
          <w:rFonts w:ascii="Arial Narrow" w:hAnsi="Arial Narrow"/>
          <w:b/>
          <w:noProof/>
          <w:sz w:val="20"/>
          <w:szCs w:val="20"/>
        </w:rPr>
        <w:t>:</w:t>
      </w:r>
      <w:r w:rsidR="00D110BD" w:rsidRPr="00A56B6A">
        <w:rPr>
          <w:rStyle w:val="CommentReference"/>
        </w:rPr>
        <w:t xml:space="preserve"> Key drivers of the model</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1"/>
        <w:gridCol w:w="6055"/>
        <w:gridCol w:w="1545"/>
      </w:tblGrid>
      <w:tr w:rsidR="00FC14B1" w:rsidRPr="00D061B9" w:rsidTr="00FC14B1">
        <w:trPr>
          <w:tblHeader/>
        </w:trPr>
        <w:tc>
          <w:tcPr>
            <w:tcW w:w="726" w:type="pct"/>
            <w:shd w:val="clear" w:color="auto" w:fill="auto"/>
            <w:vAlign w:val="center"/>
          </w:tcPr>
          <w:p w:rsidR="00D110BD" w:rsidRPr="00D061B9" w:rsidRDefault="00D110BD" w:rsidP="00863E22">
            <w:pPr>
              <w:pStyle w:val="Tabletext"/>
              <w:keepNext/>
              <w:keepLines/>
              <w:rPr>
                <w:b/>
                <w:lang w:val="en-US"/>
              </w:rPr>
            </w:pPr>
            <w:r w:rsidRPr="00D061B9">
              <w:rPr>
                <w:b/>
                <w:lang w:val="en-US"/>
              </w:rPr>
              <w:t>Description</w:t>
            </w:r>
          </w:p>
        </w:tc>
        <w:tc>
          <w:tcPr>
            <w:tcW w:w="3405" w:type="pct"/>
            <w:shd w:val="clear" w:color="auto" w:fill="auto"/>
            <w:vAlign w:val="center"/>
          </w:tcPr>
          <w:p w:rsidR="00D110BD" w:rsidRPr="00D061B9" w:rsidRDefault="00D110BD" w:rsidP="00863E22">
            <w:pPr>
              <w:pStyle w:val="Tabletext"/>
              <w:keepNext/>
              <w:keepLines/>
              <w:jc w:val="center"/>
              <w:rPr>
                <w:b/>
                <w:lang w:val="en-US"/>
              </w:rPr>
            </w:pPr>
            <w:r w:rsidRPr="00D061B9">
              <w:rPr>
                <w:b/>
                <w:lang w:val="en-US"/>
              </w:rPr>
              <w:t>Method/Value</w:t>
            </w:r>
          </w:p>
        </w:tc>
        <w:tc>
          <w:tcPr>
            <w:tcW w:w="869" w:type="pct"/>
            <w:shd w:val="clear" w:color="auto" w:fill="auto"/>
            <w:vAlign w:val="center"/>
          </w:tcPr>
          <w:p w:rsidR="00D110BD" w:rsidRPr="00D061B9" w:rsidRDefault="00D110BD" w:rsidP="00863E22">
            <w:pPr>
              <w:pStyle w:val="Tabletext"/>
              <w:keepNext/>
              <w:keepLines/>
              <w:jc w:val="center"/>
              <w:rPr>
                <w:b/>
                <w:lang w:val="en-US"/>
              </w:rPr>
            </w:pPr>
            <w:r w:rsidRPr="00D061B9">
              <w:rPr>
                <w:b/>
                <w:lang w:val="en-US"/>
              </w:rPr>
              <w:t>Impact</w:t>
            </w:r>
          </w:p>
        </w:tc>
      </w:tr>
      <w:tr w:rsidR="00FC14B1" w:rsidRPr="00D061B9" w:rsidTr="00FC14B1">
        <w:tc>
          <w:tcPr>
            <w:tcW w:w="726" w:type="pct"/>
            <w:shd w:val="clear" w:color="auto" w:fill="auto"/>
            <w:vAlign w:val="center"/>
          </w:tcPr>
          <w:p w:rsidR="00EC045B" w:rsidRPr="00D061B9" w:rsidRDefault="00EC045B" w:rsidP="00863E22">
            <w:pPr>
              <w:pStyle w:val="Tabletext"/>
              <w:keepNext/>
              <w:keepLines/>
              <w:rPr>
                <w:lang w:val="en-US"/>
              </w:rPr>
            </w:pPr>
            <w:r w:rsidRPr="00D061B9">
              <w:rPr>
                <w:lang w:val="en-US"/>
              </w:rPr>
              <w:t>Clinical evidence</w:t>
            </w:r>
          </w:p>
        </w:tc>
        <w:tc>
          <w:tcPr>
            <w:tcW w:w="3405" w:type="pct"/>
            <w:shd w:val="clear" w:color="auto" w:fill="auto"/>
            <w:vAlign w:val="center"/>
          </w:tcPr>
          <w:p w:rsidR="00EC045B" w:rsidRPr="00D061B9" w:rsidRDefault="00EC045B" w:rsidP="00863E22">
            <w:pPr>
              <w:pStyle w:val="Tabletext"/>
              <w:keepNext/>
              <w:keepLines/>
              <w:jc w:val="left"/>
              <w:rPr>
                <w:lang w:val="en-US"/>
              </w:rPr>
            </w:pPr>
            <w:r w:rsidRPr="00D061B9">
              <w:rPr>
                <w:lang w:val="en-US"/>
              </w:rPr>
              <w:t>There were inconsistencies in the data applied to the model, with efficacy data sourced from the subgroup population of Study 295 while discontinuation rates and adverse events were sourced from the overall trial population.</w:t>
            </w:r>
          </w:p>
          <w:p w:rsidR="00EC045B" w:rsidRDefault="00EC045B" w:rsidP="00863E22">
            <w:pPr>
              <w:pStyle w:val="Tabletext"/>
              <w:keepNext/>
              <w:keepLines/>
              <w:jc w:val="left"/>
            </w:pPr>
            <w:r w:rsidRPr="00D061B9">
              <w:rPr>
                <w:lang w:val="en-US"/>
              </w:rPr>
              <w:t xml:space="preserve">In addition, </w:t>
            </w:r>
            <w:r w:rsidRPr="00D061B9">
              <w:t xml:space="preserve">evidence from Study 295 may not accurately reflect the effectiveness of </w:t>
            </w:r>
            <w:proofErr w:type="spellStart"/>
            <w:r w:rsidR="00CD793C">
              <w:t>erenumab</w:t>
            </w:r>
            <w:proofErr w:type="spellEnd"/>
            <w:r w:rsidR="00CD793C">
              <w:t xml:space="preserve"> in clinical practice. </w:t>
            </w:r>
            <w:r w:rsidRPr="00D061B9">
              <w:t>As noted by the ESC for the July 2018 submission, Study 295 excluded patients with psychiatric comorbidities which have been found to be prevalent with chronic migraine</w:t>
            </w:r>
            <w:r w:rsidRPr="00D061B9">
              <w:rPr>
                <w:rStyle w:val="FootnoteReference"/>
              </w:rPr>
              <w:footnoteReference w:id="9"/>
            </w:r>
          </w:p>
          <w:p w:rsidR="001F0B0B" w:rsidRPr="00D061B9" w:rsidRDefault="001F0B0B" w:rsidP="00863E22">
            <w:pPr>
              <w:pStyle w:val="Tabletext"/>
              <w:keepNext/>
              <w:keepLines/>
              <w:jc w:val="left"/>
              <w:rPr>
                <w:lang w:val="en-US"/>
              </w:rPr>
            </w:pPr>
            <w:r>
              <w:t>The efficacy data from the subgroup was not adequately supported.</w:t>
            </w:r>
          </w:p>
        </w:tc>
        <w:tc>
          <w:tcPr>
            <w:tcW w:w="869" w:type="pct"/>
            <w:shd w:val="clear" w:color="auto" w:fill="auto"/>
            <w:vAlign w:val="center"/>
          </w:tcPr>
          <w:p w:rsidR="00EC045B" w:rsidRPr="00D061B9" w:rsidRDefault="00EC045B" w:rsidP="00863E22">
            <w:pPr>
              <w:pStyle w:val="Tabletext"/>
              <w:keepNext/>
              <w:keepLines/>
              <w:jc w:val="left"/>
            </w:pPr>
            <w:r w:rsidRPr="00D061B9">
              <w:rPr>
                <w:lang w:val="en-US"/>
              </w:rPr>
              <w:t xml:space="preserve">Moderate, </w:t>
            </w:r>
          </w:p>
          <w:p w:rsidR="00EC045B" w:rsidRPr="00D061B9" w:rsidRDefault="00EC045B" w:rsidP="00863E22">
            <w:pPr>
              <w:pStyle w:val="Tabletext"/>
              <w:keepNext/>
              <w:keepLines/>
              <w:jc w:val="left"/>
              <w:rPr>
                <w:lang w:val="en-US"/>
              </w:rPr>
            </w:pPr>
            <w:r w:rsidRPr="00D061B9">
              <w:t>favours</w:t>
            </w:r>
            <w:r w:rsidRPr="00D061B9">
              <w:rPr>
                <w:lang w:val="en-US"/>
              </w:rPr>
              <w:t xml:space="preserve"> </w:t>
            </w:r>
            <w:proofErr w:type="spellStart"/>
            <w:r w:rsidRPr="00D061B9">
              <w:rPr>
                <w:lang w:val="en-US"/>
              </w:rPr>
              <w:t>erenumab</w:t>
            </w:r>
            <w:proofErr w:type="spellEnd"/>
          </w:p>
        </w:tc>
      </w:tr>
      <w:tr w:rsidR="00FC14B1" w:rsidRPr="00D061B9" w:rsidTr="00FC14B1">
        <w:tc>
          <w:tcPr>
            <w:tcW w:w="726" w:type="pct"/>
            <w:shd w:val="clear" w:color="auto" w:fill="auto"/>
            <w:vAlign w:val="center"/>
          </w:tcPr>
          <w:p w:rsidR="005939B1" w:rsidRPr="00D061B9" w:rsidRDefault="005939B1" w:rsidP="00863E22">
            <w:pPr>
              <w:pStyle w:val="Tabletext"/>
              <w:keepNext/>
              <w:keepLines/>
              <w:rPr>
                <w:lang w:val="en-US"/>
              </w:rPr>
            </w:pPr>
            <w:r w:rsidRPr="00D061B9">
              <w:rPr>
                <w:lang w:val="en-US"/>
              </w:rPr>
              <w:t>Parametric distributions</w:t>
            </w:r>
          </w:p>
        </w:tc>
        <w:tc>
          <w:tcPr>
            <w:tcW w:w="3405" w:type="pct"/>
            <w:shd w:val="clear" w:color="auto" w:fill="auto"/>
            <w:vAlign w:val="center"/>
          </w:tcPr>
          <w:p w:rsidR="00F34052" w:rsidRPr="00D061B9" w:rsidRDefault="00542656" w:rsidP="00863E22">
            <w:pPr>
              <w:pStyle w:val="Tabletext"/>
              <w:keepNext/>
              <w:keepLines/>
            </w:pPr>
            <w:r w:rsidRPr="00D061B9">
              <w:t>As for the July 2018 model, the current</w:t>
            </w:r>
            <w:r w:rsidR="005939B1" w:rsidRPr="00D061B9">
              <w:t xml:space="preserve"> model is structured so that cost and utility values for each monthly migraine day (MMD) frequency are calculated and then weighted according to a predicted MMD distribution, generating mean values for that health state.</w:t>
            </w:r>
            <w:r w:rsidR="00100965" w:rsidRPr="00D061B9">
              <w:t xml:space="preserve"> The resubmission revised the determination of the MMD distributions so that </w:t>
            </w:r>
            <w:r w:rsidR="00F34052" w:rsidRPr="00D061B9">
              <w:t xml:space="preserve">data was sourced from the subgroup population of Study 295 </w:t>
            </w:r>
            <w:r w:rsidR="00E44380" w:rsidRPr="00D061B9">
              <w:t>and</w:t>
            </w:r>
            <w:r w:rsidR="00F34052" w:rsidRPr="00D061B9">
              <w:t xml:space="preserve"> data for patients using the 70</w:t>
            </w:r>
            <w:r w:rsidR="0020512F">
              <w:t xml:space="preserve"> </w:t>
            </w:r>
            <w:r w:rsidR="00F34052" w:rsidRPr="00D061B9">
              <w:t xml:space="preserve">mg dose </w:t>
            </w:r>
            <w:r w:rsidR="00E44380" w:rsidRPr="00D061B9">
              <w:t xml:space="preserve">was </w:t>
            </w:r>
            <w:r w:rsidR="00F34052" w:rsidRPr="00D061B9">
              <w:t>excluded.</w:t>
            </w:r>
          </w:p>
          <w:p w:rsidR="005939B1" w:rsidRPr="00D061B9" w:rsidRDefault="00F34052" w:rsidP="00863E22">
            <w:pPr>
              <w:pStyle w:val="Tabletext"/>
              <w:keepNext/>
              <w:keepLines/>
            </w:pPr>
            <w:r w:rsidRPr="00D061B9">
              <w:t>Even with these alterations the distributions produced remained implausible</w:t>
            </w:r>
            <w:r w:rsidR="00BA4A9C" w:rsidRPr="00D061B9">
              <w:t xml:space="preserve">, including unrealistically high MMDs for responders, </w:t>
            </w:r>
            <w:r w:rsidR="006009B0" w:rsidRPr="00D061B9">
              <w:t xml:space="preserve">as well as </w:t>
            </w:r>
            <w:r w:rsidR="00BA4A9C" w:rsidRPr="00D061B9">
              <w:t xml:space="preserve">values of 28 MMDs for </w:t>
            </w:r>
            <w:r w:rsidR="006009B0" w:rsidRPr="00D061B9">
              <w:t xml:space="preserve">a small proportion of </w:t>
            </w:r>
            <w:r w:rsidR="00BA4A9C" w:rsidRPr="00D061B9">
              <w:t xml:space="preserve">responders </w:t>
            </w:r>
            <w:r w:rsidR="0005500C" w:rsidRPr="00D061B9">
              <w:t>and</w:t>
            </w:r>
            <w:r w:rsidR="00BA4A9C" w:rsidRPr="00D061B9">
              <w:t xml:space="preserve"> </w:t>
            </w:r>
            <w:r w:rsidR="006009B0" w:rsidRPr="00D061B9">
              <w:t>close to 30% of</w:t>
            </w:r>
            <w:r w:rsidR="00BA4A9C" w:rsidRPr="00D061B9">
              <w:t xml:space="preserve"> responders with just one MMD</w:t>
            </w:r>
            <w:r w:rsidR="00ED5098" w:rsidRPr="00ED5098">
              <w:t xml:space="preserve">, </w:t>
            </w:r>
            <w:r w:rsidR="00ED5098" w:rsidRPr="00DD5D20">
              <w:t xml:space="preserve">plus differential </w:t>
            </w:r>
            <w:r w:rsidR="004A4684" w:rsidRPr="00DD5D20">
              <w:t>distribution</w:t>
            </w:r>
            <w:r w:rsidR="00ED5098" w:rsidRPr="00DD5D20">
              <w:t xml:space="preserve"> of MMDs for responders and non-responders in the two different arms</w:t>
            </w:r>
            <w:r w:rsidR="00BA4A9C" w:rsidRPr="00DD5D20">
              <w:t>.</w:t>
            </w:r>
            <w:r w:rsidR="00CD793C">
              <w:t xml:space="preserve"> </w:t>
            </w:r>
            <w:r w:rsidR="0005500C" w:rsidRPr="00D061B9">
              <w:t>T</w:t>
            </w:r>
            <w:r w:rsidR="00C50AC5" w:rsidRPr="00D061B9">
              <w:t>h</w:t>
            </w:r>
            <w:r w:rsidR="0005500C" w:rsidRPr="00D061B9">
              <w:t>is lack of accuracy in the distributions</w:t>
            </w:r>
            <w:r w:rsidR="00C50AC5" w:rsidRPr="00D061B9">
              <w:t xml:space="preserve"> will be reflected in the utility values and resource </w:t>
            </w:r>
            <w:r w:rsidR="002B65D9" w:rsidRPr="00D061B9">
              <w:t xml:space="preserve">usage and </w:t>
            </w:r>
            <w:r w:rsidR="00C50AC5" w:rsidRPr="00D061B9">
              <w:t>cost values applied in the economic model</w:t>
            </w:r>
          </w:p>
        </w:tc>
        <w:tc>
          <w:tcPr>
            <w:tcW w:w="869" w:type="pct"/>
            <w:shd w:val="clear" w:color="auto" w:fill="auto"/>
            <w:vAlign w:val="center"/>
          </w:tcPr>
          <w:p w:rsidR="00C4310E" w:rsidRPr="00D061B9" w:rsidRDefault="005939B1" w:rsidP="00863E22">
            <w:pPr>
              <w:pStyle w:val="Tabletext"/>
              <w:keepNext/>
              <w:keepLines/>
              <w:jc w:val="left"/>
            </w:pPr>
            <w:r w:rsidRPr="00D061B9">
              <w:rPr>
                <w:lang w:val="en-US"/>
              </w:rPr>
              <w:t xml:space="preserve">Moderate, </w:t>
            </w:r>
          </w:p>
          <w:p w:rsidR="005939B1" w:rsidRPr="00D061B9" w:rsidRDefault="005939B1" w:rsidP="00863E22">
            <w:pPr>
              <w:pStyle w:val="Tabletext"/>
              <w:keepNext/>
              <w:keepLines/>
              <w:jc w:val="left"/>
              <w:rPr>
                <w:lang w:val="en-US"/>
              </w:rPr>
            </w:pPr>
            <w:r w:rsidRPr="00D061B9">
              <w:t>favours</w:t>
            </w:r>
            <w:r w:rsidRPr="00D061B9">
              <w:rPr>
                <w:lang w:val="en-US"/>
              </w:rPr>
              <w:t xml:space="preserve"> </w:t>
            </w:r>
            <w:proofErr w:type="spellStart"/>
            <w:r w:rsidRPr="00D061B9">
              <w:rPr>
                <w:lang w:val="en-US"/>
              </w:rPr>
              <w:t>erenumab</w:t>
            </w:r>
            <w:proofErr w:type="spellEnd"/>
          </w:p>
        </w:tc>
      </w:tr>
      <w:tr w:rsidR="00FC14B1" w:rsidRPr="00D061B9" w:rsidTr="00FC14B1">
        <w:tc>
          <w:tcPr>
            <w:tcW w:w="726" w:type="pct"/>
            <w:shd w:val="clear" w:color="auto" w:fill="auto"/>
            <w:vAlign w:val="center"/>
          </w:tcPr>
          <w:p w:rsidR="005939B1" w:rsidRPr="00D061B9" w:rsidRDefault="005939B1" w:rsidP="00863E22">
            <w:pPr>
              <w:pStyle w:val="Tabletext"/>
              <w:keepNext/>
              <w:keepLines/>
              <w:rPr>
                <w:lang w:val="en-US"/>
              </w:rPr>
            </w:pPr>
            <w:r w:rsidRPr="00D061B9">
              <w:rPr>
                <w:lang w:val="en-US"/>
              </w:rPr>
              <w:t>Extrapolation</w:t>
            </w:r>
          </w:p>
        </w:tc>
        <w:tc>
          <w:tcPr>
            <w:tcW w:w="3405" w:type="pct"/>
            <w:shd w:val="clear" w:color="auto" w:fill="auto"/>
            <w:vAlign w:val="center"/>
          </w:tcPr>
          <w:p w:rsidR="005939B1" w:rsidRPr="00D061B9" w:rsidRDefault="00846DD1" w:rsidP="00863E22">
            <w:pPr>
              <w:pStyle w:val="Tabletext"/>
              <w:keepNext/>
              <w:keepLines/>
            </w:pPr>
            <w:r w:rsidRPr="00D061B9">
              <w:t>The resubmission has maintained the same approach to extrapolation in the revised model, with extrapolation of the clinical data performed on a last obse</w:t>
            </w:r>
            <w:r w:rsidR="00CD793C">
              <w:t xml:space="preserve">rvation carried forward basis. </w:t>
            </w:r>
            <w:r w:rsidRPr="00D061B9">
              <w:t>As such, patients who are identified as responders at the 12 week assessment point maintain that response for the duration of the model, although they are subject to risk of treatment discontinuation due to AEs or death.</w:t>
            </w:r>
          </w:p>
          <w:p w:rsidR="00846DD1" w:rsidRPr="007E1CB9" w:rsidRDefault="00846DD1" w:rsidP="00863E22">
            <w:pPr>
              <w:pStyle w:val="Tabletext"/>
              <w:keepNext/>
              <w:keepLines/>
              <w:rPr>
                <w:i/>
                <w:lang w:val="en-US"/>
              </w:rPr>
            </w:pPr>
            <w:r w:rsidRPr="00D061B9">
              <w:rPr>
                <w:lang w:val="en-US"/>
              </w:rPr>
              <w:t>The resubmission cited data from Study 255 to support the continued approach to extrapolation</w:t>
            </w:r>
            <w:r w:rsidR="002E63AA" w:rsidRPr="00D061B9">
              <w:rPr>
                <w:lang w:val="en-US"/>
              </w:rPr>
              <w:t xml:space="preserve"> however </w:t>
            </w:r>
            <w:r w:rsidR="003B686D">
              <w:rPr>
                <w:lang w:val="en-US"/>
              </w:rPr>
              <w:t>these</w:t>
            </w:r>
            <w:r w:rsidR="003B686D" w:rsidRPr="00D061B9">
              <w:rPr>
                <w:lang w:val="en-US"/>
              </w:rPr>
              <w:t xml:space="preserve"> </w:t>
            </w:r>
            <w:r w:rsidR="002E63AA" w:rsidRPr="00D061B9">
              <w:rPr>
                <w:lang w:val="en-US"/>
              </w:rPr>
              <w:t xml:space="preserve">data </w:t>
            </w:r>
            <w:r w:rsidR="003B686D">
              <w:rPr>
                <w:lang w:val="en-US"/>
              </w:rPr>
              <w:t>were</w:t>
            </w:r>
            <w:r w:rsidR="003B686D" w:rsidRPr="00D061B9">
              <w:rPr>
                <w:lang w:val="en-US"/>
              </w:rPr>
              <w:t xml:space="preserve"> </w:t>
            </w:r>
            <w:r w:rsidR="002E63AA" w:rsidRPr="00D061B9">
              <w:rPr>
                <w:lang w:val="en-US"/>
              </w:rPr>
              <w:t xml:space="preserve">based on </w:t>
            </w:r>
            <w:r w:rsidR="00A95528" w:rsidRPr="00D061B9">
              <w:rPr>
                <w:lang w:val="en-US"/>
              </w:rPr>
              <w:t>a small number of 140</w:t>
            </w:r>
            <w:r w:rsidR="0020512F">
              <w:rPr>
                <w:lang w:val="en-US"/>
              </w:rPr>
              <w:t xml:space="preserve"> </w:t>
            </w:r>
            <w:r w:rsidR="00A95528" w:rsidRPr="00D061B9">
              <w:rPr>
                <w:lang w:val="en-US"/>
              </w:rPr>
              <w:t>mg-treated patients (</w:t>
            </w:r>
            <w:r w:rsidR="00405DA0">
              <w:rPr>
                <w:noProof/>
                <w:color w:val="000000"/>
                <w:highlight w:val="black"/>
                <w:lang w:val="en-US"/>
              </w:rPr>
              <w:t>'''''''''</w:t>
            </w:r>
            <w:r w:rsidR="00A95528" w:rsidRPr="00D061B9">
              <w:rPr>
                <w:lang w:val="en-US"/>
              </w:rPr>
              <w:t xml:space="preserve">) and only extended to 52 weeks, with no </w:t>
            </w:r>
            <w:r w:rsidR="005B0644" w:rsidRPr="00D061B9">
              <w:rPr>
                <w:lang w:val="en-US"/>
              </w:rPr>
              <w:t>quantification of response over a longer time period.</w:t>
            </w:r>
            <w:r w:rsidR="007E1CB9">
              <w:rPr>
                <w:lang w:val="en-US"/>
              </w:rPr>
              <w:t xml:space="preserve"> </w:t>
            </w:r>
            <w:r w:rsidR="007E1CB9" w:rsidRPr="00DD5D20">
              <w:rPr>
                <w:lang w:val="en-US"/>
              </w:rPr>
              <w:t xml:space="preserve">The ESC advised that the extrapolation in the model is very favorable </w:t>
            </w:r>
            <w:r w:rsidR="005072D2" w:rsidRPr="00DD5D20">
              <w:rPr>
                <w:lang w:val="en-US"/>
              </w:rPr>
              <w:t xml:space="preserve">and based on </w:t>
            </w:r>
            <w:r w:rsidR="007E1CB9" w:rsidRPr="00DD5D20">
              <w:rPr>
                <w:lang w:val="en-US"/>
              </w:rPr>
              <w:t>limited evidence.</w:t>
            </w:r>
          </w:p>
        </w:tc>
        <w:tc>
          <w:tcPr>
            <w:tcW w:w="869" w:type="pct"/>
            <w:shd w:val="clear" w:color="auto" w:fill="auto"/>
            <w:vAlign w:val="center"/>
          </w:tcPr>
          <w:p w:rsidR="00C4310E" w:rsidRPr="00D061B9" w:rsidRDefault="005939B1" w:rsidP="00863E22">
            <w:pPr>
              <w:pStyle w:val="Tabletext"/>
              <w:keepNext/>
              <w:keepLines/>
              <w:jc w:val="left"/>
            </w:pPr>
            <w:r w:rsidRPr="00D061B9">
              <w:rPr>
                <w:lang w:val="en-US"/>
              </w:rPr>
              <w:t xml:space="preserve">High, </w:t>
            </w:r>
          </w:p>
          <w:p w:rsidR="005939B1" w:rsidRPr="00D061B9" w:rsidRDefault="005939B1" w:rsidP="00863E22">
            <w:pPr>
              <w:pStyle w:val="Tabletext"/>
              <w:keepNext/>
              <w:keepLines/>
              <w:jc w:val="left"/>
              <w:rPr>
                <w:lang w:val="en-US"/>
              </w:rPr>
            </w:pPr>
            <w:r w:rsidRPr="00D061B9">
              <w:t>favours</w:t>
            </w:r>
            <w:r w:rsidRPr="00D061B9">
              <w:rPr>
                <w:lang w:val="en-US"/>
              </w:rPr>
              <w:t xml:space="preserve"> </w:t>
            </w:r>
            <w:proofErr w:type="spellStart"/>
            <w:r w:rsidRPr="00D061B9">
              <w:rPr>
                <w:lang w:val="en-US"/>
              </w:rPr>
              <w:t>erenumab</w:t>
            </w:r>
            <w:proofErr w:type="spellEnd"/>
          </w:p>
        </w:tc>
      </w:tr>
      <w:tr w:rsidR="00FC14B1" w:rsidRPr="00D061B9" w:rsidTr="00FC14B1">
        <w:tc>
          <w:tcPr>
            <w:tcW w:w="726" w:type="pct"/>
            <w:shd w:val="clear" w:color="auto" w:fill="auto"/>
            <w:vAlign w:val="center"/>
          </w:tcPr>
          <w:p w:rsidR="00626B47" w:rsidRPr="00D061B9" w:rsidRDefault="00626B47" w:rsidP="00863E22">
            <w:pPr>
              <w:pStyle w:val="Tabletext"/>
              <w:keepNext/>
              <w:keepLines/>
              <w:rPr>
                <w:lang w:val="en-US"/>
              </w:rPr>
            </w:pPr>
            <w:r w:rsidRPr="00D061B9">
              <w:rPr>
                <w:lang w:val="en-US"/>
              </w:rPr>
              <w:t>Utility values</w:t>
            </w:r>
          </w:p>
        </w:tc>
        <w:tc>
          <w:tcPr>
            <w:tcW w:w="3405" w:type="pct"/>
            <w:shd w:val="clear" w:color="auto" w:fill="auto"/>
            <w:vAlign w:val="center"/>
          </w:tcPr>
          <w:p w:rsidR="00626B47" w:rsidRPr="00D061B9" w:rsidRDefault="004F7BE2" w:rsidP="00863E22">
            <w:pPr>
              <w:pStyle w:val="Tabletext"/>
              <w:keepNext/>
              <w:keepLines/>
              <w:jc w:val="left"/>
              <w:rPr>
                <w:lang w:val="en-US"/>
              </w:rPr>
            </w:pPr>
            <w:r w:rsidRPr="00D061B9">
              <w:t>The resubmission has not addressed the point made by the PBAC and ESC that severity of headache was not factored into the model despite evidence showing it can have a large impact on utility.</w:t>
            </w:r>
          </w:p>
          <w:p w:rsidR="001E238A" w:rsidRPr="00D061B9" w:rsidRDefault="001E238A" w:rsidP="00863E22">
            <w:pPr>
              <w:pStyle w:val="Tabletext"/>
              <w:keepNext/>
              <w:keepLines/>
              <w:jc w:val="left"/>
              <w:rPr>
                <w:lang w:val="en-US"/>
              </w:rPr>
            </w:pPr>
            <w:r w:rsidRPr="00D061B9">
              <w:t>The resubmission has also not provided any discussion around ot</w:t>
            </w:r>
            <w:r w:rsidR="00CD793C">
              <w:t xml:space="preserve">her sources of utility values. </w:t>
            </w:r>
            <w:r w:rsidRPr="00D061B9">
              <w:t>The PBAC and ESC had cited Brown (2008), a paper which looked at migraine frequency and utility which would be particularly relevant in the case of chronic migraine</w:t>
            </w:r>
            <w:r w:rsidR="00D60089">
              <w:t xml:space="preserve"> and could have been used as a source </w:t>
            </w:r>
            <w:r w:rsidR="00954BF5">
              <w:t>for</w:t>
            </w:r>
            <w:r w:rsidR="00D60089">
              <w:t xml:space="preserve"> sensitivity analysis</w:t>
            </w:r>
            <w:r w:rsidRPr="00D061B9">
              <w:t>.</w:t>
            </w:r>
          </w:p>
        </w:tc>
        <w:tc>
          <w:tcPr>
            <w:tcW w:w="869" w:type="pct"/>
            <w:shd w:val="clear" w:color="auto" w:fill="auto"/>
            <w:vAlign w:val="center"/>
          </w:tcPr>
          <w:p w:rsidR="00C4310E" w:rsidRPr="00F9222A" w:rsidRDefault="00626B47" w:rsidP="00863E22">
            <w:pPr>
              <w:pStyle w:val="Tabletext"/>
              <w:keepNext/>
              <w:keepLines/>
              <w:jc w:val="left"/>
            </w:pPr>
            <w:r w:rsidRPr="00F9222A">
              <w:rPr>
                <w:lang w:val="en-US"/>
              </w:rPr>
              <w:t xml:space="preserve">Moderate, </w:t>
            </w:r>
          </w:p>
          <w:p w:rsidR="00626B47" w:rsidRPr="00D061B9" w:rsidRDefault="00626B47" w:rsidP="00863E22">
            <w:pPr>
              <w:pStyle w:val="Tabletext"/>
              <w:keepNext/>
              <w:keepLines/>
              <w:jc w:val="left"/>
              <w:rPr>
                <w:lang w:val="en-US"/>
              </w:rPr>
            </w:pPr>
            <w:proofErr w:type="gramStart"/>
            <w:r w:rsidRPr="00F9222A">
              <w:t>favours</w:t>
            </w:r>
            <w:proofErr w:type="gramEnd"/>
            <w:r w:rsidRPr="00F9222A">
              <w:rPr>
                <w:lang w:val="en-US"/>
              </w:rPr>
              <w:t xml:space="preserve"> </w:t>
            </w:r>
            <w:proofErr w:type="spellStart"/>
            <w:r w:rsidRPr="00F9222A">
              <w:rPr>
                <w:lang w:val="en-US"/>
              </w:rPr>
              <w:t>erenumab</w:t>
            </w:r>
            <w:proofErr w:type="spellEnd"/>
            <w:r w:rsidRPr="00F9222A">
              <w:rPr>
                <w:lang w:val="en-US"/>
              </w:rPr>
              <w:t>.</w:t>
            </w:r>
          </w:p>
        </w:tc>
      </w:tr>
    </w:tbl>
    <w:p w:rsidR="00D110BD" w:rsidRDefault="009D792E" w:rsidP="00863E22">
      <w:pPr>
        <w:pStyle w:val="TableFooter"/>
        <w:keepNext/>
        <w:keepLines/>
      </w:pPr>
      <w:r>
        <w:t xml:space="preserve">Source: </w:t>
      </w:r>
      <w:r w:rsidR="002B65D9">
        <w:t>Compiled from Section 3.2 of the resubmission</w:t>
      </w:r>
      <w:r w:rsidR="001837ED">
        <w:t xml:space="preserve"> and July 2018 PSD</w:t>
      </w:r>
      <w:r w:rsidR="002B65D9">
        <w:t>.</w:t>
      </w:r>
    </w:p>
    <w:p w:rsidR="009D792E" w:rsidRPr="00275C5A" w:rsidRDefault="009D792E" w:rsidP="00D87FED"/>
    <w:p w:rsidR="00275C5A" w:rsidRDefault="007B598D" w:rsidP="008C17FD">
      <w:pPr>
        <w:pStyle w:val="ListParagraph"/>
        <w:numPr>
          <w:ilvl w:val="1"/>
          <w:numId w:val="2"/>
        </w:numPr>
      </w:pPr>
      <w:r>
        <w:t>The results of the economic evaluation are provided in the table below.</w:t>
      </w:r>
    </w:p>
    <w:p w:rsidR="007B598D" w:rsidRDefault="00661DFA" w:rsidP="00863E22">
      <w:pPr>
        <w:keepNext/>
        <w:keepLines/>
        <w:rPr>
          <w:rStyle w:val="CommentReference"/>
        </w:rPr>
      </w:pPr>
      <w:r w:rsidRPr="00401364">
        <w:rPr>
          <w:rFonts w:ascii="Arial Narrow" w:hAnsi="Arial Narrow"/>
          <w:b/>
          <w:sz w:val="20"/>
          <w:szCs w:val="20"/>
        </w:rPr>
        <w:lastRenderedPageBreak/>
        <w:t xml:space="preserve">Table </w:t>
      </w:r>
      <w:r w:rsidR="00821312">
        <w:rPr>
          <w:rFonts w:ascii="Arial Narrow" w:hAnsi="Arial Narrow"/>
          <w:b/>
          <w:noProof/>
          <w:sz w:val="20"/>
          <w:szCs w:val="20"/>
        </w:rPr>
        <w:t>16</w:t>
      </w:r>
      <w:r>
        <w:rPr>
          <w:rFonts w:ascii="Arial Narrow" w:hAnsi="Arial Narrow"/>
          <w:b/>
          <w:noProof/>
          <w:sz w:val="20"/>
          <w:szCs w:val="20"/>
        </w:rPr>
        <w:t>:</w:t>
      </w:r>
      <w:r w:rsidR="005A373D" w:rsidRPr="001222FC">
        <w:rPr>
          <w:rStyle w:val="CommentReference"/>
        </w:rPr>
        <w:t xml:space="preserve"> Results of the stepped economic evaluation</w:t>
      </w:r>
    </w:p>
    <w:tbl>
      <w:tblPr>
        <w:tblStyle w:val="TableGrid"/>
        <w:tblW w:w="8926" w:type="dxa"/>
        <w:tblCellMar>
          <w:left w:w="28" w:type="dxa"/>
          <w:right w:w="28" w:type="dxa"/>
        </w:tblCellMar>
        <w:tblLook w:val="04A0" w:firstRow="1" w:lastRow="0" w:firstColumn="1" w:lastColumn="0" w:noHBand="0" w:noVBand="1"/>
        <w:tblCaption w:val="Table 16: Results of the stepped economic evaluation"/>
      </w:tblPr>
      <w:tblGrid>
        <w:gridCol w:w="4673"/>
        <w:gridCol w:w="1276"/>
        <w:gridCol w:w="1399"/>
        <w:gridCol w:w="1578"/>
      </w:tblGrid>
      <w:tr w:rsidR="00704840" w:rsidRPr="008B675D" w:rsidTr="008330AD">
        <w:trPr>
          <w:tblHeader/>
        </w:trPr>
        <w:tc>
          <w:tcPr>
            <w:tcW w:w="4673" w:type="dxa"/>
            <w:vAlign w:val="center"/>
          </w:tcPr>
          <w:p w:rsidR="00704840" w:rsidRPr="008B675D" w:rsidRDefault="00704840" w:rsidP="00863E22">
            <w:pPr>
              <w:keepNext/>
              <w:keepLines/>
              <w:tabs>
                <w:tab w:val="left" w:pos="142"/>
              </w:tabs>
              <w:rPr>
                <w:rFonts w:ascii="Arial Narrow" w:hAnsi="Arial Narrow"/>
                <w:b/>
                <w:sz w:val="20"/>
                <w:szCs w:val="20"/>
              </w:rPr>
            </w:pPr>
            <w:r>
              <w:rPr>
                <w:rFonts w:ascii="Arial Narrow" w:hAnsi="Arial Narrow"/>
                <w:b/>
                <w:sz w:val="20"/>
                <w:szCs w:val="20"/>
              </w:rPr>
              <w:t>Steps</w:t>
            </w:r>
          </w:p>
        </w:tc>
        <w:tc>
          <w:tcPr>
            <w:tcW w:w="1276" w:type="dxa"/>
            <w:vAlign w:val="center"/>
          </w:tcPr>
          <w:p w:rsidR="00704840" w:rsidRPr="008B675D" w:rsidRDefault="00704840" w:rsidP="00863E22">
            <w:pPr>
              <w:keepNext/>
              <w:keepLines/>
              <w:jc w:val="center"/>
              <w:rPr>
                <w:rFonts w:ascii="Arial Narrow" w:hAnsi="Arial Narrow"/>
                <w:b/>
                <w:sz w:val="20"/>
                <w:szCs w:val="20"/>
              </w:rPr>
            </w:pPr>
            <w:r>
              <w:rPr>
                <w:rFonts w:ascii="Arial Narrow" w:hAnsi="Arial Narrow"/>
                <w:b/>
                <w:sz w:val="20"/>
                <w:szCs w:val="20"/>
              </w:rPr>
              <w:t>Incremental cost</w:t>
            </w:r>
          </w:p>
        </w:tc>
        <w:tc>
          <w:tcPr>
            <w:tcW w:w="1399" w:type="dxa"/>
            <w:vAlign w:val="center"/>
          </w:tcPr>
          <w:p w:rsidR="00704840" w:rsidRPr="008B675D" w:rsidRDefault="00704840" w:rsidP="00863E22">
            <w:pPr>
              <w:keepNext/>
              <w:keepLines/>
              <w:jc w:val="center"/>
              <w:rPr>
                <w:rFonts w:ascii="Arial Narrow" w:hAnsi="Arial Narrow"/>
                <w:b/>
                <w:sz w:val="20"/>
                <w:szCs w:val="20"/>
              </w:rPr>
            </w:pPr>
            <w:r>
              <w:rPr>
                <w:rFonts w:ascii="Arial Narrow" w:hAnsi="Arial Narrow"/>
                <w:b/>
                <w:sz w:val="20"/>
                <w:szCs w:val="20"/>
              </w:rPr>
              <w:t>Incremental effectiveness</w:t>
            </w:r>
          </w:p>
        </w:tc>
        <w:tc>
          <w:tcPr>
            <w:tcW w:w="1578" w:type="dxa"/>
            <w:vAlign w:val="center"/>
          </w:tcPr>
          <w:p w:rsidR="00704840" w:rsidRPr="008B675D" w:rsidRDefault="00704840" w:rsidP="00863E22">
            <w:pPr>
              <w:keepNext/>
              <w:keepLines/>
              <w:jc w:val="center"/>
              <w:rPr>
                <w:rFonts w:ascii="Arial Narrow" w:hAnsi="Arial Narrow"/>
                <w:b/>
                <w:sz w:val="20"/>
                <w:szCs w:val="20"/>
              </w:rPr>
            </w:pPr>
            <w:r>
              <w:rPr>
                <w:rFonts w:ascii="Arial Narrow" w:hAnsi="Arial Narrow"/>
                <w:b/>
                <w:sz w:val="20"/>
                <w:szCs w:val="20"/>
              </w:rPr>
              <w:t>ICER</w:t>
            </w:r>
          </w:p>
        </w:tc>
      </w:tr>
      <w:tr w:rsidR="00704840" w:rsidRPr="008B675D" w:rsidTr="008330AD">
        <w:tc>
          <w:tcPr>
            <w:tcW w:w="8926" w:type="dxa"/>
            <w:gridSpan w:val="4"/>
            <w:vAlign w:val="center"/>
          </w:tcPr>
          <w:p w:rsidR="00704840" w:rsidRPr="008B675D" w:rsidRDefault="00704840" w:rsidP="00863E22">
            <w:pPr>
              <w:keepNext/>
              <w:keepLines/>
              <w:tabs>
                <w:tab w:val="left" w:pos="142"/>
              </w:tabs>
              <w:rPr>
                <w:rFonts w:ascii="Arial Narrow" w:hAnsi="Arial Narrow"/>
                <w:b/>
                <w:sz w:val="20"/>
                <w:szCs w:val="20"/>
              </w:rPr>
            </w:pPr>
            <w:r>
              <w:rPr>
                <w:rFonts w:ascii="Arial Narrow" w:hAnsi="Arial Narrow"/>
                <w:b/>
                <w:sz w:val="20"/>
                <w:szCs w:val="20"/>
              </w:rPr>
              <w:t xml:space="preserve">1: Trial-based analysis versus </w:t>
            </w:r>
            <w:r w:rsidR="007F4155">
              <w:rPr>
                <w:rFonts w:ascii="Arial Narrow" w:hAnsi="Arial Narrow"/>
                <w:b/>
                <w:sz w:val="20"/>
                <w:szCs w:val="20"/>
              </w:rPr>
              <w:t>BSC</w:t>
            </w:r>
          </w:p>
        </w:tc>
      </w:tr>
      <w:tr w:rsidR="00704840" w:rsidRPr="008B675D" w:rsidTr="008330AD">
        <w:tc>
          <w:tcPr>
            <w:tcW w:w="4673" w:type="dxa"/>
            <w:vAlign w:val="center"/>
          </w:tcPr>
          <w:p w:rsidR="00704840" w:rsidRPr="008B675D" w:rsidRDefault="00704840" w:rsidP="00863E22">
            <w:pPr>
              <w:keepNext/>
              <w:keepLines/>
              <w:tabs>
                <w:tab w:val="left" w:pos="142"/>
              </w:tabs>
              <w:ind w:left="142" w:hanging="142"/>
              <w:rPr>
                <w:rFonts w:ascii="Arial Narrow" w:hAnsi="Arial Narrow"/>
                <w:sz w:val="20"/>
                <w:szCs w:val="20"/>
              </w:rPr>
            </w:pPr>
            <w:r>
              <w:rPr>
                <w:rFonts w:ascii="Arial Narrow" w:hAnsi="Arial Narrow"/>
                <w:sz w:val="20"/>
                <w:szCs w:val="20"/>
              </w:rPr>
              <w:tab/>
              <w:t xml:space="preserve">1a: Successful response in overall trial population (41.2% for </w:t>
            </w:r>
            <w:proofErr w:type="spellStart"/>
            <w:r>
              <w:rPr>
                <w:rFonts w:ascii="Arial Narrow" w:hAnsi="Arial Narrow"/>
                <w:sz w:val="20"/>
                <w:szCs w:val="20"/>
              </w:rPr>
              <w:t>erenumab</w:t>
            </w:r>
            <w:proofErr w:type="spellEnd"/>
            <w:r>
              <w:rPr>
                <w:rFonts w:ascii="Arial Narrow" w:hAnsi="Arial Narrow"/>
                <w:sz w:val="20"/>
                <w:szCs w:val="20"/>
              </w:rPr>
              <w:t xml:space="preserve"> versus 23.5% for placebo for monthly migraine days).</w:t>
            </w:r>
          </w:p>
        </w:tc>
        <w:tc>
          <w:tcPr>
            <w:tcW w:w="1276" w:type="dxa"/>
            <w:vAlign w:val="center"/>
          </w:tcPr>
          <w:p w:rsidR="00704840" w:rsidRPr="008B675D" w:rsidRDefault="00704840" w:rsidP="00863E22">
            <w:pPr>
              <w:keepNext/>
              <w:keepLines/>
              <w:jc w:val="center"/>
              <w:rPr>
                <w:rFonts w:ascii="Arial Narrow" w:hAnsi="Arial Narrow"/>
                <w:sz w:val="20"/>
                <w:szCs w:val="20"/>
              </w:rPr>
            </w:pPr>
            <w:r>
              <w:rPr>
                <w:rFonts w:ascii="Arial Narrow" w:hAnsi="Arial Narrow"/>
                <w:sz w:val="20"/>
                <w:szCs w:val="20"/>
              </w:rPr>
              <w:t>$</w:t>
            </w:r>
            <w:r w:rsidR="00405DA0">
              <w:rPr>
                <w:rFonts w:ascii="Arial Narrow" w:hAnsi="Arial Narrow"/>
                <w:noProof/>
                <w:color w:val="000000"/>
                <w:sz w:val="20"/>
                <w:szCs w:val="20"/>
                <w:highlight w:val="black"/>
              </w:rPr>
              <w:t>''''''''''''''''''''</w:t>
            </w:r>
          </w:p>
        </w:tc>
        <w:tc>
          <w:tcPr>
            <w:tcW w:w="1399" w:type="dxa"/>
            <w:vAlign w:val="center"/>
          </w:tcPr>
          <w:p w:rsidR="00704840" w:rsidRDefault="00704840" w:rsidP="00863E22">
            <w:pPr>
              <w:keepNext/>
              <w:keepLines/>
              <w:jc w:val="center"/>
              <w:rPr>
                <w:rFonts w:ascii="Arial Narrow" w:hAnsi="Arial Narrow"/>
                <w:sz w:val="20"/>
                <w:szCs w:val="20"/>
              </w:rPr>
            </w:pPr>
            <w:r>
              <w:rPr>
                <w:rFonts w:ascii="Arial Narrow" w:hAnsi="Arial Narrow"/>
                <w:sz w:val="20"/>
                <w:szCs w:val="20"/>
              </w:rPr>
              <w:t>17.7%</w:t>
            </w:r>
          </w:p>
          <w:p w:rsidR="00704840" w:rsidRPr="008B675D" w:rsidRDefault="00704840" w:rsidP="00863E22">
            <w:pPr>
              <w:keepNext/>
              <w:keepLines/>
              <w:jc w:val="center"/>
              <w:rPr>
                <w:rFonts w:ascii="Arial Narrow" w:hAnsi="Arial Narrow"/>
                <w:sz w:val="20"/>
                <w:szCs w:val="20"/>
              </w:rPr>
            </w:pPr>
            <w:r>
              <w:rPr>
                <w:rFonts w:ascii="Arial Narrow" w:hAnsi="Arial Narrow"/>
                <w:sz w:val="20"/>
                <w:szCs w:val="20"/>
              </w:rPr>
              <w:t>(41.2%-23.5%)</w:t>
            </w:r>
          </w:p>
        </w:tc>
        <w:tc>
          <w:tcPr>
            <w:tcW w:w="1578" w:type="dxa"/>
            <w:vAlign w:val="center"/>
          </w:tcPr>
          <w:p w:rsidR="00704840" w:rsidRPr="008B675D" w:rsidRDefault="00704840" w:rsidP="00863E22">
            <w:pPr>
              <w:keepNext/>
              <w:keepLines/>
              <w:jc w:val="center"/>
              <w:rPr>
                <w:rFonts w:ascii="Arial Narrow" w:hAnsi="Arial Narrow"/>
                <w:sz w:val="20"/>
                <w:szCs w:val="20"/>
              </w:rPr>
            </w:pPr>
            <w:r>
              <w:rPr>
                <w:rFonts w:ascii="Arial Narrow" w:hAnsi="Arial Narrow"/>
                <w:sz w:val="20"/>
                <w:szCs w:val="20"/>
              </w:rPr>
              <w:t>$</w:t>
            </w:r>
            <w:r w:rsidR="00405DA0">
              <w:rPr>
                <w:rFonts w:ascii="Arial Narrow" w:hAnsi="Arial Narrow"/>
                <w:noProof/>
                <w:color w:val="000000"/>
                <w:sz w:val="20"/>
                <w:szCs w:val="20"/>
                <w:highlight w:val="black"/>
              </w:rPr>
              <w:t>''''''''''''</w:t>
            </w:r>
            <w:r>
              <w:rPr>
                <w:rFonts w:ascii="Arial Narrow" w:hAnsi="Arial Narrow"/>
                <w:sz w:val="20"/>
                <w:szCs w:val="20"/>
              </w:rPr>
              <w:t xml:space="preserve"> per additional responder at 12 weeks</w:t>
            </w:r>
          </w:p>
        </w:tc>
      </w:tr>
      <w:tr w:rsidR="00704840" w:rsidRPr="008B675D" w:rsidTr="008330AD">
        <w:tc>
          <w:tcPr>
            <w:tcW w:w="4673" w:type="dxa"/>
            <w:vAlign w:val="center"/>
          </w:tcPr>
          <w:p w:rsidR="00704840" w:rsidRPr="008B675D" w:rsidRDefault="00704840" w:rsidP="00863E22">
            <w:pPr>
              <w:keepNext/>
              <w:keepLines/>
              <w:tabs>
                <w:tab w:val="left" w:pos="142"/>
              </w:tabs>
              <w:ind w:left="142" w:hanging="142"/>
              <w:rPr>
                <w:rFonts w:ascii="Arial Narrow" w:hAnsi="Arial Narrow"/>
                <w:sz w:val="20"/>
                <w:szCs w:val="20"/>
              </w:rPr>
            </w:pPr>
            <w:r>
              <w:rPr>
                <w:rFonts w:ascii="Arial Narrow" w:hAnsi="Arial Narrow"/>
                <w:sz w:val="20"/>
                <w:szCs w:val="20"/>
              </w:rPr>
              <w:tab/>
              <w:t>1b: Successful response in proposed PBS population (</w:t>
            </w:r>
            <w:r w:rsidR="00405DA0">
              <w:rPr>
                <w:rFonts w:ascii="Arial Narrow" w:hAnsi="Arial Narrow"/>
                <w:noProof/>
                <w:color w:val="000000"/>
                <w:sz w:val="20"/>
                <w:szCs w:val="20"/>
                <w:highlight w:val="black"/>
              </w:rPr>
              <w:t>'''''''''''''</w:t>
            </w:r>
            <w:r>
              <w:rPr>
                <w:rFonts w:ascii="Arial Narrow" w:hAnsi="Arial Narrow"/>
                <w:sz w:val="20"/>
                <w:szCs w:val="20"/>
              </w:rPr>
              <w:t xml:space="preserve">% for </w:t>
            </w:r>
            <w:proofErr w:type="spellStart"/>
            <w:r>
              <w:rPr>
                <w:rFonts w:ascii="Arial Narrow" w:hAnsi="Arial Narrow"/>
                <w:sz w:val="20"/>
                <w:szCs w:val="20"/>
              </w:rPr>
              <w:t>erenumab</w:t>
            </w:r>
            <w:proofErr w:type="spellEnd"/>
            <w:r>
              <w:rPr>
                <w:rFonts w:ascii="Arial Narrow" w:hAnsi="Arial Narrow"/>
                <w:sz w:val="20"/>
                <w:szCs w:val="20"/>
              </w:rPr>
              <w:t xml:space="preserve"> versus </w:t>
            </w:r>
            <w:r w:rsidR="00405DA0">
              <w:rPr>
                <w:rFonts w:ascii="Arial Narrow" w:hAnsi="Arial Narrow"/>
                <w:noProof/>
                <w:color w:val="000000"/>
                <w:sz w:val="20"/>
                <w:szCs w:val="20"/>
                <w:highlight w:val="black"/>
              </w:rPr>
              <w:t>'''''''''''''</w:t>
            </w:r>
            <w:r>
              <w:rPr>
                <w:rFonts w:ascii="Arial Narrow" w:hAnsi="Arial Narrow"/>
                <w:sz w:val="20"/>
                <w:szCs w:val="20"/>
              </w:rPr>
              <w:t xml:space="preserve">% for placebo for monthly </w:t>
            </w:r>
            <w:proofErr w:type="spellStart"/>
            <w:r w:rsidRPr="007B3C8C">
              <w:rPr>
                <w:rFonts w:ascii="Arial Narrow" w:hAnsi="Arial Narrow"/>
                <w:sz w:val="20"/>
                <w:szCs w:val="20"/>
              </w:rPr>
              <w:t>migraine</w:t>
            </w:r>
            <w:r w:rsidRPr="007B3C8C">
              <w:rPr>
                <w:rFonts w:ascii="Arial Narrow" w:hAnsi="Arial Narrow"/>
                <w:sz w:val="20"/>
                <w:szCs w:val="20"/>
                <w:vertAlign w:val="superscript"/>
              </w:rPr>
              <w:t>a</w:t>
            </w:r>
            <w:proofErr w:type="spellEnd"/>
            <w:r>
              <w:rPr>
                <w:rFonts w:ascii="Arial Narrow" w:hAnsi="Arial Narrow"/>
                <w:sz w:val="20"/>
                <w:szCs w:val="20"/>
              </w:rPr>
              <w:t xml:space="preserve"> </w:t>
            </w:r>
            <w:r w:rsidR="003E3E89">
              <w:rPr>
                <w:rFonts w:ascii="Arial Narrow" w:hAnsi="Arial Narrow"/>
                <w:sz w:val="20"/>
                <w:szCs w:val="20"/>
              </w:rPr>
              <w:t>days</w:t>
            </w:r>
            <w:r>
              <w:rPr>
                <w:rFonts w:ascii="Arial Narrow" w:hAnsi="Arial Narrow"/>
                <w:sz w:val="20"/>
                <w:szCs w:val="20"/>
              </w:rPr>
              <w:t>).</w:t>
            </w:r>
          </w:p>
        </w:tc>
        <w:tc>
          <w:tcPr>
            <w:tcW w:w="1276" w:type="dxa"/>
            <w:vAlign w:val="center"/>
          </w:tcPr>
          <w:p w:rsidR="00704840" w:rsidRPr="008B675D" w:rsidRDefault="00704840" w:rsidP="00863E22">
            <w:pPr>
              <w:keepNext/>
              <w:keepLines/>
              <w:jc w:val="center"/>
              <w:rPr>
                <w:rFonts w:ascii="Arial Narrow" w:hAnsi="Arial Narrow"/>
                <w:sz w:val="20"/>
                <w:szCs w:val="20"/>
              </w:rPr>
            </w:pPr>
            <w:r>
              <w:rPr>
                <w:rFonts w:ascii="Arial Narrow" w:hAnsi="Arial Narrow"/>
                <w:sz w:val="20"/>
                <w:szCs w:val="20"/>
              </w:rPr>
              <w:t>$</w:t>
            </w:r>
            <w:r w:rsidR="00405DA0">
              <w:rPr>
                <w:rFonts w:ascii="Arial Narrow" w:hAnsi="Arial Narrow"/>
                <w:noProof/>
                <w:color w:val="000000"/>
                <w:sz w:val="20"/>
                <w:szCs w:val="20"/>
                <w:highlight w:val="black"/>
              </w:rPr>
              <w:t>'''''''''''''''''''''</w:t>
            </w:r>
          </w:p>
        </w:tc>
        <w:tc>
          <w:tcPr>
            <w:tcW w:w="1399" w:type="dxa"/>
            <w:vAlign w:val="center"/>
          </w:tcPr>
          <w:p w:rsidR="00704840" w:rsidRDefault="00704840" w:rsidP="00863E22">
            <w:pPr>
              <w:keepNext/>
              <w:keepLines/>
              <w:jc w:val="center"/>
              <w:rPr>
                <w:rFonts w:ascii="Arial Narrow" w:hAnsi="Arial Narrow"/>
                <w:sz w:val="20"/>
                <w:szCs w:val="20"/>
              </w:rPr>
            </w:pPr>
            <w:r>
              <w:rPr>
                <w:rFonts w:ascii="Arial Narrow" w:hAnsi="Arial Narrow"/>
                <w:sz w:val="20"/>
                <w:szCs w:val="20"/>
              </w:rPr>
              <w:t xml:space="preserve">23.2% </w:t>
            </w:r>
          </w:p>
          <w:p w:rsidR="00704840" w:rsidRPr="008B675D" w:rsidRDefault="00704840" w:rsidP="00863E22">
            <w:pPr>
              <w:keepNext/>
              <w:keepLines/>
              <w:jc w:val="center"/>
              <w:rPr>
                <w:rFonts w:ascii="Arial Narrow" w:hAnsi="Arial Narrow"/>
                <w:sz w:val="20"/>
                <w:szCs w:val="20"/>
              </w:rPr>
            </w:pPr>
            <w:r>
              <w:rPr>
                <w:rFonts w:ascii="Arial Narrow" w:hAnsi="Arial Narrow"/>
                <w:sz w:val="20"/>
                <w:szCs w:val="20"/>
              </w:rPr>
              <w:t>(38.5%-15.3%)</w:t>
            </w:r>
          </w:p>
        </w:tc>
        <w:tc>
          <w:tcPr>
            <w:tcW w:w="1578" w:type="dxa"/>
            <w:vAlign w:val="center"/>
          </w:tcPr>
          <w:p w:rsidR="00704840" w:rsidRPr="008B675D" w:rsidRDefault="00704840" w:rsidP="00863E22">
            <w:pPr>
              <w:keepNext/>
              <w:keepLines/>
              <w:jc w:val="center"/>
              <w:rPr>
                <w:rFonts w:ascii="Arial Narrow" w:hAnsi="Arial Narrow"/>
                <w:sz w:val="20"/>
                <w:szCs w:val="20"/>
              </w:rPr>
            </w:pPr>
            <w:r>
              <w:rPr>
                <w:rFonts w:ascii="Arial Narrow" w:hAnsi="Arial Narrow"/>
                <w:sz w:val="20"/>
                <w:szCs w:val="20"/>
              </w:rPr>
              <w:t>$</w:t>
            </w:r>
            <w:r w:rsidR="00405DA0">
              <w:rPr>
                <w:rFonts w:ascii="Arial Narrow" w:hAnsi="Arial Narrow"/>
                <w:noProof/>
                <w:color w:val="000000"/>
                <w:sz w:val="20"/>
                <w:szCs w:val="20"/>
                <w:highlight w:val="black"/>
              </w:rPr>
              <w:t>'''''''''''''</w:t>
            </w:r>
            <w:r>
              <w:rPr>
                <w:rFonts w:ascii="Arial Narrow" w:hAnsi="Arial Narrow"/>
                <w:sz w:val="20"/>
                <w:szCs w:val="20"/>
              </w:rPr>
              <w:t xml:space="preserve"> per additional responder at 12 weeks</w:t>
            </w:r>
          </w:p>
        </w:tc>
      </w:tr>
      <w:tr w:rsidR="00704840" w:rsidRPr="008B675D" w:rsidTr="008330AD">
        <w:tc>
          <w:tcPr>
            <w:tcW w:w="8926" w:type="dxa"/>
            <w:gridSpan w:val="4"/>
            <w:vAlign w:val="center"/>
          </w:tcPr>
          <w:p w:rsidR="00704840" w:rsidRPr="008B675D" w:rsidRDefault="00704840" w:rsidP="00863E22">
            <w:pPr>
              <w:keepNext/>
              <w:keepLines/>
              <w:tabs>
                <w:tab w:val="left" w:pos="142"/>
              </w:tabs>
              <w:rPr>
                <w:rFonts w:ascii="Arial Narrow" w:hAnsi="Arial Narrow"/>
                <w:b/>
                <w:sz w:val="20"/>
                <w:szCs w:val="20"/>
              </w:rPr>
            </w:pPr>
            <w:r w:rsidRPr="008B675D">
              <w:rPr>
                <w:rFonts w:ascii="Arial Narrow" w:hAnsi="Arial Narrow"/>
                <w:b/>
                <w:sz w:val="20"/>
                <w:szCs w:val="20"/>
              </w:rPr>
              <w:t xml:space="preserve">2: Modelled analysis versus </w:t>
            </w:r>
            <w:r w:rsidR="007F4155">
              <w:rPr>
                <w:rFonts w:ascii="Arial Narrow" w:hAnsi="Arial Narrow"/>
                <w:b/>
                <w:sz w:val="20"/>
                <w:szCs w:val="20"/>
              </w:rPr>
              <w:t>BSC</w:t>
            </w:r>
            <w:r w:rsidR="003B686D">
              <w:rPr>
                <w:rFonts w:ascii="Arial Narrow" w:hAnsi="Arial Narrow"/>
                <w:b/>
                <w:sz w:val="20"/>
                <w:szCs w:val="20"/>
              </w:rPr>
              <w:t xml:space="preserve"> (subgroup population)</w:t>
            </w:r>
          </w:p>
        </w:tc>
      </w:tr>
      <w:tr w:rsidR="00704840" w:rsidRPr="00C738EC" w:rsidTr="008330AD">
        <w:tc>
          <w:tcPr>
            <w:tcW w:w="4673" w:type="dxa"/>
            <w:vAlign w:val="center"/>
          </w:tcPr>
          <w:p w:rsidR="00704840" w:rsidRPr="008B675D" w:rsidRDefault="00704840" w:rsidP="00863E22">
            <w:pPr>
              <w:keepNext/>
              <w:keepLines/>
              <w:tabs>
                <w:tab w:val="left" w:pos="142"/>
              </w:tabs>
              <w:rPr>
                <w:rFonts w:ascii="Arial Narrow" w:hAnsi="Arial Narrow"/>
                <w:sz w:val="20"/>
                <w:szCs w:val="20"/>
              </w:rPr>
            </w:pPr>
            <w:r>
              <w:rPr>
                <w:rFonts w:ascii="Arial Narrow" w:hAnsi="Arial Narrow"/>
                <w:sz w:val="20"/>
                <w:szCs w:val="20"/>
              </w:rPr>
              <w:tab/>
              <w:t>2a: 6 months duration</w:t>
            </w:r>
          </w:p>
        </w:tc>
        <w:tc>
          <w:tcPr>
            <w:tcW w:w="1276" w:type="dxa"/>
          </w:tcPr>
          <w:p w:rsidR="00704840" w:rsidRPr="00C738EC" w:rsidRDefault="00704840" w:rsidP="00863E22">
            <w:pPr>
              <w:keepNext/>
              <w:keepLines/>
              <w:jc w:val="center"/>
              <w:rPr>
                <w:rFonts w:ascii="Arial Narrow" w:hAnsi="Arial Narrow"/>
                <w:sz w:val="20"/>
                <w:szCs w:val="20"/>
              </w:rPr>
            </w:pPr>
            <w:r w:rsidRPr="00C738EC">
              <w:rPr>
                <w:rFonts w:ascii="Arial Narrow" w:hAnsi="Arial Narrow"/>
                <w:sz w:val="20"/>
                <w:szCs w:val="20"/>
              </w:rPr>
              <w:t>$</w:t>
            </w:r>
            <w:r w:rsidR="00405DA0">
              <w:rPr>
                <w:rFonts w:ascii="Arial Narrow" w:hAnsi="Arial Narrow"/>
                <w:noProof/>
                <w:color w:val="000000"/>
                <w:sz w:val="20"/>
                <w:szCs w:val="20"/>
                <w:highlight w:val="black"/>
              </w:rPr>
              <w:t>'''''''''''''</w:t>
            </w:r>
          </w:p>
        </w:tc>
        <w:tc>
          <w:tcPr>
            <w:tcW w:w="1399" w:type="dxa"/>
          </w:tcPr>
          <w:p w:rsidR="00704840" w:rsidRPr="00405DA0" w:rsidRDefault="00405DA0" w:rsidP="00863E22">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78" w:type="dxa"/>
          </w:tcPr>
          <w:p w:rsidR="00704840" w:rsidRPr="00C738EC" w:rsidRDefault="00704840" w:rsidP="00863E22">
            <w:pPr>
              <w:keepNext/>
              <w:keepLines/>
              <w:jc w:val="center"/>
              <w:rPr>
                <w:rFonts w:ascii="Arial Narrow" w:hAnsi="Arial Narrow"/>
                <w:sz w:val="20"/>
                <w:szCs w:val="20"/>
              </w:rPr>
            </w:pPr>
            <w:r w:rsidRPr="00C738EC">
              <w:rPr>
                <w:rFonts w:ascii="Arial Narrow" w:hAnsi="Arial Narrow"/>
                <w:sz w:val="20"/>
                <w:szCs w:val="20"/>
              </w:rPr>
              <w:t>$</w:t>
            </w:r>
            <w:r w:rsidR="00405DA0">
              <w:rPr>
                <w:rFonts w:ascii="Arial Narrow" w:hAnsi="Arial Narrow"/>
                <w:noProof/>
                <w:color w:val="000000"/>
                <w:sz w:val="20"/>
                <w:szCs w:val="20"/>
                <w:highlight w:val="black"/>
              </w:rPr>
              <w:t>''''''''''''''''''</w:t>
            </w:r>
            <w:r w:rsidR="003B686D">
              <w:rPr>
                <w:rFonts w:ascii="Arial Narrow" w:hAnsi="Arial Narrow"/>
                <w:sz w:val="20"/>
                <w:szCs w:val="20"/>
              </w:rPr>
              <w:t>/QALY</w:t>
            </w:r>
          </w:p>
        </w:tc>
      </w:tr>
      <w:tr w:rsidR="00704840" w:rsidRPr="00C738EC" w:rsidTr="008330AD">
        <w:tc>
          <w:tcPr>
            <w:tcW w:w="4673" w:type="dxa"/>
            <w:vAlign w:val="center"/>
          </w:tcPr>
          <w:p w:rsidR="00704840" w:rsidRPr="008B675D" w:rsidRDefault="00704840" w:rsidP="00863E22">
            <w:pPr>
              <w:keepNext/>
              <w:keepLines/>
              <w:tabs>
                <w:tab w:val="left" w:pos="142"/>
              </w:tabs>
              <w:rPr>
                <w:rFonts w:ascii="Arial Narrow" w:hAnsi="Arial Narrow"/>
                <w:sz w:val="20"/>
                <w:szCs w:val="20"/>
              </w:rPr>
            </w:pPr>
            <w:r>
              <w:rPr>
                <w:rFonts w:ascii="Arial Narrow" w:hAnsi="Arial Narrow"/>
                <w:sz w:val="20"/>
                <w:szCs w:val="20"/>
              </w:rPr>
              <w:tab/>
              <w:t>2b: 1 year duration</w:t>
            </w:r>
          </w:p>
        </w:tc>
        <w:tc>
          <w:tcPr>
            <w:tcW w:w="1276" w:type="dxa"/>
          </w:tcPr>
          <w:p w:rsidR="00704840" w:rsidRPr="00C738EC" w:rsidRDefault="00704840" w:rsidP="00863E22">
            <w:pPr>
              <w:keepNext/>
              <w:keepLines/>
              <w:jc w:val="center"/>
              <w:rPr>
                <w:rFonts w:ascii="Arial Narrow" w:hAnsi="Arial Narrow"/>
                <w:sz w:val="20"/>
                <w:szCs w:val="20"/>
              </w:rPr>
            </w:pPr>
            <w:r w:rsidRPr="00C738EC">
              <w:rPr>
                <w:rFonts w:ascii="Arial Narrow" w:hAnsi="Arial Narrow"/>
                <w:sz w:val="20"/>
                <w:szCs w:val="20"/>
              </w:rPr>
              <w:t>$</w:t>
            </w:r>
            <w:r w:rsidR="00405DA0">
              <w:rPr>
                <w:rFonts w:ascii="Arial Narrow" w:hAnsi="Arial Narrow"/>
                <w:noProof/>
                <w:color w:val="000000"/>
                <w:sz w:val="20"/>
                <w:szCs w:val="20"/>
                <w:highlight w:val="black"/>
              </w:rPr>
              <w:t>''''''''''''''</w:t>
            </w:r>
          </w:p>
        </w:tc>
        <w:tc>
          <w:tcPr>
            <w:tcW w:w="1399" w:type="dxa"/>
          </w:tcPr>
          <w:p w:rsidR="00704840" w:rsidRPr="00405DA0" w:rsidRDefault="00405DA0" w:rsidP="00863E22">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78" w:type="dxa"/>
          </w:tcPr>
          <w:p w:rsidR="00704840" w:rsidRPr="00C738EC" w:rsidRDefault="00704840" w:rsidP="00863E22">
            <w:pPr>
              <w:keepNext/>
              <w:keepLines/>
              <w:jc w:val="center"/>
              <w:rPr>
                <w:rFonts w:ascii="Arial Narrow" w:hAnsi="Arial Narrow"/>
                <w:sz w:val="20"/>
                <w:szCs w:val="20"/>
              </w:rPr>
            </w:pPr>
            <w:r w:rsidRPr="00C738EC">
              <w:rPr>
                <w:rFonts w:ascii="Arial Narrow" w:hAnsi="Arial Narrow"/>
                <w:sz w:val="20"/>
                <w:szCs w:val="20"/>
              </w:rPr>
              <w:t>$</w:t>
            </w:r>
            <w:r w:rsidR="00405DA0">
              <w:rPr>
                <w:rFonts w:ascii="Arial Narrow" w:hAnsi="Arial Narrow"/>
                <w:noProof/>
                <w:color w:val="000000"/>
                <w:sz w:val="20"/>
                <w:szCs w:val="20"/>
                <w:highlight w:val="black"/>
              </w:rPr>
              <w:t>''''''''''''''''</w:t>
            </w:r>
            <w:r w:rsidR="003B686D">
              <w:rPr>
                <w:rFonts w:ascii="Arial Narrow" w:hAnsi="Arial Narrow"/>
                <w:sz w:val="20"/>
                <w:szCs w:val="20"/>
              </w:rPr>
              <w:t>/QALY</w:t>
            </w:r>
          </w:p>
        </w:tc>
      </w:tr>
      <w:tr w:rsidR="00704840" w:rsidRPr="00C738EC" w:rsidTr="008330AD">
        <w:tc>
          <w:tcPr>
            <w:tcW w:w="4673" w:type="dxa"/>
            <w:vAlign w:val="center"/>
          </w:tcPr>
          <w:p w:rsidR="00704840" w:rsidRPr="008B675D" w:rsidRDefault="00704840" w:rsidP="00863E22">
            <w:pPr>
              <w:keepNext/>
              <w:keepLines/>
              <w:tabs>
                <w:tab w:val="left" w:pos="142"/>
              </w:tabs>
              <w:rPr>
                <w:rFonts w:ascii="Arial Narrow" w:hAnsi="Arial Narrow"/>
                <w:sz w:val="20"/>
                <w:szCs w:val="20"/>
              </w:rPr>
            </w:pPr>
            <w:r>
              <w:rPr>
                <w:rFonts w:ascii="Arial Narrow" w:hAnsi="Arial Narrow"/>
                <w:sz w:val="20"/>
                <w:szCs w:val="20"/>
              </w:rPr>
              <w:tab/>
              <w:t>2c: 3 years duration</w:t>
            </w:r>
          </w:p>
        </w:tc>
        <w:tc>
          <w:tcPr>
            <w:tcW w:w="1276" w:type="dxa"/>
          </w:tcPr>
          <w:p w:rsidR="00704840" w:rsidRPr="00C738EC" w:rsidRDefault="00704840" w:rsidP="00863E22">
            <w:pPr>
              <w:keepNext/>
              <w:keepLines/>
              <w:jc w:val="center"/>
              <w:rPr>
                <w:rFonts w:ascii="Arial Narrow" w:hAnsi="Arial Narrow"/>
                <w:sz w:val="20"/>
                <w:szCs w:val="20"/>
              </w:rPr>
            </w:pPr>
            <w:r w:rsidRPr="00C738EC">
              <w:rPr>
                <w:rFonts w:ascii="Arial Narrow" w:hAnsi="Arial Narrow"/>
                <w:sz w:val="20"/>
                <w:szCs w:val="20"/>
              </w:rPr>
              <w:t>$</w:t>
            </w:r>
            <w:r w:rsidR="00405DA0">
              <w:rPr>
                <w:rFonts w:ascii="Arial Narrow" w:hAnsi="Arial Narrow"/>
                <w:noProof/>
                <w:color w:val="000000"/>
                <w:sz w:val="20"/>
                <w:szCs w:val="20"/>
                <w:highlight w:val="black"/>
              </w:rPr>
              <w:t>''''''''''''</w:t>
            </w:r>
          </w:p>
        </w:tc>
        <w:tc>
          <w:tcPr>
            <w:tcW w:w="1399" w:type="dxa"/>
          </w:tcPr>
          <w:p w:rsidR="00704840" w:rsidRPr="00405DA0" w:rsidRDefault="00405DA0" w:rsidP="00863E22">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578" w:type="dxa"/>
          </w:tcPr>
          <w:p w:rsidR="00704840" w:rsidRPr="00C738EC" w:rsidRDefault="00704840" w:rsidP="00863E22">
            <w:pPr>
              <w:keepNext/>
              <w:keepLines/>
              <w:jc w:val="center"/>
              <w:rPr>
                <w:rFonts w:ascii="Arial Narrow" w:hAnsi="Arial Narrow"/>
                <w:sz w:val="20"/>
                <w:szCs w:val="20"/>
              </w:rPr>
            </w:pPr>
            <w:r w:rsidRPr="00C738EC">
              <w:rPr>
                <w:rFonts w:ascii="Arial Narrow" w:hAnsi="Arial Narrow"/>
                <w:sz w:val="20"/>
                <w:szCs w:val="20"/>
              </w:rPr>
              <w:t>$</w:t>
            </w:r>
            <w:r w:rsidR="00405DA0">
              <w:rPr>
                <w:rFonts w:ascii="Arial Narrow" w:hAnsi="Arial Narrow"/>
                <w:noProof/>
                <w:color w:val="000000"/>
                <w:sz w:val="20"/>
                <w:szCs w:val="20"/>
                <w:highlight w:val="black"/>
              </w:rPr>
              <w:t>'''''''''''''''''</w:t>
            </w:r>
            <w:r w:rsidR="003B686D">
              <w:rPr>
                <w:rFonts w:ascii="Arial Narrow" w:hAnsi="Arial Narrow"/>
                <w:sz w:val="20"/>
                <w:szCs w:val="20"/>
              </w:rPr>
              <w:t>/QALY</w:t>
            </w:r>
          </w:p>
        </w:tc>
      </w:tr>
      <w:tr w:rsidR="00704840" w:rsidRPr="00C738EC" w:rsidTr="008330AD">
        <w:tc>
          <w:tcPr>
            <w:tcW w:w="4673" w:type="dxa"/>
            <w:vAlign w:val="center"/>
          </w:tcPr>
          <w:p w:rsidR="00704840" w:rsidRPr="00704840" w:rsidRDefault="00704840" w:rsidP="00863E22">
            <w:pPr>
              <w:keepNext/>
              <w:keepLines/>
              <w:tabs>
                <w:tab w:val="left" w:pos="142"/>
              </w:tabs>
              <w:rPr>
                <w:rFonts w:ascii="Arial Narrow" w:hAnsi="Arial Narrow"/>
                <w:b/>
                <w:sz w:val="20"/>
                <w:szCs w:val="20"/>
              </w:rPr>
            </w:pPr>
            <w:r w:rsidRPr="00704840">
              <w:rPr>
                <w:rFonts w:ascii="Arial Narrow" w:hAnsi="Arial Narrow"/>
                <w:b/>
                <w:sz w:val="20"/>
                <w:szCs w:val="20"/>
              </w:rPr>
              <w:tab/>
              <w:t>2d: 5 years duration (base case)</w:t>
            </w:r>
          </w:p>
        </w:tc>
        <w:tc>
          <w:tcPr>
            <w:tcW w:w="1276" w:type="dxa"/>
          </w:tcPr>
          <w:p w:rsidR="00704840" w:rsidRPr="00704840" w:rsidRDefault="00704840" w:rsidP="00863E22">
            <w:pPr>
              <w:keepNext/>
              <w:keepLines/>
              <w:jc w:val="center"/>
              <w:rPr>
                <w:rFonts w:ascii="Arial Narrow" w:hAnsi="Arial Narrow"/>
                <w:b/>
                <w:sz w:val="20"/>
                <w:szCs w:val="20"/>
              </w:rPr>
            </w:pPr>
            <w:r w:rsidRPr="00704840">
              <w:rPr>
                <w:rFonts w:ascii="Arial Narrow" w:hAnsi="Arial Narrow"/>
                <w:b/>
                <w:sz w:val="20"/>
                <w:szCs w:val="20"/>
              </w:rPr>
              <w:t>$</w:t>
            </w:r>
            <w:r w:rsidR="00405DA0">
              <w:rPr>
                <w:rFonts w:ascii="Arial Narrow" w:hAnsi="Arial Narrow"/>
                <w:b/>
                <w:noProof/>
                <w:color w:val="000000"/>
                <w:sz w:val="20"/>
                <w:szCs w:val="20"/>
                <w:highlight w:val="black"/>
              </w:rPr>
              <w:t>''''''''''''</w:t>
            </w:r>
          </w:p>
        </w:tc>
        <w:tc>
          <w:tcPr>
            <w:tcW w:w="1399" w:type="dxa"/>
          </w:tcPr>
          <w:p w:rsidR="00704840" w:rsidRPr="00405DA0" w:rsidRDefault="00405DA0" w:rsidP="00863E22">
            <w:pPr>
              <w:keepNext/>
              <w:keepLines/>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1578" w:type="dxa"/>
          </w:tcPr>
          <w:p w:rsidR="00704840" w:rsidRPr="00704840" w:rsidRDefault="00704840" w:rsidP="00863E22">
            <w:pPr>
              <w:keepNext/>
              <w:keepLines/>
              <w:jc w:val="center"/>
              <w:rPr>
                <w:rFonts w:ascii="Arial Narrow" w:hAnsi="Arial Narrow"/>
                <w:b/>
                <w:sz w:val="20"/>
                <w:szCs w:val="20"/>
              </w:rPr>
            </w:pPr>
            <w:r w:rsidRPr="00704840">
              <w:rPr>
                <w:rFonts w:ascii="Arial Narrow" w:hAnsi="Arial Narrow"/>
                <w:b/>
                <w:sz w:val="20"/>
                <w:szCs w:val="20"/>
              </w:rPr>
              <w:t>$</w:t>
            </w:r>
            <w:r w:rsidR="00405DA0">
              <w:rPr>
                <w:rFonts w:ascii="Arial Narrow" w:hAnsi="Arial Narrow"/>
                <w:b/>
                <w:noProof/>
                <w:color w:val="000000"/>
                <w:sz w:val="20"/>
                <w:szCs w:val="20"/>
                <w:highlight w:val="black"/>
              </w:rPr>
              <w:t>''''''''''''</w:t>
            </w:r>
            <w:r w:rsidR="003B686D">
              <w:rPr>
                <w:rFonts w:ascii="Arial Narrow" w:hAnsi="Arial Narrow"/>
                <w:b/>
                <w:sz w:val="20"/>
                <w:szCs w:val="20"/>
              </w:rPr>
              <w:t>/QALY</w:t>
            </w:r>
          </w:p>
        </w:tc>
      </w:tr>
    </w:tbl>
    <w:p w:rsidR="00F00449" w:rsidRPr="00D061B9" w:rsidRDefault="00F00449" w:rsidP="00863E22">
      <w:pPr>
        <w:pStyle w:val="TableFooter"/>
        <w:keepNext/>
        <w:keepLines/>
        <w:tabs>
          <w:tab w:val="left" w:pos="142"/>
        </w:tabs>
        <w:ind w:left="142" w:hanging="142"/>
      </w:pPr>
      <w:r w:rsidRPr="00DD5D20">
        <w:rPr>
          <w:vertAlign w:val="superscript"/>
        </w:rPr>
        <w:t>a</w:t>
      </w:r>
      <w:r w:rsidRPr="00DD5D20">
        <w:tab/>
      </w:r>
      <w:r w:rsidRPr="00D061B9">
        <w:t>Table 3.30 of the resubmission (p128) had labelled this outcome as monthly headache days however the values used were for monthly migraine days.</w:t>
      </w:r>
    </w:p>
    <w:p w:rsidR="00F00449" w:rsidRDefault="00F00449" w:rsidP="00863E22">
      <w:pPr>
        <w:pStyle w:val="TableFooter"/>
        <w:keepNext/>
        <w:keepLines/>
      </w:pPr>
      <w:r>
        <w:t>BSC=best supportive care</w:t>
      </w:r>
    </w:p>
    <w:p w:rsidR="00D110BD" w:rsidRDefault="00CD793C" w:rsidP="00863E22">
      <w:pPr>
        <w:pStyle w:val="TableFooter"/>
        <w:keepNext/>
        <w:keepLines/>
      </w:pPr>
      <w:r>
        <w:t xml:space="preserve">Source: </w:t>
      </w:r>
      <w:r w:rsidR="00F00449">
        <w:t>Table 3.30, p128 of the resubmission.</w:t>
      </w:r>
      <w:r w:rsidR="007B598D">
        <w:t xml:space="preserve"> </w:t>
      </w:r>
    </w:p>
    <w:p w:rsidR="00D87FED" w:rsidRPr="00D110BD" w:rsidRDefault="00D87FED" w:rsidP="00D87FED">
      <w:pPr>
        <w:pStyle w:val="TableFooter"/>
      </w:pPr>
    </w:p>
    <w:p w:rsidR="00874C7C" w:rsidRPr="00863E22" w:rsidRDefault="00874C7C" w:rsidP="00874C7C">
      <w:pPr>
        <w:spacing w:after="120"/>
      </w:pPr>
      <w:r w:rsidRPr="00863E22">
        <w:t xml:space="preserve">The redacted table shows ICERs per QALY in the range of $15,000 to $200,000. </w:t>
      </w:r>
    </w:p>
    <w:p w:rsidR="005A373D" w:rsidRPr="00D061B9" w:rsidRDefault="00756534" w:rsidP="008C17FD">
      <w:pPr>
        <w:pStyle w:val="ListParagraph"/>
        <w:numPr>
          <w:ilvl w:val="1"/>
          <w:numId w:val="2"/>
        </w:numPr>
        <w:spacing w:after="120"/>
      </w:pPr>
      <w:r w:rsidRPr="00D061B9">
        <w:t xml:space="preserve">The base case ICER versus </w:t>
      </w:r>
      <w:r w:rsidR="007F4155">
        <w:t>BSC</w:t>
      </w:r>
      <w:r w:rsidR="006838B2">
        <w:t xml:space="preserve"> in the resubmission</w:t>
      </w:r>
      <w:r w:rsidRPr="00D061B9">
        <w:t xml:space="preserve"> </w:t>
      </w:r>
      <w:r w:rsidR="006838B2">
        <w:t>wa</w:t>
      </w:r>
      <w:r w:rsidRPr="00D061B9">
        <w:t xml:space="preserve">s not likely to accurately represent the cost-effectiveness of </w:t>
      </w:r>
      <w:proofErr w:type="spellStart"/>
      <w:r w:rsidRPr="00D061B9">
        <w:t>erenumab</w:t>
      </w:r>
      <w:proofErr w:type="spellEnd"/>
      <w:r w:rsidRPr="00D061B9">
        <w:t>, given the following:</w:t>
      </w:r>
      <w:r w:rsidR="00A86E8B" w:rsidRPr="00D061B9">
        <w:t xml:space="preserve"> </w:t>
      </w:r>
    </w:p>
    <w:p w:rsidR="00756534" w:rsidRPr="00DD5D20" w:rsidRDefault="005B49AC" w:rsidP="008330AD">
      <w:pPr>
        <w:pStyle w:val="Bulletpoints"/>
        <w:spacing w:after="120"/>
        <w:ind w:left="1134" w:hanging="283"/>
      </w:pPr>
      <w:r w:rsidRPr="00D061B9">
        <w:t xml:space="preserve">While the basis of the MMD distributions used to determine resource usage costs and utility values were modified to be sourced from Study 295 subgroup data, the plausibility of the distributions </w:t>
      </w:r>
      <w:r w:rsidR="00AE2135" w:rsidRPr="00D061B9">
        <w:t>remained</w:t>
      </w:r>
      <w:r w:rsidRPr="00D061B9">
        <w:t xml:space="preserve"> questionable.</w:t>
      </w:r>
      <w:r w:rsidR="0012519B" w:rsidRPr="00D061B9">
        <w:t xml:space="preserve"> </w:t>
      </w:r>
      <w:r w:rsidR="00950BF0" w:rsidRPr="00D061B9">
        <w:t>There were</w:t>
      </w:r>
      <w:r w:rsidR="0012519B" w:rsidRPr="00D061B9">
        <w:t xml:space="preserve"> unrealistically high MMDs for responders, as well as values of 28 MMDs for a small proportion of responders and close to 30% of responders with just one MMD. </w:t>
      </w:r>
    </w:p>
    <w:p w:rsidR="005B49AC" w:rsidRPr="00D061B9" w:rsidRDefault="00013FBB" w:rsidP="008330AD">
      <w:pPr>
        <w:pStyle w:val="Bulletpoints"/>
        <w:spacing w:after="120"/>
        <w:ind w:left="1134" w:hanging="283"/>
      </w:pPr>
      <w:r w:rsidRPr="00D061B9">
        <w:t xml:space="preserve">The evidence cited by the resubmission to support ongoing maintenance of response with </w:t>
      </w:r>
      <w:proofErr w:type="spellStart"/>
      <w:r w:rsidRPr="00D061B9">
        <w:t>erenumab</w:t>
      </w:r>
      <w:proofErr w:type="spellEnd"/>
      <w:r w:rsidRPr="00D061B9">
        <w:t xml:space="preserve"> (Study 255) did not adequately demonstrate the maintenance of benefit</w:t>
      </w:r>
      <w:r w:rsidR="00645574" w:rsidRPr="00D061B9">
        <w:t>. The open-label extension study was designed to assess occurrence of AEs and did not asse</w:t>
      </w:r>
      <w:r w:rsidR="00CD793C">
        <w:t xml:space="preserve">ss treatment effect over time. </w:t>
      </w:r>
      <w:r w:rsidR="00645574" w:rsidRPr="00D061B9">
        <w:t>In addition, the number of patients in the 140</w:t>
      </w:r>
      <w:r w:rsidR="0020512F">
        <w:t xml:space="preserve"> </w:t>
      </w:r>
      <w:r w:rsidR="00645574" w:rsidRPr="00D061B9">
        <w:t>mg dose group was small (</w:t>
      </w:r>
      <w:r w:rsidR="00405DA0">
        <w:rPr>
          <w:noProof/>
          <w:color w:val="000000"/>
          <w:highlight w:val="black"/>
        </w:rPr>
        <w:t>'''''''</w:t>
      </w:r>
      <w:r w:rsidR="00645574" w:rsidRPr="00D061B9">
        <w:t>)</w:t>
      </w:r>
      <w:r w:rsidR="00AE28A1" w:rsidRPr="00D061B9">
        <w:t xml:space="preserve"> and data </w:t>
      </w:r>
      <w:r w:rsidR="00D91491">
        <w:t>were</w:t>
      </w:r>
      <w:r w:rsidR="00D91491" w:rsidRPr="00D061B9">
        <w:t xml:space="preserve"> </w:t>
      </w:r>
      <w:r w:rsidR="00AE28A1" w:rsidRPr="00D061B9">
        <w:t>available for only one year.</w:t>
      </w:r>
      <w:r w:rsidR="00645574" w:rsidRPr="00D061B9">
        <w:t xml:space="preserve"> </w:t>
      </w:r>
    </w:p>
    <w:p w:rsidR="002537E1" w:rsidRPr="00D061B9" w:rsidRDefault="00597010" w:rsidP="008330AD">
      <w:pPr>
        <w:pStyle w:val="Bulletpoints"/>
        <w:spacing w:after="120"/>
        <w:ind w:left="1134" w:hanging="283"/>
      </w:pPr>
      <w:r w:rsidRPr="00D061B9">
        <w:t>The resubmission continued to apply rates of discontinuation sourced from the overall trial population and Study 255</w:t>
      </w:r>
      <w:r w:rsidR="002073CD">
        <w:t xml:space="preserve"> rather than the subgroup population</w:t>
      </w:r>
      <w:r w:rsidRPr="00D061B9">
        <w:t>.</w:t>
      </w:r>
      <w:r w:rsidR="00FB6D35" w:rsidRPr="00D061B9">
        <w:t xml:space="preserve"> </w:t>
      </w:r>
    </w:p>
    <w:p w:rsidR="00C56B2B" w:rsidRDefault="005B49AC" w:rsidP="008330AD">
      <w:pPr>
        <w:pStyle w:val="Bulletpoints"/>
        <w:spacing w:after="120"/>
        <w:ind w:left="1134" w:hanging="283"/>
      </w:pPr>
      <w:r w:rsidRPr="00D061B9">
        <w:t xml:space="preserve">The clinical evidence upon which the revised model was based (proportion of patients with ≥50% reduction in </w:t>
      </w:r>
      <w:r w:rsidR="00D91491">
        <w:t>MMDs</w:t>
      </w:r>
      <w:r w:rsidRPr="00D061B9">
        <w:t xml:space="preserve"> in the subgroup of Study 295) may not accurately reflect the effectiveness of </w:t>
      </w:r>
      <w:proofErr w:type="spellStart"/>
      <w:r w:rsidRPr="00D061B9">
        <w:t>erenumab</w:t>
      </w:r>
      <w:proofErr w:type="spellEnd"/>
      <w:r w:rsidRPr="00D061B9">
        <w:t xml:space="preserve"> in clinical practice.</w:t>
      </w:r>
    </w:p>
    <w:p w:rsidR="00D32B0D" w:rsidRPr="00DD5D20" w:rsidRDefault="00D32B0D" w:rsidP="008330AD">
      <w:pPr>
        <w:pStyle w:val="Bulletpoints"/>
        <w:spacing w:after="120"/>
        <w:ind w:left="1134" w:hanging="283"/>
      </w:pPr>
      <w:r w:rsidRPr="00DD5D20">
        <w:t xml:space="preserve">The ESC noted no costs associated with the administration of </w:t>
      </w:r>
      <w:proofErr w:type="spellStart"/>
      <w:r w:rsidRPr="00DD5D20">
        <w:t>erenumab</w:t>
      </w:r>
      <w:proofErr w:type="spellEnd"/>
      <w:r w:rsidRPr="00DD5D20">
        <w:t xml:space="preserve"> were included in the model and considered it may be appropriate to include some costs (i.e., an initial clinician visit to learn how to self-administer and wastage associated with self-administration). </w:t>
      </w:r>
    </w:p>
    <w:p w:rsidR="00984033" w:rsidRPr="00DD5D20" w:rsidRDefault="00984033" w:rsidP="008C17FD">
      <w:pPr>
        <w:pStyle w:val="ListParagraph"/>
        <w:numPr>
          <w:ilvl w:val="1"/>
          <w:numId w:val="2"/>
        </w:numPr>
        <w:spacing w:after="120"/>
      </w:pPr>
      <w:r w:rsidRPr="00DD5D20">
        <w:t xml:space="preserve">The ESC noted a number of concerns regarding the utilities included in the model: </w:t>
      </w:r>
    </w:p>
    <w:p w:rsidR="00984033" w:rsidRPr="00DD5D20" w:rsidRDefault="00984033" w:rsidP="008C17FD">
      <w:pPr>
        <w:pStyle w:val="ListParagraph"/>
        <w:numPr>
          <w:ilvl w:val="0"/>
          <w:numId w:val="10"/>
        </w:numPr>
        <w:spacing w:after="120"/>
        <w:ind w:left="1134" w:hanging="283"/>
      </w:pPr>
      <w:r w:rsidRPr="00DD5D20">
        <w:t xml:space="preserve">Utilities were mapped from the Migraine Specific Quality of Life Questionnaire (MSQ) data collected in Study 295 to UK-5D values using a published algorithm. </w:t>
      </w:r>
      <w:r w:rsidRPr="00DD5D20">
        <w:lastRenderedPageBreak/>
        <w:t xml:space="preserve">However, it was unclear whether the MSQ data from Study 295 was based on the overall trial population or the nominated subgroup. </w:t>
      </w:r>
    </w:p>
    <w:p w:rsidR="00984033" w:rsidRPr="00DD5D20" w:rsidRDefault="00984033" w:rsidP="008C17FD">
      <w:pPr>
        <w:pStyle w:val="ListParagraph"/>
        <w:numPr>
          <w:ilvl w:val="0"/>
          <w:numId w:val="10"/>
        </w:numPr>
        <w:spacing w:after="120"/>
        <w:ind w:left="1134" w:hanging="283"/>
      </w:pPr>
      <w:r w:rsidRPr="00DD5D20">
        <w:t>The resubmission did not consider the severity of headache in its determination of utility values</w:t>
      </w:r>
      <w:r w:rsidR="00D91491">
        <w:t>,</w:t>
      </w:r>
      <w:r w:rsidR="00D91491" w:rsidRPr="00D91491">
        <w:t xml:space="preserve"> </w:t>
      </w:r>
      <w:r w:rsidR="00D91491" w:rsidRPr="00DD5D20">
        <w:t>even though it has been shown to have a large impact on utility</w:t>
      </w:r>
      <w:r w:rsidR="00D91491" w:rsidRPr="00DD5D20">
        <w:rPr>
          <w:rStyle w:val="FootnoteReference"/>
        </w:rPr>
        <w:footnoteReference w:id="10"/>
      </w:r>
      <w:r w:rsidRPr="00DD5D20">
        <w:t>. The PSCR stated incorporating severity of headache would be an unnecessary complication of the model</w:t>
      </w:r>
      <w:r w:rsidR="00780941" w:rsidRPr="00DD5D20">
        <w:t>.</w:t>
      </w:r>
    </w:p>
    <w:p w:rsidR="00984033" w:rsidRPr="00780941" w:rsidRDefault="00984033" w:rsidP="008C17FD">
      <w:pPr>
        <w:pStyle w:val="ListParagraph"/>
        <w:numPr>
          <w:ilvl w:val="0"/>
          <w:numId w:val="10"/>
        </w:numPr>
        <w:spacing w:after="120"/>
        <w:ind w:left="1134" w:hanging="283"/>
      </w:pPr>
      <w:r w:rsidRPr="00DD5D20">
        <w:t xml:space="preserve">Alternative sources of utilities that </w:t>
      </w:r>
      <w:r w:rsidR="00D60089" w:rsidRPr="00DD5D20">
        <w:t xml:space="preserve">could have been used in the model, </w:t>
      </w:r>
      <w:r w:rsidR="00954BF5" w:rsidRPr="00DD5D20">
        <w:t xml:space="preserve">or in </w:t>
      </w:r>
      <w:r w:rsidR="00D60089" w:rsidRPr="00DD5D20">
        <w:t>sensitivity analys</w:t>
      </w:r>
      <w:r w:rsidR="00954BF5" w:rsidRPr="00DD5D20">
        <w:t>e</w:t>
      </w:r>
      <w:r w:rsidR="00D60089" w:rsidRPr="00DD5D20">
        <w:t>s</w:t>
      </w:r>
      <w:r w:rsidR="00F9222A" w:rsidRPr="00DD5D20">
        <w:t>,</w:t>
      </w:r>
      <w:r w:rsidR="00D60089" w:rsidRPr="00DD5D20">
        <w:t xml:space="preserve"> were not</w:t>
      </w:r>
      <w:r w:rsidRPr="00DD5D20">
        <w:t xml:space="preserve"> discussed in the submission</w:t>
      </w:r>
      <w:r w:rsidRPr="00780941">
        <w:t>.</w:t>
      </w:r>
      <w:r w:rsidR="008C17FD">
        <w:t xml:space="preserve"> </w:t>
      </w:r>
    </w:p>
    <w:p w:rsidR="008A4C19" w:rsidRDefault="008A4C19" w:rsidP="008C17FD">
      <w:pPr>
        <w:pStyle w:val="ListParagraph"/>
        <w:numPr>
          <w:ilvl w:val="1"/>
          <w:numId w:val="2"/>
        </w:numPr>
        <w:spacing w:after="120"/>
      </w:pPr>
      <w:r w:rsidRPr="00D061B9">
        <w:t xml:space="preserve">The model estimated an average incremental </w:t>
      </w:r>
      <w:r w:rsidRPr="00E30E28">
        <w:t xml:space="preserve">reduction of </w:t>
      </w:r>
      <w:r w:rsidR="00405DA0">
        <w:rPr>
          <w:noProof/>
          <w:color w:val="000000"/>
          <w:highlight w:val="black"/>
        </w:rPr>
        <w:t>'''''''</w:t>
      </w:r>
      <w:r w:rsidRPr="00E30E28">
        <w:t xml:space="preserve"> migraine</w:t>
      </w:r>
      <w:r w:rsidRPr="00D061B9">
        <w:t xml:space="preserve"> days over 5 years, which equates </w:t>
      </w:r>
      <w:proofErr w:type="gramStart"/>
      <w:r w:rsidRPr="00D061B9">
        <w:t>to</w:t>
      </w:r>
      <w:proofErr w:type="gramEnd"/>
      <w:r w:rsidRPr="00D061B9">
        <w:t xml:space="preserve"> approximately </w:t>
      </w:r>
      <w:r w:rsidR="00405DA0">
        <w:rPr>
          <w:noProof/>
          <w:color w:val="000000"/>
          <w:highlight w:val="black"/>
        </w:rPr>
        <w:t>''''''</w:t>
      </w:r>
      <w:r w:rsidRPr="00D061B9">
        <w:t xml:space="preserve"> less migraine days per month for </w:t>
      </w:r>
      <w:proofErr w:type="spellStart"/>
      <w:r w:rsidRPr="00D061B9">
        <w:t>erenumab</w:t>
      </w:r>
      <w:proofErr w:type="spellEnd"/>
      <w:r w:rsidRPr="00D061B9">
        <w:t xml:space="preserve">-treated patients. This was less than the reduction of approximately 4.2 migraine days per month over 12 weeks observed in Study 295 for </w:t>
      </w:r>
      <w:proofErr w:type="spellStart"/>
      <w:r w:rsidRPr="00D061B9">
        <w:t>erenumab</w:t>
      </w:r>
      <w:proofErr w:type="spellEnd"/>
      <w:r w:rsidRPr="00D061B9">
        <w:t>-treated patients</w:t>
      </w:r>
      <w:r w:rsidR="009B2604">
        <w:t>.</w:t>
      </w:r>
      <w:r>
        <w:t xml:space="preserve"> </w:t>
      </w:r>
      <w:r w:rsidR="0056573A">
        <w:t xml:space="preserve">The PBAC noted that although the average number of migraine days avoided per month appeared consistent with the trial, the assumed distribution of MMDs seems implausible. </w:t>
      </w:r>
    </w:p>
    <w:p w:rsidR="002073CD" w:rsidRDefault="002073CD" w:rsidP="008330AD">
      <w:pPr>
        <w:spacing w:after="120"/>
        <w:jc w:val="left"/>
        <w:rPr>
          <w:u w:val="single"/>
        </w:rPr>
      </w:pPr>
      <w:r w:rsidRPr="002073CD">
        <w:rPr>
          <w:u w:val="single"/>
        </w:rPr>
        <w:t>Cost minimisation analysis</w:t>
      </w:r>
    </w:p>
    <w:p w:rsidR="004B2735" w:rsidRDefault="00B33A3F" w:rsidP="008C17FD">
      <w:pPr>
        <w:pStyle w:val="ListParagraph"/>
        <w:numPr>
          <w:ilvl w:val="1"/>
          <w:numId w:val="2"/>
        </w:numPr>
        <w:spacing w:after="120"/>
      </w:pPr>
      <w:r>
        <w:t>The resubmission presented a cost-minimisation analysis applying</w:t>
      </w:r>
      <w:r w:rsidR="004F119B">
        <w:t xml:space="preserve"> </w:t>
      </w:r>
      <w:proofErr w:type="spellStart"/>
      <w:r w:rsidR="008A4C19" w:rsidRPr="00D061B9">
        <w:t>equi</w:t>
      </w:r>
      <w:proofErr w:type="spellEnd"/>
      <w:r w:rsidR="008A4C19" w:rsidRPr="00D061B9">
        <w:t xml:space="preserve">-effective doses </w:t>
      </w:r>
      <w:r>
        <w:t xml:space="preserve">of </w:t>
      </w:r>
      <w:proofErr w:type="spellStart"/>
      <w:r w:rsidR="008A4C19" w:rsidRPr="00D061B9">
        <w:t>erenumab</w:t>
      </w:r>
      <w:proofErr w:type="spellEnd"/>
      <w:r w:rsidR="008A4C19" w:rsidRPr="00D061B9">
        <w:t xml:space="preserve"> 140</w:t>
      </w:r>
      <w:r w:rsidR="0020512F">
        <w:t xml:space="preserve"> </w:t>
      </w:r>
      <w:r w:rsidR="008A4C19" w:rsidRPr="00D061B9">
        <w:t>mg every 4 week</w:t>
      </w:r>
      <w:r w:rsidR="008A4C19">
        <w:t xml:space="preserve">s = Botox 195U every 12 weeks. </w:t>
      </w:r>
    </w:p>
    <w:p w:rsidR="004F119B" w:rsidRDefault="004F119B" w:rsidP="008C17FD">
      <w:pPr>
        <w:pStyle w:val="ListParagraph"/>
        <w:numPr>
          <w:ilvl w:val="1"/>
          <w:numId w:val="2"/>
        </w:numPr>
        <w:spacing w:after="120"/>
      </w:pPr>
      <w:r>
        <w:t xml:space="preserve">The PBAC considered a cost-minimisation analysis may not be appropriate </w:t>
      </w:r>
      <w:r w:rsidR="00C04535">
        <w:t xml:space="preserve">as </w:t>
      </w:r>
      <w:r>
        <w:t xml:space="preserve">non-inferiority </w:t>
      </w:r>
      <w:r w:rsidR="00C04535">
        <w:t xml:space="preserve">was not supported </w:t>
      </w:r>
      <w:r>
        <w:t>with the data</w:t>
      </w:r>
      <w:r w:rsidR="00D71A29">
        <w:t xml:space="preserve"> presented in the resubmission</w:t>
      </w:r>
      <w:r>
        <w:t xml:space="preserve">. </w:t>
      </w:r>
    </w:p>
    <w:p w:rsidR="00C25D9C" w:rsidRPr="002C2775" w:rsidRDefault="00C25D9C" w:rsidP="00D87FED">
      <w:pPr>
        <w:pStyle w:val="Heading2"/>
      </w:pPr>
      <w:bookmarkStart w:id="13" w:name="_Toc535926563"/>
      <w:r w:rsidRPr="002C2775">
        <w:t>Drug cost/patient/year</w:t>
      </w:r>
      <w:bookmarkEnd w:id="13"/>
    </w:p>
    <w:p w:rsidR="00CA31BA" w:rsidRPr="00D061B9" w:rsidRDefault="00354723" w:rsidP="008C17FD">
      <w:pPr>
        <w:pStyle w:val="ListParagraph"/>
        <w:numPr>
          <w:ilvl w:val="1"/>
          <w:numId w:val="2"/>
        </w:numPr>
        <w:spacing w:after="120"/>
      </w:pPr>
      <w:r w:rsidRPr="00D061B9">
        <w:t xml:space="preserve">The table below provides a summary of annual treatment costs for </w:t>
      </w:r>
      <w:proofErr w:type="spellStart"/>
      <w:r w:rsidRPr="00D061B9">
        <w:t>erenumab</w:t>
      </w:r>
      <w:proofErr w:type="spellEnd"/>
      <w:r w:rsidRPr="00D061B9">
        <w:t>.</w:t>
      </w:r>
      <w:r w:rsidR="00D723CB" w:rsidRPr="00D061B9">
        <w:t xml:space="preserve"> Results for the July 2018 submission are provided for comparison.</w:t>
      </w:r>
      <w:r w:rsidR="00CD793C">
        <w:t xml:space="preserve"> </w:t>
      </w:r>
      <w:r w:rsidRPr="00D061B9">
        <w:t xml:space="preserve">The </w:t>
      </w:r>
      <w:r w:rsidR="00936DF7" w:rsidRPr="00D061B9">
        <w:t>re</w:t>
      </w:r>
      <w:r w:rsidRPr="00D061B9">
        <w:t>submission provided an estimate of costs without the proposed</w:t>
      </w:r>
      <w:r w:rsidR="0056573A">
        <w:t xml:space="preserve"> continuation</w:t>
      </w:r>
      <w:r w:rsidRPr="00D061B9">
        <w:t xml:space="preserve"> rule (</w:t>
      </w:r>
      <w:r w:rsidR="00936DF7" w:rsidRPr="00D061B9">
        <w:t>≥</w:t>
      </w:r>
      <w:r w:rsidRPr="00D061B9">
        <w:t>50% respon</w:t>
      </w:r>
      <w:r w:rsidR="00D91491">
        <w:t>se required to continue treatment</w:t>
      </w:r>
      <w:r w:rsidRPr="00D061B9">
        <w:t xml:space="preserve">) which assumed 13 doses of </w:t>
      </w:r>
      <w:proofErr w:type="spellStart"/>
      <w:r w:rsidRPr="00D061B9">
        <w:t>erenumab</w:t>
      </w:r>
      <w:proofErr w:type="spellEnd"/>
      <w:r w:rsidRPr="00D061B9">
        <w:t xml:space="preserve"> over a year (</w:t>
      </w:r>
      <w:r w:rsidR="004672C8">
        <w:t xml:space="preserve">DPMQ of </w:t>
      </w:r>
      <w:r w:rsidRPr="00D061B9">
        <w:t>$</w:t>
      </w:r>
      <w:r w:rsidR="00405DA0">
        <w:rPr>
          <w:noProof/>
          <w:color w:val="000000"/>
          <w:highlight w:val="black"/>
        </w:rPr>
        <w:t>''''''''''''</w:t>
      </w:r>
      <w:r w:rsidRPr="00D061B9">
        <w:t xml:space="preserve"> per dose) resulting in an annual cost of $</w:t>
      </w:r>
      <w:r w:rsidR="00405DA0">
        <w:rPr>
          <w:noProof/>
          <w:color w:val="000000"/>
          <w:highlight w:val="black"/>
        </w:rPr>
        <w:t>''''''''''''''''''</w:t>
      </w:r>
      <w:r w:rsidRPr="00D061B9">
        <w:t>.</w:t>
      </w:r>
      <w:r w:rsidR="008D6579" w:rsidRPr="00D061B9">
        <w:t xml:space="preserve"> </w:t>
      </w:r>
      <w:r w:rsidR="009B2604">
        <w:t>W</w:t>
      </w:r>
      <w:r w:rsidR="008D6579" w:rsidRPr="00D061B9">
        <w:t xml:space="preserve">ith the </w:t>
      </w:r>
      <w:r w:rsidR="0056573A">
        <w:t xml:space="preserve">continuation </w:t>
      </w:r>
      <w:r w:rsidR="008D6579" w:rsidRPr="00D061B9">
        <w:t>rule applied</w:t>
      </w:r>
      <w:r w:rsidR="009B2604">
        <w:t xml:space="preserve"> the</w:t>
      </w:r>
      <w:r w:rsidR="008D6579" w:rsidRPr="00D061B9">
        <w:t xml:space="preserve"> </w:t>
      </w:r>
      <w:r w:rsidR="00945F38" w:rsidRPr="00D061B9">
        <w:t>cost over a year using response assessment was $</w:t>
      </w:r>
      <w:r w:rsidR="00405DA0">
        <w:rPr>
          <w:noProof/>
          <w:color w:val="000000"/>
          <w:highlight w:val="black"/>
        </w:rPr>
        <w:t>''''''''''''''''</w:t>
      </w:r>
      <w:r w:rsidR="00945F38" w:rsidRPr="00D061B9">
        <w:t>.</w:t>
      </w:r>
      <w:r w:rsidR="009D120A">
        <w:t xml:space="preserve"> </w:t>
      </w:r>
    </w:p>
    <w:p w:rsidR="00D723CB" w:rsidRDefault="00D723CB" w:rsidP="00D87FED">
      <w:pPr>
        <w:keepNext/>
      </w:pPr>
      <w:r w:rsidRPr="00401364">
        <w:rPr>
          <w:rFonts w:ascii="Arial Narrow" w:hAnsi="Arial Narrow"/>
          <w:b/>
          <w:sz w:val="20"/>
          <w:szCs w:val="20"/>
        </w:rPr>
        <w:lastRenderedPageBreak/>
        <w:t xml:space="preserve">Table </w:t>
      </w:r>
      <w:r w:rsidR="00821312">
        <w:rPr>
          <w:rFonts w:ascii="Arial Narrow" w:hAnsi="Arial Narrow"/>
          <w:b/>
          <w:noProof/>
          <w:sz w:val="20"/>
          <w:szCs w:val="20"/>
        </w:rPr>
        <w:t>17</w:t>
      </w:r>
      <w:r>
        <w:rPr>
          <w:rFonts w:ascii="Arial Narrow" w:hAnsi="Arial Narrow"/>
          <w:b/>
          <w:noProof/>
          <w:sz w:val="20"/>
          <w:szCs w:val="20"/>
        </w:rPr>
        <w:t>:</w:t>
      </w:r>
      <w:r w:rsidRPr="001222FC">
        <w:rPr>
          <w:rStyle w:val="CommentReference"/>
        </w:rPr>
        <w:t xml:space="preserve"> </w:t>
      </w:r>
      <w:r w:rsidR="003A3DDD" w:rsidRPr="00217630">
        <w:rPr>
          <w:rFonts w:ascii="Arial Narrow" w:hAnsi="Arial Narrow"/>
          <w:b/>
          <w:sz w:val="20"/>
          <w:szCs w:val="20"/>
        </w:rPr>
        <w:t xml:space="preserve">Annual treatment costs per patient for </w:t>
      </w:r>
      <w:proofErr w:type="spellStart"/>
      <w:r w:rsidR="003A3DDD" w:rsidRPr="00217630">
        <w:rPr>
          <w:rFonts w:ascii="Arial Narrow" w:hAnsi="Arial Narrow"/>
          <w:b/>
          <w:sz w:val="20"/>
          <w:szCs w:val="20"/>
        </w:rPr>
        <w:t>erenumab</w:t>
      </w:r>
      <w:proofErr w:type="spellEnd"/>
      <w:r w:rsidR="003A3DDD" w:rsidRPr="00217630">
        <w:rPr>
          <w:rFonts w:ascii="Arial Narrow" w:hAnsi="Arial Narrow"/>
          <w:b/>
          <w:sz w:val="20"/>
          <w:szCs w:val="20"/>
        </w:rPr>
        <w:t xml:space="preserve"> </w:t>
      </w:r>
      <w:r w:rsidR="003A3DDD">
        <w:rPr>
          <w:rFonts w:ascii="Arial Narrow" w:hAnsi="Arial Narrow"/>
          <w:b/>
          <w:sz w:val="20"/>
          <w:szCs w:val="20"/>
        </w:rPr>
        <w:t>– resubmission and July 2018 submission</w:t>
      </w:r>
    </w:p>
    <w:tbl>
      <w:tblPr>
        <w:tblStyle w:val="Summarybox2"/>
        <w:tblW w:w="9180" w:type="dxa"/>
        <w:tblLook w:val="04A0" w:firstRow="1" w:lastRow="0" w:firstColumn="1" w:lastColumn="0" w:noHBand="0" w:noVBand="1"/>
        <w:tblCaption w:val="Table 17: Annual treatment costs per patient for erenumab – resubmission and July 2018 submission"/>
      </w:tblPr>
      <w:tblGrid>
        <w:gridCol w:w="4928"/>
        <w:gridCol w:w="2268"/>
        <w:gridCol w:w="1984"/>
      </w:tblGrid>
      <w:tr w:rsidR="00D723CB" w:rsidRPr="00217630" w:rsidTr="008C17FD">
        <w:trPr>
          <w:tblHeader/>
        </w:trPr>
        <w:tc>
          <w:tcPr>
            <w:tcW w:w="4928" w:type="dxa"/>
          </w:tcPr>
          <w:p w:rsidR="00D723CB" w:rsidRPr="00217630" w:rsidRDefault="00D723CB" w:rsidP="00D87FED">
            <w:pPr>
              <w:keepNext/>
              <w:rPr>
                <w:rFonts w:ascii="Arial Narrow" w:hAnsi="Arial Narrow"/>
                <w:b/>
                <w:sz w:val="20"/>
                <w:szCs w:val="20"/>
              </w:rPr>
            </w:pPr>
          </w:p>
        </w:tc>
        <w:tc>
          <w:tcPr>
            <w:tcW w:w="2268" w:type="dxa"/>
          </w:tcPr>
          <w:p w:rsidR="00D723CB" w:rsidRPr="00217630" w:rsidRDefault="00D723CB" w:rsidP="00D87FED">
            <w:pPr>
              <w:keepNext/>
              <w:jc w:val="center"/>
              <w:rPr>
                <w:rFonts w:ascii="Arial Narrow" w:hAnsi="Arial Narrow"/>
                <w:b/>
                <w:sz w:val="20"/>
                <w:szCs w:val="20"/>
              </w:rPr>
            </w:pPr>
            <w:r>
              <w:rPr>
                <w:rFonts w:ascii="Arial Narrow" w:hAnsi="Arial Narrow"/>
                <w:b/>
                <w:sz w:val="20"/>
                <w:szCs w:val="20"/>
              </w:rPr>
              <w:t>Resubmission</w:t>
            </w:r>
          </w:p>
        </w:tc>
        <w:tc>
          <w:tcPr>
            <w:tcW w:w="1984" w:type="dxa"/>
          </w:tcPr>
          <w:p w:rsidR="00D723CB" w:rsidRPr="00217630" w:rsidRDefault="00D723CB" w:rsidP="00D87FED">
            <w:pPr>
              <w:keepNext/>
              <w:jc w:val="center"/>
              <w:rPr>
                <w:rFonts w:ascii="Arial Narrow" w:hAnsi="Arial Narrow"/>
                <w:b/>
                <w:sz w:val="20"/>
                <w:szCs w:val="20"/>
              </w:rPr>
            </w:pPr>
            <w:r>
              <w:rPr>
                <w:rFonts w:ascii="Arial Narrow" w:hAnsi="Arial Narrow"/>
                <w:b/>
                <w:sz w:val="20"/>
                <w:szCs w:val="20"/>
              </w:rPr>
              <w:t>July 2018 submission</w:t>
            </w:r>
          </w:p>
        </w:tc>
      </w:tr>
      <w:tr w:rsidR="00D723CB" w:rsidRPr="00F81A4D" w:rsidTr="00D32B0D">
        <w:tc>
          <w:tcPr>
            <w:tcW w:w="9180" w:type="dxa"/>
            <w:gridSpan w:val="3"/>
          </w:tcPr>
          <w:p w:rsidR="00D723CB" w:rsidRPr="00F81A4D" w:rsidRDefault="00D723CB" w:rsidP="00D87FED">
            <w:pPr>
              <w:keepNext/>
              <w:rPr>
                <w:rFonts w:ascii="Arial Narrow" w:hAnsi="Arial Narrow"/>
                <w:b/>
                <w:sz w:val="20"/>
                <w:szCs w:val="20"/>
              </w:rPr>
            </w:pPr>
            <w:r>
              <w:rPr>
                <w:rFonts w:ascii="Arial Narrow" w:hAnsi="Arial Narrow"/>
                <w:b/>
                <w:sz w:val="20"/>
                <w:szCs w:val="20"/>
              </w:rPr>
              <w:t>Annual cost with assuming no response assessment</w:t>
            </w:r>
          </w:p>
        </w:tc>
      </w:tr>
      <w:tr w:rsidR="00D723CB" w:rsidRPr="00217630" w:rsidTr="00D32B0D">
        <w:tc>
          <w:tcPr>
            <w:tcW w:w="4928" w:type="dxa"/>
          </w:tcPr>
          <w:p w:rsidR="00D723CB" w:rsidRPr="00217630" w:rsidRDefault="00D723CB" w:rsidP="00D87FED">
            <w:pPr>
              <w:keepNext/>
              <w:rPr>
                <w:rFonts w:ascii="Arial Narrow" w:hAnsi="Arial Narrow"/>
                <w:sz w:val="20"/>
                <w:szCs w:val="20"/>
              </w:rPr>
            </w:pPr>
            <w:r>
              <w:rPr>
                <w:rFonts w:ascii="Arial Narrow" w:hAnsi="Arial Narrow"/>
                <w:sz w:val="20"/>
                <w:szCs w:val="20"/>
              </w:rPr>
              <w:t>Drug cost per dose</w:t>
            </w:r>
            <w:r w:rsidR="00D71A29">
              <w:rPr>
                <w:rFonts w:ascii="Arial Narrow" w:hAnsi="Arial Narrow"/>
                <w:sz w:val="20"/>
                <w:szCs w:val="20"/>
              </w:rPr>
              <w:t xml:space="preserve"> (DPMQ)</w:t>
            </w:r>
          </w:p>
        </w:tc>
        <w:tc>
          <w:tcPr>
            <w:tcW w:w="2268" w:type="dxa"/>
          </w:tcPr>
          <w:p w:rsidR="00D723CB" w:rsidRPr="00217630" w:rsidRDefault="00D723CB" w:rsidP="00D87FED">
            <w:pPr>
              <w:keepNext/>
              <w:jc w:val="center"/>
              <w:rPr>
                <w:rFonts w:ascii="Arial Narrow" w:hAnsi="Arial Narrow"/>
                <w:sz w:val="20"/>
                <w:szCs w:val="20"/>
              </w:rPr>
            </w:pPr>
            <w:r>
              <w:rPr>
                <w:rFonts w:ascii="Arial Narrow" w:hAnsi="Arial Narrow"/>
                <w:sz w:val="20"/>
                <w:szCs w:val="20"/>
              </w:rPr>
              <w:t>$</w:t>
            </w:r>
            <w:r w:rsidR="00405DA0">
              <w:rPr>
                <w:rFonts w:ascii="Arial Narrow" w:hAnsi="Arial Narrow"/>
                <w:noProof/>
                <w:color w:val="000000"/>
                <w:sz w:val="20"/>
                <w:szCs w:val="20"/>
                <w:highlight w:val="black"/>
              </w:rPr>
              <w:t>''''''''''''''''</w:t>
            </w:r>
          </w:p>
        </w:tc>
        <w:tc>
          <w:tcPr>
            <w:tcW w:w="1984" w:type="dxa"/>
          </w:tcPr>
          <w:p w:rsidR="00D723CB" w:rsidRPr="00217630" w:rsidRDefault="00D723CB" w:rsidP="00D87FED">
            <w:pPr>
              <w:keepNext/>
              <w:jc w:val="center"/>
              <w:rPr>
                <w:rFonts w:ascii="Arial Narrow" w:hAnsi="Arial Narrow"/>
                <w:sz w:val="20"/>
                <w:szCs w:val="20"/>
              </w:rPr>
            </w:pPr>
            <w:r>
              <w:rPr>
                <w:rFonts w:ascii="Arial Narrow" w:hAnsi="Arial Narrow"/>
                <w:sz w:val="20"/>
                <w:szCs w:val="20"/>
              </w:rPr>
              <w:t>$</w:t>
            </w:r>
            <w:r w:rsidR="00405DA0">
              <w:rPr>
                <w:rFonts w:ascii="Arial Narrow" w:hAnsi="Arial Narrow"/>
                <w:noProof/>
                <w:color w:val="000000"/>
                <w:sz w:val="20"/>
                <w:szCs w:val="20"/>
                <w:highlight w:val="black"/>
              </w:rPr>
              <w:t>''''''''''''''''''</w:t>
            </w:r>
          </w:p>
        </w:tc>
      </w:tr>
      <w:tr w:rsidR="00D723CB" w:rsidRPr="00217630" w:rsidTr="00D32B0D">
        <w:tc>
          <w:tcPr>
            <w:tcW w:w="4928" w:type="dxa"/>
          </w:tcPr>
          <w:p w:rsidR="00D723CB" w:rsidRPr="00217630" w:rsidRDefault="00D723CB" w:rsidP="00D87FED">
            <w:pPr>
              <w:keepNext/>
              <w:rPr>
                <w:rFonts w:ascii="Arial Narrow" w:hAnsi="Arial Narrow"/>
                <w:sz w:val="20"/>
                <w:szCs w:val="20"/>
              </w:rPr>
            </w:pPr>
            <w:r>
              <w:rPr>
                <w:rFonts w:ascii="Arial Narrow" w:hAnsi="Arial Narrow"/>
                <w:sz w:val="20"/>
                <w:szCs w:val="20"/>
              </w:rPr>
              <w:t>Number of treatment cycles (1 cycle=4 weeks)</w:t>
            </w:r>
          </w:p>
        </w:tc>
        <w:tc>
          <w:tcPr>
            <w:tcW w:w="2268" w:type="dxa"/>
          </w:tcPr>
          <w:p w:rsidR="00D723CB" w:rsidRPr="00217630" w:rsidRDefault="00D723CB" w:rsidP="00D87FED">
            <w:pPr>
              <w:keepNext/>
              <w:jc w:val="center"/>
              <w:rPr>
                <w:rFonts w:ascii="Arial Narrow" w:hAnsi="Arial Narrow"/>
                <w:sz w:val="20"/>
                <w:szCs w:val="20"/>
              </w:rPr>
            </w:pPr>
            <w:r>
              <w:rPr>
                <w:rFonts w:ascii="Arial Narrow" w:hAnsi="Arial Narrow"/>
                <w:sz w:val="20"/>
                <w:szCs w:val="20"/>
              </w:rPr>
              <w:t>13</w:t>
            </w:r>
          </w:p>
        </w:tc>
        <w:tc>
          <w:tcPr>
            <w:tcW w:w="1984" w:type="dxa"/>
          </w:tcPr>
          <w:p w:rsidR="00D723CB" w:rsidRPr="00217630" w:rsidRDefault="00D723CB" w:rsidP="00D87FED">
            <w:pPr>
              <w:keepNext/>
              <w:jc w:val="center"/>
              <w:rPr>
                <w:rFonts w:ascii="Arial Narrow" w:hAnsi="Arial Narrow"/>
                <w:sz w:val="20"/>
                <w:szCs w:val="20"/>
              </w:rPr>
            </w:pPr>
            <w:r>
              <w:rPr>
                <w:rFonts w:ascii="Arial Narrow" w:hAnsi="Arial Narrow"/>
                <w:sz w:val="20"/>
                <w:szCs w:val="20"/>
              </w:rPr>
              <w:t>13</w:t>
            </w:r>
          </w:p>
        </w:tc>
      </w:tr>
      <w:tr w:rsidR="00D723CB" w:rsidRPr="00F1304C" w:rsidTr="00D32B0D">
        <w:tc>
          <w:tcPr>
            <w:tcW w:w="4928" w:type="dxa"/>
          </w:tcPr>
          <w:p w:rsidR="00D723CB" w:rsidRPr="00F1304C" w:rsidRDefault="00D723CB" w:rsidP="00D87FED">
            <w:pPr>
              <w:keepNext/>
              <w:rPr>
                <w:rFonts w:ascii="Arial Narrow" w:hAnsi="Arial Narrow"/>
                <w:b/>
                <w:sz w:val="20"/>
                <w:szCs w:val="20"/>
              </w:rPr>
            </w:pPr>
            <w:r w:rsidRPr="00F1304C">
              <w:rPr>
                <w:rFonts w:ascii="Arial Narrow" w:hAnsi="Arial Narrow"/>
                <w:b/>
                <w:sz w:val="20"/>
                <w:szCs w:val="20"/>
              </w:rPr>
              <w:t>Total cost over 12 months</w:t>
            </w:r>
          </w:p>
        </w:tc>
        <w:tc>
          <w:tcPr>
            <w:tcW w:w="2268" w:type="dxa"/>
          </w:tcPr>
          <w:p w:rsidR="00D723CB" w:rsidRPr="00F1304C" w:rsidRDefault="00D723CB" w:rsidP="00D87FED">
            <w:pPr>
              <w:keepNext/>
              <w:jc w:val="center"/>
              <w:rPr>
                <w:rFonts w:ascii="Arial Narrow" w:hAnsi="Arial Narrow"/>
                <w:b/>
                <w:sz w:val="20"/>
                <w:szCs w:val="20"/>
              </w:rPr>
            </w:pPr>
            <w:r>
              <w:rPr>
                <w:rFonts w:ascii="Arial Narrow" w:hAnsi="Arial Narrow"/>
                <w:b/>
                <w:sz w:val="20"/>
                <w:szCs w:val="20"/>
              </w:rPr>
              <w:t>$</w:t>
            </w:r>
            <w:r w:rsidR="00405DA0">
              <w:rPr>
                <w:rFonts w:ascii="Arial Narrow" w:hAnsi="Arial Narrow"/>
                <w:b/>
                <w:noProof/>
                <w:color w:val="000000"/>
                <w:sz w:val="20"/>
                <w:szCs w:val="20"/>
                <w:highlight w:val="black"/>
              </w:rPr>
              <w:t>''''''''''''''''</w:t>
            </w:r>
          </w:p>
        </w:tc>
        <w:tc>
          <w:tcPr>
            <w:tcW w:w="1984" w:type="dxa"/>
          </w:tcPr>
          <w:p w:rsidR="00D723CB" w:rsidRPr="00F1304C" w:rsidRDefault="00D723CB" w:rsidP="00D87FED">
            <w:pPr>
              <w:keepNext/>
              <w:jc w:val="center"/>
              <w:rPr>
                <w:rFonts w:ascii="Arial Narrow" w:hAnsi="Arial Narrow"/>
                <w:b/>
                <w:sz w:val="20"/>
                <w:szCs w:val="20"/>
              </w:rPr>
            </w:pPr>
            <w:r w:rsidRPr="00F1304C">
              <w:rPr>
                <w:rFonts w:ascii="Arial Narrow" w:hAnsi="Arial Narrow"/>
                <w:b/>
                <w:sz w:val="20"/>
                <w:szCs w:val="20"/>
              </w:rPr>
              <w:t>$</w:t>
            </w:r>
            <w:r w:rsidR="00405DA0">
              <w:rPr>
                <w:rFonts w:ascii="Arial Narrow" w:hAnsi="Arial Narrow"/>
                <w:b/>
                <w:noProof/>
                <w:color w:val="000000"/>
                <w:sz w:val="20"/>
                <w:szCs w:val="20"/>
                <w:highlight w:val="black"/>
              </w:rPr>
              <w:t>''''''''''''''''''</w:t>
            </w:r>
          </w:p>
        </w:tc>
      </w:tr>
      <w:tr w:rsidR="00D723CB" w:rsidRPr="00F81A4D" w:rsidTr="00D32B0D">
        <w:tc>
          <w:tcPr>
            <w:tcW w:w="9180" w:type="dxa"/>
            <w:gridSpan w:val="3"/>
          </w:tcPr>
          <w:p w:rsidR="00D723CB" w:rsidRPr="00F81A4D" w:rsidRDefault="00D723CB" w:rsidP="00D87FED">
            <w:pPr>
              <w:keepNext/>
              <w:rPr>
                <w:rFonts w:ascii="Arial Narrow" w:hAnsi="Arial Narrow"/>
                <w:b/>
                <w:sz w:val="20"/>
                <w:szCs w:val="20"/>
              </w:rPr>
            </w:pPr>
            <w:r>
              <w:rPr>
                <w:rFonts w:ascii="Arial Narrow" w:hAnsi="Arial Narrow"/>
                <w:b/>
                <w:sz w:val="20"/>
                <w:szCs w:val="20"/>
              </w:rPr>
              <w:t xml:space="preserve">Annual cost with response assessment </w:t>
            </w:r>
          </w:p>
        </w:tc>
      </w:tr>
      <w:tr w:rsidR="00D723CB" w:rsidTr="00D32B0D">
        <w:tc>
          <w:tcPr>
            <w:tcW w:w="4928" w:type="dxa"/>
          </w:tcPr>
          <w:p w:rsidR="00D723CB" w:rsidRDefault="00D723CB" w:rsidP="00D87FED">
            <w:pPr>
              <w:keepNext/>
              <w:rPr>
                <w:rFonts w:ascii="Arial Narrow" w:hAnsi="Arial Narrow"/>
                <w:sz w:val="20"/>
                <w:szCs w:val="20"/>
              </w:rPr>
            </w:pPr>
            <w:r>
              <w:rPr>
                <w:rFonts w:ascii="Arial Narrow" w:hAnsi="Arial Narrow"/>
                <w:sz w:val="20"/>
                <w:szCs w:val="20"/>
              </w:rPr>
              <w:t>Response rate - Study 295 subgroup (versus Botox for July 2018)</w:t>
            </w:r>
          </w:p>
        </w:tc>
        <w:tc>
          <w:tcPr>
            <w:tcW w:w="2268" w:type="dxa"/>
          </w:tcPr>
          <w:p w:rsidR="00D723CB" w:rsidRPr="00450F1F" w:rsidRDefault="00D723CB" w:rsidP="00D87FED">
            <w:pPr>
              <w:keepNext/>
              <w:jc w:val="center"/>
              <w:rPr>
                <w:rFonts w:ascii="Arial Narrow" w:hAnsi="Arial Narrow"/>
                <w:sz w:val="20"/>
                <w:szCs w:val="20"/>
              </w:rPr>
            </w:pPr>
            <w:r>
              <w:rPr>
                <w:rFonts w:ascii="Arial Narrow" w:hAnsi="Arial Narrow"/>
                <w:sz w:val="20"/>
                <w:szCs w:val="20"/>
              </w:rPr>
              <w:t>38.50%</w:t>
            </w:r>
          </w:p>
        </w:tc>
        <w:tc>
          <w:tcPr>
            <w:tcW w:w="1984" w:type="dxa"/>
          </w:tcPr>
          <w:p w:rsidR="00D723CB" w:rsidRDefault="00D723CB" w:rsidP="00D87FED">
            <w:pPr>
              <w:keepNext/>
              <w:jc w:val="center"/>
              <w:rPr>
                <w:rFonts w:ascii="Arial Narrow" w:hAnsi="Arial Narrow"/>
                <w:sz w:val="20"/>
                <w:szCs w:val="20"/>
              </w:rPr>
            </w:pPr>
            <w:r>
              <w:rPr>
                <w:rFonts w:ascii="Arial Narrow" w:hAnsi="Arial Narrow"/>
                <w:sz w:val="20"/>
                <w:szCs w:val="20"/>
              </w:rPr>
              <w:t>39.40%</w:t>
            </w:r>
          </w:p>
        </w:tc>
      </w:tr>
      <w:tr w:rsidR="00647593" w:rsidRPr="00217630" w:rsidTr="00D32B0D">
        <w:tc>
          <w:tcPr>
            <w:tcW w:w="4928" w:type="dxa"/>
          </w:tcPr>
          <w:p w:rsidR="00647593" w:rsidRPr="00217630" w:rsidRDefault="00647593" w:rsidP="00D87FED">
            <w:pPr>
              <w:keepNext/>
              <w:rPr>
                <w:rFonts w:ascii="Arial Narrow" w:hAnsi="Arial Narrow"/>
                <w:sz w:val="20"/>
                <w:szCs w:val="20"/>
              </w:rPr>
            </w:pPr>
            <w:r>
              <w:rPr>
                <w:rFonts w:ascii="Arial Narrow" w:hAnsi="Arial Narrow"/>
                <w:sz w:val="20"/>
                <w:szCs w:val="20"/>
              </w:rPr>
              <w:t>Number of treatment cycles to response assessment at 12 weeks (24 weeks July 2018)</w:t>
            </w:r>
          </w:p>
        </w:tc>
        <w:tc>
          <w:tcPr>
            <w:tcW w:w="2268" w:type="dxa"/>
          </w:tcPr>
          <w:p w:rsidR="00647593" w:rsidRPr="00DD5D20" w:rsidRDefault="00647593" w:rsidP="00D87FED">
            <w:pPr>
              <w:keepNext/>
              <w:jc w:val="center"/>
              <w:rPr>
                <w:rFonts w:ascii="Arial Narrow" w:hAnsi="Arial Narrow"/>
                <w:sz w:val="20"/>
                <w:szCs w:val="20"/>
              </w:rPr>
            </w:pPr>
            <w:r w:rsidRPr="00DD5D20">
              <w:rPr>
                <w:rFonts w:ascii="Arial Narrow" w:hAnsi="Arial Narrow"/>
                <w:sz w:val="20"/>
                <w:szCs w:val="20"/>
              </w:rPr>
              <w:t>3</w:t>
            </w:r>
          </w:p>
        </w:tc>
        <w:tc>
          <w:tcPr>
            <w:tcW w:w="1984" w:type="dxa"/>
          </w:tcPr>
          <w:p w:rsidR="00647593" w:rsidRPr="00217630" w:rsidRDefault="00647593" w:rsidP="00D87FED">
            <w:pPr>
              <w:keepNext/>
              <w:jc w:val="center"/>
              <w:rPr>
                <w:rFonts w:ascii="Arial Narrow" w:hAnsi="Arial Narrow"/>
                <w:sz w:val="20"/>
                <w:szCs w:val="20"/>
              </w:rPr>
            </w:pPr>
            <w:r>
              <w:rPr>
                <w:rFonts w:ascii="Arial Narrow" w:hAnsi="Arial Narrow"/>
                <w:sz w:val="20"/>
                <w:szCs w:val="20"/>
              </w:rPr>
              <w:t>6</w:t>
            </w:r>
          </w:p>
        </w:tc>
      </w:tr>
      <w:tr w:rsidR="00647593" w:rsidRPr="00217630" w:rsidTr="00D32B0D">
        <w:tc>
          <w:tcPr>
            <w:tcW w:w="4928" w:type="dxa"/>
          </w:tcPr>
          <w:p w:rsidR="00647593" w:rsidRPr="00217630" w:rsidRDefault="00647593" w:rsidP="00D87FED">
            <w:pPr>
              <w:keepNext/>
              <w:rPr>
                <w:rFonts w:ascii="Arial Narrow" w:hAnsi="Arial Narrow"/>
                <w:sz w:val="20"/>
                <w:szCs w:val="20"/>
              </w:rPr>
            </w:pPr>
            <w:r>
              <w:rPr>
                <w:rFonts w:ascii="Arial Narrow" w:hAnsi="Arial Narrow"/>
                <w:sz w:val="20"/>
                <w:szCs w:val="20"/>
              </w:rPr>
              <w:t>Number of treatment cycles post-assessment to 12 months</w:t>
            </w:r>
          </w:p>
        </w:tc>
        <w:tc>
          <w:tcPr>
            <w:tcW w:w="2268" w:type="dxa"/>
          </w:tcPr>
          <w:p w:rsidR="00647593" w:rsidRPr="00DD5D20" w:rsidRDefault="00647593" w:rsidP="00D87FED">
            <w:pPr>
              <w:keepNext/>
              <w:jc w:val="center"/>
              <w:rPr>
                <w:rFonts w:ascii="Arial Narrow" w:hAnsi="Arial Narrow"/>
                <w:sz w:val="20"/>
                <w:szCs w:val="20"/>
              </w:rPr>
            </w:pPr>
            <w:r w:rsidRPr="00DD5D20">
              <w:rPr>
                <w:rFonts w:ascii="Arial Narrow" w:hAnsi="Arial Narrow"/>
                <w:sz w:val="20"/>
                <w:szCs w:val="20"/>
              </w:rPr>
              <w:t>10</w:t>
            </w:r>
          </w:p>
        </w:tc>
        <w:tc>
          <w:tcPr>
            <w:tcW w:w="1984" w:type="dxa"/>
          </w:tcPr>
          <w:p w:rsidR="00647593" w:rsidRPr="00217630" w:rsidRDefault="00647593" w:rsidP="00D87FED">
            <w:pPr>
              <w:keepNext/>
              <w:jc w:val="center"/>
              <w:rPr>
                <w:rFonts w:ascii="Arial Narrow" w:hAnsi="Arial Narrow"/>
                <w:sz w:val="20"/>
                <w:szCs w:val="20"/>
              </w:rPr>
            </w:pPr>
            <w:r>
              <w:rPr>
                <w:rFonts w:ascii="Arial Narrow" w:hAnsi="Arial Narrow"/>
                <w:sz w:val="20"/>
                <w:szCs w:val="20"/>
              </w:rPr>
              <w:t>7</w:t>
            </w:r>
          </w:p>
        </w:tc>
      </w:tr>
      <w:tr w:rsidR="00647593" w:rsidRPr="00F1304C" w:rsidTr="00D32B0D">
        <w:tc>
          <w:tcPr>
            <w:tcW w:w="4928" w:type="dxa"/>
          </w:tcPr>
          <w:p w:rsidR="00647593" w:rsidRPr="00F1304C" w:rsidRDefault="00647593" w:rsidP="00D87FED">
            <w:pPr>
              <w:keepNext/>
              <w:rPr>
                <w:rFonts w:ascii="Arial Narrow" w:hAnsi="Arial Narrow"/>
                <w:b/>
                <w:sz w:val="20"/>
                <w:szCs w:val="20"/>
              </w:rPr>
            </w:pPr>
            <w:r w:rsidRPr="00F1304C">
              <w:rPr>
                <w:rFonts w:ascii="Arial Narrow" w:hAnsi="Arial Narrow"/>
                <w:b/>
                <w:sz w:val="20"/>
                <w:szCs w:val="20"/>
              </w:rPr>
              <w:t xml:space="preserve">Cost over 12 months for </w:t>
            </w:r>
            <w:r>
              <w:rPr>
                <w:rFonts w:ascii="Arial Narrow" w:hAnsi="Arial Narrow"/>
                <w:b/>
                <w:sz w:val="20"/>
                <w:szCs w:val="20"/>
              </w:rPr>
              <w:t xml:space="preserve">with response </w:t>
            </w:r>
            <w:proofErr w:type="spellStart"/>
            <w:r>
              <w:rPr>
                <w:rFonts w:ascii="Arial Narrow" w:hAnsi="Arial Narrow"/>
                <w:b/>
                <w:sz w:val="20"/>
                <w:szCs w:val="20"/>
              </w:rPr>
              <w:t>assessment</w:t>
            </w:r>
            <w:r w:rsidRPr="00647593">
              <w:rPr>
                <w:rFonts w:ascii="Arial Narrow" w:hAnsi="Arial Narrow"/>
                <w:b/>
                <w:sz w:val="20"/>
                <w:szCs w:val="20"/>
                <w:vertAlign w:val="superscript"/>
              </w:rPr>
              <w:t>a</w:t>
            </w:r>
            <w:proofErr w:type="spellEnd"/>
          </w:p>
        </w:tc>
        <w:tc>
          <w:tcPr>
            <w:tcW w:w="2268" w:type="dxa"/>
          </w:tcPr>
          <w:p w:rsidR="00647593" w:rsidRPr="00DD5D20" w:rsidRDefault="00647593" w:rsidP="00D87FED">
            <w:pPr>
              <w:keepNext/>
              <w:jc w:val="center"/>
              <w:rPr>
                <w:rFonts w:ascii="Arial Narrow" w:hAnsi="Arial Narrow"/>
                <w:b/>
                <w:sz w:val="20"/>
                <w:szCs w:val="20"/>
              </w:rPr>
            </w:pPr>
            <w:r w:rsidRPr="00DD5D20">
              <w:rPr>
                <w:rFonts w:ascii="Arial Narrow" w:hAnsi="Arial Narrow"/>
                <w:b/>
                <w:sz w:val="20"/>
                <w:szCs w:val="20"/>
              </w:rPr>
              <w:t>$</w:t>
            </w:r>
            <w:r w:rsidR="00405DA0">
              <w:rPr>
                <w:rFonts w:ascii="Arial Narrow" w:hAnsi="Arial Narrow"/>
                <w:b/>
                <w:noProof/>
                <w:color w:val="000000"/>
                <w:sz w:val="20"/>
                <w:szCs w:val="20"/>
                <w:highlight w:val="black"/>
              </w:rPr>
              <w:t>'''''''''''''''''</w:t>
            </w:r>
            <w:r w:rsidRPr="00DD5D20">
              <w:rPr>
                <w:rFonts w:ascii="Arial Narrow" w:hAnsi="Arial Narrow"/>
                <w:b/>
                <w:sz w:val="20"/>
                <w:szCs w:val="20"/>
                <w:vertAlign w:val="superscript"/>
              </w:rPr>
              <w:t>b</w:t>
            </w:r>
          </w:p>
        </w:tc>
        <w:tc>
          <w:tcPr>
            <w:tcW w:w="1984" w:type="dxa"/>
          </w:tcPr>
          <w:p w:rsidR="00647593" w:rsidRPr="00F1304C" w:rsidRDefault="00647593" w:rsidP="00D87FED">
            <w:pPr>
              <w:keepNext/>
              <w:jc w:val="center"/>
              <w:rPr>
                <w:rFonts w:ascii="Arial Narrow" w:hAnsi="Arial Narrow"/>
                <w:b/>
                <w:sz w:val="20"/>
                <w:szCs w:val="20"/>
              </w:rPr>
            </w:pPr>
            <w:r w:rsidRPr="00F1304C">
              <w:rPr>
                <w:rFonts w:ascii="Arial Narrow" w:hAnsi="Arial Narrow"/>
                <w:b/>
                <w:sz w:val="20"/>
                <w:szCs w:val="20"/>
              </w:rPr>
              <w:t>$</w:t>
            </w:r>
            <w:r w:rsidR="00405DA0">
              <w:rPr>
                <w:rFonts w:ascii="Arial Narrow" w:hAnsi="Arial Narrow"/>
                <w:b/>
                <w:noProof/>
                <w:color w:val="000000"/>
                <w:sz w:val="20"/>
                <w:szCs w:val="20"/>
                <w:highlight w:val="black"/>
              </w:rPr>
              <w:t>'''''''''''''''''</w:t>
            </w:r>
            <w:r>
              <w:rPr>
                <w:rFonts w:ascii="Arial Narrow" w:hAnsi="Arial Narrow"/>
                <w:b/>
                <w:sz w:val="20"/>
                <w:szCs w:val="20"/>
                <w:vertAlign w:val="superscript"/>
              </w:rPr>
              <w:t>c</w:t>
            </w:r>
          </w:p>
        </w:tc>
      </w:tr>
    </w:tbl>
    <w:p w:rsidR="00D71A29" w:rsidRPr="00D71A29" w:rsidRDefault="00D71A29" w:rsidP="00D87FED">
      <w:pPr>
        <w:pStyle w:val="TableFooter"/>
        <w:keepNext/>
        <w:tabs>
          <w:tab w:val="left" w:pos="142"/>
        </w:tabs>
      </w:pPr>
      <w:r>
        <w:t>DPMQ</w:t>
      </w:r>
      <w:r w:rsidR="003D5FC1">
        <w:t>=</w:t>
      </w:r>
      <w:r>
        <w:t xml:space="preserve">dispensed price for maximum quantity </w:t>
      </w:r>
    </w:p>
    <w:p w:rsidR="00EE30C5" w:rsidRPr="00EE30C5" w:rsidRDefault="00EE30C5" w:rsidP="00D87FED">
      <w:pPr>
        <w:pStyle w:val="TableFooter"/>
        <w:keepNext/>
        <w:tabs>
          <w:tab w:val="left" w:pos="142"/>
        </w:tabs>
        <w:rPr>
          <w:i/>
          <w:vertAlign w:val="superscript"/>
        </w:rPr>
      </w:pPr>
      <w:proofErr w:type="spellStart"/>
      <w:proofErr w:type="gramStart"/>
      <w:r w:rsidRPr="00DD5D20">
        <w:rPr>
          <w:vertAlign w:val="superscript"/>
        </w:rPr>
        <w:t>a</w:t>
      </w:r>
      <w:proofErr w:type="spellEnd"/>
      <w:proofErr w:type="gramEnd"/>
      <w:r w:rsidRPr="00DD5D20">
        <w:tab/>
      </w:r>
      <w:r w:rsidRPr="00D061B9">
        <w:t xml:space="preserve">The </w:t>
      </w:r>
      <w:r w:rsidR="00647593">
        <w:t xml:space="preserve">PSCR acknowledged there was an error in this calculation in the resubmission. The corrected values are presented. </w:t>
      </w:r>
    </w:p>
    <w:p w:rsidR="00647593" w:rsidRDefault="00EE30C5" w:rsidP="00D87FED">
      <w:pPr>
        <w:pStyle w:val="TableFooter"/>
        <w:tabs>
          <w:tab w:val="left" w:pos="142"/>
        </w:tabs>
      </w:pPr>
      <w:proofErr w:type="gramStart"/>
      <w:r>
        <w:rPr>
          <w:vertAlign w:val="superscript"/>
        </w:rPr>
        <w:t>b</w:t>
      </w:r>
      <w:proofErr w:type="gramEnd"/>
      <w:r w:rsidR="00D723CB" w:rsidRPr="004331E8">
        <w:tab/>
        <w:t>$</w:t>
      </w:r>
      <w:r w:rsidR="00405DA0">
        <w:rPr>
          <w:noProof/>
          <w:color w:val="000000"/>
          <w:highlight w:val="black"/>
        </w:rPr>
        <w:t>''''''''''''''''''''''</w:t>
      </w:r>
      <w:r w:rsidR="00D723CB" w:rsidRPr="004331E8">
        <w:t>=($</w:t>
      </w:r>
      <w:r w:rsidR="00405DA0">
        <w:rPr>
          <w:noProof/>
          <w:color w:val="000000"/>
          <w:highlight w:val="black"/>
        </w:rPr>
        <w:t>'''''''''''''''</w:t>
      </w:r>
      <w:r w:rsidR="00D723CB" w:rsidRPr="004331E8">
        <w:t xml:space="preserve"> × 6) + (</w:t>
      </w:r>
      <w:r w:rsidR="00D723CB">
        <w:t>38.50</w:t>
      </w:r>
      <w:r w:rsidR="00D723CB" w:rsidRPr="004331E8">
        <w:t>% × 7 × $</w:t>
      </w:r>
      <w:r w:rsidR="00405DA0">
        <w:rPr>
          <w:noProof/>
          <w:color w:val="000000"/>
          <w:highlight w:val="black"/>
        </w:rPr>
        <w:t>''''''''''''''''''</w:t>
      </w:r>
      <w:r w:rsidR="00D723CB" w:rsidRPr="004331E8">
        <w:t>)</w:t>
      </w:r>
    </w:p>
    <w:p w:rsidR="00D723CB" w:rsidRPr="004331E8" w:rsidRDefault="00647593" w:rsidP="00D87FED">
      <w:pPr>
        <w:pStyle w:val="TableFooter"/>
        <w:tabs>
          <w:tab w:val="left" w:pos="142"/>
        </w:tabs>
      </w:pPr>
      <w:proofErr w:type="gramStart"/>
      <w:r>
        <w:rPr>
          <w:vertAlign w:val="superscript"/>
        </w:rPr>
        <w:t>c</w:t>
      </w:r>
      <w:proofErr w:type="gramEnd"/>
      <w:r w:rsidRPr="004331E8">
        <w:tab/>
        <w:t>$</w:t>
      </w:r>
      <w:r w:rsidR="00405DA0">
        <w:rPr>
          <w:noProof/>
          <w:color w:val="000000"/>
          <w:highlight w:val="black"/>
        </w:rPr>
        <w:t>'''''''''''''''''''''''</w:t>
      </w:r>
      <w:r w:rsidRPr="004331E8">
        <w:t>=($</w:t>
      </w:r>
      <w:r w:rsidR="00405DA0">
        <w:rPr>
          <w:noProof/>
          <w:color w:val="000000"/>
          <w:highlight w:val="black"/>
        </w:rPr>
        <w:t>'''''''''''''''</w:t>
      </w:r>
      <w:r w:rsidR="008330AD">
        <w:t xml:space="preserve"> × 6) + (39.40% × 7 × $</w:t>
      </w:r>
      <w:r w:rsidR="00405DA0">
        <w:rPr>
          <w:noProof/>
          <w:color w:val="000000"/>
          <w:highlight w:val="black"/>
        </w:rPr>
        <w:t>'''''''''''''''</w:t>
      </w:r>
      <w:r w:rsidR="008330AD">
        <w:t>)</w:t>
      </w:r>
    </w:p>
    <w:p w:rsidR="00D723CB" w:rsidRDefault="00CD793C" w:rsidP="00D87FED">
      <w:pPr>
        <w:pStyle w:val="TableFooter"/>
      </w:pPr>
      <w:r>
        <w:t xml:space="preserve">Source: </w:t>
      </w:r>
      <w:r w:rsidR="00D723CB">
        <w:t>Table 3.</w:t>
      </w:r>
      <w:r w:rsidR="0013751B">
        <w:t>29</w:t>
      </w:r>
      <w:r w:rsidR="00D723CB">
        <w:t>, p1</w:t>
      </w:r>
      <w:r w:rsidR="0013751B">
        <w:t>28</w:t>
      </w:r>
      <w:r w:rsidR="00D723CB">
        <w:t xml:space="preserve"> of the </w:t>
      </w:r>
      <w:r w:rsidR="0013751B">
        <w:t>re</w:t>
      </w:r>
      <w:r w:rsidR="00D723CB">
        <w:t>submission.</w:t>
      </w:r>
    </w:p>
    <w:p w:rsidR="00D723CB" w:rsidRDefault="00D723CB" w:rsidP="00D87FED"/>
    <w:p w:rsidR="00F04DF4" w:rsidRPr="00D061B9" w:rsidRDefault="00CA31BA" w:rsidP="008C17FD">
      <w:pPr>
        <w:pStyle w:val="ListParagraph"/>
        <w:keepNext/>
        <w:numPr>
          <w:ilvl w:val="1"/>
          <w:numId w:val="2"/>
        </w:numPr>
        <w:spacing w:after="120"/>
      </w:pPr>
      <w:r w:rsidRPr="00D061B9">
        <w:t xml:space="preserve">The resubmission calculated the drug cost per patient per year based on the price of </w:t>
      </w:r>
      <w:proofErr w:type="spellStart"/>
      <w:r w:rsidRPr="00D061B9">
        <w:t>erenumab</w:t>
      </w:r>
      <w:proofErr w:type="spellEnd"/>
      <w:r w:rsidRPr="00D061B9">
        <w:t xml:space="preserve"> applied in the economic model (</w:t>
      </w:r>
      <w:r w:rsidR="004672C8">
        <w:t xml:space="preserve">DPMQ of </w:t>
      </w:r>
      <w:r w:rsidRPr="00D061B9">
        <w:t>$</w:t>
      </w:r>
      <w:r w:rsidR="00405DA0">
        <w:rPr>
          <w:noProof/>
          <w:color w:val="000000"/>
          <w:highlight w:val="black"/>
        </w:rPr>
        <w:t>''''''''''''</w:t>
      </w:r>
      <w:r w:rsidR="002073CD">
        <w:t xml:space="preserve"> per dose</w:t>
      </w:r>
      <w:r w:rsidRPr="00D061B9">
        <w:t>). Applying the requested</w:t>
      </w:r>
      <w:r w:rsidR="005371F6" w:rsidRPr="00D061B9">
        <w:t xml:space="preserve"> weighted price for </w:t>
      </w:r>
      <w:proofErr w:type="spellStart"/>
      <w:r w:rsidR="005371F6" w:rsidRPr="00D061B9">
        <w:t>erenumab</w:t>
      </w:r>
      <w:proofErr w:type="spellEnd"/>
      <w:r w:rsidR="005371F6" w:rsidRPr="00D061B9">
        <w:t xml:space="preserve"> (</w:t>
      </w:r>
      <w:r w:rsidR="004672C8">
        <w:t xml:space="preserve">DPMQ of </w:t>
      </w:r>
      <w:r w:rsidR="005371F6" w:rsidRPr="00D061B9">
        <w:t>$</w:t>
      </w:r>
      <w:r w:rsidR="00405DA0">
        <w:rPr>
          <w:noProof/>
          <w:color w:val="000000"/>
          <w:highlight w:val="black"/>
        </w:rPr>
        <w:t>''''''''''''</w:t>
      </w:r>
      <w:r w:rsidR="002073CD">
        <w:t xml:space="preserve"> per dose</w:t>
      </w:r>
      <w:r w:rsidR="005371F6" w:rsidRPr="00D061B9">
        <w:t>), the drug cost/patient/year became $</w:t>
      </w:r>
      <w:r w:rsidR="00405DA0">
        <w:rPr>
          <w:noProof/>
          <w:color w:val="000000"/>
          <w:highlight w:val="black"/>
        </w:rPr>
        <w:t>''''''''''''''''''</w:t>
      </w:r>
      <w:r w:rsidR="00D723CB" w:rsidRPr="00D061B9">
        <w:t xml:space="preserve"> based on response assessment at 12 weeks.</w:t>
      </w:r>
      <w:r w:rsidRPr="00D061B9">
        <w:t xml:space="preserve"> </w:t>
      </w:r>
    </w:p>
    <w:p w:rsidR="00B60939" w:rsidRDefault="00F04DF4" w:rsidP="008C17FD">
      <w:pPr>
        <w:pStyle w:val="ListParagraph"/>
        <w:keepNext/>
        <w:numPr>
          <w:ilvl w:val="1"/>
          <w:numId w:val="2"/>
        </w:numPr>
        <w:spacing w:after="120"/>
      </w:pPr>
      <w:r w:rsidRPr="00D061B9">
        <w:t>The estimated annual cost for a responder with response assessment at 12 weeks ($</w:t>
      </w:r>
      <w:r w:rsidR="00405DA0">
        <w:rPr>
          <w:noProof/>
          <w:color w:val="000000"/>
          <w:highlight w:val="black"/>
        </w:rPr>
        <w:t>''''''''''''''''</w:t>
      </w:r>
      <w:r w:rsidRPr="00D061B9">
        <w:t xml:space="preserve">) relies on the response rate sourced from the </w:t>
      </w:r>
      <w:proofErr w:type="spellStart"/>
      <w:r w:rsidR="007E0120" w:rsidRPr="00D061B9">
        <w:t>erenumab</w:t>
      </w:r>
      <w:proofErr w:type="spellEnd"/>
      <w:r w:rsidR="007E0120" w:rsidRPr="00D061B9">
        <w:t xml:space="preserve"> </w:t>
      </w:r>
      <w:r w:rsidRPr="00D061B9">
        <w:t>subgroup in Study 295</w:t>
      </w:r>
      <w:r w:rsidR="007E0120" w:rsidRPr="00D061B9">
        <w:t xml:space="preserve"> and may not reflect the response rate in clinical practice</w:t>
      </w:r>
      <w:r w:rsidR="00B17498">
        <w:t xml:space="preserve">. </w:t>
      </w:r>
    </w:p>
    <w:p w:rsidR="00CA0090" w:rsidRPr="00AB5C05" w:rsidRDefault="00CA0090" w:rsidP="008C17FD">
      <w:pPr>
        <w:pStyle w:val="ListParagraph"/>
        <w:numPr>
          <w:ilvl w:val="1"/>
          <w:numId w:val="2"/>
        </w:numPr>
        <w:spacing w:after="120"/>
      </w:pPr>
      <w:r w:rsidRPr="00AB5C05">
        <w:t xml:space="preserve">The </w:t>
      </w:r>
      <w:r>
        <w:t>re</w:t>
      </w:r>
      <w:r w:rsidRPr="00AB5C05">
        <w:t xml:space="preserve">submission adopted a “weighted” approach to pricing based on a CUA of </w:t>
      </w:r>
      <w:proofErr w:type="spellStart"/>
      <w:r w:rsidRPr="00AB5C05">
        <w:t>erenumab</w:t>
      </w:r>
      <w:proofErr w:type="spellEnd"/>
      <w:r w:rsidRPr="00AB5C05">
        <w:t xml:space="preserve"> versus placebo and a CMA of </w:t>
      </w:r>
      <w:proofErr w:type="spellStart"/>
      <w:r w:rsidRPr="00AB5C05">
        <w:t>erenumab</w:t>
      </w:r>
      <w:proofErr w:type="spellEnd"/>
      <w:r w:rsidRPr="00AB5C05">
        <w:t xml:space="preserve"> versus Botox. The weighted price ($</w:t>
      </w:r>
      <w:r w:rsidR="00405DA0">
        <w:rPr>
          <w:noProof/>
          <w:color w:val="000000"/>
          <w:highlight w:val="black"/>
        </w:rPr>
        <w:t>''''''''''''</w:t>
      </w:r>
      <w:r w:rsidRPr="00AB5C05">
        <w:t xml:space="preserve">) was based on </w:t>
      </w:r>
      <w:r w:rsidR="00405DA0">
        <w:rPr>
          <w:noProof/>
          <w:color w:val="000000"/>
          <w:highlight w:val="black"/>
        </w:rPr>
        <w:t>'''''</w:t>
      </w:r>
      <w:r w:rsidRPr="00AB5C05">
        <w:t>% of the higher price ($</w:t>
      </w:r>
      <w:r w:rsidR="00405DA0">
        <w:rPr>
          <w:noProof/>
          <w:color w:val="000000"/>
          <w:highlight w:val="black"/>
        </w:rPr>
        <w:t>''''''''''''''</w:t>
      </w:r>
      <w:r w:rsidRPr="00AB5C05">
        <w:t xml:space="preserve">) </w:t>
      </w:r>
      <w:r>
        <w:t xml:space="preserve">used </w:t>
      </w:r>
      <w:r w:rsidRPr="00AB5C05">
        <w:t xml:space="preserve">in the CUA </w:t>
      </w:r>
      <w:r w:rsidRPr="00E30E28">
        <w:t xml:space="preserve">and </w:t>
      </w:r>
      <w:r w:rsidR="00405DA0">
        <w:rPr>
          <w:noProof/>
          <w:color w:val="000000"/>
          <w:highlight w:val="black"/>
        </w:rPr>
        <w:t>'''''</w:t>
      </w:r>
      <w:r w:rsidRPr="00E30E28">
        <w:t>% of</w:t>
      </w:r>
      <w:r w:rsidRPr="00AB5C05">
        <w:t xml:space="preserve"> the cost-minimised price ($</w:t>
      </w:r>
      <w:r w:rsidR="00405DA0">
        <w:rPr>
          <w:noProof/>
          <w:color w:val="000000"/>
          <w:highlight w:val="black"/>
        </w:rPr>
        <w:t>''''''''''''''</w:t>
      </w:r>
      <w:r w:rsidRPr="00AB5C05">
        <w:t xml:space="preserve">). The ESC </w:t>
      </w:r>
      <w:r>
        <w:t xml:space="preserve">and PBAC </w:t>
      </w:r>
      <w:r w:rsidRPr="00AB5C05">
        <w:t xml:space="preserve">considered the weighted price for </w:t>
      </w:r>
      <w:proofErr w:type="spellStart"/>
      <w:r w:rsidRPr="00AB5C05">
        <w:t>erenumab</w:t>
      </w:r>
      <w:proofErr w:type="spellEnd"/>
      <w:r w:rsidRPr="00AB5C05">
        <w:t xml:space="preserve"> was highly dependent on the proportion of use between the two populations. The ESC </w:t>
      </w:r>
      <w:r>
        <w:t xml:space="preserve">and PBAC </w:t>
      </w:r>
      <w:r w:rsidRPr="00AB5C05">
        <w:t xml:space="preserve">further considered a higher price for </w:t>
      </w:r>
      <w:proofErr w:type="spellStart"/>
      <w:r w:rsidRPr="00AB5C05">
        <w:t>erenumab</w:t>
      </w:r>
      <w:proofErr w:type="spellEnd"/>
      <w:r w:rsidRPr="00AB5C05">
        <w:t xml:space="preserve"> for the population not currently treated with Botox compared with those treated with Botox was not adequately justified in the resubmission. </w:t>
      </w:r>
    </w:p>
    <w:p w:rsidR="00B60939" w:rsidRPr="00C9624D" w:rsidRDefault="00B60939" w:rsidP="00D87FED">
      <w:pPr>
        <w:pStyle w:val="Heading2"/>
      </w:pPr>
      <w:bookmarkStart w:id="14" w:name="_Toc535926564"/>
      <w:r w:rsidRPr="00C9624D">
        <w:lastRenderedPageBreak/>
        <w:t>Estimated PBS usage &amp; financial implications</w:t>
      </w:r>
      <w:bookmarkEnd w:id="14"/>
    </w:p>
    <w:p w:rsidR="00136410" w:rsidRDefault="00136410" w:rsidP="008C17FD">
      <w:pPr>
        <w:pStyle w:val="ListParagraph"/>
        <w:keepNext/>
        <w:numPr>
          <w:ilvl w:val="1"/>
          <w:numId w:val="2"/>
        </w:numPr>
      </w:pPr>
      <w:bookmarkStart w:id="15" w:name="_Toc535926566"/>
      <w:r>
        <w:t xml:space="preserve">The resubmission was considered by the DUSC. </w:t>
      </w:r>
      <w:r w:rsidRPr="00136410">
        <w:t xml:space="preserve">The resubmission used an epidemiological approach to estimate the utilisation and financial implications associated with the requested PBS listing of </w:t>
      </w:r>
      <w:proofErr w:type="spellStart"/>
      <w:r w:rsidRPr="00136410">
        <w:t>erenumab</w:t>
      </w:r>
      <w:proofErr w:type="spellEnd"/>
      <w:r w:rsidRPr="00136410">
        <w:t xml:space="preserve"> for chronic migraine</w:t>
      </w:r>
      <w:r w:rsidR="00821B61">
        <w:t xml:space="preserve"> (</w:t>
      </w:r>
      <w:r w:rsidR="00821B61" w:rsidRPr="00821B61">
        <w:t>Table 18</w:t>
      </w:r>
      <w:r w:rsidR="00821B61">
        <w:t>)</w:t>
      </w:r>
      <w:r w:rsidRPr="00136410">
        <w:t xml:space="preserve">. </w:t>
      </w:r>
    </w:p>
    <w:p w:rsidR="00136410" w:rsidRPr="006B38EB" w:rsidRDefault="00FB4AA2" w:rsidP="00863E22">
      <w:pPr>
        <w:keepNext/>
        <w:keepLines/>
        <w:spacing w:after="60"/>
        <w:rPr>
          <w:rFonts w:ascii="Arial Narrow" w:eastAsia="Calibri" w:hAnsi="Arial Narrow" w:cs="Arial"/>
          <w:b/>
          <w:color w:val="000000" w:themeColor="text1"/>
          <w:sz w:val="20"/>
          <w:szCs w:val="22"/>
        </w:rPr>
      </w:pPr>
      <w:bookmarkStart w:id="16" w:name="_Ref5353930"/>
      <w:r w:rsidRPr="00401364">
        <w:rPr>
          <w:rFonts w:ascii="Arial Narrow" w:hAnsi="Arial Narrow"/>
          <w:b/>
          <w:sz w:val="20"/>
          <w:szCs w:val="20"/>
        </w:rPr>
        <w:t xml:space="preserve">Table </w:t>
      </w:r>
      <w:r>
        <w:rPr>
          <w:rFonts w:ascii="Arial Narrow" w:hAnsi="Arial Narrow"/>
          <w:b/>
          <w:noProof/>
          <w:sz w:val="20"/>
          <w:szCs w:val="20"/>
        </w:rPr>
        <w:t>18</w:t>
      </w:r>
      <w:bookmarkEnd w:id="16"/>
      <w:r>
        <w:rPr>
          <w:rFonts w:ascii="Arial Narrow" w:hAnsi="Arial Narrow"/>
          <w:b/>
          <w:noProof/>
          <w:sz w:val="20"/>
          <w:szCs w:val="20"/>
        </w:rPr>
        <w:t>:</w:t>
      </w:r>
      <w:r w:rsidR="00136410" w:rsidRPr="006B38EB">
        <w:rPr>
          <w:rFonts w:ascii="Arial Narrow" w:eastAsia="Calibri" w:hAnsi="Arial Narrow" w:cs="Arial"/>
          <w:b/>
          <w:color w:val="000000" w:themeColor="text1"/>
          <w:sz w:val="20"/>
          <w:szCs w:val="22"/>
        </w:rPr>
        <w:t xml:space="preserve">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1"/>
        <w:gridCol w:w="1123"/>
        <w:gridCol w:w="1122"/>
        <w:gridCol w:w="1154"/>
        <w:gridCol w:w="1099"/>
        <w:gridCol w:w="1100"/>
        <w:gridCol w:w="1400"/>
      </w:tblGrid>
      <w:tr w:rsidR="00136410" w:rsidRPr="006B38EB" w:rsidTr="00EE180F">
        <w:trPr>
          <w:tblHeader/>
        </w:trPr>
        <w:tc>
          <w:tcPr>
            <w:tcW w:w="1094" w:type="pct"/>
            <w:shd w:val="clear" w:color="auto" w:fill="auto"/>
            <w:vAlign w:val="center"/>
          </w:tcPr>
          <w:p w:rsidR="00136410" w:rsidRPr="00C07046" w:rsidRDefault="00136410" w:rsidP="00863E22">
            <w:pPr>
              <w:pStyle w:val="Tabletext"/>
              <w:keepNext/>
              <w:keepLines/>
              <w:rPr>
                <w:color w:val="000000" w:themeColor="text1"/>
                <w:szCs w:val="20"/>
              </w:rPr>
            </w:pPr>
          </w:p>
        </w:tc>
        <w:tc>
          <w:tcPr>
            <w:tcW w:w="623" w:type="pct"/>
            <w:shd w:val="clear" w:color="auto" w:fill="auto"/>
            <w:vAlign w:val="center"/>
          </w:tcPr>
          <w:p w:rsidR="00136410" w:rsidRPr="00C07046" w:rsidRDefault="00136410" w:rsidP="00863E22">
            <w:pPr>
              <w:pStyle w:val="Tabletext"/>
              <w:keepNext/>
              <w:keepLines/>
              <w:jc w:val="center"/>
              <w:rPr>
                <w:b/>
                <w:color w:val="000000" w:themeColor="text1"/>
                <w:szCs w:val="20"/>
              </w:rPr>
            </w:pPr>
            <w:r w:rsidRPr="00C07046">
              <w:rPr>
                <w:b/>
                <w:color w:val="000000" w:themeColor="text1"/>
                <w:szCs w:val="20"/>
              </w:rPr>
              <w:t>Year 1</w:t>
            </w:r>
          </w:p>
        </w:tc>
        <w:tc>
          <w:tcPr>
            <w:tcW w:w="623" w:type="pct"/>
            <w:shd w:val="clear" w:color="auto" w:fill="auto"/>
            <w:vAlign w:val="center"/>
          </w:tcPr>
          <w:p w:rsidR="00136410" w:rsidRPr="00C07046" w:rsidRDefault="00136410" w:rsidP="00863E22">
            <w:pPr>
              <w:pStyle w:val="Tabletext"/>
              <w:keepNext/>
              <w:keepLines/>
              <w:jc w:val="center"/>
              <w:rPr>
                <w:b/>
                <w:color w:val="000000" w:themeColor="text1"/>
                <w:szCs w:val="20"/>
              </w:rPr>
            </w:pPr>
            <w:r w:rsidRPr="00C07046">
              <w:rPr>
                <w:b/>
                <w:color w:val="000000" w:themeColor="text1"/>
                <w:szCs w:val="20"/>
              </w:rPr>
              <w:t>Year 2</w:t>
            </w:r>
          </w:p>
        </w:tc>
        <w:tc>
          <w:tcPr>
            <w:tcW w:w="623" w:type="pct"/>
            <w:shd w:val="clear" w:color="auto" w:fill="auto"/>
            <w:vAlign w:val="center"/>
          </w:tcPr>
          <w:p w:rsidR="00136410" w:rsidRPr="00C07046" w:rsidRDefault="00136410" w:rsidP="00863E22">
            <w:pPr>
              <w:pStyle w:val="Tabletext"/>
              <w:keepNext/>
              <w:keepLines/>
              <w:jc w:val="center"/>
              <w:rPr>
                <w:b/>
                <w:color w:val="000000" w:themeColor="text1"/>
                <w:szCs w:val="20"/>
              </w:rPr>
            </w:pPr>
            <w:r w:rsidRPr="00C07046">
              <w:rPr>
                <w:b/>
                <w:color w:val="000000" w:themeColor="text1"/>
                <w:szCs w:val="20"/>
              </w:rPr>
              <w:t>Year 3</w:t>
            </w:r>
          </w:p>
        </w:tc>
        <w:tc>
          <w:tcPr>
            <w:tcW w:w="623" w:type="pct"/>
            <w:shd w:val="clear" w:color="auto" w:fill="auto"/>
            <w:vAlign w:val="center"/>
          </w:tcPr>
          <w:p w:rsidR="00136410" w:rsidRPr="00C07046" w:rsidRDefault="00136410" w:rsidP="00863E22">
            <w:pPr>
              <w:pStyle w:val="Tabletext"/>
              <w:keepNext/>
              <w:keepLines/>
              <w:jc w:val="center"/>
              <w:rPr>
                <w:b/>
                <w:color w:val="000000" w:themeColor="text1"/>
                <w:szCs w:val="20"/>
              </w:rPr>
            </w:pPr>
            <w:r w:rsidRPr="00C07046">
              <w:rPr>
                <w:b/>
                <w:color w:val="000000" w:themeColor="text1"/>
                <w:szCs w:val="20"/>
              </w:rPr>
              <w:t>Year 4</w:t>
            </w:r>
          </w:p>
        </w:tc>
        <w:tc>
          <w:tcPr>
            <w:tcW w:w="623" w:type="pct"/>
            <w:shd w:val="clear" w:color="auto" w:fill="auto"/>
            <w:vAlign w:val="center"/>
          </w:tcPr>
          <w:p w:rsidR="00136410" w:rsidRPr="00C07046" w:rsidRDefault="00136410" w:rsidP="00863E22">
            <w:pPr>
              <w:pStyle w:val="Tabletext"/>
              <w:keepNext/>
              <w:keepLines/>
              <w:jc w:val="center"/>
              <w:rPr>
                <w:b/>
                <w:color w:val="000000" w:themeColor="text1"/>
                <w:szCs w:val="20"/>
              </w:rPr>
            </w:pPr>
            <w:r w:rsidRPr="00C07046">
              <w:rPr>
                <w:b/>
                <w:color w:val="000000" w:themeColor="text1"/>
                <w:szCs w:val="20"/>
              </w:rPr>
              <w:t>Year 5</w:t>
            </w:r>
          </w:p>
        </w:tc>
        <w:tc>
          <w:tcPr>
            <w:tcW w:w="791" w:type="pct"/>
            <w:vAlign w:val="center"/>
          </w:tcPr>
          <w:p w:rsidR="00136410" w:rsidRPr="00C07046" w:rsidRDefault="00136410" w:rsidP="00863E22">
            <w:pPr>
              <w:pStyle w:val="Tabletext"/>
              <w:keepNext/>
              <w:keepLines/>
              <w:jc w:val="center"/>
              <w:rPr>
                <w:b/>
                <w:color w:val="000000" w:themeColor="text1"/>
                <w:szCs w:val="20"/>
              </w:rPr>
            </w:pPr>
            <w:r w:rsidRPr="00C07046">
              <w:rPr>
                <w:b/>
                <w:color w:val="000000" w:themeColor="text1"/>
                <w:szCs w:val="20"/>
              </w:rPr>
              <w:t>Year 6</w:t>
            </w:r>
          </w:p>
        </w:tc>
      </w:tr>
      <w:tr w:rsidR="00136410" w:rsidRPr="006B38EB" w:rsidTr="00EE180F">
        <w:tc>
          <w:tcPr>
            <w:tcW w:w="5000" w:type="pct"/>
            <w:gridSpan w:val="7"/>
            <w:shd w:val="clear" w:color="auto" w:fill="auto"/>
            <w:vAlign w:val="center"/>
          </w:tcPr>
          <w:p w:rsidR="00136410" w:rsidRPr="00C07046" w:rsidRDefault="00136410" w:rsidP="00863E22">
            <w:pPr>
              <w:pStyle w:val="Tabletext"/>
              <w:keepNext/>
              <w:keepLines/>
              <w:rPr>
                <w:b/>
                <w:bCs/>
                <w:color w:val="000000" w:themeColor="text1"/>
                <w:szCs w:val="20"/>
              </w:rPr>
            </w:pPr>
            <w:r w:rsidRPr="00C07046">
              <w:rPr>
                <w:b/>
                <w:bCs/>
                <w:color w:val="000000" w:themeColor="text1"/>
                <w:szCs w:val="20"/>
              </w:rPr>
              <w:t>Estimated extent of use</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Number of patients treated</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rFonts w:cs="Arial"/>
                <w:noProof/>
                <w:color w:val="000000"/>
                <w:szCs w:val="20"/>
                <w:highlight w:val="black"/>
              </w:rPr>
              <w:t>''''''''''''''''</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rFonts w:cs="Arial"/>
                <w:noProof/>
                <w:color w:val="000000"/>
                <w:szCs w:val="20"/>
                <w:highlight w:val="black"/>
              </w:rPr>
              <w:t>'''''''''''''''</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rFonts w:cs="Arial"/>
                <w:noProof/>
                <w:color w:val="000000"/>
                <w:szCs w:val="20"/>
                <w:highlight w:val="black"/>
              </w:rPr>
              <w:t>'''''''''''''''</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rFonts w:cs="Arial"/>
                <w:noProof/>
                <w:color w:val="000000"/>
                <w:szCs w:val="20"/>
                <w:highlight w:val="black"/>
              </w:rPr>
              <w:t>'''''''''''''''''</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rFonts w:cs="Arial"/>
                <w:noProof/>
                <w:color w:val="000000"/>
                <w:szCs w:val="20"/>
                <w:highlight w:val="black"/>
              </w:rPr>
              <w:t>''''''''''''''''''</w:t>
            </w:r>
          </w:p>
        </w:tc>
        <w:tc>
          <w:tcPr>
            <w:tcW w:w="791" w:type="pct"/>
            <w:vAlign w:val="center"/>
          </w:tcPr>
          <w:p w:rsidR="00136410" w:rsidRPr="00405DA0" w:rsidRDefault="00405DA0" w:rsidP="00863E22">
            <w:pPr>
              <w:pStyle w:val="Tabletext"/>
              <w:keepNext/>
              <w:keepLines/>
              <w:jc w:val="center"/>
              <w:rPr>
                <w:bCs/>
                <w:color w:val="000000" w:themeColor="text1"/>
                <w:szCs w:val="20"/>
                <w:highlight w:val="black"/>
              </w:rPr>
            </w:pPr>
            <w:r>
              <w:rPr>
                <w:rFonts w:cs="Arial"/>
                <w:noProof/>
                <w:color w:val="000000"/>
                <w:szCs w:val="20"/>
                <w:highlight w:val="black"/>
              </w:rPr>
              <w:t>''''''''''''''''</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 xml:space="preserve">Number of scripts </w:t>
            </w:r>
            <w:proofErr w:type="spellStart"/>
            <w:r w:rsidRPr="00C07046">
              <w:rPr>
                <w:color w:val="000000" w:themeColor="text1"/>
                <w:szCs w:val="20"/>
              </w:rPr>
              <w:t>dispensed</w:t>
            </w:r>
            <w:r w:rsidRPr="00C07046">
              <w:rPr>
                <w:color w:val="000000" w:themeColor="text1"/>
                <w:szCs w:val="20"/>
                <w:vertAlign w:val="superscript"/>
              </w:rPr>
              <w:t>a</w:t>
            </w:r>
            <w:proofErr w:type="spellEnd"/>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noProof/>
                <w:color w:val="000000"/>
                <w:szCs w:val="20"/>
                <w:highlight w:val="black"/>
              </w:rPr>
              <w:t xml:space="preserve"> ''''''''''''''''''' </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noProof/>
                <w:color w:val="000000"/>
                <w:szCs w:val="20"/>
                <w:highlight w:val="black"/>
              </w:rPr>
              <w:t xml:space="preserve"> ''''''''''''''''' </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noProof/>
                <w:color w:val="000000"/>
                <w:szCs w:val="20"/>
                <w:highlight w:val="black"/>
              </w:rPr>
              <w:t xml:space="preserve"> ''''''''''''''''''' </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noProof/>
                <w:color w:val="000000"/>
                <w:szCs w:val="20"/>
                <w:highlight w:val="black"/>
              </w:rPr>
              <w:t xml:space="preserve"> '''''''''''''''''' </w:t>
            </w:r>
          </w:p>
        </w:tc>
        <w:tc>
          <w:tcPr>
            <w:tcW w:w="623" w:type="pct"/>
            <w:shd w:val="clear" w:color="auto" w:fill="auto"/>
            <w:vAlign w:val="center"/>
          </w:tcPr>
          <w:p w:rsidR="00136410" w:rsidRPr="00405DA0" w:rsidRDefault="00405DA0" w:rsidP="00863E22">
            <w:pPr>
              <w:pStyle w:val="Tabletext"/>
              <w:keepNext/>
              <w:keepLines/>
              <w:jc w:val="center"/>
              <w:rPr>
                <w:bCs/>
                <w:color w:val="000000" w:themeColor="text1"/>
                <w:szCs w:val="20"/>
                <w:highlight w:val="black"/>
              </w:rPr>
            </w:pPr>
            <w:r>
              <w:rPr>
                <w:noProof/>
                <w:color w:val="000000"/>
                <w:szCs w:val="20"/>
                <w:highlight w:val="black"/>
              </w:rPr>
              <w:t xml:space="preserve"> '''''''''''''''''' </w:t>
            </w:r>
          </w:p>
        </w:tc>
        <w:tc>
          <w:tcPr>
            <w:tcW w:w="791" w:type="pct"/>
            <w:vAlign w:val="center"/>
          </w:tcPr>
          <w:p w:rsidR="00136410" w:rsidRPr="00405DA0" w:rsidRDefault="00405DA0" w:rsidP="00863E22">
            <w:pPr>
              <w:pStyle w:val="Tabletext"/>
              <w:keepNext/>
              <w:keepLines/>
              <w:jc w:val="center"/>
              <w:rPr>
                <w:bCs/>
                <w:color w:val="000000" w:themeColor="text1"/>
                <w:szCs w:val="20"/>
                <w:highlight w:val="black"/>
              </w:rPr>
            </w:pPr>
            <w:r>
              <w:rPr>
                <w:noProof/>
                <w:color w:val="000000"/>
                <w:szCs w:val="20"/>
                <w:highlight w:val="black"/>
              </w:rPr>
              <w:t xml:space="preserve"> ''''''''''''''''''''' </w:t>
            </w:r>
          </w:p>
        </w:tc>
      </w:tr>
      <w:tr w:rsidR="00136410" w:rsidRPr="006B38EB" w:rsidTr="00EE180F">
        <w:tc>
          <w:tcPr>
            <w:tcW w:w="5000" w:type="pct"/>
            <w:gridSpan w:val="7"/>
            <w:shd w:val="clear" w:color="auto" w:fill="auto"/>
            <w:vAlign w:val="center"/>
          </w:tcPr>
          <w:p w:rsidR="00136410" w:rsidRPr="00C07046" w:rsidRDefault="00136410" w:rsidP="00863E22">
            <w:pPr>
              <w:pStyle w:val="Tabletext"/>
              <w:keepNext/>
              <w:keepLines/>
              <w:rPr>
                <w:b/>
                <w:bCs/>
                <w:color w:val="000000" w:themeColor="text1"/>
                <w:szCs w:val="20"/>
              </w:rPr>
            </w:pPr>
            <w:r w:rsidRPr="00C07046">
              <w:rPr>
                <w:b/>
                <w:bCs/>
                <w:color w:val="000000" w:themeColor="text1"/>
                <w:szCs w:val="20"/>
              </w:rPr>
              <w:t xml:space="preserve">Estimated financial implications of </w:t>
            </w:r>
            <w:proofErr w:type="spellStart"/>
            <w:r w:rsidRPr="00C07046">
              <w:rPr>
                <w:b/>
                <w:bCs/>
                <w:color w:val="000000" w:themeColor="text1"/>
                <w:szCs w:val="20"/>
              </w:rPr>
              <w:t>erenumab</w:t>
            </w:r>
            <w:proofErr w:type="spellEnd"/>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Cost to PBS/RPBS</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791" w:type="pct"/>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Copayments</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791" w:type="pct"/>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Cost to PBS/RPBS less copayments</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791" w:type="pct"/>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Cost offsets for substituted Botox</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791" w:type="pct"/>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r>
      <w:tr w:rsidR="00136410" w:rsidRPr="006B38EB" w:rsidTr="00EE180F">
        <w:tc>
          <w:tcPr>
            <w:tcW w:w="5000" w:type="pct"/>
            <w:gridSpan w:val="7"/>
            <w:shd w:val="clear" w:color="auto" w:fill="auto"/>
            <w:vAlign w:val="center"/>
          </w:tcPr>
          <w:p w:rsidR="00136410" w:rsidRPr="00C07046" w:rsidRDefault="00136410" w:rsidP="00863E22">
            <w:pPr>
              <w:pStyle w:val="Tabletext"/>
              <w:keepNext/>
              <w:keepLines/>
              <w:rPr>
                <w:bCs/>
                <w:color w:val="000000" w:themeColor="text1"/>
                <w:szCs w:val="20"/>
              </w:rPr>
            </w:pPr>
            <w:r w:rsidRPr="00C07046">
              <w:rPr>
                <w:b/>
                <w:bCs/>
                <w:color w:val="000000" w:themeColor="text1"/>
                <w:szCs w:val="20"/>
              </w:rPr>
              <w:t xml:space="preserve">Net financial implications </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Net cost to PBS/RPBS</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791" w:type="pct"/>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color w:val="000000" w:themeColor="text1"/>
                <w:szCs w:val="20"/>
              </w:rPr>
              <w:t>Net cost to MBS</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c>
          <w:tcPr>
            <w:tcW w:w="791" w:type="pct"/>
            <w:vAlign w:val="center"/>
          </w:tcPr>
          <w:p w:rsidR="00136410" w:rsidRPr="00C07046" w:rsidRDefault="00136410" w:rsidP="00863E22">
            <w:pPr>
              <w:pStyle w:val="Tabletext"/>
              <w:keepNext/>
              <w:keepLines/>
              <w:jc w:val="center"/>
              <w:rPr>
                <w:bCs/>
                <w:color w:val="000000" w:themeColor="text1"/>
                <w:szCs w:val="20"/>
              </w:rPr>
            </w:pPr>
            <w:r w:rsidRPr="00C07046">
              <w:rPr>
                <w:rFonts w:cs="Arial"/>
                <w:color w:val="000000" w:themeColor="text1"/>
                <w:szCs w:val="20"/>
              </w:rPr>
              <w:t>-$</w:t>
            </w:r>
            <w:r w:rsidR="00405DA0">
              <w:rPr>
                <w:rFonts w:cs="Arial"/>
                <w:noProof/>
                <w:color w:val="000000"/>
                <w:szCs w:val="20"/>
                <w:highlight w:val="black"/>
              </w:rPr>
              <w:t>'''''''''''''''''''''</w:t>
            </w:r>
          </w:p>
        </w:tc>
      </w:tr>
      <w:tr w:rsidR="00136410" w:rsidRPr="006B38EB" w:rsidTr="00EE180F">
        <w:tc>
          <w:tcPr>
            <w:tcW w:w="1094" w:type="pct"/>
            <w:shd w:val="clear" w:color="auto" w:fill="auto"/>
            <w:vAlign w:val="center"/>
          </w:tcPr>
          <w:p w:rsidR="00136410" w:rsidRPr="00C07046" w:rsidRDefault="00136410" w:rsidP="00863E22">
            <w:pPr>
              <w:pStyle w:val="Tabletext"/>
              <w:keepNext/>
              <w:keepLines/>
              <w:rPr>
                <w:color w:val="000000" w:themeColor="text1"/>
                <w:szCs w:val="20"/>
              </w:rPr>
            </w:pPr>
            <w:r w:rsidRPr="00C07046">
              <w:rPr>
                <w:b/>
                <w:color w:val="000000" w:themeColor="text1"/>
                <w:szCs w:val="20"/>
              </w:rPr>
              <w:t>Overall net cost to Government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b/>
                <w:bCs/>
                <w:color w:val="000000" w:themeColor="text1"/>
                <w:szCs w:val="20"/>
              </w:rPr>
              <w:t>$</w:t>
            </w:r>
            <w:r w:rsidR="00405DA0">
              <w:rPr>
                <w:rFonts w:cs="Arial"/>
                <w:b/>
                <w:bCs/>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b/>
                <w:bCs/>
                <w:color w:val="000000" w:themeColor="text1"/>
                <w:szCs w:val="20"/>
              </w:rPr>
              <w:t>$</w:t>
            </w:r>
            <w:r w:rsidR="00405DA0">
              <w:rPr>
                <w:rFonts w:cs="Arial"/>
                <w:b/>
                <w:bCs/>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b/>
                <w:bCs/>
                <w:color w:val="000000" w:themeColor="text1"/>
                <w:szCs w:val="20"/>
              </w:rPr>
              <w:t>$</w:t>
            </w:r>
            <w:r w:rsidR="00405DA0">
              <w:rPr>
                <w:rFonts w:cs="Arial"/>
                <w:b/>
                <w:bCs/>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b/>
                <w:bCs/>
                <w:color w:val="000000" w:themeColor="text1"/>
                <w:szCs w:val="20"/>
              </w:rPr>
              <w:t>$</w:t>
            </w:r>
            <w:r w:rsidR="00405DA0">
              <w:rPr>
                <w:rFonts w:cs="Arial"/>
                <w:b/>
                <w:bCs/>
                <w:noProof/>
                <w:color w:val="000000"/>
                <w:szCs w:val="20"/>
                <w:highlight w:val="black"/>
              </w:rPr>
              <w:t>''''''''''''''''''''''''</w:t>
            </w:r>
          </w:p>
        </w:tc>
        <w:tc>
          <w:tcPr>
            <w:tcW w:w="623" w:type="pct"/>
            <w:shd w:val="clear" w:color="auto" w:fill="auto"/>
            <w:vAlign w:val="center"/>
          </w:tcPr>
          <w:p w:rsidR="00136410" w:rsidRPr="00C07046" w:rsidRDefault="00136410" w:rsidP="00863E22">
            <w:pPr>
              <w:pStyle w:val="Tabletext"/>
              <w:keepNext/>
              <w:keepLines/>
              <w:jc w:val="center"/>
              <w:rPr>
                <w:bCs/>
                <w:color w:val="000000" w:themeColor="text1"/>
                <w:szCs w:val="20"/>
              </w:rPr>
            </w:pPr>
            <w:r w:rsidRPr="00C07046">
              <w:rPr>
                <w:rFonts w:cs="Arial"/>
                <w:b/>
                <w:bCs/>
                <w:color w:val="000000" w:themeColor="text1"/>
                <w:szCs w:val="20"/>
              </w:rPr>
              <w:t>$</w:t>
            </w:r>
            <w:r w:rsidR="00405DA0">
              <w:rPr>
                <w:rFonts w:cs="Arial"/>
                <w:b/>
                <w:bCs/>
                <w:noProof/>
                <w:color w:val="000000"/>
                <w:szCs w:val="20"/>
                <w:highlight w:val="black"/>
              </w:rPr>
              <w:t>'''''''''''''''''''''''</w:t>
            </w:r>
          </w:p>
        </w:tc>
        <w:tc>
          <w:tcPr>
            <w:tcW w:w="791" w:type="pct"/>
            <w:vAlign w:val="center"/>
          </w:tcPr>
          <w:p w:rsidR="00136410" w:rsidRPr="00C07046" w:rsidRDefault="00136410" w:rsidP="00863E22">
            <w:pPr>
              <w:pStyle w:val="Tabletext"/>
              <w:keepNext/>
              <w:keepLines/>
              <w:jc w:val="center"/>
              <w:rPr>
                <w:bCs/>
                <w:color w:val="000000" w:themeColor="text1"/>
                <w:szCs w:val="20"/>
              </w:rPr>
            </w:pPr>
            <w:r w:rsidRPr="00C07046">
              <w:rPr>
                <w:rFonts w:cs="Arial"/>
                <w:b/>
                <w:bCs/>
                <w:color w:val="000000" w:themeColor="text1"/>
                <w:szCs w:val="20"/>
              </w:rPr>
              <w:t>$</w:t>
            </w:r>
            <w:r w:rsidR="00405DA0">
              <w:rPr>
                <w:rFonts w:cs="Arial"/>
                <w:b/>
                <w:bCs/>
                <w:noProof/>
                <w:color w:val="000000"/>
                <w:szCs w:val="20"/>
                <w:highlight w:val="black"/>
              </w:rPr>
              <w:t>''''''''''''''''''''''''</w:t>
            </w:r>
          </w:p>
        </w:tc>
      </w:tr>
    </w:tbl>
    <w:p w:rsidR="00136410" w:rsidRPr="009111A3" w:rsidRDefault="00136410" w:rsidP="00863E22">
      <w:pPr>
        <w:pStyle w:val="TableFooter"/>
        <w:keepNext/>
        <w:keepLines/>
        <w:tabs>
          <w:tab w:val="left" w:pos="142"/>
        </w:tabs>
        <w:rPr>
          <w:color w:val="000000" w:themeColor="text1"/>
          <w:szCs w:val="18"/>
        </w:rPr>
      </w:pPr>
      <w:proofErr w:type="spellStart"/>
      <w:proofErr w:type="gramStart"/>
      <w:r w:rsidRPr="009111A3">
        <w:rPr>
          <w:color w:val="000000" w:themeColor="text1"/>
          <w:szCs w:val="18"/>
          <w:vertAlign w:val="superscript"/>
        </w:rPr>
        <w:t>a</w:t>
      </w:r>
      <w:proofErr w:type="spellEnd"/>
      <w:proofErr w:type="gramEnd"/>
      <w:r w:rsidRPr="009111A3">
        <w:rPr>
          <w:color w:val="000000" w:themeColor="text1"/>
          <w:szCs w:val="18"/>
        </w:rPr>
        <w:tab/>
        <w:t>Assuming initiating patients will use 4.25 scripts per year and continuing patients will use 10.40 scripts per year.</w:t>
      </w:r>
    </w:p>
    <w:p w:rsidR="00136410" w:rsidRPr="009111A3" w:rsidRDefault="00136410" w:rsidP="00863E22">
      <w:pPr>
        <w:pStyle w:val="TableFooter"/>
        <w:keepNext/>
        <w:keepLines/>
        <w:tabs>
          <w:tab w:val="left" w:pos="142"/>
        </w:tabs>
        <w:rPr>
          <w:color w:val="000000" w:themeColor="text1"/>
          <w:szCs w:val="18"/>
        </w:rPr>
      </w:pPr>
      <w:proofErr w:type="gramStart"/>
      <w:r w:rsidRPr="009111A3">
        <w:rPr>
          <w:color w:val="000000" w:themeColor="text1"/>
          <w:szCs w:val="18"/>
          <w:vertAlign w:val="superscript"/>
        </w:rPr>
        <w:t>b</w:t>
      </w:r>
      <w:proofErr w:type="gramEnd"/>
      <w:r w:rsidRPr="009111A3">
        <w:rPr>
          <w:color w:val="000000" w:themeColor="text1"/>
          <w:szCs w:val="18"/>
        </w:rPr>
        <w:tab/>
        <w:t>Assuming 13.04 scripts per year and for patients in their first year of treatment a half-year correction was applied (6.52 scripts).</w:t>
      </w:r>
    </w:p>
    <w:p w:rsidR="00136410" w:rsidRPr="009111A3" w:rsidRDefault="00136410" w:rsidP="00863E22">
      <w:pPr>
        <w:pStyle w:val="TableFooter"/>
        <w:keepNext/>
        <w:keepLines/>
        <w:rPr>
          <w:rStyle w:val="CommentReference"/>
          <w:color w:val="000000" w:themeColor="text1"/>
          <w:sz w:val="18"/>
          <w:szCs w:val="18"/>
        </w:rPr>
      </w:pPr>
      <w:r w:rsidRPr="009111A3">
        <w:rPr>
          <w:color w:val="000000" w:themeColor="text1"/>
          <w:szCs w:val="18"/>
        </w:rPr>
        <w:t>Source: Table 14, 5.05.COM.20.</w:t>
      </w:r>
    </w:p>
    <w:p w:rsidR="00136410" w:rsidRDefault="00136410" w:rsidP="00863E22">
      <w:pPr>
        <w:keepNext/>
        <w:keepLines/>
      </w:pPr>
    </w:p>
    <w:p w:rsidR="00077A2A" w:rsidRDefault="00077A2A" w:rsidP="008C17FD">
      <w:pPr>
        <w:pStyle w:val="ListParagraph"/>
        <w:keepNext/>
        <w:numPr>
          <w:ilvl w:val="1"/>
          <w:numId w:val="2"/>
        </w:numPr>
        <w:spacing w:after="120"/>
      </w:pPr>
      <w:r w:rsidRPr="0027085D">
        <w:rPr>
          <w:rFonts w:asciiTheme="minorHAnsi" w:hAnsiTheme="minorHAnsi" w:cs="Arial"/>
          <w:snapToGrid w:val="0"/>
        </w:rPr>
        <w:t xml:space="preserve">The overall estimated net cost to the Government for the first 6 years of </w:t>
      </w:r>
      <w:proofErr w:type="spellStart"/>
      <w:r w:rsidRPr="0027085D">
        <w:rPr>
          <w:rFonts w:asciiTheme="minorHAnsi" w:hAnsiTheme="minorHAnsi" w:cs="Arial"/>
          <w:snapToGrid w:val="0"/>
        </w:rPr>
        <w:t>erenumab</w:t>
      </w:r>
      <w:proofErr w:type="spellEnd"/>
      <w:r w:rsidRPr="0027085D">
        <w:rPr>
          <w:rFonts w:asciiTheme="minorHAnsi" w:hAnsiTheme="minorHAnsi" w:cs="Arial"/>
          <w:snapToGrid w:val="0"/>
        </w:rPr>
        <w:t xml:space="preserve"> listing was</w:t>
      </w:r>
      <w:r w:rsidR="00874C7C">
        <w:rPr>
          <w:rFonts w:asciiTheme="minorHAnsi" w:hAnsiTheme="minorHAnsi" w:cs="Arial"/>
          <w:snapToGrid w:val="0"/>
        </w:rPr>
        <w:t xml:space="preserve"> more than</w:t>
      </w:r>
      <w:r w:rsidRPr="0027085D">
        <w:rPr>
          <w:rFonts w:asciiTheme="minorHAnsi" w:hAnsiTheme="minorHAnsi" w:cs="Arial"/>
          <w:snapToGrid w:val="0"/>
        </w:rPr>
        <w:t xml:space="preserve"> $</w:t>
      </w:r>
      <w:r w:rsidR="00874C7C">
        <w:rPr>
          <w:rFonts w:asciiTheme="minorHAnsi" w:hAnsiTheme="minorHAnsi" w:cs="Arial"/>
          <w:snapToGrid w:val="0"/>
        </w:rPr>
        <w:t>100</w:t>
      </w:r>
      <w:r w:rsidRPr="0027085D">
        <w:rPr>
          <w:rFonts w:asciiTheme="minorHAnsi" w:hAnsiTheme="minorHAnsi" w:cs="Arial"/>
          <w:snapToGrid w:val="0"/>
        </w:rPr>
        <w:t xml:space="preserve"> </w:t>
      </w:r>
      <w:r w:rsidR="00874C7C">
        <w:rPr>
          <w:rFonts w:asciiTheme="minorHAnsi" w:hAnsiTheme="minorHAnsi" w:cs="Arial"/>
          <w:snapToGrid w:val="0"/>
        </w:rPr>
        <w:t xml:space="preserve">million </w:t>
      </w:r>
      <w:r>
        <w:rPr>
          <w:rFonts w:asciiTheme="minorHAnsi" w:hAnsiTheme="minorHAnsi" w:cs="Arial"/>
          <w:snapToGrid w:val="0"/>
        </w:rPr>
        <w:t xml:space="preserve">with an estimated total number of treated patients of </w:t>
      </w:r>
      <w:r w:rsidR="00874C7C">
        <w:rPr>
          <w:rFonts w:asciiTheme="minorHAnsi" w:hAnsiTheme="minorHAnsi" w:cs="Arial"/>
          <w:snapToGrid w:val="0"/>
        </w:rPr>
        <w:t>over 200,000</w:t>
      </w:r>
      <w:r>
        <w:rPr>
          <w:rFonts w:asciiTheme="minorHAnsi" w:hAnsiTheme="minorHAnsi" w:cs="Arial"/>
          <w:snapToGrid w:val="0"/>
        </w:rPr>
        <w:t>.</w:t>
      </w:r>
    </w:p>
    <w:p w:rsidR="0053136E" w:rsidRDefault="0053136E" w:rsidP="008C17FD">
      <w:pPr>
        <w:pStyle w:val="ListParagraph"/>
        <w:keepNext/>
        <w:numPr>
          <w:ilvl w:val="1"/>
          <w:numId w:val="2"/>
        </w:numPr>
        <w:spacing w:after="120"/>
      </w:pPr>
      <w:r>
        <w:t>The resubmission considered the following patients:</w:t>
      </w:r>
    </w:p>
    <w:p w:rsidR="0053136E" w:rsidRDefault="0053136E" w:rsidP="008330AD">
      <w:pPr>
        <w:pStyle w:val="Bulletpoints"/>
        <w:spacing w:after="120"/>
        <w:ind w:left="1276"/>
      </w:pPr>
      <w:r>
        <w:t>Botox patients</w:t>
      </w:r>
      <w:r w:rsidR="00821B61">
        <w:t>:</w:t>
      </w:r>
    </w:p>
    <w:p w:rsidR="0053136E" w:rsidRDefault="0053136E" w:rsidP="008330AD">
      <w:pPr>
        <w:pStyle w:val="Bulletpoints"/>
        <w:spacing w:after="120"/>
        <w:ind w:left="1701" w:hanging="283"/>
      </w:pPr>
      <w:r>
        <w:t>Those who have failed Botox treatment.</w:t>
      </w:r>
    </w:p>
    <w:p w:rsidR="0053136E" w:rsidRDefault="0053136E" w:rsidP="008330AD">
      <w:pPr>
        <w:pStyle w:val="Bulletpoints"/>
        <w:spacing w:after="120"/>
        <w:ind w:left="1701" w:hanging="283"/>
      </w:pPr>
      <w:r>
        <w:t xml:space="preserve">Those currently treated with Botox who will switch to </w:t>
      </w:r>
      <w:proofErr w:type="spellStart"/>
      <w:r>
        <w:t>erenumab</w:t>
      </w:r>
      <w:proofErr w:type="spellEnd"/>
      <w:r>
        <w:t>.</w:t>
      </w:r>
    </w:p>
    <w:p w:rsidR="0053136E" w:rsidRDefault="0053136E" w:rsidP="008330AD">
      <w:pPr>
        <w:pStyle w:val="Bulletpoints"/>
        <w:spacing w:after="120"/>
        <w:ind w:left="1701" w:hanging="283"/>
      </w:pPr>
      <w:r>
        <w:t>Patients who are naïve to Botox (annual initiators).</w:t>
      </w:r>
    </w:p>
    <w:p w:rsidR="0053136E" w:rsidRDefault="0053136E" w:rsidP="008330AD">
      <w:pPr>
        <w:pStyle w:val="Bulletpoints"/>
        <w:spacing w:after="120"/>
        <w:ind w:left="1276"/>
      </w:pPr>
      <w:r>
        <w:t xml:space="preserve">Non-Botox </w:t>
      </w:r>
      <w:r w:rsidR="00B31760">
        <w:t xml:space="preserve">(BSC) </w:t>
      </w:r>
      <w:r>
        <w:t>patients:</w:t>
      </w:r>
    </w:p>
    <w:p w:rsidR="0053136E" w:rsidRDefault="0053136E" w:rsidP="008330AD">
      <w:pPr>
        <w:pStyle w:val="Bulletpoints"/>
        <w:spacing w:after="120"/>
        <w:ind w:left="1701" w:hanging="283"/>
      </w:pPr>
      <w:r>
        <w:t xml:space="preserve">High-frequency </w:t>
      </w:r>
      <w:proofErr w:type="spellStart"/>
      <w:r>
        <w:t>triptan</w:t>
      </w:r>
      <w:proofErr w:type="spellEnd"/>
      <w:r>
        <w:t xml:space="preserve"> users.</w:t>
      </w:r>
    </w:p>
    <w:p w:rsidR="0053136E" w:rsidRDefault="0053136E" w:rsidP="008330AD">
      <w:pPr>
        <w:pStyle w:val="Bulletpoints"/>
        <w:spacing w:after="120"/>
        <w:ind w:left="1701" w:hanging="283"/>
      </w:pPr>
      <w:r>
        <w:t>Other patients diagnosed with chronic migraine who are treated by a GP.</w:t>
      </w:r>
    </w:p>
    <w:p w:rsidR="0053136E" w:rsidRDefault="0053136E" w:rsidP="008330AD">
      <w:pPr>
        <w:pStyle w:val="Bulletpoints"/>
        <w:spacing w:after="120"/>
        <w:ind w:left="1701" w:hanging="283"/>
      </w:pPr>
      <w:r>
        <w:t>Undiagnosed chronic migraine patients</w:t>
      </w:r>
    </w:p>
    <w:p w:rsidR="00077A2A" w:rsidRPr="004D2A83" w:rsidRDefault="004D2A83" w:rsidP="008330AD">
      <w:pPr>
        <w:keepNext/>
        <w:spacing w:after="120"/>
        <w:rPr>
          <w:rFonts w:asciiTheme="minorHAnsi" w:hAnsiTheme="minorHAnsi" w:cs="Arial"/>
          <w:snapToGrid w:val="0"/>
          <w:u w:val="single"/>
        </w:rPr>
      </w:pPr>
      <w:r w:rsidRPr="004D2A83">
        <w:rPr>
          <w:rFonts w:asciiTheme="minorHAnsi" w:hAnsiTheme="minorHAnsi" w:cs="Arial"/>
          <w:snapToGrid w:val="0"/>
          <w:u w:val="single"/>
        </w:rPr>
        <w:t>Botox populations</w:t>
      </w:r>
    </w:p>
    <w:p w:rsidR="007A093A" w:rsidRDefault="007A093A" w:rsidP="008C17FD">
      <w:pPr>
        <w:pStyle w:val="ListParagraph"/>
        <w:numPr>
          <w:ilvl w:val="1"/>
          <w:numId w:val="2"/>
        </w:numPr>
        <w:spacing w:after="120"/>
        <w:rPr>
          <w:rFonts w:asciiTheme="minorHAnsi" w:hAnsiTheme="minorHAnsi" w:cs="Arial"/>
          <w:snapToGrid w:val="0"/>
        </w:rPr>
      </w:pPr>
      <w:r>
        <w:rPr>
          <w:rFonts w:asciiTheme="minorHAnsi" w:hAnsiTheme="minorHAnsi" w:cs="Arial"/>
          <w:snapToGrid w:val="0"/>
        </w:rPr>
        <w:t>The resubmission assumed growth in the non-Botox population but not the Botox population.</w:t>
      </w:r>
    </w:p>
    <w:p w:rsidR="00782D59" w:rsidRDefault="004D2A83" w:rsidP="008C17FD">
      <w:pPr>
        <w:pStyle w:val="ListParagraph"/>
        <w:numPr>
          <w:ilvl w:val="1"/>
          <w:numId w:val="2"/>
        </w:numPr>
        <w:spacing w:after="120"/>
        <w:rPr>
          <w:rFonts w:asciiTheme="minorHAnsi" w:hAnsiTheme="minorHAnsi" w:cs="Arial"/>
          <w:snapToGrid w:val="0"/>
        </w:rPr>
      </w:pPr>
      <w:r>
        <w:rPr>
          <w:rFonts w:asciiTheme="minorHAnsi" w:hAnsiTheme="minorHAnsi" w:cs="Arial"/>
          <w:snapToGrid w:val="0"/>
        </w:rPr>
        <w:lastRenderedPageBreak/>
        <w:t>T</w:t>
      </w:r>
      <w:r w:rsidR="00782D59">
        <w:rPr>
          <w:rFonts w:asciiTheme="minorHAnsi" w:hAnsiTheme="minorHAnsi" w:cs="Arial"/>
          <w:snapToGrid w:val="0"/>
        </w:rPr>
        <w:t xml:space="preserve">he DUSC considered the application of linear extrapolation was likely to overestimate the total Botox </w:t>
      </w:r>
      <w:r w:rsidR="007A093A">
        <w:rPr>
          <w:rFonts w:asciiTheme="minorHAnsi" w:hAnsiTheme="minorHAnsi" w:cs="Arial"/>
          <w:snapToGrid w:val="0"/>
        </w:rPr>
        <w:t>sub-</w:t>
      </w:r>
      <w:r w:rsidR="00782D59">
        <w:rPr>
          <w:rFonts w:asciiTheme="minorHAnsi" w:hAnsiTheme="minorHAnsi" w:cs="Arial"/>
          <w:snapToGrid w:val="0"/>
        </w:rPr>
        <w:t xml:space="preserve">populations. </w:t>
      </w:r>
    </w:p>
    <w:p w:rsidR="00861478" w:rsidRDefault="00782D59" w:rsidP="008C17FD">
      <w:pPr>
        <w:pStyle w:val="ListParagraph"/>
        <w:numPr>
          <w:ilvl w:val="1"/>
          <w:numId w:val="2"/>
        </w:numPr>
        <w:spacing w:after="120"/>
        <w:rPr>
          <w:rFonts w:asciiTheme="minorHAnsi" w:hAnsiTheme="minorHAnsi" w:cs="Arial"/>
          <w:snapToGrid w:val="0"/>
        </w:rPr>
      </w:pPr>
      <w:r>
        <w:rPr>
          <w:rFonts w:asciiTheme="minorHAnsi" w:hAnsiTheme="minorHAnsi" w:cs="Arial"/>
          <w:snapToGrid w:val="0"/>
        </w:rPr>
        <w:t>T</w:t>
      </w:r>
      <w:r w:rsidR="004D2A83">
        <w:rPr>
          <w:rFonts w:asciiTheme="minorHAnsi" w:hAnsiTheme="minorHAnsi" w:cs="Arial"/>
          <w:snapToGrid w:val="0"/>
        </w:rPr>
        <w:t>he DUSC considered the estimated rate of uptake in the Botox switch and initiator population</w:t>
      </w:r>
      <w:r w:rsidR="009D5053">
        <w:rPr>
          <w:rFonts w:asciiTheme="minorHAnsi" w:hAnsiTheme="minorHAnsi" w:cs="Arial"/>
          <w:snapToGrid w:val="0"/>
        </w:rPr>
        <w:t>s</w:t>
      </w:r>
      <w:r w:rsidR="004D2A83">
        <w:rPr>
          <w:rFonts w:asciiTheme="minorHAnsi" w:hAnsiTheme="minorHAnsi" w:cs="Arial"/>
          <w:snapToGrid w:val="0"/>
        </w:rPr>
        <w:t xml:space="preserve"> were reasonab</w:t>
      </w:r>
      <w:r>
        <w:rPr>
          <w:rFonts w:asciiTheme="minorHAnsi" w:hAnsiTheme="minorHAnsi" w:cs="Arial"/>
          <w:snapToGrid w:val="0"/>
        </w:rPr>
        <w:t xml:space="preserve">le. </w:t>
      </w:r>
      <w:r w:rsidR="00077A2A" w:rsidRPr="00782D59">
        <w:rPr>
          <w:rFonts w:asciiTheme="minorHAnsi" w:hAnsiTheme="minorHAnsi" w:cs="Arial"/>
          <w:snapToGrid w:val="0"/>
        </w:rPr>
        <w:t xml:space="preserve">For the Botox failure sub-population, the </w:t>
      </w:r>
      <w:r>
        <w:rPr>
          <w:rFonts w:asciiTheme="minorHAnsi" w:hAnsiTheme="minorHAnsi" w:cs="Arial"/>
          <w:snapToGrid w:val="0"/>
        </w:rPr>
        <w:t xml:space="preserve">DUSC considered the </w:t>
      </w:r>
      <w:r w:rsidR="00077A2A" w:rsidRPr="00782D59">
        <w:rPr>
          <w:rFonts w:asciiTheme="minorHAnsi" w:hAnsiTheme="minorHAnsi" w:cs="Arial"/>
          <w:snapToGrid w:val="0"/>
        </w:rPr>
        <w:t xml:space="preserve">number of eligible patients was slightly overestimated, as the method relied on assumptions in interpretation of initiations and discontinuations prior to the availability of PBS patient data for Botox, which may have double-counted patients who initiated prior to this period. </w:t>
      </w:r>
      <w:r w:rsidR="007A093A" w:rsidRPr="007A093A">
        <w:rPr>
          <w:rFonts w:asciiTheme="minorHAnsi" w:hAnsiTheme="minorHAnsi" w:cs="Arial"/>
          <w:color w:val="000000" w:themeColor="text1"/>
        </w:rPr>
        <w:t>DUSC also noted that the method did not account for any deaths or re-initiations.</w:t>
      </w:r>
    </w:p>
    <w:p w:rsidR="006E1362" w:rsidRDefault="006E1362" w:rsidP="008330AD">
      <w:pPr>
        <w:spacing w:after="120"/>
        <w:rPr>
          <w:rFonts w:asciiTheme="minorHAnsi" w:hAnsiTheme="minorHAnsi" w:cs="Arial"/>
          <w:snapToGrid w:val="0"/>
          <w:u w:val="single"/>
        </w:rPr>
      </w:pPr>
      <w:r w:rsidRPr="006E1362">
        <w:rPr>
          <w:rFonts w:asciiTheme="minorHAnsi" w:hAnsiTheme="minorHAnsi" w:cs="Arial"/>
          <w:snapToGrid w:val="0"/>
          <w:u w:val="single"/>
        </w:rPr>
        <w:t>Non-Botox (BSC) populations</w:t>
      </w:r>
    </w:p>
    <w:p w:rsidR="00733D1C" w:rsidRDefault="00733D1C" w:rsidP="008C17FD">
      <w:pPr>
        <w:pStyle w:val="ListParagraph"/>
        <w:numPr>
          <w:ilvl w:val="1"/>
          <w:numId w:val="2"/>
        </w:numPr>
        <w:spacing w:after="120"/>
      </w:pPr>
      <w:r>
        <w:t xml:space="preserve">The DUSC considered there is a high degree of unmet clinical need in the subgroup of patients considered to be high </w:t>
      </w:r>
      <w:proofErr w:type="spellStart"/>
      <w:r>
        <w:t>triptan</w:t>
      </w:r>
      <w:proofErr w:type="spellEnd"/>
      <w:r>
        <w:t xml:space="preserve"> users, particularly for those patients who have not used Botox for reasons such as cost or lack of specialist access.</w:t>
      </w:r>
      <w:r w:rsidR="002471F1">
        <w:t xml:space="preserve"> The DUSC considered the estimated uptake for this subpopulation to be slightly overestimated as access to or cost of a specialist visit will likely remain a barrier for some patients. </w:t>
      </w:r>
    </w:p>
    <w:p w:rsidR="009D5053" w:rsidRDefault="009D5053" w:rsidP="008C17FD">
      <w:pPr>
        <w:pStyle w:val="ListParagraph"/>
        <w:numPr>
          <w:ilvl w:val="1"/>
          <w:numId w:val="2"/>
        </w:numPr>
        <w:spacing w:after="120"/>
      </w:pPr>
      <w:r>
        <w:t xml:space="preserve">The DUSC considered the method for estimating the number of patients with chronic migraine managed by a GP that may be eligible for treatment with </w:t>
      </w:r>
      <w:proofErr w:type="spellStart"/>
      <w:r>
        <w:t>erenumab</w:t>
      </w:r>
      <w:proofErr w:type="spellEnd"/>
      <w:r>
        <w:t xml:space="preserve"> was uncertain and unreliable. Additionally, the DUSC considered there is potential overlap of GP-managed patients with the </w:t>
      </w:r>
      <w:proofErr w:type="spellStart"/>
      <w:r>
        <w:t>triptan</w:t>
      </w:r>
      <w:proofErr w:type="spellEnd"/>
      <w:r>
        <w:t xml:space="preserve"> user sub-population. </w:t>
      </w:r>
    </w:p>
    <w:p w:rsidR="009D5053" w:rsidRDefault="009D5053" w:rsidP="008C17FD">
      <w:pPr>
        <w:pStyle w:val="ListParagraph"/>
        <w:numPr>
          <w:ilvl w:val="1"/>
          <w:numId w:val="2"/>
        </w:numPr>
        <w:spacing w:after="120"/>
      </w:pPr>
      <w:r>
        <w:t xml:space="preserve">For the undiagnosed patients, </w:t>
      </w:r>
      <w:r w:rsidR="00C617D3">
        <w:t xml:space="preserve">the DUSC considered </w:t>
      </w:r>
      <w:r>
        <w:t xml:space="preserve">the applicability of the Headache Australia figure to estimate this sub-population is unclear, as it was based on US and European prevalence studies. </w:t>
      </w:r>
    </w:p>
    <w:p w:rsidR="009D5053" w:rsidRDefault="00C617D3" w:rsidP="008C17FD">
      <w:pPr>
        <w:pStyle w:val="ListParagraph"/>
        <w:numPr>
          <w:ilvl w:val="1"/>
          <w:numId w:val="2"/>
        </w:numPr>
        <w:spacing w:after="120"/>
      </w:pPr>
      <w:r>
        <w:t>The DUSC acknowledged there is</w:t>
      </w:r>
      <w:r w:rsidR="008C17FD">
        <w:t xml:space="preserve"> </w:t>
      </w:r>
      <w:r w:rsidR="009D5053">
        <w:t>a high unmet need for some of the identified sub-populations</w:t>
      </w:r>
      <w:r>
        <w:t xml:space="preserve"> but considered </w:t>
      </w:r>
      <w:r w:rsidR="009D5053">
        <w:t>uptake is likely to be overestimated in the early years of the estimates due to the rate limiting steps of neurologist referral and the requirement for patients to have ≥3 prior treatment failures.</w:t>
      </w:r>
    </w:p>
    <w:p w:rsidR="006E1362" w:rsidRDefault="006E1362" w:rsidP="008C17FD">
      <w:pPr>
        <w:pStyle w:val="ListParagraph"/>
        <w:numPr>
          <w:ilvl w:val="1"/>
          <w:numId w:val="2"/>
        </w:numPr>
        <w:spacing w:after="120"/>
      </w:pPr>
      <w:r>
        <w:t>The DUSC considered continuation rates could be underestimated across all populations due to the following:</w:t>
      </w:r>
    </w:p>
    <w:p w:rsidR="006E1362" w:rsidRDefault="006E1362" w:rsidP="008C17FD">
      <w:pPr>
        <w:pStyle w:val="ListParagraph"/>
        <w:numPr>
          <w:ilvl w:val="2"/>
          <w:numId w:val="2"/>
        </w:numPr>
        <w:spacing w:after="120"/>
        <w:ind w:left="1418"/>
      </w:pPr>
      <w:r>
        <w:t xml:space="preserve">Relative ease of access and administration of </w:t>
      </w:r>
      <w:proofErr w:type="spellStart"/>
      <w:r>
        <w:t>erenumab</w:t>
      </w:r>
      <w:proofErr w:type="spellEnd"/>
      <w:r>
        <w:t xml:space="preserve"> over Botox may mean that re-initiation and ongoing use could be higher than estimated;</w:t>
      </w:r>
    </w:p>
    <w:p w:rsidR="006E1362" w:rsidRDefault="006E1362" w:rsidP="008C17FD">
      <w:pPr>
        <w:pStyle w:val="ListParagraph"/>
        <w:numPr>
          <w:ilvl w:val="2"/>
          <w:numId w:val="2"/>
        </w:numPr>
        <w:spacing w:after="120"/>
        <w:ind w:left="1418"/>
      </w:pPr>
      <w:r>
        <w:t>Partial responders may continue therapy as there is no proper tool to assess patient response;</w:t>
      </w:r>
    </w:p>
    <w:p w:rsidR="006E1362" w:rsidRDefault="006E1362" w:rsidP="008C17FD">
      <w:pPr>
        <w:pStyle w:val="ListParagraph"/>
        <w:numPr>
          <w:ilvl w:val="2"/>
          <w:numId w:val="2"/>
        </w:numPr>
        <w:spacing w:after="120"/>
        <w:ind w:left="1418"/>
      </w:pPr>
      <w:r>
        <w:t>Some patients could be on treatment indefinitely for fear of rebound headaches if treatment is discontinued.</w:t>
      </w:r>
    </w:p>
    <w:p w:rsidR="009B611A" w:rsidRPr="009B611A" w:rsidRDefault="009B611A" w:rsidP="008C17FD">
      <w:pPr>
        <w:pStyle w:val="ListParagraph"/>
        <w:numPr>
          <w:ilvl w:val="1"/>
          <w:numId w:val="2"/>
        </w:numPr>
        <w:spacing w:after="120"/>
      </w:pPr>
      <w:r>
        <w:t>Overall, t</w:t>
      </w:r>
      <w:r w:rsidRPr="009B611A">
        <w:t>he</w:t>
      </w:r>
      <w:r>
        <w:t xml:space="preserve"> </w:t>
      </w:r>
      <w:r w:rsidRPr="009B611A">
        <w:t>DUSC consider</w:t>
      </w:r>
      <w:r w:rsidR="00861478">
        <w:t>ed</w:t>
      </w:r>
      <w:r w:rsidRPr="009B611A">
        <w:t xml:space="preserve"> the estimates </w:t>
      </w:r>
      <w:r w:rsidR="00E30210">
        <w:t xml:space="preserve">of the eligible treated population </w:t>
      </w:r>
      <w:r w:rsidRPr="009B611A">
        <w:t xml:space="preserve">presented in the submission to be overestimated. </w:t>
      </w:r>
    </w:p>
    <w:p w:rsidR="00576972" w:rsidRPr="00C9624D" w:rsidRDefault="00576972" w:rsidP="008330AD">
      <w:pPr>
        <w:pStyle w:val="Heading2"/>
      </w:pPr>
      <w:bookmarkStart w:id="17" w:name="_GoBack"/>
      <w:bookmarkEnd w:id="17"/>
      <w:r w:rsidRPr="00C9624D">
        <w:t>Financial Management – Risk Sharing Arrangements</w:t>
      </w:r>
      <w:bookmarkEnd w:id="15"/>
    </w:p>
    <w:p w:rsidR="006258AC" w:rsidRDefault="00A85BB7" w:rsidP="008C17FD">
      <w:pPr>
        <w:pStyle w:val="ListParagraph"/>
        <w:numPr>
          <w:ilvl w:val="1"/>
          <w:numId w:val="2"/>
        </w:numPr>
        <w:spacing w:after="120"/>
      </w:pPr>
      <w:r>
        <w:t>T</w:t>
      </w:r>
      <w:r w:rsidR="005101D9">
        <w:t xml:space="preserve">he resubmission stated that if the </w:t>
      </w:r>
      <w:r w:rsidR="005101D9" w:rsidRPr="00843AC0">
        <w:t xml:space="preserve">PBAC recommends </w:t>
      </w:r>
      <w:proofErr w:type="spellStart"/>
      <w:r w:rsidR="005101D9" w:rsidRPr="00843AC0">
        <w:t>erenumab</w:t>
      </w:r>
      <w:proofErr w:type="spellEnd"/>
      <w:r w:rsidR="005101D9" w:rsidRPr="00843AC0">
        <w:t xml:space="preserve"> for chronic migraine the sponsor </w:t>
      </w:r>
      <w:r w:rsidR="00FD648A" w:rsidRPr="00843AC0">
        <w:t>wa</w:t>
      </w:r>
      <w:r w:rsidR="005101D9" w:rsidRPr="00843AC0">
        <w:t xml:space="preserve">s willing to share the risk of uncertainty in the estimates and to </w:t>
      </w:r>
      <w:r w:rsidR="005101D9" w:rsidRPr="00843AC0">
        <w:lastRenderedPageBreak/>
        <w:t xml:space="preserve">negotiate expenditure caps applicable specifically to </w:t>
      </w:r>
      <w:proofErr w:type="spellStart"/>
      <w:r w:rsidR="005101D9" w:rsidRPr="00843AC0">
        <w:t>erenumab</w:t>
      </w:r>
      <w:proofErr w:type="spellEnd"/>
      <w:r w:rsidR="005101D9" w:rsidRPr="00843AC0">
        <w:t>.</w:t>
      </w:r>
      <w:r w:rsidR="008D33DB" w:rsidRPr="00843AC0">
        <w:t xml:space="preserve"> The resubmission provided no further detail on the potential risk-sharing arrangement</w:t>
      </w:r>
      <w:r w:rsidR="00BE4714">
        <w:t xml:space="preserve"> (RSA)</w:t>
      </w:r>
      <w:r w:rsidR="008D33DB" w:rsidRPr="00843AC0">
        <w:t>.</w:t>
      </w:r>
      <w:r w:rsidR="00BE4714">
        <w:t xml:space="preserve"> </w:t>
      </w:r>
    </w:p>
    <w:p w:rsidR="005B00F2" w:rsidRDefault="005B00F2" w:rsidP="008330AD">
      <w:pPr>
        <w:pStyle w:val="Heading2"/>
      </w:pPr>
      <w:r>
        <w:t>Quality use of medicines</w:t>
      </w:r>
    </w:p>
    <w:p w:rsidR="00C350C3" w:rsidRPr="000A5D49" w:rsidRDefault="00647593" w:rsidP="008C17FD">
      <w:pPr>
        <w:pStyle w:val="ListParagraph"/>
        <w:numPr>
          <w:ilvl w:val="1"/>
          <w:numId w:val="2"/>
        </w:numPr>
        <w:spacing w:after="120"/>
        <w:rPr>
          <w:b/>
          <w:u w:val="single"/>
        </w:rPr>
      </w:pPr>
      <w:r w:rsidRPr="00DD5D20">
        <w:t xml:space="preserve">The ESC considered listing only a 140 mg dose of </w:t>
      </w:r>
      <w:proofErr w:type="spellStart"/>
      <w:r w:rsidRPr="00DD5D20">
        <w:t>erenumab</w:t>
      </w:r>
      <w:proofErr w:type="spellEnd"/>
      <w:r w:rsidR="000A5D49">
        <w:t xml:space="preserve"> was</w:t>
      </w:r>
      <w:r w:rsidRPr="00DD5D20">
        <w:t xml:space="preserve"> not appropriate and is not consistent with the ‘choosing suitable medicines’ second principle of Australia’s Quality Use of Medicines (QUM) strategy which requires consideration of the appropriate dose. The recommended dose of </w:t>
      </w:r>
      <w:proofErr w:type="spellStart"/>
      <w:r w:rsidRPr="00DD5D20">
        <w:t>erenumab</w:t>
      </w:r>
      <w:proofErr w:type="spellEnd"/>
      <w:r w:rsidRPr="00DD5D20">
        <w:t xml:space="preserve"> in the PI is 70</w:t>
      </w:r>
      <w:r w:rsidR="004D54AD">
        <w:t xml:space="preserve"> </w:t>
      </w:r>
      <w:r w:rsidRPr="00DD5D20">
        <w:t>mg every four weeks</w:t>
      </w:r>
      <w:r w:rsidR="003B0353">
        <w:t xml:space="preserve"> with some patients benefiting from a dose of 140 mg every weeks</w:t>
      </w:r>
      <w:r w:rsidRPr="00DD5D20">
        <w:t xml:space="preserve">. </w:t>
      </w:r>
      <w:r w:rsidR="000A5D49">
        <w:t xml:space="preserve">The DUSC considered listing only the 140 mg dose may create the potential for wastage and overtreatment. </w:t>
      </w:r>
    </w:p>
    <w:p w:rsidR="000A5D49" w:rsidRPr="000A5D49" w:rsidRDefault="000A5D49" w:rsidP="008C17FD">
      <w:pPr>
        <w:pStyle w:val="ListParagraph"/>
        <w:numPr>
          <w:ilvl w:val="1"/>
          <w:numId w:val="2"/>
        </w:numPr>
        <w:spacing w:after="120"/>
      </w:pPr>
      <w:r>
        <w:t xml:space="preserve">The </w:t>
      </w:r>
      <w:r w:rsidRPr="000A5D49">
        <w:t>DUSC recalled its previous advice to consider a quality use of medicines strategy for GP training for continuing and discontinuing therapy, and recognition of medication overuse headache.</w:t>
      </w:r>
    </w:p>
    <w:p w:rsidR="00E444A6" w:rsidRPr="00E444A6" w:rsidRDefault="00E444A6" w:rsidP="00D87FED">
      <w:pPr>
        <w:spacing w:after="120"/>
        <w:ind w:firstLine="709"/>
        <w:rPr>
          <w:i/>
        </w:rPr>
      </w:pPr>
      <w:r w:rsidRPr="0020342C">
        <w:rPr>
          <w:i/>
        </w:rPr>
        <w:t>For more detail on the PBAC’s view, see section 7 PBAC outcome.</w:t>
      </w:r>
    </w:p>
    <w:p w:rsidR="003056C5" w:rsidRDefault="003056C5" w:rsidP="008C17FD">
      <w:pPr>
        <w:pStyle w:val="PBACHeading1"/>
        <w:spacing w:before="240"/>
      </w:pPr>
      <w:r>
        <w:t>PBAC Outcome</w:t>
      </w:r>
    </w:p>
    <w:p w:rsidR="006A3B62" w:rsidRPr="00AF1463" w:rsidRDefault="00CD4EE5" w:rsidP="008C17FD">
      <w:pPr>
        <w:pStyle w:val="ListParagraph"/>
        <w:numPr>
          <w:ilvl w:val="1"/>
          <w:numId w:val="2"/>
        </w:numPr>
        <w:spacing w:after="120"/>
        <w:rPr>
          <w:b/>
          <w:u w:val="single"/>
        </w:rPr>
      </w:pPr>
      <w:r w:rsidRPr="00B400DF">
        <w:t xml:space="preserve">The PBAC did not recommend the Authority Required (Streamlined) listing </w:t>
      </w:r>
      <w:r w:rsidR="006D1320" w:rsidRPr="00B400DF">
        <w:t xml:space="preserve">of </w:t>
      </w:r>
      <w:proofErr w:type="spellStart"/>
      <w:r w:rsidRPr="00AF1463">
        <w:t>erenumab</w:t>
      </w:r>
      <w:proofErr w:type="spellEnd"/>
      <w:r w:rsidRPr="00AF1463">
        <w:t xml:space="preserve"> for </w:t>
      </w:r>
      <w:r w:rsidR="006D1320" w:rsidRPr="00AF1463">
        <w:t xml:space="preserve">the </w:t>
      </w:r>
      <w:r w:rsidRPr="00AF1463">
        <w:t>treatment of chronic migraine</w:t>
      </w:r>
      <w:r w:rsidR="006D1320" w:rsidRPr="00AF1463">
        <w:t xml:space="preserve">. </w:t>
      </w:r>
      <w:r w:rsidR="00B93E7F">
        <w:t xml:space="preserve">The PBAC considered the </w:t>
      </w:r>
      <w:r w:rsidR="00581B40">
        <w:t>magnitude of the clinical benefit</w:t>
      </w:r>
      <w:r w:rsidR="00863C54">
        <w:t xml:space="preserve">, and </w:t>
      </w:r>
      <w:r w:rsidR="00ED6BD4">
        <w:t xml:space="preserve">the </w:t>
      </w:r>
      <w:r w:rsidR="00863C54">
        <w:t>non-inferior efficacy claim versus Botox,</w:t>
      </w:r>
      <w:r w:rsidR="00581B40">
        <w:t xml:space="preserve"> w</w:t>
      </w:r>
      <w:r w:rsidR="00863C54">
        <w:t>ere</w:t>
      </w:r>
      <w:r w:rsidR="00581B40">
        <w:t xml:space="preserve"> uncertain due to being based on a </w:t>
      </w:r>
      <w:r w:rsidR="00B93E7F">
        <w:t xml:space="preserve">subgroup </w:t>
      </w:r>
      <w:r w:rsidR="00863C54">
        <w:t>of the trial population and data for only the 140 mg dose</w:t>
      </w:r>
      <w:r w:rsidR="001161A4">
        <w:t>.</w:t>
      </w:r>
      <w:r w:rsidR="00863C54">
        <w:t xml:space="preserve"> </w:t>
      </w:r>
      <w:r w:rsidR="008E213F">
        <w:t>The</w:t>
      </w:r>
      <w:r w:rsidR="007100D7">
        <w:t>re were significant issues with the economic</w:t>
      </w:r>
      <w:r w:rsidR="008E213F">
        <w:t xml:space="preserve"> model</w:t>
      </w:r>
      <w:r w:rsidR="00863C54">
        <w:t>,</w:t>
      </w:r>
      <w:r w:rsidR="007100D7">
        <w:t xml:space="preserve"> and the cost-effectiveness of </w:t>
      </w:r>
      <w:proofErr w:type="spellStart"/>
      <w:r w:rsidR="007100D7">
        <w:t>erenumab</w:t>
      </w:r>
      <w:proofErr w:type="spellEnd"/>
      <w:r w:rsidR="007100D7">
        <w:t xml:space="preserve"> </w:t>
      </w:r>
      <w:r w:rsidR="001D119E">
        <w:t xml:space="preserve">versus </w:t>
      </w:r>
      <w:r w:rsidR="007100D7">
        <w:t>BSC at the price proposed</w:t>
      </w:r>
      <w:r w:rsidR="001D119E">
        <w:t xml:space="preserve"> in the resubmission</w:t>
      </w:r>
      <w:r w:rsidR="007100D7">
        <w:t xml:space="preserve"> </w:t>
      </w:r>
      <w:r w:rsidR="00ED6BD4">
        <w:t>wa</w:t>
      </w:r>
      <w:r w:rsidR="007100D7">
        <w:t xml:space="preserve">s </w:t>
      </w:r>
      <w:r w:rsidR="00D53F1B">
        <w:t xml:space="preserve">highly </w:t>
      </w:r>
      <w:r w:rsidR="007100D7">
        <w:t xml:space="preserve">uncertain. </w:t>
      </w:r>
      <w:r w:rsidR="001161A4">
        <w:t xml:space="preserve">The expected financial impact of listing </w:t>
      </w:r>
      <w:proofErr w:type="spellStart"/>
      <w:r w:rsidR="001161A4">
        <w:t>erenumab</w:t>
      </w:r>
      <w:proofErr w:type="spellEnd"/>
      <w:r w:rsidR="001161A4">
        <w:t xml:space="preserve"> on the PB</w:t>
      </w:r>
      <w:r w:rsidR="003330BE">
        <w:t xml:space="preserve">S </w:t>
      </w:r>
      <w:r w:rsidR="001161A4">
        <w:t xml:space="preserve">was </w:t>
      </w:r>
      <w:r w:rsidR="003330BE">
        <w:t>very h</w:t>
      </w:r>
      <w:r w:rsidR="001161A4">
        <w:t xml:space="preserve">igh and uncertain. </w:t>
      </w:r>
    </w:p>
    <w:p w:rsidR="00FF7389" w:rsidRPr="007100D7" w:rsidRDefault="006A3B62" w:rsidP="008C17FD">
      <w:pPr>
        <w:pStyle w:val="ListParagraph"/>
        <w:numPr>
          <w:ilvl w:val="1"/>
          <w:numId w:val="2"/>
        </w:numPr>
        <w:spacing w:after="120"/>
        <w:rPr>
          <w:b/>
          <w:u w:val="single"/>
        </w:rPr>
      </w:pPr>
      <w:r w:rsidRPr="00AF1463">
        <w:t>The PBAC</w:t>
      </w:r>
      <w:r w:rsidR="00D53F1B">
        <w:t xml:space="preserve"> acknowledged</w:t>
      </w:r>
      <w:r w:rsidR="00410E50" w:rsidRPr="00AF1463">
        <w:t xml:space="preserve"> there was a clinical need for effective medicines to treat chronic migraine and </w:t>
      </w:r>
      <w:r w:rsidRPr="00AF1463">
        <w:t xml:space="preserve">noted the consumer comments received </w:t>
      </w:r>
      <w:r w:rsidR="00437189">
        <w:t xml:space="preserve">for the July 2018 submission and the resubmission </w:t>
      </w:r>
      <w:r w:rsidRPr="00AF1463">
        <w:t>in support of a PBS listing.</w:t>
      </w:r>
      <w:r w:rsidR="009B6BF5">
        <w:t xml:space="preserve"> </w:t>
      </w:r>
      <w:r w:rsidR="00D53F1B">
        <w:t xml:space="preserve">The PBAC noted </w:t>
      </w:r>
      <w:r w:rsidR="00E226C0">
        <w:t xml:space="preserve">the </w:t>
      </w:r>
      <w:r w:rsidR="00D53F1B">
        <w:t xml:space="preserve">significant impact of migraine </w:t>
      </w:r>
      <w:r w:rsidR="00E226C0">
        <w:t xml:space="preserve">on quality of life </w:t>
      </w:r>
      <w:r w:rsidR="00D53F1B">
        <w:t xml:space="preserve">and that the DUSC estimated approximately 400,000 patients </w:t>
      </w:r>
      <w:r w:rsidR="00D53F1B" w:rsidRPr="00961837">
        <w:t>may experience chronic migraine.</w:t>
      </w:r>
      <w:r w:rsidR="00E226C0" w:rsidRPr="00961837">
        <w:t xml:space="preserve"> Given the significant burden of disease and the high number of patients that may </w:t>
      </w:r>
      <w:r w:rsidR="00ED6BD4">
        <w:t xml:space="preserve">possibly </w:t>
      </w:r>
      <w:r w:rsidR="00E226C0" w:rsidRPr="00961837">
        <w:t xml:space="preserve">benefit from treatment, the PBAC considered it was important to ensure any PBS listing was based on the </w:t>
      </w:r>
      <w:r w:rsidR="001554B4" w:rsidRPr="00961837">
        <w:t>best available</w:t>
      </w:r>
      <w:r w:rsidR="00485594" w:rsidRPr="00961837">
        <w:t xml:space="preserve"> data</w:t>
      </w:r>
      <w:r w:rsidR="001554B4" w:rsidRPr="00961837">
        <w:t>, was appropriately targeted to the right patients and was cost-effective</w:t>
      </w:r>
      <w:r w:rsidR="00FA317B" w:rsidRPr="00961837">
        <w:t xml:space="preserve"> in those patients</w:t>
      </w:r>
      <w:r w:rsidR="001554B4" w:rsidRPr="00961837">
        <w:t>.</w:t>
      </w:r>
      <w:r w:rsidR="001554B4">
        <w:t xml:space="preserve"> </w:t>
      </w:r>
    </w:p>
    <w:p w:rsidR="00514082" w:rsidRPr="00E904C8" w:rsidRDefault="004C190F" w:rsidP="008C17FD">
      <w:pPr>
        <w:pStyle w:val="ListParagraph"/>
        <w:numPr>
          <w:ilvl w:val="1"/>
          <w:numId w:val="2"/>
        </w:numPr>
        <w:spacing w:after="120"/>
        <w:rPr>
          <w:b/>
          <w:u w:val="single"/>
        </w:rPr>
      </w:pPr>
      <w:r>
        <w:t>The PBAC noted the resubmission requested listing for the 140 mg dose only</w:t>
      </w:r>
      <w:r w:rsidR="001161A4">
        <w:t xml:space="preserve"> and considered </w:t>
      </w:r>
      <w:r w:rsidR="00514082">
        <w:t xml:space="preserve">exclusion of the 70 mg dose from the resubmission </w:t>
      </w:r>
      <w:r w:rsidR="0029041F">
        <w:t xml:space="preserve">was </w:t>
      </w:r>
      <w:r w:rsidR="00ED6BD4">
        <w:t xml:space="preserve">inappropriate and </w:t>
      </w:r>
      <w:r w:rsidR="003B0353">
        <w:t>in</w:t>
      </w:r>
      <w:r w:rsidR="00514082">
        <w:t xml:space="preserve">consistent with the </w:t>
      </w:r>
      <w:r w:rsidR="007A182F">
        <w:t>recommended dose within the Product Information.</w:t>
      </w:r>
      <w:r w:rsidR="0029041F">
        <w:t xml:space="preserve"> </w:t>
      </w:r>
      <w:r w:rsidR="00DE14C0">
        <w:t>The PBAC considered it was likely</w:t>
      </w:r>
      <w:r w:rsidR="00ED6BD4">
        <w:t xml:space="preserve"> that</w:t>
      </w:r>
      <w:r w:rsidR="00DE14C0">
        <w:t xml:space="preserve"> a proportion of patients </w:t>
      </w:r>
      <w:r w:rsidR="00ED6BD4">
        <w:t xml:space="preserve">would </w:t>
      </w:r>
      <w:r w:rsidR="00DE14C0">
        <w:t>be appropriately treated with the 70 mg dose rather than the 140 mg dose</w:t>
      </w:r>
      <w:r w:rsidR="00ED6BD4">
        <w:t>,</w:t>
      </w:r>
      <w:r w:rsidR="00DE14C0">
        <w:t xml:space="preserve"> but as no clinical data </w:t>
      </w:r>
      <w:r w:rsidR="00ED6BD4">
        <w:t xml:space="preserve">were </w:t>
      </w:r>
      <w:r w:rsidR="00DE14C0">
        <w:t xml:space="preserve">presented in the resubmission, the </w:t>
      </w:r>
      <w:r w:rsidR="00D1216A">
        <w:t xml:space="preserve">clinical and economic impact </w:t>
      </w:r>
      <w:r w:rsidR="00DE14C0">
        <w:t xml:space="preserve">of this is </w:t>
      </w:r>
      <w:r w:rsidR="00ED6BD4">
        <w:t>unknown</w:t>
      </w:r>
      <w:r w:rsidR="00DE14C0">
        <w:t xml:space="preserve">. </w:t>
      </w:r>
      <w:r w:rsidR="0023036B">
        <w:t xml:space="preserve">The PBAC noted </w:t>
      </w:r>
      <w:r w:rsidR="001161A4">
        <w:t xml:space="preserve">the pre-PBAC response indicated that the 70 mg </w:t>
      </w:r>
      <w:r w:rsidR="003678F9">
        <w:t xml:space="preserve">dose </w:t>
      </w:r>
      <w:r w:rsidR="001161A4">
        <w:t xml:space="preserve">could also be listed </w:t>
      </w:r>
      <w:r w:rsidR="003678F9">
        <w:t xml:space="preserve">on the PBS </w:t>
      </w:r>
      <w:r w:rsidR="001161A4">
        <w:t xml:space="preserve">if that was the preference of the PBAC and provided </w:t>
      </w:r>
      <w:r w:rsidR="0023036B">
        <w:t>some data for the 70 mg dose</w:t>
      </w:r>
      <w:r w:rsidR="001161A4">
        <w:t>.</w:t>
      </w:r>
      <w:r w:rsidR="008C17FD">
        <w:t xml:space="preserve"> </w:t>
      </w:r>
      <w:r w:rsidR="001161A4">
        <w:t xml:space="preserve">The PBAC </w:t>
      </w:r>
      <w:r w:rsidR="0023036B">
        <w:t>considered</w:t>
      </w:r>
      <w:r w:rsidR="001161A4">
        <w:t xml:space="preserve"> the data provided in the pre-PBAC response </w:t>
      </w:r>
      <w:r w:rsidR="0023036B">
        <w:lastRenderedPageBreak/>
        <w:t xml:space="preserve">was </w:t>
      </w:r>
      <w:r w:rsidR="00E904C8">
        <w:t xml:space="preserve">of limited use as </w:t>
      </w:r>
      <w:r w:rsidR="001161A4">
        <w:t xml:space="preserve">it was </w:t>
      </w:r>
      <w:r w:rsidR="00E904C8">
        <w:t>not evaluate</w:t>
      </w:r>
      <w:r w:rsidR="001161A4">
        <w:t xml:space="preserve">d, did not include any safety data and </w:t>
      </w:r>
      <w:r w:rsidR="00E904C8">
        <w:t>did not include any data for the subgroup.</w:t>
      </w:r>
    </w:p>
    <w:p w:rsidR="00ED6BD4" w:rsidRPr="00ED6BD4" w:rsidRDefault="005A564F" w:rsidP="008C17FD">
      <w:pPr>
        <w:pStyle w:val="ListParagraph"/>
        <w:numPr>
          <w:ilvl w:val="1"/>
          <w:numId w:val="2"/>
        </w:numPr>
        <w:spacing w:after="120"/>
        <w:rPr>
          <w:b/>
          <w:u w:val="single"/>
        </w:rPr>
      </w:pPr>
      <w:r w:rsidRPr="005A564F">
        <w:t>The PBAC considered that Botox and BSC are reasonable comparators</w:t>
      </w:r>
      <w:r>
        <w:t xml:space="preserve">. </w:t>
      </w:r>
      <w:r w:rsidR="00ED6BD4">
        <w:t>However, the PBAC did not consider the weighting across the comparators (21% Botox, 79% BSC) to be adequately supported. Further, the PBAC did not consider a differential price for the two groups of patients (those treated with Botox versus those not treated with Botox) to be adequately justified.</w:t>
      </w:r>
      <w:r w:rsidR="003F2455">
        <w:t xml:space="preserve"> The PBAC also noted that a proportion of patients may be treated with sequential use of </w:t>
      </w:r>
      <w:proofErr w:type="spellStart"/>
      <w:r w:rsidR="003F2455">
        <w:t>erenumab</w:t>
      </w:r>
      <w:proofErr w:type="spellEnd"/>
      <w:r w:rsidR="003F2455">
        <w:t xml:space="preserve"> and Botox. </w:t>
      </w:r>
    </w:p>
    <w:p w:rsidR="00276ABE" w:rsidRPr="008E70C1" w:rsidRDefault="00276ABE" w:rsidP="008C17FD">
      <w:pPr>
        <w:pStyle w:val="ListParagraph"/>
        <w:numPr>
          <w:ilvl w:val="1"/>
          <w:numId w:val="2"/>
        </w:numPr>
        <w:spacing w:after="120"/>
        <w:rPr>
          <w:b/>
          <w:u w:val="single"/>
        </w:rPr>
      </w:pPr>
      <w:r>
        <w:t xml:space="preserve">The PBAC </w:t>
      </w:r>
      <w:r w:rsidR="00514082">
        <w:t xml:space="preserve">noted the clinical claims in the resubmission were based on a small subgroup </w:t>
      </w:r>
      <w:r w:rsidR="002E6869">
        <w:t xml:space="preserve">(163/476, 34%) </w:t>
      </w:r>
      <w:r w:rsidR="00514082">
        <w:t xml:space="preserve">of patients in the pivotal study. The PBAC </w:t>
      </w:r>
      <w:r>
        <w:t xml:space="preserve">considered the </w:t>
      </w:r>
      <w:r w:rsidR="00612F44">
        <w:t xml:space="preserve">use of </w:t>
      </w:r>
      <w:r w:rsidR="00514082">
        <w:t xml:space="preserve">a subgroup to support the </w:t>
      </w:r>
      <w:r w:rsidR="00D67739">
        <w:t xml:space="preserve">clinical and economic </w:t>
      </w:r>
      <w:r w:rsidR="00514082">
        <w:t>comparison</w:t>
      </w:r>
      <w:r w:rsidR="00D67739">
        <w:t>s</w:t>
      </w:r>
      <w:r w:rsidR="00514082">
        <w:t xml:space="preserve"> to </w:t>
      </w:r>
      <w:r w:rsidR="00E904C8">
        <w:t>BSC</w:t>
      </w:r>
      <w:r w:rsidR="006E0B09">
        <w:t xml:space="preserve"> </w:t>
      </w:r>
      <w:r w:rsidR="00514082">
        <w:t xml:space="preserve">and Botox </w:t>
      </w:r>
      <w:r w:rsidR="00612F44">
        <w:t xml:space="preserve">was inadequately supported. </w:t>
      </w:r>
      <w:r w:rsidR="008E213F">
        <w:t>The</w:t>
      </w:r>
      <w:r w:rsidR="000C6533">
        <w:t xml:space="preserve"> PBAC noted the subgroup analyses w</w:t>
      </w:r>
      <w:r w:rsidR="007F1C3E">
        <w:t>ere</w:t>
      </w:r>
      <w:r w:rsidR="000C6533">
        <w:t xml:space="preserve"> not pre-specified and</w:t>
      </w:r>
      <w:r w:rsidR="00932B5E">
        <w:t xml:space="preserve"> </w:t>
      </w:r>
      <w:r w:rsidR="000C6533">
        <w:t xml:space="preserve">patients in the subgroup </w:t>
      </w:r>
      <w:r w:rsidR="007F1C3E">
        <w:t xml:space="preserve">were </w:t>
      </w:r>
      <w:r w:rsidR="000C6533">
        <w:t xml:space="preserve">not representative of the patients likely to be treated with </w:t>
      </w:r>
      <w:proofErr w:type="spellStart"/>
      <w:r w:rsidR="000C6533">
        <w:t>erenumab</w:t>
      </w:r>
      <w:proofErr w:type="spellEnd"/>
      <w:r w:rsidR="000C6533">
        <w:t xml:space="preserve"> should it be listed on the PBS</w:t>
      </w:r>
      <w:r w:rsidR="002E6869">
        <w:t xml:space="preserve"> (paragraph 6.10)</w:t>
      </w:r>
      <w:r w:rsidR="000C6533">
        <w:t xml:space="preserve">. </w:t>
      </w:r>
      <w:r w:rsidR="00487DC8">
        <w:t>The PBAC also recalled its previous advice that the use of data from a small subgroup of patients was insufficient given the potential to treat a large number of patients.</w:t>
      </w:r>
      <w:r w:rsidR="007F1C3E">
        <w:t xml:space="preserve"> </w:t>
      </w:r>
    </w:p>
    <w:p w:rsidR="008E70C1" w:rsidRPr="001D3E33" w:rsidRDefault="008E70C1" w:rsidP="008C17FD">
      <w:pPr>
        <w:pStyle w:val="ListParagraph"/>
        <w:numPr>
          <w:ilvl w:val="1"/>
          <w:numId w:val="2"/>
        </w:numPr>
        <w:spacing w:after="120"/>
        <w:rPr>
          <w:b/>
          <w:u w:val="single"/>
        </w:rPr>
      </w:pPr>
      <w:r>
        <w:t xml:space="preserve">The PBAC </w:t>
      </w:r>
      <w:r w:rsidR="00D67739">
        <w:t xml:space="preserve">noted </w:t>
      </w:r>
      <w:proofErr w:type="spellStart"/>
      <w:r>
        <w:t>erenumab</w:t>
      </w:r>
      <w:proofErr w:type="spellEnd"/>
      <w:r>
        <w:t xml:space="preserve"> decreased monthly migraine days (MMD) and a higher proportion of patients </w:t>
      </w:r>
      <w:r w:rsidR="00D67739">
        <w:t xml:space="preserve">achieved </w:t>
      </w:r>
      <w:r>
        <w:t xml:space="preserve">a 50% reduction in MMD over 12 weeks of treatment compared to </w:t>
      </w:r>
      <w:r w:rsidR="007F4155">
        <w:t>BSC</w:t>
      </w:r>
      <w:r w:rsidR="00D67739">
        <w:t xml:space="preserve">, </w:t>
      </w:r>
      <w:r w:rsidR="00C15275">
        <w:t>however considered</w:t>
      </w:r>
      <w:r>
        <w:t xml:space="preserve"> the magnitude and clinical significance of the benefit was uncertain. The uncertainty was </w:t>
      </w:r>
      <w:r w:rsidRPr="0062477A">
        <w:t>increased</w:t>
      </w:r>
      <w:r>
        <w:t xml:space="preserve"> by the lack of data provided for the 70 mg dose. </w:t>
      </w:r>
    </w:p>
    <w:p w:rsidR="001D3E33" w:rsidRPr="005E3FB7" w:rsidRDefault="001D3E33" w:rsidP="008C17FD">
      <w:pPr>
        <w:pStyle w:val="ListParagraph"/>
        <w:numPr>
          <w:ilvl w:val="1"/>
          <w:numId w:val="2"/>
        </w:numPr>
        <w:spacing w:after="120"/>
        <w:rPr>
          <w:b/>
          <w:u w:val="single"/>
        </w:rPr>
      </w:pPr>
      <w:r>
        <w:t>The P</w:t>
      </w:r>
      <w:r w:rsidR="00514082">
        <w:t>BAC considered there were significant transitivity issues</w:t>
      </w:r>
      <w:r w:rsidR="00F2030B">
        <w:t xml:space="preserve"> with </w:t>
      </w:r>
      <w:r w:rsidR="0023036B">
        <w:t xml:space="preserve">the indirect comparison </w:t>
      </w:r>
      <w:r w:rsidR="00F2030B">
        <w:t xml:space="preserve">to </w:t>
      </w:r>
      <w:r w:rsidR="0023036B">
        <w:t xml:space="preserve">Botox. </w:t>
      </w:r>
      <w:r w:rsidR="00F2030B">
        <w:t xml:space="preserve">The PBAC recalled the previous ESC advice that given the substantial differences in responses observed in the placebo arms of Study 295 and the PREEMPT studies, an indirect comparison was likely to be invalid. </w:t>
      </w:r>
      <w:r w:rsidR="007D69BB">
        <w:t xml:space="preserve">The PBAC noted the issues </w:t>
      </w:r>
      <w:r w:rsidR="00613CF1">
        <w:t xml:space="preserve">raised during the July 2018 consideration of </w:t>
      </w:r>
      <w:proofErr w:type="spellStart"/>
      <w:r w:rsidR="00613CF1">
        <w:t>erenumab</w:t>
      </w:r>
      <w:proofErr w:type="spellEnd"/>
      <w:r w:rsidR="00613CF1">
        <w:t xml:space="preserve"> had not been </w:t>
      </w:r>
      <w:r w:rsidR="000B394C">
        <w:t xml:space="preserve">adequately </w:t>
      </w:r>
      <w:r w:rsidR="00613CF1">
        <w:t xml:space="preserve">addressed in the resubmission. </w:t>
      </w:r>
    </w:p>
    <w:p w:rsidR="00C10990" w:rsidRPr="00C10990" w:rsidRDefault="00C10990" w:rsidP="008C17FD">
      <w:pPr>
        <w:pStyle w:val="ListParagraph"/>
        <w:numPr>
          <w:ilvl w:val="1"/>
          <w:numId w:val="2"/>
        </w:numPr>
        <w:spacing w:after="120"/>
      </w:pPr>
      <w:r>
        <w:t xml:space="preserve">Notwithstanding the issues discussed in paragraph </w:t>
      </w:r>
      <w:r w:rsidRPr="003B0353">
        <w:t>7.</w:t>
      </w:r>
      <w:r w:rsidR="003B0353" w:rsidRPr="003B0353">
        <w:t>7</w:t>
      </w:r>
      <w:r w:rsidRPr="003B0353">
        <w:t>,</w:t>
      </w:r>
      <w:r>
        <w:t xml:space="preserve"> </w:t>
      </w:r>
      <w:r w:rsidR="001D119E">
        <w:t xml:space="preserve">the </w:t>
      </w:r>
      <w:r w:rsidR="001D119E" w:rsidRPr="00C10990">
        <w:t>resubmission did not nomin</w:t>
      </w:r>
      <w:r w:rsidR="001D119E">
        <w:t xml:space="preserve">ate a non-inferiority margin and </w:t>
      </w:r>
      <w:r>
        <w:t>t</w:t>
      </w:r>
      <w:r w:rsidRPr="00C10990">
        <w:t xml:space="preserve">he PBAC considered the lack of statistically significant difference </w:t>
      </w:r>
      <w:r>
        <w:t xml:space="preserve">between </w:t>
      </w:r>
      <w:proofErr w:type="spellStart"/>
      <w:r>
        <w:t>erenumab</w:t>
      </w:r>
      <w:proofErr w:type="spellEnd"/>
      <w:r>
        <w:t xml:space="preserve"> and Botox </w:t>
      </w:r>
      <w:r w:rsidR="00A37520">
        <w:t>for</w:t>
      </w:r>
      <w:r w:rsidR="00A615C4">
        <w:t xml:space="preserve"> the indirect comparison </w:t>
      </w:r>
      <w:r w:rsidRPr="00C10990">
        <w:t>does not adequately establish non-inferiority</w:t>
      </w:r>
      <w:r>
        <w:t xml:space="preserve">. </w:t>
      </w:r>
    </w:p>
    <w:p w:rsidR="00FA1BD5" w:rsidRPr="00C011DD" w:rsidRDefault="00871E94" w:rsidP="008C17FD">
      <w:pPr>
        <w:pStyle w:val="ListParagraph"/>
        <w:numPr>
          <w:ilvl w:val="1"/>
          <w:numId w:val="2"/>
        </w:numPr>
        <w:spacing w:after="120"/>
      </w:pPr>
      <w:r>
        <w:t>The PBAC noted the ESC advice that there w</w:t>
      </w:r>
      <w:r w:rsidR="006F499D">
        <w:t xml:space="preserve">ere </w:t>
      </w:r>
      <w:r>
        <w:t xml:space="preserve">significant issues with the economic model and, in addition to the uncertainty of the clinical benefit in the subgroup population, considered it was of limited value in </w:t>
      </w:r>
      <w:r w:rsidR="006F499D">
        <w:t>determining</w:t>
      </w:r>
      <w:r>
        <w:t xml:space="preserve"> the cost-effectiveness of </w:t>
      </w:r>
      <w:proofErr w:type="spellStart"/>
      <w:r>
        <w:t>erenumab</w:t>
      </w:r>
      <w:proofErr w:type="spellEnd"/>
      <w:r>
        <w:t xml:space="preserve">. </w:t>
      </w:r>
      <w:r w:rsidR="00591261">
        <w:t xml:space="preserve">The economic model applied MDD distributions that were not plausible, assumed ongoing maintenance of response to </w:t>
      </w:r>
      <w:proofErr w:type="spellStart"/>
      <w:r w:rsidR="00591261">
        <w:t>erenumab</w:t>
      </w:r>
      <w:proofErr w:type="spellEnd"/>
      <w:r w:rsidR="00591261">
        <w:t xml:space="preserve"> and applied utilities that were not adequately justified (paragraph 6.45 and 6.46).</w:t>
      </w:r>
      <w:r w:rsidR="00A22C3D" w:rsidRPr="00A22C3D">
        <w:t xml:space="preserve"> The ESC and PBAC considered the differences in the MMD distributions for </w:t>
      </w:r>
      <w:proofErr w:type="spellStart"/>
      <w:r w:rsidR="00A22C3D" w:rsidRPr="00A22C3D">
        <w:t>erenumab</w:t>
      </w:r>
      <w:proofErr w:type="spellEnd"/>
      <w:r w:rsidR="00A22C3D" w:rsidRPr="00A22C3D">
        <w:t xml:space="preserve"> and BSC for both responders and non-responders lacked validity including that </w:t>
      </w:r>
      <w:proofErr w:type="spellStart"/>
      <w:r w:rsidR="00A22C3D" w:rsidRPr="00A22C3D">
        <w:t>erenumab</w:t>
      </w:r>
      <w:proofErr w:type="spellEnd"/>
      <w:r w:rsidR="00A22C3D" w:rsidRPr="00A22C3D">
        <w:t xml:space="preserve"> non-responders have slightly fewer MMD days than BSC non-responders.</w:t>
      </w:r>
    </w:p>
    <w:p w:rsidR="009F0D30" w:rsidRDefault="00FA1BD5" w:rsidP="008C17FD">
      <w:pPr>
        <w:pStyle w:val="ListParagraph"/>
        <w:numPr>
          <w:ilvl w:val="1"/>
          <w:numId w:val="2"/>
        </w:numPr>
        <w:spacing w:after="120"/>
      </w:pPr>
      <w:r w:rsidRPr="006158C0">
        <w:t xml:space="preserve">The PBAC </w:t>
      </w:r>
      <w:r w:rsidR="009A7210">
        <w:t xml:space="preserve">noted the resubmission proposed a price for the comparison versus BSC </w:t>
      </w:r>
      <w:r w:rsidR="00012D07">
        <w:t xml:space="preserve">that </w:t>
      </w:r>
      <w:r w:rsidR="009A7210">
        <w:t xml:space="preserve">was higher than the proposed price for the comparison versus Botox. The PBAC </w:t>
      </w:r>
      <w:r w:rsidRPr="006158C0">
        <w:lastRenderedPageBreak/>
        <w:t xml:space="preserve">considered </w:t>
      </w:r>
      <w:r w:rsidR="002C7D50">
        <w:t xml:space="preserve">a higher </w:t>
      </w:r>
      <w:proofErr w:type="spellStart"/>
      <w:r w:rsidR="002C7D50">
        <w:t>erenumab</w:t>
      </w:r>
      <w:proofErr w:type="spellEnd"/>
      <w:r w:rsidR="002C7D50">
        <w:t xml:space="preserve"> price in the population of patients</w:t>
      </w:r>
      <w:r w:rsidR="009A7210">
        <w:t xml:space="preserve"> </w:t>
      </w:r>
      <w:r w:rsidR="002C7D50">
        <w:t xml:space="preserve">currently treated with </w:t>
      </w:r>
      <w:r w:rsidR="009A7210">
        <w:t xml:space="preserve">BSC </w:t>
      </w:r>
      <w:r w:rsidR="002C7D50">
        <w:t xml:space="preserve">was not adequately justified in the resubmission. The PBAC noted </w:t>
      </w:r>
      <w:r w:rsidR="00493C38">
        <w:t>the</w:t>
      </w:r>
      <w:r w:rsidR="002C7D50">
        <w:t xml:space="preserve"> majority of use of </w:t>
      </w:r>
      <w:proofErr w:type="spellStart"/>
      <w:r w:rsidR="002C7D50">
        <w:t>erenumab</w:t>
      </w:r>
      <w:proofErr w:type="spellEnd"/>
      <w:r w:rsidR="002C7D50">
        <w:t xml:space="preserve"> was expected in the </w:t>
      </w:r>
      <w:r w:rsidR="00012D07">
        <w:t xml:space="preserve">BSC </w:t>
      </w:r>
      <w:r w:rsidR="002C7D50">
        <w:t xml:space="preserve">population and considered the request for a higher price in this population may be unreasonable. The resubmission provided no discussion of the differential value of </w:t>
      </w:r>
      <w:proofErr w:type="spellStart"/>
      <w:r w:rsidR="002C7D50">
        <w:t>erenumab</w:t>
      </w:r>
      <w:proofErr w:type="spellEnd"/>
      <w:r w:rsidR="002C7D50">
        <w:t xml:space="preserve"> across the two populations. </w:t>
      </w:r>
    </w:p>
    <w:p w:rsidR="00F50718" w:rsidRPr="00EF538F" w:rsidRDefault="00F50718" w:rsidP="008C17FD">
      <w:pPr>
        <w:pStyle w:val="ListParagraph"/>
        <w:numPr>
          <w:ilvl w:val="1"/>
          <w:numId w:val="2"/>
        </w:numPr>
        <w:spacing w:after="120"/>
      </w:pPr>
      <w:r>
        <w:t xml:space="preserve">The PBAC noted a high proportion of expected use is in patients currently treated with BSC and the value of </w:t>
      </w:r>
      <w:proofErr w:type="spellStart"/>
      <w:r>
        <w:t>erenumab</w:t>
      </w:r>
      <w:proofErr w:type="spellEnd"/>
      <w:r>
        <w:t xml:space="preserve"> in this large group of patients is highly uncertain. The PBAC considered the issues with the economic model need to be addressed to support the value of </w:t>
      </w:r>
      <w:proofErr w:type="spellStart"/>
      <w:r>
        <w:t>erenumab</w:t>
      </w:r>
      <w:proofErr w:type="spellEnd"/>
      <w:r>
        <w:t xml:space="preserve"> in these patients. </w:t>
      </w:r>
    </w:p>
    <w:p w:rsidR="00731B4F" w:rsidRPr="00731B4F" w:rsidRDefault="00731B4F" w:rsidP="008C17FD">
      <w:pPr>
        <w:pStyle w:val="ListParagraph"/>
        <w:numPr>
          <w:ilvl w:val="1"/>
          <w:numId w:val="2"/>
        </w:numPr>
        <w:spacing w:after="120"/>
      </w:pPr>
      <w:r w:rsidRPr="00731B4F">
        <w:t>The</w:t>
      </w:r>
      <w:r>
        <w:t xml:space="preserve"> PBAC noted the</w:t>
      </w:r>
      <w:r w:rsidRPr="00731B4F">
        <w:t xml:space="preserve"> overall estimated net cost to the Government for the first 6 years of </w:t>
      </w:r>
      <w:proofErr w:type="spellStart"/>
      <w:r w:rsidRPr="00731B4F">
        <w:t>erenumab</w:t>
      </w:r>
      <w:proofErr w:type="spellEnd"/>
      <w:r w:rsidRPr="00731B4F">
        <w:t xml:space="preserve"> listing was</w:t>
      </w:r>
      <w:r w:rsidR="00874C7C">
        <w:t xml:space="preserve"> more than</w:t>
      </w:r>
      <w:r w:rsidRPr="00731B4F">
        <w:t xml:space="preserve"> $</w:t>
      </w:r>
      <w:r w:rsidR="00874C7C">
        <w:t>100 million</w:t>
      </w:r>
      <w:r w:rsidRPr="00731B4F">
        <w:t xml:space="preserve"> with an estimated total number of treated patients of </w:t>
      </w:r>
      <w:r w:rsidR="00874C7C">
        <w:t>over 200,000</w:t>
      </w:r>
      <w:r w:rsidRPr="00731B4F">
        <w:t>.</w:t>
      </w:r>
      <w:r>
        <w:t xml:space="preserve"> The PBAC considered the financial estimates to be very high and uncertain.</w:t>
      </w:r>
      <w:r w:rsidR="00613CF1">
        <w:t xml:space="preserve"> The PBAC considered there is the potential for high uptake of </w:t>
      </w:r>
      <w:proofErr w:type="spellStart"/>
      <w:r w:rsidR="00613CF1">
        <w:t>erenumab</w:t>
      </w:r>
      <w:proofErr w:type="spellEnd"/>
      <w:r w:rsidR="00613CF1">
        <w:t xml:space="preserve"> given the poor tolerability of available treatments and a high continuation rate given the subjective nature of the continuatio</w:t>
      </w:r>
      <w:r w:rsidR="00090032">
        <w:t xml:space="preserve">n criteria. Further, </w:t>
      </w:r>
      <w:r w:rsidR="00613CF1">
        <w:t>the risk of use outside the restriction criteria is significant.</w:t>
      </w:r>
    </w:p>
    <w:p w:rsidR="005038AE" w:rsidRDefault="005038AE" w:rsidP="008C17FD">
      <w:pPr>
        <w:pStyle w:val="ListParagraph"/>
        <w:numPr>
          <w:ilvl w:val="1"/>
          <w:numId w:val="2"/>
        </w:numPr>
        <w:spacing w:after="120"/>
      </w:pPr>
      <w:r>
        <w:t>The PBAC considered that any resubmission would need to be a major submission and would need to address the following issues:</w:t>
      </w:r>
    </w:p>
    <w:p w:rsidR="005038AE" w:rsidRDefault="00B322A7" w:rsidP="008C17FD">
      <w:pPr>
        <w:pStyle w:val="ListParagraph"/>
        <w:numPr>
          <w:ilvl w:val="2"/>
          <w:numId w:val="2"/>
        </w:numPr>
        <w:spacing w:after="120"/>
        <w:ind w:left="1418" w:hanging="709"/>
      </w:pPr>
      <w:r>
        <w:t xml:space="preserve">Propose a </w:t>
      </w:r>
      <w:r w:rsidR="007364B3">
        <w:t xml:space="preserve">restriction criteria </w:t>
      </w:r>
      <w:r>
        <w:t xml:space="preserve">that </w:t>
      </w:r>
      <w:r w:rsidR="007364B3">
        <w:t>address</w:t>
      </w:r>
      <w:r>
        <w:t xml:space="preserve">es </w:t>
      </w:r>
      <w:r w:rsidR="007364B3">
        <w:t xml:space="preserve">the issues raised in Section </w:t>
      </w:r>
      <w:r w:rsidR="00E153BC" w:rsidRPr="00391104">
        <w:t>2</w:t>
      </w:r>
      <w:r w:rsidR="007364B3" w:rsidRPr="00391104">
        <w:t>.</w:t>
      </w:r>
    </w:p>
    <w:p w:rsidR="007364B3" w:rsidRPr="00B322A7" w:rsidRDefault="00B322A7" w:rsidP="008C17FD">
      <w:pPr>
        <w:pStyle w:val="ListParagraph"/>
        <w:numPr>
          <w:ilvl w:val="2"/>
          <w:numId w:val="2"/>
        </w:numPr>
        <w:spacing w:after="120"/>
        <w:ind w:left="1418" w:hanging="709"/>
      </w:pPr>
      <w:r>
        <w:t>P</w:t>
      </w:r>
      <w:r w:rsidRPr="00B322A7">
        <w:t xml:space="preserve">resent all available efficacy and safety data for the doses recommended in the Product Information (PI). If the clinical claim is based on a subgroup of patients, the rational should be clearly supported with reference to Section 2.6.1 of the PBAC Guidelines. Any proposed </w:t>
      </w:r>
      <w:proofErr w:type="spellStart"/>
      <w:r w:rsidRPr="00B322A7">
        <w:t>equi</w:t>
      </w:r>
      <w:proofErr w:type="spellEnd"/>
      <w:r w:rsidRPr="00B322A7">
        <w:t>-effective doses should take into account the doses recommended in the PI.</w:t>
      </w:r>
    </w:p>
    <w:p w:rsidR="00B32AF6" w:rsidRPr="00B32AF6" w:rsidRDefault="00B322A7" w:rsidP="008C17FD">
      <w:pPr>
        <w:pStyle w:val="ListParagraph"/>
        <w:numPr>
          <w:ilvl w:val="2"/>
          <w:numId w:val="2"/>
        </w:numPr>
        <w:spacing w:after="120"/>
        <w:ind w:left="1418" w:hanging="709"/>
      </w:pPr>
      <w:r>
        <w:t>P</w:t>
      </w:r>
      <w:r w:rsidR="00B32AF6" w:rsidRPr="00B32AF6">
        <w:t xml:space="preserve">rovide any </w:t>
      </w:r>
      <w:r>
        <w:t>further</w:t>
      </w:r>
      <w:r w:rsidR="00B32AF6" w:rsidRPr="00B32AF6">
        <w:t xml:space="preserve"> </w:t>
      </w:r>
      <w:r w:rsidR="009A7210">
        <w:t xml:space="preserve">data </w:t>
      </w:r>
      <w:r>
        <w:t xml:space="preserve">that may be available to </w:t>
      </w:r>
      <w:r w:rsidR="00B32AF6" w:rsidRPr="00B32AF6">
        <w:t xml:space="preserve">support the long term safety and benefit of </w:t>
      </w:r>
      <w:proofErr w:type="spellStart"/>
      <w:r w:rsidR="00B32AF6" w:rsidRPr="00B32AF6">
        <w:t>erenumab</w:t>
      </w:r>
      <w:proofErr w:type="spellEnd"/>
      <w:r w:rsidR="00B32AF6" w:rsidRPr="00B32AF6">
        <w:t xml:space="preserve"> at the recommended doses.</w:t>
      </w:r>
      <w:r w:rsidR="008C17FD">
        <w:t xml:space="preserve"> </w:t>
      </w:r>
      <w:r w:rsidR="00B32AF6" w:rsidRPr="00B32AF6">
        <w:t xml:space="preserve">The PBAC considered any data on the impact of treatment withdrawal would be informative. </w:t>
      </w:r>
    </w:p>
    <w:p w:rsidR="00F846BA" w:rsidRDefault="00F846BA" w:rsidP="008C17FD">
      <w:pPr>
        <w:pStyle w:val="ListParagraph"/>
        <w:numPr>
          <w:ilvl w:val="2"/>
          <w:numId w:val="2"/>
        </w:numPr>
        <w:spacing w:after="120"/>
        <w:ind w:left="1418" w:hanging="709"/>
      </w:pPr>
      <w:r>
        <w:t xml:space="preserve">Address the issues regarding the economic model to support the cost-effectiveness of </w:t>
      </w:r>
      <w:proofErr w:type="spellStart"/>
      <w:r>
        <w:t>erenumab</w:t>
      </w:r>
      <w:proofErr w:type="spellEnd"/>
      <w:r>
        <w:t xml:space="preserve"> versus BSC.</w:t>
      </w:r>
    </w:p>
    <w:p w:rsidR="00B32AF6" w:rsidRDefault="00B322A7" w:rsidP="008C17FD">
      <w:pPr>
        <w:pStyle w:val="ListParagraph"/>
        <w:numPr>
          <w:ilvl w:val="2"/>
          <w:numId w:val="2"/>
        </w:numPr>
        <w:spacing w:after="120"/>
        <w:ind w:left="1418" w:hanging="709"/>
      </w:pPr>
      <w:r>
        <w:t>Propose a risk share arrangement to manage the uncertain patient population and the high overall financial impact.</w:t>
      </w:r>
    </w:p>
    <w:p w:rsidR="006A3B62" w:rsidRPr="001D3E33" w:rsidRDefault="006A3B62" w:rsidP="008C17FD">
      <w:pPr>
        <w:pStyle w:val="ListParagraph"/>
        <w:numPr>
          <w:ilvl w:val="1"/>
          <w:numId w:val="2"/>
        </w:numPr>
        <w:spacing w:after="120"/>
        <w:rPr>
          <w:b/>
          <w:u w:val="single"/>
        </w:rPr>
      </w:pPr>
      <w:r w:rsidRPr="001D3E33">
        <w:rPr>
          <w:rFonts w:asciiTheme="minorHAnsi" w:hAnsiTheme="minorHAnsi"/>
          <w:bCs/>
          <w:lang w:val="en-GB"/>
        </w:rPr>
        <w:t>The PBAC noted that this submission is eligible for an Independent Review.</w:t>
      </w:r>
    </w:p>
    <w:p w:rsidR="009A10F7" w:rsidRPr="008330AD" w:rsidRDefault="009A10F7" w:rsidP="008330AD">
      <w:pPr>
        <w:keepNext/>
        <w:rPr>
          <w:b/>
        </w:rPr>
      </w:pPr>
      <w:r w:rsidRPr="008330AD">
        <w:rPr>
          <w:b/>
        </w:rPr>
        <w:t>Outcome:</w:t>
      </w:r>
    </w:p>
    <w:p w:rsidR="00AF645D" w:rsidRDefault="0000608E" w:rsidP="00AF645D">
      <w:r w:rsidRPr="008330AD">
        <w:t>R</w:t>
      </w:r>
      <w:r w:rsidR="009A10F7" w:rsidRPr="008330AD">
        <w:t>ejected</w:t>
      </w:r>
    </w:p>
    <w:p w:rsidR="00AF645D" w:rsidRPr="00AF645D" w:rsidRDefault="00AF645D" w:rsidP="008C17FD">
      <w:pPr>
        <w:pStyle w:val="PBACHeading1"/>
        <w:spacing w:before="240"/>
      </w:pPr>
      <w:r w:rsidRPr="00AF645D">
        <w:t>Context for Decision</w:t>
      </w:r>
    </w:p>
    <w:p w:rsidR="00AF645D" w:rsidRPr="008C17FD" w:rsidRDefault="00AF645D" w:rsidP="008C17FD">
      <w:pPr>
        <w:spacing w:line="276" w:lineRule="auto"/>
        <w:ind w:left="426"/>
        <w:rPr>
          <w:rFonts w:asciiTheme="minorHAnsi" w:eastAsiaTheme="minorHAnsi" w:hAnsiTheme="minorHAnsi" w:cs="Arial"/>
          <w:szCs w:val="22"/>
        </w:rPr>
      </w:pPr>
      <w:r w:rsidRPr="00AF645D">
        <w:rPr>
          <w:rFonts w:asciiTheme="minorHAnsi" w:eastAsiaTheme="minorHAnsi" w:hAnsiTheme="minorHAnsi" w:cs="Arial"/>
          <w:szCs w:val="22"/>
        </w:rPr>
        <w:t xml:space="preserve">The PBAC helps decide whether and, if so, how medicines should be subsidised in Australia. It considers submissions in this context. A PBAC decision not to recommend listing or not to recommend changing a listing does not represent a final PBAC view about </w:t>
      </w:r>
      <w:r w:rsidRPr="00AF645D">
        <w:rPr>
          <w:rFonts w:asciiTheme="minorHAnsi" w:eastAsiaTheme="minorHAnsi" w:hAnsiTheme="minorHAnsi" w:cs="Arial"/>
          <w:szCs w:val="22"/>
        </w:rPr>
        <w:lastRenderedPageBreak/>
        <w:t>the merits of the medicine. A company can resubmit to the PBAC or seek independent review of the PBAC decision.</w:t>
      </w:r>
    </w:p>
    <w:p w:rsidR="00AF645D" w:rsidRPr="00AF645D" w:rsidRDefault="00AF645D" w:rsidP="008C17FD">
      <w:pPr>
        <w:pStyle w:val="PBACHeading1"/>
        <w:spacing w:before="240"/>
      </w:pPr>
      <w:r w:rsidRPr="00AF645D">
        <w:t>Sponsor’s Comment</w:t>
      </w:r>
    </w:p>
    <w:p w:rsidR="00AF645D" w:rsidRPr="00AF645D" w:rsidRDefault="00AF645D" w:rsidP="00AF645D">
      <w:pPr>
        <w:spacing w:after="120" w:line="276" w:lineRule="auto"/>
        <w:ind w:left="426"/>
        <w:rPr>
          <w:rFonts w:asciiTheme="minorHAnsi" w:eastAsiaTheme="minorHAnsi" w:hAnsiTheme="minorHAnsi" w:cs="Arial"/>
          <w:bCs/>
          <w:szCs w:val="22"/>
        </w:rPr>
      </w:pPr>
      <w:r w:rsidRPr="00AF645D">
        <w:rPr>
          <w:rFonts w:asciiTheme="minorHAnsi" w:eastAsiaTheme="minorHAnsi" w:hAnsiTheme="minorHAnsi" w:cs="Arial"/>
          <w:bCs/>
          <w:szCs w:val="22"/>
        </w:rPr>
        <w:t>The sponsor had no comment.</w:t>
      </w:r>
    </w:p>
    <w:p w:rsidR="00A232D3" w:rsidRPr="00AF645D" w:rsidRDefault="00A232D3" w:rsidP="00AF645D"/>
    <w:sectPr w:rsidR="00A232D3" w:rsidRPr="00AF645D" w:rsidSect="00703E33">
      <w:headerReference w:type="default" r:id="rId8"/>
      <w:footerReference w:type="default" r:id="rId9"/>
      <w:type w:val="continuous"/>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9D8582" w16cid:durableId="205C215A"/>
  <w16cid:commentId w16cid:paraId="633D0448" w16cid:durableId="205C2EC7"/>
  <w16cid:commentId w16cid:paraId="5CAADCEF" w16cid:durableId="205C2BB2"/>
  <w16cid:commentId w16cid:paraId="7DD26CDD" w16cid:durableId="205C2D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DA0" w:rsidRDefault="00405DA0" w:rsidP="00124A51">
      <w:r>
        <w:separator/>
      </w:r>
    </w:p>
    <w:p w:rsidR="00405DA0" w:rsidRDefault="00405DA0"/>
  </w:endnote>
  <w:endnote w:type="continuationSeparator" w:id="0">
    <w:p w:rsidR="00405DA0" w:rsidRDefault="00405DA0" w:rsidP="00124A51">
      <w:r>
        <w:continuationSeparator/>
      </w:r>
    </w:p>
    <w:p w:rsidR="00405DA0" w:rsidRDefault="00405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Times New Roman"/>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B5" w:rsidRPr="009111A3" w:rsidRDefault="003565B5" w:rsidP="00015886">
    <w:pPr>
      <w:ind w:right="360"/>
      <w:jc w:val="center"/>
      <w:rPr>
        <w:b/>
      </w:rPr>
    </w:pPr>
    <w:r w:rsidRPr="009111A3">
      <w:rPr>
        <w:b/>
      </w:rPr>
      <w:fldChar w:fldCharType="begin"/>
    </w:r>
    <w:r w:rsidRPr="009111A3">
      <w:rPr>
        <w:b/>
      </w:rPr>
      <w:instrText xml:space="preserve"> PAGE   \* MERGEFORMAT </w:instrText>
    </w:r>
    <w:r w:rsidRPr="009111A3">
      <w:rPr>
        <w:b/>
      </w:rPr>
      <w:fldChar w:fldCharType="separate"/>
    </w:r>
    <w:r w:rsidR="008C17FD">
      <w:rPr>
        <w:b/>
        <w:noProof/>
      </w:rPr>
      <w:t>30</w:t>
    </w:r>
    <w:r w:rsidRPr="009111A3">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DA0" w:rsidRDefault="00405DA0" w:rsidP="00124A51">
      <w:r>
        <w:separator/>
      </w:r>
    </w:p>
    <w:p w:rsidR="00405DA0" w:rsidRDefault="00405DA0"/>
  </w:footnote>
  <w:footnote w:type="continuationSeparator" w:id="0">
    <w:p w:rsidR="00405DA0" w:rsidRDefault="00405DA0" w:rsidP="00124A51">
      <w:r>
        <w:continuationSeparator/>
      </w:r>
    </w:p>
    <w:p w:rsidR="00405DA0" w:rsidRDefault="00405DA0"/>
  </w:footnote>
  <w:footnote w:id="1">
    <w:p w:rsidR="003565B5" w:rsidRPr="00EB1AE6" w:rsidRDefault="003565B5" w:rsidP="00D72110">
      <w:pPr>
        <w:pStyle w:val="FootnoteText"/>
        <w:rPr>
          <w:rFonts w:asciiTheme="minorHAnsi" w:hAnsiTheme="minorHAnsi" w:cstheme="minorHAnsi"/>
        </w:rPr>
      </w:pPr>
      <w:r w:rsidRPr="00EB1AE6">
        <w:rPr>
          <w:rStyle w:val="FootnoteReference"/>
          <w:rFonts w:asciiTheme="minorHAnsi" w:hAnsiTheme="minorHAnsi" w:cstheme="minorHAnsi"/>
        </w:rPr>
        <w:footnoteRef/>
      </w:r>
      <w:r w:rsidRPr="00EB1AE6">
        <w:rPr>
          <w:rFonts w:asciiTheme="minorHAnsi" w:hAnsiTheme="minorHAnsi" w:cstheme="minorHAnsi"/>
        </w:rPr>
        <w:t xml:space="preserve"> </w:t>
      </w:r>
      <w:proofErr w:type="spellStart"/>
      <w:r w:rsidRPr="00EB1AE6">
        <w:rPr>
          <w:rFonts w:asciiTheme="minorHAnsi" w:hAnsiTheme="minorHAnsi" w:cstheme="minorHAnsi"/>
        </w:rPr>
        <w:t>Manack</w:t>
      </w:r>
      <w:proofErr w:type="spellEnd"/>
      <w:r w:rsidRPr="00EB1AE6">
        <w:rPr>
          <w:rFonts w:asciiTheme="minorHAnsi" w:hAnsiTheme="minorHAnsi" w:cstheme="minorHAnsi"/>
        </w:rPr>
        <w:t xml:space="preserve">, A., </w:t>
      </w:r>
      <w:proofErr w:type="spellStart"/>
      <w:r w:rsidRPr="00EB1AE6">
        <w:rPr>
          <w:rFonts w:asciiTheme="minorHAnsi" w:hAnsiTheme="minorHAnsi" w:cstheme="minorHAnsi"/>
        </w:rPr>
        <w:t>Buse</w:t>
      </w:r>
      <w:proofErr w:type="spellEnd"/>
      <w:r w:rsidRPr="00EB1AE6">
        <w:rPr>
          <w:rFonts w:asciiTheme="minorHAnsi" w:hAnsiTheme="minorHAnsi" w:cstheme="minorHAnsi"/>
        </w:rPr>
        <w:t xml:space="preserve">, D. C., Serrano, D., </w:t>
      </w:r>
      <w:proofErr w:type="spellStart"/>
      <w:r w:rsidRPr="00EB1AE6">
        <w:rPr>
          <w:rFonts w:asciiTheme="minorHAnsi" w:hAnsiTheme="minorHAnsi" w:cstheme="minorHAnsi"/>
        </w:rPr>
        <w:t>Turkel</w:t>
      </w:r>
      <w:proofErr w:type="spellEnd"/>
      <w:r w:rsidRPr="00EB1AE6">
        <w:rPr>
          <w:rFonts w:asciiTheme="minorHAnsi" w:hAnsiTheme="minorHAnsi" w:cstheme="minorHAnsi"/>
        </w:rPr>
        <w:t xml:space="preserve">, C. C. &amp; Lipton, R. B. Rates, predictors, and consequences of remission from chronic migraine to episodic migraine. </w:t>
      </w:r>
      <w:r w:rsidRPr="00EB1AE6">
        <w:rPr>
          <w:rFonts w:asciiTheme="minorHAnsi" w:hAnsiTheme="minorHAnsi" w:cstheme="minorHAnsi"/>
          <w:i/>
        </w:rPr>
        <w:t>Neurology</w:t>
      </w:r>
      <w:r w:rsidRPr="00EB1AE6">
        <w:rPr>
          <w:rFonts w:asciiTheme="minorHAnsi" w:hAnsiTheme="minorHAnsi" w:cstheme="minorHAnsi"/>
        </w:rPr>
        <w:t xml:space="preserve"> 76, 711–718 (2011)</w:t>
      </w:r>
    </w:p>
  </w:footnote>
  <w:footnote w:id="2">
    <w:p w:rsidR="003565B5" w:rsidRPr="00EB1AE6" w:rsidRDefault="003565B5">
      <w:pPr>
        <w:pStyle w:val="FootnoteText"/>
        <w:rPr>
          <w:rFonts w:asciiTheme="minorHAnsi" w:hAnsiTheme="minorHAnsi" w:cstheme="minorHAnsi"/>
        </w:rPr>
      </w:pPr>
      <w:r w:rsidRPr="00EB1AE6">
        <w:rPr>
          <w:rStyle w:val="FootnoteReference"/>
          <w:rFonts w:asciiTheme="minorHAnsi" w:hAnsiTheme="minorHAnsi" w:cstheme="minorHAnsi"/>
        </w:rPr>
        <w:footnoteRef/>
      </w:r>
      <w:r w:rsidRPr="00EB1AE6">
        <w:rPr>
          <w:rFonts w:asciiTheme="minorHAnsi" w:hAnsiTheme="minorHAnsi" w:cstheme="minorHAnsi"/>
        </w:rPr>
        <w:t xml:space="preserve"> Attachment 15 of the resubmission, </w:t>
      </w:r>
      <w:proofErr w:type="spellStart"/>
      <w:r w:rsidRPr="00EB1AE6">
        <w:rPr>
          <w:rFonts w:asciiTheme="minorHAnsi" w:hAnsiTheme="minorHAnsi" w:cstheme="minorHAnsi"/>
        </w:rPr>
        <w:t>pg</w:t>
      </w:r>
      <w:proofErr w:type="spellEnd"/>
      <w:r w:rsidRPr="00EB1AE6">
        <w:rPr>
          <w:rFonts w:asciiTheme="minorHAnsi" w:hAnsiTheme="minorHAnsi" w:cstheme="minorHAnsi"/>
        </w:rPr>
        <w:t xml:space="preserve"> 1-2</w:t>
      </w:r>
    </w:p>
  </w:footnote>
  <w:footnote w:id="3">
    <w:p w:rsidR="003565B5" w:rsidRPr="00963510" w:rsidRDefault="003565B5">
      <w:pPr>
        <w:pStyle w:val="FootnoteText"/>
        <w:rPr>
          <w:rFonts w:asciiTheme="minorHAnsi" w:hAnsiTheme="minorHAnsi" w:cstheme="minorHAnsi"/>
        </w:rPr>
      </w:pPr>
      <w:r w:rsidRPr="00963510">
        <w:rPr>
          <w:rStyle w:val="FootnoteReference"/>
          <w:rFonts w:asciiTheme="minorHAnsi" w:hAnsiTheme="minorHAnsi" w:cstheme="minorHAnsi"/>
        </w:rPr>
        <w:footnoteRef/>
      </w:r>
      <w:r w:rsidRPr="00963510">
        <w:rPr>
          <w:rFonts w:asciiTheme="minorHAnsi" w:hAnsiTheme="minorHAnsi" w:cstheme="minorHAnsi"/>
        </w:rPr>
        <w:t xml:space="preserve"> </w:t>
      </w:r>
      <w:proofErr w:type="spellStart"/>
      <w:r w:rsidRPr="00963510">
        <w:rPr>
          <w:rFonts w:asciiTheme="minorHAnsi" w:hAnsiTheme="minorHAnsi" w:cstheme="minorHAnsi"/>
        </w:rPr>
        <w:t>Ashina</w:t>
      </w:r>
      <w:proofErr w:type="spellEnd"/>
      <w:r w:rsidRPr="00963510">
        <w:rPr>
          <w:rFonts w:asciiTheme="minorHAnsi" w:hAnsiTheme="minorHAnsi" w:cstheme="minorHAnsi"/>
        </w:rPr>
        <w:t xml:space="preserve"> M, </w:t>
      </w:r>
      <w:proofErr w:type="spellStart"/>
      <w:r w:rsidRPr="00963510">
        <w:rPr>
          <w:rFonts w:asciiTheme="minorHAnsi" w:hAnsiTheme="minorHAnsi" w:cstheme="minorHAnsi"/>
        </w:rPr>
        <w:t>Tepper</w:t>
      </w:r>
      <w:proofErr w:type="spellEnd"/>
      <w:r w:rsidRPr="00963510">
        <w:rPr>
          <w:rFonts w:asciiTheme="minorHAnsi" w:hAnsiTheme="minorHAnsi" w:cstheme="minorHAnsi"/>
        </w:rPr>
        <w:t xml:space="preserve"> S, </w:t>
      </w:r>
      <w:proofErr w:type="spellStart"/>
      <w:r w:rsidRPr="00963510">
        <w:rPr>
          <w:rFonts w:asciiTheme="minorHAnsi" w:hAnsiTheme="minorHAnsi" w:cstheme="minorHAnsi"/>
        </w:rPr>
        <w:t>Brandes</w:t>
      </w:r>
      <w:proofErr w:type="spellEnd"/>
      <w:r w:rsidRPr="00963510">
        <w:rPr>
          <w:rFonts w:asciiTheme="minorHAnsi" w:hAnsiTheme="minorHAnsi" w:cstheme="minorHAnsi"/>
        </w:rPr>
        <w:t xml:space="preserve"> JL, Reuter U et al. Efficacy and safety of </w:t>
      </w:r>
      <w:proofErr w:type="spellStart"/>
      <w:r w:rsidRPr="00963510">
        <w:rPr>
          <w:rFonts w:asciiTheme="minorHAnsi" w:hAnsiTheme="minorHAnsi" w:cstheme="minorHAnsi"/>
        </w:rPr>
        <w:t>erenumab</w:t>
      </w:r>
      <w:proofErr w:type="spellEnd"/>
      <w:r w:rsidRPr="00963510">
        <w:rPr>
          <w:rFonts w:asciiTheme="minorHAnsi" w:hAnsiTheme="minorHAnsi" w:cstheme="minorHAnsi"/>
        </w:rPr>
        <w:t xml:space="preserve"> (AMG334) in chronic migraine patients with prior preventive treatment failure: A subgroup analysis of a randomized, double-blind, placebo-controlled study. </w:t>
      </w:r>
      <w:proofErr w:type="spellStart"/>
      <w:r w:rsidRPr="00963510">
        <w:rPr>
          <w:rFonts w:asciiTheme="minorHAnsi" w:hAnsiTheme="minorHAnsi" w:cstheme="minorHAnsi"/>
          <w:i/>
        </w:rPr>
        <w:t>Cephalalgia</w:t>
      </w:r>
      <w:proofErr w:type="spellEnd"/>
      <w:r w:rsidRPr="00963510">
        <w:rPr>
          <w:rFonts w:asciiTheme="minorHAnsi" w:hAnsiTheme="minorHAnsi" w:cstheme="minorHAnsi"/>
        </w:rPr>
        <w:t xml:space="preserve"> 2018; 38(10): 1611-1621</w:t>
      </w:r>
    </w:p>
  </w:footnote>
  <w:footnote w:id="4">
    <w:p w:rsidR="003565B5" w:rsidRPr="00D475F7" w:rsidRDefault="003565B5" w:rsidP="00A874F2">
      <w:pPr>
        <w:pStyle w:val="FootnoteText"/>
        <w:rPr>
          <w:rFonts w:ascii="Calibri" w:hAnsi="Calibri" w:cs="Calibri"/>
        </w:rPr>
      </w:pPr>
      <w:r w:rsidRPr="00D475F7">
        <w:rPr>
          <w:rStyle w:val="FootnoteReference"/>
          <w:rFonts w:ascii="Calibri" w:hAnsi="Calibri" w:cs="Calibri"/>
        </w:rPr>
        <w:footnoteRef/>
      </w:r>
      <w:r>
        <w:rPr>
          <w:rFonts w:ascii="Calibri" w:hAnsi="Calibri" w:cs="Calibri"/>
        </w:rPr>
        <w:t xml:space="preserve"> Robbins L. </w:t>
      </w:r>
      <w:r w:rsidRPr="00D475F7">
        <w:rPr>
          <w:rFonts w:ascii="Calibri" w:hAnsi="Calibri" w:cs="Calibri"/>
        </w:rPr>
        <w:t>CGRP antagonists: Physiologic ef</w:t>
      </w:r>
      <w:r>
        <w:rPr>
          <w:rFonts w:ascii="Calibri" w:hAnsi="Calibri" w:cs="Calibri"/>
        </w:rPr>
        <w:t>fects and serious side effects.</w:t>
      </w:r>
      <w:r w:rsidRPr="00D475F7">
        <w:rPr>
          <w:rFonts w:ascii="Calibri" w:hAnsi="Calibri" w:cs="Calibri"/>
        </w:rPr>
        <w:t xml:space="preserve"> </w:t>
      </w:r>
      <w:r w:rsidRPr="00D475F7">
        <w:rPr>
          <w:rFonts w:ascii="Calibri" w:hAnsi="Calibri" w:cs="Calibri"/>
          <w:i/>
        </w:rPr>
        <w:t>Headache</w:t>
      </w:r>
      <w:r w:rsidRPr="00D475F7">
        <w:rPr>
          <w:rFonts w:ascii="Calibri" w:hAnsi="Calibri" w:cs="Calibri"/>
        </w:rPr>
        <w:t xml:space="preserve"> 2018; 58(9): 1469-71.</w:t>
      </w:r>
    </w:p>
  </w:footnote>
  <w:footnote w:id="5">
    <w:p w:rsidR="003565B5" w:rsidRPr="00D475F7" w:rsidRDefault="003565B5" w:rsidP="00D91B11">
      <w:pPr>
        <w:pStyle w:val="FootnoteText"/>
        <w:rPr>
          <w:rFonts w:ascii="Calibri" w:hAnsi="Calibri" w:cs="Calibri"/>
        </w:rPr>
      </w:pPr>
      <w:r w:rsidRPr="00D475F7">
        <w:rPr>
          <w:rStyle w:val="FootnoteReference"/>
          <w:rFonts w:ascii="Calibri" w:hAnsi="Calibri" w:cs="Calibri"/>
        </w:rPr>
        <w:footnoteRef/>
      </w:r>
      <w:r w:rsidRPr="00D475F7">
        <w:rPr>
          <w:rFonts w:ascii="Calibri" w:hAnsi="Calibri" w:cs="Calibri"/>
        </w:rPr>
        <w:t xml:space="preserve"> </w:t>
      </w:r>
      <w:proofErr w:type="spellStart"/>
      <w:r w:rsidRPr="00D475F7">
        <w:rPr>
          <w:rFonts w:ascii="Calibri" w:hAnsi="Calibri" w:cs="Calibri"/>
        </w:rPr>
        <w:t>MaassenVanDenBrink</w:t>
      </w:r>
      <w:proofErr w:type="spellEnd"/>
      <w:r w:rsidRPr="00D475F7">
        <w:rPr>
          <w:rFonts w:ascii="Calibri" w:hAnsi="Calibri" w:cs="Calibri"/>
        </w:rPr>
        <w:t xml:space="preserve"> A, Rubio-Beltran E, </w:t>
      </w:r>
      <w:proofErr w:type="spellStart"/>
      <w:r w:rsidRPr="00D475F7">
        <w:rPr>
          <w:rFonts w:ascii="Calibri" w:hAnsi="Calibri" w:cs="Calibri"/>
        </w:rPr>
        <w:t>Duncker</w:t>
      </w:r>
      <w:proofErr w:type="spellEnd"/>
      <w:r w:rsidRPr="00D475F7">
        <w:rPr>
          <w:rFonts w:ascii="Calibri" w:hAnsi="Calibri" w:cs="Calibri"/>
        </w:rPr>
        <w:t xml:space="preserve"> D,</w:t>
      </w:r>
      <w:r>
        <w:rPr>
          <w:rFonts w:ascii="Calibri" w:hAnsi="Calibri" w:cs="Calibri"/>
        </w:rPr>
        <w:t xml:space="preserve"> </w:t>
      </w:r>
      <w:proofErr w:type="spellStart"/>
      <w:r>
        <w:rPr>
          <w:rFonts w:ascii="Calibri" w:hAnsi="Calibri" w:cs="Calibri"/>
        </w:rPr>
        <w:t>Villalon</w:t>
      </w:r>
      <w:proofErr w:type="spellEnd"/>
      <w:r>
        <w:rPr>
          <w:rFonts w:ascii="Calibri" w:hAnsi="Calibri" w:cs="Calibri"/>
        </w:rPr>
        <w:t xml:space="preserve"> CM.</w:t>
      </w:r>
      <w:r w:rsidRPr="00D475F7">
        <w:rPr>
          <w:rFonts w:ascii="Calibri" w:hAnsi="Calibri" w:cs="Calibri"/>
        </w:rPr>
        <w:t xml:space="preserve"> Is CGRP receptor blockade </w:t>
      </w:r>
      <w:proofErr w:type="spellStart"/>
      <w:r w:rsidRPr="00D475F7">
        <w:rPr>
          <w:rFonts w:ascii="Calibri" w:hAnsi="Calibri" w:cs="Calibri"/>
        </w:rPr>
        <w:t>cardiovascularly</w:t>
      </w:r>
      <w:proofErr w:type="spellEnd"/>
      <w:r w:rsidRPr="00D475F7">
        <w:rPr>
          <w:rFonts w:ascii="Calibri" w:hAnsi="Calibri" w:cs="Calibri"/>
        </w:rPr>
        <w:t xml:space="preserve"> safe? A</w:t>
      </w:r>
      <w:r>
        <w:rPr>
          <w:rFonts w:ascii="Calibri" w:hAnsi="Calibri" w:cs="Calibri"/>
        </w:rPr>
        <w:t xml:space="preserve">ppropriate studies are needed. </w:t>
      </w:r>
      <w:r w:rsidRPr="00D475F7">
        <w:rPr>
          <w:rFonts w:ascii="Calibri" w:hAnsi="Calibri" w:cs="Calibri"/>
          <w:i/>
        </w:rPr>
        <w:t>Headache</w:t>
      </w:r>
      <w:r w:rsidRPr="00D475F7">
        <w:rPr>
          <w:rFonts w:ascii="Calibri" w:hAnsi="Calibri" w:cs="Calibri"/>
        </w:rPr>
        <w:t xml:space="preserve"> 2018; 58(8): 1257-58.</w:t>
      </w:r>
    </w:p>
  </w:footnote>
  <w:footnote w:id="6">
    <w:p w:rsidR="003565B5" w:rsidRDefault="003565B5" w:rsidP="008E5F02">
      <w:pPr>
        <w:pStyle w:val="Tabletext"/>
      </w:pPr>
      <w:r>
        <w:rPr>
          <w:rStyle w:val="FootnoteReference"/>
        </w:rPr>
        <w:footnoteRef/>
      </w:r>
      <w:r>
        <w:t xml:space="preserve"> </w:t>
      </w:r>
      <w:proofErr w:type="spellStart"/>
      <w:r w:rsidRPr="00D061B9">
        <w:t>Dodick</w:t>
      </w:r>
      <w:proofErr w:type="spellEnd"/>
      <w:r w:rsidRPr="00D061B9">
        <w:t xml:space="preserve"> DW, </w:t>
      </w:r>
      <w:proofErr w:type="spellStart"/>
      <w:r w:rsidRPr="00D061B9">
        <w:t>Turkel</w:t>
      </w:r>
      <w:proofErr w:type="spellEnd"/>
      <w:r w:rsidRPr="00D061B9">
        <w:t xml:space="preserve"> CC, </w:t>
      </w:r>
      <w:proofErr w:type="spellStart"/>
      <w:r w:rsidRPr="00D061B9">
        <w:t>DeGryse</w:t>
      </w:r>
      <w:proofErr w:type="spellEnd"/>
      <w:r w:rsidRPr="00D061B9">
        <w:t xml:space="preserve"> RE, Aurora SK et al. </w:t>
      </w:r>
      <w:proofErr w:type="spellStart"/>
      <w:r w:rsidRPr="00D061B9">
        <w:t>Onabotulinumtoxin</w:t>
      </w:r>
      <w:proofErr w:type="spellEnd"/>
      <w:r>
        <w:t xml:space="preserve"> </w:t>
      </w:r>
      <w:r w:rsidRPr="00D061B9">
        <w:t>A treatment reduce headache duration in adults with chronic migraine: Pooled results from the double-blind, randomized, placebo-controlled phase of the PREEMPT clinical program. Headache 2010; 50: 58-59</w:t>
      </w:r>
    </w:p>
    <w:p w:rsidR="003565B5" w:rsidRDefault="003565B5">
      <w:pPr>
        <w:pStyle w:val="FootnoteText"/>
      </w:pPr>
    </w:p>
  </w:footnote>
  <w:footnote w:id="7">
    <w:p w:rsidR="003565B5" w:rsidRDefault="003565B5" w:rsidP="003D1C2B">
      <w:pPr>
        <w:pStyle w:val="FootnoteText"/>
      </w:pPr>
      <w:r>
        <w:rPr>
          <w:rStyle w:val="FootnoteReference"/>
        </w:rPr>
        <w:footnoteRef/>
      </w:r>
      <w:r>
        <w:t xml:space="preserve"> </w:t>
      </w:r>
      <w:r w:rsidRPr="00001A98">
        <w:rPr>
          <w:rFonts w:ascii="Calibri" w:hAnsi="Calibri" w:cs="Calibri"/>
        </w:rPr>
        <w:t>Stafford</w:t>
      </w:r>
      <w:r>
        <w:rPr>
          <w:rFonts w:ascii="Calibri" w:hAnsi="Calibri" w:cs="Calibri"/>
        </w:rPr>
        <w:t xml:space="preserve"> MR, </w:t>
      </w:r>
      <w:proofErr w:type="spellStart"/>
      <w:r>
        <w:rPr>
          <w:rFonts w:ascii="Calibri" w:hAnsi="Calibri" w:cs="Calibri"/>
        </w:rPr>
        <w:t>Hareendran</w:t>
      </w:r>
      <w:proofErr w:type="spellEnd"/>
      <w:r>
        <w:rPr>
          <w:rFonts w:ascii="Calibri" w:hAnsi="Calibri" w:cs="Calibri"/>
        </w:rPr>
        <w:t xml:space="preserve"> A, Ng-</w:t>
      </w:r>
      <w:proofErr w:type="spellStart"/>
      <w:r>
        <w:rPr>
          <w:rFonts w:ascii="Calibri" w:hAnsi="Calibri" w:cs="Calibri"/>
        </w:rPr>
        <w:t>Mak</w:t>
      </w:r>
      <w:proofErr w:type="spellEnd"/>
      <w:r>
        <w:rPr>
          <w:rFonts w:ascii="Calibri" w:hAnsi="Calibri" w:cs="Calibri"/>
        </w:rPr>
        <w:t xml:space="preserve"> DS, </w:t>
      </w:r>
      <w:proofErr w:type="spellStart"/>
      <w:r>
        <w:rPr>
          <w:rFonts w:ascii="Calibri" w:hAnsi="Calibri" w:cs="Calibri"/>
        </w:rPr>
        <w:t>Insinga</w:t>
      </w:r>
      <w:proofErr w:type="spellEnd"/>
      <w:r>
        <w:rPr>
          <w:rFonts w:ascii="Calibri" w:hAnsi="Calibri" w:cs="Calibri"/>
        </w:rPr>
        <w:t xml:space="preserve"> RP</w:t>
      </w:r>
      <w:r w:rsidRPr="00001A98">
        <w:rPr>
          <w:rFonts w:ascii="Calibri" w:hAnsi="Calibri" w:cs="Calibri"/>
        </w:rPr>
        <w:t xml:space="preserve"> et al (2012). EQ-5D™-derived utility values for different levels of migraine severity from a UK sample of </w:t>
      </w:r>
      <w:proofErr w:type="spellStart"/>
      <w:r w:rsidRPr="00001A98">
        <w:rPr>
          <w:rFonts w:ascii="Calibri" w:hAnsi="Calibri" w:cs="Calibri"/>
        </w:rPr>
        <w:t>Migraineurs</w:t>
      </w:r>
      <w:proofErr w:type="spellEnd"/>
      <w:r w:rsidRPr="00001A98">
        <w:rPr>
          <w:rFonts w:ascii="Calibri" w:hAnsi="Calibri" w:cs="Calibri"/>
        </w:rPr>
        <w:t>.</w:t>
      </w:r>
      <w:r>
        <w:rPr>
          <w:rFonts w:ascii="Calibri" w:hAnsi="Calibri" w:cs="Calibri"/>
          <w:i/>
        </w:rPr>
        <w:t xml:space="preserve"> </w:t>
      </w:r>
      <w:r w:rsidRPr="00001A98">
        <w:rPr>
          <w:rFonts w:ascii="Calibri" w:hAnsi="Calibri" w:cs="Calibri"/>
          <w:i/>
        </w:rPr>
        <w:t xml:space="preserve">Health Qual Life Outcomes </w:t>
      </w:r>
      <w:r w:rsidRPr="00001A98">
        <w:rPr>
          <w:rFonts w:ascii="Calibri" w:hAnsi="Calibri" w:cs="Calibri"/>
        </w:rPr>
        <w:t>2012;</w:t>
      </w:r>
      <w:r w:rsidRPr="00001A98">
        <w:rPr>
          <w:rFonts w:ascii="Calibri" w:hAnsi="Calibri" w:cs="Calibri"/>
          <w:i/>
        </w:rPr>
        <w:t xml:space="preserve"> 10:65</w:t>
      </w:r>
      <w:r>
        <w:rPr>
          <w:rFonts w:ascii="Calibri" w:hAnsi="Calibri" w:cs="Calibri"/>
          <w:i/>
        </w:rPr>
        <w:t>.</w:t>
      </w:r>
    </w:p>
  </w:footnote>
  <w:footnote w:id="8">
    <w:p w:rsidR="003565B5" w:rsidRPr="00580DC1" w:rsidRDefault="003565B5" w:rsidP="003D1C2B">
      <w:pPr>
        <w:pStyle w:val="FootnoteText"/>
        <w:rPr>
          <w:rFonts w:ascii="Calibri" w:hAnsi="Calibri" w:cs="Calibri"/>
        </w:rPr>
      </w:pPr>
      <w:r w:rsidRPr="00B86E59">
        <w:rPr>
          <w:rStyle w:val="FootnoteReference"/>
        </w:rPr>
        <w:footnoteRef/>
      </w:r>
      <w:r w:rsidRPr="00B86E59">
        <w:t xml:space="preserve"> </w:t>
      </w:r>
      <w:r w:rsidRPr="00580DC1">
        <w:rPr>
          <w:rFonts w:ascii="Calibri" w:hAnsi="Calibri" w:cs="Calibri"/>
        </w:rPr>
        <w:t xml:space="preserve">Brown JS, Neumann PJ, Papadopoulos G, </w:t>
      </w:r>
      <w:proofErr w:type="spellStart"/>
      <w:r w:rsidRPr="00580DC1">
        <w:rPr>
          <w:rFonts w:ascii="Calibri" w:hAnsi="Calibri" w:cs="Calibri"/>
        </w:rPr>
        <w:t>Ruoff</w:t>
      </w:r>
      <w:proofErr w:type="spellEnd"/>
      <w:r w:rsidRPr="00580DC1">
        <w:rPr>
          <w:rFonts w:ascii="Calibri" w:hAnsi="Calibri" w:cs="Calibri"/>
        </w:rPr>
        <w:t xml:space="preserve"> G, Diamond M, </w:t>
      </w:r>
      <w:proofErr w:type="spellStart"/>
      <w:r w:rsidRPr="00580DC1">
        <w:rPr>
          <w:rFonts w:ascii="Calibri" w:hAnsi="Calibri" w:cs="Calibri"/>
        </w:rPr>
        <w:t>Menzin</w:t>
      </w:r>
      <w:proofErr w:type="spellEnd"/>
      <w:r w:rsidRPr="00580DC1">
        <w:rPr>
          <w:rFonts w:ascii="Calibri" w:hAnsi="Calibri" w:cs="Calibri"/>
        </w:rPr>
        <w:t xml:space="preserve"> J. Migraine frequency and health utilities: findings from a multisite survey. </w:t>
      </w:r>
      <w:r w:rsidRPr="00580DC1">
        <w:rPr>
          <w:rFonts w:ascii="Calibri" w:hAnsi="Calibri" w:cs="Calibri"/>
          <w:i/>
        </w:rPr>
        <w:t>Value Health</w:t>
      </w:r>
      <w:r w:rsidRPr="00580DC1">
        <w:rPr>
          <w:rFonts w:ascii="Calibri" w:hAnsi="Calibri" w:cs="Calibri"/>
        </w:rPr>
        <w:t xml:space="preserve"> 2008; 11(2): 315-21</w:t>
      </w:r>
      <w:r>
        <w:rPr>
          <w:rFonts w:ascii="Calibri" w:hAnsi="Calibri" w:cs="Calibri"/>
        </w:rPr>
        <w:t>.</w:t>
      </w:r>
    </w:p>
  </w:footnote>
  <w:footnote w:id="9">
    <w:p w:rsidR="003565B5" w:rsidRDefault="003565B5" w:rsidP="00EC045B">
      <w:pPr>
        <w:pStyle w:val="FootnoteText"/>
      </w:pPr>
      <w:r>
        <w:rPr>
          <w:rStyle w:val="FootnoteReference"/>
        </w:rPr>
        <w:footnoteRef/>
      </w:r>
      <w:r>
        <w:t xml:space="preserve"> </w:t>
      </w:r>
      <w:proofErr w:type="spellStart"/>
      <w:r w:rsidRPr="00CA600C">
        <w:rPr>
          <w:rFonts w:ascii="Calibri" w:hAnsi="Calibri" w:cs="Calibri"/>
        </w:rPr>
        <w:t>Teixeira</w:t>
      </w:r>
      <w:proofErr w:type="spellEnd"/>
      <w:r w:rsidRPr="00CA600C">
        <w:rPr>
          <w:rFonts w:ascii="Calibri" w:hAnsi="Calibri" w:cs="Calibri"/>
        </w:rPr>
        <w:t xml:space="preserve"> AL, Costa EAC, da Silva, AA. Psychiatric comorbidities of chronic migraine in community and tertiary care clinical samples.</w:t>
      </w:r>
      <w:r w:rsidRPr="00CA600C">
        <w:rPr>
          <w:rFonts w:ascii="Calibri" w:hAnsi="Calibri" w:cs="Calibri"/>
          <w:i/>
        </w:rPr>
        <w:t xml:space="preserve"> J Headache Pain </w:t>
      </w:r>
      <w:r w:rsidRPr="00CA600C">
        <w:rPr>
          <w:rFonts w:ascii="Calibri" w:hAnsi="Calibri" w:cs="Calibri"/>
        </w:rPr>
        <w:t>2012; 13: 551-55.</w:t>
      </w:r>
    </w:p>
  </w:footnote>
  <w:footnote w:id="10">
    <w:p w:rsidR="003565B5" w:rsidRPr="0081072F" w:rsidRDefault="003565B5" w:rsidP="00D91491">
      <w:pPr>
        <w:pStyle w:val="FootnoteText"/>
        <w:rPr>
          <w:rFonts w:ascii="Calibri" w:hAnsi="Calibri" w:cs="Calibri"/>
        </w:rPr>
      </w:pPr>
      <w:r w:rsidRPr="0081072F">
        <w:rPr>
          <w:rStyle w:val="FootnoteReference"/>
          <w:rFonts w:ascii="Calibri" w:hAnsi="Calibri" w:cs="Calibri"/>
        </w:rPr>
        <w:footnoteRef/>
      </w:r>
      <w:r w:rsidRPr="0081072F">
        <w:rPr>
          <w:rFonts w:ascii="Calibri" w:hAnsi="Calibri" w:cs="Calibri"/>
        </w:rPr>
        <w:t xml:space="preserve"> Stafford MR, </w:t>
      </w:r>
      <w:proofErr w:type="spellStart"/>
      <w:r w:rsidRPr="0081072F">
        <w:rPr>
          <w:rFonts w:ascii="Calibri" w:hAnsi="Calibri" w:cs="Calibri"/>
        </w:rPr>
        <w:t>Hareendran</w:t>
      </w:r>
      <w:proofErr w:type="spellEnd"/>
      <w:r w:rsidRPr="0081072F">
        <w:rPr>
          <w:rFonts w:ascii="Calibri" w:hAnsi="Calibri" w:cs="Calibri"/>
        </w:rPr>
        <w:t xml:space="preserve"> A, Ng-</w:t>
      </w:r>
      <w:proofErr w:type="spellStart"/>
      <w:r w:rsidRPr="0081072F">
        <w:rPr>
          <w:rFonts w:ascii="Calibri" w:hAnsi="Calibri" w:cs="Calibri"/>
        </w:rPr>
        <w:t>Mak</w:t>
      </w:r>
      <w:proofErr w:type="spellEnd"/>
      <w:r w:rsidRPr="0081072F">
        <w:rPr>
          <w:rFonts w:ascii="Calibri" w:hAnsi="Calibri" w:cs="Calibri"/>
        </w:rPr>
        <w:t xml:space="preserve"> DS, </w:t>
      </w:r>
      <w:proofErr w:type="spellStart"/>
      <w:r w:rsidRPr="0081072F">
        <w:rPr>
          <w:rFonts w:ascii="Calibri" w:hAnsi="Calibri" w:cs="Calibri"/>
        </w:rPr>
        <w:t>Insinga</w:t>
      </w:r>
      <w:proofErr w:type="spellEnd"/>
      <w:r w:rsidRPr="0081072F">
        <w:rPr>
          <w:rFonts w:ascii="Calibri" w:hAnsi="Calibri" w:cs="Calibri"/>
        </w:rPr>
        <w:t xml:space="preserve"> RP et al (2012). EQ-5D™-derived utility values for different levels of migraine severity from a UK sample of </w:t>
      </w:r>
      <w:proofErr w:type="spellStart"/>
      <w:r w:rsidRPr="0081072F">
        <w:rPr>
          <w:rFonts w:ascii="Calibri" w:hAnsi="Calibri" w:cs="Calibri"/>
        </w:rPr>
        <w:t>Migraineurs</w:t>
      </w:r>
      <w:proofErr w:type="spellEnd"/>
      <w:r w:rsidRPr="0081072F">
        <w:rPr>
          <w:rFonts w:ascii="Calibri" w:hAnsi="Calibri" w:cs="Calibri"/>
        </w:rPr>
        <w:t>.</w:t>
      </w:r>
      <w:r>
        <w:rPr>
          <w:rFonts w:ascii="Calibri" w:hAnsi="Calibri" w:cs="Calibri"/>
          <w:i/>
        </w:rPr>
        <w:t xml:space="preserve"> </w:t>
      </w:r>
      <w:r w:rsidRPr="0081072F">
        <w:rPr>
          <w:rFonts w:ascii="Calibri" w:hAnsi="Calibri" w:cs="Calibri"/>
          <w:i/>
        </w:rPr>
        <w:t xml:space="preserve">Health Qual Life Outcomes </w:t>
      </w:r>
      <w:r w:rsidRPr="0081072F">
        <w:rPr>
          <w:rFonts w:ascii="Calibri" w:hAnsi="Calibri" w:cs="Calibri"/>
        </w:rPr>
        <w:t>2012;</w:t>
      </w:r>
      <w:r w:rsidRPr="0081072F">
        <w:rPr>
          <w:rFonts w:ascii="Calibri" w:hAnsi="Calibri" w:cs="Calibri"/>
          <w:i/>
        </w:rPr>
        <w:t xml:space="preserve"> 10:65.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B5" w:rsidRPr="008C7ECB" w:rsidRDefault="003565B5" w:rsidP="00AF645D">
    <w:pPr>
      <w:pStyle w:val="Header"/>
      <w:jc w:val="center"/>
    </w:pPr>
    <w:r w:rsidRPr="00AF645D">
      <w:rPr>
        <w:i/>
      </w:rPr>
      <w:t>Publ</w:t>
    </w:r>
    <w:r>
      <w:rPr>
        <w:i/>
      </w:rPr>
      <w:t>ic Summary Document – March 2019</w:t>
    </w:r>
    <w:r w:rsidRPr="00AF645D">
      <w:rPr>
        <w:i/>
      </w:rPr>
      <w:t xml:space="preserve"> PBAC Meeting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EC1"/>
    <w:multiLevelType w:val="hybridMultilevel"/>
    <w:tmpl w:val="BB621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731D5"/>
    <w:multiLevelType w:val="hybridMultilevel"/>
    <w:tmpl w:val="EA265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F4A68"/>
    <w:multiLevelType w:val="hybridMultilevel"/>
    <w:tmpl w:val="F7E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279C8"/>
    <w:multiLevelType w:val="hybridMultilevel"/>
    <w:tmpl w:val="0FBA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96CB8"/>
    <w:multiLevelType w:val="hybridMultilevel"/>
    <w:tmpl w:val="5DB8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23D86"/>
    <w:multiLevelType w:val="hybridMultilevel"/>
    <w:tmpl w:val="6FD00984"/>
    <w:lvl w:ilvl="0" w:tplc="7B12064C">
      <w:start w:val="1"/>
      <w:numFmt w:val="bullet"/>
      <w:pStyle w:val="EndNoteBibliography"/>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42297"/>
    <w:multiLevelType w:val="hybridMultilevel"/>
    <w:tmpl w:val="6B3EC01E"/>
    <w:lvl w:ilvl="0" w:tplc="C324F4FC">
      <w:start w:val="1"/>
      <w:numFmt w:val="bullet"/>
      <w:pStyle w:val="Bulletpoints"/>
      <w:lvlText w:val=""/>
      <w:lvlJc w:val="left"/>
      <w:pPr>
        <w:ind w:left="662" w:hanging="360"/>
      </w:pPr>
      <w:rPr>
        <w:rFonts w:ascii="Symbol" w:hAnsi="Symbol" w:hint="default"/>
      </w:rPr>
    </w:lvl>
    <w:lvl w:ilvl="1" w:tplc="04090003">
      <w:start w:val="1"/>
      <w:numFmt w:val="bullet"/>
      <w:lvlText w:val="o"/>
      <w:lvlJc w:val="left"/>
      <w:pPr>
        <w:ind w:left="1382" w:hanging="360"/>
      </w:pPr>
      <w:rPr>
        <w:rFonts w:ascii="Courier New" w:hAnsi="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7" w15:restartNumberingAfterBreak="0">
    <w:nsid w:val="4F55437F"/>
    <w:multiLevelType w:val="hybridMultilevel"/>
    <w:tmpl w:val="AF50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E090F"/>
    <w:multiLevelType w:val="hybridMultilevel"/>
    <w:tmpl w:val="7576B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4D033C"/>
    <w:multiLevelType w:val="multilevel"/>
    <w:tmpl w:val="FC36344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6"/>
  </w:num>
  <w:num w:numId="4">
    <w:abstractNumId w:val="2"/>
  </w:num>
  <w:num w:numId="5">
    <w:abstractNumId w:val="3"/>
  </w:num>
  <w:num w:numId="6">
    <w:abstractNumId w:val="7"/>
  </w:num>
  <w:num w:numId="7">
    <w:abstractNumId w:val="1"/>
  </w:num>
  <w:num w:numId="8">
    <w:abstractNumId w:val="4"/>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544"/>
    <w:rsid w:val="00000790"/>
    <w:rsid w:val="0000100F"/>
    <w:rsid w:val="0000110B"/>
    <w:rsid w:val="000012A2"/>
    <w:rsid w:val="00001743"/>
    <w:rsid w:val="00001A98"/>
    <w:rsid w:val="00001B24"/>
    <w:rsid w:val="00001FEE"/>
    <w:rsid w:val="000025F6"/>
    <w:rsid w:val="00002CC6"/>
    <w:rsid w:val="00003499"/>
    <w:rsid w:val="000039B7"/>
    <w:rsid w:val="00004285"/>
    <w:rsid w:val="00004399"/>
    <w:rsid w:val="000049FA"/>
    <w:rsid w:val="00004B4D"/>
    <w:rsid w:val="00005219"/>
    <w:rsid w:val="000052D6"/>
    <w:rsid w:val="0000608E"/>
    <w:rsid w:val="000063EE"/>
    <w:rsid w:val="00007E84"/>
    <w:rsid w:val="0001018F"/>
    <w:rsid w:val="0001087E"/>
    <w:rsid w:val="00011044"/>
    <w:rsid w:val="0001123A"/>
    <w:rsid w:val="00011B2E"/>
    <w:rsid w:val="000122FB"/>
    <w:rsid w:val="0001288D"/>
    <w:rsid w:val="00012D07"/>
    <w:rsid w:val="00013247"/>
    <w:rsid w:val="0001356E"/>
    <w:rsid w:val="00013FBB"/>
    <w:rsid w:val="000143ED"/>
    <w:rsid w:val="00015646"/>
    <w:rsid w:val="00015886"/>
    <w:rsid w:val="00016177"/>
    <w:rsid w:val="000162EF"/>
    <w:rsid w:val="00016592"/>
    <w:rsid w:val="000169FD"/>
    <w:rsid w:val="00016A75"/>
    <w:rsid w:val="00016BF6"/>
    <w:rsid w:val="00017B43"/>
    <w:rsid w:val="00020D3B"/>
    <w:rsid w:val="00021C50"/>
    <w:rsid w:val="000220A1"/>
    <w:rsid w:val="0002225F"/>
    <w:rsid w:val="0002252E"/>
    <w:rsid w:val="00022EB0"/>
    <w:rsid w:val="00023763"/>
    <w:rsid w:val="000239D7"/>
    <w:rsid w:val="00024399"/>
    <w:rsid w:val="00025328"/>
    <w:rsid w:val="00025B22"/>
    <w:rsid w:val="00026176"/>
    <w:rsid w:val="0002708D"/>
    <w:rsid w:val="000300D8"/>
    <w:rsid w:val="00030FA6"/>
    <w:rsid w:val="00031DE1"/>
    <w:rsid w:val="0003292B"/>
    <w:rsid w:val="00032A71"/>
    <w:rsid w:val="00032AED"/>
    <w:rsid w:val="00033863"/>
    <w:rsid w:val="00033EE2"/>
    <w:rsid w:val="00034604"/>
    <w:rsid w:val="00034C80"/>
    <w:rsid w:val="00034E67"/>
    <w:rsid w:val="00035A03"/>
    <w:rsid w:val="00035DC0"/>
    <w:rsid w:val="00035EE5"/>
    <w:rsid w:val="000363CD"/>
    <w:rsid w:val="000364D0"/>
    <w:rsid w:val="00036562"/>
    <w:rsid w:val="00036829"/>
    <w:rsid w:val="00036CE2"/>
    <w:rsid w:val="00037322"/>
    <w:rsid w:val="00037884"/>
    <w:rsid w:val="0004005F"/>
    <w:rsid w:val="000407B8"/>
    <w:rsid w:val="00040895"/>
    <w:rsid w:val="00041C20"/>
    <w:rsid w:val="00042BC3"/>
    <w:rsid w:val="00042CB1"/>
    <w:rsid w:val="00043B45"/>
    <w:rsid w:val="00043C37"/>
    <w:rsid w:val="00043C8C"/>
    <w:rsid w:val="00043E26"/>
    <w:rsid w:val="000447F7"/>
    <w:rsid w:val="00045017"/>
    <w:rsid w:val="00045711"/>
    <w:rsid w:val="00045A2B"/>
    <w:rsid w:val="00045FE6"/>
    <w:rsid w:val="000462E6"/>
    <w:rsid w:val="0004698F"/>
    <w:rsid w:val="000475ED"/>
    <w:rsid w:val="00047D14"/>
    <w:rsid w:val="00047DAB"/>
    <w:rsid w:val="000503B8"/>
    <w:rsid w:val="00050CA1"/>
    <w:rsid w:val="00050F92"/>
    <w:rsid w:val="00052513"/>
    <w:rsid w:val="0005266F"/>
    <w:rsid w:val="00052D67"/>
    <w:rsid w:val="000539D0"/>
    <w:rsid w:val="00053DF5"/>
    <w:rsid w:val="00054621"/>
    <w:rsid w:val="000546D7"/>
    <w:rsid w:val="0005478D"/>
    <w:rsid w:val="0005500C"/>
    <w:rsid w:val="0005616B"/>
    <w:rsid w:val="00060597"/>
    <w:rsid w:val="000612A4"/>
    <w:rsid w:val="00061582"/>
    <w:rsid w:val="0006162A"/>
    <w:rsid w:val="00062098"/>
    <w:rsid w:val="000620D2"/>
    <w:rsid w:val="000630D2"/>
    <w:rsid w:val="0006314A"/>
    <w:rsid w:val="00063DBA"/>
    <w:rsid w:val="000645BE"/>
    <w:rsid w:val="00064F36"/>
    <w:rsid w:val="00065200"/>
    <w:rsid w:val="0006540F"/>
    <w:rsid w:val="000654C0"/>
    <w:rsid w:val="00065BC3"/>
    <w:rsid w:val="00065CD0"/>
    <w:rsid w:val="00066360"/>
    <w:rsid w:val="000663F3"/>
    <w:rsid w:val="00066A2C"/>
    <w:rsid w:val="00067B10"/>
    <w:rsid w:val="00067DD7"/>
    <w:rsid w:val="00070827"/>
    <w:rsid w:val="0007106A"/>
    <w:rsid w:val="0007114B"/>
    <w:rsid w:val="00071248"/>
    <w:rsid w:val="000713FA"/>
    <w:rsid w:val="00071A0E"/>
    <w:rsid w:val="000720B9"/>
    <w:rsid w:val="00072307"/>
    <w:rsid w:val="00072650"/>
    <w:rsid w:val="00072685"/>
    <w:rsid w:val="000726CB"/>
    <w:rsid w:val="0007322D"/>
    <w:rsid w:val="00073390"/>
    <w:rsid w:val="00073398"/>
    <w:rsid w:val="000734B0"/>
    <w:rsid w:val="000737F7"/>
    <w:rsid w:val="00073F20"/>
    <w:rsid w:val="0007424B"/>
    <w:rsid w:val="00074832"/>
    <w:rsid w:val="00074F54"/>
    <w:rsid w:val="000764FB"/>
    <w:rsid w:val="0007672F"/>
    <w:rsid w:val="0007703A"/>
    <w:rsid w:val="00077262"/>
    <w:rsid w:val="000774F0"/>
    <w:rsid w:val="00077524"/>
    <w:rsid w:val="00077A2A"/>
    <w:rsid w:val="00077F34"/>
    <w:rsid w:val="0008002A"/>
    <w:rsid w:val="00080138"/>
    <w:rsid w:val="00080909"/>
    <w:rsid w:val="00080DFD"/>
    <w:rsid w:val="000812CA"/>
    <w:rsid w:val="0008258D"/>
    <w:rsid w:val="00082E04"/>
    <w:rsid w:val="00083195"/>
    <w:rsid w:val="00083388"/>
    <w:rsid w:val="000836E9"/>
    <w:rsid w:val="00083D36"/>
    <w:rsid w:val="00083E99"/>
    <w:rsid w:val="00084990"/>
    <w:rsid w:val="00084B8A"/>
    <w:rsid w:val="00085036"/>
    <w:rsid w:val="000856C5"/>
    <w:rsid w:val="0008598B"/>
    <w:rsid w:val="0008730B"/>
    <w:rsid w:val="00090032"/>
    <w:rsid w:val="000900F9"/>
    <w:rsid w:val="00090C7E"/>
    <w:rsid w:val="0009191A"/>
    <w:rsid w:val="00092043"/>
    <w:rsid w:val="00092600"/>
    <w:rsid w:val="0009262B"/>
    <w:rsid w:val="00093310"/>
    <w:rsid w:val="0009445C"/>
    <w:rsid w:val="0009501B"/>
    <w:rsid w:val="00095AEC"/>
    <w:rsid w:val="00095FE5"/>
    <w:rsid w:val="00096284"/>
    <w:rsid w:val="00096CD1"/>
    <w:rsid w:val="00097117"/>
    <w:rsid w:val="0009766D"/>
    <w:rsid w:val="00097683"/>
    <w:rsid w:val="00097D73"/>
    <w:rsid w:val="000A00A5"/>
    <w:rsid w:val="000A00B7"/>
    <w:rsid w:val="000A01E7"/>
    <w:rsid w:val="000A228D"/>
    <w:rsid w:val="000A349B"/>
    <w:rsid w:val="000A3890"/>
    <w:rsid w:val="000A39E5"/>
    <w:rsid w:val="000A42AA"/>
    <w:rsid w:val="000A5981"/>
    <w:rsid w:val="000A5D49"/>
    <w:rsid w:val="000A6E16"/>
    <w:rsid w:val="000A7617"/>
    <w:rsid w:val="000A7D08"/>
    <w:rsid w:val="000B0670"/>
    <w:rsid w:val="000B0E75"/>
    <w:rsid w:val="000B1618"/>
    <w:rsid w:val="000B221C"/>
    <w:rsid w:val="000B2736"/>
    <w:rsid w:val="000B2FCC"/>
    <w:rsid w:val="000B329F"/>
    <w:rsid w:val="000B394C"/>
    <w:rsid w:val="000B4C70"/>
    <w:rsid w:val="000B4E32"/>
    <w:rsid w:val="000B50B3"/>
    <w:rsid w:val="000B57D5"/>
    <w:rsid w:val="000B670D"/>
    <w:rsid w:val="000B6CAC"/>
    <w:rsid w:val="000B6D11"/>
    <w:rsid w:val="000B6F86"/>
    <w:rsid w:val="000B74DC"/>
    <w:rsid w:val="000B7511"/>
    <w:rsid w:val="000B7612"/>
    <w:rsid w:val="000B7717"/>
    <w:rsid w:val="000B7B5B"/>
    <w:rsid w:val="000C000F"/>
    <w:rsid w:val="000C0266"/>
    <w:rsid w:val="000C14C0"/>
    <w:rsid w:val="000C1BBD"/>
    <w:rsid w:val="000C2A06"/>
    <w:rsid w:val="000C2B5A"/>
    <w:rsid w:val="000C2F9B"/>
    <w:rsid w:val="000C3DF9"/>
    <w:rsid w:val="000C4488"/>
    <w:rsid w:val="000C54FB"/>
    <w:rsid w:val="000C5663"/>
    <w:rsid w:val="000C603E"/>
    <w:rsid w:val="000C6533"/>
    <w:rsid w:val="000C6713"/>
    <w:rsid w:val="000C6EC4"/>
    <w:rsid w:val="000C749A"/>
    <w:rsid w:val="000C7BE4"/>
    <w:rsid w:val="000C7F23"/>
    <w:rsid w:val="000D03CE"/>
    <w:rsid w:val="000D1A79"/>
    <w:rsid w:val="000D1BFC"/>
    <w:rsid w:val="000D1D08"/>
    <w:rsid w:val="000D1D9E"/>
    <w:rsid w:val="000D281A"/>
    <w:rsid w:val="000D326A"/>
    <w:rsid w:val="000D389A"/>
    <w:rsid w:val="000D3E61"/>
    <w:rsid w:val="000D4A8F"/>
    <w:rsid w:val="000D51FB"/>
    <w:rsid w:val="000D5A33"/>
    <w:rsid w:val="000D6F11"/>
    <w:rsid w:val="000D7A16"/>
    <w:rsid w:val="000E0A82"/>
    <w:rsid w:val="000E133B"/>
    <w:rsid w:val="000E135D"/>
    <w:rsid w:val="000E19B1"/>
    <w:rsid w:val="000E1CCB"/>
    <w:rsid w:val="000E277A"/>
    <w:rsid w:val="000E2902"/>
    <w:rsid w:val="000E2B68"/>
    <w:rsid w:val="000E4A06"/>
    <w:rsid w:val="000E52B9"/>
    <w:rsid w:val="000E57CD"/>
    <w:rsid w:val="000E5A91"/>
    <w:rsid w:val="000E5EB5"/>
    <w:rsid w:val="000E7291"/>
    <w:rsid w:val="000E76C8"/>
    <w:rsid w:val="000E7E21"/>
    <w:rsid w:val="000F00BA"/>
    <w:rsid w:val="000F0CBA"/>
    <w:rsid w:val="000F1914"/>
    <w:rsid w:val="000F19B4"/>
    <w:rsid w:val="000F2DF9"/>
    <w:rsid w:val="000F30F2"/>
    <w:rsid w:val="000F3133"/>
    <w:rsid w:val="000F316A"/>
    <w:rsid w:val="000F341B"/>
    <w:rsid w:val="000F3C74"/>
    <w:rsid w:val="000F4364"/>
    <w:rsid w:val="000F43A5"/>
    <w:rsid w:val="000F47BB"/>
    <w:rsid w:val="000F4BB8"/>
    <w:rsid w:val="000F55C0"/>
    <w:rsid w:val="000F575C"/>
    <w:rsid w:val="000F5A13"/>
    <w:rsid w:val="000F626E"/>
    <w:rsid w:val="000F641B"/>
    <w:rsid w:val="000F6A01"/>
    <w:rsid w:val="000F6D26"/>
    <w:rsid w:val="000F7127"/>
    <w:rsid w:val="000F7130"/>
    <w:rsid w:val="000F7229"/>
    <w:rsid w:val="000F7AF1"/>
    <w:rsid w:val="000F7F55"/>
    <w:rsid w:val="00100965"/>
    <w:rsid w:val="00100F8A"/>
    <w:rsid w:val="001016F7"/>
    <w:rsid w:val="00101AC5"/>
    <w:rsid w:val="00101F4D"/>
    <w:rsid w:val="00102942"/>
    <w:rsid w:val="00102C36"/>
    <w:rsid w:val="00102FB6"/>
    <w:rsid w:val="001031C2"/>
    <w:rsid w:val="0010357A"/>
    <w:rsid w:val="00104E3A"/>
    <w:rsid w:val="001052FC"/>
    <w:rsid w:val="0010565B"/>
    <w:rsid w:val="00105AE2"/>
    <w:rsid w:val="00106104"/>
    <w:rsid w:val="00106B80"/>
    <w:rsid w:val="00106F91"/>
    <w:rsid w:val="00107A5D"/>
    <w:rsid w:val="00107B11"/>
    <w:rsid w:val="0011005C"/>
    <w:rsid w:val="0011032E"/>
    <w:rsid w:val="00110426"/>
    <w:rsid w:val="00110614"/>
    <w:rsid w:val="00110C1C"/>
    <w:rsid w:val="00110D6B"/>
    <w:rsid w:val="001112D2"/>
    <w:rsid w:val="00111797"/>
    <w:rsid w:val="001119D3"/>
    <w:rsid w:val="00111DDA"/>
    <w:rsid w:val="00112099"/>
    <w:rsid w:val="00112549"/>
    <w:rsid w:val="00112BC2"/>
    <w:rsid w:val="00112C95"/>
    <w:rsid w:val="0011348B"/>
    <w:rsid w:val="00114AF8"/>
    <w:rsid w:val="001154BE"/>
    <w:rsid w:val="00115593"/>
    <w:rsid w:val="0011568D"/>
    <w:rsid w:val="00115982"/>
    <w:rsid w:val="001161A4"/>
    <w:rsid w:val="0011639C"/>
    <w:rsid w:val="00116C53"/>
    <w:rsid w:val="00117BDB"/>
    <w:rsid w:val="00120443"/>
    <w:rsid w:val="001209D5"/>
    <w:rsid w:val="00120C03"/>
    <w:rsid w:val="00121114"/>
    <w:rsid w:val="00121799"/>
    <w:rsid w:val="001217AB"/>
    <w:rsid w:val="001217FE"/>
    <w:rsid w:val="00121D12"/>
    <w:rsid w:val="0012225B"/>
    <w:rsid w:val="001222FC"/>
    <w:rsid w:val="00122458"/>
    <w:rsid w:val="001224FE"/>
    <w:rsid w:val="0012427E"/>
    <w:rsid w:val="00124A51"/>
    <w:rsid w:val="00124F7D"/>
    <w:rsid w:val="0012519B"/>
    <w:rsid w:val="00126116"/>
    <w:rsid w:val="00126621"/>
    <w:rsid w:val="00126CC5"/>
    <w:rsid w:val="0012757D"/>
    <w:rsid w:val="00127C57"/>
    <w:rsid w:val="001301E9"/>
    <w:rsid w:val="0013056E"/>
    <w:rsid w:val="00130D41"/>
    <w:rsid w:val="00130F6B"/>
    <w:rsid w:val="00131905"/>
    <w:rsid w:val="00131B1A"/>
    <w:rsid w:val="00131CB6"/>
    <w:rsid w:val="00131D82"/>
    <w:rsid w:val="001326B7"/>
    <w:rsid w:val="00132A3D"/>
    <w:rsid w:val="00132BFD"/>
    <w:rsid w:val="00133D36"/>
    <w:rsid w:val="00134039"/>
    <w:rsid w:val="001347FD"/>
    <w:rsid w:val="00134A30"/>
    <w:rsid w:val="00134B31"/>
    <w:rsid w:val="00134CEA"/>
    <w:rsid w:val="001354A2"/>
    <w:rsid w:val="00135500"/>
    <w:rsid w:val="0013580D"/>
    <w:rsid w:val="001358D9"/>
    <w:rsid w:val="00136410"/>
    <w:rsid w:val="00136C30"/>
    <w:rsid w:val="00136F3D"/>
    <w:rsid w:val="0013751B"/>
    <w:rsid w:val="00137645"/>
    <w:rsid w:val="001377FA"/>
    <w:rsid w:val="00137FA6"/>
    <w:rsid w:val="0014015A"/>
    <w:rsid w:val="0014031C"/>
    <w:rsid w:val="00140CE6"/>
    <w:rsid w:val="00140E31"/>
    <w:rsid w:val="00140E99"/>
    <w:rsid w:val="0014327A"/>
    <w:rsid w:val="00143AD7"/>
    <w:rsid w:val="00144490"/>
    <w:rsid w:val="00145540"/>
    <w:rsid w:val="001456B0"/>
    <w:rsid w:val="0014607F"/>
    <w:rsid w:val="001461A1"/>
    <w:rsid w:val="00147109"/>
    <w:rsid w:val="00147F33"/>
    <w:rsid w:val="0015003B"/>
    <w:rsid w:val="0015070C"/>
    <w:rsid w:val="00150885"/>
    <w:rsid w:val="00150B87"/>
    <w:rsid w:val="00150BF0"/>
    <w:rsid w:val="00151405"/>
    <w:rsid w:val="00151DF2"/>
    <w:rsid w:val="0015262C"/>
    <w:rsid w:val="001530F0"/>
    <w:rsid w:val="00153798"/>
    <w:rsid w:val="00154018"/>
    <w:rsid w:val="001554B4"/>
    <w:rsid w:val="00155552"/>
    <w:rsid w:val="00155AE8"/>
    <w:rsid w:val="00156D9D"/>
    <w:rsid w:val="00157130"/>
    <w:rsid w:val="001576B1"/>
    <w:rsid w:val="001601B8"/>
    <w:rsid w:val="0016083B"/>
    <w:rsid w:val="00160A4C"/>
    <w:rsid w:val="00160B93"/>
    <w:rsid w:val="00160DBB"/>
    <w:rsid w:val="00160F19"/>
    <w:rsid w:val="00160F29"/>
    <w:rsid w:val="001612D6"/>
    <w:rsid w:val="00162321"/>
    <w:rsid w:val="00162913"/>
    <w:rsid w:val="00163687"/>
    <w:rsid w:val="00163758"/>
    <w:rsid w:val="00163EFF"/>
    <w:rsid w:val="00165A3D"/>
    <w:rsid w:val="00165D22"/>
    <w:rsid w:val="00165F13"/>
    <w:rsid w:val="001661FB"/>
    <w:rsid w:val="00167CBE"/>
    <w:rsid w:val="00170F66"/>
    <w:rsid w:val="00171635"/>
    <w:rsid w:val="00171AC4"/>
    <w:rsid w:val="00171DB4"/>
    <w:rsid w:val="00172C7C"/>
    <w:rsid w:val="00172C9B"/>
    <w:rsid w:val="001731DF"/>
    <w:rsid w:val="00173565"/>
    <w:rsid w:val="001735CD"/>
    <w:rsid w:val="00173B07"/>
    <w:rsid w:val="001746F7"/>
    <w:rsid w:val="001746FB"/>
    <w:rsid w:val="001753FB"/>
    <w:rsid w:val="001754BA"/>
    <w:rsid w:val="001755B0"/>
    <w:rsid w:val="00175BB3"/>
    <w:rsid w:val="001763B9"/>
    <w:rsid w:val="00176EC7"/>
    <w:rsid w:val="00177445"/>
    <w:rsid w:val="001803BC"/>
    <w:rsid w:val="00180D74"/>
    <w:rsid w:val="00180EBA"/>
    <w:rsid w:val="00181D9C"/>
    <w:rsid w:val="00182B82"/>
    <w:rsid w:val="00183327"/>
    <w:rsid w:val="001837ED"/>
    <w:rsid w:val="00183AD3"/>
    <w:rsid w:val="00183BC7"/>
    <w:rsid w:val="00183E42"/>
    <w:rsid w:val="00184D2C"/>
    <w:rsid w:val="001850D0"/>
    <w:rsid w:val="0018519A"/>
    <w:rsid w:val="0018546F"/>
    <w:rsid w:val="00186A6E"/>
    <w:rsid w:val="00186A94"/>
    <w:rsid w:val="0018752F"/>
    <w:rsid w:val="00187592"/>
    <w:rsid w:val="00187B90"/>
    <w:rsid w:val="00190C9B"/>
    <w:rsid w:val="00191940"/>
    <w:rsid w:val="00192CB4"/>
    <w:rsid w:val="00195222"/>
    <w:rsid w:val="001959C9"/>
    <w:rsid w:val="00196073"/>
    <w:rsid w:val="00196418"/>
    <w:rsid w:val="001975D8"/>
    <w:rsid w:val="00197960"/>
    <w:rsid w:val="00197979"/>
    <w:rsid w:val="00197C0D"/>
    <w:rsid w:val="001A01F7"/>
    <w:rsid w:val="001A1C65"/>
    <w:rsid w:val="001A206F"/>
    <w:rsid w:val="001A22B6"/>
    <w:rsid w:val="001A2838"/>
    <w:rsid w:val="001A436E"/>
    <w:rsid w:val="001A43FA"/>
    <w:rsid w:val="001A4FD2"/>
    <w:rsid w:val="001A4FD6"/>
    <w:rsid w:val="001A59FB"/>
    <w:rsid w:val="001A5B29"/>
    <w:rsid w:val="001A5BD4"/>
    <w:rsid w:val="001A6354"/>
    <w:rsid w:val="001A6637"/>
    <w:rsid w:val="001A6EA4"/>
    <w:rsid w:val="001A71D3"/>
    <w:rsid w:val="001A7AE8"/>
    <w:rsid w:val="001A7FBD"/>
    <w:rsid w:val="001B072B"/>
    <w:rsid w:val="001B12A0"/>
    <w:rsid w:val="001B1514"/>
    <w:rsid w:val="001B204E"/>
    <w:rsid w:val="001B268C"/>
    <w:rsid w:val="001B2E27"/>
    <w:rsid w:val="001B2EB5"/>
    <w:rsid w:val="001B3443"/>
    <w:rsid w:val="001B357F"/>
    <w:rsid w:val="001B3917"/>
    <w:rsid w:val="001B3BF5"/>
    <w:rsid w:val="001B3E66"/>
    <w:rsid w:val="001B4035"/>
    <w:rsid w:val="001B4BCB"/>
    <w:rsid w:val="001B4D20"/>
    <w:rsid w:val="001B5835"/>
    <w:rsid w:val="001B6154"/>
    <w:rsid w:val="001B62C0"/>
    <w:rsid w:val="001B6965"/>
    <w:rsid w:val="001B7BC0"/>
    <w:rsid w:val="001B7C7D"/>
    <w:rsid w:val="001C079E"/>
    <w:rsid w:val="001C12C9"/>
    <w:rsid w:val="001C1CF9"/>
    <w:rsid w:val="001C2365"/>
    <w:rsid w:val="001C2A9B"/>
    <w:rsid w:val="001C3088"/>
    <w:rsid w:val="001C340D"/>
    <w:rsid w:val="001C3694"/>
    <w:rsid w:val="001C3899"/>
    <w:rsid w:val="001C3FB7"/>
    <w:rsid w:val="001C4299"/>
    <w:rsid w:val="001C4391"/>
    <w:rsid w:val="001C459D"/>
    <w:rsid w:val="001C4BFC"/>
    <w:rsid w:val="001C518D"/>
    <w:rsid w:val="001C53E7"/>
    <w:rsid w:val="001C5F94"/>
    <w:rsid w:val="001C5FA1"/>
    <w:rsid w:val="001C6648"/>
    <w:rsid w:val="001C676F"/>
    <w:rsid w:val="001C6E66"/>
    <w:rsid w:val="001D01E7"/>
    <w:rsid w:val="001D02AE"/>
    <w:rsid w:val="001D119E"/>
    <w:rsid w:val="001D14CB"/>
    <w:rsid w:val="001D2DB9"/>
    <w:rsid w:val="001D3E33"/>
    <w:rsid w:val="001D4854"/>
    <w:rsid w:val="001D4A02"/>
    <w:rsid w:val="001D4BA3"/>
    <w:rsid w:val="001D5457"/>
    <w:rsid w:val="001D5FE0"/>
    <w:rsid w:val="001D6C5A"/>
    <w:rsid w:val="001D7587"/>
    <w:rsid w:val="001D79B8"/>
    <w:rsid w:val="001D7D68"/>
    <w:rsid w:val="001E0A1F"/>
    <w:rsid w:val="001E0AA0"/>
    <w:rsid w:val="001E12DF"/>
    <w:rsid w:val="001E17FC"/>
    <w:rsid w:val="001E1EEC"/>
    <w:rsid w:val="001E2330"/>
    <w:rsid w:val="001E238A"/>
    <w:rsid w:val="001E238E"/>
    <w:rsid w:val="001E2483"/>
    <w:rsid w:val="001E2B1E"/>
    <w:rsid w:val="001E2BE1"/>
    <w:rsid w:val="001E30D4"/>
    <w:rsid w:val="001E35D8"/>
    <w:rsid w:val="001E41A8"/>
    <w:rsid w:val="001E435D"/>
    <w:rsid w:val="001E4492"/>
    <w:rsid w:val="001E4986"/>
    <w:rsid w:val="001E4B2A"/>
    <w:rsid w:val="001E4E82"/>
    <w:rsid w:val="001E4FDE"/>
    <w:rsid w:val="001E52EB"/>
    <w:rsid w:val="001E5B2F"/>
    <w:rsid w:val="001E5B5E"/>
    <w:rsid w:val="001E61D2"/>
    <w:rsid w:val="001E6C48"/>
    <w:rsid w:val="001E7008"/>
    <w:rsid w:val="001E740C"/>
    <w:rsid w:val="001E7BAC"/>
    <w:rsid w:val="001E7EE7"/>
    <w:rsid w:val="001F020F"/>
    <w:rsid w:val="001F0B0B"/>
    <w:rsid w:val="001F0B27"/>
    <w:rsid w:val="001F0BDB"/>
    <w:rsid w:val="001F0F45"/>
    <w:rsid w:val="001F0F4A"/>
    <w:rsid w:val="001F1235"/>
    <w:rsid w:val="001F1795"/>
    <w:rsid w:val="001F191E"/>
    <w:rsid w:val="001F1B59"/>
    <w:rsid w:val="001F1CB3"/>
    <w:rsid w:val="001F35EA"/>
    <w:rsid w:val="001F38B5"/>
    <w:rsid w:val="001F3E3A"/>
    <w:rsid w:val="001F5A63"/>
    <w:rsid w:val="001F7361"/>
    <w:rsid w:val="001F765C"/>
    <w:rsid w:val="002009E0"/>
    <w:rsid w:val="00200A88"/>
    <w:rsid w:val="002011B0"/>
    <w:rsid w:val="00201342"/>
    <w:rsid w:val="002022BC"/>
    <w:rsid w:val="0020278F"/>
    <w:rsid w:val="00202F5C"/>
    <w:rsid w:val="0020301B"/>
    <w:rsid w:val="00203181"/>
    <w:rsid w:val="0020342C"/>
    <w:rsid w:val="0020356D"/>
    <w:rsid w:val="00203783"/>
    <w:rsid w:val="0020385F"/>
    <w:rsid w:val="002047C4"/>
    <w:rsid w:val="0020512F"/>
    <w:rsid w:val="00206D19"/>
    <w:rsid w:val="00206F05"/>
    <w:rsid w:val="00207021"/>
    <w:rsid w:val="0020732F"/>
    <w:rsid w:val="002073CD"/>
    <w:rsid w:val="00207BD7"/>
    <w:rsid w:val="00207D00"/>
    <w:rsid w:val="002102DF"/>
    <w:rsid w:val="002105C1"/>
    <w:rsid w:val="0021069A"/>
    <w:rsid w:val="00210BC0"/>
    <w:rsid w:val="00211072"/>
    <w:rsid w:val="0021109C"/>
    <w:rsid w:val="002112E2"/>
    <w:rsid w:val="002115AD"/>
    <w:rsid w:val="00211BD8"/>
    <w:rsid w:val="00212283"/>
    <w:rsid w:val="00212455"/>
    <w:rsid w:val="00212528"/>
    <w:rsid w:val="00212CE0"/>
    <w:rsid w:val="00213449"/>
    <w:rsid w:val="00213C46"/>
    <w:rsid w:val="002144DE"/>
    <w:rsid w:val="0021580C"/>
    <w:rsid w:val="002169A0"/>
    <w:rsid w:val="00216D9B"/>
    <w:rsid w:val="0021720B"/>
    <w:rsid w:val="00217271"/>
    <w:rsid w:val="002172E3"/>
    <w:rsid w:val="0021737B"/>
    <w:rsid w:val="002200C3"/>
    <w:rsid w:val="002206B4"/>
    <w:rsid w:val="00220EC2"/>
    <w:rsid w:val="00221DCE"/>
    <w:rsid w:val="0022246E"/>
    <w:rsid w:val="00222633"/>
    <w:rsid w:val="00223A95"/>
    <w:rsid w:val="00223B49"/>
    <w:rsid w:val="00224670"/>
    <w:rsid w:val="00224DD4"/>
    <w:rsid w:val="00225AFF"/>
    <w:rsid w:val="00226104"/>
    <w:rsid w:val="0022619E"/>
    <w:rsid w:val="00227F53"/>
    <w:rsid w:val="0023036B"/>
    <w:rsid w:val="0023092B"/>
    <w:rsid w:val="002309CC"/>
    <w:rsid w:val="00231E5B"/>
    <w:rsid w:val="0023209F"/>
    <w:rsid w:val="002337BF"/>
    <w:rsid w:val="00233DBB"/>
    <w:rsid w:val="00234033"/>
    <w:rsid w:val="00234DDA"/>
    <w:rsid w:val="00235009"/>
    <w:rsid w:val="00235325"/>
    <w:rsid w:val="002355F8"/>
    <w:rsid w:val="002356A7"/>
    <w:rsid w:val="0023620A"/>
    <w:rsid w:val="0023629D"/>
    <w:rsid w:val="00237255"/>
    <w:rsid w:val="0024027E"/>
    <w:rsid w:val="00240988"/>
    <w:rsid w:val="00241037"/>
    <w:rsid w:val="0024218F"/>
    <w:rsid w:val="00242283"/>
    <w:rsid w:val="002422E4"/>
    <w:rsid w:val="002424AF"/>
    <w:rsid w:val="00242884"/>
    <w:rsid w:val="002429F7"/>
    <w:rsid w:val="0024306A"/>
    <w:rsid w:val="00243398"/>
    <w:rsid w:val="002439DC"/>
    <w:rsid w:val="002444D2"/>
    <w:rsid w:val="00244DC8"/>
    <w:rsid w:val="002458BA"/>
    <w:rsid w:val="0024636C"/>
    <w:rsid w:val="00246CAA"/>
    <w:rsid w:val="002471E1"/>
    <w:rsid w:val="002471F1"/>
    <w:rsid w:val="00247925"/>
    <w:rsid w:val="0025005C"/>
    <w:rsid w:val="0025097D"/>
    <w:rsid w:val="00250AB1"/>
    <w:rsid w:val="002518CC"/>
    <w:rsid w:val="00251D98"/>
    <w:rsid w:val="00252043"/>
    <w:rsid w:val="00252519"/>
    <w:rsid w:val="002525B8"/>
    <w:rsid w:val="002525D8"/>
    <w:rsid w:val="002529FB"/>
    <w:rsid w:val="00252AE1"/>
    <w:rsid w:val="00252CCF"/>
    <w:rsid w:val="0025335E"/>
    <w:rsid w:val="002537E1"/>
    <w:rsid w:val="00253B4C"/>
    <w:rsid w:val="00253D94"/>
    <w:rsid w:val="0025452C"/>
    <w:rsid w:val="00254DCF"/>
    <w:rsid w:val="00255146"/>
    <w:rsid w:val="0025534B"/>
    <w:rsid w:val="00255BB7"/>
    <w:rsid w:val="00255E62"/>
    <w:rsid w:val="00257018"/>
    <w:rsid w:val="00257541"/>
    <w:rsid w:val="00257C20"/>
    <w:rsid w:val="00257D20"/>
    <w:rsid w:val="00260E18"/>
    <w:rsid w:val="00261845"/>
    <w:rsid w:val="002618D9"/>
    <w:rsid w:val="0026217F"/>
    <w:rsid w:val="002626E1"/>
    <w:rsid w:val="00262A1A"/>
    <w:rsid w:val="00262A87"/>
    <w:rsid w:val="00262E6A"/>
    <w:rsid w:val="00263E86"/>
    <w:rsid w:val="0026455B"/>
    <w:rsid w:val="00264D26"/>
    <w:rsid w:val="00264D2C"/>
    <w:rsid w:val="0026504B"/>
    <w:rsid w:val="002668EA"/>
    <w:rsid w:val="00267411"/>
    <w:rsid w:val="002675E5"/>
    <w:rsid w:val="00267642"/>
    <w:rsid w:val="00267AEA"/>
    <w:rsid w:val="002700E6"/>
    <w:rsid w:val="00270800"/>
    <w:rsid w:val="0027085D"/>
    <w:rsid w:val="0027135B"/>
    <w:rsid w:val="00271C3B"/>
    <w:rsid w:val="00271CA3"/>
    <w:rsid w:val="00271D40"/>
    <w:rsid w:val="00272213"/>
    <w:rsid w:val="0027294B"/>
    <w:rsid w:val="002737ED"/>
    <w:rsid w:val="00273F50"/>
    <w:rsid w:val="00273F5D"/>
    <w:rsid w:val="00274A21"/>
    <w:rsid w:val="00274BD4"/>
    <w:rsid w:val="0027501E"/>
    <w:rsid w:val="0027502F"/>
    <w:rsid w:val="0027565D"/>
    <w:rsid w:val="0027569D"/>
    <w:rsid w:val="00275C5A"/>
    <w:rsid w:val="00275DDB"/>
    <w:rsid w:val="00276011"/>
    <w:rsid w:val="00276179"/>
    <w:rsid w:val="0027642D"/>
    <w:rsid w:val="00276ABE"/>
    <w:rsid w:val="00277CCE"/>
    <w:rsid w:val="0028006A"/>
    <w:rsid w:val="002801D0"/>
    <w:rsid w:val="00280790"/>
    <w:rsid w:val="002809EB"/>
    <w:rsid w:val="00281014"/>
    <w:rsid w:val="002812AE"/>
    <w:rsid w:val="00281FCA"/>
    <w:rsid w:val="0028212F"/>
    <w:rsid w:val="00283C00"/>
    <w:rsid w:val="00284348"/>
    <w:rsid w:val="00284455"/>
    <w:rsid w:val="00284A01"/>
    <w:rsid w:val="00284C64"/>
    <w:rsid w:val="00284D68"/>
    <w:rsid w:val="002862F3"/>
    <w:rsid w:val="00286AAC"/>
    <w:rsid w:val="00286F38"/>
    <w:rsid w:val="0029041F"/>
    <w:rsid w:val="002908F3"/>
    <w:rsid w:val="00291935"/>
    <w:rsid w:val="00291DCF"/>
    <w:rsid w:val="00292871"/>
    <w:rsid w:val="00292D5A"/>
    <w:rsid w:val="00292F73"/>
    <w:rsid w:val="00293F66"/>
    <w:rsid w:val="00294623"/>
    <w:rsid w:val="00296033"/>
    <w:rsid w:val="00296B06"/>
    <w:rsid w:val="00297CCE"/>
    <w:rsid w:val="002A0DC6"/>
    <w:rsid w:val="002A107F"/>
    <w:rsid w:val="002A1416"/>
    <w:rsid w:val="002A14AB"/>
    <w:rsid w:val="002A14E6"/>
    <w:rsid w:val="002A177D"/>
    <w:rsid w:val="002A1E64"/>
    <w:rsid w:val="002A1E7C"/>
    <w:rsid w:val="002A2911"/>
    <w:rsid w:val="002A2A63"/>
    <w:rsid w:val="002A2F50"/>
    <w:rsid w:val="002A3121"/>
    <w:rsid w:val="002A3148"/>
    <w:rsid w:val="002A37C0"/>
    <w:rsid w:val="002A49DE"/>
    <w:rsid w:val="002A532F"/>
    <w:rsid w:val="002A53A6"/>
    <w:rsid w:val="002A5411"/>
    <w:rsid w:val="002A5DB2"/>
    <w:rsid w:val="002A7269"/>
    <w:rsid w:val="002A76F2"/>
    <w:rsid w:val="002A7ED5"/>
    <w:rsid w:val="002B01C6"/>
    <w:rsid w:val="002B09A4"/>
    <w:rsid w:val="002B0A53"/>
    <w:rsid w:val="002B0FF5"/>
    <w:rsid w:val="002B1C1F"/>
    <w:rsid w:val="002B1CF0"/>
    <w:rsid w:val="002B29A3"/>
    <w:rsid w:val="002B41DB"/>
    <w:rsid w:val="002B432F"/>
    <w:rsid w:val="002B43A9"/>
    <w:rsid w:val="002B48FF"/>
    <w:rsid w:val="002B4BF8"/>
    <w:rsid w:val="002B5190"/>
    <w:rsid w:val="002B62B3"/>
    <w:rsid w:val="002B65D9"/>
    <w:rsid w:val="002B6754"/>
    <w:rsid w:val="002B6CCE"/>
    <w:rsid w:val="002B732B"/>
    <w:rsid w:val="002B7D50"/>
    <w:rsid w:val="002B7D64"/>
    <w:rsid w:val="002C1617"/>
    <w:rsid w:val="002C1F8C"/>
    <w:rsid w:val="002C2510"/>
    <w:rsid w:val="002C2657"/>
    <w:rsid w:val="002C2775"/>
    <w:rsid w:val="002C27C1"/>
    <w:rsid w:val="002C38F0"/>
    <w:rsid w:val="002C3ECA"/>
    <w:rsid w:val="002C40FA"/>
    <w:rsid w:val="002C4942"/>
    <w:rsid w:val="002C4E01"/>
    <w:rsid w:val="002C5099"/>
    <w:rsid w:val="002C55B1"/>
    <w:rsid w:val="002C5602"/>
    <w:rsid w:val="002C5889"/>
    <w:rsid w:val="002C59B3"/>
    <w:rsid w:val="002C5F67"/>
    <w:rsid w:val="002C6049"/>
    <w:rsid w:val="002C71CE"/>
    <w:rsid w:val="002C7B81"/>
    <w:rsid w:val="002C7C82"/>
    <w:rsid w:val="002C7D50"/>
    <w:rsid w:val="002C7F82"/>
    <w:rsid w:val="002D03F9"/>
    <w:rsid w:val="002D05F6"/>
    <w:rsid w:val="002D07FE"/>
    <w:rsid w:val="002D0B4F"/>
    <w:rsid w:val="002D0FDA"/>
    <w:rsid w:val="002D19BB"/>
    <w:rsid w:val="002D229D"/>
    <w:rsid w:val="002D2433"/>
    <w:rsid w:val="002D2845"/>
    <w:rsid w:val="002D3A49"/>
    <w:rsid w:val="002D41AA"/>
    <w:rsid w:val="002D577C"/>
    <w:rsid w:val="002D58AC"/>
    <w:rsid w:val="002D6285"/>
    <w:rsid w:val="002D62DB"/>
    <w:rsid w:val="002D6675"/>
    <w:rsid w:val="002D719E"/>
    <w:rsid w:val="002D776D"/>
    <w:rsid w:val="002E0E7F"/>
    <w:rsid w:val="002E134F"/>
    <w:rsid w:val="002E14EA"/>
    <w:rsid w:val="002E15B9"/>
    <w:rsid w:val="002E1923"/>
    <w:rsid w:val="002E1D24"/>
    <w:rsid w:val="002E2158"/>
    <w:rsid w:val="002E273B"/>
    <w:rsid w:val="002E38BA"/>
    <w:rsid w:val="002E3A09"/>
    <w:rsid w:val="002E6056"/>
    <w:rsid w:val="002E63AA"/>
    <w:rsid w:val="002E64DE"/>
    <w:rsid w:val="002E6869"/>
    <w:rsid w:val="002E6D8A"/>
    <w:rsid w:val="002E6E64"/>
    <w:rsid w:val="002E734C"/>
    <w:rsid w:val="002E7722"/>
    <w:rsid w:val="002E7A29"/>
    <w:rsid w:val="002E7D94"/>
    <w:rsid w:val="002F04E5"/>
    <w:rsid w:val="002F07BA"/>
    <w:rsid w:val="002F0DA9"/>
    <w:rsid w:val="002F13C1"/>
    <w:rsid w:val="002F27B9"/>
    <w:rsid w:val="002F2DFB"/>
    <w:rsid w:val="002F38AC"/>
    <w:rsid w:val="002F3BC7"/>
    <w:rsid w:val="002F416B"/>
    <w:rsid w:val="002F4B58"/>
    <w:rsid w:val="002F4B91"/>
    <w:rsid w:val="002F5735"/>
    <w:rsid w:val="002F643C"/>
    <w:rsid w:val="002F694E"/>
    <w:rsid w:val="002F69D5"/>
    <w:rsid w:val="002F71C0"/>
    <w:rsid w:val="002F72C3"/>
    <w:rsid w:val="002F7BD6"/>
    <w:rsid w:val="00300653"/>
    <w:rsid w:val="003007CB"/>
    <w:rsid w:val="00300E64"/>
    <w:rsid w:val="00301017"/>
    <w:rsid w:val="0030155F"/>
    <w:rsid w:val="003016DC"/>
    <w:rsid w:val="00301F66"/>
    <w:rsid w:val="0030226F"/>
    <w:rsid w:val="00302EFF"/>
    <w:rsid w:val="00303276"/>
    <w:rsid w:val="003047AE"/>
    <w:rsid w:val="00304AA8"/>
    <w:rsid w:val="003056C5"/>
    <w:rsid w:val="0030587B"/>
    <w:rsid w:val="00306763"/>
    <w:rsid w:val="00306D98"/>
    <w:rsid w:val="00307474"/>
    <w:rsid w:val="0030786C"/>
    <w:rsid w:val="00307BE8"/>
    <w:rsid w:val="00310204"/>
    <w:rsid w:val="0031031A"/>
    <w:rsid w:val="00310981"/>
    <w:rsid w:val="00310A14"/>
    <w:rsid w:val="00310FB1"/>
    <w:rsid w:val="00311902"/>
    <w:rsid w:val="00311B1F"/>
    <w:rsid w:val="00311C65"/>
    <w:rsid w:val="00312874"/>
    <w:rsid w:val="00312BF0"/>
    <w:rsid w:val="00314538"/>
    <w:rsid w:val="0031498D"/>
    <w:rsid w:val="00315184"/>
    <w:rsid w:val="00315498"/>
    <w:rsid w:val="00315800"/>
    <w:rsid w:val="00315DA8"/>
    <w:rsid w:val="00316AFE"/>
    <w:rsid w:val="00316B0A"/>
    <w:rsid w:val="00320234"/>
    <w:rsid w:val="003205AC"/>
    <w:rsid w:val="00320A2E"/>
    <w:rsid w:val="00321129"/>
    <w:rsid w:val="00321938"/>
    <w:rsid w:val="00321DCA"/>
    <w:rsid w:val="00322107"/>
    <w:rsid w:val="00322421"/>
    <w:rsid w:val="00322846"/>
    <w:rsid w:val="00323086"/>
    <w:rsid w:val="003230E0"/>
    <w:rsid w:val="00325055"/>
    <w:rsid w:val="00325700"/>
    <w:rsid w:val="003258D5"/>
    <w:rsid w:val="00325D9E"/>
    <w:rsid w:val="003262E5"/>
    <w:rsid w:val="00326D25"/>
    <w:rsid w:val="00326DA7"/>
    <w:rsid w:val="003270E4"/>
    <w:rsid w:val="00327486"/>
    <w:rsid w:val="003275AB"/>
    <w:rsid w:val="0032787A"/>
    <w:rsid w:val="00327D31"/>
    <w:rsid w:val="0033066A"/>
    <w:rsid w:val="00330A12"/>
    <w:rsid w:val="00330F5C"/>
    <w:rsid w:val="003310FB"/>
    <w:rsid w:val="003317A6"/>
    <w:rsid w:val="00331EA0"/>
    <w:rsid w:val="003330BE"/>
    <w:rsid w:val="00333EE6"/>
    <w:rsid w:val="00333F66"/>
    <w:rsid w:val="00334263"/>
    <w:rsid w:val="0033450C"/>
    <w:rsid w:val="00334A85"/>
    <w:rsid w:val="00335833"/>
    <w:rsid w:val="00335A13"/>
    <w:rsid w:val="00335F01"/>
    <w:rsid w:val="00336535"/>
    <w:rsid w:val="003366C9"/>
    <w:rsid w:val="00336EB5"/>
    <w:rsid w:val="003371B0"/>
    <w:rsid w:val="003373C8"/>
    <w:rsid w:val="00337933"/>
    <w:rsid w:val="003403E8"/>
    <w:rsid w:val="00340596"/>
    <w:rsid w:val="00340AD5"/>
    <w:rsid w:val="00340D03"/>
    <w:rsid w:val="00340DF1"/>
    <w:rsid w:val="00341293"/>
    <w:rsid w:val="003416EE"/>
    <w:rsid w:val="00341F9C"/>
    <w:rsid w:val="0034207C"/>
    <w:rsid w:val="00342ACE"/>
    <w:rsid w:val="00343796"/>
    <w:rsid w:val="003446AA"/>
    <w:rsid w:val="0034486D"/>
    <w:rsid w:val="00344C4F"/>
    <w:rsid w:val="00345203"/>
    <w:rsid w:val="00345CE9"/>
    <w:rsid w:val="00346072"/>
    <w:rsid w:val="00351654"/>
    <w:rsid w:val="003517F9"/>
    <w:rsid w:val="00351DD7"/>
    <w:rsid w:val="00352089"/>
    <w:rsid w:val="00352EE4"/>
    <w:rsid w:val="00353143"/>
    <w:rsid w:val="00353C5C"/>
    <w:rsid w:val="003544B1"/>
    <w:rsid w:val="00354723"/>
    <w:rsid w:val="00354999"/>
    <w:rsid w:val="00355A98"/>
    <w:rsid w:val="00355B21"/>
    <w:rsid w:val="00355D5F"/>
    <w:rsid w:val="00355E1C"/>
    <w:rsid w:val="0035620E"/>
    <w:rsid w:val="00356516"/>
    <w:rsid w:val="003565B5"/>
    <w:rsid w:val="00356C76"/>
    <w:rsid w:val="00356F01"/>
    <w:rsid w:val="0035796A"/>
    <w:rsid w:val="00360369"/>
    <w:rsid w:val="003603C8"/>
    <w:rsid w:val="00361075"/>
    <w:rsid w:val="0036113B"/>
    <w:rsid w:val="003621CC"/>
    <w:rsid w:val="003624C4"/>
    <w:rsid w:val="0036331B"/>
    <w:rsid w:val="00363E34"/>
    <w:rsid w:val="00364EF6"/>
    <w:rsid w:val="003654AC"/>
    <w:rsid w:val="003661FB"/>
    <w:rsid w:val="003666C0"/>
    <w:rsid w:val="00366708"/>
    <w:rsid w:val="00366D4F"/>
    <w:rsid w:val="003678F9"/>
    <w:rsid w:val="00367BE2"/>
    <w:rsid w:val="00370D85"/>
    <w:rsid w:val="00370DF9"/>
    <w:rsid w:val="00370E3E"/>
    <w:rsid w:val="003710CF"/>
    <w:rsid w:val="00371C5A"/>
    <w:rsid w:val="00371E75"/>
    <w:rsid w:val="0037230E"/>
    <w:rsid w:val="0037279C"/>
    <w:rsid w:val="00372894"/>
    <w:rsid w:val="0037358A"/>
    <w:rsid w:val="0037376D"/>
    <w:rsid w:val="00374070"/>
    <w:rsid w:val="003750F6"/>
    <w:rsid w:val="00375674"/>
    <w:rsid w:val="00375B8F"/>
    <w:rsid w:val="003760FC"/>
    <w:rsid w:val="003761FA"/>
    <w:rsid w:val="003768C0"/>
    <w:rsid w:val="00380021"/>
    <w:rsid w:val="00380413"/>
    <w:rsid w:val="0038059E"/>
    <w:rsid w:val="00381611"/>
    <w:rsid w:val="00382B08"/>
    <w:rsid w:val="0038365C"/>
    <w:rsid w:val="0038369B"/>
    <w:rsid w:val="00383B0B"/>
    <w:rsid w:val="00383B78"/>
    <w:rsid w:val="00384EBB"/>
    <w:rsid w:val="00385573"/>
    <w:rsid w:val="003858F7"/>
    <w:rsid w:val="003859BC"/>
    <w:rsid w:val="00385A9D"/>
    <w:rsid w:val="00385B7A"/>
    <w:rsid w:val="0038623D"/>
    <w:rsid w:val="00386310"/>
    <w:rsid w:val="00386EF2"/>
    <w:rsid w:val="003877EA"/>
    <w:rsid w:val="00387B50"/>
    <w:rsid w:val="003900A4"/>
    <w:rsid w:val="003901B7"/>
    <w:rsid w:val="003902B1"/>
    <w:rsid w:val="00390A33"/>
    <w:rsid w:val="00391104"/>
    <w:rsid w:val="003913C9"/>
    <w:rsid w:val="00391D65"/>
    <w:rsid w:val="00392645"/>
    <w:rsid w:val="003929DB"/>
    <w:rsid w:val="00392B20"/>
    <w:rsid w:val="00392D13"/>
    <w:rsid w:val="0039317A"/>
    <w:rsid w:val="00393BA2"/>
    <w:rsid w:val="003947D4"/>
    <w:rsid w:val="003949CE"/>
    <w:rsid w:val="00394FC5"/>
    <w:rsid w:val="003955A9"/>
    <w:rsid w:val="00395A02"/>
    <w:rsid w:val="00395F9C"/>
    <w:rsid w:val="00396533"/>
    <w:rsid w:val="003966D3"/>
    <w:rsid w:val="00396896"/>
    <w:rsid w:val="00396FD0"/>
    <w:rsid w:val="0039741D"/>
    <w:rsid w:val="003975EE"/>
    <w:rsid w:val="00397627"/>
    <w:rsid w:val="00397722"/>
    <w:rsid w:val="003A06F1"/>
    <w:rsid w:val="003A1674"/>
    <w:rsid w:val="003A16D1"/>
    <w:rsid w:val="003A196E"/>
    <w:rsid w:val="003A1A7A"/>
    <w:rsid w:val="003A2392"/>
    <w:rsid w:val="003A23F6"/>
    <w:rsid w:val="003A2831"/>
    <w:rsid w:val="003A34F1"/>
    <w:rsid w:val="003A3989"/>
    <w:rsid w:val="003A3B6F"/>
    <w:rsid w:val="003A3DDD"/>
    <w:rsid w:val="003A3ED1"/>
    <w:rsid w:val="003A4E22"/>
    <w:rsid w:val="003A4FC8"/>
    <w:rsid w:val="003A59F6"/>
    <w:rsid w:val="003A5BEC"/>
    <w:rsid w:val="003A6947"/>
    <w:rsid w:val="003A732E"/>
    <w:rsid w:val="003B0353"/>
    <w:rsid w:val="003B097D"/>
    <w:rsid w:val="003B0A40"/>
    <w:rsid w:val="003B0C2F"/>
    <w:rsid w:val="003B127B"/>
    <w:rsid w:val="003B1AF3"/>
    <w:rsid w:val="003B2034"/>
    <w:rsid w:val="003B24B7"/>
    <w:rsid w:val="003B25A0"/>
    <w:rsid w:val="003B26D6"/>
    <w:rsid w:val="003B2AAA"/>
    <w:rsid w:val="003B389D"/>
    <w:rsid w:val="003B4006"/>
    <w:rsid w:val="003B4957"/>
    <w:rsid w:val="003B4FF9"/>
    <w:rsid w:val="003B5B61"/>
    <w:rsid w:val="003B686D"/>
    <w:rsid w:val="003B6C03"/>
    <w:rsid w:val="003B72EA"/>
    <w:rsid w:val="003B7543"/>
    <w:rsid w:val="003B7CEE"/>
    <w:rsid w:val="003C09FE"/>
    <w:rsid w:val="003C0CE9"/>
    <w:rsid w:val="003C14E8"/>
    <w:rsid w:val="003C1654"/>
    <w:rsid w:val="003C1C8F"/>
    <w:rsid w:val="003C2F8E"/>
    <w:rsid w:val="003C37F8"/>
    <w:rsid w:val="003C489B"/>
    <w:rsid w:val="003C4E25"/>
    <w:rsid w:val="003C6803"/>
    <w:rsid w:val="003C764B"/>
    <w:rsid w:val="003C7693"/>
    <w:rsid w:val="003C7D19"/>
    <w:rsid w:val="003C7E7C"/>
    <w:rsid w:val="003D0E38"/>
    <w:rsid w:val="003D1103"/>
    <w:rsid w:val="003D1205"/>
    <w:rsid w:val="003D172F"/>
    <w:rsid w:val="003D1828"/>
    <w:rsid w:val="003D1C2B"/>
    <w:rsid w:val="003D1DE4"/>
    <w:rsid w:val="003D2422"/>
    <w:rsid w:val="003D27CA"/>
    <w:rsid w:val="003D39A1"/>
    <w:rsid w:val="003D3FBF"/>
    <w:rsid w:val="003D4046"/>
    <w:rsid w:val="003D45A5"/>
    <w:rsid w:val="003D4612"/>
    <w:rsid w:val="003D4630"/>
    <w:rsid w:val="003D4732"/>
    <w:rsid w:val="003D48D6"/>
    <w:rsid w:val="003D4A30"/>
    <w:rsid w:val="003D4EFE"/>
    <w:rsid w:val="003D5608"/>
    <w:rsid w:val="003D5FC1"/>
    <w:rsid w:val="003D629B"/>
    <w:rsid w:val="003D7282"/>
    <w:rsid w:val="003D72C7"/>
    <w:rsid w:val="003D79BB"/>
    <w:rsid w:val="003D7C98"/>
    <w:rsid w:val="003E0543"/>
    <w:rsid w:val="003E0610"/>
    <w:rsid w:val="003E073C"/>
    <w:rsid w:val="003E1D3F"/>
    <w:rsid w:val="003E2D62"/>
    <w:rsid w:val="003E30F8"/>
    <w:rsid w:val="003E3869"/>
    <w:rsid w:val="003E38D2"/>
    <w:rsid w:val="003E3E89"/>
    <w:rsid w:val="003E3F26"/>
    <w:rsid w:val="003E3F75"/>
    <w:rsid w:val="003E447E"/>
    <w:rsid w:val="003E46E2"/>
    <w:rsid w:val="003E490A"/>
    <w:rsid w:val="003E4C0D"/>
    <w:rsid w:val="003E55A3"/>
    <w:rsid w:val="003E5690"/>
    <w:rsid w:val="003E5F8B"/>
    <w:rsid w:val="003E6066"/>
    <w:rsid w:val="003E6102"/>
    <w:rsid w:val="003E76B2"/>
    <w:rsid w:val="003F051C"/>
    <w:rsid w:val="003F0A33"/>
    <w:rsid w:val="003F1316"/>
    <w:rsid w:val="003F1505"/>
    <w:rsid w:val="003F1A2F"/>
    <w:rsid w:val="003F2455"/>
    <w:rsid w:val="003F2535"/>
    <w:rsid w:val="003F35E2"/>
    <w:rsid w:val="003F4130"/>
    <w:rsid w:val="003F4156"/>
    <w:rsid w:val="003F4391"/>
    <w:rsid w:val="003F4807"/>
    <w:rsid w:val="003F4A97"/>
    <w:rsid w:val="003F5908"/>
    <w:rsid w:val="003F5B05"/>
    <w:rsid w:val="003F6708"/>
    <w:rsid w:val="003F69F3"/>
    <w:rsid w:val="003F6B34"/>
    <w:rsid w:val="003F6EBB"/>
    <w:rsid w:val="00400B29"/>
    <w:rsid w:val="00400F9B"/>
    <w:rsid w:val="004015E6"/>
    <w:rsid w:val="004015EB"/>
    <w:rsid w:val="004030C6"/>
    <w:rsid w:val="004030ED"/>
    <w:rsid w:val="00403809"/>
    <w:rsid w:val="00403FF6"/>
    <w:rsid w:val="0040485F"/>
    <w:rsid w:val="0040504B"/>
    <w:rsid w:val="00405384"/>
    <w:rsid w:val="004053EC"/>
    <w:rsid w:val="0040575B"/>
    <w:rsid w:val="00405891"/>
    <w:rsid w:val="004058B4"/>
    <w:rsid w:val="00405B31"/>
    <w:rsid w:val="00405DA0"/>
    <w:rsid w:val="004061B6"/>
    <w:rsid w:val="004061E3"/>
    <w:rsid w:val="004069A5"/>
    <w:rsid w:val="00407280"/>
    <w:rsid w:val="00407C7C"/>
    <w:rsid w:val="0041031B"/>
    <w:rsid w:val="004105EE"/>
    <w:rsid w:val="00410708"/>
    <w:rsid w:val="004107DD"/>
    <w:rsid w:val="00410E50"/>
    <w:rsid w:val="00410EC7"/>
    <w:rsid w:val="00411B39"/>
    <w:rsid w:val="0041374E"/>
    <w:rsid w:val="00413A1E"/>
    <w:rsid w:val="00414476"/>
    <w:rsid w:val="00414C2E"/>
    <w:rsid w:val="00414CAD"/>
    <w:rsid w:val="004151CF"/>
    <w:rsid w:val="004152AC"/>
    <w:rsid w:val="00416364"/>
    <w:rsid w:val="00416E54"/>
    <w:rsid w:val="00417296"/>
    <w:rsid w:val="00417D12"/>
    <w:rsid w:val="00420825"/>
    <w:rsid w:val="00420AA6"/>
    <w:rsid w:val="00420B9F"/>
    <w:rsid w:val="0042179E"/>
    <w:rsid w:val="00422260"/>
    <w:rsid w:val="0042241A"/>
    <w:rsid w:val="00422BAF"/>
    <w:rsid w:val="00423552"/>
    <w:rsid w:val="0042413F"/>
    <w:rsid w:val="00424A51"/>
    <w:rsid w:val="00424FF1"/>
    <w:rsid w:val="0042603D"/>
    <w:rsid w:val="00426788"/>
    <w:rsid w:val="0042778E"/>
    <w:rsid w:val="004278D4"/>
    <w:rsid w:val="00427CFB"/>
    <w:rsid w:val="00427E0D"/>
    <w:rsid w:val="00430E59"/>
    <w:rsid w:val="004319F8"/>
    <w:rsid w:val="00431AF7"/>
    <w:rsid w:val="00431E55"/>
    <w:rsid w:val="004321F6"/>
    <w:rsid w:val="00432FEF"/>
    <w:rsid w:val="0043302F"/>
    <w:rsid w:val="00433044"/>
    <w:rsid w:val="00433D80"/>
    <w:rsid w:val="00435037"/>
    <w:rsid w:val="004356EC"/>
    <w:rsid w:val="0043678D"/>
    <w:rsid w:val="004368F3"/>
    <w:rsid w:val="0043692A"/>
    <w:rsid w:val="00437001"/>
    <w:rsid w:val="00437189"/>
    <w:rsid w:val="004375B9"/>
    <w:rsid w:val="0044074C"/>
    <w:rsid w:val="00440AF0"/>
    <w:rsid w:val="00440AF6"/>
    <w:rsid w:val="00440EA9"/>
    <w:rsid w:val="00441BC1"/>
    <w:rsid w:val="0044216F"/>
    <w:rsid w:val="00442441"/>
    <w:rsid w:val="004428D0"/>
    <w:rsid w:val="00442D5D"/>
    <w:rsid w:val="00443015"/>
    <w:rsid w:val="00443EB8"/>
    <w:rsid w:val="00444212"/>
    <w:rsid w:val="004443A7"/>
    <w:rsid w:val="0044442C"/>
    <w:rsid w:val="004453CA"/>
    <w:rsid w:val="004456E9"/>
    <w:rsid w:val="004457CC"/>
    <w:rsid w:val="00445941"/>
    <w:rsid w:val="00445C13"/>
    <w:rsid w:val="004464EB"/>
    <w:rsid w:val="0044781B"/>
    <w:rsid w:val="00447D26"/>
    <w:rsid w:val="00447DF0"/>
    <w:rsid w:val="0045036D"/>
    <w:rsid w:val="0045038A"/>
    <w:rsid w:val="004508C5"/>
    <w:rsid w:val="00450BA6"/>
    <w:rsid w:val="00450F1F"/>
    <w:rsid w:val="00451366"/>
    <w:rsid w:val="0045146D"/>
    <w:rsid w:val="004521C2"/>
    <w:rsid w:val="00453972"/>
    <w:rsid w:val="0045427E"/>
    <w:rsid w:val="00455CCD"/>
    <w:rsid w:val="00455D45"/>
    <w:rsid w:val="00456696"/>
    <w:rsid w:val="00457099"/>
    <w:rsid w:val="00457372"/>
    <w:rsid w:val="004575A0"/>
    <w:rsid w:val="0045798F"/>
    <w:rsid w:val="00457F48"/>
    <w:rsid w:val="00457F69"/>
    <w:rsid w:val="00460799"/>
    <w:rsid w:val="00460A2B"/>
    <w:rsid w:val="00461040"/>
    <w:rsid w:val="0046140D"/>
    <w:rsid w:val="00461EA7"/>
    <w:rsid w:val="004620BF"/>
    <w:rsid w:val="004627F1"/>
    <w:rsid w:val="00462A3F"/>
    <w:rsid w:val="00463A40"/>
    <w:rsid w:val="00463F1E"/>
    <w:rsid w:val="00464288"/>
    <w:rsid w:val="00464595"/>
    <w:rsid w:val="004651BC"/>
    <w:rsid w:val="00465317"/>
    <w:rsid w:val="004653F0"/>
    <w:rsid w:val="004666A1"/>
    <w:rsid w:val="004668D3"/>
    <w:rsid w:val="00466C03"/>
    <w:rsid w:val="00466EDE"/>
    <w:rsid w:val="0046718A"/>
    <w:rsid w:val="004672C8"/>
    <w:rsid w:val="00467378"/>
    <w:rsid w:val="0046779D"/>
    <w:rsid w:val="00467924"/>
    <w:rsid w:val="0047000D"/>
    <w:rsid w:val="0047046D"/>
    <w:rsid w:val="004705D3"/>
    <w:rsid w:val="00471C71"/>
    <w:rsid w:val="004724C4"/>
    <w:rsid w:val="00472A79"/>
    <w:rsid w:val="0047363A"/>
    <w:rsid w:val="00473F19"/>
    <w:rsid w:val="00474725"/>
    <w:rsid w:val="004749EF"/>
    <w:rsid w:val="00474C61"/>
    <w:rsid w:val="00474CE8"/>
    <w:rsid w:val="00474E75"/>
    <w:rsid w:val="004750D8"/>
    <w:rsid w:val="00475344"/>
    <w:rsid w:val="00475879"/>
    <w:rsid w:val="00475958"/>
    <w:rsid w:val="00475BD2"/>
    <w:rsid w:val="00475CBC"/>
    <w:rsid w:val="00475D7A"/>
    <w:rsid w:val="00475E22"/>
    <w:rsid w:val="00476371"/>
    <w:rsid w:val="00476997"/>
    <w:rsid w:val="00477274"/>
    <w:rsid w:val="004801B7"/>
    <w:rsid w:val="0048088E"/>
    <w:rsid w:val="004808EA"/>
    <w:rsid w:val="00480A73"/>
    <w:rsid w:val="00480DF4"/>
    <w:rsid w:val="004814BE"/>
    <w:rsid w:val="00481C6C"/>
    <w:rsid w:val="00482720"/>
    <w:rsid w:val="00482B6E"/>
    <w:rsid w:val="00482B82"/>
    <w:rsid w:val="004835E7"/>
    <w:rsid w:val="00484158"/>
    <w:rsid w:val="0048473E"/>
    <w:rsid w:val="00484961"/>
    <w:rsid w:val="0048539D"/>
    <w:rsid w:val="00485594"/>
    <w:rsid w:val="00485643"/>
    <w:rsid w:val="00485CE1"/>
    <w:rsid w:val="00485F75"/>
    <w:rsid w:val="004867E2"/>
    <w:rsid w:val="00486A3B"/>
    <w:rsid w:val="004876A4"/>
    <w:rsid w:val="004878F2"/>
    <w:rsid w:val="00487DB7"/>
    <w:rsid w:val="00487DC8"/>
    <w:rsid w:val="00490328"/>
    <w:rsid w:val="00491340"/>
    <w:rsid w:val="0049157C"/>
    <w:rsid w:val="00491B3A"/>
    <w:rsid w:val="00492341"/>
    <w:rsid w:val="00492803"/>
    <w:rsid w:val="00492A01"/>
    <w:rsid w:val="00492B4E"/>
    <w:rsid w:val="00492CFD"/>
    <w:rsid w:val="004931A1"/>
    <w:rsid w:val="00493C38"/>
    <w:rsid w:val="00493C66"/>
    <w:rsid w:val="00493C87"/>
    <w:rsid w:val="00494DD5"/>
    <w:rsid w:val="004952DF"/>
    <w:rsid w:val="004962D2"/>
    <w:rsid w:val="00496966"/>
    <w:rsid w:val="00496C98"/>
    <w:rsid w:val="00496DAF"/>
    <w:rsid w:val="00497177"/>
    <w:rsid w:val="00497D91"/>
    <w:rsid w:val="004A0DA1"/>
    <w:rsid w:val="004A0F26"/>
    <w:rsid w:val="004A1A23"/>
    <w:rsid w:val="004A1B43"/>
    <w:rsid w:val="004A1FE7"/>
    <w:rsid w:val="004A2380"/>
    <w:rsid w:val="004A23D5"/>
    <w:rsid w:val="004A29F9"/>
    <w:rsid w:val="004A3888"/>
    <w:rsid w:val="004A3D17"/>
    <w:rsid w:val="004A3D1A"/>
    <w:rsid w:val="004A4684"/>
    <w:rsid w:val="004A4C71"/>
    <w:rsid w:val="004A52E9"/>
    <w:rsid w:val="004A543B"/>
    <w:rsid w:val="004A5C46"/>
    <w:rsid w:val="004A6597"/>
    <w:rsid w:val="004A7848"/>
    <w:rsid w:val="004B00BC"/>
    <w:rsid w:val="004B047E"/>
    <w:rsid w:val="004B0575"/>
    <w:rsid w:val="004B08DF"/>
    <w:rsid w:val="004B1CB4"/>
    <w:rsid w:val="004B1ED6"/>
    <w:rsid w:val="004B26B6"/>
    <w:rsid w:val="004B2735"/>
    <w:rsid w:val="004B2C00"/>
    <w:rsid w:val="004B2F18"/>
    <w:rsid w:val="004B2F78"/>
    <w:rsid w:val="004B334F"/>
    <w:rsid w:val="004B3DDB"/>
    <w:rsid w:val="004B443E"/>
    <w:rsid w:val="004B44FD"/>
    <w:rsid w:val="004B4A25"/>
    <w:rsid w:val="004B4F9F"/>
    <w:rsid w:val="004B5137"/>
    <w:rsid w:val="004B5CAE"/>
    <w:rsid w:val="004B5CFC"/>
    <w:rsid w:val="004B5FD8"/>
    <w:rsid w:val="004B749B"/>
    <w:rsid w:val="004B774D"/>
    <w:rsid w:val="004B79EB"/>
    <w:rsid w:val="004B7F55"/>
    <w:rsid w:val="004C0BE4"/>
    <w:rsid w:val="004C190F"/>
    <w:rsid w:val="004C22EF"/>
    <w:rsid w:val="004C248E"/>
    <w:rsid w:val="004C2DC7"/>
    <w:rsid w:val="004C370E"/>
    <w:rsid w:val="004C4867"/>
    <w:rsid w:val="004C4AED"/>
    <w:rsid w:val="004C505B"/>
    <w:rsid w:val="004C51D2"/>
    <w:rsid w:val="004C5F85"/>
    <w:rsid w:val="004C6442"/>
    <w:rsid w:val="004C6443"/>
    <w:rsid w:val="004C6537"/>
    <w:rsid w:val="004C6DFC"/>
    <w:rsid w:val="004C740E"/>
    <w:rsid w:val="004C7532"/>
    <w:rsid w:val="004D0527"/>
    <w:rsid w:val="004D078F"/>
    <w:rsid w:val="004D1AF8"/>
    <w:rsid w:val="004D2A83"/>
    <w:rsid w:val="004D2C2D"/>
    <w:rsid w:val="004D3186"/>
    <w:rsid w:val="004D3670"/>
    <w:rsid w:val="004D5393"/>
    <w:rsid w:val="004D53E6"/>
    <w:rsid w:val="004D54AD"/>
    <w:rsid w:val="004D569A"/>
    <w:rsid w:val="004D5D03"/>
    <w:rsid w:val="004D5FDA"/>
    <w:rsid w:val="004D6035"/>
    <w:rsid w:val="004D68F7"/>
    <w:rsid w:val="004D6FE4"/>
    <w:rsid w:val="004D7227"/>
    <w:rsid w:val="004D7F92"/>
    <w:rsid w:val="004E09B3"/>
    <w:rsid w:val="004E09B4"/>
    <w:rsid w:val="004E0E7F"/>
    <w:rsid w:val="004E0EB5"/>
    <w:rsid w:val="004E0EB8"/>
    <w:rsid w:val="004E2ADC"/>
    <w:rsid w:val="004E302A"/>
    <w:rsid w:val="004E3878"/>
    <w:rsid w:val="004E43B2"/>
    <w:rsid w:val="004E4775"/>
    <w:rsid w:val="004E50B0"/>
    <w:rsid w:val="004E5ADA"/>
    <w:rsid w:val="004E5C13"/>
    <w:rsid w:val="004E65A0"/>
    <w:rsid w:val="004E6772"/>
    <w:rsid w:val="004E6A7C"/>
    <w:rsid w:val="004E6CB8"/>
    <w:rsid w:val="004E7B10"/>
    <w:rsid w:val="004F079D"/>
    <w:rsid w:val="004F0D95"/>
    <w:rsid w:val="004F0E14"/>
    <w:rsid w:val="004F119B"/>
    <w:rsid w:val="004F1281"/>
    <w:rsid w:val="004F1746"/>
    <w:rsid w:val="004F1B68"/>
    <w:rsid w:val="004F1D02"/>
    <w:rsid w:val="004F227D"/>
    <w:rsid w:val="004F2679"/>
    <w:rsid w:val="004F2713"/>
    <w:rsid w:val="004F2785"/>
    <w:rsid w:val="004F2C16"/>
    <w:rsid w:val="004F2F21"/>
    <w:rsid w:val="004F3EAD"/>
    <w:rsid w:val="004F4127"/>
    <w:rsid w:val="004F45F6"/>
    <w:rsid w:val="004F49D7"/>
    <w:rsid w:val="004F6913"/>
    <w:rsid w:val="004F6E6F"/>
    <w:rsid w:val="004F6EAD"/>
    <w:rsid w:val="004F7723"/>
    <w:rsid w:val="004F7865"/>
    <w:rsid w:val="004F7A15"/>
    <w:rsid w:val="004F7BE2"/>
    <w:rsid w:val="004F7E55"/>
    <w:rsid w:val="00500341"/>
    <w:rsid w:val="005015A4"/>
    <w:rsid w:val="0050219B"/>
    <w:rsid w:val="00502696"/>
    <w:rsid w:val="005038AE"/>
    <w:rsid w:val="00503F17"/>
    <w:rsid w:val="005043A2"/>
    <w:rsid w:val="00504EA7"/>
    <w:rsid w:val="005054AD"/>
    <w:rsid w:val="005059C1"/>
    <w:rsid w:val="00505A69"/>
    <w:rsid w:val="00505C7C"/>
    <w:rsid w:val="005065EB"/>
    <w:rsid w:val="00506928"/>
    <w:rsid w:val="005072D2"/>
    <w:rsid w:val="005076F4"/>
    <w:rsid w:val="00507CC9"/>
    <w:rsid w:val="00507FE1"/>
    <w:rsid w:val="005101D9"/>
    <w:rsid w:val="00510E24"/>
    <w:rsid w:val="0051180D"/>
    <w:rsid w:val="0051186E"/>
    <w:rsid w:val="0051220C"/>
    <w:rsid w:val="00513687"/>
    <w:rsid w:val="00514082"/>
    <w:rsid w:val="0051411A"/>
    <w:rsid w:val="005142D0"/>
    <w:rsid w:val="005148C4"/>
    <w:rsid w:val="00514E57"/>
    <w:rsid w:val="00514F25"/>
    <w:rsid w:val="005152B5"/>
    <w:rsid w:val="0051750C"/>
    <w:rsid w:val="00520776"/>
    <w:rsid w:val="005207CB"/>
    <w:rsid w:val="00520FD1"/>
    <w:rsid w:val="00521319"/>
    <w:rsid w:val="00521670"/>
    <w:rsid w:val="00521AB5"/>
    <w:rsid w:val="00521AE2"/>
    <w:rsid w:val="005224DF"/>
    <w:rsid w:val="00522793"/>
    <w:rsid w:val="005227D7"/>
    <w:rsid w:val="00522BC8"/>
    <w:rsid w:val="00522EB6"/>
    <w:rsid w:val="005231F8"/>
    <w:rsid w:val="005235DB"/>
    <w:rsid w:val="00523C28"/>
    <w:rsid w:val="00524C32"/>
    <w:rsid w:val="00525109"/>
    <w:rsid w:val="00525211"/>
    <w:rsid w:val="005259FC"/>
    <w:rsid w:val="00525B74"/>
    <w:rsid w:val="005266F4"/>
    <w:rsid w:val="00527209"/>
    <w:rsid w:val="00527A94"/>
    <w:rsid w:val="0053051E"/>
    <w:rsid w:val="0053136E"/>
    <w:rsid w:val="005315E2"/>
    <w:rsid w:val="00531AAD"/>
    <w:rsid w:val="00531E20"/>
    <w:rsid w:val="005325A5"/>
    <w:rsid w:val="00532C65"/>
    <w:rsid w:val="00532C87"/>
    <w:rsid w:val="00532DDC"/>
    <w:rsid w:val="0053555B"/>
    <w:rsid w:val="005358BD"/>
    <w:rsid w:val="00535D60"/>
    <w:rsid w:val="00535EEE"/>
    <w:rsid w:val="00535EFA"/>
    <w:rsid w:val="00536F42"/>
    <w:rsid w:val="00537182"/>
    <w:rsid w:val="005371F6"/>
    <w:rsid w:val="00540436"/>
    <w:rsid w:val="00541004"/>
    <w:rsid w:val="00541302"/>
    <w:rsid w:val="00541737"/>
    <w:rsid w:val="005419AE"/>
    <w:rsid w:val="00542012"/>
    <w:rsid w:val="00542656"/>
    <w:rsid w:val="00542743"/>
    <w:rsid w:val="00542C2D"/>
    <w:rsid w:val="00542C47"/>
    <w:rsid w:val="00543C77"/>
    <w:rsid w:val="00544137"/>
    <w:rsid w:val="0054454B"/>
    <w:rsid w:val="0054655F"/>
    <w:rsid w:val="005466B1"/>
    <w:rsid w:val="00546715"/>
    <w:rsid w:val="005468D7"/>
    <w:rsid w:val="00547B66"/>
    <w:rsid w:val="00547D94"/>
    <w:rsid w:val="00550184"/>
    <w:rsid w:val="00551294"/>
    <w:rsid w:val="005514FA"/>
    <w:rsid w:val="00551985"/>
    <w:rsid w:val="00551E05"/>
    <w:rsid w:val="00552018"/>
    <w:rsid w:val="00552577"/>
    <w:rsid w:val="00552BD3"/>
    <w:rsid w:val="00555109"/>
    <w:rsid w:val="0055567B"/>
    <w:rsid w:val="0055582F"/>
    <w:rsid w:val="00556139"/>
    <w:rsid w:val="0055635C"/>
    <w:rsid w:val="0055686C"/>
    <w:rsid w:val="0055687F"/>
    <w:rsid w:val="005569D7"/>
    <w:rsid w:val="00556F45"/>
    <w:rsid w:val="00557793"/>
    <w:rsid w:val="00557CC4"/>
    <w:rsid w:val="005602DF"/>
    <w:rsid w:val="005615E7"/>
    <w:rsid w:val="00561DB5"/>
    <w:rsid w:val="00562B29"/>
    <w:rsid w:val="0056376F"/>
    <w:rsid w:val="00563AD4"/>
    <w:rsid w:val="00565655"/>
    <w:rsid w:val="0056573A"/>
    <w:rsid w:val="00566043"/>
    <w:rsid w:val="00566136"/>
    <w:rsid w:val="0056696F"/>
    <w:rsid w:val="005671DA"/>
    <w:rsid w:val="00567B7C"/>
    <w:rsid w:val="00570213"/>
    <w:rsid w:val="00570647"/>
    <w:rsid w:val="0057090B"/>
    <w:rsid w:val="00570925"/>
    <w:rsid w:val="00570C4A"/>
    <w:rsid w:val="00570C88"/>
    <w:rsid w:val="005710E6"/>
    <w:rsid w:val="00571DF2"/>
    <w:rsid w:val="00572269"/>
    <w:rsid w:val="0057244A"/>
    <w:rsid w:val="005746C6"/>
    <w:rsid w:val="005754FC"/>
    <w:rsid w:val="00575B77"/>
    <w:rsid w:val="00575D8D"/>
    <w:rsid w:val="00576972"/>
    <w:rsid w:val="00576C08"/>
    <w:rsid w:val="00577326"/>
    <w:rsid w:val="0058039C"/>
    <w:rsid w:val="005805F6"/>
    <w:rsid w:val="005808B8"/>
    <w:rsid w:val="00580AB3"/>
    <w:rsid w:val="00580D0B"/>
    <w:rsid w:val="00580DC1"/>
    <w:rsid w:val="005810A3"/>
    <w:rsid w:val="0058160A"/>
    <w:rsid w:val="005817BF"/>
    <w:rsid w:val="00581B40"/>
    <w:rsid w:val="00581C7D"/>
    <w:rsid w:val="00581DE6"/>
    <w:rsid w:val="00582011"/>
    <w:rsid w:val="00582074"/>
    <w:rsid w:val="005820AB"/>
    <w:rsid w:val="00582235"/>
    <w:rsid w:val="00582F96"/>
    <w:rsid w:val="00583699"/>
    <w:rsid w:val="00583DB6"/>
    <w:rsid w:val="005840F0"/>
    <w:rsid w:val="005842B1"/>
    <w:rsid w:val="00585CDD"/>
    <w:rsid w:val="005861FB"/>
    <w:rsid w:val="0058658A"/>
    <w:rsid w:val="00587058"/>
    <w:rsid w:val="005905B7"/>
    <w:rsid w:val="00591261"/>
    <w:rsid w:val="005912AC"/>
    <w:rsid w:val="00591957"/>
    <w:rsid w:val="005939B1"/>
    <w:rsid w:val="0059456B"/>
    <w:rsid w:val="005945AC"/>
    <w:rsid w:val="00594F49"/>
    <w:rsid w:val="00595147"/>
    <w:rsid w:val="00597010"/>
    <w:rsid w:val="0059760B"/>
    <w:rsid w:val="00597749"/>
    <w:rsid w:val="005979CB"/>
    <w:rsid w:val="00597BF9"/>
    <w:rsid w:val="00597E0B"/>
    <w:rsid w:val="005A0C75"/>
    <w:rsid w:val="005A0ED5"/>
    <w:rsid w:val="005A13BC"/>
    <w:rsid w:val="005A16E7"/>
    <w:rsid w:val="005A2608"/>
    <w:rsid w:val="005A327D"/>
    <w:rsid w:val="005A373D"/>
    <w:rsid w:val="005A4663"/>
    <w:rsid w:val="005A4C96"/>
    <w:rsid w:val="005A51AD"/>
    <w:rsid w:val="005A53FE"/>
    <w:rsid w:val="005A564F"/>
    <w:rsid w:val="005A695D"/>
    <w:rsid w:val="005A6ABA"/>
    <w:rsid w:val="005A7189"/>
    <w:rsid w:val="005A7217"/>
    <w:rsid w:val="005A7292"/>
    <w:rsid w:val="005B00F2"/>
    <w:rsid w:val="005B0644"/>
    <w:rsid w:val="005B0BF9"/>
    <w:rsid w:val="005B10B1"/>
    <w:rsid w:val="005B1127"/>
    <w:rsid w:val="005B1F2A"/>
    <w:rsid w:val="005B20FC"/>
    <w:rsid w:val="005B275E"/>
    <w:rsid w:val="005B3133"/>
    <w:rsid w:val="005B3249"/>
    <w:rsid w:val="005B3469"/>
    <w:rsid w:val="005B3C6C"/>
    <w:rsid w:val="005B41B6"/>
    <w:rsid w:val="005B4233"/>
    <w:rsid w:val="005B450B"/>
    <w:rsid w:val="005B4831"/>
    <w:rsid w:val="005B48B0"/>
    <w:rsid w:val="005B49AC"/>
    <w:rsid w:val="005B5089"/>
    <w:rsid w:val="005B5857"/>
    <w:rsid w:val="005B5AD9"/>
    <w:rsid w:val="005B61AD"/>
    <w:rsid w:val="005B61FF"/>
    <w:rsid w:val="005B6EDE"/>
    <w:rsid w:val="005B7472"/>
    <w:rsid w:val="005B76A2"/>
    <w:rsid w:val="005B7782"/>
    <w:rsid w:val="005C1B33"/>
    <w:rsid w:val="005C1B83"/>
    <w:rsid w:val="005C1D0B"/>
    <w:rsid w:val="005C2D55"/>
    <w:rsid w:val="005C346B"/>
    <w:rsid w:val="005C3882"/>
    <w:rsid w:val="005C4C57"/>
    <w:rsid w:val="005C517C"/>
    <w:rsid w:val="005C542C"/>
    <w:rsid w:val="005C5D70"/>
    <w:rsid w:val="005C62BF"/>
    <w:rsid w:val="005C631D"/>
    <w:rsid w:val="005C6C95"/>
    <w:rsid w:val="005C7A22"/>
    <w:rsid w:val="005C7F1E"/>
    <w:rsid w:val="005D044D"/>
    <w:rsid w:val="005D07CC"/>
    <w:rsid w:val="005D0ABD"/>
    <w:rsid w:val="005D1657"/>
    <w:rsid w:val="005D18AD"/>
    <w:rsid w:val="005D1B26"/>
    <w:rsid w:val="005D1B9D"/>
    <w:rsid w:val="005D26B4"/>
    <w:rsid w:val="005D2DBA"/>
    <w:rsid w:val="005D33FA"/>
    <w:rsid w:val="005D3C11"/>
    <w:rsid w:val="005D409C"/>
    <w:rsid w:val="005D4E9C"/>
    <w:rsid w:val="005D51AA"/>
    <w:rsid w:val="005D539B"/>
    <w:rsid w:val="005D57AA"/>
    <w:rsid w:val="005D57F0"/>
    <w:rsid w:val="005D5CF4"/>
    <w:rsid w:val="005D5FBD"/>
    <w:rsid w:val="005D669E"/>
    <w:rsid w:val="005D693A"/>
    <w:rsid w:val="005D766A"/>
    <w:rsid w:val="005E12EA"/>
    <w:rsid w:val="005E1BD1"/>
    <w:rsid w:val="005E3263"/>
    <w:rsid w:val="005E3FB7"/>
    <w:rsid w:val="005E422D"/>
    <w:rsid w:val="005E469F"/>
    <w:rsid w:val="005E47A7"/>
    <w:rsid w:val="005E4A98"/>
    <w:rsid w:val="005E557F"/>
    <w:rsid w:val="005E5EDB"/>
    <w:rsid w:val="005E60E1"/>
    <w:rsid w:val="005E61AE"/>
    <w:rsid w:val="005E6216"/>
    <w:rsid w:val="005E6CBC"/>
    <w:rsid w:val="005E7123"/>
    <w:rsid w:val="005E73C0"/>
    <w:rsid w:val="005F01B6"/>
    <w:rsid w:val="005F0FB8"/>
    <w:rsid w:val="005F1E8D"/>
    <w:rsid w:val="005F231D"/>
    <w:rsid w:val="005F23CB"/>
    <w:rsid w:val="005F2706"/>
    <w:rsid w:val="005F2B20"/>
    <w:rsid w:val="005F2CC0"/>
    <w:rsid w:val="005F36EE"/>
    <w:rsid w:val="005F3A24"/>
    <w:rsid w:val="005F3F9F"/>
    <w:rsid w:val="005F46AB"/>
    <w:rsid w:val="005F4A55"/>
    <w:rsid w:val="005F61EB"/>
    <w:rsid w:val="005F670D"/>
    <w:rsid w:val="005F6A8F"/>
    <w:rsid w:val="005F7C41"/>
    <w:rsid w:val="006009B0"/>
    <w:rsid w:val="00600DF6"/>
    <w:rsid w:val="006019D4"/>
    <w:rsid w:val="0060217D"/>
    <w:rsid w:val="00602BC8"/>
    <w:rsid w:val="006033F6"/>
    <w:rsid w:val="00603DB9"/>
    <w:rsid w:val="0060502B"/>
    <w:rsid w:val="006057A4"/>
    <w:rsid w:val="006059AA"/>
    <w:rsid w:val="00606915"/>
    <w:rsid w:val="00607104"/>
    <w:rsid w:val="006072D1"/>
    <w:rsid w:val="006072D6"/>
    <w:rsid w:val="00607552"/>
    <w:rsid w:val="00607669"/>
    <w:rsid w:val="006076F8"/>
    <w:rsid w:val="00607A04"/>
    <w:rsid w:val="00607AFD"/>
    <w:rsid w:val="00610206"/>
    <w:rsid w:val="00610D1D"/>
    <w:rsid w:val="00610F6F"/>
    <w:rsid w:val="0061134F"/>
    <w:rsid w:val="00611BA5"/>
    <w:rsid w:val="0061208F"/>
    <w:rsid w:val="00612D90"/>
    <w:rsid w:val="00612F44"/>
    <w:rsid w:val="00612F97"/>
    <w:rsid w:val="006132F0"/>
    <w:rsid w:val="0061345D"/>
    <w:rsid w:val="00613CF1"/>
    <w:rsid w:val="00614616"/>
    <w:rsid w:val="00614C55"/>
    <w:rsid w:val="006156CA"/>
    <w:rsid w:val="006158C0"/>
    <w:rsid w:val="00615ED1"/>
    <w:rsid w:val="00616802"/>
    <w:rsid w:val="0061730E"/>
    <w:rsid w:val="00617E12"/>
    <w:rsid w:val="0062038B"/>
    <w:rsid w:val="00620D2D"/>
    <w:rsid w:val="00621477"/>
    <w:rsid w:val="00621516"/>
    <w:rsid w:val="0062477A"/>
    <w:rsid w:val="00624CE9"/>
    <w:rsid w:val="006258AC"/>
    <w:rsid w:val="00625F5D"/>
    <w:rsid w:val="00626B47"/>
    <w:rsid w:val="00627A7C"/>
    <w:rsid w:val="00630092"/>
    <w:rsid w:val="0063158F"/>
    <w:rsid w:val="00631D6B"/>
    <w:rsid w:val="006330A1"/>
    <w:rsid w:val="006332B3"/>
    <w:rsid w:val="006336C8"/>
    <w:rsid w:val="006339AF"/>
    <w:rsid w:val="0063479F"/>
    <w:rsid w:val="00634939"/>
    <w:rsid w:val="0063538E"/>
    <w:rsid w:val="006353F0"/>
    <w:rsid w:val="0063578C"/>
    <w:rsid w:val="00635954"/>
    <w:rsid w:val="00635FA4"/>
    <w:rsid w:val="006364A1"/>
    <w:rsid w:val="00636E32"/>
    <w:rsid w:val="00637211"/>
    <w:rsid w:val="006376DF"/>
    <w:rsid w:val="00637BFD"/>
    <w:rsid w:val="00637E9F"/>
    <w:rsid w:val="00640065"/>
    <w:rsid w:val="0064015E"/>
    <w:rsid w:val="00640448"/>
    <w:rsid w:val="0064093F"/>
    <w:rsid w:val="00640ED4"/>
    <w:rsid w:val="00641C4E"/>
    <w:rsid w:val="00641E4D"/>
    <w:rsid w:val="006439F0"/>
    <w:rsid w:val="00643F0C"/>
    <w:rsid w:val="00644526"/>
    <w:rsid w:val="00644606"/>
    <w:rsid w:val="00644A4C"/>
    <w:rsid w:val="00644B4F"/>
    <w:rsid w:val="00645574"/>
    <w:rsid w:val="00645B8E"/>
    <w:rsid w:val="00645D53"/>
    <w:rsid w:val="00646250"/>
    <w:rsid w:val="006471CC"/>
    <w:rsid w:val="00647593"/>
    <w:rsid w:val="00647EBE"/>
    <w:rsid w:val="0065023C"/>
    <w:rsid w:val="0065079F"/>
    <w:rsid w:val="00650858"/>
    <w:rsid w:val="0065124D"/>
    <w:rsid w:val="006514DC"/>
    <w:rsid w:val="00651AFC"/>
    <w:rsid w:val="00651B7D"/>
    <w:rsid w:val="00651F5F"/>
    <w:rsid w:val="0065256C"/>
    <w:rsid w:val="00652F91"/>
    <w:rsid w:val="00652FC3"/>
    <w:rsid w:val="0065328D"/>
    <w:rsid w:val="0065379F"/>
    <w:rsid w:val="00655E59"/>
    <w:rsid w:val="00656178"/>
    <w:rsid w:val="00656ABE"/>
    <w:rsid w:val="00656DD1"/>
    <w:rsid w:val="00660332"/>
    <w:rsid w:val="006610B1"/>
    <w:rsid w:val="00661C6B"/>
    <w:rsid w:val="00661DFA"/>
    <w:rsid w:val="00663B34"/>
    <w:rsid w:val="00664513"/>
    <w:rsid w:val="00664E81"/>
    <w:rsid w:val="00664ED2"/>
    <w:rsid w:val="006656D2"/>
    <w:rsid w:val="00665FCA"/>
    <w:rsid w:val="00666105"/>
    <w:rsid w:val="00667419"/>
    <w:rsid w:val="0066788B"/>
    <w:rsid w:val="00667B0A"/>
    <w:rsid w:val="00667B41"/>
    <w:rsid w:val="00670179"/>
    <w:rsid w:val="0067031E"/>
    <w:rsid w:val="00670C08"/>
    <w:rsid w:val="00670C7D"/>
    <w:rsid w:val="00670CA8"/>
    <w:rsid w:val="00670DF3"/>
    <w:rsid w:val="00670FA8"/>
    <w:rsid w:val="00671BE0"/>
    <w:rsid w:val="0067244F"/>
    <w:rsid w:val="00672F2E"/>
    <w:rsid w:val="006744FF"/>
    <w:rsid w:val="006746CE"/>
    <w:rsid w:val="00674B9E"/>
    <w:rsid w:val="00674E42"/>
    <w:rsid w:val="006751F5"/>
    <w:rsid w:val="006758E8"/>
    <w:rsid w:val="00676262"/>
    <w:rsid w:val="00677722"/>
    <w:rsid w:val="00681C35"/>
    <w:rsid w:val="006820AB"/>
    <w:rsid w:val="00682112"/>
    <w:rsid w:val="00682244"/>
    <w:rsid w:val="006831AC"/>
    <w:rsid w:val="006838B2"/>
    <w:rsid w:val="00685F2D"/>
    <w:rsid w:val="00686136"/>
    <w:rsid w:val="00686957"/>
    <w:rsid w:val="00687102"/>
    <w:rsid w:val="006872BA"/>
    <w:rsid w:val="00687BD5"/>
    <w:rsid w:val="0069010E"/>
    <w:rsid w:val="00690357"/>
    <w:rsid w:val="00690662"/>
    <w:rsid w:val="0069147C"/>
    <w:rsid w:val="006914B7"/>
    <w:rsid w:val="00691648"/>
    <w:rsid w:val="006917D7"/>
    <w:rsid w:val="00691BE0"/>
    <w:rsid w:val="00692675"/>
    <w:rsid w:val="00692FE1"/>
    <w:rsid w:val="00693689"/>
    <w:rsid w:val="006939DB"/>
    <w:rsid w:val="00694B36"/>
    <w:rsid w:val="00694EFF"/>
    <w:rsid w:val="00694F44"/>
    <w:rsid w:val="00695EDA"/>
    <w:rsid w:val="006978EB"/>
    <w:rsid w:val="00697C77"/>
    <w:rsid w:val="006A030D"/>
    <w:rsid w:val="006A0C11"/>
    <w:rsid w:val="006A0C84"/>
    <w:rsid w:val="006A220D"/>
    <w:rsid w:val="006A291E"/>
    <w:rsid w:val="006A2D60"/>
    <w:rsid w:val="006A3B62"/>
    <w:rsid w:val="006A3FA2"/>
    <w:rsid w:val="006A4FF6"/>
    <w:rsid w:val="006A6088"/>
    <w:rsid w:val="006A6343"/>
    <w:rsid w:val="006A676C"/>
    <w:rsid w:val="006A7338"/>
    <w:rsid w:val="006A740C"/>
    <w:rsid w:val="006A7541"/>
    <w:rsid w:val="006A7544"/>
    <w:rsid w:val="006A7DC0"/>
    <w:rsid w:val="006A7E3A"/>
    <w:rsid w:val="006A7E5F"/>
    <w:rsid w:val="006A7EA3"/>
    <w:rsid w:val="006A7F58"/>
    <w:rsid w:val="006B018C"/>
    <w:rsid w:val="006B0748"/>
    <w:rsid w:val="006B0A09"/>
    <w:rsid w:val="006B0B9C"/>
    <w:rsid w:val="006B1077"/>
    <w:rsid w:val="006B1541"/>
    <w:rsid w:val="006B19A5"/>
    <w:rsid w:val="006B1D6D"/>
    <w:rsid w:val="006B2369"/>
    <w:rsid w:val="006B261B"/>
    <w:rsid w:val="006B2C31"/>
    <w:rsid w:val="006B2C90"/>
    <w:rsid w:val="006B3041"/>
    <w:rsid w:val="006B4264"/>
    <w:rsid w:val="006B6438"/>
    <w:rsid w:val="006B6DD0"/>
    <w:rsid w:val="006B7C09"/>
    <w:rsid w:val="006B7D23"/>
    <w:rsid w:val="006B7E85"/>
    <w:rsid w:val="006C085E"/>
    <w:rsid w:val="006C0EFD"/>
    <w:rsid w:val="006C1C3D"/>
    <w:rsid w:val="006C1CFC"/>
    <w:rsid w:val="006C20A7"/>
    <w:rsid w:val="006C2A8E"/>
    <w:rsid w:val="006C3196"/>
    <w:rsid w:val="006C3AE2"/>
    <w:rsid w:val="006C4385"/>
    <w:rsid w:val="006C513D"/>
    <w:rsid w:val="006C55D2"/>
    <w:rsid w:val="006C5B48"/>
    <w:rsid w:val="006C6EC7"/>
    <w:rsid w:val="006C77D1"/>
    <w:rsid w:val="006D024D"/>
    <w:rsid w:val="006D07E0"/>
    <w:rsid w:val="006D11EB"/>
    <w:rsid w:val="006D1320"/>
    <w:rsid w:val="006D3AAD"/>
    <w:rsid w:val="006D3C7D"/>
    <w:rsid w:val="006D54DB"/>
    <w:rsid w:val="006D567B"/>
    <w:rsid w:val="006D586E"/>
    <w:rsid w:val="006D5D5F"/>
    <w:rsid w:val="006D7784"/>
    <w:rsid w:val="006D7D31"/>
    <w:rsid w:val="006E05F6"/>
    <w:rsid w:val="006E0A38"/>
    <w:rsid w:val="006E0B09"/>
    <w:rsid w:val="006E1362"/>
    <w:rsid w:val="006E1539"/>
    <w:rsid w:val="006E1EBA"/>
    <w:rsid w:val="006E229F"/>
    <w:rsid w:val="006E22F3"/>
    <w:rsid w:val="006E232C"/>
    <w:rsid w:val="006E314B"/>
    <w:rsid w:val="006E38DE"/>
    <w:rsid w:val="006E4210"/>
    <w:rsid w:val="006E4A27"/>
    <w:rsid w:val="006E4EE5"/>
    <w:rsid w:val="006E5176"/>
    <w:rsid w:val="006E5427"/>
    <w:rsid w:val="006E5F13"/>
    <w:rsid w:val="006E6125"/>
    <w:rsid w:val="006E61CD"/>
    <w:rsid w:val="006E6226"/>
    <w:rsid w:val="006E62FB"/>
    <w:rsid w:val="006E673A"/>
    <w:rsid w:val="006E76C5"/>
    <w:rsid w:val="006F128E"/>
    <w:rsid w:val="006F2210"/>
    <w:rsid w:val="006F306C"/>
    <w:rsid w:val="006F3488"/>
    <w:rsid w:val="006F41A2"/>
    <w:rsid w:val="006F450B"/>
    <w:rsid w:val="006F4796"/>
    <w:rsid w:val="006F499D"/>
    <w:rsid w:val="006F4A77"/>
    <w:rsid w:val="006F584F"/>
    <w:rsid w:val="006F6266"/>
    <w:rsid w:val="006F63A5"/>
    <w:rsid w:val="006F6457"/>
    <w:rsid w:val="006F68EE"/>
    <w:rsid w:val="006F7192"/>
    <w:rsid w:val="006F7311"/>
    <w:rsid w:val="006F764C"/>
    <w:rsid w:val="006F7CED"/>
    <w:rsid w:val="0070142B"/>
    <w:rsid w:val="0070256C"/>
    <w:rsid w:val="007025AC"/>
    <w:rsid w:val="0070276E"/>
    <w:rsid w:val="00702C92"/>
    <w:rsid w:val="00702E8F"/>
    <w:rsid w:val="00702F8F"/>
    <w:rsid w:val="00703E33"/>
    <w:rsid w:val="00704006"/>
    <w:rsid w:val="00704743"/>
    <w:rsid w:val="00704840"/>
    <w:rsid w:val="007048C3"/>
    <w:rsid w:val="007059DB"/>
    <w:rsid w:val="007063A4"/>
    <w:rsid w:val="00707C04"/>
    <w:rsid w:val="007100D7"/>
    <w:rsid w:val="0071069C"/>
    <w:rsid w:val="00710A7A"/>
    <w:rsid w:val="007113B1"/>
    <w:rsid w:val="00711A36"/>
    <w:rsid w:val="00711D28"/>
    <w:rsid w:val="007129CE"/>
    <w:rsid w:val="00712F39"/>
    <w:rsid w:val="00713B7F"/>
    <w:rsid w:val="00714573"/>
    <w:rsid w:val="0071529C"/>
    <w:rsid w:val="00716293"/>
    <w:rsid w:val="00716314"/>
    <w:rsid w:val="00716687"/>
    <w:rsid w:val="00716D4C"/>
    <w:rsid w:val="007172AD"/>
    <w:rsid w:val="0071777F"/>
    <w:rsid w:val="007201E2"/>
    <w:rsid w:val="007204EE"/>
    <w:rsid w:val="00720AA5"/>
    <w:rsid w:val="00720AC3"/>
    <w:rsid w:val="0072242A"/>
    <w:rsid w:val="007226C6"/>
    <w:rsid w:val="00722B1B"/>
    <w:rsid w:val="007238B3"/>
    <w:rsid w:val="00723EEB"/>
    <w:rsid w:val="0072416F"/>
    <w:rsid w:val="007242E8"/>
    <w:rsid w:val="00724314"/>
    <w:rsid w:val="0072640E"/>
    <w:rsid w:val="0072712F"/>
    <w:rsid w:val="00727C94"/>
    <w:rsid w:val="00730133"/>
    <w:rsid w:val="00730D53"/>
    <w:rsid w:val="00730FA7"/>
    <w:rsid w:val="00731843"/>
    <w:rsid w:val="00731B4F"/>
    <w:rsid w:val="00731DEA"/>
    <w:rsid w:val="00731E62"/>
    <w:rsid w:val="00731EAE"/>
    <w:rsid w:val="00732191"/>
    <w:rsid w:val="0073252F"/>
    <w:rsid w:val="00732A5D"/>
    <w:rsid w:val="00732CB5"/>
    <w:rsid w:val="0073344D"/>
    <w:rsid w:val="0073368B"/>
    <w:rsid w:val="00733779"/>
    <w:rsid w:val="00733D1C"/>
    <w:rsid w:val="00733D76"/>
    <w:rsid w:val="00733E1E"/>
    <w:rsid w:val="00735033"/>
    <w:rsid w:val="00735328"/>
    <w:rsid w:val="0073607B"/>
    <w:rsid w:val="007364B3"/>
    <w:rsid w:val="00736527"/>
    <w:rsid w:val="0073685B"/>
    <w:rsid w:val="00741129"/>
    <w:rsid w:val="00741356"/>
    <w:rsid w:val="00741603"/>
    <w:rsid w:val="00741C9B"/>
    <w:rsid w:val="00741F5D"/>
    <w:rsid w:val="0074211A"/>
    <w:rsid w:val="00742206"/>
    <w:rsid w:val="007429C7"/>
    <w:rsid w:val="0074332C"/>
    <w:rsid w:val="0074340D"/>
    <w:rsid w:val="00744164"/>
    <w:rsid w:val="00744C2D"/>
    <w:rsid w:val="00745801"/>
    <w:rsid w:val="00745971"/>
    <w:rsid w:val="00745992"/>
    <w:rsid w:val="00745C36"/>
    <w:rsid w:val="00745D05"/>
    <w:rsid w:val="00745D92"/>
    <w:rsid w:val="0074603A"/>
    <w:rsid w:val="0074687D"/>
    <w:rsid w:val="00747BFF"/>
    <w:rsid w:val="00747D16"/>
    <w:rsid w:val="00750267"/>
    <w:rsid w:val="00750436"/>
    <w:rsid w:val="007507C1"/>
    <w:rsid w:val="0075081C"/>
    <w:rsid w:val="00750F66"/>
    <w:rsid w:val="00751079"/>
    <w:rsid w:val="00752142"/>
    <w:rsid w:val="007523F9"/>
    <w:rsid w:val="007526A4"/>
    <w:rsid w:val="00752859"/>
    <w:rsid w:val="007539AB"/>
    <w:rsid w:val="00753A58"/>
    <w:rsid w:val="00754650"/>
    <w:rsid w:val="007549F5"/>
    <w:rsid w:val="00754ED9"/>
    <w:rsid w:val="00755CC3"/>
    <w:rsid w:val="00756142"/>
    <w:rsid w:val="00756534"/>
    <w:rsid w:val="00756DD7"/>
    <w:rsid w:val="00756FF7"/>
    <w:rsid w:val="007573E8"/>
    <w:rsid w:val="007578DF"/>
    <w:rsid w:val="00757F31"/>
    <w:rsid w:val="007605D1"/>
    <w:rsid w:val="00760C4E"/>
    <w:rsid w:val="00760E1C"/>
    <w:rsid w:val="007612A4"/>
    <w:rsid w:val="00762884"/>
    <w:rsid w:val="00762949"/>
    <w:rsid w:val="007630DF"/>
    <w:rsid w:val="00764650"/>
    <w:rsid w:val="00764B7F"/>
    <w:rsid w:val="00765B1A"/>
    <w:rsid w:val="00765F21"/>
    <w:rsid w:val="00766165"/>
    <w:rsid w:val="0076662A"/>
    <w:rsid w:val="007675B5"/>
    <w:rsid w:val="007701DE"/>
    <w:rsid w:val="00770BFF"/>
    <w:rsid w:val="0077137C"/>
    <w:rsid w:val="00772CFA"/>
    <w:rsid w:val="00772DEE"/>
    <w:rsid w:val="00772F39"/>
    <w:rsid w:val="00773052"/>
    <w:rsid w:val="0077492F"/>
    <w:rsid w:val="007749DD"/>
    <w:rsid w:val="007750D5"/>
    <w:rsid w:val="00775D4F"/>
    <w:rsid w:val="00775EF2"/>
    <w:rsid w:val="007766E7"/>
    <w:rsid w:val="007772BC"/>
    <w:rsid w:val="0077754C"/>
    <w:rsid w:val="00777565"/>
    <w:rsid w:val="007775EF"/>
    <w:rsid w:val="00777EA6"/>
    <w:rsid w:val="00780941"/>
    <w:rsid w:val="00780A4D"/>
    <w:rsid w:val="00780D12"/>
    <w:rsid w:val="00780FB2"/>
    <w:rsid w:val="007810BB"/>
    <w:rsid w:val="00781AED"/>
    <w:rsid w:val="007826CD"/>
    <w:rsid w:val="00782D59"/>
    <w:rsid w:val="007833EC"/>
    <w:rsid w:val="00783A8B"/>
    <w:rsid w:val="00783CEF"/>
    <w:rsid w:val="007843F2"/>
    <w:rsid w:val="0078495C"/>
    <w:rsid w:val="00784A52"/>
    <w:rsid w:val="00785370"/>
    <w:rsid w:val="007857FE"/>
    <w:rsid w:val="00786A46"/>
    <w:rsid w:val="00786F08"/>
    <w:rsid w:val="00787740"/>
    <w:rsid w:val="00787A77"/>
    <w:rsid w:val="00787B75"/>
    <w:rsid w:val="00787EAC"/>
    <w:rsid w:val="007903EF"/>
    <w:rsid w:val="0079079C"/>
    <w:rsid w:val="00791652"/>
    <w:rsid w:val="00791843"/>
    <w:rsid w:val="007920CE"/>
    <w:rsid w:val="00792158"/>
    <w:rsid w:val="00792628"/>
    <w:rsid w:val="007929C5"/>
    <w:rsid w:val="00792AC4"/>
    <w:rsid w:val="00792F50"/>
    <w:rsid w:val="0079339F"/>
    <w:rsid w:val="007935B9"/>
    <w:rsid w:val="00793A05"/>
    <w:rsid w:val="00794202"/>
    <w:rsid w:val="007943BC"/>
    <w:rsid w:val="00794839"/>
    <w:rsid w:val="007956A8"/>
    <w:rsid w:val="00795BF9"/>
    <w:rsid w:val="007962B8"/>
    <w:rsid w:val="00797997"/>
    <w:rsid w:val="007A0070"/>
    <w:rsid w:val="007A093A"/>
    <w:rsid w:val="007A0A12"/>
    <w:rsid w:val="007A0E71"/>
    <w:rsid w:val="007A132D"/>
    <w:rsid w:val="007A1806"/>
    <w:rsid w:val="007A182F"/>
    <w:rsid w:val="007A1BE7"/>
    <w:rsid w:val="007A1FF8"/>
    <w:rsid w:val="007A2725"/>
    <w:rsid w:val="007A3325"/>
    <w:rsid w:val="007A368C"/>
    <w:rsid w:val="007A4002"/>
    <w:rsid w:val="007A47AA"/>
    <w:rsid w:val="007A4A20"/>
    <w:rsid w:val="007A4DED"/>
    <w:rsid w:val="007A58CD"/>
    <w:rsid w:val="007A66D2"/>
    <w:rsid w:val="007A74AA"/>
    <w:rsid w:val="007A7A3D"/>
    <w:rsid w:val="007B0C8A"/>
    <w:rsid w:val="007B0D68"/>
    <w:rsid w:val="007B0E06"/>
    <w:rsid w:val="007B12EE"/>
    <w:rsid w:val="007B1E1C"/>
    <w:rsid w:val="007B1E1D"/>
    <w:rsid w:val="007B251D"/>
    <w:rsid w:val="007B25E4"/>
    <w:rsid w:val="007B2EC7"/>
    <w:rsid w:val="007B389B"/>
    <w:rsid w:val="007B3C8C"/>
    <w:rsid w:val="007B4869"/>
    <w:rsid w:val="007B4E66"/>
    <w:rsid w:val="007B4F58"/>
    <w:rsid w:val="007B528D"/>
    <w:rsid w:val="007B5616"/>
    <w:rsid w:val="007B56C1"/>
    <w:rsid w:val="007B58CD"/>
    <w:rsid w:val="007B597B"/>
    <w:rsid w:val="007B598D"/>
    <w:rsid w:val="007B5F5F"/>
    <w:rsid w:val="007B6650"/>
    <w:rsid w:val="007B6E76"/>
    <w:rsid w:val="007B7566"/>
    <w:rsid w:val="007B75D1"/>
    <w:rsid w:val="007B77D1"/>
    <w:rsid w:val="007B79CC"/>
    <w:rsid w:val="007C0709"/>
    <w:rsid w:val="007C0E0E"/>
    <w:rsid w:val="007C1CD9"/>
    <w:rsid w:val="007C1D26"/>
    <w:rsid w:val="007C1DAA"/>
    <w:rsid w:val="007C1F60"/>
    <w:rsid w:val="007C1F63"/>
    <w:rsid w:val="007C2406"/>
    <w:rsid w:val="007C2C81"/>
    <w:rsid w:val="007C361D"/>
    <w:rsid w:val="007C4A87"/>
    <w:rsid w:val="007C4B84"/>
    <w:rsid w:val="007C57D6"/>
    <w:rsid w:val="007C6B75"/>
    <w:rsid w:val="007C6D3A"/>
    <w:rsid w:val="007C6DB8"/>
    <w:rsid w:val="007C718B"/>
    <w:rsid w:val="007D004F"/>
    <w:rsid w:val="007D0A52"/>
    <w:rsid w:val="007D0B38"/>
    <w:rsid w:val="007D0D83"/>
    <w:rsid w:val="007D0DB3"/>
    <w:rsid w:val="007D2570"/>
    <w:rsid w:val="007D2832"/>
    <w:rsid w:val="007D323C"/>
    <w:rsid w:val="007D3282"/>
    <w:rsid w:val="007D4F3A"/>
    <w:rsid w:val="007D5290"/>
    <w:rsid w:val="007D542F"/>
    <w:rsid w:val="007D5440"/>
    <w:rsid w:val="007D62EB"/>
    <w:rsid w:val="007D6788"/>
    <w:rsid w:val="007D69BB"/>
    <w:rsid w:val="007D6D2D"/>
    <w:rsid w:val="007D7154"/>
    <w:rsid w:val="007E0120"/>
    <w:rsid w:val="007E02B7"/>
    <w:rsid w:val="007E09E0"/>
    <w:rsid w:val="007E103E"/>
    <w:rsid w:val="007E184F"/>
    <w:rsid w:val="007E1B0E"/>
    <w:rsid w:val="007E1CB9"/>
    <w:rsid w:val="007E1D2C"/>
    <w:rsid w:val="007E2825"/>
    <w:rsid w:val="007E3B61"/>
    <w:rsid w:val="007E3B82"/>
    <w:rsid w:val="007E54F0"/>
    <w:rsid w:val="007E64C3"/>
    <w:rsid w:val="007F0E59"/>
    <w:rsid w:val="007F1017"/>
    <w:rsid w:val="007F11FF"/>
    <w:rsid w:val="007F1C3E"/>
    <w:rsid w:val="007F1CA2"/>
    <w:rsid w:val="007F204A"/>
    <w:rsid w:val="007F24AC"/>
    <w:rsid w:val="007F2763"/>
    <w:rsid w:val="007F2BFF"/>
    <w:rsid w:val="007F2D46"/>
    <w:rsid w:val="007F37F6"/>
    <w:rsid w:val="007F3DFB"/>
    <w:rsid w:val="007F4155"/>
    <w:rsid w:val="007F4644"/>
    <w:rsid w:val="007F47B1"/>
    <w:rsid w:val="007F4A3F"/>
    <w:rsid w:val="007F4A61"/>
    <w:rsid w:val="007F4F59"/>
    <w:rsid w:val="007F4F7A"/>
    <w:rsid w:val="007F56B7"/>
    <w:rsid w:val="007F573D"/>
    <w:rsid w:val="007F5E5D"/>
    <w:rsid w:val="007F61C2"/>
    <w:rsid w:val="007F6265"/>
    <w:rsid w:val="007F6A58"/>
    <w:rsid w:val="007F77D6"/>
    <w:rsid w:val="007F7920"/>
    <w:rsid w:val="00800D01"/>
    <w:rsid w:val="00801902"/>
    <w:rsid w:val="00802284"/>
    <w:rsid w:val="00802A6B"/>
    <w:rsid w:val="00803125"/>
    <w:rsid w:val="00803374"/>
    <w:rsid w:val="00803A8A"/>
    <w:rsid w:val="00803AD8"/>
    <w:rsid w:val="00803EC7"/>
    <w:rsid w:val="00803FDD"/>
    <w:rsid w:val="008046C5"/>
    <w:rsid w:val="0080483F"/>
    <w:rsid w:val="00804965"/>
    <w:rsid w:val="00804B6A"/>
    <w:rsid w:val="00804F69"/>
    <w:rsid w:val="00805142"/>
    <w:rsid w:val="00805242"/>
    <w:rsid w:val="0080692C"/>
    <w:rsid w:val="00806B97"/>
    <w:rsid w:val="00806F1F"/>
    <w:rsid w:val="00807401"/>
    <w:rsid w:val="008074E4"/>
    <w:rsid w:val="00807663"/>
    <w:rsid w:val="00807A8B"/>
    <w:rsid w:val="0081072F"/>
    <w:rsid w:val="00810C40"/>
    <w:rsid w:val="00811383"/>
    <w:rsid w:val="00812149"/>
    <w:rsid w:val="00812CAC"/>
    <w:rsid w:val="00812D52"/>
    <w:rsid w:val="008132E8"/>
    <w:rsid w:val="0081332D"/>
    <w:rsid w:val="00813698"/>
    <w:rsid w:val="00813EE9"/>
    <w:rsid w:val="008143F4"/>
    <w:rsid w:val="00814820"/>
    <w:rsid w:val="00814A5A"/>
    <w:rsid w:val="00814ADE"/>
    <w:rsid w:val="0081537A"/>
    <w:rsid w:val="00815DB9"/>
    <w:rsid w:val="00816274"/>
    <w:rsid w:val="00816372"/>
    <w:rsid w:val="0081662A"/>
    <w:rsid w:val="008166EF"/>
    <w:rsid w:val="00816762"/>
    <w:rsid w:val="00816F9B"/>
    <w:rsid w:val="008178CA"/>
    <w:rsid w:val="00817EE1"/>
    <w:rsid w:val="0082021A"/>
    <w:rsid w:val="00820ABD"/>
    <w:rsid w:val="00821312"/>
    <w:rsid w:val="0082132B"/>
    <w:rsid w:val="0082151F"/>
    <w:rsid w:val="0082159C"/>
    <w:rsid w:val="008218AE"/>
    <w:rsid w:val="00821B61"/>
    <w:rsid w:val="00821C9F"/>
    <w:rsid w:val="0082491B"/>
    <w:rsid w:val="00824E49"/>
    <w:rsid w:val="008251A8"/>
    <w:rsid w:val="00825225"/>
    <w:rsid w:val="00825491"/>
    <w:rsid w:val="00825548"/>
    <w:rsid w:val="00825751"/>
    <w:rsid w:val="00826414"/>
    <w:rsid w:val="008264EB"/>
    <w:rsid w:val="00827808"/>
    <w:rsid w:val="0082788B"/>
    <w:rsid w:val="008302AF"/>
    <w:rsid w:val="00830792"/>
    <w:rsid w:val="0083112E"/>
    <w:rsid w:val="00831255"/>
    <w:rsid w:val="00832131"/>
    <w:rsid w:val="008328C0"/>
    <w:rsid w:val="00832C8A"/>
    <w:rsid w:val="00833044"/>
    <w:rsid w:val="008330AD"/>
    <w:rsid w:val="008339CA"/>
    <w:rsid w:val="00833B05"/>
    <w:rsid w:val="00833B93"/>
    <w:rsid w:val="0083433D"/>
    <w:rsid w:val="00834939"/>
    <w:rsid w:val="008353E1"/>
    <w:rsid w:val="008356A6"/>
    <w:rsid w:val="0083599E"/>
    <w:rsid w:val="008362B4"/>
    <w:rsid w:val="008368F2"/>
    <w:rsid w:val="00840CA2"/>
    <w:rsid w:val="008413C1"/>
    <w:rsid w:val="00842204"/>
    <w:rsid w:val="00842E6A"/>
    <w:rsid w:val="0084374F"/>
    <w:rsid w:val="008437DA"/>
    <w:rsid w:val="00843AC0"/>
    <w:rsid w:val="0084481D"/>
    <w:rsid w:val="0084657F"/>
    <w:rsid w:val="008465C8"/>
    <w:rsid w:val="00846918"/>
    <w:rsid w:val="00846DD1"/>
    <w:rsid w:val="008477D3"/>
    <w:rsid w:val="00847DF5"/>
    <w:rsid w:val="008507BF"/>
    <w:rsid w:val="00851727"/>
    <w:rsid w:val="00851F00"/>
    <w:rsid w:val="00852127"/>
    <w:rsid w:val="008522EA"/>
    <w:rsid w:val="008524E0"/>
    <w:rsid w:val="008527E9"/>
    <w:rsid w:val="00852DF5"/>
    <w:rsid w:val="0085309D"/>
    <w:rsid w:val="008537FF"/>
    <w:rsid w:val="00853EDB"/>
    <w:rsid w:val="00854267"/>
    <w:rsid w:val="008546F3"/>
    <w:rsid w:val="00854F79"/>
    <w:rsid w:val="0085508D"/>
    <w:rsid w:val="008550D9"/>
    <w:rsid w:val="0085514D"/>
    <w:rsid w:val="00855274"/>
    <w:rsid w:val="008556B7"/>
    <w:rsid w:val="00855CF2"/>
    <w:rsid w:val="00856117"/>
    <w:rsid w:val="00856172"/>
    <w:rsid w:val="00856897"/>
    <w:rsid w:val="00856E9A"/>
    <w:rsid w:val="00857010"/>
    <w:rsid w:val="008574FC"/>
    <w:rsid w:val="008575E6"/>
    <w:rsid w:val="0085771A"/>
    <w:rsid w:val="00857A31"/>
    <w:rsid w:val="008602E5"/>
    <w:rsid w:val="008606C4"/>
    <w:rsid w:val="0086075D"/>
    <w:rsid w:val="00860C89"/>
    <w:rsid w:val="00861478"/>
    <w:rsid w:val="00861E30"/>
    <w:rsid w:val="00862502"/>
    <w:rsid w:val="00863784"/>
    <w:rsid w:val="00863916"/>
    <w:rsid w:val="00863B94"/>
    <w:rsid w:val="00863C54"/>
    <w:rsid w:val="00863E22"/>
    <w:rsid w:val="00865651"/>
    <w:rsid w:val="00865DED"/>
    <w:rsid w:val="008660D4"/>
    <w:rsid w:val="00866821"/>
    <w:rsid w:val="008670C8"/>
    <w:rsid w:val="0086714C"/>
    <w:rsid w:val="00867392"/>
    <w:rsid w:val="00867974"/>
    <w:rsid w:val="008701FD"/>
    <w:rsid w:val="0087051C"/>
    <w:rsid w:val="00870B8A"/>
    <w:rsid w:val="00870DE7"/>
    <w:rsid w:val="00870EA6"/>
    <w:rsid w:val="00871872"/>
    <w:rsid w:val="00871E94"/>
    <w:rsid w:val="00871FA9"/>
    <w:rsid w:val="008721E3"/>
    <w:rsid w:val="008727E9"/>
    <w:rsid w:val="008728E9"/>
    <w:rsid w:val="00872E3B"/>
    <w:rsid w:val="008742BD"/>
    <w:rsid w:val="00874658"/>
    <w:rsid w:val="00874C7C"/>
    <w:rsid w:val="00875472"/>
    <w:rsid w:val="008756F1"/>
    <w:rsid w:val="00875B6B"/>
    <w:rsid w:val="00876351"/>
    <w:rsid w:val="00876734"/>
    <w:rsid w:val="00876DB6"/>
    <w:rsid w:val="00876F66"/>
    <w:rsid w:val="0087775C"/>
    <w:rsid w:val="0088081B"/>
    <w:rsid w:val="00880CBF"/>
    <w:rsid w:val="00881833"/>
    <w:rsid w:val="00882874"/>
    <w:rsid w:val="00882925"/>
    <w:rsid w:val="008831E2"/>
    <w:rsid w:val="00883787"/>
    <w:rsid w:val="008837D0"/>
    <w:rsid w:val="008847FE"/>
    <w:rsid w:val="0088581F"/>
    <w:rsid w:val="00885C73"/>
    <w:rsid w:val="00885FA1"/>
    <w:rsid w:val="008861A5"/>
    <w:rsid w:val="00886CD2"/>
    <w:rsid w:val="008872F9"/>
    <w:rsid w:val="008901B3"/>
    <w:rsid w:val="00890C6A"/>
    <w:rsid w:val="00891103"/>
    <w:rsid w:val="00891EC1"/>
    <w:rsid w:val="008922C8"/>
    <w:rsid w:val="00892A36"/>
    <w:rsid w:val="00893239"/>
    <w:rsid w:val="008935FB"/>
    <w:rsid w:val="008940EC"/>
    <w:rsid w:val="008942F9"/>
    <w:rsid w:val="008943A6"/>
    <w:rsid w:val="00894489"/>
    <w:rsid w:val="0089481B"/>
    <w:rsid w:val="0089498E"/>
    <w:rsid w:val="0089506A"/>
    <w:rsid w:val="0089591E"/>
    <w:rsid w:val="0089625D"/>
    <w:rsid w:val="008963A5"/>
    <w:rsid w:val="008967AE"/>
    <w:rsid w:val="00896F17"/>
    <w:rsid w:val="00896FFC"/>
    <w:rsid w:val="0089732F"/>
    <w:rsid w:val="00897566"/>
    <w:rsid w:val="00897811"/>
    <w:rsid w:val="00897CA3"/>
    <w:rsid w:val="00897FBC"/>
    <w:rsid w:val="008A02CA"/>
    <w:rsid w:val="008A044C"/>
    <w:rsid w:val="008A0F7C"/>
    <w:rsid w:val="008A11E8"/>
    <w:rsid w:val="008A20BE"/>
    <w:rsid w:val="008A2501"/>
    <w:rsid w:val="008A3363"/>
    <w:rsid w:val="008A3371"/>
    <w:rsid w:val="008A3C3E"/>
    <w:rsid w:val="008A41E2"/>
    <w:rsid w:val="008A4311"/>
    <w:rsid w:val="008A458E"/>
    <w:rsid w:val="008A48F1"/>
    <w:rsid w:val="008A49DD"/>
    <w:rsid w:val="008A4C19"/>
    <w:rsid w:val="008A583E"/>
    <w:rsid w:val="008A59C3"/>
    <w:rsid w:val="008A6918"/>
    <w:rsid w:val="008A79DE"/>
    <w:rsid w:val="008A7BAF"/>
    <w:rsid w:val="008B032A"/>
    <w:rsid w:val="008B0AC2"/>
    <w:rsid w:val="008B1561"/>
    <w:rsid w:val="008B1757"/>
    <w:rsid w:val="008B1C20"/>
    <w:rsid w:val="008B1C5C"/>
    <w:rsid w:val="008B1C95"/>
    <w:rsid w:val="008B2D02"/>
    <w:rsid w:val="008B3897"/>
    <w:rsid w:val="008B3E01"/>
    <w:rsid w:val="008B3EB5"/>
    <w:rsid w:val="008B476F"/>
    <w:rsid w:val="008B51A1"/>
    <w:rsid w:val="008B5285"/>
    <w:rsid w:val="008B58A2"/>
    <w:rsid w:val="008B6D03"/>
    <w:rsid w:val="008B7546"/>
    <w:rsid w:val="008B76C7"/>
    <w:rsid w:val="008B7D19"/>
    <w:rsid w:val="008B7D7E"/>
    <w:rsid w:val="008C05B1"/>
    <w:rsid w:val="008C072C"/>
    <w:rsid w:val="008C16E4"/>
    <w:rsid w:val="008C17FD"/>
    <w:rsid w:val="008C1B44"/>
    <w:rsid w:val="008C203C"/>
    <w:rsid w:val="008C2940"/>
    <w:rsid w:val="008C36B2"/>
    <w:rsid w:val="008C3B83"/>
    <w:rsid w:val="008C42F3"/>
    <w:rsid w:val="008C50BC"/>
    <w:rsid w:val="008C50FC"/>
    <w:rsid w:val="008C574E"/>
    <w:rsid w:val="008C5B6A"/>
    <w:rsid w:val="008C5B91"/>
    <w:rsid w:val="008C5D84"/>
    <w:rsid w:val="008C6B47"/>
    <w:rsid w:val="008C76AC"/>
    <w:rsid w:val="008C7DBF"/>
    <w:rsid w:val="008C7ECB"/>
    <w:rsid w:val="008C7FF5"/>
    <w:rsid w:val="008D2429"/>
    <w:rsid w:val="008D2736"/>
    <w:rsid w:val="008D28B5"/>
    <w:rsid w:val="008D33DB"/>
    <w:rsid w:val="008D3D2C"/>
    <w:rsid w:val="008D40B5"/>
    <w:rsid w:val="008D4755"/>
    <w:rsid w:val="008D4C3D"/>
    <w:rsid w:val="008D5480"/>
    <w:rsid w:val="008D5FFE"/>
    <w:rsid w:val="008D6242"/>
    <w:rsid w:val="008D6579"/>
    <w:rsid w:val="008D65E8"/>
    <w:rsid w:val="008E0027"/>
    <w:rsid w:val="008E0BFB"/>
    <w:rsid w:val="008E0D3C"/>
    <w:rsid w:val="008E19C5"/>
    <w:rsid w:val="008E1B9E"/>
    <w:rsid w:val="008E213F"/>
    <w:rsid w:val="008E2552"/>
    <w:rsid w:val="008E3683"/>
    <w:rsid w:val="008E3D2A"/>
    <w:rsid w:val="008E4DE5"/>
    <w:rsid w:val="008E55AB"/>
    <w:rsid w:val="008E5F02"/>
    <w:rsid w:val="008E67C3"/>
    <w:rsid w:val="008E70C1"/>
    <w:rsid w:val="008E72C3"/>
    <w:rsid w:val="008E79FB"/>
    <w:rsid w:val="008E7CED"/>
    <w:rsid w:val="008F120A"/>
    <w:rsid w:val="008F1740"/>
    <w:rsid w:val="008F1AC4"/>
    <w:rsid w:val="008F2387"/>
    <w:rsid w:val="008F27E0"/>
    <w:rsid w:val="008F2890"/>
    <w:rsid w:val="008F2BAF"/>
    <w:rsid w:val="008F3A36"/>
    <w:rsid w:val="008F48EB"/>
    <w:rsid w:val="008F4F0B"/>
    <w:rsid w:val="008F505C"/>
    <w:rsid w:val="008F517A"/>
    <w:rsid w:val="008F5A13"/>
    <w:rsid w:val="008F5E29"/>
    <w:rsid w:val="008F6BAB"/>
    <w:rsid w:val="008F720A"/>
    <w:rsid w:val="008F7F0B"/>
    <w:rsid w:val="008F7FF1"/>
    <w:rsid w:val="00900312"/>
    <w:rsid w:val="0090042C"/>
    <w:rsid w:val="0090192C"/>
    <w:rsid w:val="00901B77"/>
    <w:rsid w:val="009020A2"/>
    <w:rsid w:val="009023AC"/>
    <w:rsid w:val="00902D2D"/>
    <w:rsid w:val="00903813"/>
    <w:rsid w:val="00903987"/>
    <w:rsid w:val="00903F08"/>
    <w:rsid w:val="009046C4"/>
    <w:rsid w:val="00904ED4"/>
    <w:rsid w:val="00905B09"/>
    <w:rsid w:val="009062A5"/>
    <w:rsid w:val="009065B2"/>
    <w:rsid w:val="009068CF"/>
    <w:rsid w:val="00907065"/>
    <w:rsid w:val="00910083"/>
    <w:rsid w:val="0091041C"/>
    <w:rsid w:val="009106BB"/>
    <w:rsid w:val="0091089A"/>
    <w:rsid w:val="0091115D"/>
    <w:rsid w:val="009111A3"/>
    <w:rsid w:val="00911272"/>
    <w:rsid w:val="00911814"/>
    <w:rsid w:val="009135D6"/>
    <w:rsid w:val="00914289"/>
    <w:rsid w:val="00914C77"/>
    <w:rsid w:val="00916909"/>
    <w:rsid w:val="00917D6E"/>
    <w:rsid w:val="0092089A"/>
    <w:rsid w:val="009209FC"/>
    <w:rsid w:val="00920D7E"/>
    <w:rsid w:val="009213AE"/>
    <w:rsid w:val="009214B2"/>
    <w:rsid w:val="0092154A"/>
    <w:rsid w:val="0092161A"/>
    <w:rsid w:val="0092369B"/>
    <w:rsid w:val="00923A55"/>
    <w:rsid w:val="00923CE9"/>
    <w:rsid w:val="00923FA2"/>
    <w:rsid w:val="009240FA"/>
    <w:rsid w:val="00924895"/>
    <w:rsid w:val="009255A6"/>
    <w:rsid w:val="009258A2"/>
    <w:rsid w:val="00925A66"/>
    <w:rsid w:val="00926438"/>
    <w:rsid w:val="0092648D"/>
    <w:rsid w:val="00927372"/>
    <w:rsid w:val="00927E63"/>
    <w:rsid w:val="00927FF0"/>
    <w:rsid w:val="009301F5"/>
    <w:rsid w:val="00930EAA"/>
    <w:rsid w:val="00931517"/>
    <w:rsid w:val="00931F0E"/>
    <w:rsid w:val="009322D7"/>
    <w:rsid w:val="0093247D"/>
    <w:rsid w:val="0093268D"/>
    <w:rsid w:val="009328E6"/>
    <w:rsid w:val="00932B5E"/>
    <w:rsid w:val="00932F7F"/>
    <w:rsid w:val="00932FB2"/>
    <w:rsid w:val="009333D2"/>
    <w:rsid w:val="00934D60"/>
    <w:rsid w:val="009353AD"/>
    <w:rsid w:val="00935E74"/>
    <w:rsid w:val="00936516"/>
    <w:rsid w:val="00936618"/>
    <w:rsid w:val="0093685E"/>
    <w:rsid w:val="00936DF7"/>
    <w:rsid w:val="00937B16"/>
    <w:rsid w:val="00937CF4"/>
    <w:rsid w:val="00940032"/>
    <w:rsid w:val="009402C3"/>
    <w:rsid w:val="00941BF9"/>
    <w:rsid w:val="0094223C"/>
    <w:rsid w:val="009428E8"/>
    <w:rsid w:val="00942CEB"/>
    <w:rsid w:val="009433E7"/>
    <w:rsid w:val="00943463"/>
    <w:rsid w:val="00943AB7"/>
    <w:rsid w:val="00944920"/>
    <w:rsid w:val="00944A2F"/>
    <w:rsid w:val="00944DEF"/>
    <w:rsid w:val="00945EC0"/>
    <w:rsid w:val="00945F38"/>
    <w:rsid w:val="0094628A"/>
    <w:rsid w:val="009474A0"/>
    <w:rsid w:val="00947B9D"/>
    <w:rsid w:val="00947F45"/>
    <w:rsid w:val="009500C5"/>
    <w:rsid w:val="009501C5"/>
    <w:rsid w:val="009506CC"/>
    <w:rsid w:val="009508CB"/>
    <w:rsid w:val="00950974"/>
    <w:rsid w:val="00950BF0"/>
    <w:rsid w:val="00950F0A"/>
    <w:rsid w:val="009510A2"/>
    <w:rsid w:val="00951130"/>
    <w:rsid w:val="009517ED"/>
    <w:rsid w:val="00953257"/>
    <w:rsid w:val="00953A9E"/>
    <w:rsid w:val="00953C9A"/>
    <w:rsid w:val="00954000"/>
    <w:rsid w:val="00954BF5"/>
    <w:rsid w:val="00954D3D"/>
    <w:rsid w:val="00955235"/>
    <w:rsid w:val="0095560F"/>
    <w:rsid w:val="00955900"/>
    <w:rsid w:val="0095605B"/>
    <w:rsid w:val="009562C5"/>
    <w:rsid w:val="0095669A"/>
    <w:rsid w:val="00956B28"/>
    <w:rsid w:val="00957331"/>
    <w:rsid w:val="0095735F"/>
    <w:rsid w:val="00960171"/>
    <w:rsid w:val="00960E4C"/>
    <w:rsid w:val="00960E90"/>
    <w:rsid w:val="00961837"/>
    <w:rsid w:val="00962749"/>
    <w:rsid w:val="00962CB9"/>
    <w:rsid w:val="0096336B"/>
    <w:rsid w:val="00963510"/>
    <w:rsid w:val="00963731"/>
    <w:rsid w:val="00963BE7"/>
    <w:rsid w:val="00964312"/>
    <w:rsid w:val="00964B0D"/>
    <w:rsid w:val="00965B8A"/>
    <w:rsid w:val="00965BAC"/>
    <w:rsid w:val="0097076A"/>
    <w:rsid w:val="0097131C"/>
    <w:rsid w:val="00971613"/>
    <w:rsid w:val="00971631"/>
    <w:rsid w:val="009717AC"/>
    <w:rsid w:val="00973DE6"/>
    <w:rsid w:val="00973DEB"/>
    <w:rsid w:val="00974EA1"/>
    <w:rsid w:val="009756E4"/>
    <w:rsid w:val="009758C8"/>
    <w:rsid w:val="00975AED"/>
    <w:rsid w:val="0097636D"/>
    <w:rsid w:val="00976389"/>
    <w:rsid w:val="009771B4"/>
    <w:rsid w:val="00977B28"/>
    <w:rsid w:val="0098051D"/>
    <w:rsid w:val="009815E9"/>
    <w:rsid w:val="0098281A"/>
    <w:rsid w:val="00983134"/>
    <w:rsid w:val="0098326C"/>
    <w:rsid w:val="009835A4"/>
    <w:rsid w:val="00983A2B"/>
    <w:rsid w:val="00983B45"/>
    <w:rsid w:val="00983E57"/>
    <w:rsid w:val="00984033"/>
    <w:rsid w:val="009849C3"/>
    <w:rsid w:val="009859AD"/>
    <w:rsid w:val="00985BFC"/>
    <w:rsid w:val="00985E6E"/>
    <w:rsid w:val="00986068"/>
    <w:rsid w:val="009861BA"/>
    <w:rsid w:val="0098675D"/>
    <w:rsid w:val="009868F4"/>
    <w:rsid w:val="00987385"/>
    <w:rsid w:val="00990382"/>
    <w:rsid w:val="009911BC"/>
    <w:rsid w:val="00991D1E"/>
    <w:rsid w:val="00991D1F"/>
    <w:rsid w:val="009922DD"/>
    <w:rsid w:val="00992603"/>
    <w:rsid w:val="0099271C"/>
    <w:rsid w:val="00992B39"/>
    <w:rsid w:val="00992CF7"/>
    <w:rsid w:val="00993351"/>
    <w:rsid w:val="0099385B"/>
    <w:rsid w:val="00993E5E"/>
    <w:rsid w:val="00993EA2"/>
    <w:rsid w:val="00994334"/>
    <w:rsid w:val="0099493C"/>
    <w:rsid w:val="00994B23"/>
    <w:rsid w:val="00996A99"/>
    <w:rsid w:val="00996B1A"/>
    <w:rsid w:val="00996F68"/>
    <w:rsid w:val="0099753D"/>
    <w:rsid w:val="00997EBF"/>
    <w:rsid w:val="009A009F"/>
    <w:rsid w:val="009A102E"/>
    <w:rsid w:val="009A10F7"/>
    <w:rsid w:val="009A2933"/>
    <w:rsid w:val="009A321D"/>
    <w:rsid w:val="009A363D"/>
    <w:rsid w:val="009A47FC"/>
    <w:rsid w:val="009A5868"/>
    <w:rsid w:val="009A5C35"/>
    <w:rsid w:val="009A6123"/>
    <w:rsid w:val="009A6166"/>
    <w:rsid w:val="009A6CAA"/>
    <w:rsid w:val="009A6FCF"/>
    <w:rsid w:val="009A7210"/>
    <w:rsid w:val="009A75BC"/>
    <w:rsid w:val="009A7A7D"/>
    <w:rsid w:val="009A7E03"/>
    <w:rsid w:val="009A7F10"/>
    <w:rsid w:val="009A7F66"/>
    <w:rsid w:val="009B0172"/>
    <w:rsid w:val="009B08CF"/>
    <w:rsid w:val="009B0905"/>
    <w:rsid w:val="009B1261"/>
    <w:rsid w:val="009B1D7D"/>
    <w:rsid w:val="009B1FA0"/>
    <w:rsid w:val="009B25F2"/>
    <w:rsid w:val="009B2604"/>
    <w:rsid w:val="009B2CDB"/>
    <w:rsid w:val="009B3538"/>
    <w:rsid w:val="009B366A"/>
    <w:rsid w:val="009B3E26"/>
    <w:rsid w:val="009B3E3F"/>
    <w:rsid w:val="009B4A86"/>
    <w:rsid w:val="009B4FEA"/>
    <w:rsid w:val="009B50E3"/>
    <w:rsid w:val="009B5EB9"/>
    <w:rsid w:val="009B611A"/>
    <w:rsid w:val="009B634F"/>
    <w:rsid w:val="009B6427"/>
    <w:rsid w:val="009B68D2"/>
    <w:rsid w:val="009B6BF5"/>
    <w:rsid w:val="009B72C7"/>
    <w:rsid w:val="009B73FC"/>
    <w:rsid w:val="009C03C6"/>
    <w:rsid w:val="009C0606"/>
    <w:rsid w:val="009C0A0C"/>
    <w:rsid w:val="009C0FFD"/>
    <w:rsid w:val="009C28E0"/>
    <w:rsid w:val="009C3FE6"/>
    <w:rsid w:val="009C47D6"/>
    <w:rsid w:val="009C48C7"/>
    <w:rsid w:val="009C4947"/>
    <w:rsid w:val="009C4A93"/>
    <w:rsid w:val="009C4D7E"/>
    <w:rsid w:val="009C5005"/>
    <w:rsid w:val="009C579B"/>
    <w:rsid w:val="009C588F"/>
    <w:rsid w:val="009C59C6"/>
    <w:rsid w:val="009C5AEF"/>
    <w:rsid w:val="009C5EA1"/>
    <w:rsid w:val="009C634F"/>
    <w:rsid w:val="009C6729"/>
    <w:rsid w:val="009C6C96"/>
    <w:rsid w:val="009C6CEA"/>
    <w:rsid w:val="009C6D80"/>
    <w:rsid w:val="009C726B"/>
    <w:rsid w:val="009C752B"/>
    <w:rsid w:val="009C7B07"/>
    <w:rsid w:val="009C7B85"/>
    <w:rsid w:val="009C7FF8"/>
    <w:rsid w:val="009D0D1C"/>
    <w:rsid w:val="009D10F4"/>
    <w:rsid w:val="009D120A"/>
    <w:rsid w:val="009D140D"/>
    <w:rsid w:val="009D2471"/>
    <w:rsid w:val="009D26FD"/>
    <w:rsid w:val="009D2D2D"/>
    <w:rsid w:val="009D31E2"/>
    <w:rsid w:val="009D373E"/>
    <w:rsid w:val="009D385E"/>
    <w:rsid w:val="009D3FA4"/>
    <w:rsid w:val="009D416E"/>
    <w:rsid w:val="009D424D"/>
    <w:rsid w:val="009D475A"/>
    <w:rsid w:val="009D4CBF"/>
    <w:rsid w:val="009D5053"/>
    <w:rsid w:val="009D5675"/>
    <w:rsid w:val="009D58DA"/>
    <w:rsid w:val="009D5B91"/>
    <w:rsid w:val="009D5D54"/>
    <w:rsid w:val="009D5F18"/>
    <w:rsid w:val="009D62F4"/>
    <w:rsid w:val="009D6412"/>
    <w:rsid w:val="009D667C"/>
    <w:rsid w:val="009D700A"/>
    <w:rsid w:val="009D77D8"/>
    <w:rsid w:val="009D792E"/>
    <w:rsid w:val="009E0B1C"/>
    <w:rsid w:val="009E0D93"/>
    <w:rsid w:val="009E0DFE"/>
    <w:rsid w:val="009E1664"/>
    <w:rsid w:val="009E18C0"/>
    <w:rsid w:val="009E2A8A"/>
    <w:rsid w:val="009E30C0"/>
    <w:rsid w:val="009E42AE"/>
    <w:rsid w:val="009E4B4F"/>
    <w:rsid w:val="009E4C07"/>
    <w:rsid w:val="009E4E62"/>
    <w:rsid w:val="009E52E3"/>
    <w:rsid w:val="009E5644"/>
    <w:rsid w:val="009E58F4"/>
    <w:rsid w:val="009E5DC3"/>
    <w:rsid w:val="009E62A2"/>
    <w:rsid w:val="009E68B5"/>
    <w:rsid w:val="009E7178"/>
    <w:rsid w:val="009E721C"/>
    <w:rsid w:val="009E75B6"/>
    <w:rsid w:val="009E772D"/>
    <w:rsid w:val="009F0D30"/>
    <w:rsid w:val="009F0EE5"/>
    <w:rsid w:val="009F110F"/>
    <w:rsid w:val="009F13A0"/>
    <w:rsid w:val="009F1ACD"/>
    <w:rsid w:val="009F2F38"/>
    <w:rsid w:val="009F308A"/>
    <w:rsid w:val="009F3327"/>
    <w:rsid w:val="009F33AE"/>
    <w:rsid w:val="009F3B64"/>
    <w:rsid w:val="009F471F"/>
    <w:rsid w:val="009F4B7C"/>
    <w:rsid w:val="009F4BAF"/>
    <w:rsid w:val="009F558B"/>
    <w:rsid w:val="009F5B3B"/>
    <w:rsid w:val="009F5BB0"/>
    <w:rsid w:val="009F64DC"/>
    <w:rsid w:val="009F69CE"/>
    <w:rsid w:val="009F6AD6"/>
    <w:rsid w:val="00A007BA"/>
    <w:rsid w:val="00A01184"/>
    <w:rsid w:val="00A0144A"/>
    <w:rsid w:val="00A0146A"/>
    <w:rsid w:val="00A0174A"/>
    <w:rsid w:val="00A01A5F"/>
    <w:rsid w:val="00A01BA6"/>
    <w:rsid w:val="00A01F80"/>
    <w:rsid w:val="00A022F9"/>
    <w:rsid w:val="00A02383"/>
    <w:rsid w:val="00A0256D"/>
    <w:rsid w:val="00A02741"/>
    <w:rsid w:val="00A034F6"/>
    <w:rsid w:val="00A03781"/>
    <w:rsid w:val="00A03D43"/>
    <w:rsid w:val="00A04380"/>
    <w:rsid w:val="00A04463"/>
    <w:rsid w:val="00A05682"/>
    <w:rsid w:val="00A05B11"/>
    <w:rsid w:val="00A064D0"/>
    <w:rsid w:val="00A069C4"/>
    <w:rsid w:val="00A072BA"/>
    <w:rsid w:val="00A07A72"/>
    <w:rsid w:val="00A07D60"/>
    <w:rsid w:val="00A1020A"/>
    <w:rsid w:val="00A11044"/>
    <w:rsid w:val="00A110D4"/>
    <w:rsid w:val="00A1152E"/>
    <w:rsid w:val="00A11CD0"/>
    <w:rsid w:val="00A11DDF"/>
    <w:rsid w:val="00A12902"/>
    <w:rsid w:val="00A12C95"/>
    <w:rsid w:val="00A12E10"/>
    <w:rsid w:val="00A13244"/>
    <w:rsid w:val="00A13292"/>
    <w:rsid w:val="00A13948"/>
    <w:rsid w:val="00A13EBC"/>
    <w:rsid w:val="00A14B7B"/>
    <w:rsid w:val="00A14DD4"/>
    <w:rsid w:val="00A15244"/>
    <w:rsid w:val="00A1555B"/>
    <w:rsid w:val="00A155C5"/>
    <w:rsid w:val="00A158FE"/>
    <w:rsid w:val="00A15A19"/>
    <w:rsid w:val="00A164A9"/>
    <w:rsid w:val="00A16AD8"/>
    <w:rsid w:val="00A16C9F"/>
    <w:rsid w:val="00A2082E"/>
    <w:rsid w:val="00A2107B"/>
    <w:rsid w:val="00A21CF3"/>
    <w:rsid w:val="00A22589"/>
    <w:rsid w:val="00A2259B"/>
    <w:rsid w:val="00A2290C"/>
    <w:rsid w:val="00A22C3D"/>
    <w:rsid w:val="00A232D3"/>
    <w:rsid w:val="00A23DBA"/>
    <w:rsid w:val="00A23E2F"/>
    <w:rsid w:val="00A23E80"/>
    <w:rsid w:val="00A257B4"/>
    <w:rsid w:val="00A25AB4"/>
    <w:rsid w:val="00A2646E"/>
    <w:rsid w:val="00A270BD"/>
    <w:rsid w:val="00A27AEC"/>
    <w:rsid w:val="00A320DB"/>
    <w:rsid w:val="00A34E00"/>
    <w:rsid w:val="00A35CAC"/>
    <w:rsid w:val="00A35D16"/>
    <w:rsid w:val="00A36895"/>
    <w:rsid w:val="00A368FF"/>
    <w:rsid w:val="00A36E08"/>
    <w:rsid w:val="00A371BB"/>
    <w:rsid w:val="00A37257"/>
    <w:rsid w:val="00A37520"/>
    <w:rsid w:val="00A37A2A"/>
    <w:rsid w:val="00A37BCD"/>
    <w:rsid w:val="00A407DF"/>
    <w:rsid w:val="00A4085A"/>
    <w:rsid w:val="00A41996"/>
    <w:rsid w:val="00A4199B"/>
    <w:rsid w:val="00A41F6A"/>
    <w:rsid w:val="00A432D8"/>
    <w:rsid w:val="00A43768"/>
    <w:rsid w:val="00A43C59"/>
    <w:rsid w:val="00A43EA1"/>
    <w:rsid w:val="00A446C3"/>
    <w:rsid w:val="00A45149"/>
    <w:rsid w:val="00A456DA"/>
    <w:rsid w:val="00A459CE"/>
    <w:rsid w:val="00A46454"/>
    <w:rsid w:val="00A46DBA"/>
    <w:rsid w:val="00A47586"/>
    <w:rsid w:val="00A47FA8"/>
    <w:rsid w:val="00A50ECD"/>
    <w:rsid w:val="00A5147A"/>
    <w:rsid w:val="00A518F3"/>
    <w:rsid w:val="00A51AC7"/>
    <w:rsid w:val="00A51D2F"/>
    <w:rsid w:val="00A51EBE"/>
    <w:rsid w:val="00A520CD"/>
    <w:rsid w:val="00A52175"/>
    <w:rsid w:val="00A52729"/>
    <w:rsid w:val="00A52E7C"/>
    <w:rsid w:val="00A53675"/>
    <w:rsid w:val="00A53ABF"/>
    <w:rsid w:val="00A53BF0"/>
    <w:rsid w:val="00A53CD2"/>
    <w:rsid w:val="00A545D5"/>
    <w:rsid w:val="00A545D7"/>
    <w:rsid w:val="00A546DD"/>
    <w:rsid w:val="00A547A3"/>
    <w:rsid w:val="00A551A9"/>
    <w:rsid w:val="00A558D3"/>
    <w:rsid w:val="00A562F5"/>
    <w:rsid w:val="00A564D7"/>
    <w:rsid w:val="00A56508"/>
    <w:rsid w:val="00A567F3"/>
    <w:rsid w:val="00A568B0"/>
    <w:rsid w:val="00A56B6A"/>
    <w:rsid w:val="00A56F17"/>
    <w:rsid w:val="00A578DC"/>
    <w:rsid w:val="00A607DA"/>
    <w:rsid w:val="00A60ECD"/>
    <w:rsid w:val="00A60FBA"/>
    <w:rsid w:val="00A6132A"/>
    <w:rsid w:val="00A615C4"/>
    <w:rsid w:val="00A6180A"/>
    <w:rsid w:val="00A61D93"/>
    <w:rsid w:val="00A62B1F"/>
    <w:rsid w:val="00A62D8E"/>
    <w:rsid w:val="00A632A7"/>
    <w:rsid w:val="00A635DC"/>
    <w:rsid w:val="00A64EEB"/>
    <w:rsid w:val="00A6525D"/>
    <w:rsid w:val="00A65DF9"/>
    <w:rsid w:val="00A66A42"/>
    <w:rsid w:val="00A6725B"/>
    <w:rsid w:val="00A676B1"/>
    <w:rsid w:val="00A67EFE"/>
    <w:rsid w:val="00A702D3"/>
    <w:rsid w:val="00A70605"/>
    <w:rsid w:val="00A7080A"/>
    <w:rsid w:val="00A7142C"/>
    <w:rsid w:val="00A720AB"/>
    <w:rsid w:val="00A726DC"/>
    <w:rsid w:val="00A730C5"/>
    <w:rsid w:val="00A73134"/>
    <w:rsid w:val="00A731E0"/>
    <w:rsid w:val="00A73574"/>
    <w:rsid w:val="00A74200"/>
    <w:rsid w:val="00A74AFE"/>
    <w:rsid w:val="00A75C63"/>
    <w:rsid w:val="00A75E9F"/>
    <w:rsid w:val="00A766CF"/>
    <w:rsid w:val="00A7685A"/>
    <w:rsid w:val="00A777B2"/>
    <w:rsid w:val="00A77C44"/>
    <w:rsid w:val="00A80311"/>
    <w:rsid w:val="00A826CE"/>
    <w:rsid w:val="00A828C5"/>
    <w:rsid w:val="00A8338E"/>
    <w:rsid w:val="00A83557"/>
    <w:rsid w:val="00A8409E"/>
    <w:rsid w:val="00A84162"/>
    <w:rsid w:val="00A85A33"/>
    <w:rsid w:val="00A85BB7"/>
    <w:rsid w:val="00A85CDC"/>
    <w:rsid w:val="00A8627D"/>
    <w:rsid w:val="00A86E8B"/>
    <w:rsid w:val="00A86FD1"/>
    <w:rsid w:val="00A87164"/>
    <w:rsid w:val="00A874F2"/>
    <w:rsid w:val="00A9098C"/>
    <w:rsid w:val="00A909F6"/>
    <w:rsid w:val="00A90AD5"/>
    <w:rsid w:val="00A9100A"/>
    <w:rsid w:val="00A911FE"/>
    <w:rsid w:val="00A914C2"/>
    <w:rsid w:val="00A91D89"/>
    <w:rsid w:val="00A92C4D"/>
    <w:rsid w:val="00A92D72"/>
    <w:rsid w:val="00A93072"/>
    <w:rsid w:val="00A93953"/>
    <w:rsid w:val="00A93F7F"/>
    <w:rsid w:val="00A9442F"/>
    <w:rsid w:val="00A94772"/>
    <w:rsid w:val="00A94978"/>
    <w:rsid w:val="00A951B5"/>
    <w:rsid w:val="00A95528"/>
    <w:rsid w:val="00A95574"/>
    <w:rsid w:val="00A955A8"/>
    <w:rsid w:val="00A959D8"/>
    <w:rsid w:val="00A95A6E"/>
    <w:rsid w:val="00A96313"/>
    <w:rsid w:val="00A964C6"/>
    <w:rsid w:val="00A964D4"/>
    <w:rsid w:val="00A97314"/>
    <w:rsid w:val="00A97351"/>
    <w:rsid w:val="00AA03AB"/>
    <w:rsid w:val="00AA07EB"/>
    <w:rsid w:val="00AA113D"/>
    <w:rsid w:val="00AA16B6"/>
    <w:rsid w:val="00AA24A7"/>
    <w:rsid w:val="00AA4123"/>
    <w:rsid w:val="00AA4402"/>
    <w:rsid w:val="00AA5426"/>
    <w:rsid w:val="00AA6C7D"/>
    <w:rsid w:val="00AA7AB4"/>
    <w:rsid w:val="00AA7FD6"/>
    <w:rsid w:val="00AB042A"/>
    <w:rsid w:val="00AB0589"/>
    <w:rsid w:val="00AB17AC"/>
    <w:rsid w:val="00AB1B43"/>
    <w:rsid w:val="00AB247B"/>
    <w:rsid w:val="00AB2A43"/>
    <w:rsid w:val="00AB2D34"/>
    <w:rsid w:val="00AB2DE2"/>
    <w:rsid w:val="00AB3133"/>
    <w:rsid w:val="00AB3430"/>
    <w:rsid w:val="00AB45E6"/>
    <w:rsid w:val="00AB4AD1"/>
    <w:rsid w:val="00AB5216"/>
    <w:rsid w:val="00AB5C05"/>
    <w:rsid w:val="00AB71F5"/>
    <w:rsid w:val="00AB7CFA"/>
    <w:rsid w:val="00AB7D9F"/>
    <w:rsid w:val="00AC14FB"/>
    <w:rsid w:val="00AC1B53"/>
    <w:rsid w:val="00AC2C1E"/>
    <w:rsid w:val="00AC3003"/>
    <w:rsid w:val="00AC3922"/>
    <w:rsid w:val="00AC3A72"/>
    <w:rsid w:val="00AC4482"/>
    <w:rsid w:val="00AC5B48"/>
    <w:rsid w:val="00AC5DE9"/>
    <w:rsid w:val="00AC6111"/>
    <w:rsid w:val="00AC660C"/>
    <w:rsid w:val="00AC6B4E"/>
    <w:rsid w:val="00AC6C37"/>
    <w:rsid w:val="00AC6CFE"/>
    <w:rsid w:val="00AC724D"/>
    <w:rsid w:val="00AC79A7"/>
    <w:rsid w:val="00AC7C9B"/>
    <w:rsid w:val="00AD13C8"/>
    <w:rsid w:val="00AD1650"/>
    <w:rsid w:val="00AD1DFE"/>
    <w:rsid w:val="00AD26C5"/>
    <w:rsid w:val="00AD27C8"/>
    <w:rsid w:val="00AD286C"/>
    <w:rsid w:val="00AD435E"/>
    <w:rsid w:val="00AD46AD"/>
    <w:rsid w:val="00AD4D47"/>
    <w:rsid w:val="00AD5E0D"/>
    <w:rsid w:val="00AD6502"/>
    <w:rsid w:val="00AD6952"/>
    <w:rsid w:val="00AD7DF6"/>
    <w:rsid w:val="00AE086B"/>
    <w:rsid w:val="00AE1066"/>
    <w:rsid w:val="00AE1A3B"/>
    <w:rsid w:val="00AE2135"/>
    <w:rsid w:val="00AE28A1"/>
    <w:rsid w:val="00AE2A94"/>
    <w:rsid w:val="00AE2AD2"/>
    <w:rsid w:val="00AE2EC8"/>
    <w:rsid w:val="00AE3E19"/>
    <w:rsid w:val="00AE402B"/>
    <w:rsid w:val="00AE524F"/>
    <w:rsid w:val="00AE5748"/>
    <w:rsid w:val="00AE5869"/>
    <w:rsid w:val="00AE5D72"/>
    <w:rsid w:val="00AE6198"/>
    <w:rsid w:val="00AE64C9"/>
    <w:rsid w:val="00AE64FF"/>
    <w:rsid w:val="00AE6A74"/>
    <w:rsid w:val="00AE6FAB"/>
    <w:rsid w:val="00AE76DC"/>
    <w:rsid w:val="00AF0800"/>
    <w:rsid w:val="00AF1315"/>
    <w:rsid w:val="00AF1463"/>
    <w:rsid w:val="00AF19BF"/>
    <w:rsid w:val="00AF1E66"/>
    <w:rsid w:val="00AF21E2"/>
    <w:rsid w:val="00AF2DC3"/>
    <w:rsid w:val="00AF2E1D"/>
    <w:rsid w:val="00AF35D1"/>
    <w:rsid w:val="00AF43DD"/>
    <w:rsid w:val="00AF54F2"/>
    <w:rsid w:val="00AF5E64"/>
    <w:rsid w:val="00AF645D"/>
    <w:rsid w:val="00AF6695"/>
    <w:rsid w:val="00AF742F"/>
    <w:rsid w:val="00AF7B8B"/>
    <w:rsid w:val="00AF7F8E"/>
    <w:rsid w:val="00B00080"/>
    <w:rsid w:val="00B032C1"/>
    <w:rsid w:val="00B033E5"/>
    <w:rsid w:val="00B03A63"/>
    <w:rsid w:val="00B0429B"/>
    <w:rsid w:val="00B04EC4"/>
    <w:rsid w:val="00B05E83"/>
    <w:rsid w:val="00B05F25"/>
    <w:rsid w:val="00B0695E"/>
    <w:rsid w:val="00B06F95"/>
    <w:rsid w:val="00B10DDA"/>
    <w:rsid w:val="00B11664"/>
    <w:rsid w:val="00B11D40"/>
    <w:rsid w:val="00B129F5"/>
    <w:rsid w:val="00B12A3F"/>
    <w:rsid w:val="00B13899"/>
    <w:rsid w:val="00B139DD"/>
    <w:rsid w:val="00B1452F"/>
    <w:rsid w:val="00B145D1"/>
    <w:rsid w:val="00B1477A"/>
    <w:rsid w:val="00B14AB2"/>
    <w:rsid w:val="00B14E92"/>
    <w:rsid w:val="00B150F4"/>
    <w:rsid w:val="00B1632D"/>
    <w:rsid w:val="00B16B94"/>
    <w:rsid w:val="00B170B8"/>
    <w:rsid w:val="00B17498"/>
    <w:rsid w:val="00B177DF"/>
    <w:rsid w:val="00B201A4"/>
    <w:rsid w:val="00B210FF"/>
    <w:rsid w:val="00B213A6"/>
    <w:rsid w:val="00B21624"/>
    <w:rsid w:val="00B22BCE"/>
    <w:rsid w:val="00B231CA"/>
    <w:rsid w:val="00B2335B"/>
    <w:rsid w:val="00B2347A"/>
    <w:rsid w:val="00B242E0"/>
    <w:rsid w:val="00B24BC8"/>
    <w:rsid w:val="00B24DF6"/>
    <w:rsid w:val="00B25819"/>
    <w:rsid w:val="00B265B3"/>
    <w:rsid w:val="00B2692C"/>
    <w:rsid w:val="00B27663"/>
    <w:rsid w:val="00B300DF"/>
    <w:rsid w:val="00B3059A"/>
    <w:rsid w:val="00B310F4"/>
    <w:rsid w:val="00B31760"/>
    <w:rsid w:val="00B319B6"/>
    <w:rsid w:val="00B322A7"/>
    <w:rsid w:val="00B32AF6"/>
    <w:rsid w:val="00B338A9"/>
    <w:rsid w:val="00B338F7"/>
    <w:rsid w:val="00B339F0"/>
    <w:rsid w:val="00B33A3F"/>
    <w:rsid w:val="00B33B52"/>
    <w:rsid w:val="00B33E26"/>
    <w:rsid w:val="00B34FE2"/>
    <w:rsid w:val="00B357D8"/>
    <w:rsid w:val="00B3799D"/>
    <w:rsid w:val="00B37BFC"/>
    <w:rsid w:val="00B400DF"/>
    <w:rsid w:val="00B40358"/>
    <w:rsid w:val="00B4040C"/>
    <w:rsid w:val="00B4049B"/>
    <w:rsid w:val="00B40966"/>
    <w:rsid w:val="00B41614"/>
    <w:rsid w:val="00B41952"/>
    <w:rsid w:val="00B41DD9"/>
    <w:rsid w:val="00B42262"/>
    <w:rsid w:val="00B42851"/>
    <w:rsid w:val="00B42F80"/>
    <w:rsid w:val="00B435CB"/>
    <w:rsid w:val="00B43FB8"/>
    <w:rsid w:val="00B4426E"/>
    <w:rsid w:val="00B444DE"/>
    <w:rsid w:val="00B44792"/>
    <w:rsid w:val="00B45110"/>
    <w:rsid w:val="00B45302"/>
    <w:rsid w:val="00B4533B"/>
    <w:rsid w:val="00B4536C"/>
    <w:rsid w:val="00B45519"/>
    <w:rsid w:val="00B460FE"/>
    <w:rsid w:val="00B46666"/>
    <w:rsid w:val="00B47A0B"/>
    <w:rsid w:val="00B506AC"/>
    <w:rsid w:val="00B509B0"/>
    <w:rsid w:val="00B50DB8"/>
    <w:rsid w:val="00B5200E"/>
    <w:rsid w:val="00B52536"/>
    <w:rsid w:val="00B52F2C"/>
    <w:rsid w:val="00B5315D"/>
    <w:rsid w:val="00B53654"/>
    <w:rsid w:val="00B538F6"/>
    <w:rsid w:val="00B53905"/>
    <w:rsid w:val="00B53DE3"/>
    <w:rsid w:val="00B5403A"/>
    <w:rsid w:val="00B545AC"/>
    <w:rsid w:val="00B54B5B"/>
    <w:rsid w:val="00B54E38"/>
    <w:rsid w:val="00B55366"/>
    <w:rsid w:val="00B55518"/>
    <w:rsid w:val="00B55543"/>
    <w:rsid w:val="00B5562E"/>
    <w:rsid w:val="00B55F59"/>
    <w:rsid w:val="00B561F6"/>
    <w:rsid w:val="00B56590"/>
    <w:rsid w:val="00B569E5"/>
    <w:rsid w:val="00B57000"/>
    <w:rsid w:val="00B579A3"/>
    <w:rsid w:val="00B607AB"/>
    <w:rsid w:val="00B60939"/>
    <w:rsid w:val="00B60AFD"/>
    <w:rsid w:val="00B60E36"/>
    <w:rsid w:val="00B61AF1"/>
    <w:rsid w:val="00B6210B"/>
    <w:rsid w:val="00B62213"/>
    <w:rsid w:val="00B62715"/>
    <w:rsid w:val="00B62A32"/>
    <w:rsid w:val="00B62C61"/>
    <w:rsid w:val="00B634E8"/>
    <w:rsid w:val="00B6373C"/>
    <w:rsid w:val="00B644A5"/>
    <w:rsid w:val="00B646B3"/>
    <w:rsid w:val="00B656BF"/>
    <w:rsid w:val="00B65712"/>
    <w:rsid w:val="00B65C58"/>
    <w:rsid w:val="00B660C2"/>
    <w:rsid w:val="00B663A1"/>
    <w:rsid w:val="00B66956"/>
    <w:rsid w:val="00B6725F"/>
    <w:rsid w:val="00B679C6"/>
    <w:rsid w:val="00B707C3"/>
    <w:rsid w:val="00B70AA6"/>
    <w:rsid w:val="00B70AB9"/>
    <w:rsid w:val="00B711BF"/>
    <w:rsid w:val="00B71F1F"/>
    <w:rsid w:val="00B7233F"/>
    <w:rsid w:val="00B72433"/>
    <w:rsid w:val="00B7307D"/>
    <w:rsid w:val="00B744A7"/>
    <w:rsid w:val="00B75032"/>
    <w:rsid w:val="00B757E1"/>
    <w:rsid w:val="00B7652D"/>
    <w:rsid w:val="00B76664"/>
    <w:rsid w:val="00B76C9D"/>
    <w:rsid w:val="00B779DA"/>
    <w:rsid w:val="00B77B59"/>
    <w:rsid w:val="00B77F4E"/>
    <w:rsid w:val="00B80831"/>
    <w:rsid w:val="00B80970"/>
    <w:rsid w:val="00B80F83"/>
    <w:rsid w:val="00B81652"/>
    <w:rsid w:val="00B818A4"/>
    <w:rsid w:val="00B830EB"/>
    <w:rsid w:val="00B835F7"/>
    <w:rsid w:val="00B836AC"/>
    <w:rsid w:val="00B83A2A"/>
    <w:rsid w:val="00B83BC0"/>
    <w:rsid w:val="00B84117"/>
    <w:rsid w:val="00B84AA5"/>
    <w:rsid w:val="00B84AC1"/>
    <w:rsid w:val="00B84C9B"/>
    <w:rsid w:val="00B85AA2"/>
    <w:rsid w:val="00B85D79"/>
    <w:rsid w:val="00B8649C"/>
    <w:rsid w:val="00B86975"/>
    <w:rsid w:val="00B86D96"/>
    <w:rsid w:val="00B87184"/>
    <w:rsid w:val="00B8742A"/>
    <w:rsid w:val="00B878CE"/>
    <w:rsid w:val="00B8793B"/>
    <w:rsid w:val="00B87F0A"/>
    <w:rsid w:val="00B9016E"/>
    <w:rsid w:val="00B9056E"/>
    <w:rsid w:val="00B9057D"/>
    <w:rsid w:val="00B91226"/>
    <w:rsid w:val="00B91E07"/>
    <w:rsid w:val="00B92D0B"/>
    <w:rsid w:val="00B92D8E"/>
    <w:rsid w:val="00B93A56"/>
    <w:rsid w:val="00B93E7F"/>
    <w:rsid w:val="00B9411C"/>
    <w:rsid w:val="00B94207"/>
    <w:rsid w:val="00B94343"/>
    <w:rsid w:val="00B94924"/>
    <w:rsid w:val="00B94945"/>
    <w:rsid w:val="00B94D33"/>
    <w:rsid w:val="00B94D7A"/>
    <w:rsid w:val="00B95718"/>
    <w:rsid w:val="00B9782C"/>
    <w:rsid w:val="00B97D90"/>
    <w:rsid w:val="00B97FBD"/>
    <w:rsid w:val="00BA01DB"/>
    <w:rsid w:val="00BA0218"/>
    <w:rsid w:val="00BA05E4"/>
    <w:rsid w:val="00BA0614"/>
    <w:rsid w:val="00BA0763"/>
    <w:rsid w:val="00BA0E74"/>
    <w:rsid w:val="00BA1009"/>
    <w:rsid w:val="00BA2CBD"/>
    <w:rsid w:val="00BA2D28"/>
    <w:rsid w:val="00BA2F4B"/>
    <w:rsid w:val="00BA322D"/>
    <w:rsid w:val="00BA477B"/>
    <w:rsid w:val="00BA4A21"/>
    <w:rsid w:val="00BA4A9C"/>
    <w:rsid w:val="00BA5ADB"/>
    <w:rsid w:val="00BA5ADD"/>
    <w:rsid w:val="00BA5FB4"/>
    <w:rsid w:val="00BA6059"/>
    <w:rsid w:val="00BA6A63"/>
    <w:rsid w:val="00BA6FFA"/>
    <w:rsid w:val="00BA72E4"/>
    <w:rsid w:val="00BA7F26"/>
    <w:rsid w:val="00BB0710"/>
    <w:rsid w:val="00BB0BDD"/>
    <w:rsid w:val="00BB119E"/>
    <w:rsid w:val="00BB1B2A"/>
    <w:rsid w:val="00BB25E1"/>
    <w:rsid w:val="00BB2A73"/>
    <w:rsid w:val="00BB2A8E"/>
    <w:rsid w:val="00BB35C9"/>
    <w:rsid w:val="00BB3BA9"/>
    <w:rsid w:val="00BB4ACC"/>
    <w:rsid w:val="00BB5072"/>
    <w:rsid w:val="00BB50D7"/>
    <w:rsid w:val="00BB5ACE"/>
    <w:rsid w:val="00BB67CF"/>
    <w:rsid w:val="00BB683C"/>
    <w:rsid w:val="00BB703E"/>
    <w:rsid w:val="00BB709E"/>
    <w:rsid w:val="00BB7405"/>
    <w:rsid w:val="00BB76CC"/>
    <w:rsid w:val="00BB79BD"/>
    <w:rsid w:val="00BC1EAD"/>
    <w:rsid w:val="00BC3631"/>
    <w:rsid w:val="00BC41D6"/>
    <w:rsid w:val="00BC459A"/>
    <w:rsid w:val="00BC45E6"/>
    <w:rsid w:val="00BC4B7F"/>
    <w:rsid w:val="00BC559C"/>
    <w:rsid w:val="00BC582C"/>
    <w:rsid w:val="00BC615A"/>
    <w:rsid w:val="00BC64AE"/>
    <w:rsid w:val="00BC6F37"/>
    <w:rsid w:val="00BC7729"/>
    <w:rsid w:val="00BC7EA5"/>
    <w:rsid w:val="00BD079B"/>
    <w:rsid w:val="00BD0CC1"/>
    <w:rsid w:val="00BD0E80"/>
    <w:rsid w:val="00BD156C"/>
    <w:rsid w:val="00BD2349"/>
    <w:rsid w:val="00BD24DB"/>
    <w:rsid w:val="00BD25A3"/>
    <w:rsid w:val="00BD2E2F"/>
    <w:rsid w:val="00BD3577"/>
    <w:rsid w:val="00BD48A8"/>
    <w:rsid w:val="00BD5543"/>
    <w:rsid w:val="00BD5C47"/>
    <w:rsid w:val="00BD68A3"/>
    <w:rsid w:val="00BD6938"/>
    <w:rsid w:val="00BD6CF3"/>
    <w:rsid w:val="00BD78E3"/>
    <w:rsid w:val="00BD7B4E"/>
    <w:rsid w:val="00BD7E6A"/>
    <w:rsid w:val="00BE05FF"/>
    <w:rsid w:val="00BE091C"/>
    <w:rsid w:val="00BE0A19"/>
    <w:rsid w:val="00BE0E3F"/>
    <w:rsid w:val="00BE1792"/>
    <w:rsid w:val="00BE18C3"/>
    <w:rsid w:val="00BE1B76"/>
    <w:rsid w:val="00BE1DD4"/>
    <w:rsid w:val="00BE2180"/>
    <w:rsid w:val="00BE21F2"/>
    <w:rsid w:val="00BE2AF4"/>
    <w:rsid w:val="00BE2F6C"/>
    <w:rsid w:val="00BE4275"/>
    <w:rsid w:val="00BE4360"/>
    <w:rsid w:val="00BE4714"/>
    <w:rsid w:val="00BE4D98"/>
    <w:rsid w:val="00BE684B"/>
    <w:rsid w:val="00BE68F8"/>
    <w:rsid w:val="00BE7453"/>
    <w:rsid w:val="00BF0D2B"/>
    <w:rsid w:val="00BF0F95"/>
    <w:rsid w:val="00BF1DCB"/>
    <w:rsid w:val="00BF2433"/>
    <w:rsid w:val="00BF2BA9"/>
    <w:rsid w:val="00BF2D15"/>
    <w:rsid w:val="00BF52E7"/>
    <w:rsid w:val="00BF61C9"/>
    <w:rsid w:val="00BF627E"/>
    <w:rsid w:val="00BF6585"/>
    <w:rsid w:val="00BF68FE"/>
    <w:rsid w:val="00BF6C94"/>
    <w:rsid w:val="00C00424"/>
    <w:rsid w:val="00C00F3C"/>
    <w:rsid w:val="00C0117F"/>
    <w:rsid w:val="00C011DD"/>
    <w:rsid w:val="00C01983"/>
    <w:rsid w:val="00C01F10"/>
    <w:rsid w:val="00C02BB7"/>
    <w:rsid w:val="00C02BEB"/>
    <w:rsid w:val="00C03BC4"/>
    <w:rsid w:val="00C04535"/>
    <w:rsid w:val="00C0513A"/>
    <w:rsid w:val="00C05AB9"/>
    <w:rsid w:val="00C05B66"/>
    <w:rsid w:val="00C05B77"/>
    <w:rsid w:val="00C05DA0"/>
    <w:rsid w:val="00C060EB"/>
    <w:rsid w:val="00C06A85"/>
    <w:rsid w:val="00C06C37"/>
    <w:rsid w:val="00C07046"/>
    <w:rsid w:val="00C0774E"/>
    <w:rsid w:val="00C07E57"/>
    <w:rsid w:val="00C1049A"/>
    <w:rsid w:val="00C10990"/>
    <w:rsid w:val="00C11920"/>
    <w:rsid w:val="00C11D0A"/>
    <w:rsid w:val="00C121EE"/>
    <w:rsid w:val="00C12C14"/>
    <w:rsid w:val="00C132AE"/>
    <w:rsid w:val="00C13D27"/>
    <w:rsid w:val="00C13E80"/>
    <w:rsid w:val="00C15275"/>
    <w:rsid w:val="00C15689"/>
    <w:rsid w:val="00C1603E"/>
    <w:rsid w:val="00C169FC"/>
    <w:rsid w:val="00C174E6"/>
    <w:rsid w:val="00C17884"/>
    <w:rsid w:val="00C179F7"/>
    <w:rsid w:val="00C200AA"/>
    <w:rsid w:val="00C20EDB"/>
    <w:rsid w:val="00C22541"/>
    <w:rsid w:val="00C23493"/>
    <w:rsid w:val="00C237ED"/>
    <w:rsid w:val="00C23906"/>
    <w:rsid w:val="00C24632"/>
    <w:rsid w:val="00C250CA"/>
    <w:rsid w:val="00C25418"/>
    <w:rsid w:val="00C25584"/>
    <w:rsid w:val="00C25D9C"/>
    <w:rsid w:val="00C267EC"/>
    <w:rsid w:val="00C26B53"/>
    <w:rsid w:val="00C27076"/>
    <w:rsid w:val="00C27445"/>
    <w:rsid w:val="00C2778B"/>
    <w:rsid w:val="00C27A03"/>
    <w:rsid w:val="00C27A9C"/>
    <w:rsid w:val="00C30979"/>
    <w:rsid w:val="00C31649"/>
    <w:rsid w:val="00C31C91"/>
    <w:rsid w:val="00C31F35"/>
    <w:rsid w:val="00C32209"/>
    <w:rsid w:val="00C32F38"/>
    <w:rsid w:val="00C331B5"/>
    <w:rsid w:val="00C33552"/>
    <w:rsid w:val="00C3398A"/>
    <w:rsid w:val="00C339DF"/>
    <w:rsid w:val="00C33C43"/>
    <w:rsid w:val="00C341A0"/>
    <w:rsid w:val="00C34A84"/>
    <w:rsid w:val="00C34F67"/>
    <w:rsid w:val="00C3502D"/>
    <w:rsid w:val="00C3507D"/>
    <w:rsid w:val="00C350C3"/>
    <w:rsid w:val="00C35546"/>
    <w:rsid w:val="00C36217"/>
    <w:rsid w:val="00C363CD"/>
    <w:rsid w:val="00C366A7"/>
    <w:rsid w:val="00C36E1A"/>
    <w:rsid w:val="00C36ED4"/>
    <w:rsid w:val="00C37201"/>
    <w:rsid w:val="00C37728"/>
    <w:rsid w:val="00C4033C"/>
    <w:rsid w:val="00C40385"/>
    <w:rsid w:val="00C40A8F"/>
    <w:rsid w:val="00C40B93"/>
    <w:rsid w:val="00C40DD7"/>
    <w:rsid w:val="00C410B2"/>
    <w:rsid w:val="00C41DEC"/>
    <w:rsid w:val="00C4262B"/>
    <w:rsid w:val="00C43034"/>
    <w:rsid w:val="00C4310E"/>
    <w:rsid w:val="00C43E0C"/>
    <w:rsid w:val="00C443C4"/>
    <w:rsid w:val="00C44F70"/>
    <w:rsid w:val="00C45E63"/>
    <w:rsid w:val="00C465B1"/>
    <w:rsid w:val="00C46ACE"/>
    <w:rsid w:val="00C475AA"/>
    <w:rsid w:val="00C5072F"/>
    <w:rsid w:val="00C50AC5"/>
    <w:rsid w:val="00C51060"/>
    <w:rsid w:val="00C51EF1"/>
    <w:rsid w:val="00C51F0F"/>
    <w:rsid w:val="00C532A9"/>
    <w:rsid w:val="00C5366D"/>
    <w:rsid w:val="00C54008"/>
    <w:rsid w:val="00C542EB"/>
    <w:rsid w:val="00C54685"/>
    <w:rsid w:val="00C54CC6"/>
    <w:rsid w:val="00C56B2B"/>
    <w:rsid w:val="00C611F3"/>
    <w:rsid w:val="00C6170A"/>
    <w:rsid w:val="00C617D3"/>
    <w:rsid w:val="00C61BC1"/>
    <w:rsid w:val="00C61DF8"/>
    <w:rsid w:val="00C61E7E"/>
    <w:rsid w:val="00C638B0"/>
    <w:rsid w:val="00C63BAE"/>
    <w:rsid w:val="00C646FB"/>
    <w:rsid w:val="00C64D15"/>
    <w:rsid w:val="00C65576"/>
    <w:rsid w:val="00C66165"/>
    <w:rsid w:val="00C667B7"/>
    <w:rsid w:val="00C67590"/>
    <w:rsid w:val="00C675B0"/>
    <w:rsid w:val="00C67802"/>
    <w:rsid w:val="00C709AA"/>
    <w:rsid w:val="00C7151A"/>
    <w:rsid w:val="00C71700"/>
    <w:rsid w:val="00C71F60"/>
    <w:rsid w:val="00C72241"/>
    <w:rsid w:val="00C726FA"/>
    <w:rsid w:val="00C72B7C"/>
    <w:rsid w:val="00C738EC"/>
    <w:rsid w:val="00C73AF0"/>
    <w:rsid w:val="00C74105"/>
    <w:rsid w:val="00C750C8"/>
    <w:rsid w:val="00C752A9"/>
    <w:rsid w:val="00C7537D"/>
    <w:rsid w:val="00C7560F"/>
    <w:rsid w:val="00C76978"/>
    <w:rsid w:val="00C775C4"/>
    <w:rsid w:val="00C7789F"/>
    <w:rsid w:val="00C778F6"/>
    <w:rsid w:val="00C77B80"/>
    <w:rsid w:val="00C80A0E"/>
    <w:rsid w:val="00C81662"/>
    <w:rsid w:val="00C81F76"/>
    <w:rsid w:val="00C8213F"/>
    <w:rsid w:val="00C8288D"/>
    <w:rsid w:val="00C8291A"/>
    <w:rsid w:val="00C82C88"/>
    <w:rsid w:val="00C82D42"/>
    <w:rsid w:val="00C832E5"/>
    <w:rsid w:val="00C835D1"/>
    <w:rsid w:val="00C836B4"/>
    <w:rsid w:val="00C842E0"/>
    <w:rsid w:val="00C851E6"/>
    <w:rsid w:val="00C8566D"/>
    <w:rsid w:val="00C862EE"/>
    <w:rsid w:val="00C86AC7"/>
    <w:rsid w:val="00C86D78"/>
    <w:rsid w:val="00C8701D"/>
    <w:rsid w:val="00C87357"/>
    <w:rsid w:val="00C8797A"/>
    <w:rsid w:val="00C87A03"/>
    <w:rsid w:val="00C87B9C"/>
    <w:rsid w:val="00C9003F"/>
    <w:rsid w:val="00C900B8"/>
    <w:rsid w:val="00C90323"/>
    <w:rsid w:val="00C903B5"/>
    <w:rsid w:val="00C905CE"/>
    <w:rsid w:val="00C90949"/>
    <w:rsid w:val="00C90B58"/>
    <w:rsid w:val="00C90C71"/>
    <w:rsid w:val="00C92B1D"/>
    <w:rsid w:val="00C931CF"/>
    <w:rsid w:val="00C93541"/>
    <w:rsid w:val="00C938CF"/>
    <w:rsid w:val="00C93975"/>
    <w:rsid w:val="00C9535E"/>
    <w:rsid w:val="00C95763"/>
    <w:rsid w:val="00C95781"/>
    <w:rsid w:val="00C95FA8"/>
    <w:rsid w:val="00C960C0"/>
    <w:rsid w:val="00C9624D"/>
    <w:rsid w:val="00C965FD"/>
    <w:rsid w:val="00C969DA"/>
    <w:rsid w:val="00C96DAC"/>
    <w:rsid w:val="00C96FB5"/>
    <w:rsid w:val="00C9794F"/>
    <w:rsid w:val="00C97B6A"/>
    <w:rsid w:val="00CA0090"/>
    <w:rsid w:val="00CA0B0E"/>
    <w:rsid w:val="00CA0F87"/>
    <w:rsid w:val="00CA106D"/>
    <w:rsid w:val="00CA18E9"/>
    <w:rsid w:val="00CA2523"/>
    <w:rsid w:val="00CA2C36"/>
    <w:rsid w:val="00CA2C77"/>
    <w:rsid w:val="00CA2F6A"/>
    <w:rsid w:val="00CA31BA"/>
    <w:rsid w:val="00CA3512"/>
    <w:rsid w:val="00CA444F"/>
    <w:rsid w:val="00CA4C51"/>
    <w:rsid w:val="00CA5245"/>
    <w:rsid w:val="00CA5993"/>
    <w:rsid w:val="00CA5B32"/>
    <w:rsid w:val="00CA5F80"/>
    <w:rsid w:val="00CA600C"/>
    <w:rsid w:val="00CA682F"/>
    <w:rsid w:val="00CA71F4"/>
    <w:rsid w:val="00CA784E"/>
    <w:rsid w:val="00CA7B09"/>
    <w:rsid w:val="00CA7B4B"/>
    <w:rsid w:val="00CB0698"/>
    <w:rsid w:val="00CB085D"/>
    <w:rsid w:val="00CB0BF9"/>
    <w:rsid w:val="00CB1836"/>
    <w:rsid w:val="00CB23E8"/>
    <w:rsid w:val="00CB2F06"/>
    <w:rsid w:val="00CB2F2A"/>
    <w:rsid w:val="00CB3135"/>
    <w:rsid w:val="00CB3345"/>
    <w:rsid w:val="00CB3EB8"/>
    <w:rsid w:val="00CB3F53"/>
    <w:rsid w:val="00CB447B"/>
    <w:rsid w:val="00CB4B9D"/>
    <w:rsid w:val="00CB4E46"/>
    <w:rsid w:val="00CB50C9"/>
    <w:rsid w:val="00CB5B1A"/>
    <w:rsid w:val="00CB5EBD"/>
    <w:rsid w:val="00CB6030"/>
    <w:rsid w:val="00CB64CE"/>
    <w:rsid w:val="00CB6870"/>
    <w:rsid w:val="00CB69C6"/>
    <w:rsid w:val="00CB6B22"/>
    <w:rsid w:val="00CB6E0D"/>
    <w:rsid w:val="00CB6E40"/>
    <w:rsid w:val="00CB729B"/>
    <w:rsid w:val="00CB781C"/>
    <w:rsid w:val="00CB7A26"/>
    <w:rsid w:val="00CB7AEA"/>
    <w:rsid w:val="00CB7DC9"/>
    <w:rsid w:val="00CB7F5F"/>
    <w:rsid w:val="00CC0296"/>
    <w:rsid w:val="00CC04E2"/>
    <w:rsid w:val="00CC072E"/>
    <w:rsid w:val="00CC09B1"/>
    <w:rsid w:val="00CC1423"/>
    <w:rsid w:val="00CC1ABE"/>
    <w:rsid w:val="00CC1B39"/>
    <w:rsid w:val="00CC1C7E"/>
    <w:rsid w:val="00CC1F63"/>
    <w:rsid w:val="00CC2911"/>
    <w:rsid w:val="00CC29DE"/>
    <w:rsid w:val="00CC2A26"/>
    <w:rsid w:val="00CC2C02"/>
    <w:rsid w:val="00CC4667"/>
    <w:rsid w:val="00CC4670"/>
    <w:rsid w:val="00CC4AA0"/>
    <w:rsid w:val="00CC61CD"/>
    <w:rsid w:val="00CC631C"/>
    <w:rsid w:val="00CC638D"/>
    <w:rsid w:val="00CC665C"/>
    <w:rsid w:val="00CC6CE2"/>
    <w:rsid w:val="00CC6F16"/>
    <w:rsid w:val="00CC724D"/>
    <w:rsid w:val="00CC783A"/>
    <w:rsid w:val="00CC7B59"/>
    <w:rsid w:val="00CC7F50"/>
    <w:rsid w:val="00CD0DF5"/>
    <w:rsid w:val="00CD1234"/>
    <w:rsid w:val="00CD12B7"/>
    <w:rsid w:val="00CD1871"/>
    <w:rsid w:val="00CD2B50"/>
    <w:rsid w:val="00CD30EC"/>
    <w:rsid w:val="00CD3AC1"/>
    <w:rsid w:val="00CD4030"/>
    <w:rsid w:val="00CD4EE5"/>
    <w:rsid w:val="00CD50F0"/>
    <w:rsid w:val="00CD56FD"/>
    <w:rsid w:val="00CD61F0"/>
    <w:rsid w:val="00CD696C"/>
    <w:rsid w:val="00CD6ADC"/>
    <w:rsid w:val="00CD6B78"/>
    <w:rsid w:val="00CD72E9"/>
    <w:rsid w:val="00CD793C"/>
    <w:rsid w:val="00CD7A78"/>
    <w:rsid w:val="00CE0F15"/>
    <w:rsid w:val="00CE24EF"/>
    <w:rsid w:val="00CE2F30"/>
    <w:rsid w:val="00CE2FE8"/>
    <w:rsid w:val="00CE319A"/>
    <w:rsid w:val="00CE482E"/>
    <w:rsid w:val="00CE4906"/>
    <w:rsid w:val="00CE585D"/>
    <w:rsid w:val="00CE5F60"/>
    <w:rsid w:val="00CE605A"/>
    <w:rsid w:val="00CE6274"/>
    <w:rsid w:val="00CE6F14"/>
    <w:rsid w:val="00CE714C"/>
    <w:rsid w:val="00CE79B6"/>
    <w:rsid w:val="00CF02D7"/>
    <w:rsid w:val="00CF0CEE"/>
    <w:rsid w:val="00CF1CD1"/>
    <w:rsid w:val="00CF2B8D"/>
    <w:rsid w:val="00CF2DE4"/>
    <w:rsid w:val="00CF2E23"/>
    <w:rsid w:val="00CF3685"/>
    <w:rsid w:val="00CF3C04"/>
    <w:rsid w:val="00CF3ECC"/>
    <w:rsid w:val="00CF456B"/>
    <w:rsid w:val="00CF45FE"/>
    <w:rsid w:val="00CF50CD"/>
    <w:rsid w:val="00CF5288"/>
    <w:rsid w:val="00CF5A22"/>
    <w:rsid w:val="00CF5A75"/>
    <w:rsid w:val="00CF638A"/>
    <w:rsid w:val="00CF70DF"/>
    <w:rsid w:val="00CF755C"/>
    <w:rsid w:val="00CF7901"/>
    <w:rsid w:val="00D00098"/>
    <w:rsid w:val="00D0106F"/>
    <w:rsid w:val="00D011D3"/>
    <w:rsid w:val="00D02542"/>
    <w:rsid w:val="00D0262E"/>
    <w:rsid w:val="00D03F72"/>
    <w:rsid w:val="00D04CAD"/>
    <w:rsid w:val="00D0528E"/>
    <w:rsid w:val="00D061B9"/>
    <w:rsid w:val="00D069C6"/>
    <w:rsid w:val="00D0711D"/>
    <w:rsid w:val="00D07887"/>
    <w:rsid w:val="00D07964"/>
    <w:rsid w:val="00D10216"/>
    <w:rsid w:val="00D10744"/>
    <w:rsid w:val="00D10A3E"/>
    <w:rsid w:val="00D10E9E"/>
    <w:rsid w:val="00D110BD"/>
    <w:rsid w:val="00D115B8"/>
    <w:rsid w:val="00D11E29"/>
    <w:rsid w:val="00D1208D"/>
    <w:rsid w:val="00D1216A"/>
    <w:rsid w:val="00D121F0"/>
    <w:rsid w:val="00D12610"/>
    <w:rsid w:val="00D1266C"/>
    <w:rsid w:val="00D13675"/>
    <w:rsid w:val="00D141E1"/>
    <w:rsid w:val="00D14FF3"/>
    <w:rsid w:val="00D150F1"/>
    <w:rsid w:val="00D15739"/>
    <w:rsid w:val="00D15CC4"/>
    <w:rsid w:val="00D16211"/>
    <w:rsid w:val="00D1656C"/>
    <w:rsid w:val="00D16C8E"/>
    <w:rsid w:val="00D16CC5"/>
    <w:rsid w:val="00D1715F"/>
    <w:rsid w:val="00D1749D"/>
    <w:rsid w:val="00D17D6C"/>
    <w:rsid w:val="00D210D4"/>
    <w:rsid w:val="00D2165C"/>
    <w:rsid w:val="00D2192E"/>
    <w:rsid w:val="00D2312D"/>
    <w:rsid w:val="00D23158"/>
    <w:rsid w:val="00D241D1"/>
    <w:rsid w:val="00D269CF"/>
    <w:rsid w:val="00D26DFB"/>
    <w:rsid w:val="00D2742B"/>
    <w:rsid w:val="00D27444"/>
    <w:rsid w:val="00D2754D"/>
    <w:rsid w:val="00D27B27"/>
    <w:rsid w:val="00D27CE3"/>
    <w:rsid w:val="00D27CEA"/>
    <w:rsid w:val="00D307D5"/>
    <w:rsid w:val="00D310CE"/>
    <w:rsid w:val="00D3146C"/>
    <w:rsid w:val="00D31A55"/>
    <w:rsid w:val="00D31C81"/>
    <w:rsid w:val="00D31D6C"/>
    <w:rsid w:val="00D32B0D"/>
    <w:rsid w:val="00D32C48"/>
    <w:rsid w:val="00D3362F"/>
    <w:rsid w:val="00D33BE9"/>
    <w:rsid w:val="00D34AF3"/>
    <w:rsid w:val="00D35505"/>
    <w:rsid w:val="00D357FF"/>
    <w:rsid w:val="00D363C0"/>
    <w:rsid w:val="00D36641"/>
    <w:rsid w:val="00D370B2"/>
    <w:rsid w:val="00D3754C"/>
    <w:rsid w:val="00D37892"/>
    <w:rsid w:val="00D37F62"/>
    <w:rsid w:val="00D4014B"/>
    <w:rsid w:val="00D40226"/>
    <w:rsid w:val="00D409C0"/>
    <w:rsid w:val="00D42152"/>
    <w:rsid w:val="00D4221E"/>
    <w:rsid w:val="00D424C7"/>
    <w:rsid w:val="00D43421"/>
    <w:rsid w:val="00D4387A"/>
    <w:rsid w:val="00D43A2B"/>
    <w:rsid w:val="00D43B2A"/>
    <w:rsid w:val="00D43BED"/>
    <w:rsid w:val="00D43D57"/>
    <w:rsid w:val="00D44A51"/>
    <w:rsid w:val="00D451D8"/>
    <w:rsid w:val="00D456E5"/>
    <w:rsid w:val="00D464C7"/>
    <w:rsid w:val="00D46958"/>
    <w:rsid w:val="00D47575"/>
    <w:rsid w:val="00D475F7"/>
    <w:rsid w:val="00D507D2"/>
    <w:rsid w:val="00D50805"/>
    <w:rsid w:val="00D51B14"/>
    <w:rsid w:val="00D51C1D"/>
    <w:rsid w:val="00D53010"/>
    <w:rsid w:val="00D533E8"/>
    <w:rsid w:val="00D535C6"/>
    <w:rsid w:val="00D53F1B"/>
    <w:rsid w:val="00D544EB"/>
    <w:rsid w:val="00D566EF"/>
    <w:rsid w:val="00D56F86"/>
    <w:rsid w:val="00D57248"/>
    <w:rsid w:val="00D57333"/>
    <w:rsid w:val="00D57578"/>
    <w:rsid w:val="00D575E6"/>
    <w:rsid w:val="00D5799A"/>
    <w:rsid w:val="00D60089"/>
    <w:rsid w:val="00D601E3"/>
    <w:rsid w:val="00D60A6E"/>
    <w:rsid w:val="00D61184"/>
    <w:rsid w:val="00D6125F"/>
    <w:rsid w:val="00D61FE3"/>
    <w:rsid w:val="00D6214B"/>
    <w:rsid w:val="00D6378C"/>
    <w:rsid w:val="00D63A1F"/>
    <w:rsid w:val="00D63C41"/>
    <w:rsid w:val="00D64D62"/>
    <w:rsid w:val="00D65216"/>
    <w:rsid w:val="00D653E6"/>
    <w:rsid w:val="00D65809"/>
    <w:rsid w:val="00D65901"/>
    <w:rsid w:val="00D66E5B"/>
    <w:rsid w:val="00D672C7"/>
    <w:rsid w:val="00D67739"/>
    <w:rsid w:val="00D67B2D"/>
    <w:rsid w:val="00D70064"/>
    <w:rsid w:val="00D70CDF"/>
    <w:rsid w:val="00D70E8E"/>
    <w:rsid w:val="00D70F16"/>
    <w:rsid w:val="00D713E9"/>
    <w:rsid w:val="00D71508"/>
    <w:rsid w:val="00D71A29"/>
    <w:rsid w:val="00D72110"/>
    <w:rsid w:val="00D723CB"/>
    <w:rsid w:val="00D7327E"/>
    <w:rsid w:val="00D736D9"/>
    <w:rsid w:val="00D737B8"/>
    <w:rsid w:val="00D74747"/>
    <w:rsid w:val="00D747E8"/>
    <w:rsid w:val="00D74E65"/>
    <w:rsid w:val="00D7506D"/>
    <w:rsid w:val="00D750DE"/>
    <w:rsid w:val="00D75333"/>
    <w:rsid w:val="00D75463"/>
    <w:rsid w:val="00D754D5"/>
    <w:rsid w:val="00D756C4"/>
    <w:rsid w:val="00D75CB0"/>
    <w:rsid w:val="00D76070"/>
    <w:rsid w:val="00D76A44"/>
    <w:rsid w:val="00D76D54"/>
    <w:rsid w:val="00D77319"/>
    <w:rsid w:val="00D807FF"/>
    <w:rsid w:val="00D815EF"/>
    <w:rsid w:val="00D817C4"/>
    <w:rsid w:val="00D8183E"/>
    <w:rsid w:val="00D843F4"/>
    <w:rsid w:val="00D84518"/>
    <w:rsid w:val="00D84709"/>
    <w:rsid w:val="00D85379"/>
    <w:rsid w:val="00D859E6"/>
    <w:rsid w:val="00D85B1A"/>
    <w:rsid w:val="00D85F95"/>
    <w:rsid w:val="00D86278"/>
    <w:rsid w:val="00D86619"/>
    <w:rsid w:val="00D86B43"/>
    <w:rsid w:val="00D87FED"/>
    <w:rsid w:val="00D90CCA"/>
    <w:rsid w:val="00D90ED4"/>
    <w:rsid w:val="00D91491"/>
    <w:rsid w:val="00D91923"/>
    <w:rsid w:val="00D91B11"/>
    <w:rsid w:val="00D91BAA"/>
    <w:rsid w:val="00D91C61"/>
    <w:rsid w:val="00D9306E"/>
    <w:rsid w:val="00D9316F"/>
    <w:rsid w:val="00D935EA"/>
    <w:rsid w:val="00D93753"/>
    <w:rsid w:val="00D93D0A"/>
    <w:rsid w:val="00D93FCE"/>
    <w:rsid w:val="00D94941"/>
    <w:rsid w:val="00D9500D"/>
    <w:rsid w:val="00D9534A"/>
    <w:rsid w:val="00D954C1"/>
    <w:rsid w:val="00D962B8"/>
    <w:rsid w:val="00D96FCC"/>
    <w:rsid w:val="00D972DF"/>
    <w:rsid w:val="00D97363"/>
    <w:rsid w:val="00D97D70"/>
    <w:rsid w:val="00DA02E4"/>
    <w:rsid w:val="00DA0958"/>
    <w:rsid w:val="00DA14D4"/>
    <w:rsid w:val="00DA20C4"/>
    <w:rsid w:val="00DA2134"/>
    <w:rsid w:val="00DA3009"/>
    <w:rsid w:val="00DA3167"/>
    <w:rsid w:val="00DA3301"/>
    <w:rsid w:val="00DA334D"/>
    <w:rsid w:val="00DA3F84"/>
    <w:rsid w:val="00DA414C"/>
    <w:rsid w:val="00DA4798"/>
    <w:rsid w:val="00DA4BD6"/>
    <w:rsid w:val="00DA4BF9"/>
    <w:rsid w:val="00DA4D8E"/>
    <w:rsid w:val="00DA4DC3"/>
    <w:rsid w:val="00DA6138"/>
    <w:rsid w:val="00DA61EC"/>
    <w:rsid w:val="00DA68D7"/>
    <w:rsid w:val="00DA77A5"/>
    <w:rsid w:val="00DA77FC"/>
    <w:rsid w:val="00DA7E72"/>
    <w:rsid w:val="00DA7EB0"/>
    <w:rsid w:val="00DA7F49"/>
    <w:rsid w:val="00DB0F83"/>
    <w:rsid w:val="00DB1890"/>
    <w:rsid w:val="00DB410B"/>
    <w:rsid w:val="00DB484F"/>
    <w:rsid w:val="00DB4D93"/>
    <w:rsid w:val="00DB51AB"/>
    <w:rsid w:val="00DB543F"/>
    <w:rsid w:val="00DB57FD"/>
    <w:rsid w:val="00DB5CA7"/>
    <w:rsid w:val="00DB679E"/>
    <w:rsid w:val="00DB7DAE"/>
    <w:rsid w:val="00DC0032"/>
    <w:rsid w:val="00DC04F6"/>
    <w:rsid w:val="00DC09B7"/>
    <w:rsid w:val="00DC0BBB"/>
    <w:rsid w:val="00DC1E53"/>
    <w:rsid w:val="00DC2562"/>
    <w:rsid w:val="00DC36C5"/>
    <w:rsid w:val="00DC3C57"/>
    <w:rsid w:val="00DC4108"/>
    <w:rsid w:val="00DC422E"/>
    <w:rsid w:val="00DC428A"/>
    <w:rsid w:val="00DC4923"/>
    <w:rsid w:val="00DC4CC8"/>
    <w:rsid w:val="00DC5501"/>
    <w:rsid w:val="00DC63E1"/>
    <w:rsid w:val="00DC647F"/>
    <w:rsid w:val="00DC684D"/>
    <w:rsid w:val="00DC6C06"/>
    <w:rsid w:val="00DC6C34"/>
    <w:rsid w:val="00DC70EC"/>
    <w:rsid w:val="00DC75AB"/>
    <w:rsid w:val="00DC797C"/>
    <w:rsid w:val="00DD0123"/>
    <w:rsid w:val="00DD0178"/>
    <w:rsid w:val="00DD0681"/>
    <w:rsid w:val="00DD0692"/>
    <w:rsid w:val="00DD0AA4"/>
    <w:rsid w:val="00DD0C27"/>
    <w:rsid w:val="00DD17AB"/>
    <w:rsid w:val="00DD200D"/>
    <w:rsid w:val="00DD273C"/>
    <w:rsid w:val="00DD3295"/>
    <w:rsid w:val="00DD32A2"/>
    <w:rsid w:val="00DD33BE"/>
    <w:rsid w:val="00DD37DE"/>
    <w:rsid w:val="00DD3A7E"/>
    <w:rsid w:val="00DD3F28"/>
    <w:rsid w:val="00DD413A"/>
    <w:rsid w:val="00DD4537"/>
    <w:rsid w:val="00DD4E15"/>
    <w:rsid w:val="00DD4E9B"/>
    <w:rsid w:val="00DD5678"/>
    <w:rsid w:val="00DD5D20"/>
    <w:rsid w:val="00DD6B28"/>
    <w:rsid w:val="00DD6C80"/>
    <w:rsid w:val="00DE14C0"/>
    <w:rsid w:val="00DE186C"/>
    <w:rsid w:val="00DE1D4C"/>
    <w:rsid w:val="00DE1E68"/>
    <w:rsid w:val="00DE3138"/>
    <w:rsid w:val="00DE35A3"/>
    <w:rsid w:val="00DE36DA"/>
    <w:rsid w:val="00DE37F8"/>
    <w:rsid w:val="00DE3B5B"/>
    <w:rsid w:val="00DE3E05"/>
    <w:rsid w:val="00DE4326"/>
    <w:rsid w:val="00DE4D89"/>
    <w:rsid w:val="00DE4DD5"/>
    <w:rsid w:val="00DE4FCB"/>
    <w:rsid w:val="00DE55D4"/>
    <w:rsid w:val="00DE567A"/>
    <w:rsid w:val="00DE56B2"/>
    <w:rsid w:val="00DE6304"/>
    <w:rsid w:val="00DE6652"/>
    <w:rsid w:val="00DE685C"/>
    <w:rsid w:val="00DE6909"/>
    <w:rsid w:val="00DE7191"/>
    <w:rsid w:val="00DE7206"/>
    <w:rsid w:val="00DE73E6"/>
    <w:rsid w:val="00DE782C"/>
    <w:rsid w:val="00DE7832"/>
    <w:rsid w:val="00DF0A10"/>
    <w:rsid w:val="00DF18FC"/>
    <w:rsid w:val="00DF1FBF"/>
    <w:rsid w:val="00DF2CC6"/>
    <w:rsid w:val="00DF2F21"/>
    <w:rsid w:val="00DF4088"/>
    <w:rsid w:val="00DF4A0B"/>
    <w:rsid w:val="00DF54F5"/>
    <w:rsid w:val="00DF5D2B"/>
    <w:rsid w:val="00DF6010"/>
    <w:rsid w:val="00DF66B8"/>
    <w:rsid w:val="00DF6795"/>
    <w:rsid w:val="00DF724D"/>
    <w:rsid w:val="00DF7733"/>
    <w:rsid w:val="00E000A3"/>
    <w:rsid w:val="00E00E8E"/>
    <w:rsid w:val="00E01D24"/>
    <w:rsid w:val="00E01F30"/>
    <w:rsid w:val="00E01FF5"/>
    <w:rsid w:val="00E0279B"/>
    <w:rsid w:val="00E0280A"/>
    <w:rsid w:val="00E033AA"/>
    <w:rsid w:val="00E04FB9"/>
    <w:rsid w:val="00E05630"/>
    <w:rsid w:val="00E067C6"/>
    <w:rsid w:val="00E06DBB"/>
    <w:rsid w:val="00E10149"/>
    <w:rsid w:val="00E10864"/>
    <w:rsid w:val="00E10A94"/>
    <w:rsid w:val="00E11310"/>
    <w:rsid w:val="00E11557"/>
    <w:rsid w:val="00E116BC"/>
    <w:rsid w:val="00E12809"/>
    <w:rsid w:val="00E130CB"/>
    <w:rsid w:val="00E13525"/>
    <w:rsid w:val="00E136AC"/>
    <w:rsid w:val="00E13EAF"/>
    <w:rsid w:val="00E1478D"/>
    <w:rsid w:val="00E14DB3"/>
    <w:rsid w:val="00E153BC"/>
    <w:rsid w:val="00E155CE"/>
    <w:rsid w:val="00E15C07"/>
    <w:rsid w:val="00E16205"/>
    <w:rsid w:val="00E16372"/>
    <w:rsid w:val="00E16803"/>
    <w:rsid w:val="00E16A94"/>
    <w:rsid w:val="00E16D3D"/>
    <w:rsid w:val="00E16F15"/>
    <w:rsid w:val="00E2070C"/>
    <w:rsid w:val="00E209FD"/>
    <w:rsid w:val="00E20B01"/>
    <w:rsid w:val="00E20E4D"/>
    <w:rsid w:val="00E20ED6"/>
    <w:rsid w:val="00E21358"/>
    <w:rsid w:val="00E21606"/>
    <w:rsid w:val="00E21AFC"/>
    <w:rsid w:val="00E21DF3"/>
    <w:rsid w:val="00E2249B"/>
    <w:rsid w:val="00E226C0"/>
    <w:rsid w:val="00E22730"/>
    <w:rsid w:val="00E22A0D"/>
    <w:rsid w:val="00E2320E"/>
    <w:rsid w:val="00E240C3"/>
    <w:rsid w:val="00E24389"/>
    <w:rsid w:val="00E24968"/>
    <w:rsid w:val="00E249C1"/>
    <w:rsid w:val="00E24F49"/>
    <w:rsid w:val="00E26125"/>
    <w:rsid w:val="00E2723A"/>
    <w:rsid w:val="00E27581"/>
    <w:rsid w:val="00E2771E"/>
    <w:rsid w:val="00E30210"/>
    <w:rsid w:val="00E30E28"/>
    <w:rsid w:val="00E310FA"/>
    <w:rsid w:val="00E33997"/>
    <w:rsid w:val="00E33999"/>
    <w:rsid w:val="00E34948"/>
    <w:rsid w:val="00E34D27"/>
    <w:rsid w:val="00E3595C"/>
    <w:rsid w:val="00E3680F"/>
    <w:rsid w:val="00E36E80"/>
    <w:rsid w:val="00E37569"/>
    <w:rsid w:val="00E37833"/>
    <w:rsid w:val="00E37900"/>
    <w:rsid w:val="00E37C61"/>
    <w:rsid w:val="00E40F47"/>
    <w:rsid w:val="00E41E30"/>
    <w:rsid w:val="00E42448"/>
    <w:rsid w:val="00E427F2"/>
    <w:rsid w:val="00E429FF"/>
    <w:rsid w:val="00E42A05"/>
    <w:rsid w:val="00E431E9"/>
    <w:rsid w:val="00E4399E"/>
    <w:rsid w:val="00E43D70"/>
    <w:rsid w:val="00E440B6"/>
    <w:rsid w:val="00E441BA"/>
    <w:rsid w:val="00E44380"/>
    <w:rsid w:val="00E444A6"/>
    <w:rsid w:val="00E44630"/>
    <w:rsid w:val="00E44705"/>
    <w:rsid w:val="00E4495F"/>
    <w:rsid w:val="00E45FD9"/>
    <w:rsid w:val="00E466F3"/>
    <w:rsid w:val="00E46E06"/>
    <w:rsid w:val="00E47B2C"/>
    <w:rsid w:val="00E506B1"/>
    <w:rsid w:val="00E507DF"/>
    <w:rsid w:val="00E51560"/>
    <w:rsid w:val="00E51E7A"/>
    <w:rsid w:val="00E52658"/>
    <w:rsid w:val="00E52B6B"/>
    <w:rsid w:val="00E5300B"/>
    <w:rsid w:val="00E532A6"/>
    <w:rsid w:val="00E539E8"/>
    <w:rsid w:val="00E53F55"/>
    <w:rsid w:val="00E54347"/>
    <w:rsid w:val="00E547CB"/>
    <w:rsid w:val="00E548CD"/>
    <w:rsid w:val="00E54C4F"/>
    <w:rsid w:val="00E55424"/>
    <w:rsid w:val="00E55540"/>
    <w:rsid w:val="00E55685"/>
    <w:rsid w:val="00E55BB5"/>
    <w:rsid w:val="00E55D7E"/>
    <w:rsid w:val="00E56296"/>
    <w:rsid w:val="00E57770"/>
    <w:rsid w:val="00E57D7E"/>
    <w:rsid w:val="00E607C0"/>
    <w:rsid w:val="00E6087E"/>
    <w:rsid w:val="00E60BE9"/>
    <w:rsid w:val="00E62A93"/>
    <w:rsid w:val="00E63582"/>
    <w:rsid w:val="00E637CD"/>
    <w:rsid w:val="00E652A7"/>
    <w:rsid w:val="00E654D1"/>
    <w:rsid w:val="00E656BC"/>
    <w:rsid w:val="00E65E79"/>
    <w:rsid w:val="00E66699"/>
    <w:rsid w:val="00E66BA2"/>
    <w:rsid w:val="00E66EE6"/>
    <w:rsid w:val="00E6735C"/>
    <w:rsid w:val="00E67416"/>
    <w:rsid w:val="00E6747B"/>
    <w:rsid w:val="00E67E0C"/>
    <w:rsid w:val="00E67F94"/>
    <w:rsid w:val="00E71028"/>
    <w:rsid w:val="00E71073"/>
    <w:rsid w:val="00E718B6"/>
    <w:rsid w:val="00E71C82"/>
    <w:rsid w:val="00E723BA"/>
    <w:rsid w:val="00E7241C"/>
    <w:rsid w:val="00E724AA"/>
    <w:rsid w:val="00E72D25"/>
    <w:rsid w:val="00E73016"/>
    <w:rsid w:val="00E73581"/>
    <w:rsid w:val="00E73E79"/>
    <w:rsid w:val="00E74982"/>
    <w:rsid w:val="00E749F5"/>
    <w:rsid w:val="00E74A7E"/>
    <w:rsid w:val="00E758AC"/>
    <w:rsid w:val="00E75BD0"/>
    <w:rsid w:val="00E75FDA"/>
    <w:rsid w:val="00E76261"/>
    <w:rsid w:val="00E76273"/>
    <w:rsid w:val="00E76398"/>
    <w:rsid w:val="00E763F4"/>
    <w:rsid w:val="00E76C4C"/>
    <w:rsid w:val="00E7715A"/>
    <w:rsid w:val="00E773ED"/>
    <w:rsid w:val="00E77FBF"/>
    <w:rsid w:val="00E807EB"/>
    <w:rsid w:val="00E81614"/>
    <w:rsid w:val="00E833F7"/>
    <w:rsid w:val="00E83442"/>
    <w:rsid w:val="00E83BDF"/>
    <w:rsid w:val="00E83F01"/>
    <w:rsid w:val="00E83F12"/>
    <w:rsid w:val="00E84744"/>
    <w:rsid w:val="00E85674"/>
    <w:rsid w:val="00E85FB9"/>
    <w:rsid w:val="00E863AD"/>
    <w:rsid w:val="00E86C8E"/>
    <w:rsid w:val="00E877E8"/>
    <w:rsid w:val="00E87A1D"/>
    <w:rsid w:val="00E87FCB"/>
    <w:rsid w:val="00E904C8"/>
    <w:rsid w:val="00E90757"/>
    <w:rsid w:val="00E90E61"/>
    <w:rsid w:val="00E90EBD"/>
    <w:rsid w:val="00E910D9"/>
    <w:rsid w:val="00E926A5"/>
    <w:rsid w:val="00E92A2A"/>
    <w:rsid w:val="00E9324D"/>
    <w:rsid w:val="00E93584"/>
    <w:rsid w:val="00E93C92"/>
    <w:rsid w:val="00E9402D"/>
    <w:rsid w:val="00E950CC"/>
    <w:rsid w:val="00E9621A"/>
    <w:rsid w:val="00E96B3C"/>
    <w:rsid w:val="00E96DD8"/>
    <w:rsid w:val="00E977B0"/>
    <w:rsid w:val="00EA02E5"/>
    <w:rsid w:val="00EA0488"/>
    <w:rsid w:val="00EA07B3"/>
    <w:rsid w:val="00EA17C3"/>
    <w:rsid w:val="00EA2CAA"/>
    <w:rsid w:val="00EA2CFC"/>
    <w:rsid w:val="00EA381B"/>
    <w:rsid w:val="00EA3864"/>
    <w:rsid w:val="00EA3F5F"/>
    <w:rsid w:val="00EA4205"/>
    <w:rsid w:val="00EA50C5"/>
    <w:rsid w:val="00EA5932"/>
    <w:rsid w:val="00EA6113"/>
    <w:rsid w:val="00EA7419"/>
    <w:rsid w:val="00EA7BA8"/>
    <w:rsid w:val="00EA7C3E"/>
    <w:rsid w:val="00EB0100"/>
    <w:rsid w:val="00EB034F"/>
    <w:rsid w:val="00EB05E7"/>
    <w:rsid w:val="00EB072E"/>
    <w:rsid w:val="00EB0B4D"/>
    <w:rsid w:val="00EB0EE0"/>
    <w:rsid w:val="00EB15B6"/>
    <w:rsid w:val="00EB1A56"/>
    <w:rsid w:val="00EB1AE6"/>
    <w:rsid w:val="00EB25CA"/>
    <w:rsid w:val="00EB2C15"/>
    <w:rsid w:val="00EB3243"/>
    <w:rsid w:val="00EB3278"/>
    <w:rsid w:val="00EB32E4"/>
    <w:rsid w:val="00EB3AA2"/>
    <w:rsid w:val="00EB46A0"/>
    <w:rsid w:val="00EB4916"/>
    <w:rsid w:val="00EB4DBE"/>
    <w:rsid w:val="00EB5B53"/>
    <w:rsid w:val="00EB6501"/>
    <w:rsid w:val="00EB7FC7"/>
    <w:rsid w:val="00EC00C9"/>
    <w:rsid w:val="00EC0254"/>
    <w:rsid w:val="00EC045B"/>
    <w:rsid w:val="00EC0C0E"/>
    <w:rsid w:val="00EC1651"/>
    <w:rsid w:val="00EC180A"/>
    <w:rsid w:val="00EC215E"/>
    <w:rsid w:val="00EC2517"/>
    <w:rsid w:val="00EC2649"/>
    <w:rsid w:val="00EC2D1C"/>
    <w:rsid w:val="00EC2EEE"/>
    <w:rsid w:val="00EC3C1F"/>
    <w:rsid w:val="00EC3C53"/>
    <w:rsid w:val="00EC3D81"/>
    <w:rsid w:val="00EC4A91"/>
    <w:rsid w:val="00EC6B85"/>
    <w:rsid w:val="00EC70DA"/>
    <w:rsid w:val="00EC7D2A"/>
    <w:rsid w:val="00ED0E86"/>
    <w:rsid w:val="00ED1CEB"/>
    <w:rsid w:val="00ED1E48"/>
    <w:rsid w:val="00ED302F"/>
    <w:rsid w:val="00ED381A"/>
    <w:rsid w:val="00ED3EF4"/>
    <w:rsid w:val="00ED3EFF"/>
    <w:rsid w:val="00ED47AE"/>
    <w:rsid w:val="00ED47FC"/>
    <w:rsid w:val="00ED4D20"/>
    <w:rsid w:val="00ED4E5D"/>
    <w:rsid w:val="00ED5098"/>
    <w:rsid w:val="00ED57EA"/>
    <w:rsid w:val="00ED6139"/>
    <w:rsid w:val="00ED6BD4"/>
    <w:rsid w:val="00ED6CFB"/>
    <w:rsid w:val="00ED789C"/>
    <w:rsid w:val="00ED796B"/>
    <w:rsid w:val="00EE01B0"/>
    <w:rsid w:val="00EE06B7"/>
    <w:rsid w:val="00EE07D3"/>
    <w:rsid w:val="00EE0E63"/>
    <w:rsid w:val="00EE180F"/>
    <w:rsid w:val="00EE1A24"/>
    <w:rsid w:val="00EE22AF"/>
    <w:rsid w:val="00EE2636"/>
    <w:rsid w:val="00EE2FC8"/>
    <w:rsid w:val="00EE30C5"/>
    <w:rsid w:val="00EE3711"/>
    <w:rsid w:val="00EE3F08"/>
    <w:rsid w:val="00EE403D"/>
    <w:rsid w:val="00EE421B"/>
    <w:rsid w:val="00EE51EC"/>
    <w:rsid w:val="00EE529C"/>
    <w:rsid w:val="00EE582A"/>
    <w:rsid w:val="00EE60F5"/>
    <w:rsid w:val="00EE7B4B"/>
    <w:rsid w:val="00EF0171"/>
    <w:rsid w:val="00EF0D24"/>
    <w:rsid w:val="00EF1314"/>
    <w:rsid w:val="00EF18B9"/>
    <w:rsid w:val="00EF1B25"/>
    <w:rsid w:val="00EF1B2A"/>
    <w:rsid w:val="00EF3AE4"/>
    <w:rsid w:val="00EF3F22"/>
    <w:rsid w:val="00EF45B6"/>
    <w:rsid w:val="00EF4638"/>
    <w:rsid w:val="00EF4747"/>
    <w:rsid w:val="00EF4ABB"/>
    <w:rsid w:val="00EF4BA2"/>
    <w:rsid w:val="00EF4BF8"/>
    <w:rsid w:val="00EF4EF7"/>
    <w:rsid w:val="00EF508A"/>
    <w:rsid w:val="00EF538F"/>
    <w:rsid w:val="00EF5B0D"/>
    <w:rsid w:val="00EF5FD9"/>
    <w:rsid w:val="00EF6117"/>
    <w:rsid w:val="00EF617F"/>
    <w:rsid w:val="00EF62A5"/>
    <w:rsid w:val="00EF6636"/>
    <w:rsid w:val="00EF6CDA"/>
    <w:rsid w:val="00EF7999"/>
    <w:rsid w:val="00F00433"/>
    <w:rsid w:val="00F00449"/>
    <w:rsid w:val="00F004A2"/>
    <w:rsid w:val="00F00E44"/>
    <w:rsid w:val="00F010F8"/>
    <w:rsid w:val="00F01166"/>
    <w:rsid w:val="00F0215E"/>
    <w:rsid w:val="00F021AA"/>
    <w:rsid w:val="00F02253"/>
    <w:rsid w:val="00F0372E"/>
    <w:rsid w:val="00F03C2E"/>
    <w:rsid w:val="00F03E9E"/>
    <w:rsid w:val="00F03F85"/>
    <w:rsid w:val="00F04A66"/>
    <w:rsid w:val="00F04AD9"/>
    <w:rsid w:val="00F04DF4"/>
    <w:rsid w:val="00F0516C"/>
    <w:rsid w:val="00F058F0"/>
    <w:rsid w:val="00F06126"/>
    <w:rsid w:val="00F06677"/>
    <w:rsid w:val="00F067A2"/>
    <w:rsid w:val="00F06E45"/>
    <w:rsid w:val="00F06E4A"/>
    <w:rsid w:val="00F10179"/>
    <w:rsid w:val="00F10220"/>
    <w:rsid w:val="00F108DC"/>
    <w:rsid w:val="00F11238"/>
    <w:rsid w:val="00F1263A"/>
    <w:rsid w:val="00F13578"/>
    <w:rsid w:val="00F15207"/>
    <w:rsid w:val="00F1548D"/>
    <w:rsid w:val="00F1597F"/>
    <w:rsid w:val="00F15DB3"/>
    <w:rsid w:val="00F15ED7"/>
    <w:rsid w:val="00F1758B"/>
    <w:rsid w:val="00F17913"/>
    <w:rsid w:val="00F2030B"/>
    <w:rsid w:val="00F23863"/>
    <w:rsid w:val="00F24837"/>
    <w:rsid w:val="00F24EC7"/>
    <w:rsid w:val="00F2522B"/>
    <w:rsid w:val="00F2575F"/>
    <w:rsid w:val="00F2578D"/>
    <w:rsid w:val="00F27565"/>
    <w:rsid w:val="00F27C45"/>
    <w:rsid w:val="00F27CE6"/>
    <w:rsid w:val="00F310D4"/>
    <w:rsid w:val="00F311C6"/>
    <w:rsid w:val="00F31442"/>
    <w:rsid w:val="00F31B50"/>
    <w:rsid w:val="00F31D5A"/>
    <w:rsid w:val="00F31D6D"/>
    <w:rsid w:val="00F32776"/>
    <w:rsid w:val="00F32D5B"/>
    <w:rsid w:val="00F33476"/>
    <w:rsid w:val="00F334FC"/>
    <w:rsid w:val="00F33DE9"/>
    <w:rsid w:val="00F34052"/>
    <w:rsid w:val="00F34703"/>
    <w:rsid w:val="00F3534C"/>
    <w:rsid w:val="00F3619A"/>
    <w:rsid w:val="00F36203"/>
    <w:rsid w:val="00F365B7"/>
    <w:rsid w:val="00F36794"/>
    <w:rsid w:val="00F36EB2"/>
    <w:rsid w:val="00F376CA"/>
    <w:rsid w:val="00F37841"/>
    <w:rsid w:val="00F37A7C"/>
    <w:rsid w:val="00F37F89"/>
    <w:rsid w:val="00F40960"/>
    <w:rsid w:val="00F40AAA"/>
    <w:rsid w:val="00F40BA7"/>
    <w:rsid w:val="00F412EF"/>
    <w:rsid w:val="00F419EC"/>
    <w:rsid w:val="00F41AC9"/>
    <w:rsid w:val="00F4201D"/>
    <w:rsid w:val="00F42DD1"/>
    <w:rsid w:val="00F4338F"/>
    <w:rsid w:val="00F442CF"/>
    <w:rsid w:val="00F4466E"/>
    <w:rsid w:val="00F44ABA"/>
    <w:rsid w:val="00F45407"/>
    <w:rsid w:val="00F45EF4"/>
    <w:rsid w:val="00F46CB6"/>
    <w:rsid w:val="00F47361"/>
    <w:rsid w:val="00F474C2"/>
    <w:rsid w:val="00F47886"/>
    <w:rsid w:val="00F47CBD"/>
    <w:rsid w:val="00F47DE8"/>
    <w:rsid w:val="00F5030C"/>
    <w:rsid w:val="00F505B5"/>
    <w:rsid w:val="00F50718"/>
    <w:rsid w:val="00F512C9"/>
    <w:rsid w:val="00F515EB"/>
    <w:rsid w:val="00F5381C"/>
    <w:rsid w:val="00F53D0C"/>
    <w:rsid w:val="00F541D0"/>
    <w:rsid w:val="00F542C1"/>
    <w:rsid w:val="00F54361"/>
    <w:rsid w:val="00F5537F"/>
    <w:rsid w:val="00F55E73"/>
    <w:rsid w:val="00F55EDA"/>
    <w:rsid w:val="00F566D5"/>
    <w:rsid w:val="00F56C6F"/>
    <w:rsid w:val="00F56C74"/>
    <w:rsid w:val="00F57D8F"/>
    <w:rsid w:val="00F57EF3"/>
    <w:rsid w:val="00F60092"/>
    <w:rsid w:val="00F6014B"/>
    <w:rsid w:val="00F60ED0"/>
    <w:rsid w:val="00F62375"/>
    <w:rsid w:val="00F62508"/>
    <w:rsid w:val="00F627DF"/>
    <w:rsid w:val="00F627FE"/>
    <w:rsid w:val="00F6298F"/>
    <w:rsid w:val="00F62C30"/>
    <w:rsid w:val="00F6391F"/>
    <w:rsid w:val="00F63CD8"/>
    <w:rsid w:val="00F64D18"/>
    <w:rsid w:val="00F64E57"/>
    <w:rsid w:val="00F65F34"/>
    <w:rsid w:val="00F65F4B"/>
    <w:rsid w:val="00F6615D"/>
    <w:rsid w:val="00F6685D"/>
    <w:rsid w:val="00F66894"/>
    <w:rsid w:val="00F6693D"/>
    <w:rsid w:val="00F669C9"/>
    <w:rsid w:val="00F66D1A"/>
    <w:rsid w:val="00F67286"/>
    <w:rsid w:val="00F676DC"/>
    <w:rsid w:val="00F67A2B"/>
    <w:rsid w:val="00F709B2"/>
    <w:rsid w:val="00F70C9D"/>
    <w:rsid w:val="00F71D57"/>
    <w:rsid w:val="00F7406D"/>
    <w:rsid w:val="00F74243"/>
    <w:rsid w:val="00F74B66"/>
    <w:rsid w:val="00F74CD9"/>
    <w:rsid w:val="00F74F6B"/>
    <w:rsid w:val="00F75027"/>
    <w:rsid w:val="00F75F01"/>
    <w:rsid w:val="00F76146"/>
    <w:rsid w:val="00F76B3B"/>
    <w:rsid w:val="00F802D6"/>
    <w:rsid w:val="00F80A7B"/>
    <w:rsid w:val="00F80BA2"/>
    <w:rsid w:val="00F80E5D"/>
    <w:rsid w:val="00F812B3"/>
    <w:rsid w:val="00F81556"/>
    <w:rsid w:val="00F81A4D"/>
    <w:rsid w:val="00F82819"/>
    <w:rsid w:val="00F83232"/>
    <w:rsid w:val="00F83B1E"/>
    <w:rsid w:val="00F8429F"/>
    <w:rsid w:val="00F846BA"/>
    <w:rsid w:val="00F84F71"/>
    <w:rsid w:val="00F851CE"/>
    <w:rsid w:val="00F856F9"/>
    <w:rsid w:val="00F85883"/>
    <w:rsid w:val="00F85ACE"/>
    <w:rsid w:val="00F85BF0"/>
    <w:rsid w:val="00F878A1"/>
    <w:rsid w:val="00F9014F"/>
    <w:rsid w:val="00F9074B"/>
    <w:rsid w:val="00F90B1E"/>
    <w:rsid w:val="00F90F74"/>
    <w:rsid w:val="00F91175"/>
    <w:rsid w:val="00F91196"/>
    <w:rsid w:val="00F91219"/>
    <w:rsid w:val="00F9222A"/>
    <w:rsid w:val="00F93462"/>
    <w:rsid w:val="00F94101"/>
    <w:rsid w:val="00F948D5"/>
    <w:rsid w:val="00F95A48"/>
    <w:rsid w:val="00F96A2A"/>
    <w:rsid w:val="00F96D16"/>
    <w:rsid w:val="00F97A78"/>
    <w:rsid w:val="00F97FC8"/>
    <w:rsid w:val="00FA001C"/>
    <w:rsid w:val="00FA0A6A"/>
    <w:rsid w:val="00FA0B20"/>
    <w:rsid w:val="00FA0D91"/>
    <w:rsid w:val="00FA0F3A"/>
    <w:rsid w:val="00FA1082"/>
    <w:rsid w:val="00FA11C6"/>
    <w:rsid w:val="00FA15CC"/>
    <w:rsid w:val="00FA161A"/>
    <w:rsid w:val="00FA1BD5"/>
    <w:rsid w:val="00FA1C9A"/>
    <w:rsid w:val="00FA1D68"/>
    <w:rsid w:val="00FA24E7"/>
    <w:rsid w:val="00FA317B"/>
    <w:rsid w:val="00FA3207"/>
    <w:rsid w:val="00FA36C8"/>
    <w:rsid w:val="00FA4582"/>
    <w:rsid w:val="00FA4A29"/>
    <w:rsid w:val="00FA5838"/>
    <w:rsid w:val="00FA5A02"/>
    <w:rsid w:val="00FA61AF"/>
    <w:rsid w:val="00FA667D"/>
    <w:rsid w:val="00FA722B"/>
    <w:rsid w:val="00FA73F0"/>
    <w:rsid w:val="00FA77AC"/>
    <w:rsid w:val="00FB02AD"/>
    <w:rsid w:val="00FB09A1"/>
    <w:rsid w:val="00FB0F46"/>
    <w:rsid w:val="00FB24A5"/>
    <w:rsid w:val="00FB2FCB"/>
    <w:rsid w:val="00FB32DF"/>
    <w:rsid w:val="00FB3EC3"/>
    <w:rsid w:val="00FB3EE7"/>
    <w:rsid w:val="00FB471D"/>
    <w:rsid w:val="00FB4AA2"/>
    <w:rsid w:val="00FB6D35"/>
    <w:rsid w:val="00FB7276"/>
    <w:rsid w:val="00FC07B4"/>
    <w:rsid w:val="00FC0A72"/>
    <w:rsid w:val="00FC0BEA"/>
    <w:rsid w:val="00FC0F6F"/>
    <w:rsid w:val="00FC1074"/>
    <w:rsid w:val="00FC14B1"/>
    <w:rsid w:val="00FC1884"/>
    <w:rsid w:val="00FC19E8"/>
    <w:rsid w:val="00FC1F44"/>
    <w:rsid w:val="00FC2C6C"/>
    <w:rsid w:val="00FC2C8E"/>
    <w:rsid w:val="00FC306D"/>
    <w:rsid w:val="00FC371D"/>
    <w:rsid w:val="00FC3721"/>
    <w:rsid w:val="00FC380B"/>
    <w:rsid w:val="00FC3EFB"/>
    <w:rsid w:val="00FC474D"/>
    <w:rsid w:val="00FC4A24"/>
    <w:rsid w:val="00FC5227"/>
    <w:rsid w:val="00FC58B6"/>
    <w:rsid w:val="00FC5C92"/>
    <w:rsid w:val="00FC5E95"/>
    <w:rsid w:val="00FC5F0B"/>
    <w:rsid w:val="00FC60EA"/>
    <w:rsid w:val="00FC6550"/>
    <w:rsid w:val="00FC6AAF"/>
    <w:rsid w:val="00FC7CE8"/>
    <w:rsid w:val="00FC7D0C"/>
    <w:rsid w:val="00FC7E9E"/>
    <w:rsid w:val="00FD0128"/>
    <w:rsid w:val="00FD04A0"/>
    <w:rsid w:val="00FD082A"/>
    <w:rsid w:val="00FD0B6D"/>
    <w:rsid w:val="00FD0E80"/>
    <w:rsid w:val="00FD139E"/>
    <w:rsid w:val="00FD1F6C"/>
    <w:rsid w:val="00FD2100"/>
    <w:rsid w:val="00FD330C"/>
    <w:rsid w:val="00FD38D3"/>
    <w:rsid w:val="00FD3B8A"/>
    <w:rsid w:val="00FD41BF"/>
    <w:rsid w:val="00FD436C"/>
    <w:rsid w:val="00FD446D"/>
    <w:rsid w:val="00FD4682"/>
    <w:rsid w:val="00FD598B"/>
    <w:rsid w:val="00FD60D5"/>
    <w:rsid w:val="00FD6394"/>
    <w:rsid w:val="00FD648A"/>
    <w:rsid w:val="00FD69CC"/>
    <w:rsid w:val="00FD6AB9"/>
    <w:rsid w:val="00FE0E6C"/>
    <w:rsid w:val="00FE192D"/>
    <w:rsid w:val="00FE2229"/>
    <w:rsid w:val="00FE23DF"/>
    <w:rsid w:val="00FE3A82"/>
    <w:rsid w:val="00FE4712"/>
    <w:rsid w:val="00FE5074"/>
    <w:rsid w:val="00FE5F40"/>
    <w:rsid w:val="00FE5FF1"/>
    <w:rsid w:val="00FE709D"/>
    <w:rsid w:val="00FE70C3"/>
    <w:rsid w:val="00FE7452"/>
    <w:rsid w:val="00FE78B9"/>
    <w:rsid w:val="00FF160F"/>
    <w:rsid w:val="00FF2CA1"/>
    <w:rsid w:val="00FF2FD7"/>
    <w:rsid w:val="00FF3B42"/>
    <w:rsid w:val="00FF3DCF"/>
    <w:rsid w:val="00FF492C"/>
    <w:rsid w:val="00FF4A21"/>
    <w:rsid w:val="00FF54B4"/>
    <w:rsid w:val="00FF5AA3"/>
    <w:rsid w:val="00FF5AD8"/>
    <w:rsid w:val="00FF63F1"/>
    <w:rsid w:val="00FF6637"/>
    <w:rsid w:val="00FF7389"/>
    <w:rsid w:val="00FF73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D8B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2AE"/>
    <w:pPr>
      <w:jc w:val="both"/>
    </w:pPr>
    <w:rPr>
      <w:rFonts w:ascii="Calibri" w:hAnsi="Calibri"/>
      <w:sz w:val="24"/>
      <w:szCs w:val="24"/>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D87FED"/>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87FED"/>
    <w:rPr>
      <w:rFonts w:ascii="Calibri" w:hAnsi="Calibri"/>
      <w:b/>
      <w:i/>
      <w:sz w:val="28"/>
      <w:szCs w:val="24"/>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PBAC Caption Tables + Figures,B Caption,IB Caption,Medical Caption,Bayer Caption,Caption2,Caption Char1 Char,Caption Char Char Char,Caption Char1 Char Char Char,Caption Char Char Char Char Char,Caption Char Char1 Char,Caption Char1 Char1"/>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PBAC Caption Tables + Figures Char,B Caption Char,IB Caption Char,Medical Caption Char,Bayer Caption Char,Caption2 Char,Caption Char1 Char Char,Caption Char Char Char Char,Caption Char1 Char Char Char Char,Caption Char Char1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Styl moj,Akapit z listą11,Table Legend"/>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Styl moj Char,Akapit z listą11 Char,Table Legend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PBAC Table Footnote"/>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PBAC table,new sty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99"/>
    <w:qFormat/>
    <w:rsid w:val="00A518F3"/>
    <w:rPr>
      <w:rFonts w:ascii="Arial Narrow" w:hAnsi="Arial Narrow"/>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pPr>
    <w:rPr>
      <w:rFonts w:ascii="Arial Narrow" w:hAnsi="Arial Narrow" w:cs="Arial Narrow"/>
      <w:b/>
      <w:bCs/>
      <w:snapToGrid w:val="0"/>
      <w:sz w:val="20"/>
    </w:rPr>
  </w:style>
  <w:style w:type="paragraph" w:customStyle="1" w:styleId="Corpsdetextemarge">
    <w:name w:val="Corps de texte marge"/>
    <w:basedOn w:val="BodyText"/>
    <w:uiPriority w:val="99"/>
    <w:rsid w:val="008F48EB"/>
    <w:rPr>
      <w:rFonts w:ascii="Times" w:hAnsi="Times"/>
      <w:snapToGrid w:val="0"/>
      <w:lang w:val="en-US"/>
    </w:rPr>
  </w:style>
  <w:style w:type="paragraph" w:styleId="NormalWeb">
    <w:name w:val="Normal (Web)"/>
    <w:basedOn w:val="Normal"/>
    <w:uiPriority w:val="99"/>
    <w:rsid w:val="008F48EB"/>
    <w:pPr>
      <w:spacing w:before="100" w:after="100"/>
    </w:pPr>
    <w:rPr>
      <w:snapToGrid w:val="0"/>
      <w:lang w:val="en-GB"/>
    </w:rPr>
  </w:style>
  <w:style w:type="paragraph" w:styleId="TOC2">
    <w:name w:val="toc 2"/>
    <w:basedOn w:val="Normal"/>
    <w:next w:val="Normal"/>
    <w:autoRedefine/>
    <w:uiPriority w:val="39"/>
    <w:rsid w:val="0092161A"/>
    <w:pPr>
      <w:tabs>
        <w:tab w:val="left" w:pos="713"/>
        <w:tab w:val="left" w:pos="880"/>
        <w:tab w:val="right" w:leader="dot" w:pos="9016"/>
      </w:tabs>
      <w:spacing w:before="40"/>
      <w:ind w:left="221"/>
    </w:pPr>
    <w:rPr>
      <w:iCs/>
      <w:sz w:val="20"/>
    </w:rPr>
  </w:style>
  <w:style w:type="paragraph" w:styleId="TOC1">
    <w:name w:val="toc 1"/>
    <w:basedOn w:val="Normal"/>
    <w:next w:val="Normal"/>
    <w:autoRedefine/>
    <w:uiPriority w:val="39"/>
    <w:rsid w:val="00D0262E"/>
    <w:pPr>
      <w:spacing w:before="240" w:after="120"/>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pPr>
    <w:rPr>
      <w:rFonts w:asciiTheme="minorHAnsi" w:hAnsiTheme="minorHAnsi"/>
      <w:sz w:val="20"/>
    </w:rPr>
  </w:style>
  <w:style w:type="paragraph" w:styleId="TOC4">
    <w:name w:val="toc 4"/>
    <w:basedOn w:val="Normal"/>
    <w:next w:val="Normal"/>
    <w:autoRedefine/>
    <w:rsid w:val="00D0262E"/>
    <w:pPr>
      <w:ind w:left="660"/>
    </w:pPr>
    <w:rPr>
      <w:rFonts w:asciiTheme="minorHAnsi" w:hAnsiTheme="minorHAnsi"/>
      <w:sz w:val="20"/>
    </w:rPr>
  </w:style>
  <w:style w:type="paragraph" w:styleId="TOC5">
    <w:name w:val="toc 5"/>
    <w:basedOn w:val="Normal"/>
    <w:next w:val="Normal"/>
    <w:autoRedefine/>
    <w:rsid w:val="00D0262E"/>
    <w:pPr>
      <w:ind w:left="880"/>
    </w:pPr>
    <w:rPr>
      <w:rFonts w:asciiTheme="minorHAnsi" w:hAnsiTheme="minorHAnsi"/>
      <w:sz w:val="20"/>
    </w:rPr>
  </w:style>
  <w:style w:type="paragraph" w:styleId="TOC6">
    <w:name w:val="toc 6"/>
    <w:basedOn w:val="Normal"/>
    <w:next w:val="Normal"/>
    <w:autoRedefine/>
    <w:rsid w:val="00D0262E"/>
    <w:pPr>
      <w:ind w:left="1100"/>
    </w:pPr>
    <w:rPr>
      <w:rFonts w:asciiTheme="minorHAnsi" w:hAnsiTheme="minorHAnsi"/>
      <w:sz w:val="20"/>
    </w:rPr>
  </w:style>
  <w:style w:type="paragraph" w:styleId="TOC7">
    <w:name w:val="toc 7"/>
    <w:basedOn w:val="Normal"/>
    <w:next w:val="Normal"/>
    <w:autoRedefine/>
    <w:rsid w:val="00D0262E"/>
    <w:pPr>
      <w:ind w:left="1320"/>
    </w:pPr>
    <w:rPr>
      <w:rFonts w:asciiTheme="minorHAnsi" w:hAnsiTheme="minorHAnsi"/>
      <w:sz w:val="20"/>
    </w:rPr>
  </w:style>
  <w:style w:type="paragraph" w:styleId="TOC8">
    <w:name w:val="toc 8"/>
    <w:basedOn w:val="Normal"/>
    <w:next w:val="Normal"/>
    <w:autoRedefine/>
    <w:rsid w:val="00D0262E"/>
    <w:pPr>
      <w:ind w:left="1540"/>
    </w:pPr>
    <w:rPr>
      <w:rFonts w:asciiTheme="minorHAnsi" w:hAnsiTheme="minorHAnsi"/>
      <w:sz w:val="20"/>
    </w:rPr>
  </w:style>
  <w:style w:type="paragraph" w:styleId="TOC9">
    <w:name w:val="toc 9"/>
    <w:basedOn w:val="Normal"/>
    <w:next w:val="Normal"/>
    <w:autoRedefine/>
    <w:rsid w:val="00D0262E"/>
    <w:pPr>
      <w:ind w:left="1760"/>
    </w:pPr>
    <w:rPr>
      <w:rFonts w:asciiTheme="minorHAnsi" w:hAnsiTheme="minorHAnsi"/>
      <w:sz w:val="20"/>
    </w:rPr>
  </w:style>
  <w:style w:type="paragraph" w:styleId="CommentText">
    <w:name w:val="annotation text"/>
    <w:basedOn w:val="Normal"/>
    <w:link w:val="CommentTextChar"/>
    <w:uiPriority w:val="99"/>
    <w:rsid w:val="00FD2100"/>
    <w:rPr>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3"/>
      </w:numPr>
      <w:spacing w:after="0"/>
    </w:pPr>
  </w:style>
  <w:style w:type="paragraph" w:customStyle="1" w:styleId="TableName">
    <w:name w:val="TableName"/>
    <w:basedOn w:val="Normal"/>
    <w:rsid w:val="00CA7B09"/>
    <w:pPr>
      <w:keepNext/>
      <w:spacing w:before="120" w:after="120"/>
      <w:ind w:left="1800" w:hanging="1080"/>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D87FED"/>
    <w:pPr>
      <w:keepNext/>
      <w:numPr>
        <w:numId w:val="2"/>
      </w:numPr>
      <w:spacing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FootnoteText">
    <w:name w:val="footnote text"/>
    <w:basedOn w:val="Normal"/>
    <w:link w:val="FootnoteTextChar"/>
    <w:uiPriority w:val="99"/>
    <w:unhideWhenUsed/>
    <w:rsid w:val="00C81F76"/>
    <w:pPr>
      <w:adjustRightInd w:val="0"/>
      <w:snapToGrid w:val="0"/>
    </w:pPr>
    <w:rPr>
      <w:rFonts w:ascii="Cambria" w:eastAsia="MS Mincho" w:hAnsi="Cambria"/>
      <w:snapToGrid w:val="0"/>
      <w:sz w:val="20"/>
      <w:szCs w:val="20"/>
      <w:lang w:eastAsia="ja-JP"/>
    </w:rPr>
  </w:style>
  <w:style w:type="character" w:customStyle="1" w:styleId="FootnoteTextChar">
    <w:name w:val="Footnote Text Char"/>
    <w:basedOn w:val="DefaultParagraphFont"/>
    <w:link w:val="FootnoteText"/>
    <w:uiPriority w:val="99"/>
    <w:rsid w:val="00C81F76"/>
    <w:rPr>
      <w:rFonts w:ascii="Cambria" w:eastAsia="MS Mincho" w:hAnsi="Cambria"/>
      <w:lang w:eastAsia="ja-JP"/>
    </w:rPr>
  </w:style>
  <w:style w:type="character" w:styleId="FootnoteReference">
    <w:name w:val="footnote reference"/>
    <w:basedOn w:val="DefaultParagraphFont"/>
    <w:uiPriority w:val="99"/>
    <w:unhideWhenUsed/>
    <w:rsid w:val="00C81F76"/>
    <w:rPr>
      <w:vertAlign w:val="superscript"/>
    </w:rPr>
  </w:style>
  <w:style w:type="paragraph" w:customStyle="1" w:styleId="PBACHeading5notnumbered">
    <w:name w:val="PBAC Heading 5 not numbered"/>
    <w:basedOn w:val="Heading5"/>
    <w:link w:val="PBACHeading5notnumberedChar"/>
    <w:qFormat/>
    <w:rsid w:val="00397722"/>
    <w:pPr>
      <w:keepNext/>
      <w:keepLines/>
      <w:spacing w:before="60"/>
      <w:jc w:val="left"/>
    </w:pPr>
    <w:rPr>
      <w:rFonts w:ascii="Sabon" w:eastAsiaTheme="majorEastAsia" w:hAnsi="Sabon" w:cstheme="majorBidi"/>
      <w:b w:val="0"/>
      <w:bCs w:val="0"/>
      <w:i/>
      <w:iCs w:val="0"/>
      <w:snapToGrid w:val="0"/>
      <w:sz w:val="22"/>
      <w:szCs w:val="20"/>
    </w:rPr>
  </w:style>
  <w:style w:type="character" w:customStyle="1" w:styleId="PBACHeading5notnumberedChar">
    <w:name w:val="PBAC Heading 5 not numbered Char"/>
    <w:basedOn w:val="DefaultParagraphFont"/>
    <w:link w:val="PBACHeading5notnumbered"/>
    <w:rsid w:val="00397722"/>
    <w:rPr>
      <w:rFonts w:ascii="Sabon" w:eastAsiaTheme="majorEastAsia" w:hAnsi="Sabon" w:cstheme="majorBidi"/>
      <w:i/>
      <w:sz w:val="22"/>
      <w:lang w:eastAsia="en-US"/>
    </w:rPr>
  </w:style>
  <w:style w:type="character" w:customStyle="1" w:styleId="UnresolvedMention1">
    <w:name w:val="Unresolved Mention1"/>
    <w:basedOn w:val="DefaultParagraphFont"/>
    <w:uiPriority w:val="99"/>
    <w:semiHidden/>
    <w:unhideWhenUsed/>
    <w:rsid w:val="00842204"/>
    <w:rPr>
      <w:color w:val="605E5C"/>
      <w:shd w:val="clear" w:color="auto" w:fill="E1DFDD"/>
    </w:rPr>
  </w:style>
  <w:style w:type="character" w:customStyle="1" w:styleId="apple-converted-space">
    <w:name w:val="apple-converted-space"/>
    <w:basedOn w:val="DefaultParagraphFont"/>
    <w:rsid w:val="009B3E3F"/>
  </w:style>
  <w:style w:type="character" w:customStyle="1" w:styleId="journaltitle">
    <w:name w:val="journaltitle"/>
    <w:basedOn w:val="DefaultParagraphFont"/>
    <w:rsid w:val="00EA02E5"/>
  </w:style>
  <w:style w:type="paragraph" w:customStyle="1" w:styleId="icon--meta-keyline-before">
    <w:name w:val="icon--meta-keyline-before"/>
    <w:basedOn w:val="Normal"/>
    <w:rsid w:val="00EA02E5"/>
    <w:pPr>
      <w:spacing w:before="100" w:beforeAutospacing="1" w:after="100" w:afterAutospacing="1"/>
    </w:pPr>
  </w:style>
  <w:style w:type="character" w:customStyle="1" w:styleId="articlecitationyear">
    <w:name w:val="articlecitation_year"/>
    <w:basedOn w:val="DefaultParagraphFont"/>
    <w:rsid w:val="00EA02E5"/>
  </w:style>
  <w:style w:type="character" w:customStyle="1" w:styleId="articlecitationvolume">
    <w:name w:val="articlecitation_volume"/>
    <w:basedOn w:val="DefaultParagraphFont"/>
    <w:rsid w:val="00EA02E5"/>
  </w:style>
  <w:style w:type="character" w:customStyle="1" w:styleId="articlecitationpages">
    <w:name w:val="articlecitation_pages"/>
    <w:basedOn w:val="DefaultParagraphFont"/>
    <w:rsid w:val="00EA02E5"/>
  </w:style>
  <w:style w:type="character" w:customStyle="1" w:styleId="u-inline-block">
    <w:name w:val="u-inline-block"/>
    <w:basedOn w:val="DefaultParagraphFont"/>
    <w:rsid w:val="00EA02E5"/>
  </w:style>
  <w:style w:type="paragraph" w:customStyle="1" w:styleId="u-mb-2">
    <w:name w:val="u-mb-2"/>
    <w:basedOn w:val="Normal"/>
    <w:rsid w:val="00EA02E5"/>
    <w:pPr>
      <w:spacing w:before="100" w:beforeAutospacing="1" w:after="100" w:afterAutospacing="1"/>
    </w:pPr>
  </w:style>
  <w:style w:type="character" w:customStyle="1" w:styleId="authorsname">
    <w:name w:val="authors__name"/>
    <w:basedOn w:val="DefaultParagraphFont"/>
    <w:rsid w:val="00EA02E5"/>
  </w:style>
  <w:style w:type="character" w:customStyle="1" w:styleId="authorscontact">
    <w:name w:val="authors__contact"/>
    <w:basedOn w:val="DefaultParagraphFont"/>
    <w:rsid w:val="00EA02E5"/>
  </w:style>
  <w:style w:type="paragraph" w:customStyle="1" w:styleId="PBACTableText">
    <w:name w:val="PBAC Table Text"/>
    <w:basedOn w:val="Normal"/>
    <w:link w:val="PBACTableTextChar"/>
    <w:qFormat/>
    <w:rsid w:val="00B338F7"/>
    <w:pPr>
      <w:spacing w:before="40" w:after="40"/>
    </w:pPr>
    <w:rPr>
      <w:rFonts w:ascii="Arial Narrow" w:hAnsi="Arial Narrow"/>
      <w:sz w:val="20"/>
      <w:szCs w:val="20"/>
    </w:rPr>
  </w:style>
  <w:style w:type="character" w:customStyle="1" w:styleId="PBACTableTextChar">
    <w:name w:val="PBAC Table Text Char"/>
    <w:basedOn w:val="DefaultParagraphFont"/>
    <w:link w:val="PBACTableText"/>
    <w:rsid w:val="00B338F7"/>
    <w:rPr>
      <w:rFonts w:ascii="Arial Narrow" w:hAnsi="Arial Narrow"/>
      <w:lang w:eastAsia="en-US"/>
    </w:rPr>
  </w:style>
  <w:style w:type="paragraph" w:customStyle="1" w:styleId="PbacTableHeading">
    <w:name w:val="Pbac Table Heading"/>
    <w:basedOn w:val="PBACTableText"/>
    <w:qFormat/>
    <w:rsid w:val="00B338F7"/>
    <w:pPr>
      <w:spacing w:before="0" w:after="80"/>
    </w:pPr>
    <w:rPr>
      <w:rFonts w:eastAsiaTheme="minorHAnsi" w:cs="Arial"/>
      <w:b/>
    </w:rPr>
  </w:style>
  <w:style w:type="paragraph" w:customStyle="1" w:styleId="PBACcaption">
    <w:name w:val="PBAC caption"/>
    <w:basedOn w:val="Normal"/>
    <w:link w:val="PBACcaptionChar"/>
    <w:qFormat/>
    <w:rsid w:val="00084B8A"/>
    <w:pPr>
      <w:ind w:left="1440" w:hanging="1440"/>
    </w:pPr>
    <w:rPr>
      <w:rFonts w:ascii="Sabon" w:eastAsiaTheme="minorHAnsi" w:hAnsi="Sabon" w:cs="Arial"/>
      <w:b/>
      <w:sz w:val="22"/>
      <w:szCs w:val="22"/>
    </w:rPr>
  </w:style>
  <w:style w:type="character" w:customStyle="1" w:styleId="PBACcaptionChar">
    <w:name w:val="PBAC caption Char"/>
    <w:basedOn w:val="DefaultParagraphFont"/>
    <w:link w:val="PBACcaption"/>
    <w:rsid w:val="00084B8A"/>
    <w:rPr>
      <w:rFonts w:ascii="Sabon" w:eastAsiaTheme="minorHAnsi" w:hAnsi="Sabon" w:cs="Arial"/>
      <w:b/>
      <w:sz w:val="22"/>
      <w:szCs w:val="22"/>
      <w:lang w:eastAsia="en-US"/>
    </w:rPr>
  </w:style>
  <w:style w:type="character" w:customStyle="1" w:styleId="NoSpacingChar">
    <w:name w:val="No Spacing Char"/>
    <w:aliases w:val="PBAC Table Footnote Char"/>
    <w:basedOn w:val="DefaultParagraphFont"/>
    <w:link w:val="NoSpacing"/>
    <w:uiPriority w:val="1"/>
    <w:rsid w:val="00084B8A"/>
    <w:rPr>
      <w:rFonts w:ascii="Arial" w:hAnsi="Arial" w:cs="Arial"/>
      <w:snapToGrid w:val="0"/>
      <w:sz w:val="22"/>
      <w:lang w:eastAsia="en-US"/>
    </w:rPr>
  </w:style>
  <w:style w:type="paragraph" w:customStyle="1" w:styleId="V50Instructions">
    <w:name w:val="V5.0 Instructions"/>
    <w:basedOn w:val="Normal"/>
    <w:link w:val="V50InstructionsChar"/>
    <w:rsid w:val="00736527"/>
    <w:pPr>
      <w:spacing w:before="120" w:after="160"/>
    </w:pPr>
    <w:rPr>
      <w:rFonts w:asciiTheme="minorHAnsi" w:eastAsiaTheme="minorHAnsi" w:hAnsiTheme="minorHAnsi" w:cstheme="minorBidi"/>
      <w:snapToGrid w:val="0"/>
      <w:color w:val="4BACC6" w:themeColor="accent5"/>
    </w:rPr>
  </w:style>
  <w:style w:type="character" w:customStyle="1" w:styleId="V50InstructionsChar">
    <w:name w:val="V5.0 Instructions Char"/>
    <w:basedOn w:val="DefaultParagraphFont"/>
    <w:link w:val="V50Instructions"/>
    <w:rsid w:val="00736527"/>
    <w:rPr>
      <w:rFonts w:asciiTheme="minorHAnsi" w:eastAsiaTheme="minorHAnsi" w:hAnsiTheme="minorHAnsi" w:cstheme="minorBidi"/>
      <w:snapToGrid w:val="0"/>
      <w:color w:val="4BACC6" w:themeColor="accent5"/>
      <w:sz w:val="24"/>
      <w:szCs w:val="24"/>
      <w:lang w:eastAsia="en-US"/>
    </w:rPr>
  </w:style>
  <w:style w:type="paragraph" w:customStyle="1" w:styleId="PBACTabletext0">
    <w:name w:val="PBAC Table text"/>
    <w:basedOn w:val="Normal"/>
    <w:link w:val="PBACTabletextChar0"/>
    <w:rsid w:val="00925A66"/>
    <w:pPr>
      <w:spacing w:after="80"/>
    </w:pPr>
    <w:rPr>
      <w:rFonts w:ascii="Arial Narrow" w:eastAsiaTheme="minorHAnsi" w:hAnsi="Arial Narrow" w:cs="Arial"/>
      <w:sz w:val="20"/>
      <w:szCs w:val="20"/>
    </w:rPr>
  </w:style>
  <w:style w:type="character" w:customStyle="1" w:styleId="PBACTabletextChar0">
    <w:name w:val="PBAC Table text Char"/>
    <w:basedOn w:val="DefaultParagraphFont"/>
    <w:link w:val="PBACTabletext0"/>
    <w:rsid w:val="00925A66"/>
    <w:rPr>
      <w:rFonts w:ascii="Arial Narrow" w:eastAsiaTheme="minorHAnsi" w:hAnsi="Arial Narrow" w:cs="Arial"/>
      <w:lang w:eastAsia="en-US"/>
    </w:rPr>
  </w:style>
  <w:style w:type="table" w:customStyle="1" w:styleId="Summarybox2">
    <w:name w:val="Summary box2"/>
    <w:basedOn w:val="TableNormal"/>
    <w:uiPriority w:val="59"/>
    <w:rsid w:val="00B14A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AC3003"/>
    <w:pPr>
      <w:keepLines/>
      <w:numPr>
        <w:numId w:val="9"/>
      </w:numPr>
      <w:spacing w:before="40" w:after="60"/>
    </w:pPr>
    <w:rPr>
      <w:rFonts w:ascii="Times New Roman" w:hAnsi="Times New Roman"/>
      <w:lang w:val="en-US" w:eastAsia="zh-CN"/>
    </w:rPr>
  </w:style>
  <w:style w:type="character" w:customStyle="1" w:styleId="EndNoteBibliographyChar">
    <w:name w:val="EndNote Bibliography Char"/>
    <w:basedOn w:val="DefaultParagraphFont"/>
    <w:link w:val="EndNoteBibliography"/>
    <w:rsid w:val="00AC3003"/>
    <w:rPr>
      <w:sz w:val="24"/>
      <w:szCs w:val="24"/>
      <w:lang w:val="en-US" w:eastAsia="zh-CN"/>
    </w:rPr>
  </w:style>
  <w:style w:type="paragraph" w:styleId="EndnoteText">
    <w:name w:val="endnote text"/>
    <w:basedOn w:val="Normal"/>
    <w:link w:val="EndnoteTextChar"/>
    <w:uiPriority w:val="99"/>
    <w:semiHidden/>
    <w:unhideWhenUsed/>
    <w:rsid w:val="00AC3003"/>
    <w:pPr>
      <w:jc w:val="left"/>
    </w:pPr>
    <w:rPr>
      <w:rFonts w:ascii="Sabon" w:eastAsiaTheme="minorHAnsi" w:hAnsi="Sabon" w:cs="Arial"/>
      <w:sz w:val="20"/>
      <w:szCs w:val="20"/>
    </w:rPr>
  </w:style>
  <w:style w:type="character" w:customStyle="1" w:styleId="EndnoteTextChar">
    <w:name w:val="Endnote Text Char"/>
    <w:basedOn w:val="DefaultParagraphFont"/>
    <w:link w:val="EndnoteText"/>
    <w:uiPriority w:val="99"/>
    <w:semiHidden/>
    <w:rsid w:val="00AC3003"/>
    <w:rPr>
      <w:rFonts w:ascii="Sabon" w:eastAsiaTheme="minorHAnsi" w:hAnsi="Sabon" w:cs="Arial"/>
      <w:lang w:eastAsia="en-US"/>
    </w:rPr>
  </w:style>
  <w:style w:type="character" w:styleId="EndnoteReference">
    <w:name w:val="endnote reference"/>
    <w:basedOn w:val="DefaultParagraphFont"/>
    <w:uiPriority w:val="99"/>
    <w:semiHidden/>
    <w:unhideWhenUsed/>
    <w:rsid w:val="00AC3003"/>
    <w:rPr>
      <w:vertAlign w:val="superscript"/>
    </w:rPr>
  </w:style>
  <w:style w:type="paragraph" w:customStyle="1" w:styleId="Default">
    <w:name w:val="Default"/>
    <w:rsid w:val="00B76C9D"/>
    <w:pPr>
      <w:autoSpaceDE w:val="0"/>
      <w:autoSpaceDN w:val="0"/>
      <w:adjustRightInd w:val="0"/>
    </w:pPr>
    <w:rPr>
      <w:rFonts w:ascii="Calibri" w:eastAsiaTheme="minorHAnsi" w:hAnsi="Calibri" w:cs="Calibri"/>
      <w:color w:val="000000"/>
      <w:sz w:val="24"/>
      <w:szCs w:val="24"/>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23E80"/>
    <w:pPr>
      <w:spacing w:after="160" w:line="240" w:lineRule="exact"/>
      <w:jc w:val="left"/>
    </w:pPr>
    <w:rPr>
      <w:rFonts w:ascii="Verdana" w:eastAsia="MS Mincho" w:hAnsi="Verdana" w:cs="Verdana"/>
      <w:sz w:val="20"/>
      <w:szCs w:val="20"/>
      <w:lang w:val="en-US"/>
    </w:rPr>
  </w:style>
  <w:style w:type="paragraph" w:customStyle="1" w:styleId="Tablenotes">
    <w:name w:val="Table notes"/>
    <w:basedOn w:val="Normal"/>
    <w:qFormat/>
    <w:rsid w:val="00953A9E"/>
    <w:pPr>
      <w:spacing w:before="40" w:after="360"/>
      <w:contextualSpacing/>
      <w:jc w:val="left"/>
    </w:pPr>
    <w:rPr>
      <w:rFonts w:ascii="Arial Narrow" w:hAnsi="Arial Narrow"/>
      <w:sz w:val="16"/>
      <w:szCs w:val="22"/>
    </w:rPr>
  </w:style>
  <w:style w:type="paragraph" w:styleId="PlainText">
    <w:name w:val="Plain Text"/>
    <w:basedOn w:val="Normal"/>
    <w:link w:val="PlainTextChar"/>
    <w:uiPriority w:val="99"/>
    <w:rsid w:val="00274BD4"/>
    <w:pPr>
      <w:jc w:val="left"/>
    </w:pPr>
    <w:rPr>
      <w:rFonts w:ascii="Courier New" w:hAnsi="Courier New"/>
      <w:sz w:val="20"/>
      <w:szCs w:val="20"/>
      <w:lang w:eastAsia="en-AU"/>
    </w:rPr>
  </w:style>
  <w:style w:type="character" w:customStyle="1" w:styleId="PlainTextChar">
    <w:name w:val="Plain Text Char"/>
    <w:basedOn w:val="DefaultParagraphFont"/>
    <w:link w:val="PlainText"/>
    <w:uiPriority w:val="99"/>
    <w:rsid w:val="00274BD4"/>
    <w:rPr>
      <w:rFonts w:ascii="Courier New" w:hAnsi="Courier New"/>
    </w:rPr>
  </w:style>
  <w:style w:type="paragraph" w:styleId="BodyText3">
    <w:name w:val="Body Text 3"/>
    <w:basedOn w:val="Normal"/>
    <w:link w:val="BodyText3Char"/>
    <w:unhideWhenUsed/>
    <w:rsid w:val="00D14FF3"/>
    <w:pPr>
      <w:spacing w:after="120"/>
    </w:pPr>
    <w:rPr>
      <w:sz w:val="16"/>
      <w:szCs w:val="16"/>
    </w:rPr>
  </w:style>
  <w:style w:type="character" w:customStyle="1" w:styleId="BodyText3Char">
    <w:name w:val="Body Text 3 Char"/>
    <w:basedOn w:val="DefaultParagraphFont"/>
    <w:link w:val="BodyText3"/>
    <w:rsid w:val="00D14FF3"/>
    <w:rPr>
      <w:rFonts w:ascii="Calibri" w:hAnsi="Calibri"/>
      <w:sz w:val="16"/>
      <w:szCs w:val="16"/>
      <w:lang w:eastAsia="en-US"/>
    </w:rPr>
  </w:style>
  <w:style w:type="paragraph" w:styleId="ListBullet">
    <w:name w:val="List Bullet"/>
    <w:basedOn w:val="Normal"/>
    <w:autoRedefine/>
    <w:rsid w:val="00D0106F"/>
    <w:pPr>
      <w:jc w:val="left"/>
    </w:pPr>
    <w:rPr>
      <w:rFonts w:ascii="Arial" w:hAnsi="Arial" w:cs="Arial"/>
      <w:snapToGrid w:val="0"/>
      <w:sz w:val="20"/>
      <w:szCs w:val="20"/>
    </w:rPr>
  </w:style>
  <w:style w:type="character" w:customStyle="1" w:styleId="form-strength">
    <w:name w:val="form-strength"/>
    <w:basedOn w:val="DefaultParagraphFont"/>
    <w:rsid w:val="00A7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1638">
      <w:bodyDiv w:val="1"/>
      <w:marLeft w:val="0"/>
      <w:marRight w:val="0"/>
      <w:marTop w:val="0"/>
      <w:marBottom w:val="0"/>
      <w:divBdr>
        <w:top w:val="none" w:sz="0" w:space="0" w:color="auto"/>
        <w:left w:val="none" w:sz="0" w:space="0" w:color="auto"/>
        <w:bottom w:val="none" w:sz="0" w:space="0" w:color="auto"/>
        <w:right w:val="none" w:sz="0" w:space="0" w:color="auto"/>
      </w:divBdr>
    </w:div>
    <w:div w:id="9991958">
      <w:bodyDiv w:val="1"/>
      <w:marLeft w:val="0"/>
      <w:marRight w:val="0"/>
      <w:marTop w:val="0"/>
      <w:marBottom w:val="0"/>
      <w:divBdr>
        <w:top w:val="none" w:sz="0" w:space="0" w:color="auto"/>
        <w:left w:val="none" w:sz="0" w:space="0" w:color="auto"/>
        <w:bottom w:val="none" w:sz="0" w:space="0" w:color="auto"/>
        <w:right w:val="none" w:sz="0" w:space="0" w:color="auto"/>
      </w:divBdr>
    </w:div>
    <w:div w:id="30762363">
      <w:bodyDiv w:val="1"/>
      <w:marLeft w:val="0"/>
      <w:marRight w:val="0"/>
      <w:marTop w:val="0"/>
      <w:marBottom w:val="0"/>
      <w:divBdr>
        <w:top w:val="none" w:sz="0" w:space="0" w:color="auto"/>
        <w:left w:val="none" w:sz="0" w:space="0" w:color="auto"/>
        <w:bottom w:val="none" w:sz="0" w:space="0" w:color="auto"/>
        <w:right w:val="none" w:sz="0" w:space="0" w:color="auto"/>
      </w:divBdr>
    </w:div>
    <w:div w:id="90778866">
      <w:bodyDiv w:val="1"/>
      <w:marLeft w:val="0"/>
      <w:marRight w:val="0"/>
      <w:marTop w:val="0"/>
      <w:marBottom w:val="0"/>
      <w:divBdr>
        <w:top w:val="none" w:sz="0" w:space="0" w:color="auto"/>
        <w:left w:val="none" w:sz="0" w:space="0" w:color="auto"/>
        <w:bottom w:val="none" w:sz="0" w:space="0" w:color="auto"/>
        <w:right w:val="none" w:sz="0" w:space="0" w:color="auto"/>
      </w:divBdr>
    </w:div>
    <w:div w:id="121535747">
      <w:bodyDiv w:val="1"/>
      <w:marLeft w:val="0"/>
      <w:marRight w:val="0"/>
      <w:marTop w:val="0"/>
      <w:marBottom w:val="0"/>
      <w:divBdr>
        <w:top w:val="none" w:sz="0" w:space="0" w:color="auto"/>
        <w:left w:val="none" w:sz="0" w:space="0" w:color="auto"/>
        <w:bottom w:val="none" w:sz="0" w:space="0" w:color="auto"/>
        <w:right w:val="none" w:sz="0" w:space="0" w:color="auto"/>
      </w:divBdr>
      <w:divsChild>
        <w:div w:id="33626314">
          <w:marLeft w:val="0"/>
          <w:marRight w:val="0"/>
          <w:marTop w:val="0"/>
          <w:marBottom w:val="120"/>
          <w:divBdr>
            <w:top w:val="none" w:sz="0" w:space="0" w:color="auto"/>
            <w:left w:val="none" w:sz="0" w:space="0" w:color="auto"/>
            <w:bottom w:val="none" w:sz="0" w:space="0" w:color="auto"/>
            <w:right w:val="none" w:sz="0" w:space="0" w:color="auto"/>
          </w:divBdr>
        </w:div>
        <w:div w:id="35397500">
          <w:marLeft w:val="0"/>
          <w:marRight w:val="0"/>
          <w:marTop w:val="0"/>
          <w:marBottom w:val="360"/>
          <w:divBdr>
            <w:top w:val="none" w:sz="0" w:space="0" w:color="auto"/>
            <w:left w:val="none" w:sz="0" w:space="0" w:color="auto"/>
            <w:bottom w:val="none" w:sz="0" w:space="0" w:color="auto"/>
            <w:right w:val="none" w:sz="0" w:space="0" w:color="auto"/>
          </w:divBdr>
        </w:div>
        <w:div w:id="73162845">
          <w:marLeft w:val="0"/>
          <w:marRight w:val="0"/>
          <w:marTop w:val="0"/>
          <w:marBottom w:val="0"/>
          <w:divBdr>
            <w:top w:val="none" w:sz="0" w:space="0" w:color="auto"/>
            <w:left w:val="none" w:sz="0" w:space="0" w:color="auto"/>
            <w:bottom w:val="none" w:sz="0" w:space="0" w:color="auto"/>
            <w:right w:val="none" w:sz="0" w:space="0" w:color="auto"/>
          </w:divBdr>
          <w:divsChild>
            <w:div w:id="21029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5480">
      <w:bodyDiv w:val="1"/>
      <w:marLeft w:val="0"/>
      <w:marRight w:val="0"/>
      <w:marTop w:val="0"/>
      <w:marBottom w:val="0"/>
      <w:divBdr>
        <w:top w:val="none" w:sz="0" w:space="0" w:color="auto"/>
        <w:left w:val="none" w:sz="0" w:space="0" w:color="auto"/>
        <w:bottom w:val="none" w:sz="0" w:space="0" w:color="auto"/>
        <w:right w:val="none" w:sz="0" w:space="0" w:color="auto"/>
      </w:divBdr>
      <w:divsChild>
        <w:div w:id="1812862567">
          <w:marLeft w:val="0"/>
          <w:marRight w:val="0"/>
          <w:marTop w:val="0"/>
          <w:marBottom w:val="0"/>
          <w:divBdr>
            <w:top w:val="none" w:sz="0" w:space="0" w:color="auto"/>
            <w:left w:val="none" w:sz="0" w:space="0" w:color="auto"/>
            <w:bottom w:val="none" w:sz="0" w:space="0" w:color="auto"/>
            <w:right w:val="none" w:sz="0" w:space="0" w:color="auto"/>
          </w:divBdr>
          <w:divsChild>
            <w:div w:id="1546987542">
              <w:marLeft w:val="0"/>
              <w:marRight w:val="0"/>
              <w:marTop w:val="0"/>
              <w:marBottom w:val="0"/>
              <w:divBdr>
                <w:top w:val="none" w:sz="0" w:space="0" w:color="auto"/>
                <w:left w:val="none" w:sz="0" w:space="0" w:color="auto"/>
                <w:bottom w:val="none" w:sz="0" w:space="0" w:color="auto"/>
                <w:right w:val="none" w:sz="0" w:space="0" w:color="auto"/>
              </w:divBdr>
              <w:divsChild>
                <w:div w:id="1766725542">
                  <w:marLeft w:val="0"/>
                  <w:marRight w:val="0"/>
                  <w:marTop w:val="0"/>
                  <w:marBottom w:val="0"/>
                  <w:divBdr>
                    <w:top w:val="none" w:sz="0" w:space="0" w:color="auto"/>
                    <w:left w:val="none" w:sz="0" w:space="0" w:color="auto"/>
                    <w:bottom w:val="none" w:sz="0" w:space="0" w:color="auto"/>
                    <w:right w:val="none" w:sz="0" w:space="0" w:color="auto"/>
                  </w:divBdr>
                  <w:divsChild>
                    <w:div w:id="12119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6227">
      <w:bodyDiv w:val="1"/>
      <w:marLeft w:val="0"/>
      <w:marRight w:val="0"/>
      <w:marTop w:val="0"/>
      <w:marBottom w:val="0"/>
      <w:divBdr>
        <w:top w:val="none" w:sz="0" w:space="0" w:color="auto"/>
        <w:left w:val="none" w:sz="0" w:space="0" w:color="auto"/>
        <w:bottom w:val="none" w:sz="0" w:space="0" w:color="auto"/>
        <w:right w:val="none" w:sz="0" w:space="0" w:color="auto"/>
      </w:divBdr>
      <w:divsChild>
        <w:div w:id="1691100108">
          <w:marLeft w:val="0"/>
          <w:marRight w:val="0"/>
          <w:marTop w:val="0"/>
          <w:marBottom w:val="0"/>
          <w:divBdr>
            <w:top w:val="none" w:sz="0" w:space="0" w:color="auto"/>
            <w:left w:val="none" w:sz="0" w:space="0" w:color="auto"/>
            <w:bottom w:val="none" w:sz="0" w:space="0" w:color="auto"/>
            <w:right w:val="none" w:sz="0" w:space="0" w:color="auto"/>
          </w:divBdr>
        </w:div>
        <w:div w:id="1551770460">
          <w:marLeft w:val="0"/>
          <w:marRight w:val="0"/>
          <w:marTop w:val="0"/>
          <w:marBottom w:val="0"/>
          <w:divBdr>
            <w:top w:val="none" w:sz="0" w:space="0" w:color="auto"/>
            <w:left w:val="none" w:sz="0" w:space="0" w:color="auto"/>
            <w:bottom w:val="none" w:sz="0" w:space="0" w:color="auto"/>
            <w:right w:val="none" w:sz="0" w:space="0" w:color="auto"/>
          </w:divBdr>
        </w:div>
        <w:div w:id="530461248">
          <w:marLeft w:val="0"/>
          <w:marRight w:val="0"/>
          <w:marTop w:val="0"/>
          <w:marBottom w:val="0"/>
          <w:divBdr>
            <w:top w:val="none" w:sz="0" w:space="0" w:color="auto"/>
            <w:left w:val="none" w:sz="0" w:space="0" w:color="auto"/>
            <w:bottom w:val="none" w:sz="0" w:space="0" w:color="auto"/>
            <w:right w:val="none" w:sz="0" w:space="0" w:color="auto"/>
          </w:divBdr>
        </w:div>
        <w:div w:id="1764835816">
          <w:marLeft w:val="0"/>
          <w:marRight w:val="0"/>
          <w:marTop w:val="0"/>
          <w:marBottom w:val="0"/>
          <w:divBdr>
            <w:top w:val="none" w:sz="0" w:space="0" w:color="auto"/>
            <w:left w:val="none" w:sz="0" w:space="0" w:color="auto"/>
            <w:bottom w:val="none" w:sz="0" w:space="0" w:color="auto"/>
            <w:right w:val="none" w:sz="0" w:space="0" w:color="auto"/>
          </w:divBdr>
        </w:div>
      </w:divsChild>
    </w:div>
    <w:div w:id="236131625">
      <w:bodyDiv w:val="1"/>
      <w:marLeft w:val="0"/>
      <w:marRight w:val="0"/>
      <w:marTop w:val="0"/>
      <w:marBottom w:val="0"/>
      <w:divBdr>
        <w:top w:val="none" w:sz="0" w:space="0" w:color="auto"/>
        <w:left w:val="none" w:sz="0" w:space="0" w:color="auto"/>
        <w:bottom w:val="none" w:sz="0" w:space="0" w:color="auto"/>
        <w:right w:val="none" w:sz="0" w:space="0" w:color="auto"/>
      </w:divBdr>
    </w:div>
    <w:div w:id="239609023">
      <w:bodyDiv w:val="1"/>
      <w:marLeft w:val="0"/>
      <w:marRight w:val="0"/>
      <w:marTop w:val="0"/>
      <w:marBottom w:val="0"/>
      <w:divBdr>
        <w:top w:val="none" w:sz="0" w:space="0" w:color="auto"/>
        <w:left w:val="none" w:sz="0" w:space="0" w:color="auto"/>
        <w:bottom w:val="none" w:sz="0" w:space="0" w:color="auto"/>
        <w:right w:val="none" w:sz="0" w:space="0" w:color="auto"/>
      </w:divBdr>
    </w:div>
    <w:div w:id="290943328">
      <w:bodyDiv w:val="1"/>
      <w:marLeft w:val="0"/>
      <w:marRight w:val="0"/>
      <w:marTop w:val="0"/>
      <w:marBottom w:val="0"/>
      <w:divBdr>
        <w:top w:val="none" w:sz="0" w:space="0" w:color="auto"/>
        <w:left w:val="none" w:sz="0" w:space="0" w:color="auto"/>
        <w:bottom w:val="none" w:sz="0" w:space="0" w:color="auto"/>
        <w:right w:val="none" w:sz="0" w:space="0" w:color="auto"/>
      </w:divBdr>
      <w:divsChild>
        <w:div w:id="1915779595">
          <w:marLeft w:val="0"/>
          <w:marRight w:val="0"/>
          <w:marTop w:val="0"/>
          <w:marBottom w:val="0"/>
          <w:divBdr>
            <w:top w:val="none" w:sz="0" w:space="0" w:color="auto"/>
            <w:left w:val="none" w:sz="0" w:space="0" w:color="auto"/>
            <w:bottom w:val="none" w:sz="0" w:space="0" w:color="auto"/>
            <w:right w:val="none" w:sz="0" w:space="0" w:color="auto"/>
          </w:divBdr>
          <w:divsChild>
            <w:div w:id="876238523">
              <w:marLeft w:val="0"/>
              <w:marRight w:val="0"/>
              <w:marTop w:val="0"/>
              <w:marBottom w:val="0"/>
              <w:divBdr>
                <w:top w:val="none" w:sz="0" w:space="0" w:color="auto"/>
                <w:left w:val="none" w:sz="0" w:space="0" w:color="auto"/>
                <w:bottom w:val="none" w:sz="0" w:space="0" w:color="auto"/>
                <w:right w:val="none" w:sz="0" w:space="0" w:color="auto"/>
              </w:divBdr>
              <w:divsChild>
                <w:div w:id="766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0589">
      <w:bodyDiv w:val="1"/>
      <w:marLeft w:val="0"/>
      <w:marRight w:val="0"/>
      <w:marTop w:val="0"/>
      <w:marBottom w:val="0"/>
      <w:divBdr>
        <w:top w:val="none" w:sz="0" w:space="0" w:color="auto"/>
        <w:left w:val="none" w:sz="0" w:space="0" w:color="auto"/>
        <w:bottom w:val="none" w:sz="0" w:space="0" w:color="auto"/>
        <w:right w:val="none" w:sz="0" w:space="0" w:color="auto"/>
      </w:divBdr>
    </w:div>
    <w:div w:id="319358489">
      <w:bodyDiv w:val="1"/>
      <w:marLeft w:val="0"/>
      <w:marRight w:val="0"/>
      <w:marTop w:val="0"/>
      <w:marBottom w:val="0"/>
      <w:divBdr>
        <w:top w:val="none" w:sz="0" w:space="0" w:color="auto"/>
        <w:left w:val="none" w:sz="0" w:space="0" w:color="auto"/>
        <w:bottom w:val="none" w:sz="0" w:space="0" w:color="auto"/>
        <w:right w:val="none" w:sz="0" w:space="0" w:color="auto"/>
      </w:divBdr>
      <w:divsChild>
        <w:div w:id="990448348">
          <w:marLeft w:val="0"/>
          <w:marRight w:val="0"/>
          <w:marTop w:val="0"/>
          <w:marBottom w:val="0"/>
          <w:divBdr>
            <w:top w:val="none" w:sz="0" w:space="0" w:color="auto"/>
            <w:left w:val="none" w:sz="0" w:space="0" w:color="auto"/>
            <w:bottom w:val="none" w:sz="0" w:space="0" w:color="auto"/>
            <w:right w:val="none" w:sz="0" w:space="0" w:color="auto"/>
          </w:divBdr>
          <w:divsChild>
            <w:div w:id="1485008688">
              <w:marLeft w:val="0"/>
              <w:marRight w:val="0"/>
              <w:marTop w:val="0"/>
              <w:marBottom w:val="0"/>
              <w:divBdr>
                <w:top w:val="none" w:sz="0" w:space="0" w:color="auto"/>
                <w:left w:val="none" w:sz="0" w:space="0" w:color="auto"/>
                <w:bottom w:val="none" w:sz="0" w:space="0" w:color="auto"/>
                <w:right w:val="none" w:sz="0" w:space="0" w:color="auto"/>
              </w:divBdr>
              <w:divsChild>
                <w:div w:id="788162016">
                  <w:marLeft w:val="0"/>
                  <w:marRight w:val="0"/>
                  <w:marTop w:val="0"/>
                  <w:marBottom w:val="0"/>
                  <w:divBdr>
                    <w:top w:val="none" w:sz="0" w:space="0" w:color="auto"/>
                    <w:left w:val="none" w:sz="0" w:space="0" w:color="auto"/>
                    <w:bottom w:val="none" w:sz="0" w:space="0" w:color="auto"/>
                    <w:right w:val="none" w:sz="0" w:space="0" w:color="auto"/>
                  </w:divBdr>
                  <w:divsChild>
                    <w:div w:id="842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41247">
      <w:bodyDiv w:val="1"/>
      <w:marLeft w:val="0"/>
      <w:marRight w:val="0"/>
      <w:marTop w:val="0"/>
      <w:marBottom w:val="0"/>
      <w:divBdr>
        <w:top w:val="none" w:sz="0" w:space="0" w:color="auto"/>
        <w:left w:val="none" w:sz="0" w:space="0" w:color="auto"/>
        <w:bottom w:val="none" w:sz="0" w:space="0" w:color="auto"/>
        <w:right w:val="none" w:sz="0" w:space="0" w:color="auto"/>
      </w:divBdr>
      <w:divsChild>
        <w:div w:id="1565263496">
          <w:marLeft w:val="0"/>
          <w:marRight w:val="0"/>
          <w:marTop w:val="0"/>
          <w:marBottom w:val="0"/>
          <w:divBdr>
            <w:top w:val="none" w:sz="0" w:space="0" w:color="auto"/>
            <w:left w:val="none" w:sz="0" w:space="0" w:color="auto"/>
            <w:bottom w:val="none" w:sz="0" w:space="0" w:color="auto"/>
            <w:right w:val="none" w:sz="0" w:space="0" w:color="auto"/>
          </w:divBdr>
          <w:divsChild>
            <w:div w:id="147482043">
              <w:marLeft w:val="0"/>
              <w:marRight w:val="0"/>
              <w:marTop w:val="0"/>
              <w:marBottom w:val="0"/>
              <w:divBdr>
                <w:top w:val="none" w:sz="0" w:space="0" w:color="auto"/>
                <w:left w:val="none" w:sz="0" w:space="0" w:color="auto"/>
                <w:bottom w:val="none" w:sz="0" w:space="0" w:color="auto"/>
                <w:right w:val="none" w:sz="0" w:space="0" w:color="auto"/>
              </w:divBdr>
              <w:divsChild>
                <w:div w:id="1389065071">
                  <w:marLeft w:val="0"/>
                  <w:marRight w:val="0"/>
                  <w:marTop w:val="0"/>
                  <w:marBottom w:val="0"/>
                  <w:divBdr>
                    <w:top w:val="none" w:sz="0" w:space="0" w:color="auto"/>
                    <w:left w:val="none" w:sz="0" w:space="0" w:color="auto"/>
                    <w:bottom w:val="none" w:sz="0" w:space="0" w:color="auto"/>
                    <w:right w:val="none" w:sz="0" w:space="0" w:color="auto"/>
                  </w:divBdr>
                  <w:divsChild>
                    <w:div w:id="3146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0800">
      <w:bodyDiv w:val="1"/>
      <w:marLeft w:val="0"/>
      <w:marRight w:val="0"/>
      <w:marTop w:val="0"/>
      <w:marBottom w:val="0"/>
      <w:divBdr>
        <w:top w:val="none" w:sz="0" w:space="0" w:color="auto"/>
        <w:left w:val="none" w:sz="0" w:space="0" w:color="auto"/>
        <w:bottom w:val="none" w:sz="0" w:space="0" w:color="auto"/>
        <w:right w:val="none" w:sz="0" w:space="0" w:color="auto"/>
      </w:divBdr>
      <w:divsChild>
        <w:div w:id="1999067993">
          <w:marLeft w:val="0"/>
          <w:marRight w:val="0"/>
          <w:marTop w:val="0"/>
          <w:marBottom w:val="0"/>
          <w:divBdr>
            <w:top w:val="none" w:sz="0" w:space="0" w:color="auto"/>
            <w:left w:val="none" w:sz="0" w:space="0" w:color="auto"/>
            <w:bottom w:val="none" w:sz="0" w:space="0" w:color="auto"/>
            <w:right w:val="none" w:sz="0" w:space="0" w:color="auto"/>
          </w:divBdr>
          <w:divsChild>
            <w:div w:id="873738390">
              <w:marLeft w:val="0"/>
              <w:marRight w:val="0"/>
              <w:marTop w:val="0"/>
              <w:marBottom w:val="0"/>
              <w:divBdr>
                <w:top w:val="none" w:sz="0" w:space="0" w:color="auto"/>
                <w:left w:val="none" w:sz="0" w:space="0" w:color="auto"/>
                <w:bottom w:val="none" w:sz="0" w:space="0" w:color="auto"/>
                <w:right w:val="none" w:sz="0" w:space="0" w:color="auto"/>
              </w:divBdr>
              <w:divsChild>
                <w:div w:id="17685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05906">
      <w:bodyDiv w:val="1"/>
      <w:marLeft w:val="0"/>
      <w:marRight w:val="0"/>
      <w:marTop w:val="0"/>
      <w:marBottom w:val="0"/>
      <w:divBdr>
        <w:top w:val="none" w:sz="0" w:space="0" w:color="auto"/>
        <w:left w:val="none" w:sz="0" w:space="0" w:color="auto"/>
        <w:bottom w:val="none" w:sz="0" w:space="0" w:color="auto"/>
        <w:right w:val="none" w:sz="0" w:space="0" w:color="auto"/>
      </w:divBdr>
      <w:divsChild>
        <w:div w:id="2123917273">
          <w:marLeft w:val="0"/>
          <w:marRight w:val="0"/>
          <w:marTop w:val="0"/>
          <w:marBottom w:val="0"/>
          <w:divBdr>
            <w:top w:val="none" w:sz="0" w:space="0" w:color="auto"/>
            <w:left w:val="none" w:sz="0" w:space="0" w:color="auto"/>
            <w:bottom w:val="none" w:sz="0" w:space="0" w:color="auto"/>
            <w:right w:val="none" w:sz="0" w:space="0" w:color="auto"/>
          </w:divBdr>
          <w:divsChild>
            <w:div w:id="1879004172">
              <w:marLeft w:val="0"/>
              <w:marRight w:val="0"/>
              <w:marTop w:val="0"/>
              <w:marBottom w:val="0"/>
              <w:divBdr>
                <w:top w:val="none" w:sz="0" w:space="0" w:color="auto"/>
                <w:left w:val="none" w:sz="0" w:space="0" w:color="auto"/>
                <w:bottom w:val="none" w:sz="0" w:space="0" w:color="auto"/>
                <w:right w:val="none" w:sz="0" w:space="0" w:color="auto"/>
              </w:divBdr>
              <w:divsChild>
                <w:div w:id="114444916">
                  <w:marLeft w:val="0"/>
                  <w:marRight w:val="0"/>
                  <w:marTop w:val="0"/>
                  <w:marBottom w:val="0"/>
                  <w:divBdr>
                    <w:top w:val="none" w:sz="0" w:space="0" w:color="auto"/>
                    <w:left w:val="none" w:sz="0" w:space="0" w:color="auto"/>
                    <w:bottom w:val="none" w:sz="0" w:space="0" w:color="auto"/>
                    <w:right w:val="none" w:sz="0" w:space="0" w:color="auto"/>
                  </w:divBdr>
                  <w:divsChild>
                    <w:div w:id="19732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7345">
      <w:bodyDiv w:val="1"/>
      <w:marLeft w:val="0"/>
      <w:marRight w:val="0"/>
      <w:marTop w:val="0"/>
      <w:marBottom w:val="0"/>
      <w:divBdr>
        <w:top w:val="none" w:sz="0" w:space="0" w:color="auto"/>
        <w:left w:val="none" w:sz="0" w:space="0" w:color="auto"/>
        <w:bottom w:val="none" w:sz="0" w:space="0" w:color="auto"/>
        <w:right w:val="none" w:sz="0" w:space="0" w:color="auto"/>
      </w:divBdr>
    </w:div>
    <w:div w:id="451637740">
      <w:bodyDiv w:val="1"/>
      <w:marLeft w:val="0"/>
      <w:marRight w:val="0"/>
      <w:marTop w:val="0"/>
      <w:marBottom w:val="0"/>
      <w:divBdr>
        <w:top w:val="none" w:sz="0" w:space="0" w:color="auto"/>
        <w:left w:val="none" w:sz="0" w:space="0" w:color="auto"/>
        <w:bottom w:val="none" w:sz="0" w:space="0" w:color="auto"/>
        <w:right w:val="none" w:sz="0" w:space="0" w:color="auto"/>
      </w:divBdr>
    </w:div>
    <w:div w:id="454566555">
      <w:bodyDiv w:val="1"/>
      <w:marLeft w:val="0"/>
      <w:marRight w:val="0"/>
      <w:marTop w:val="0"/>
      <w:marBottom w:val="0"/>
      <w:divBdr>
        <w:top w:val="none" w:sz="0" w:space="0" w:color="auto"/>
        <w:left w:val="none" w:sz="0" w:space="0" w:color="auto"/>
        <w:bottom w:val="none" w:sz="0" w:space="0" w:color="auto"/>
        <w:right w:val="none" w:sz="0" w:space="0" w:color="auto"/>
      </w:divBdr>
      <w:divsChild>
        <w:div w:id="2064668745">
          <w:marLeft w:val="0"/>
          <w:marRight w:val="0"/>
          <w:marTop w:val="0"/>
          <w:marBottom w:val="0"/>
          <w:divBdr>
            <w:top w:val="none" w:sz="0" w:space="0" w:color="auto"/>
            <w:left w:val="none" w:sz="0" w:space="0" w:color="auto"/>
            <w:bottom w:val="none" w:sz="0" w:space="0" w:color="auto"/>
            <w:right w:val="none" w:sz="0" w:space="0" w:color="auto"/>
          </w:divBdr>
          <w:divsChild>
            <w:div w:id="1450709263">
              <w:marLeft w:val="0"/>
              <w:marRight w:val="0"/>
              <w:marTop w:val="0"/>
              <w:marBottom w:val="0"/>
              <w:divBdr>
                <w:top w:val="none" w:sz="0" w:space="0" w:color="auto"/>
                <w:left w:val="none" w:sz="0" w:space="0" w:color="auto"/>
                <w:bottom w:val="none" w:sz="0" w:space="0" w:color="auto"/>
                <w:right w:val="none" w:sz="0" w:space="0" w:color="auto"/>
              </w:divBdr>
              <w:divsChild>
                <w:div w:id="1072043038">
                  <w:marLeft w:val="0"/>
                  <w:marRight w:val="0"/>
                  <w:marTop w:val="0"/>
                  <w:marBottom w:val="0"/>
                  <w:divBdr>
                    <w:top w:val="none" w:sz="0" w:space="0" w:color="auto"/>
                    <w:left w:val="none" w:sz="0" w:space="0" w:color="auto"/>
                    <w:bottom w:val="none" w:sz="0" w:space="0" w:color="auto"/>
                    <w:right w:val="none" w:sz="0" w:space="0" w:color="auto"/>
                  </w:divBdr>
                  <w:divsChild>
                    <w:div w:id="1870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068623">
      <w:bodyDiv w:val="1"/>
      <w:marLeft w:val="0"/>
      <w:marRight w:val="0"/>
      <w:marTop w:val="0"/>
      <w:marBottom w:val="0"/>
      <w:divBdr>
        <w:top w:val="none" w:sz="0" w:space="0" w:color="auto"/>
        <w:left w:val="none" w:sz="0" w:space="0" w:color="auto"/>
        <w:bottom w:val="none" w:sz="0" w:space="0" w:color="auto"/>
        <w:right w:val="none" w:sz="0" w:space="0" w:color="auto"/>
      </w:divBdr>
      <w:divsChild>
        <w:div w:id="1197893333">
          <w:marLeft w:val="0"/>
          <w:marRight w:val="0"/>
          <w:marTop w:val="0"/>
          <w:marBottom w:val="0"/>
          <w:divBdr>
            <w:top w:val="none" w:sz="0" w:space="0" w:color="auto"/>
            <w:left w:val="none" w:sz="0" w:space="0" w:color="auto"/>
            <w:bottom w:val="none" w:sz="0" w:space="0" w:color="auto"/>
            <w:right w:val="none" w:sz="0" w:space="0" w:color="auto"/>
          </w:divBdr>
          <w:divsChild>
            <w:div w:id="14814444">
              <w:marLeft w:val="0"/>
              <w:marRight w:val="0"/>
              <w:marTop w:val="0"/>
              <w:marBottom w:val="0"/>
              <w:divBdr>
                <w:top w:val="none" w:sz="0" w:space="0" w:color="auto"/>
                <w:left w:val="none" w:sz="0" w:space="0" w:color="auto"/>
                <w:bottom w:val="none" w:sz="0" w:space="0" w:color="auto"/>
                <w:right w:val="none" w:sz="0" w:space="0" w:color="auto"/>
              </w:divBdr>
              <w:divsChild>
                <w:div w:id="2120709965">
                  <w:marLeft w:val="0"/>
                  <w:marRight w:val="0"/>
                  <w:marTop w:val="0"/>
                  <w:marBottom w:val="0"/>
                  <w:divBdr>
                    <w:top w:val="none" w:sz="0" w:space="0" w:color="auto"/>
                    <w:left w:val="none" w:sz="0" w:space="0" w:color="auto"/>
                    <w:bottom w:val="none" w:sz="0" w:space="0" w:color="auto"/>
                    <w:right w:val="none" w:sz="0" w:space="0" w:color="auto"/>
                  </w:divBdr>
                  <w:divsChild>
                    <w:div w:id="14446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41275">
      <w:bodyDiv w:val="1"/>
      <w:marLeft w:val="0"/>
      <w:marRight w:val="0"/>
      <w:marTop w:val="0"/>
      <w:marBottom w:val="0"/>
      <w:divBdr>
        <w:top w:val="none" w:sz="0" w:space="0" w:color="auto"/>
        <w:left w:val="none" w:sz="0" w:space="0" w:color="auto"/>
        <w:bottom w:val="none" w:sz="0" w:space="0" w:color="auto"/>
        <w:right w:val="none" w:sz="0" w:space="0" w:color="auto"/>
      </w:divBdr>
    </w:div>
    <w:div w:id="579559991">
      <w:bodyDiv w:val="1"/>
      <w:marLeft w:val="0"/>
      <w:marRight w:val="0"/>
      <w:marTop w:val="0"/>
      <w:marBottom w:val="0"/>
      <w:divBdr>
        <w:top w:val="none" w:sz="0" w:space="0" w:color="auto"/>
        <w:left w:val="none" w:sz="0" w:space="0" w:color="auto"/>
        <w:bottom w:val="none" w:sz="0" w:space="0" w:color="auto"/>
        <w:right w:val="none" w:sz="0" w:space="0" w:color="auto"/>
      </w:divBdr>
    </w:div>
    <w:div w:id="580482970">
      <w:bodyDiv w:val="1"/>
      <w:marLeft w:val="0"/>
      <w:marRight w:val="0"/>
      <w:marTop w:val="0"/>
      <w:marBottom w:val="0"/>
      <w:divBdr>
        <w:top w:val="none" w:sz="0" w:space="0" w:color="auto"/>
        <w:left w:val="none" w:sz="0" w:space="0" w:color="auto"/>
        <w:bottom w:val="none" w:sz="0" w:space="0" w:color="auto"/>
        <w:right w:val="none" w:sz="0" w:space="0" w:color="auto"/>
      </w:divBdr>
    </w:div>
    <w:div w:id="640116324">
      <w:bodyDiv w:val="1"/>
      <w:marLeft w:val="0"/>
      <w:marRight w:val="0"/>
      <w:marTop w:val="0"/>
      <w:marBottom w:val="0"/>
      <w:divBdr>
        <w:top w:val="none" w:sz="0" w:space="0" w:color="auto"/>
        <w:left w:val="none" w:sz="0" w:space="0" w:color="auto"/>
        <w:bottom w:val="none" w:sz="0" w:space="0" w:color="auto"/>
        <w:right w:val="none" w:sz="0" w:space="0" w:color="auto"/>
      </w:divBdr>
    </w:div>
    <w:div w:id="703753629">
      <w:bodyDiv w:val="1"/>
      <w:marLeft w:val="0"/>
      <w:marRight w:val="0"/>
      <w:marTop w:val="0"/>
      <w:marBottom w:val="0"/>
      <w:divBdr>
        <w:top w:val="none" w:sz="0" w:space="0" w:color="auto"/>
        <w:left w:val="none" w:sz="0" w:space="0" w:color="auto"/>
        <w:bottom w:val="none" w:sz="0" w:space="0" w:color="auto"/>
        <w:right w:val="none" w:sz="0" w:space="0" w:color="auto"/>
      </w:divBdr>
      <w:divsChild>
        <w:div w:id="476727522">
          <w:marLeft w:val="0"/>
          <w:marRight w:val="0"/>
          <w:marTop w:val="0"/>
          <w:marBottom w:val="0"/>
          <w:divBdr>
            <w:top w:val="none" w:sz="0" w:space="0" w:color="auto"/>
            <w:left w:val="none" w:sz="0" w:space="0" w:color="auto"/>
            <w:bottom w:val="none" w:sz="0" w:space="0" w:color="auto"/>
            <w:right w:val="none" w:sz="0" w:space="0" w:color="auto"/>
          </w:divBdr>
          <w:divsChild>
            <w:div w:id="1163469387">
              <w:marLeft w:val="0"/>
              <w:marRight w:val="0"/>
              <w:marTop w:val="0"/>
              <w:marBottom w:val="0"/>
              <w:divBdr>
                <w:top w:val="none" w:sz="0" w:space="0" w:color="auto"/>
                <w:left w:val="none" w:sz="0" w:space="0" w:color="auto"/>
                <w:bottom w:val="none" w:sz="0" w:space="0" w:color="auto"/>
                <w:right w:val="none" w:sz="0" w:space="0" w:color="auto"/>
              </w:divBdr>
              <w:divsChild>
                <w:div w:id="1058432440">
                  <w:marLeft w:val="0"/>
                  <w:marRight w:val="0"/>
                  <w:marTop w:val="0"/>
                  <w:marBottom w:val="0"/>
                  <w:divBdr>
                    <w:top w:val="none" w:sz="0" w:space="0" w:color="auto"/>
                    <w:left w:val="none" w:sz="0" w:space="0" w:color="auto"/>
                    <w:bottom w:val="none" w:sz="0" w:space="0" w:color="auto"/>
                    <w:right w:val="none" w:sz="0" w:space="0" w:color="auto"/>
                  </w:divBdr>
                  <w:divsChild>
                    <w:div w:id="559438199">
                      <w:marLeft w:val="0"/>
                      <w:marRight w:val="0"/>
                      <w:marTop w:val="0"/>
                      <w:marBottom w:val="0"/>
                      <w:divBdr>
                        <w:top w:val="none" w:sz="0" w:space="0" w:color="auto"/>
                        <w:left w:val="none" w:sz="0" w:space="0" w:color="auto"/>
                        <w:bottom w:val="none" w:sz="0" w:space="0" w:color="auto"/>
                        <w:right w:val="none" w:sz="0" w:space="0" w:color="auto"/>
                      </w:divBdr>
                    </w:div>
                  </w:divsChild>
                </w:div>
                <w:div w:id="2055503418">
                  <w:marLeft w:val="0"/>
                  <w:marRight w:val="0"/>
                  <w:marTop w:val="0"/>
                  <w:marBottom w:val="0"/>
                  <w:divBdr>
                    <w:top w:val="none" w:sz="0" w:space="0" w:color="auto"/>
                    <w:left w:val="none" w:sz="0" w:space="0" w:color="auto"/>
                    <w:bottom w:val="none" w:sz="0" w:space="0" w:color="auto"/>
                    <w:right w:val="none" w:sz="0" w:space="0" w:color="auto"/>
                  </w:divBdr>
                  <w:divsChild>
                    <w:div w:id="388068223">
                      <w:marLeft w:val="0"/>
                      <w:marRight w:val="0"/>
                      <w:marTop w:val="0"/>
                      <w:marBottom w:val="0"/>
                      <w:divBdr>
                        <w:top w:val="none" w:sz="0" w:space="0" w:color="auto"/>
                        <w:left w:val="none" w:sz="0" w:space="0" w:color="auto"/>
                        <w:bottom w:val="none" w:sz="0" w:space="0" w:color="auto"/>
                        <w:right w:val="none" w:sz="0" w:space="0" w:color="auto"/>
                      </w:divBdr>
                      <w:divsChild>
                        <w:div w:id="16217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75141">
                  <w:marLeft w:val="0"/>
                  <w:marRight w:val="0"/>
                  <w:marTop w:val="0"/>
                  <w:marBottom w:val="0"/>
                  <w:divBdr>
                    <w:top w:val="none" w:sz="0" w:space="0" w:color="auto"/>
                    <w:left w:val="none" w:sz="0" w:space="0" w:color="auto"/>
                    <w:bottom w:val="none" w:sz="0" w:space="0" w:color="auto"/>
                    <w:right w:val="none" w:sz="0" w:space="0" w:color="auto"/>
                  </w:divBdr>
                  <w:divsChild>
                    <w:div w:id="405956251">
                      <w:marLeft w:val="0"/>
                      <w:marRight w:val="0"/>
                      <w:marTop w:val="0"/>
                      <w:marBottom w:val="0"/>
                      <w:divBdr>
                        <w:top w:val="none" w:sz="0" w:space="0" w:color="auto"/>
                        <w:left w:val="none" w:sz="0" w:space="0" w:color="auto"/>
                        <w:bottom w:val="none" w:sz="0" w:space="0" w:color="auto"/>
                        <w:right w:val="none" w:sz="0" w:space="0" w:color="auto"/>
                      </w:divBdr>
                    </w:div>
                  </w:divsChild>
                </w:div>
                <w:div w:id="1921792926">
                  <w:marLeft w:val="0"/>
                  <w:marRight w:val="0"/>
                  <w:marTop w:val="0"/>
                  <w:marBottom w:val="0"/>
                  <w:divBdr>
                    <w:top w:val="none" w:sz="0" w:space="0" w:color="auto"/>
                    <w:left w:val="none" w:sz="0" w:space="0" w:color="auto"/>
                    <w:bottom w:val="none" w:sz="0" w:space="0" w:color="auto"/>
                    <w:right w:val="none" w:sz="0" w:space="0" w:color="auto"/>
                  </w:divBdr>
                  <w:divsChild>
                    <w:div w:id="568536764">
                      <w:marLeft w:val="0"/>
                      <w:marRight w:val="0"/>
                      <w:marTop w:val="0"/>
                      <w:marBottom w:val="0"/>
                      <w:divBdr>
                        <w:top w:val="none" w:sz="0" w:space="0" w:color="auto"/>
                        <w:left w:val="none" w:sz="0" w:space="0" w:color="auto"/>
                        <w:bottom w:val="none" w:sz="0" w:space="0" w:color="auto"/>
                        <w:right w:val="none" w:sz="0" w:space="0" w:color="auto"/>
                      </w:divBdr>
                      <w:divsChild>
                        <w:div w:id="7315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7328">
                  <w:marLeft w:val="0"/>
                  <w:marRight w:val="0"/>
                  <w:marTop w:val="0"/>
                  <w:marBottom w:val="0"/>
                  <w:divBdr>
                    <w:top w:val="none" w:sz="0" w:space="0" w:color="auto"/>
                    <w:left w:val="none" w:sz="0" w:space="0" w:color="auto"/>
                    <w:bottom w:val="none" w:sz="0" w:space="0" w:color="auto"/>
                    <w:right w:val="none" w:sz="0" w:space="0" w:color="auto"/>
                  </w:divBdr>
                  <w:divsChild>
                    <w:div w:id="12060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130883">
      <w:bodyDiv w:val="1"/>
      <w:marLeft w:val="0"/>
      <w:marRight w:val="0"/>
      <w:marTop w:val="0"/>
      <w:marBottom w:val="0"/>
      <w:divBdr>
        <w:top w:val="none" w:sz="0" w:space="0" w:color="auto"/>
        <w:left w:val="none" w:sz="0" w:space="0" w:color="auto"/>
        <w:bottom w:val="none" w:sz="0" w:space="0" w:color="auto"/>
        <w:right w:val="none" w:sz="0" w:space="0" w:color="auto"/>
      </w:divBdr>
      <w:divsChild>
        <w:div w:id="384958545">
          <w:marLeft w:val="0"/>
          <w:marRight w:val="0"/>
          <w:marTop w:val="0"/>
          <w:marBottom w:val="0"/>
          <w:divBdr>
            <w:top w:val="none" w:sz="0" w:space="0" w:color="auto"/>
            <w:left w:val="none" w:sz="0" w:space="0" w:color="auto"/>
            <w:bottom w:val="none" w:sz="0" w:space="0" w:color="auto"/>
            <w:right w:val="none" w:sz="0" w:space="0" w:color="auto"/>
          </w:divBdr>
          <w:divsChild>
            <w:div w:id="3948345">
              <w:marLeft w:val="0"/>
              <w:marRight w:val="0"/>
              <w:marTop w:val="0"/>
              <w:marBottom w:val="0"/>
              <w:divBdr>
                <w:top w:val="none" w:sz="0" w:space="0" w:color="auto"/>
                <w:left w:val="none" w:sz="0" w:space="0" w:color="auto"/>
                <w:bottom w:val="none" w:sz="0" w:space="0" w:color="auto"/>
                <w:right w:val="none" w:sz="0" w:space="0" w:color="auto"/>
              </w:divBdr>
              <w:divsChild>
                <w:div w:id="19348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33056">
      <w:bodyDiv w:val="1"/>
      <w:marLeft w:val="0"/>
      <w:marRight w:val="0"/>
      <w:marTop w:val="0"/>
      <w:marBottom w:val="0"/>
      <w:divBdr>
        <w:top w:val="none" w:sz="0" w:space="0" w:color="auto"/>
        <w:left w:val="none" w:sz="0" w:space="0" w:color="auto"/>
        <w:bottom w:val="none" w:sz="0" w:space="0" w:color="auto"/>
        <w:right w:val="none" w:sz="0" w:space="0" w:color="auto"/>
      </w:divBdr>
    </w:div>
    <w:div w:id="832839970">
      <w:bodyDiv w:val="1"/>
      <w:marLeft w:val="0"/>
      <w:marRight w:val="0"/>
      <w:marTop w:val="0"/>
      <w:marBottom w:val="0"/>
      <w:divBdr>
        <w:top w:val="none" w:sz="0" w:space="0" w:color="auto"/>
        <w:left w:val="none" w:sz="0" w:space="0" w:color="auto"/>
        <w:bottom w:val="none" w:sz="0" w:space="0" w:color="auto"/>
        <w:right w:val="none" w:sz="0" w:space="0" w:color="auto"/>
      </w:divBdr>
      <w:divsChild>
        <w:div w:id="1749382640">
          <w:marLeft w:val="0"/>
          <w:marRight w:val="0"/>
          <w:marTop w:val="0"/>
          <w:marBottom w:val="0"/>
          <w:divBdr>
            <w:top w:val="none" w:sz="0" w:space="0" w:color="auto"/>
            <w:left w:val="none" w:sz="0" w:space="0" w:color="auto"/>
            <w:bottom w:val="none" w:sz="0" w:space="0" w:color="auto"/>
            <w:right w:val="none" w:sz="0" w:space="0" w:color="auto"/>
          </w:divBdr>
          <w:divsChild>
            <w:div w:id="812716363">
              <w:marLeft w:val="0"/>
              <w:marRight w:val="0"/>
              <w:marTop w:val="0"/>
              <w:marBottom w:val="0"/>
              <w:divBdr>
                <w:top w:val="none" w:sz="0" w:space="0" w:color="auto"/>
                <w:left w:val="none" w:sz="0" w:space="0" w:color="auto"/>
                <w:bottom w:val="none" w:sz="0" w:space="0" w:color="auto"/>
                <w:right w:val="none" w:sz="0" w:space="0" w:color="auto"/>
              </w:divBdr>
              <w:divsChild>
                <w:div w:id="1859545493">
                  <w:marLeft w:val="0"/>
                  <w:marRight w:val="0"/>
                  <w:marTop w:val="0"/>
                  <w:marBottom w:val="0"/>
                  <w:divBdr>
                    <w:top w:val="none" w:sz="0" w:space="0" w:color="auto"/>
                    <w:left w:val="none" w:sz="0" w:space="0" w:color="auto"/>
                    <w:bottom w:val="none" w:sz="0" w:space="0" w:color="auto"/>
                    <w:right w:val="none" w:sz="0" w:space="0" w:color="auto"/>
                  </w:divBdr>
                  <w:divsChild>
                    <w:div w:id="1427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2917">
      <w:bodyDiv w:val="1"/>
      <w:marLeft w:val="0"/>
      <w:marRight w:val="0"/>
      <w:marTop w:val="0"/>
      <w:marBottom w:val="0"/>
      <w:divBdr>
        <w:top w:val="none" w:sz="0" w:space="0" w:color="auto"/>
        <w:left w:val="none" w:sz="0" w:space="0" w:color="auto"/>
        <w:bottom w:val="none" w:sz="0" w:space="0" w:color="auto"/>
        <w:right w:val="none" w:sz="0" w:space="0" w:color="auto"/>
      </w:divBdr>
      <w:divsChild>
        <w:div w:id="144245001">
          <w:marLeft w:val="0"/>
          <w:marRight w:val="0"/>
          <w:marTop w:val="0"/>
          <w:marBottom w:val="0"/>
          <w:divBdr>
            <w:top w:val="none" w:sz="0" w:space="0" w:color="auto"/>
            <w:left w:val="none" w:sz="0" w:space="0" w:color="auto"/>
            <w:bottom w:val="none" w:sz="0" w:space="0" w:color="auto"/>
            <w:right w:val="none" w:sz="0" w:space="0" w:color="auto"/>
          </w:divBdr>
          <w:divsChild>
            <w:div w:id="1559782420">
              <w:marLeft w:val="0"/>
              <w:marRight w:val="0"/>
              <w:marTop w:val="0"/>
              <w:marBottom w:val="0"/>
              <w:divBdr>
                <w:top w:val="none" w:sz="0" w:space="0" w:color="auto"/>
                <w:left w:val="none" w:sz="0" w:space="0" w:color="auto"/>
                <w:bottom w:val="none" w:sz="0" w:space="0" w:color="auto"/>
                <w:right w:val="none" w:sz="0" w:space="0" w:color="auto"/>
              </w:divBdr>
              <w:divsChild>
                <w:div w:id="1512909819">
                  <w:marLeft w:val="0"/>
                  <w:marRight w:val="0"/>
                  <w:marTop w:val="0"/>
                  <w:marBottom w:val="0"/>
                  <w:divBdr>
                    <w:top w:val="none" w:sz="0" w:space="0" w:color="auto"/>
                    <w:left w:val="none" w:sz="0" w:space="0" w:color="auto"/>
                    <w:bottom w:val="none" w:sz="0" w:space="0" w:color="auto"/>
                    <w:right w:val="none" w:sz="0" w:space="0" w:color="auto"/>
                  </w:divBdr>
                  <w:divsChild>
                    <w:div w:id="3715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24975">
      <w:bodyDiv w:val="1"/>
      <w:marLeft w:val="0"/>
      <w:marRight w:val="0"/>
      <w:marTop w:val="0"/>
      <w:marBottom w:val="0"/>
      <w:divBdr>
        <w:top w:val="none" w:sz="0" w:space="0" w:color="auto"/>
        <w:left w:val="none" w:sz="0" w:space="0" w:color="auto"/>
        <w:bottom w:val="none" w:sz="0" w:space="0" w:color="auto"/>
        <w:right w:val="none" w:sz="0" w:space="0" w:color="auto"/>
      </w:divBdr>
      <w:divsChild>
        <w:div w:id="586690591">
          <w:marLeft w:val="0"/>
          <w:marRight w:val="0"/>
          <w:marTop w:val="0"/>
          <w:marBottom w:val="0"/>
          <w:divBdr>
            <w:top w:val="none" w:sz="0" w:space="0" w:color="auto"/>
            <w:left w:val="none" w:sz="0" w:space="0" w:color="auto"/>
            <w:bottom w:val="none" w:sz="0" w:space="0" w:color="auto"/>
            <w:right w:val="none" w:sz="0" w:space="0" w:color="auto"/>
          </w:divBdr>
          <w:divsChild>
            <w:div w:id="1592078700">
              <w:marLeft w:val="0"/>
              <w:marRight w:val="0"/>
              <w:marTop w:val="0"/>
              <w:marBottom w:val="0"/>
              <w:divBdr>
                <w:top w:val="none" w:sz="0" w:space="0" w:color="auto"/>
                <w:left w:val="none" w:sz="0" w:space="0" w:color="auto"/>
                <w:bottom w:val="none" w:sz="0" w:space="0" w:color="auto"/>
                <w:right w:val="none" w:sz="0" w:space="0" w:color="auto"/>
              </w:divBdr>
              <w:divsChild>
                <w:div w:id="971255136">
                  <w:marLeft w:val="0"/>
                  <w:marRight w:val="0"/>
                  <w:marTop w:val="0"/>
                  <w:marBottom w:val="0"/>
                  <w:divBdr>
                    <w:top w:val="none" w:sz="0" w:space="0" w:color="auto"/>
                    <w:left w:val="none" w:sz="0" w:space="0" w:color="auto"/>
                    <w:bottom w:val="none" w:sz="0" w:space="0" w:color="auto"/>
                    <w:right w:val="none" w:sz="0" w:space="0" w:color="auto"/>
                  </w:divBdr>
                  <w:divsChild>
                    <w:div w:id="16789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21661">
      <w:bodyDiv w:val="1"/>
      <w:marLeft w:val="0"/>
      <w:marRight w:val="0"/>
      <w:marTop w:val="0"/>
      <w:marBottom w:val="0"/>
      <w:divBdr>
        <w:top w:val="none" w:sz="0" w:space="0" w:color="auto"/>
        <w:left w:val="none" w:sz="0" w:space="0" w:color="auto"/>
        <w:bottom w:val="none" w:sz="0" w:space="0" w:color="auto"/>
        <w:right w:val="none" w:sz="0" w:space="0" w:color="auto"/>
      </w:divBdr>
    </w:div>
    <w:div w:id="1287350754">
      <w:bodyDiv w:val="1"/>
      <w:marLeft w:val="0"/>
      <w:marRight w:val="0"/>
      <w:marTop w:val="0"/>
      <w:marBottom w:val="0"/>
      <w:divBdr>
        <w:top w:val="none" w:sz="0" w:space="0" w:color="auto"/>
        <w:left w:val="none" w:sz="0" w:space="0" w:color="auto"/>
        <w:bottom w:val="none" w:sz="0" w:space="0" w:color="auto"/>
        <w:right w:val="none" w:sz="0" w:space="0" w:color="auto"/>
      </w:divBdr>
      <w:divsChild>
        <w:div w:id="2107342218">
          <w:marLeft w:val="0"/>
          <w:marRight w:val="0"/>
          <w:marTop w:val="0"/>
          <w:marBottom w:val="0"/>
          <w:divBdr>
            <w:top w:val="none" w:sz="0" w:space="0" w:color="auto"/>
            <w:left w:val="none" w:sz="0" w:space="0" w:color="auto"/>
            <w:bottom w:val="none" w:sz="0" w:space="0" w:color="auto"/>
            <w:right w:val="none" w:sz="0" w:space="0" w:color="auto"/>
          </w:divBdr>
          <w:divsChild>
            <w:div w:id="629240526">
              <w:marLeft w:val="0"/>
              <w:marRight w:val="0"/>
              <w:marTop w:val="0"/>
              <w:marBottom w:val="0"/>
              <w:divBdr>
                <w:top w:val="none" w:sz="0" w:space="0" w:color="auto"/>
                <w:left w:val="none" w:sz="0" w:space="0" w:color="auto"/>
                <w:bottom w:val="none" w:sz="0" w:space="0" w:color="auto"/>
                <w:right w:val="none" w:sz="0" w:space="0" w:color="auto"/>
              </w:divBdr>
              <w:divsChild>
                <w:div w:id="880284217">
                  <w:marLeft w:val="0"/>
                  <w:marRight w:val="0"/>
                  <w:marTop w:val="0"/>
                  <w:marBottom w:val="0"/>
                  <w:divBdr>
                    <w:top w:val="none" w:sz="0" w:space="0" w:color="auto"/>
                    <w:left w:val="none" w:sz="0" w:space="0" w:color="auto"/>
                    <w:bottom w:val="none" w:sz="0" w:space="0" w:color="auto"/>
                    <w:right w:val="none" w:sz="0" w:space="0" w:color="auto"/>
                  </w:divBdr>
                  <w:divsChild>
                    <w:div w:id="1875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42181">
      <w:bodyDiv w:val="1"/>
      <w:marLeft w:val="0"/>
      <w:marRight w:val="0"/>
      <w:marTop w:val="0"/>
      <w:marBottom w:val="0"/>
      <w:divBdr>
        <w:top w:val="none" w:sz="0" w:space="0" w:color="auto"/>
        <w:left w:val="none" w:sz="0" w:space="0" w:color="auto"/>
        <w:bottom w:val="none" w:sz="0" w:space="0" w:color="auto"/>
        <w:right w:val="none" w:sz="0" w:space="0" w:color="auto"/>
      </w:divBdr>
    </w:div>
    <w:div w:id="1356032805">
      <w:bodyDiv w:val="1"/>
      <w:marLeft w:val="0"/>
      <w:marRight w:val="0"/>
      <w:marTop w:val="0"/>
      <w:marBottom w:val="0"/>
      <w:divBdr>
        <w:top w:val="none" w:sz="0" w:space="0" w:color="auto"/>
        <w:left w:val="none" w:sz="0" w:space="0" w:color="auto"/>
        <w:bottom w:val="none" w:sz="0" w:space="0" w:color="auto"/>
        <w:right w:val="none" w:sz="0" w:space="0" w:color="auto"/>
      </w:divBdr>
      <w:divsChild>
        <w:div w:id="1077433015">
          <w:marLeft w:val="0"/>
          <w:marRight w:val="0"/>
          <w:marTop w:val="0"/>
          <w:marBottom w:val="0"/>
          <w:divBdr>
            <w:top w:val="none" w:sz="0" w:space="0" w:color="auto"/>
            <w:left w:val="none" w:sz="0" w:space="0" w:color="auto"/>
            <w:bottom w:val="none" w:sz="0" w:space="0" w:color="auto"/>
            <w:right w:val="none" w:sz="0" w:space="0" w:color="auto"/>
          </w:divBdr>
          <w:divsChild>
            <w:div w:id="1666164">
              <w:marLeft w:val="0"/>
              <w:marRight w:val="0"/>
              <w:marTop w:val="0"/>
              <w:marBottom w:val="0"/>
              <w:divBdr>
                <w:top w:val="none" w:sz="0" w:space="0" w:color="auto"/>
                <w:left w:val="none" w:sz="0" w:space="0" w:color="auto"/>
                <w:bottom w:val="none" w:sz="0" w:space="0" w:color="auto"/>
                <w:right w:val="none" w:sz="0" w:space="0" w:color="auto"/>
              </w:divBdr>
              <w:divsChild>
                <w:div w:id="4870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93540">
      <w:bodyDiv w:val="1"/>
      <w:marLeft w:val="0"/>
      <w:marRight w:val="0"/>
      <w:marTop w:val="0"/>
      <w:marBottom w:val="0"/>
      <w:divBdr>
        <w:top w:val="none" w:sz="0" w:space="0" w:color="auto"/>
        <w:left w:val="none" w:sz="0" w:space="0" w:color="auto"/>
        <w:bottom w:val="none" w:sz="0" w:space="0" w:color="auto"/>
        <w:right w:val="none" w:sz="0" w:space="0" w:color="auto"/>
      </w:divBdr>
      <w:divsChild>
        <w:div w:id="1941449349">
          <w:marLeft w:val="0"/>
          <w:marRight w:val="0"/>
          <w:marTop w:val="0"/>
          <w:marBottom w:val="0"/>
          <w:divBdr>
            <w:top w:val="none" w:sz="0" w:space="0" w:color="auto"/>
            <w:left w:val="none" w:sz="0" w:space="0" w:color="auto"/>
            <w:bottom w:val="none" w:sz="0" w:space="0" w:color="auto"/>
            <w:right w:val="none" w:sz="0" w:space="0" w:color="auto"/>
          </w:divBdr>
          <w:divsChild>
            <w:div w:id="1938175633">
              <w:marLeft w:val="0"/>
              <w:marRight w:val="0"/>
              <w:marTop w:val="0"/>
              <w:marBottom w:val="0"/>
              <w:divBdr>
                <w:top w:val="none" w:sz="0" w:space="0" w:color="auto"/>
                <w:left w:val="none" w:sz="0" w:space="0" w:color="auto"/>
                <w:bottom w:val="none" w:sz="0" w:space="0" w:color="auto"/>
                <w:right w:val="none" w:sz="0" w:space="0" w:color="auto"/>
              </w:divBdr>
              <w:divsChild>
                <w:div w:id="42226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5603">
      <w:bodyDiv w:val="1"/>
      <w:marLeft w:val="0"/>
      <w:marRight w:val="0"/>
      <w:marTop w:val="0"/>
      <w:marBottom w:val="0"/>
      <w:divBdr>
        <w:top w:val="none" w:sz="0" w:space="0" w:color="auto"/>
        <w:left w:val="none" w:sz="0" w:space="0" w:color="auto"/>
        <w:bottom w:val="none" w:sz="0" w:space="0" w:color="auto"/>
        <w:right w:val="none" w:sz="0" w:space="0" w:color="auto"/>
      </w:divBdr>
      <w:divsChild>
        <w:div w:id="1424304263">
          <w:marLeft w:val="0"/>
          <w:marRight w:val="0"/>
          <w:marTop w:val="0"/>
          <w:marBottom w:val="0"/>
          <w:divBdr>
            <w:top w:val="none" w:sz="0" w:space="0" w:color="auto"/>
            <w:left w:val="none" w:sz="0" w:space="0" w:color="auto"/>
            <w:bottom w:val="none" w:sz="0" w:space="0" w:color="auto"/>
            <w:right w:val="none" w:sz="0" w:space="0" w:color="auto"/>
          </w:divBdr>
          <w:divsChild>
            <w:div w:id="454564087">
              <w:marLeft w:val="0"/>
              <w:marRight w:val="0"/>
              <w:marTop w:val="0"/>
              <w:marBottom w:val="0"/>
              <w:divBdr>
                <w:top w:val="none" w:sz="0" w:space="0" w:color="auto"/>
                <w:left w:val="none" w:sz="0" w:space="0" w:color="auto"/>
                <w:bottom w:val="none" w:sz="0" w:space="0" w:color="auto"/>
                <w:right w:val="none" w:sz="0" w:space="0" w:color="auto"/>
              </w:divBdr>
              <w:divsChild>
                <w:div w:id="1141271685">
                  <w:marLeft w:val="0"/>
                  <w:marRight w:val="0"/>
                  <w:marTop w:val="0"/>
                  <w:marBottom w:val="0"/>
                  <w:divBdr>
                    <w:top w:val="none" w:sz="0" w:space="0" w:color="auto"/>
                    <w:left w:val="none" w:sz="0" w:space="0" w:color="auto"/>
                    <w:bottom w:val="none" w:sz="0" w:space="0" w:color="auto"/>
                    <w:right w:val="none" w:sz="0" w:space="0" w:color="auto"/>
                  </w:divBdr>
                  <w:divsChild>
                    <w:div w:id="2081319491">
                      <w:marLeft w:val="0"/>
                      <w:marRight w:val="0"/>
                      <w:marTop w:val="0"/>
                      <w:marBottom w:val="0"/>
                      <w:divBdr>
                        <w:top w:val="none" w:sz="0" w:space="0" w:color="auto"/>
                        <w:left w:val="none" w:sz="0" w:space="0" w:color="auto"/>
                        <w:bottom w:val="none" w:sz="0" w:space="0" w:color="auto"/>
                        <w:right w:val="none" w:sz="0" w:space="0" w:color="auto"/>
                      </w:divBdr>
                    </w:div>
                  </w:divsChild>
                </w:div>
                <w:div w:id="673264134">
                  <w:marLeft w:val="0"/>
                  <w:marRight w:val="0"/>
                  <w:marTop w:val="0"/>
                  <w:marBottom w:val="0"/>
                  <w:divBdr>
                    <w:top w:val="none" w:sz="0" w:space="0" w:color="auto"/>
                    <w:left w:val="none" w:sz="0" w:space="0" w:color="auto"/>
                    <w:bottom w:val="none" w:sz="0" w:space="0" w:color="auto"/>
                    <w:right w:val="none" w:sz="0" w:space="0" w:color="auto"/>
                  </w:divBdr>
                  <w:divsChild>
                    <w:div w:id="18577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5798">
      <w:bodyDiv w:val="1"/>
      <w:marLeft w:val="0"/>
      <w:marRight w:val="0"/>
      <w:marTop w:val="0"/>
      <w:marBottom w:val="0"/>
      <w:divBdr>
        <w:top w:val="none" w:sz="0" w:space="0" w:color="auto"/>
        <w:left w:val="none" w:sz="0" w:space="0" w:color="auto"/>
        <w:bottom w:val="none" w:sz="0" w:space="0" w:color="auto"/>
        <w:right w:val="none" w:sz="0" w:space="0" w:color="auto"/>
      </w:divBdr>
    </w:div>
    <w:div w:id="1469737647">
      <w:bodyDiv w:val="1"/>
      <w:marLeft w:val="0"/>
      <w:marRight w:val="0"/>
      <w:marTop w:val="0"/>
      <w:marBottom w:val="0"/>
      <w:divBdr>
        <w:top w:val="none" w:sz="0" w:space="0" w:color="auto"/>
        <w:left w:val="none" w:sz="0" w:space="0" w:color="auto"/>
        <w:bottom w:val="none" w:sz="0" w:space="0" w:color="auto"/>
        <w:right w:val="none" w:sz="0" w:space="0" w:color="auto"/>
      </w:divBdr>
      <w:divsChild>
        <w:div w:id="657533737">
          <w:marLeft w:val="0"/>
          <w:marRight w:val="0"/>
          <w:marTop w:val="0"/>
          <w:marBottom w:val="0"/>
          <w:divBdr>
            <w:top w:val="none" w:sz="0" w:space="0" w:color="auto"/>
            <w:left w:val="none" w:sz="0" w:space="0" w:color="auto"/>
            <w:bottom w:val="none" w:sz="0" w:space="0" w:color="auto"/>
            <w:right w:val="none" w:sz="0" w:space="0" w:color="auto"/>
          </w:divBdr>
          <w:divsChild>
            <w:div w:id="1872914133">
              <w:marLeft w:val="0"/>
              <w:marRight w:val="0"/>
              <w:marTop w:val="0"/>
              <w:marBottom w:val="0"/>
              <w:divBdr>
                <w:top w:val="none" w:sz="0" w:space="0" w:color="auto"/>
                <w:left w:val="none" w:sz="0" w:space="0" w:color="auto"/>
                <w:bottom w:val="none" w:sz="0" w:space="0" w:color="auto"/>
                <w:right w:val="none" w:sz="0" w:space="0" w:color="auto"/>
              </w:divBdr>
              <w:divsChild>
                <w:div w:id="2023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18839">
      <w:bodyDiv w:val="1"/>
      <w:marLeft w:val="0"/>
      <w:marRight w:val="0"/>
      <w:marTop w:val="0"/>
      <w:marBottom w:val="0"/>
      <w:divBdr>
        <w:top w:val="none" w:sz="0" w:space="0" w:color="auto"/>
        <w:left w:val="none" w:sz="0" w:space="0" w:color="auto"/>
        <w:bottom w:val="none" w:sz="0" w:space="0" w:color="auto"/>
        <w:right w:val="none" w:sz="0" w:space="0" w:color="auto"/>
      </w:divBdr>
    </w:div>
    <w:div w:id="1651982460">
      <w:bodyDiv w:val="1"/>
      <w:marLeft w:val="0"/>
      <w:marRight w:val="0"/>
      <w:marTop w:val="0"/>
      <w:marBottom w:val="0"/>
      <w:divBdr>
        <w:top w:val="none" w:sz="0" w:space="0" w:color="auto"/>
        <w:left w:val="none" w:sz="0" w:space="0" w:color="auto"/>
        <w:bottom w:val="none" w:sz="0" w:space="0" w:color="auto"/>
        <w:right w:val="none" w:sz="0" w:space="0" w:color="auto"/>
      </w:divBdr>
      <w:divsChild>
        <w:div w:id="1186404570">
          <w:marLeft w:val="0"/>
          <w:marRight w:val="0"/>
          <w:marTop w:val="0"/>
          <w:marBottom w:val="0"/>
          <w:divBdr>
            <w:top w:val="none" w:sz="0" w:space="0" w:color="auto"/>
            <w:left w:val="none" w:sz="0" w:space="0" w:color="auto"/>
            <w:bottom w:val="none" w:sz="0" w:space="0" w:color="auto"/>
            <w:right w:val="none" w:sz="0" w:space="0" w:color="auto"/>
          </w:divBdr>
          <w:divsChild>
            <w:div w:id="571502885">
              <w:marLeft w:val="0"/>
              <w:marRight w:val="0"/>
              <w:marTop w:val="0"/>
              <w:marBottom w:val="0"/>
              <w:divBdr>
                <w:top w:val="none" w:sz="0" w:space="0" w:color="auto"/>
                <w:left w:val="none" w:sz="0" w:space="0" w:color="auto"/>
                <w:bottom w:val="none" w:sz="0" w:space="0" w:color="auto"/>
                <w:right w:val="none" w:sz="0" w:space="0" w:color="auto"/>
              </w:divBdr>
              <w:divsChild>
                <w:div w:id="342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65399">
      <w:bodyDiv w:val="1"/>
      <w:marLeft w:val="0"/>
      <w:marRight w:val="0"/>
      <w:marTop w:val="0"/>
      <w:marBottom w:val="0"/>
      <w:divBdr>
        <w:top w:val="none" w:sz="0" w:space="0" w:color="auto"/>
        <w:left w:val="none" w:sz="0" w:space="0" w:color="auto"/>
        <w:bottom w:val="none" w:sz="0" w:space="0" w:color="auto"/>
        <w:right w:val="none" w:sz="0" w:space="0" w:color="auto"/>
      </w:divBdr>
      <w:divsChild>
        <w:div w:id="517237306">
          <w:marLeft w:val="0"/>
          <w:marRight w:val="0"/>
          <w:marTop w:val="0"/>
          <w:marBottom w:val="0"/>
          <w:divBdr>
            <w:top w:val="none" w:sz="0" w:space="0" w:color="auto"/>
            <w:left w:val="none" w:sz="0" w:space="0" w:color="auto"/>
            <w:bottom w:val="none" w:sz="0" w:space="0" w:color="auto"/>
            <w:right w:val="none" w:sz="0" w:space="0" w:color="auto"/>
          </w:divBdr>
          <w:divsChild>
            <w:div w:id="1711606455">
              <w:marLeft w:val="0"/>
              <w:marRight w:val="0"/>
              <w:marTop w:val="0"/>
              <w:marBottom w:val="0"/>
              <w:divBdr>
                <w:top w:val="none" w:sz="0" w:space="0" w:color="auto"/>
                <w:left w:val="none" w:sz="0" w:space="0" w:color="auto"/>
                <w:bottom w:val="none" w:sz="0" w:space="0" w:color="auto"/>
                <w:right w:val="none" w:sz="0" w:space="0" w:color="auto"/>
              </w:divBdr>
              <w:divsChild>
                <w:div w:id="17170908">
                  <w:marLeft w:val="0"/>
                  <w:marRight w:val="0"/>
                  <w:marTop w:val="0"/>
                  <w:marBottom w:val="0"/>
                  <w:divBdr>
                    <w:top w:val="none" w:sz="0" w:space="0" w:color="auto"/>
                    <w:left w:val="none" w:sz="0" w:space="0" w:color="auto"/>
                    <w:bottom w:val="none" w:sz="0" w:space="0" w:color="auto"/>
                    <w:right w:val="none" w:sz="0" w:space="0" w:color="auto"/>
                  </w:divBdr>
                  <w:divsChild>
                    <w:div w:id="20333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67691">
      <w:bodyDiv w:val="1"/>
      <w:marLeft w:val="0"/>
      <w:marRight w:val="0"/>
      <w:marTop w:val="0"/>
      <w:marBottom w:val="0"/>
      <w:divBdr>
        <w:top w:val="none" w:sz="0" w:space="0" w:color="auto"/>
        <w:left w:val="none" w:sz="0" w:space="0" w:color="auto"/>
        <w:bottom w:val="none" w:sz="0" w:space="0" w:color="auto"/>
        <w:right w:val="none" w:sz="0" w:space="0" w:color="auto"/>
      </w:divBdr>
    </w:div>
    <w:div w:id="1773740149">
      <w:bodyDiv w:val="1"/>
      <w:marLeft w:val="0"/>
      <w:marRight w:val="0"/>
      <w:marTop w:val="0"/>
      <w:marBottom w:val="0"/>
      <w:divBdr>
        <w:top w:val="none" w:sz="0" w:space="0" w:color="auto"/>
        <w:left w:val="none" w:sz="0" w:space="0" w:color="auto"/>
        <w:bottom w:val="none" w:sz="0" w:space="0" w:color="auto"/>
        <w:right w:val="none" w:sz="0" w:space="0" w:color="auto"/>
      </w:divBdr>
    </w:div>
    <w:div w:id="1813057783">
      <w:bodyDiv w:val="1"/>
      <w:marLeft w:val="0"/>
      <w:marRight w:val="0"/>
      <w:marTop w:val="0"/>
      <w:marBottom w:val="0"/>
      <w:divBdr>
        <w:top w:val="none" w:sz="0" w:space="0" w:color="auto"/>
        <w:left w:val="none" w:sz="0" w:space="0" w:color="auto"/>
        <w:bottom w:val="none" w:sz="0" w:space="0" w:color="auto"/>
        <w:right w:val="none" w:sz="0" w:space="0" w:color="auto"/>
      </w:divBdr>
    </w:div>
    <w:div w:id="1861695425">
      <w:bodyDiv w:val="1"/>
      <w:marLeft w:val="0"/>
      <w:marRight w:val="0"/>
      <w:marTop w:val="0"/>
      <w:marBottom w:val="0"/>
      <w:divBdr>
        <w:top w:val="none" w:sz="0" w:space="0" w:color="auto"/>
        <w:left w:val="none" w:sz="0" w:space="0" w:color="auto"/>
        <w:bottom w:val="none" w:sz="0" w:space="0" w:color="auto"/>
        <w:right w:val="none" w:sz="0" w:space="0" w:color="auto"/>
      </w:divBdr>
      <w:divsChild>
        <w:div w:id="1384794460">
          <w:marLeft w:val="0"/>
          <w:marRight w:val="0"/>
          <w:marTop w:val="0"/>
          <w:marBottom w:val="0"/>
          <w:divBdr>
            <w:top w:val="none" w:sz="0" w:space="0" w:color="auto"/>
            <w:left w:val="none" w:sz="0" w:space="0" w:color="auto"/>
            <w:bottom w:val="none" w:sz="0" w:space="0" w:color="auto"/>
            <w:right w:val="none" w:sz="0" w:space="0" w:color="auto"/>
          </w:divBdr>
          <w:divsChild>
            <w:div w:id="1792823641">
              <w:marLeft w:val="0"/>
              <w:marRight w:val="0"/>
              <w:marTop w:val="0"/>
              <w:marBottom w:val="0"/>
              <w:divBdr>
                <w:top w:val="none" w:sz="0" w:space="0" w:color="auto"/>
                <w:left w:val="none" w:sz="0" w:space="0" w:color="auto"/>
                <w:bottom w:val="none" w:sz="0" w:space="0" w:color="auto"/>
                <w:right w:val="none" w:sz="0" w:space="0" w:color="auto"/>
              </w:divBdr>
              <w:divsChild>
                <w:div w:id="694498304">
                  <w:marLeft w:val="0"/>
                  <w:marRight w:val="0"/>
                  <w:marTop w:val="0"/>
                  <w:marBottom w:val="0"/>
                  <w:divBdr>
                    <w:top w:val="none" w:sz="0" w:space="0" w:color="auto"/>
                    <w:left w:val="none" w:sz="0" w:space="0" w:color="auto"/>
                    <w:bottom w:val="none" w:sz="0" w:space="0" w:color="auto"/>
                    <w:right w:val="none" w:sz="0" w:space="0" w:color="auto"/>
                  </w:divBdr>
                  <w:divsChild>
                    <w:div w:id="13055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7060">
      <w:bodyDiv w:val="1"/>
      <w:marLeft w:val="0"/>
      <w:marRight w:val="0"/>
      <w:marTop w:val="0"/>
      <w:marBottom w:val="0"/>
      <w:divBdr>
        <w:top w:val="none" w:sz="0" w:space="0" w:color="auto"/>
        <w:left w:val="none" w:sz="0" w:space="0" w:color="auto"/>
        <w:bottom w:val="none" w:sz="0" w:space="0" w:color="auto"/>
        <w:right w:val="none" w:sz="0" w:space="0" w:color="auto"/>
      </w:divBdr>
      <w:divsChild>
        <w:div w:id="97070806">
          <w:marLeft w:val="0"/>
          <w:marRight w:val="0"/>
          <w:marTop w:val="0"/>
          <w:marBottom w:val="0"/>
          <w:divBdr>
            <w:top w:val="none" w:sz="0" w:space="0" w:color="auto"/>
            <w:left w:val="none" w:sz="0" w:space="0" w:color="auto"/>
            <w:bottom w:val="none" w:sz="0" w:space="0" w:color="auto"/>
            <w:right w:val="none" w:sz="0" w:space="0" w:color="auto"/>
          </w:divBdr>
          <w:divsChild>
            <w:div w:id="1301304026">
              <w:marLeft w:val="0"/>
              <w:marRight w:val="0"/>
              <w:marTop w:val="0"/>
              <w:marBottom w:val="0"/>
              <w:divBdr>
                <w:top w:val="none" w:sz="0" w:space="0" w:color="auto"/>
                <w:left w:val="none" w:sz="0" w:space="0" w:color="auto"/>
                <w:bottom w:val="none" w:sz="0" w:space="0" w:color="auto"/>
                <w:right w:val="none" w:sz="0" w:space="0" w:color="auto"/>
              </w:divBdr>
              <w:divsChild>
                <w:div w:id="947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6149">
      <w:bodyDiv w:val="1"/>
      <w:marLeft w:val="0"/>
      <w:marRight w:val="0"/>
      <w:marTop w:val="0"/>
      <w:marBottom w:val="0"/>
      <w:divBdr>
        <w:top w:val="none" w:sz="0" w:space="0" w:color="auto"/>
        <w:left w:val="none" w:sz="0" w:space="0" w:color="auto"/>
        <w:bottom w:val="none" w:sz="0" w:space="0" w:color="auto"/>
        <w:right w:val="none" w:sz="0" w:space="0" w:color="auto"/>
      </w:divBdr>
    </w:div>
    <w:div w:id="1948459177">
      <w:bodyDiv w:val="1"/>
      <w:marLeft w:val="0"/>
      <w:marRight w:val="0"/>
      <w:marTop w:val="0"/>
      <w:marBottom w:val="0"/>
      <w:divBdr>
        <w:top w:val="none" w:sz="0" w:space="0" w:color="auto"/>
        <w:left w:val="none" w:sz="0" w:space="0" w:color="auto"/>
        <w:bottom w:val="none" w:sz="0" w:space="0" w:color="auto"/>
        <w:right w:val="none" w:sz="0" w:space="0" w:color="auto"/>
      </w:divBdr>
    </w:div>
    <w:div w:id="1988977537">
      <w:bodyDiv w:val="1"/>
      <w:marLeft w:val="0"/>
      <w:marRight w:val="0"/>
      <w:marTop w:val="0"/>
      <w:marBottom w:val="0"/>
      <w:divBdr>
        <w:top w:val="none" w:sz="0" w:space="0" w:color="auto"/>
        <w:left w:val="none" w:sz="0" w:space="0" w:color="auto"/>
        <w:bottom w:val="none" w:sz="0" w:space="0" w:color="auto"/>
        <w:right w:val="none" w:sz="0" w:space="0" w:color="auto"/>
      </w:divBdr>
      <w:divsChild>
        <w:div w:id="904485554">
          <w:marLeft w:val="0"/>
          <w:marRight w:val="0"/>
          <w:marTop w:val="0"/>
          <w:marBottom w:val="0"/>
          <w:divBdr>
            <w:top w:val="none" w:sz="0" w:space="0" w:color="auto"/>
            <w:left w:val="none" w:sz="0" w:space="0" w:color="auto"/>
            <w:bottom w:val="none" w:sz="0" w:space="0" w:color="auto"/>
            <w:right w:val="none" w:sz="0" w:space="0" w:color="auto"/>
          </w:divBdr>
          <w:divsChild>
            <w:div w:id="1174808994">
              <w:marLeft w:val="0"/>
              <w:marRight w:val="0"/>
              <w:marTop w:val="0"/>
              <w:marBottom w:val="0"/>
              <w:divBdr>
                <w:top w:val="none" w:sz="0" w:space="0" w:color="auto"/>
                <w:left w:val="none" w:sz="0" w:space="0" w:color="auto"/>
                <w:bottom w:val="none" w:sz="0" w:space="0" w:color="auto"/>
                <w:right w:val="none" w:sz="0" w:space="0" w:color="auto"/>
              </w:divBdr>
              <w:divsChild>
                <w:div w:id="595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4283">
      <w:bodyDiv w:val="1"/>
      <w:marLeft w:val="0"/>
      <w:marRight w:val="0"/>
      <w:marTop w:val="0"/>
      <w:marBottom w:val="0"/>
      <w:divBdr>
        <w:top w:val="none" w:sz="0" w:space="0" w:color="auto"/>
        <w:left w:val="none" w:sz="0" w:space="0" w:color="auto"/>
        <w:bottom w:val="none" w:sz="0" w:space="0" w:color="auto"/>
        <w:right w:val="none" w:sz="0" w:space="0" w:color="auto"/>
      </w:divBdr>
      <w:divsChild>
        <w:div w:id="956184730">
          <w:marLeft w:val="0"/>
          <w:marRight w:val="0"/>
          <w:marTop w:val="0"/>
          <w:marBottom w:val="0"/>
          <w:divBdr>
            <w:top w:val="none" w:sz="0" w:space="0" w:color="auto"/>
            <w:left w:val="none" w:sz="0" w:space="0" w:color="auto"/>
            <w:bottom w:val="none" w:sz="0" w:space="0" w:color="auto"/>
            <w:right w:val="none" w:sz="0" w:space="0" w:color="auto"/>
          </w:divBdr>
          <w:divsChild>
            <w:div w:id="1384014826">
              <w:marLeft w:val="0"/>
              <w:marRight w:val="0"/>
              <w:marTop w:val="0"/>
              <w:marBottom w:val="0"/>
              <w:divBdr>
                <w:top w:val="none" w:sz="0" w:space="0" w:color="auto"/>
                <w:left w:val="none" w:sz="0" w:space="0" w:color="auto"/>
                <w:bottom w:val="none" w:sz="0" w:space="0" w:color="auto"/>
                <w:right w:val="none" w:sz="0" w:space="0" w:color="auto"/>
              </w:divBdr>
              <w:divsChild>
                <w:div w:id="1725523680">
                  <w:marLeft w:val="0"/>
                  <w:marRight w:val="0"/>
                  <w:marTop w:val="0"/>
                  <w:marBottom w:val="0"/>
                  <w:divBdr>
                    <w:top w:val="none" w:sz="0" w:space="0" w:color="auto"/>
                    <w:left w:val="none" w:sz="0" w:space="0" w:color="auto"/>
                    <w:bottom w:val="none" w:sz="0" w:space="0" w:color="auto"/>
                    <w:right w:val="none" w:sz="0" w:space="0" w:color="auto"/>
                  </w:divBdr>
                  <w:divsChild>
                    <w:div w:id="16579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06375">
      <w:bodyDiv w:val="1"/>
      <w:marLeft w:val="0"/>
      <w:marRight w:val="0"/>
      <w:marTop w:val="0"/>
      <w:marBottom w:val="0"/>
      <w:divBdr>
        <w:top w:val="none" w:sz="0" w:space="0" w:color="auto"/>
        <w:left w:val="none" w:sz="0" w:space="0" w:color="auto"/>
        <w:bottom w:val="none" w:sz="0" w:space="0" w:color="auto"/>
        <w:right w:val="none" w:sz="0" w:space="0" w:color="auto"/>
      </w:divBdr>
      <w:divsChild>
        <w:div w:id="260376519">
          <w:marLeft w:val="0"/>
          <w:marRight w:val="0"/>
          <w:marTop w:val="0"/>
          <w:marBottom w:val="0"/>
          <w:divBdr>
            <w:top w:val="none" w:sz="0" w:space="0" w:color="auto"/>
            <w:left w:val="none" w:sz="0" w:space="0" w:color="auto"/>
            <w:bottom w:val="none" w:sz="0" w:space="0" w:color="auto"/>
            <w:right w:val="none" w:sz="0" w:space="0" w:color="auto"/>
          </w:divBdr>
          <w:divsChild>
            <w:div w:id="779836182">
              <w:marLeft w:val="0"/>
              <w:marRight w:val="0"/>
              <w:marTop w:val="0"/>
              <w:marBottom w:val="0"/>
              <w:divBdr>
                <w:top w:val="none" w:sz="0" w:space="0" w:color="auto"/>
                <w:left w:val="none" w:sz="0" w:space="0" w:color="auto"/>
                <w:bottom w:val="none" w:sz="0" w:space="0" w:color="auto"/>
                <w:right w:val="none" w:sz="0" w:space="0" w:color="auto"/>
              </w:divBdr>
              <w:divsChild>
                <w:div w:id="12743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4224">
      <w:bodyDiv w:val="1"/>
      <w:marLeft w:val="0"/>
      <w:marRight w:val="0"/>
      <w:marTop w:val="0"/>
      <w:marBottom w:val="0"/>
      <w:divBdr>
        <w:top w:val="none" w:sz="0" w:space="0" w:color="auto"/>
        <w:left w:val="none" w:sz="0" w:space="0" w:color="auto"/>
        <w:bottom w:val="none" w:sz="0" w:space="0" w:color="auto"/>
        <w:right w:val="none" w:sz="0" w:space="0" w:color="auto"/>
      </w:divBdr>
      <w:divsChild>
        <w:div w:id="1092704545">
          <w:marLeft w:val="0"/>
          <w:marRight w:val="0"/>
          <w:marTop w:val="0"/>
          <w:marBottom w:val="0"/>
          <w:divBdr>
            <w:top w:val="none" w:sz="0" w:space="0" w:color="auto"/>
            <w:left w:val="none" w:sz="0" w:space="0" w:color="auto"/>
            <w:bottom w:val="none" w:sz="0" w:space="0" w:color="auto"/>
            <w:right w:val="none" w:sz="0" w:space="0" w:color="auto"/>
          </w:divBdr>
          <w:divsChild>
            <w:div w:id="1688798030">
              <w:marLeft w:val="0"/>
              <w:marRight w:val="0"/>
              <w:marTop w:val="0"/>
              <w:marBottom w:val="0"/>
              <w:divBdr>
                <w:top w:val="none" w:sz="0" w:space="0" w:color="auto"/>
                <w:left w:val="none" w:sz="0" w:space="0" w:color="auto"/>
                <w:bottom w:val="none" w:sz="0" w:space="0" w:color="auto"/>
                <w:right w:val="none" w:sz="0" w:space="0" w:color="auto"/>
              </w:divBdr>
              <w:divsChild>
                <w:div w:id="10462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58452">
      <w:bodyDiv w:val="1"/>
      <w:marLeft w:val="0"/>
      <w:marRight w:val="0"/>
      <w:marTop w:val="0"/>
      <w:marBottom w:val="0"/>
      <w:divBdr>
        <w:top w:val="none" w:sz="0" w:space="0" w:color="auto"/>
        <w:left w:val="none" w:sz="0" w:space="0" w:color="auto"/>
        <w:bottom w:val="none" w:sz="0" w:space="0" w:color="auto"/>
        <w:right w:val="none" w:sz="0" w:space="0" w:color="auto"/>
      </w:divBdr>
      <w:divsChild>
        <w:div w:id="1406805898">
          <w:marLeft w:val="0"/>
          <w:marRight w:val="0"/>
          <w:marTop w:val="0"/>
          <w:marBottom w:val="0"/>
          <w:divBdr>
            <w:top w:val="none" w:sz="0" w:space="0" w:color="auto"/>
            <w:left w:val="none" w:sz="0" w:space="0" w:color="auto"/>
            <w:bottom w:val="none" w:sz="0" w:space="0" w:color="auto"/>
            <w:right w:val="none" w:sz="0" w:space="0" w:color="auto"/>
          </w:divBdr>
          <w:divsChild>
            <w:div w:id="1026250567">
              <w:marLeft w:val="0"/>
              <w:marRight w:val="0"/>
              <w:marTop w:val="0"/>
              <w:marBottom w:val="0"/>
              <w:divBdr>
                <w:top w:val="none" w:sz="0" w:space="0" w:color="auto"/>
                <w:left w:val="none" w:sz="0" w:space="0" w:color="auto"/>
                <w:bottom w:val="none" w:sz="0" w:space="0" w:color="auto"/>
                <w:right w:val="none" w:sz="0" w:space="0" w:color="auto"/>
              </w:divBdr>
              <w:divsChild>
                <w:div w:id="2906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5399">
      <w:bodyDiv w:val="1"/>
      <w:marLeft w:val="0"/>
      <w:marRight w:val="0"/>
      <w:marTop w:val="0"/>
      <w:marBottom w:val="0"/>
      <w:divBdr>
        <w:top w:val="none" w:sz="0" w:space="0" w:color="auto"/>
        <w:left w:val="none" w:sz="0" w:space="0" w:color="auto"/>
        <w:bottom w:val="none" w:sz="0" w:space="0" w:color="auto"/>
        <w:right w:val="none" w:sz="0" w:space="0" w:color="auto"/>
      </w:divBdr>
      <w:divsChild>
        <w:div w:id="699286359">
          <w:marLeft w:val="0"/>
          <w:marRight w:val="0"/>
          <w:marTop w:val="0"/>
          <w:marBottom w:val="0"/>
          <w:divBdr>
            <w:top w:val="none" w:sz="0" w:space="0" w:color="auto"/>
            <w:left w:val="none" w:sz="0" w:space="0" w:color="auto"/>
            <w:bottom w:val="none" w:sz="0" w:space="0" w:color="auto"/>
            <w:right w:val="none" w:sz="0" w:space="0" w:color="auto"/>
          </w:divBdr>
          <w:divsChild>
            <w:div w:id="323776224">
              <w:marLeft w:val="0"/>
              <w:marRight w:val="0"/>
              <w:marTop w:val="0"/>
              <w:marBottom w:val="0"/>
              <w:divBdr>
                <w:top w:val="none" w:sz="0" w:space="0" w:color="auto"/>
                <w:left w:val="none" w:sz="0" w:space="0" w:color="auto"/>
                <w:bottom w:val="none" w:sz="0" w:space="0" w:color="auto"/>
                <w:right w:val="none" w:sz="0" w:space="0" w:color="auto"/>
              </w:divBdr>
              <w:divsChild>
                <w:div w:id="14135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1586">
      <w:bodyDiv w:val="1"/>
      <w:marLeft w:val="0"/>
      <w:marRight w:val="0"/>
      <w:marTop w:val="0"/>
      <w:marBottom w:val="0"/>
      <w:divBdr>
        <w:top w:val="none" w:sz="0" w:space="0" w:color="auto"/>
        <w:left w:val="none" w:sz="0" w:space="0" w:color="auto"/>
        <w:bottom w:val="none" w:sz="0" w:space="0" w:color="auto"/>
        <w:right w:val="none" w:sz="0" w:space="0" w:color="auto"/>
      </w:divBdr>
    </w:div>
    <w:div w:id="2094423711">
      <w:bodyDiv w:val="1"/>
      <w:marLeft w:val="0"/>
      <w:marRight w:val="0"/>
      <w:marTop w:val="0"/>
      <w:marBottom w:val="0"/>
      <w:divBdr>
        <w:top w:val="none" w:sz="0" w:space="0" w:color="auto"/>
        <w:left w:val="none" w:sz="0" w:space="0" w:color="auto"/>
        <w:bottom w:val="none" w:sz="0" w:space="0" w:color="auto"/>
        <w:right w:val="none" w:sz="0" w:space="0" w:color="auto"/>
      </w:divBdr>
      <w:divsChild>
        <w:div w:id="1947227969">
          <w:marLeft w:val="0"/>
          <w:marRight w:val="0"/>
          <w:marTop w:val="166"/>
          <w:marBottom w:val="166"/>
          <w:divBdr>
            <w:top w:val="none" w:sz="0" w:space="0" w:color="auto"/>
            <w:left w:val="none" w:sz="0" w:space="0" w:color="auto"/>
            <w:bottom w:val="none" w:sz="0" w:space="0" w:color="auto"/>
            <w:right w:val="none" w:sz="0" w:space="0" w:color="auto"/>
          </w:divBdr>
          <w:divsChild>
            <w:div w:id="20970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52BF-BADB-44D8-8211-F3B2885C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10965</Words>
  <Characters>63008</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2019-06-24T02:24:00Z</dcterms:created>
  <dcterms:modified xsi:type="dcterms:W3CDTF">2019-06-30T23:56:00Z</dcterms:modified>
</cp:coreProperties>
</file>