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52" w:rsidRDefault="00223BEA" w:rsidP="00C12C14">
      <w:pPr>
        <w:rPr>
          <w:b/>
          <w:sz w:val="36"/>
          <w:szCs w:val="36"/>
        </w:rPr>
      </w:pPr>
      <w:r>
        <w:rPr>
          <w:b/>
          <w:sz w:val="36"/>
          <w:szCs w:val="36"/>
        </w:rPr>
        <w:t>7.06</w:t>
      </w:r>
      <w:r w:rsidR="00B60939" w:rsidRPr="00C12C14">
        <w:rPr>
          <w:b/>
          <w:sz w:val="36"/>
          <w:szCs w:val="36"/>
        </w:rPr>
        <w:tab/>
      </w:r>
      <w:r w:rsidR="00BA3755">
        <w:rPr>
          <w:b/>
          <w:sz w:val="36"/>
          <w:szCs w:val="36"/>
        </w:rPr>
        <w:t>INSULIN GLARGINE WITH LIXISENATIDE</w:t>
      </w:r>
      <w:r w:rsidR="00B60939" w:rsidRPr="00C12C14">
        <w:rPr>
          <w:b/>
          <w:sz w:val="36"/>
          <w:szCs w:val="36"/>
        </w:rPr>
        <w:t xml:space="preserve">, </w:t>
      </w:r>
    </w:p>
    <w:p w:rsidR="00433044" w:rsidRPr="005C34A8" w:rsidRDefault="00B2612B" w:rsidP="005C34A8">
      <w:pPr>
        <w:ind w:left="720"/>
        <w:jc w:val="left"/>
        <w:rPr>
          <w:b/>
          <w:sz w:val="36"/>
          <w:szCs w:val="36"/>
        </w:rPr>
      </w:pPr>
      <w:r w:rsidRPr="00B2612B">
        <w:rPr>
          <w:b/>
          <w:sz w:val="36"/>
          <w:szCs w:val="36"/>
        </w:rPr>
        <w:t xml:space="preserve">Injections (human analogue), cartridges, insulin glargine 100 units per mL with lixisenatide 50 micrograms per mL, 3 mL, 5 </w:t>
      </w:r>
      <w:r>
        <w:rPr>
          <w:b/>
          <w:sz w:val="36"/>
          <w:szCs w:val="36"/>
        </w:rPr>
        <w:br/>
      </w:r>
      <w:r w:rsidRPr="00B2612B">
        <w:rPr>
          <w:b/>
          <w:sz w:val="36"/>
          <w:szCs w:val="36"/>
        </w:rPr>
        <w:t>Injections (human analogue), cartridges, insulin glargine 100 units per mL with lixisenatide 33 micrograms per mL, 3 mL, 5</w:t>
      </w:r>
      <w:r w:rsidR="003C62C9">
        <w:rPr>
          <w:b/>
          <w:sz w:val="36"/>
          <w:szCs w:val="36"/>
        </w:rPr>
        <w:tab/>
      </w:r>
      <w:r>
        <w:rPr>
          <w:b/>
          <w:sz w:val="36"/>
          <w:szCs w:val="36"/>
        </w:rPr>
        <w:br/>
      </w:r>
      <w:r w:rsidR="00BA3755">
        <w:rPr>
          <w:b/>
          <w:sz w:val="36"/>
          <w:szCs w:val="36"/>
        </w:rPr>
        <w:t>Soliqua</w:t>
      </w:r>
      <w:r w:rsidR="003C62C9">
        <w:rPr>
          <w:b/>
          <w:sz w:val="36"/>
          <w:szCs w:val="36"/>
        </w:rPr>
        <w:t>®</w:t>
      </w:r>
      <w:r w:rsidR="00B60939" w:rsidRPr="00C12C14">
        <w:rPr>
          <w:b/>
          <w:sz w:val="36"/>
          <w:szCs w:val="36"/>
        </w:rPr>
        <w:t xml:space="preserve">, </w:t>
      </w:r>
      <w:r w:rsidR="003C62C9" w:rsidRPr="003C62C9">
        <w:rPr>
          <w:b/>
          <w:sz w:val="36"/>
          <w:szCs w:val="36"/>
        </w:rPr>
        <w:t>sanofi-aventis Australia Pty Ltd</w:t>
      </w:r>
    </w:p>
    <w:p w:rsidR="00B60939" w:rsidRPr="00882085" w:rsidRDefault="00B50DB8" w:rsidP="00B60939">
      <w:pPr>
        <w:pStyle w:val="PBACHeading1"/>
        <w:spacing w:before="240" w:after="120"/>
      </w:pPr>
      <w:bookmarkStart w:id="0" w:name="_Toc535856969"/>
      <w:r w:rsidRPr="00407F2D">
        <w:t>Purpose of Application</w:t>
      </w:r>
      <w:bookmarkEnd w:id="0"/>
    </w:p>
    <w:p w:rsidR="00223BEA" w:rsidRPr="003A7C4C" w:rsidRDefault="00223BEA" w:rsidP="00223BEA">
      <w:pPr>
        <w:pStyle w:val="ListParagraph"/>
        <w:widowControl/>
        <w:numPr>
          <w:ilvl w:val="1"/>
          <w:numId w:val="3"/>
        </w:numPr>
      </w:pPr>
      <w:r>
        <w:t xml:space="preserve">The resubmission requested a Section 85 Authority Required (STREAMLINED) listing </w:t>
      </w:r>
      <w:r w:rsidRPr="003A7C4C">
        <w:t>for insulin glargine with lixisenatide in a fixed ratio combination (FRC) for the treatment of adults with type 2 diabetes mellitus (T2DM).</w:t>
      </w:r>
      <w:r>
        <w:t xml:space="preserve"> The PBAC previously considered insulin glargine with lixisenatide FRC </w:t>
      </w:r>
      <w:r w:rsidRPr="003A7C4C">
        <w:t>at its March 2018 meeting.</w:t>
      </w:r>
    </w:p>
    <w:p w:rsidR="00D80C5D" w:rsidRDefault="00223BEA" w:rsidP="00223BEA">
      <w:pPr>
        <w:pStyle w:val="ListParagraph"/>
        <w:widowControl/>
        <w:numPr>
          <w:ilvl w:val="1"/>
          <w:numId w:val="3"/>
        </w:numPr>
      </w:pPr>
      <w:r w:rsidRPr="003A7C4C">
        <w:t xml:space="preserve">The requested listing was based on a cost-minimisation analysis of insulin glargine with lixisenatide FRC </w:t>
      </w:r>
      <w:r>
        <w:t xml:space="preserve">given once daily </w:t>
      </w:r>
      <w:r w:rsidRPr="003A7C4C">
        <w:t>compared to insulin glargine plus exenatide twice daily given separately.</w:t>
      </w:r>
      <w:r>
        <w:t xml:space="preserve"> </w:t>
      </w:r>
    </w:p>
    <w:p w:rsidR="00223BEA" w:rsidRPr="003A7C4C" w:rsidRDefault="00223BEA" w:rsidP="00223BEA">
      <w:pPr>
        <w:pStyle w:val="ListParagraph"/>
        <w:widowControl/>
        <w:numPr>
          <w:ilvl w:val="1"/>
          <w:numId w:val="3"/>
        </w:numPr>
      </w:pPr>
      <w:r w:rsidRPr="003A7C4C">
        <w:t>Table 1 presents the key components of the clinical issue addressed by the resubmission.</w:t>
      </w:r>
    </w:p>
    <w:p w:rsidR="00153E57" w:rsidRPr="0026778C" w:rsidRDefault="0026778C" w:rsidP="0026778C">
      <w:pPr>
        <w:pStyle w:val="Caption"/>
        <w:keepNext/>
        <w:spacing w:after="0"/>
        <w:ind w:left="142"/>
        <w:rPr>
          <w:rFonts w:ascii="Arial Narrow" w:hAnsi="Arial Narrow"/>
          <w:b w:val="0"/>
          <w:color w:val="auto"/>
          <w:sz w:val="20"/>
          <w:szCs w:val="20"/>
        </w:rPr>
      </w:pPr>
      <w:bookmarkStart w:id="1" w:name="_Ref534474727"/>
      <w:r w:rsidRPr="0026778C">
        <w:rPr>
          <w:rFonts w:ascii="Arial Narrow" w:hAnsi="Arial Narrow"/>
          <w:color w:val="auto"/>
          <w:sz w:val="20"/>
          <w:szCs w:val="20"/>
        </w:rPr>
        <w:t xml:space="preserve">Table </w:t>
      </w:r>
      <w:r w:rsidR="00F86B96">
        <w:rPr>
          <w:rFonts w:ascii="Arial Narrow" w:hAnsi="Arial Narrow"/>
          <w:noProof/>
          <w:color w:val="auto"/>
          <w:sz w:val="20"/>
          <w:szCs w:val="20"/>
        </w:rPr>
        <w:t>1</w:t>
      </w:r>
      <w:bookmarkEnd w:id="1"/>
      <w:r w:rsidR="00153E57" w:rsidRPr="0026778C">
        <w:rPr>
          <w:rStyle w:val="CommentReference"/>
          <w:color w:val="auto"/>
          <w:szCs w:val="20"/>
        </w:rPr>
        <w:t>:</w:t>
      </w:r>
      <w:r w:rsidR="0031604C">
        <w:rPr>
          <w:rStyle w:val="CommentReference"/>
          <w:color w:val="auto"/>
          <w:szCs w:val="20"/>
        </w:rPr>
        <w:t xml:space="preserve"> </w:t>
      </w:r>
      <w:r w:rsidR="00153E57" w:rsidRPr="0026778C">
        <w:rPr>
          <w:rStyle w:val="CommentReference"/>
          <w:b/>
          <w:color w:val="auto"/>
          <w:szCs w:val="20"/>
        </w:rPr>
        <w:t>Key components of the clinical issue addressed by the resubmission</w:t>
      </w:r>
    </w:p>
    <w:tbl>
      <w:tblPr>
        <w:tblW w:w="9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488"/>
      </w:tblGrid>
      <w:tr w:rsidR="00153E57" w:rsidRPr="00D7516C" w:rsidTr="000605E4">
        <w:tc>
          <w:tcPr>
            <w:tcW w:w="1560" w:type="dxa"/>
            <w:vAlign w:val="center"/>
          </w:tcPr>
          <w:p w:rsidR="00153E57" w:rsidRPr="00D7516C" w:rsidRDefault="00153E57" w:rsidP="00544421">
            <w:pPr>
              <w:widowControl/>
              <w:jc w:val="left"/>
              <w:rPr>
                <w:rFonts w:ascii="Arial Narrow" w:hAnsi="Arial Narrow" w:cs="Times New Roman"/>
                <w:b/>
                <w:snapToGrid/>
                <w:sz w:val="20"/>
              </w:rPr>
            </w:pPr>
            <w:r w:rsidRPr="00D7516C">
              <w:rPr>
                <w:rFonts w:ascii="Arial Narrow" w:hAnsi="Arial Narrow" w:cs="Times New Roman"/>
                <w:b/>
                <w:snapToGrid/>
                <w:sz w:val="20"/>
              </w:rPr>
              <w:t>Component</w:t>
            </w:r>
          </w:p>
        </w:tc>
        <w:tc>
          <w:tcPr>
            <w:tcW w:w="7488" w:type="dxa"/>
            <w:vAlign w:val="center"/>
          </w:tcPr>
          <w:p w:rsidR="00153E57" w:rsidRPr="00D7516C" w:rsidRDefault="00153E57" w:rsidP="00544421">
            <w:pPr>
              <w:widowControl/>
              <w:jc w:val="center"/>
              <w:rPr>
                <w:rFonts w:ascii="Arial Narrow" w:hAnsi="Arial Narrow" w:cs="Times New Roman"/>
                <w:b/>
                <w:snapToGrid/>
                <w:sz w:val="20"/>
              </w:rPr>
            </w:pPr>
            <w:r w:rsidRPr="00D7516C">
              <w:rPr>
                <w:rFonts w:ascii="Arial Narrow" w:hAnsi="Arial Narrow" w:cs="Times New Roman"/>
                <w:b/>
                <w:snapToGrid/>
                <w:sz w:val="20"/>
              </w:rPr>
              <w:t>Description</w:t>
            </w:r>
          </w:p>
        </w:tc>
      </w:tr>
      <w:tr w:rsidR="00153E57" w:rsidRPr="00D7516C" w:rsidTr="000605E4">
        <w:tc>
          <w:tcPr>
            <w:tcW w:w="1560" w:type="dxa"/>
            <w:vAlign w:val="center"/>
          </w:tcPr>
          <w:p w:rsidR="00153E57" w:rsidRPr="00D7516C" w:rsidRDefault="00153E57" w:rsidP="00544421">
            <w:pPr>
              <w:widowControl/>
              <w:jc w:val="left"/>
              <w:rPr>
                <w:rFonts w:ascii="Arial Narrow" w:hAnsi="Arial Narrow" w:cs="Times New Roman"/>
                <w:snapToGrid/>
                <w:sz w:val="20"/>
              </w:rPr>
            </w:pPr>
            <w:r w:rsidRPr="00D7516C">
              <w:rPr>
                <w:rFonts w:ascii="Arial Narrow" w:hAnsi="Arial Narrow" w:cs="Times New Roman"/>
                <w:snapToGrid/>
                <w:sz w:val="20"/>
              </w:rPr>
              <w:t>Population</w:t>
            </w:r>
          </w:p>
        </w:tc>
        <w:tc>
          <w:tcPr>
            <w:tcW w:w="7488" w:type="dxa"/>
            <w:vAlign w:val="center"/>
          </w:tcPr>
          <w:p w:rsidR="00153E57" w:rsidRPr="00D7516C" w:rsidRDefault="00153E57" w:rsidP="00544421">
            <w:pPr>
              <w:widowControl/>
              <w:jc w:val="left"/>
              <w:rPr>
                <w:rFonts w:ascii="Arial Narrow" w:hAnsi="Arial Narrow" w:cs="Times New Roman"/>
                <w:snapToGrid/>
                <w:sz w:val="20"/>
              </w:rPr>
            </w:pPr>
            <w:r w:rsidRPr="00D7516C">
              <w:rPr>
                <w:rFonts w:ascii="Arial Narrow" w:hAnsi="Arial Narrow" w:cs="Times New Roman"/>
                <w:snapToGrid/>
                <w:sz w:val="20"/>
              </w:rPr>
              <w:t>Adults with Type 2 diabetes mellitus who have inadequate glycaemic cont</w:t>
            </w:r>
            <w:r>
              <w:rPr>
                <w:rFonts w:ascii="Arial Narrow" w:hAnsi="Arial Narrow" w:cs="Times New Roman"/>
                <w:snapToGrid/>
                <w:sz w:val="20"/>
              </w:rPr>
              <w:t>rol with basal insulin</w:t>
            </w:r>
          </w:p>
        </w:tc>
      </w:tr>
      <w:tr w:rsidR="00153E57" w:rsidRPr="00D7516C" w:rsidTr="000605E4">
        <w:tc>
          <w:tcPr>
            <w:tcW w:w="1560" w:type="dxa"/>
            <w:vAlign w:val="center"/>
          </w:tcPr>
          <w:p w:rsidR="00153E57" w:rsidRPr="00D7516C" w:rsidRDefault="00153E57" w:rsidP="00544421">
            <w:pPr>
              <w:widowControl/>
              <w:jc w:val="left"/>
              <w:rPr>
                <w:rFonts w:ascii="Arial Narrow" w:hAnsi="Arial Narrow" w:cs="Times New Roman"/>
                <w:snapToGrid/>
                <w:sz w:val="20"/>
              </w:rPr>
            </w:pPr>
            <w:r w:rsidRPr="00D7516C">
              <w:rPr>
                <w:rFonts w:ascii="Arial Narrow" w:hAnsi="Arial Narrow" w:cs="Times New Roman"/>
                <w:snapToGrid/>
                <w:sz w:val="20"/>
              </w:rPr>
              <w:t>Intervention</w:t>
            </w:r>
          </w:p>
        </w:tc>
        <w:tc>
          <w:tcPr>
            <w:tcW w:w="7488" w:type="dxa"/>
            <w:vAlign w:val="center"/>
          </w:tcPr>
          <w:p w:rsidR="00153E57" w:rsidRPr="00D7516C" w:rsidRDefault="00AC41B1" w:rsidP="00544421">
            <w:pPr>
              <w:widowControl/>
              <w:jc w:val="left"/>
              <w:rPr>
                <w:rFonts w:ascii="Arial Narrow" w:hAnsi="Arial Narrow" w:cs="Times New Roman"/>
                <w:snapToGrid/>
                <w:sz w:val="20"/>
              </w:rPr>
            </w:pPr>
            <w:r>
              <w:rPr>
                <w:rFonts w:ascii="Arial Narrow" w:hAnsi="Arial Narrow" w:cs="Times New Roman"/>
                <w:snapToGrid/>
                <w:sz w:val="20"/>
              </w:rPr>
              <w:t>I</w:t>
            </w:r>
            <w:r w:rsidR="00153E57" w:rsidRPr="00D7516C">
              <w:rPr>
                <w:rFonts w:ascii="Arial Narrow" w:hAnsi="Arial Narrow" w:cs="Times New Roman"/>
                <w:snapToGrid/>
                <w:sz w:val="20"/>
              </w:rPr>
              <w:t xml:space="preserve">nsulin glargine with lixisenatide </w:t>
            </w:r>
            <w:r>
              <w:rPr>
                <w:rFonts w:ascii="Arial Narrow" w:hAnsi="Arial Narrow" w:cs="Times New Roman"/>
                <w:snapToGrid/>
                <w:sz w:val="20"/>
              </w:rPr>
              <w:t xml:space="preserve">FRC </w:t>
            </w:r>
            <w:r w:rsidR="00153E57" w:rsidRPr="00D7516C">
              <w:rPr>
                <w:rFonts w:ascii="Arial Narrow" w:hAnsi="Arial Narrow" w:cs="Times New Roman"/>
                <w:snapToGrid/>
                <w:sz w:val="20"/>
              </w:rPr>
              <w:t>administered once daily (plus metformin)</w:t>
            </w:r>
          </w:p>
        </w:tc>
      </w:tr>
      <w:tr w:rsidR="00153E57" w:rsidRPr="00D7516C" w:rsidTr="000605E4">
        <w:tc>
          <w:tcPr>
            <w:tcW w:w="1560" w:type="dxa"/>
            <w:vAlign w:val="center"/>
          </w:tcPr>
          <w:p w:rsidR="00153E57" w:rsidRPr="00D7516C" w:rsidRDefault="00153E57" w:rsidP="00544421">
            <w:pPr>
              <w:widowControl/>
              <w:jc w:val="left"/>
              <w:rPr>
                <w:rFonts w:ascii="Arial Narrow" w:hAnsi="Arial Narrow" w:cs="Times New Roman"/>
                <w:snapToGrid/>
                <w:sz w:val="20"/>
              </w:rPr>
            </w:pPr>
            <w:r w:rsidRPr="00D7516C">
              <w:rPr>
                <w:rFonts w:ascii="Arial Narrow" w:hAnsi="Arial Narrow" w:cs="Times New Roman"/>
                <w:snapToGrid/>
                <w:sz w:val="20"/>
              </w:rPr>
              <w:t>Comparator</w:t>
            </w:r>
          </w:p>
        </w:tc>
        <w:tc>
          <w:tcPr>
            <w:tcW w:w="7488" w:type="dxa"/>
            <w:vAlign w:val="center"/>
          </w:tcPr>
          <w:p w:rsidR="00153E57" w:rsidRPr="00D7516C" w:rsidRDefault="00153E57" w:rsidP="00544421">
            <w:pPr>
              <w:widowControl/>
              <w:jc w:val="left"/>
              <w:rPr>
                <w:rFonts w:ascii="Arial Narrow" w:hAnsi="Arial Narrow" w:cs="Times New Roman"/>
                <w:snapToGrid/>
                <w:sz w:val="20"/>
              </w:rPr>
            </w:pPr>
            <w:r w:rsidRPr="00D7516C">
              <w:rPr>
                <w:rFonts w:ascii="Arial Narrow" w:hAnsi="Arial Narrow" w:cs="Times New Roman"/>
                <w:snapToGrid/>
                <w:sz w:val="20"/>
              </w:rPr>
              <w:t>Insulin glargine once daily and exenatide 5 to 10 mcg twice daily (plus metformin)</w:t>
            </w:r>
          </w:p>
        </w:tc>
      </w:tr>
      <w:tr w:rsidR="00153E57" w:rsidRPr="00D7516C" w:rsidTr="000605E4">
        <w:tc>
          <w:tcPr>
            <w:tcW w:w="1560" w:type="dxa"/>
            <w:tcBorders>
              <w:bottom w:val="single" w:sz="4" w:space="0" w:color="auto"/>
            </w:tcBorders>
            <w:vAlign w:val="center"/>
          </w:tcPr>
          <w:p w:rsidR="00153E57" w:rsidRPr="00D7516C" w:rsidRDefault="00153E57" w:rsidP="00544421">
            <w:pPr>
              <w:widowControl/>
              <w:jc w:val="left"/>
              <w:rPr>
                <w:rFonts w:ascii="Arial Narrow" w:hAnsi="Arial Narrow" w:cs="Times New Roman"/>
                <w:snapToGrid/>
                <w:sz w:val="20"/>
              </w:rPr>
            </w:pPr>
            <w:r w:rsidRPr="00D7516C">
              <w:rPr>
                <w:rFonts w:ascii="Arial Narrow" w:hAnsi="Arial Narrow" w:cs="Times New Roman"/>
                <w:snapToGrid/>
                <w:sz w:val="20"/>
              </w:rPr>
              <w:t>Outcomes</w:t>
            </w:r>
          </w:p>
        </w:tc>
        <w:tc>
          <w:tcPr>
            <w:tcW w:w="7488" w:type="dxa"/>
            <w:tcBorders>
              <w:bottom w:val="single" w:sz="4" w:space="0" w:color="auto"/>
            </w:tcBorders>
            <w:vAlign w:val="center"/>
          </w:tcPr>
          <w:p w:rsidR="00153E57" w:rsidRPr="00D7516C" w:rsidRDefault="00153E57" w:rsidP="00544421">
            <w:pPr>
              <w:widowControl/>
              <w:jc w:val="left"/>
              <w:rPr>
                <w:rFonts w:ascii="Arial Narrow" w:hAnsi="Arial Narrow" w:cs="Times New Roman"/>
                <w:snapToGrid/>
                <w:sz w:val="20"/>
              </w:rPr>
            </w:pPr>
            <w:r w:rsidRPr="00D7516C">
              <w:rPr>
                <w:rFonts w:ascii="Arial Narrow" w:hAnsi="Arial Narrow" w:cs="Times New Roman"/>
                <w:snapToGrid/>
                <w:sz w:val="20"/>
              </w:rPr>
              <w:t>Glycaemic control, change in body weight, hypoglycaemic events, safety outcomes</w:t>
            </w:r>
          </w:p>
        </w:tc>
      </w:tr>
      <w:tr w:rsidR="00153E57" w:rsidRPr="00D7516C" w:rsidTr="000605E4">
        <w:tc>
          <w:tcPr>
            <w:tcW w:w="1560" w:type="dxa"/>
            <w:tcBorders>
              <w:bottom w:val="single" w:sz="4" w:space="0" w:color="auto"/>
            </w:tcBorders>
            <w:vAlign w:val="center"/>
          </w:tcPr>
          <w:p w:rsidR="00153E57" w:rsidRPr="00D7516C" w:rsidRDefault="00153E57" w:rsidP="00544421">
            <w:pPr>
              <w:widowControl/>
              <w:jc w:val="left"/>
              <w:rPr>
                <w:rFonts w:ascii="Arial Narrow" w:hAnsi="Arial Narrow" w:cs="Times New Roman"/>
                <w:snapToGrid/>
                <w:sz w:val="20"/>
              </w:rPr>
            </w:pPr>
            <w:r w:rsidRPr="00D7516C">
              <w:rPr>
                <w:rFonts w:ascii="Arial Narrow" w:hAnsi="Arial Narrow" w:cs="Times New Roman"/>
                <w:snapToGrid/>
                <w:sz w:val="20"/>
              </w:rPr>
              <w:t>Clinical claim</w:t>
            </w:r>
          </w:p>
        </w:tc>
        <w:tc>
          <w:tcPr>
            <w:tcW w:w="7488" w:type="dxa"/>
            <w:tcBorders>
              <w:bottom w:val="single" w:sz="4" w:space="0" w:color="auto"/>
            </w:tcBorders>
            <w:vAlign w:val="center"/>
          </w:tcPr>
          <w:p w:rsidR="00153E57" w:rsidRPr="00D7516C" w:rsidRDefault="00153E57" w:rsidP="00544421">
            <w:pPr>
              <w:widowControl/>
              <w:jc w:val="left"/>
              <w:rPr>
                <w:rFonts w:ascii="Arial Narrow" w:hAnsi="Arial Narrow" w:cs="Times New Roman"/>
                <w:snapToGrid/>
                <w:sz w:val="20"/>
              </w:rPr>
            </w:pPr>
            <w:r w:rsidRPr="00D7516C">
              <w:rPr>
                <w:rFonts w:ascii="Arial Narrow" w:hAnsi="Arial Narrow" w:cs="Times New Roman"/>
                <w:snapToGrid/>
                <w:sz w:val="20"/>
              </w:rPr>
              <w:t>Non-inferior efficacy in terms of glycaemic control (HbA1c), and non-inferior safety in terms of treatment-emergent adverse events and hypoglycaemia, compared to insulin glargine plus exenatide 5 to 10 mcg twice daily</w:t>
            </w:r>
          </w:p>
        </w:tc>
      </w:tr>
    </w:tbl>
    <w:p w:rsidR="00153E57" w:rsidRPr="00D7516C" w:rsidRDefault="00153E57" w:rsidP="00153E57">
      <w:pPr>
        <w:rPr>
          <w:rFonts w:ascii="Arial Narrow" w:hAnsi="Arial Narrow"/>
          <w:sz w:val="18"/>
        </w:rPr>
      </w:pPr>
      <w:r w:rsidRPr="00D7516C">
        <w:rPr>
          <w:rFonts w:ascii="Arial Narrow" w:hAnsi="Arial Narrow"/>
          <w:sz w:val="18"/>
        </w:rPr>
        <w:t>Source: Table 1.1.1, p2</w:t>
      </w:r>
      <w:r>
        <w:rPr>
          <w:rFonts w:ascii="Arial Narrow" w:hAnsi="Arial Narrow"/>
          <w:sz w:val="18"/>
        </w:rPr>
        <w:t>1</w:t>
      </w:r>
      <w:r w:rsidRPr="00D7516C">
        <w:rPr>
          <w:rFonts w:ascii="Arial Narrow" w:hAnsi="Arial Narrow"/>
          <w:sz w:val="18"/>
        </w:rPr>
        <w:t xml:space="preserve"> of the </w:t>
      </w:r>
      <w:r>
        <w:rPr>
          <w:rFonts w:ascii="Arial Narrow" w:hAnsi="Arial Narrow"/>
          <w:sz w:val="18"/>
        </w:rPr>
        <w:t>re</w:t>
      </w:r>
      <w:r w:rsidRPr="00D7516C">
        <w:rPr>
          <w:rFonts w:ascii="Arial Narrow" w:hAnsi="Arial Narrow"/>
          <w:sz w:val="18"/>
        </w:rPr>
        <w:t>submission</w:t>
      </w:r>
    </w:p>
    <w:p w:rsidR="00153E57" w:rsidRPr="00D7516C" w:rsidRDefault="00153E57" w:rsidP="00153E57">
      <w:pPr>
        <w:rPr>
          <w:rFonts w:ascii="Arial Narrow" w:hAnsi="Arial Narrow"/>
          <w:sz w:val="18"/>
        </w:rPr>
      </w:pPr>
      <w:r w:rsidRPr="00D7516C">
        <w:rPr>
          <w:rFonts w:ascii="Arial Narrow" w:hAnsi="Arial Narrow"/>
          <w:sz w:val="18"/>
        </w:rPr>
        <w:t>HbA1c, glycosylated haemoglobin</w:t>
      </w:r>
    </w:p>
    <w:p w:rsidR="001E3B61" w:rsidRDefault="001E3B61" w:rsidP="004B1CB4"/>
    <w:p w:rsidR="00DE29CF" w:rsidRDefault="00B50DB8" w:rsidP="005C34A8">
      <w:pPr>
        <w:pStyle w:val="PBACHeading1"/>
        <w:keepNext/>
        <w:keepLines/>
        <w:spacing w:before="240" w:after="120"/>
      </w:pPr>
      <w:bookmarkStart w:id="2" w:name="_Toc535856970"/>
      <w:r w:rsidRPr="00407F2D">
        <w:lastRenderedPageBreak/>
        <w:t>Requested listing</w:t>
      </w:r>
      <w:bookmarkEnd w:id="2"/>
    </w:p>
    <w:p w:rsidR="00617E12" w:rsidRPr="00DE29CF" w:rsidRDefault="00A23305" w:rsidP="005C34A8">
      <w:pPr>
        <w:keepNext/>
        <w:keepLines/>
      </w:pPr>
      <w:r w:rsidRPr="00DE29CF">
        <w:t>Suggestions and additions proposed by the Secretariat to the requested listing are added in italics and suggested deletions are crossed out with strikethrough</w:t>
      </w:r>
      <w:r w:rsidR="00DE29CF" w:rsidRPr="00DE29CF">
        <w:t>.</w:t>
      </w:r>
    </w:p>
    <w:p w:rsidR="00DE29CF" w:rsidRPr="00A23305" w:rsidRDefault="00DE29CF" w:rsidP="003E1620">
      <w:pPr>
        <w:keepNext/>
        <w:keepLines/>
        <w:rPr>
          <w:i/>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01"/>
        <w:gridCol w:w="1134"/>
        <w:gridCol w:w="992"/>
        <w:gridCol w:w="851"/>
        <w:gridCol w:w="992"/>
        <w:gridCol w:w="1628"/>
        <w:gridCol w:w="8"/>
      </w:tblGrid>
      <w:tr w:rsidR="001E3B61" w:rsidRPr="007D2D5F" w:rsidTr="0086641E">
        <w:trPr>
          <w:gridAfter w:val="1"/>
          <w:wAfter w:w="8" w:type="dxa"/>
        </w:trPr>
        <w:tc>
          <w:tcPr>
            <w:tcW w:w="3652" w:type="dxa"/>
            <w:gridSpan w:val="2"/>
            <w:tcBorders>
              <w:left w:val="nil"/>
              <w:bottom w:val="single" w:sz="4" w:space="0" w:color="auto"/>
              <w:right w:val="nil"/>
            </w:tcBorders>
          </w:tcPr>
          <w:p w:rsidR="001E3B61" w:rsidRPr="002C71CE" w:rsidRDefault="001E3B61" w:rsidP="003E1620">
            <w:pPr>
              <w:pStyle w:val="Tabletext"/>
              <w:keepNext/>
              <w:keepLines/>
              <w:rPr>
                <w:b/>
                <w:bCs/>
              </w:rPr>
            </w:pPr>
            <w:r w:rsidRPr="002C71CE">
              <w:rPr>
                <w:b/>
              </w:rPr>
              <w:t>Name, restriction, manner of administration, form</w:t>
            </w:r>
          </w:p>
        </w:tc>
        <w:tc>
          <w:tcPr>
            <w:tcW w:w="1134" w:type="dxa"/>
            <w:tcBorders>
              <w:left w:val="nil"/>
              <w:bottom w:val="single" w:sz="4" w:space="0" w:color="auto"/>
              <w:right w:val="nil"/>
            </w:tcBorders>
          </w:tcPr>
          <w:p w:rsidR="001E3B61" w:rsidRPr="002C71CE" w:rsidRDefault="001E3B61" w:rsidP="003E1620">
            <w:pPr>
              <w:pStyle w:val="Tabletext"/>
              <w:keepNext/>
              <w:keepLines/>
              <w:jc w:val="center"/>
              <w:rPr>
                <w:b/>
                <w:bCs/>
              </w:rPr>
            </w:pPr>
            <w:r w:rsidRPr="002C71CE">
              <w:rPr>
                <w:b/>
              </w:rPr>
              <w:t>Max q</w:t>
            </w:r>
            <w:r w:rsidR="0086641E">
              <w:rPr>
                <w:b/>
              </w:rPr>
              <w:t>ty</w:t>
            </w:r>
            <w:r w:rsidRPr="002C71CE">
              <w:rPr>
                <w:b/>
              </w:rPr>
              <w:t xml:space="preserve"> (packs)</w:t>
            </w:r>
          </w:p>
        </w:tc>
        <w:tc>
          <w:tcPr>
            <w:tcW w:w="992" w:type="dxa"/>
            <w:tcBorders>
              <w:left w:val="nil"/>
              <w:bottom w:val="single" w:sz="4" w:space="0" w:color="auto"/>
              <w:right w:val="nil"/>
            </w:tcBorders>
          </w:tcPr>
          <w:p w:rsidR="001E3B61" w:rsidRPr="0086641E" w:rsidRDefault="001E3B61" w:rsidP="003E1620">
            <w:pPr>
              <w:pStyle w:val="Tabletext"/>
              <w:keepNext/>
              <w:keepLines/>
              <w:jc w:val="center"/>
              <w:rPr>
                <w:b/>
              </w:rPr>
            </w:pPr>
            <w:r w:rsidRPr="002C71CE">
              <w:rPr>
                <w:b/>
              </w:rPr>
              <w:t>Max q</w:t>
            </w:r>
            <w:r w:rsidR="0086641E">
              <w:rPr>
                <w:b/>
              </w:rPr>
              <w:t xml:space="preserve">ty </w:t>
            </w:r>
            <w:r w:rsidRPr="002C71CE">
              <w:rPr>
                <w:b/>
              </w:rPr>
              <w:t>(units)</w:t>
            </w:r>
          </w:p>
        </w:tc>
        <w:tc>
          <w:tcPr>
            <w:tcW w:w="851" w:type="dxa"/>
            <w:tcBorders>
              <w:left w:val="nil"/>
              <w:bottom w:val="single" w:sz="4" w:space="0" w:color="auto"/>
              <w:right w:val="nil"/>
            </w:tcBorders>
          </w:tcPr>
          <w:p w:rsidR="001E3B61" w:rsidRPr="002C71CE" w:rsidRDefault="001E3B61" w:rsidP="003E1620">
            <w:pPr>
              <w:pStyle w:val="Tabletext"/>
              <w:keepNext/>
              <w:keepLines/>
              <w:jc w:val="center"/>
              <w:rPr>
                <w:b/>
                <w:bCs/>
              </w:rPr>
            </w:pPr>
            <w:r w:rsidRPr="002C71CE">
              <w:rPr>
                <w:b/>
              </w:rPr>
              <w:t>No. of repeats</w:t>
            </w:r>
          </w:p>
        </w:tc>
        <w:tc>
          <w:tcPr>
            <w:tcW w:w="992" w:type="dxa"/>
            <w:tcBorders>
              <w:left w:val="nil"/>
              <w:bottom w:val="single" w:sz="4" w:space="0" w:color="auto"/>
              <w:right w:val="nil"/>
            </w:tcBorders>
          </w:tcPr>
          <w:p w:rsidR="001E3B61" w:rsidRPr="002C71CE" w:rsidRDefault="0086641E" w:rsidP="003E1620">
            <w:pPr>
              <w:pStyle w:val="Tabletext"/>
              <w:keepNext/>
              <w:keepLines/>
              <w:jc w:val="center"/>
              <w:rPr>
                <w:b/>
                <w:bCs/>
              </w:rPr>
            </w:pPr>
            <w:r>
              <w:rPr>
                <w:b/>
              </w:rPr>
              <w:t>DPMQ</w:t>
            </w:r>
          </w:p>
        </w:tc>
        <w:tc>
          <w:tcPr>
            <w:tcW w:w="1628" w:type="dxa"/>
            <w:tcBorders>
              <w:left w:val="nil"/>
              <w:bottom w:val="single" w:sz="4" w:space="0" w:color="auto"/>
              <w:right w:val="nil"/>
            </w:tcBorders>
          </w:tcPr>
          <w:p w:rsidR="001E3B61" w:rsidRPr="002C71CE" w:rsidRDefault="001E3B61" w:rsidP="003E1620">
            <w:pPr>
              <w:pStyle w:val="Tabletext"/>
              <w:keepNext/>
              <w:keepLines/>
              <w:rPr>
                <w:b/>
                <w:bCs/>
              </w:rPr>
            </w:pPr>
            <w:r w:rsidRPr="002C71CE">
              <w:rPr>
                <w:b/>
              </w:rPr>
              <w:t>Proprietary name and manufacturer</w:t>
            </w:r>
          </w:p>
        </w:tc>
      </w:tr>
      <w:tr w:rsidR="001E3B61" w:rsidRPr="007D2D5F" w:rsidTr="0086641E">
        <w:trPr>
          <w:gridAfter w:val="1"/>
          <w:wAfter w:w="8" w:type="dxa"/>
        </w:trPr>
        <w:tc>
          <w:tcPr>
            <w:tcW w:w="3652" w:type="dxa"/>
            <w:gridSpan w:val="2"/>
            <w:tcBorders>
              <w:left w:val="nil"/>
              <w:right w:val="nil"/>
            </w:tcBorders>
          </w:tcPr>
          <w:p w:rsidR="001E3B61" w:rsidRPr="00B650BD" w:rsidRDefault="001E3B61" w:rsidP="003E1620">
            <w:pPr>
              <w:keepNext/>
              <w:keepLines/>
              <w:jc w:val="left"/>
              <w:rPr>
                <w:rFonts w:ascii="Arial Narrow" w:hAnsi="Arial Narrow"/>
                <w:sz w:val="20"/>
              </w:rPr>
            </w:pPr>
            <w:r w:rsidRPr="00B650BD">
              <w:rPr>
                <w:rFonts w:ascii="Arial Narrow" w:hAnsi="Arial Narrow"/>
                <w:sz w:val="20"/>
              </w:rPr>
              <w:t xml:space="preserve">100 units/mL insulin glargine + 50 mcg/mL lixisenatide 5 x 3 mL pre-filled pen </w:t>
            </w:r>
            <w:r w:rsidRPr="00A23305">
              <w:rPr>
                <w:rFonts w:ascii="Arial Narrow" w:hAnsi="Arial Narrow"/>
                <w:strike/>
                <w:sz w:val="20"/>
              </w:rPr>
              <w:t>(peach)</w:t>
            </w:r>
          </w:p>
          <w:p w:rsidR="001E3B61" w:rsidRPr="002B6754" w:rsidRDefault="001E3B61" w:rsidP="003E1620">
            <w:pPr>
              <w:pStyle w:val="Tabletext"/>
              <w:keepNext/>
              <w:keepLines/>
              <w:rPr>
                <w:b/>
                <w:bCs/>
              </w:rPr>
            </w:pPr>
            <w:r w:rsidRPr="00B650BD">
              <w:t xml:space="preserve">100 units/mL insulin glargine + 33 mcg/mL lixisenatide 5 x 3 mL pre-filled pen </w:t>
            </w:r>
            <w:r w:rsidRPr="00A23305">
              <w:rPr>
                <w:strike/>
              </w:rPr>
              <w:t>(olive)</w:t>
            </w:r>
          </w:p>
        </w:tc>
        <w:tc>
          <w:tcPr>
            <w:tcW w:w="1134" w:type="dxa"/>
            <w:tcBorders>
              <w:left w:val="nil"/>
              <w:right w:val="nil"/>
            </w:tcBorders>
          </w:tcPr>
          <w:p w:rsidR="001E3B61" w:rsidRPr="00411362" w:rsidRDefault="001E3B61" w:rsidP="003E1620">
            <w:pPr>
              <w:keepNext/>
              <w:keepLines/>
              <w:jc w:val="center"/>
              <w:rPr>
                <w:rFonts w:ascii="Arial Narrow" w:hAnsi="Arial Narrow"/>
                <w:sz w:val="20"/>
              </w:rPr>
            </w:pPr>
            <w:r w:rsidRPr="00411362">
              <w:rPr>
                <w:rFonts w:ascii="Arial Narrow" w:hAnsi="Arial Narrow"/>
                <w:sz w:val="20"/>
              </w:rPr>
              <w:t>1</w:t>
            </w:r>
          </w:p>
          <w:p w:rsidR="001E3B61" w:rsidRPr="00411362" w:rsidRDefault="001E3B61" w:rsidP="003E1620">
            <w:pPr>
              <w:keepNext/>
              <w:keepLines/>
              <w:jc w:val="center"/>
              <w:rPr>
                <w:rFonts w:ascii="Arial Narrow" w:hAnsi="Arial Narrow"/>
                <w:sz w:val="20"/>
              </w:rPr>
            </w:pPr>
          </w:p>
          <w:p w:rsidR="001E3B61" w:rsidRPr="00411362" w:rsidRDefault="001E3B61" w:rsidP="003E1620">
            <w:pPr>
              <w:keepNext/>
              <w:keepLines/>
              <w:jc w:val="center"/>
              <w:rPr>
                <w:rFonts w:ascii="Arial Narrow" w:hAnsi="Arial Narrow"/>
                <w:sz w:val="20"/>
              </w:rPr>
            </w:pPr>
          </w:p>
          <w:p w:rsidR="001E3B61" w:rsidRPr="00411362" w:rsidRDefault="0086641E" w:rsidP="003E1620">
            <w:pPr>
              <w:keepNext/>
              <w:keepLines/>
              <w:jc w:val="center"/>
              <w:rPr>
                <w:rFonts w:ascii="Arial Narrow" w:hAnsi="Arial Narrow"/>
                <w:sz w:val="20"/>
              </w:rPr>
            </w:pPr>
            <w:r>
              <w:rPr>
                <w:rFonts w:ascii="Arial Narrow" w:hAnsi="Arial Narrow"/>
                <w:sz w:val="20"/>
              </w:rPr>
              <w:t>1</w:t>
            </w:r>
          </w:p>
          <w:p w:rsidR="001E3B61" w:rsidRPr="00411362" w:rsidRDefault="001E3B61" w:rsidP="003E1620">
            <w:pPr>
              <w:pStyle w:val="Tabletext"/>
              <w:keepNext/>
              <w:keepLines/>
              <w:jc w:val="center"/>
              <w:rPr>
                <w:rFonts w:ascii="Times" w:hAnsi="Times"/>
                <w:i/>
              </w:rPr>
            </w:pPr>
          </w:p>
        </w:tc>
        <w:tc>
          <w:tcPr>
            <w:tcW w:w="992" w:type="dxa"/>
            <w:tcBorders>
              <w:left w:val="nil"/>
              <w:right w:val="nil"/>
            </w:tcBorders>
          </w:tcPr>
          <w:p w:rsidR="001E3B61" w:rsidRPr="00411362" w:rsidRDefault="001E3B61" w:rsidP="003E1620">
            <w:pPr>
              <w:keepNext/>
              <w:keepLines/>
              <w:jc w:val="center"/>
              <w:rPr>
                <w:rFonts w:ascii="Arial Narrow" w:hAnsi="Arial Narrow"/>
                <w:sz w:val="20"/>
              </w:rPr>
            </w:pPr>
            <w:r w:rsidRPr="00411362">
              <w:rPr>
                <w:rFonts w:ascii="Arial Narrow" w:hAnsi="Arial Narrow"/>
                <w:sz w:val="20"/>
              </w:rPr>
              <w:t>5</w:t>
            </w:r>
          </w:p>
          <w:p w:rsidR="001E3B61" w:rsidRPr="00411362" w:rsidRDefault="001E3B61" w:rsidP="003E1620">
            <w:pPr>
              <w:keepNext/>
              <w:keepLines/>
              <w:jc w:val="center"/>
              <w:rPr>
                <w:rFonts w:ascii="Arial Narrow" w:hAnsi="Arial Narrow"/>
                <w:sz w:val="20"/>
              </w:rPr>
            </w:pPr>
          </w:p>
          <w:p w:rsidR="001E3B61" w:rsidRPr="00411362" w:rsidRDefault="001E3B61" w:rsidP="003E1620">
            <w:pPr>
              <w:keepNext/>
              <w:keepLines/>
              <w:jc w:val="center"/>
              <w:rPr>
                <w:rFonts w:ascii="Arial Narrow" w:hAnsi="Arial Narrow"/>
                <w:sz w:val="20"/>
              </w:rPr>
            </w:pPr>
          </w:p>
          <w:p w:rsidR="001E3B61" w:rsidRPr="00411362" w:rsidRDefault="0086641E" w:rsidP="003E1620">
            <w:pPr>
              <w:keepNext/>
              <w:keepLines/>
              <w:jc w:val="center"/>
              <w:rPr>
                <w:rFonts w:ascii="Arial Narrow" w:hAnsi="Arial Narrow"/>
                <w:sz w:val="20"/>
              </w:rPr>
            </w:pPr>
            <w:r>
              <w:rPr>
                <w:rFonts w:ascii="Arial Narrow" w:hAnsi="Arial Narrow"/>
                <w:sz w:val="20"/>
              </w:rPr>
              <w:t>5</w:t>
            </w:r>
          </w:p>
          <w:p w:rsidR="001E3B61" w:rsidRPr="00411362" w:rsidRDefault="001E3B61" w:rsidP="003E1620">
            <w:pPr>
              <w:pStyle w:val="Tabletext"/>
              <w:keepNext/>
              <w:keepLines/>
              <w:jc w:val="center"/>
              <w:rPr>
                <w:rFonts w:ascii="Times" w:hAnsi="Times"/>
                <w:i/>
              </w:rPr>
            </w:pPr>
          </w:p>
        </w:tc>
        <w:tc>
          <w:tcPr>
            <w:tcW w:w="851" w:type="dxa"/>
            <w:tcBorders>
              <w:left w:val="nil"/>
              <w:right w:val="nil"/>
            </w:tcBorders>
          </w:tcPr>
          <w:p w:rsidR="001E3B61" w:rsidRPr="00411362" w:rsidRDefault="001E3B61" w:rsidP="003E1620">
            <w:pPr>
              <w:keepNext/>
              <w:keepLines/>
              <w:jc w:val="center"/>
              <w:rPr>
                <w:rFonts w:ascii="Arial Narrow" w:hAnsi="Arial Narrow"/>
                <w:sz w:val="20"/>
              </w:rPr>
            </w:pPr>
            <w:r w:rsidRPr="00411362">
              <w:rPr>
                <w:rFonts w:ascii="Arial Narrow" w:hAnsi="Arial Narrow"/>
                <w:sz w:val="20"/>
              </w:rPr>
              <w:t>5</w:t>
            </w:r>
          </w:p>
          <w:p w:rsidR="001E3B61" w:rsidRPr="00411362" w:rsidRDefault="001E3B61" w:rsidP="003E1620">
            <w:pPr>
              <w:keepNext/>
              <w:keepLines/>
              <w:jc w:val="center"/>
              <w:rPr>
                <w:rFonts w:ascii="Arial Narrow" w:hAnsi="Arial Narrow"/>
                <w:sz w:val="20"/>
              </w:rPr>
            </w:pPr>
          </w:p>
          <w:p w:rsidR="001E3B61" w:rsidRPr="00411362" w:rsidRDefault="001E3B61" w:rsidP="003E1620">
            <w:pPr>
              <w:keepNext/>
              <w:keepLines/>
              <w:jc w:val="center"/>
              <w:rPr>
                <w:rFonts w:ascii="Arial Narrow" w:hAnsi="Arial Narrow"/>
                <w:sz w:val="20"/>
              </w:rPr>
            </w:pPr>
          </w:p>
          <w:p w:rsidR="001E3B61" w:rsidRPr="00411362" w:rsidRDefault="0086641E" w:rsidP="003E1620">
            <w:pPr>
              <w:keepNext/>
              <w:keepLines/>
              <w:jc w:val="center"/>
              <w:rPr>
                <w:rFonts w:ascii="Arial Narrow" w:hAnsi="Arial Narrow"/>
                <w:sz w:val="20"/>
              </w:rPr>
            </w:pPr>
            <w:r>
              <w:rPr>
                <w:rFonts w:ascii="Arial Narrow" w:hAnsi="Arial Narrow"/>
                <w:sz w:val="20"/>
              </w:rPr>
              <w:t>5</w:t>
            </w:r>
          </w:p>
          <w:p w:rsidR="001E3B61" w:rsidRPr="00411362" w:rsidRDefault="001E3B61" w:rsidP="003E1620">
            <w:pPr>
              <w:pStyle w:val="Tabletext"/>
              <w:keepNext/>
              <w:keepLines/>
              <w:jc w:val="center"/>
              <w:rPr>
                <w:rFonts w:ascii="Times" w:hAnsi="Times"/>
                <w:i/>
              </w:rPr>
            </w:pPr>
          </w:p>
        </w:tc>
        <w:tc>
          <w:tcPr>
            <w:tcW w:w="992" w:type="dxa"/>
            <w:tcBorders>
              <w:left w:val="nil"/>
              <w:right w:val="nil"/>
            </w:tcBorders>
          </w:tcPr>
          <w:p w:rsidR="001E3B61" w:rsidRPr="00411362" w:rsidRDefault="001E3B61" w:rsidP="003E1620">
            <w:pPr>
              <w:keepNext/>
              <w:keepLines/>
              <w:jc w:val="center"/>
              <w:rPr>
                <w:rFonts w:ascii="Arial Narrow" w:hAnsi="Arial Narrow"/>
                <w:sz w:val="20"/>
              </w:rPr>
            </w:pPr>
            <w:r w:rsidRPr="00411362">
              <w:rPr>
                <w:rFonts w:ascii="Arial Narrow" w:hAnsi="Arial Narrow"/>
                <w:sz w:val="20"/>
              </w:rPr>
              <w:t>$</w:t>
            </w:r>
            <w:r w:rsidR="000D054F">
              <w:rPr>
                <w:rFonts w:ascii="Arial Narrow" w:hAnsi="Arial Narrow"/>
                <w:noProof/>
                <w:color w:val="000000"/>
                <w:sz w:val="20"/>
                <w:highlight w:val="black"/>
              </w:rPr>
              <w:t>'''''''''''''''</w:t>
            </w:r>
          </w:p>
          <w:p w:rsidR="001E3B61" w:rsidRPr="00411362" w:rsidRDefault="001E3B61" w:rsidP="003E1620">
            <w:pPr>
              <w:keepNext/>
              <w:keepLines/>
              <w:jc w:val="center"/>
              <w:rPr>
                <w:rFonts w:ascii="Arial Narrow" w:hAnsi="Arial Narrow"/>
                <w:sz w:val="20"/>
              </w:rPr>
            </w:pPr>
          </w:p>
          <w:p w:rsidR="001E3B61" w:rsidRPr="00411362" w:rsidRDefault="001E3B61" w:rsidP="003E1620">
            <w:pPr>
              <w:keepNext/>
              <w:keepLines/>
              <w:jc w:val="center"/>
              <w:rPr>
                <w:rFonts w:ascii="Arial Narrow" w:hAnsi="Arial Narrow"/>
                <w:sz w:val="20"/>
              </w:rPr>
            </w:pPr>
          </w:p>
          <w:p w:rsidR="001E3B61" w:rsidRPr="00411362" w:rsidRDefault="001E3B61" w:rsidP="003E1620">
            <w:pPr>
              <w:pStyle w:val="Tabletext"/>
              <w:keepNext/>
              <w:keepLines/>
              <w:jc w:val="center"/>
              <w:rPr>
                <w:rFonts w:ascii="Times" w:hAnsi="Times"/>
                <w:i/>
              </w:rPr>
            </w:pPr>
            <w:r w:rsidRPr="00411362">
              <w:t>$</w:t>
            </w:r>
            <w:r w:rsidR="000D054F">
              <w:rPr>
                <w:noProof/>
                <w:color w:val="000000"/>
                <w:highlight w:val="black"/>
              </w:rPr>
              <w:t>''''''''''''''''</w:t>
            </w:r>
          </w:p>
        </w:tc>
        <w:tc>
          <w:tcPr>
            <w:tcW w:w="1628" w:type="dxa"/>
            <w:tcBorders>
              <w:left w:val="nil"/>
              <w:right w:val="nil"/>
            </w:tcBorders>
          </w:tcPr>
          <w:p w:rsidR="001E3B61" w:rsidRDefault="001E3B61" w:rsidP="003E1620">
            <w:pPr>
              <w:keepNext/>
              <w:keepLines/>
              <w:jc w:val="center"/>
              <w:rPr>
                <w:rFonts w:ascii="Arial Narrow" w:hAnsi="Arial Narrow"/>
                <w:sz w:val="20"/>
              </w:rPr>
            </w:pPr>
          </w:p>
          <w:p w:rsidR="001E3B61" w:rsidRDefault="001E3B61" w:rsidP="003E1620">
            <w:pPr>
              <w:keepNext/>
              <w:keepLines/>
              <w:jc w:val="center"/>
              <w:rPr>
                <w:rFonts w:ascii="Arial Narrow" w:hAnsi="Arial Narrow"/>
                <w:sz w:val="20"/>
              </w:rPr>
            </w:pPr>
            <w:r w:rsidRPr="00660C7A">
              <w:rPr>
                <w:rFonts w:ascii="Arial Narrow" w:hAnsi="Arial Narrow"/>
                <w:sz w:val="20"/>
              </w:rPr>
              <w:t>Soliqua</w:t>
            </w:r>
            <w:r w:rsidRPr="00660C7A">
              <w:rPr>
                <w:rFonts w:ascii="Arial Narrow" w:hAnsi="Arial Narrow"/>
                <w:sz w:val="20"/>
                <w:vertAlign w:val="superscript"/>
              </w:rPr>
              <w:t>®</w:t>
            </w:r>
          </w:p>
          <w:p w:rsidR="001E3B61" w:rsidRPr="00892A36" w:rsidRDefault="001E3B61" w:rsidP="003E1620">
            <w:pPr>
              <w:pStyle w:val="Tabletext"/>
              <w:keepNext/>
              <w:keepLines/>
              <w:jc w:val="center"/>
              <w:rPr>
                <w:rFonts w:ascii="Times" w:hAnsi="Times"/>
                <w:i/>
              </w:rPr>
            </w:pPr>
            <w:r w:rsidRPr="00660C7A">
              <w:t>Sanofi-Aventis</w:t>
            </w:r>
          </w:p>
        </w:tc>
      </w:tr>
      <w:tr w:rsidR="001E3B61" w:rsidRPr="00A30A33" w:rsidTr="0086641E">
        <w:tblPrEx>
          <w:tblCellMar>
            <w:left w:w="28" w:type="dxa"/>
            <w:right w:w="28" w:type="dxa"/>
          </w:tblCellMar>
        </w:tblPrEx>
        <w:trPr>
          <w:trHeight w:val="20"/>
        </w:trPr>
        <w:tc>
          <w:tcPr>
            <w:tcW w:w="1951" w:type="dxa"/>
            <w:hideMark/>
          </w:tcPr>
          <w:p w:rsidR="001E3B61" w:rsidRPr="00A30A33" w:rsidRDefault="001E3B61" w:rsidP="005E1B97">
            <w:pPr>
              <w:pStyle w:val="Tabletext"/>
              <w:rPr>
                <w:lang w:eastAsia="en-AU"/>
              </w:rPr>
            </w:pPr>
            <w:r>
              <w:rPr>
                <w:lang w:eastAsia="en-AU"/>
              </w:rPr>
              <w:t>Category/Program:</w:t>
            </w:r>
          </w:p>
        </w:tc>
        <w:tc>
          <w:tcPr>
            <w:tcW w:w="7306" w:type="dxa"/>
            <w:gridSpan w:val="7"/>
          </w:tcPr>
          <w:p w:rsidR="001E3B61" w:rsidRPr="00A30A33" w:rsidRDefault="001E3B61" w:rsidP="005E1B97">
            <w:pPr>
              <w:pStyle w:val="Tabletext"/>
              <w:rPr>
                <w:lang w:eastAsia="en-AU"/>
              </w:rPr>
            </w:pPr>
            <w:r>
              <w:rPr>
                <w:lang w:eastAsia="en-AU"/>
              </w:rPr>
              <w:t>General Schedule</w:t>
            </w:r>
          </w:p>
        </w:tc>
      </w:tr>
      <w:tr w:rsidR="00D80C5D" w:rsidRPr="00A30A33" w:rsidTr="0086641E">
        <w:tblPrEx>
          <w:tblCellMar>
            <w:left w:w="28" w:type="dxa"/>
            <w:right w:w="28" w:type="dxa"/>
          </w:tblCellMar>
        </w:tblPrEx>
        <w:trPr>
          <w:trHeight w:val="20"/>
        </w:trPr>
        <w:tc>
          <w:tcPr>
            <w:tcW w:w="1951" w:type="dxa"/>
          </w:tcPr>
          <w:p w:rsidR="00D80C5D" w:rsidRPr="00E67607" w:rsidRDefault="00D80C5D" w:rsidP="00D80C5D">
            <w:pPr>
              <w:rPr>
                <w:rFonts w:ascii="Arial Narrow" w:hAnsi="Arial Narrow"/>
                <w:sz w:val="20"/>
                <w:szCs w:val="20"/>
              </w:rPr>
            </w:pPr>
            <w:r w:rsidRPr="00E67607">
              <w:rPr>
                <w:rFonts w:ascii="Arial Narrow" w:hAnsi="Arial Narrow"/>
                <w:sz w:val="20"/>
                <w:szCs w:val="20"/>
              </w:rPr>
              <w:t>Prescriber type:</w:t>
            </w:r>
          </w:p>
          <w:p w:rsidR="00D80C5D" w:rsidRDefault="00D80C5D" w:rsidP="00D80C5D">
            <w:pPr>
              <w:pStyle w:val="Tabletext"/>
              <w:rPr>
                <w:lang w:eastAsia="en-AU"/>
              </w:rPr>
            </w:pPr>
          </w:p>
        </w:tc>
        <w:tc>
          <w:tcPr>
            <w:tcW w:w="7306" w:type="dxa"/>
            <w:gridSpan w:val="7"/>
          </w:tcPr>
          <w:p w:rsidR="00D80C5D" w:rsidRPr="00F65328" w:rsidRDefault="00D80C5D" w:rsidP="00D80C5D">
            <w:pPr>
              <w:rPr>
                <w:rFonts w:ascii="Arial Narrow" w:hAnsi="Arial Narrow"/>
                <w:sz w:val="20"/>
                <w:szCs w:val="20"/>
              </w:rPr>
            </w:pPr>
            <w:r w:rsidRPr="00F65328">
              <w:rPr>
                <w:rFonts w:ascii="Arial Narrow" w:hAnsi="Arial Narrow"/>
                <w:sz w:val="20"/>
                <w:szCs w:val="20"/>
              </w:rPr>
              <w:fldChar w:fldCharType="begin">
                <w:ffData>
                  <w:name w:val="Check1"/>
                  <w:enabled/>
                  <w:calcOnExit w:val="0"/>
                  <w:checkBox>
                    <w:sizeAuto/>
                    <w:default w:val="0"/>
                  </w:checkBox>
                </w:ffData>
              </w:fldChar>
            </w:r>
            <w:r w:rsidRPr="00F65328">
              <w:rPr>
                <w:rFonts w:ascii="Arial Narrow" w:hAnsi="Arial Narrow"/>
                <w:sz w:val="20"/>
                <w:szCs w:val="20"/>
              </w:rPr>
              <w:instrText xml:space="preserve"> FORMCHECKBOX </w:instrText>
            </w:r>
            <w:r w:rsidR="00A54FDB">
              <w:rPr>
                <w:rFonts w:ascii="Arial Narrow" w:hAnsi="Arial Narrow"/>
                <w:sz w:val="20"/>
                <w:szCs w:val="20"/>
              </w:rPr>
            </w:r>
            <w:r w:rsidR="00A54FDB">
              <w:rPr>
                <w:rFonts w:ascii="Arial Narrow" w:hAnsi="Arial Narrow"/>
                <w:sz w:val="20"/>
                <w:szCs w:val="20"/>
              </w:rPr>
              <w:fldChar w:fldCharType="separate"/>
            </w:r>
            <w:r w:rsidRPr="00F65328">
              <w:rPr>
                <w:rFonts w:ascii="Arial Narrow" w:hAnsi="Arial Narrow"/>
                <w:sz w:val="20"/>
                <w:szCs w:val="20"/>
              </w:rPr>
              <w:fldChar w:fldCharType="end"/>
            </w:r>
            <w:r w:rsidRPr="00F65328">
              <w:rPr>
                <w:rFonts w:ascii="Arial Narrow" w:hAnsi="Arial Narrow"/>
                <w:sz w:val="20"/>
                <w:szCs w:val="20"/>
              </w:rPr>
              <w:t>Dental</w:t>
            </w:r>
            <w:r w:rsidR="0049397D">
              <w:rPr>
                <w:rFonts w:ascii="Arial Narrow" w:hAnsi="Arial Narrow"/>
                <w:sz w:val="20"/>
                <w:szCs w:val="20"/>
              </w:rPr>
              <w:t xml:space="preserve"> </w:t>
            </w:r>
            <w:r w:rsidRPr="00F65328">
              <w:rPr>
                <w:rFonts w:ascii="Arial Narrow" w:hAnsi="Arial Narrow"/>
                <w:sz w:val="20"/>
                <w:szCs w:val="20"/>
              </w:rPr>
              <w:fldChar w:fldCharType="begin">
                <w:ffData>
                  <w:name w:val=""/>
                  <w:enabled/>
                  <w:calcOnExit w:val="0"/>
                  <w:checkBox>
                    <w:sizeAuto/>
                    <w:default w:val="1"/>
                  </w:checkBox>
                </w:ffData>
              </w:fldChar>
            </w:r>
            <w:r w:rsidRPr="00F65328">
              <w:rPr>
                <w:rFonts w:ascii="Arial Narrow" w:hAnsi="Arial Narrow"/>
                <w:sz w:val="20"/>
                <w:szCs w:val="20"/>
              </w:rPr>
              <w:instrText xml:space="preserve"> FORMCHECKBOX </w:instrText>
            </w:r>
            <w:r w:rsidR="00A54FDB">
              <w:rPr>
                <w:rFonts w:ascii="Arial Narrow" w:hAnsi="Arial Narrow"/>
                <w:sz w:val="20"/>
                <w:szCs w:val="20"/>
              </w:rPr>
            </w:r>
            <w:r w:rsidR="00A54FDB">
              <w:rPr>
                <w:rFonts w:ascii="Arial Narrow" w:hAnsi="Arial Narrow"/>
                <w:sz w:val="20"/>
                <w:szCs w:val="20"/>
              </w:rPr>
              <w:fldChar w:fldCharType="separate"/>
            </w:r>
            <w:r w:rsidRPr="00F65328">
              <w:rPr>
                <w:rFonts w:ascii="Arial Narrow" w:hAnsi="Arial Narrow"/>
                <w:sz w:val="20"/>
                <w:szCs w:val="20"/>
              </w:rPr>
              <w:fldChar w:fldCharType="end"/>
            </w:r>
            <w:r w:rsidRPr="00F65328">
              <w:rPr>
                <w:rFonts w:ascii="Arial Narrow" w:hAnsi="Arial Narrow"/>
                <w:sz w:val="20"/>
                <w:szCs w:val="20"/>
              </w:rPr>
              <w:t>Medical Practitioners</w:t>
            </w:r>
            <w:r w:rsidR="0049397D">
              <w:rPr>
                <w:rFonts w:ascii="Arial Narrow" w:hAnsi="Arial Narrow"/>
                <w:sz w:val="20"/>
                <w:szCs w:val="20"/>
              </w:rPr>
              <w:t xml:space="preserve"> </w:t>
            </w:r>
            <w:r w:rsidRPr="00F65328">
              <w:rPr>
                <w:rFonts w:ascii="Arial Narrow" w:hAnsi="Arial Narrow"/>
                <w:sz w:val="20"/>
                <w:szCs w:val="20"/>
              </w:rPr>
              <w:fldChar w:fldCharType="begin">
                <w:ffData>
                  <w:name w:val="Check3"/>
                  <w:enabled/>
                  <w:calcOnExit w:val="0"/>
                  <w:checkBox>
                    <w:sizeAuto/>
                    <w:default w:val="0"/>
                  </w:checkBox>
                </w:ffData>
              </w:fldChar>
            </w:r>
            <w:r w:rsidRPr="00F65328">
              <w:rPr>
                <w:rFonts w:ascii="Arial Narrow" w:hAnsi="Arial Narrow"/>
                <w:sz w:val="20"/>
                <w:szCs w:val="20"/>
              </w:rPr>
              <w:instrText xml:space="preserve"> FORMCHECKBOX </w:instrText>
            </w:r>
            <w:r w:rsidR="00A54FDB">
              <w:rPr>
                <w:rFonts w:ascii="Arial Narrow" w:hAnsi="Arial Narrow"/>
                <w:sz w:val="20"/>
                <w:szCs w:val="20"/>
              </w:rPr>
            </w:r>
            <w:r w:rsidR="00A54FDB">
              <w:rPr>
                <w:rFonts w:ascii="Arial Narrow" w:hAnsi="Arial Narrow"/>
                <w:sz w:val="20"/>
                <w:szCs w:val="20"/>
              </w:rPr>
              <w:fldChar w:fldCharType="separate"/>
            </w:r>
            <w:r w:rsidRPr="00F65328">
              <w:rPr>
                <w:rFonts w:ascii="Arial Narrow" w:hAnsi="Arial Narrow"/>
                <w:sz w:val="20"/>
                <w:szCs w:val="20"/>
              </w:rPr>
              <w:fldChar w:fldCharType="end"/>
            </w:r>
            <w:r w:rsidRPr="00F65328">
              <w:rPr>
                <w:rFonts w:ascii="Arial Narrow" w:hAnsi="Arial Narrow"/>
                <w:sz w:val="20"/>
                <w:szCs w:val="20"/>
              </w:rPr>
              <w:t>Nurse practitioners</w:t>
            </w:r>
            <w:r w:rsidR="0049397D">
              <w:rPr>
                <w:rFonts w:ascii="Arial Narrow" w:hAnsi="Arial Narrow"/>
                <w:sz w:val="20"/>
                <w:szCs w:val="20"/>
              </w:rPr>
              <w:t xml:space="preserve"> </w:t>
            </w:r>
            <w:r w:rsidRPr="00F65328">
              <w:rPr>
                <w:rFonts w:ascii="Arial Narrow" w:hAnsi="Arial Narrow"/>
                <w:sz w:val="20"/>
                <w:szCs w:val="20"/>
              </w:rPr>
              <w:fldChar w:fldCharType="begin">
                <w:ffData>
                  <w:name w:val=""/>
                  <w:enabled/>
                  <w:calcOnExit w:val="0"/>
                  <w:checkBox>
                    <w:sizeAuto/>
                    <w:default w:val="0"/>
                  </w:checkBox>
                </w:ffData>
              </w:fldChar>
            </w:r>
            <w:r w:rsidRPr="00F65328">
              <w:rPr>
                <w:rFonts w:ascii="Arial Narrow" w:hAnsi="Arial Narrow"/>
                <w:sz w:val="20"/>
                <w:szCs w:val="20"/>
              </w:rPr>
              <w:instrText xml:space="preserve"> FORMCHECKBOX </w:instrText>
            </w:r>
            <w:r w:rsidR="00A54FDB">
              <w:rPr>
                <w:rFonts w:ascii="Arial Narrow" w:hAnsi="Arial Narrow"/>
                <w:sz w:val="20"/>
                <w:szCs w:val="20"/>
              </w:rPr>
            </w:r>
            <w:r w:rsidR="00A54FDB">
              <w:rPr>
                <w:rFonts w:ascii="Arial Narrow" w:hAnsi="Arial Narrow"/>
                <w:sz w:val="20"/>
                <w:szCs w:val="20"/>
              </w:rPr>
              <w:fldChar w:fldCharType="separate"/>
            </w:r>
            <w:r w:rsidRPr="00F65328">
              <w:rPr>
                <w:rFonts w:ascii="Arial Narrow" w:hAnsi="Arial Narrow"/>
                <w:sz w:val="20"/>
                <w:szCs w:val="20"/>
              </w:rPr>
              <w:fldChar w:fldCharType="end"/>
            </w:r>
            <w:r w:rsidRPr="00F65328">
              <w:rPr>
                <w:rFonts w:ascii="Arial Narrow" w:hAnsi="Arial Narrow"/>
                <w:sz w:val="20"/>
                <w:szCs w:val="20"/>
              </w:rPr>
              <w:t>Optometrists</w:t>
            </w:r>
          </w:p>
          <w:p w:rsidR="00D80C5D" w:rsidRDefault="00D80C5D" w:rsidP="00D80C5D">
            <w:pPr>
              <w:pStyle w:val="Tabletext"/>
              <w:rPr>
                <w:lang w:eastAsia="en-AU"/>
              </w:rPr>
            </w:pPr>
            <w:r w:rsidRPr="00F65328">
              <w:rPr>
                <w:szCs w:val="20"/>
              </w:rPr>
              <w:fldChar w:fldCharType="begin">
                <w:ffData>
                  <w:name w:val="Check5"/>
                  <w:enabled/>
                  <w:calcOnExit w:val="0"/>
                  <w:checkBox>
                    <w:sizeAuto/>
                    <w:default w:val="0"/>
                  </w:checkBox>
                </w:ffData>
              </w:fldChar>
            </w:r>
            <w:r w:rsidRPr="00F65328">
              <w:rPr>
                <w:szCs w:val="20"/>
              </w:rPr>
              <w:instrText xml:space="preserve"> FORMCHECKBOX </w:instrText>
            </w:r>
            <w:r w:rsidR="00A54FDB">
              <w:rPr>
                <w:szCs w:val="20"/>
              </w:rPr>
            </w:r>
            <w:r w:rsidR="00A54FDB">
              <w:rPr>
                <w:szCs w:val="20"/>
              </w:rPr>
              <w:fldChar w:fldCharType="separate"/>
            </w:r>
            <w:r w:rsidRPr="00F65328">
              <w:rPr>
                <w:szCs w:val="20"/>
              </w:rPr>
              <w:fldChar w:fldCharType="end"/>
            </w:r>
            <w:r w:rsidRPr="00F65328">
              <w:rPr>
                <w:szCs w:val="20"/>
              </w:rPr>
              <w:t>Midwives</w:t>
            </w:r>
          </w:p>
        </w:tc>
      </w:tr>
      <w:tr w:rsidR="00D80C5D" w:rsidRPr="00A30A33" w:rsidTr="0086641E">
        <w:tblPrEx>
          <w:tblCellMar>
            <w:left w:w="28" w:type="dxa"/>
            <w:right w:w="28" w:type="dxa"/>
          </w:tblCellMar>
        </w:tblPrEx>
        <w:trPr>
          <w:trHeight w:val="20"/>
        </w:trPr>
        <w:tc>
          <w:tcPr>
            <w:tcW w:w="1951" w:type="dxa"/>
          </w:tcPr>
          <w:p w:rsidR="00D80C5D" w:rsidRDefault="00D80C5D" w:rsidP="00D80C5D">
            <w:pPr>
              <w:pStyle w:val="Tabletext"/>
              <w:rPr>
                <w:lang w:eastAsia="en-AU"/>
              </w:rPr>
            </w:pPr>
            <w:r>
              <w:rPr>
                <w:lang w:eastAsia="en-AU"/>
              </w:rPr>
              <w:t>Condition</w:t>
            </w:r>
          </w:p>
        </w:tc>
        <w:tc>
          <w:tcPr>
            <w:tcW w:w="7306" w:type="dxa"/>
            <w:gridSpan w:val="7"/>
          </w:tcPr>
          <w:p w:rsidR="00D80C5D" w:rsidRDefault="00D80C5D" w:rsidP="00D80C5D">
            <w:pPr>
              <w:pStyle w:val="Tabletext"/>
              <w:rPr>
                <w:lang w:eastAsia="en-AU"/>
              </w:rPr>
            </w:pPr>
            <w:r>
              <w:t>Diabetes mellitus type 2</w:t>
            </w:r>
          </w:p>
        </w:tc>
      </w:tr>
      <w:tr w:rsidR="00D80C5D" w:rsidRPr="00A30A33" w:rsidTr="0086641E">
        <w:tblPrEx>
          <w:tblCellMar>
            <w:left w:w="28" w:type="dxa"/>
            <w:right w:w="28" w:type="dxa"/>
          </w:tblCellMar>
        </w:tblPrEx>
        <w:trPr>
          <w:trHeight w:val="20"/>
        </w:trPr>
        <w:tc>
          <w:tcPr>
            <w:tcW w:w="1951" w:type="dxa"/>
            <w:hideMark/>
          </w:tcPr>
          <w:p w:rsidR="00D80C5D" w:rsidRPr="00A30A33" w:rsidRDefault="00D80C5D" w:rsidP="00D80C5D">
            <w:pPr>
              <w:pStyle w:val="Tabletext"/>
              <w:rPr>
                <w:lang w:eastAsia="en-AU"/>
              </w:rPr>
            </w:pPr>
            <w:r>
              <w:rPr>
                <w:lang w:eastAsia="en-AU"/>
              </w:rPr>
              <w:t>PBS indication:</w:t>
            </w:r>
          </w:p>
        </w:tc>
        <w:tc>
          <w:tcPr>
            <w:tcW w:w="7306" w:type="dxa"/>
            <w:gridSpan w:val="7"/>
          </w:tcPr>
          <w:p w:rsidR="00D80C5D" w:rsidRPr="00A30A33" w:rsidRDefault="00D80C5D" w:rsidP="00D80C5D">
            <w:pPr>
              <w:pStyle w:val="Tabletext"/>
              <w:rPr>
                <w:lang w:eastAsia="en-AU"/>
              </w:rPr>
            </w:pPr>
            <w:r>
              <w:t>Diabetes mellitus Type 2</w:t>
            </w:r>
          </w:p>
        </w:tc>
      </w:tr>
      <w:tr w:rsidR="00D80C5D" w:rsidRPr="00A30A33" w:rsidTr="0086641E">
        <w:tblPrEx>
          <w:tblCellMar>
            <w:left w:w="28" w:type="dxa"/>
            <w:right w:w="28" w:type="dxa"/>
          </w:tblCellMar>
        </w:tblPrEx>
        <w:trPr>
          <w:trHeight w:val="20"/>
        </w:trPr>
        <w:tc>
          <w:tcPr>
            <w:tcW w:w="1951" w:type="dxa"/>
            <w:hideMark/>
          </w:tcPr>
          <w:p w:rsidR="00D80C5D" w:rsidRPr="00A30A33" w:rsidRDefault="00D80C5D" w:rsidP="00D80C5D">
            <w:pPr>
              <w:pStyle w:val="Tabletext"/>
              <w:rPr>
                <w:lang w:eastAsia="en-AU"/>
              </w:rPr>
            </w:pPr>
            <w:r>
              <w:rPr>
                <w:lang w:eastAsia="en-AU"/>
              </w:rPr>
              <w:t>Treatment phase:</w:t>
            </w:r>
          </w:p>
        </w:tc>
        <w:tc>
          <w:tcPr>
            <w:tcW w:w="7306" w:type="dxa"/>
            <w:gridSpan w:val="7"/>
          </w:tcPr>
          <w:p w:rsidR="00D80C5D" w:rsidRPr="00A23305" w:rsidRDefault="00D80C5D" w:rsidP="00D80C5D">
            <w:pPr>
              <w:pStyle w:val="Tabletext"/>
              <w:rPr>
                <w:strike/>
                <w:lang w:eastAsia="en-AU"/>
              </w:rPr>
            </w:pPr>
            <w:r w:rsidRPr="00A23305">
              <w:rPr>
                <w:strike/>
              </w:rPr>
              <w:t>Initial and continuing</w:t>
            </w:r>
          </w:p>
        </w:tc>
      </w:tr>
      <w:tr w:rsidR="00D80C5D" w:rsidRPr="00A30A33" w:rsidTr="0086641E">
        <w:tblPrEx>
          <w:tblCellMar>
            <w:left w:w="28" w:type="dxa"/>
            <w:right w:w="28" w:type="dxa"/>
          </w:tblCellMar>
        </w:tblPrEx>
        <w:trPr>
          <w:trHeight w:val="20"/>
        </w:trPr>
        <w:tc>
          <w:tcPr>
            <w:tcW w:w="1951" w:type="dxa"/>
            <w:hideMark/>
          </w:tcPr>
          <w:p w:rsidR="00D80C5D" w:rsidRPr="00A30A33" w:rsidRDefault="00D80C5D" w:rsidP="00D80C5D">
            <w:pPr>
              <w:pStyle w:val="Tabletext"/>
              <w:rPr>
                <w:lang w:eastAsia="en-AU"/>
              </w:rPr>
            </w:pPr>
            <w:r w:rsidRPr="00A30A33">
              <w:rPr>
                <w:lang w:eastAsia="en-AU"/>
              </w:rPr>
              <w:t>Restriction</w:t>
            </w:r>
            <w:r>
              <w:rPr>
                <w:lang w:eastAsia="en-AU"/>
              </w:rPr>
              <w:t>:</w:t>
            </w:r>
          </w:p>
        </w:tc>
        <w:tc>
          <w:tcPr>
            <w:tcW w:w="7306" w:type="dxa"/>
            <w:gridSpan w:val="7"/>
          </w:tcPr>
          <w:p w:rsidR="00D80C5D" w:rsidRPr="00A30A33" w:rsidRDefault="00D80C5D" w:rsidP="00D80C5D">
            <w:pPr>
              <w:pStyle w:val="Tabletext"/>
              <w:rPr>
                <w:lang w:eastAsia="en-AU"/>
              </w:rPr>
            </w:pPr>
            <w:r>
              <w:fldChar w:fldCharType="begin">
                <w:ffData>
                  <w:name w:val="Check5"/>
                  <w:enabled/>
                  <w:calcOnExit w:val="0"/>
                  <w:checkBox>
                    <w:sizeAuto/>
                    <w:default w:val="1"/>
                  </w:checkBox>
                </w:ffData>
              </w:fldChar>
            </w:r>
            <w:r>
              <w:instrText xml:space="preserve"> FORMCHECKBOX </w:instrText>
            </w:r>
            <w:r w:rsidR="00A54FDB">
              <w:fldChar w:fldCharType="separate"/>
            </w:r>
            <w:r>
              <w:fldChar w:fldCharType="end"/>
            </w:r>
            <w:r w:rsidRPr="00B43577">
              <w:t>Streamlined</w:t>
            </w:r>
          </w:p>
        </w:tc>
      </w:tr>
      <w:tr w:rsidR="00D80C5D" w:rsidRPr="00A30A33" w:rsidTr="0086641E">
        <w:tblPrEx>
          <w:tblCellMar>
            <w:left w:w="28" w:type="dxa"/>
            <w:right w:w="28" w:type="dxa"/>
          </w:tblCellMar>
        </w:tblPrEx>
        <w:trPr>
          <w:trHeight w:val="20"/>
        </w:trPr>
        <w:tc>
          <w:tcPr>
            <w:tcW w:w="1951" w:type="dxa"/>
            <w:hideMark/>
          </w:tcPr>
          <w:p w:rsidR="00D80C5D" w:rsidRPr="00A30A33" w:rsidRDefault="00D80C5D" w:rsidP="00D80C5D">
            <w:pPr>
              <w:pStyle w:val="Tabletext"/>
              <w:rPr>
                <w:lang w:eastAsia="en-AU"/>
              </w:rPr>
            </w:pPr>
            <w:r w:rsidRPr="00A30A33">
              <w:rPr>
                <w:lang w:eastAsia="en-AU"/>
              </w:rPr>
              <w:t>Clinical criteria</w:t>
            </w:r>
            <w:r>
              <w:rPr>
                <w:lang w:eastAsia="en-AU"/>
              </w:rPr>
              <w:t>:</w:t>
            </w:r>
          </w:p>
        </w:tc>
        <w:tc>
          <w:tcPr>
            <w:tcW w:w="7306" w:type="dxa"/>
            <w:gridSpan w:val="7"/>
          </w:tcPr>
          <w:p w:rsidR="00A23305" w:rsidRPr="00A23305" w:rsidRDefault="00A23305" w:rsidP="00A23305">
            <w:pPr>
              <w:pStyle w:val="Tabletext"/>
              <w:rPr>
                <w:rFonts w:cs="Arial"/>
              </w:rPr>
            </w:pPr>
            <w:r w:rsidRPr="00C65430">
              <w:rPr>
                <w:rFonts w:cs="Arial"/>
                <w:i/>
              </w:rPr>
              <w:t>The treatment must be in combination with metformin; OR</w:t>
            </w:r>
          </w:p>
          <w:p w:rsidR="00A23305" w:rsidRPr="00A23305" w:rsidRDefault="00A23305" w:rsidP="00A23305">
            <w:pPr>
              <w:pStyle w:val="Tabletext"/>
              <w:rPr>
                <w:rFonts w:cs="Arial"/>
              </w:rPr>
            </w:pPr>
          </w:p>
          <w:p w:rsidR="00D80C5D" w:rsidRDefault="00A23305" w:rsidP="00A23305">
            <w:pPr>
              <w:pStyle w:val="Tabletext"/>
              <w:rPr>
                <w:rFonts w:cs="Arial"/>
              </w:rPr>
            </w:pPr>
            <w:r w:rsidRPr="00C65430">
              <w:rPr>
                <w:rFonts w:cs="Arial"/>
                <w:i/>
              </w:rPr>
              <w:t>Patient must have a contraindication to metformi</w:t>
            </w:r>
            <w:r w:rsidRPr="00A07D52">
              <w:rPr>
                <w:rFonts w:cs="Arial"/>
                <w:i/>
              </w:rPr>
              <w:t>n</w:t>
            </w:r>
            <w:r w:rsidR="00C65430" w:rsidRPr="00A07D52">
              <w:rPr>
                <w:rFonts w:cs="Arial"/>
                <w:i/>
              </w:rPr>
              <w:t>;</w:t>
            </w:r>
            <w:r w:rsidR="000605E4">
              <w:rPr>
                <w:rFonts w:cs="Arial"/>
                <w:i/>
              </w:rPr>
              <w:t xml:space="preserve"> </w:t>
            </w:r>
            <w:r w:rsidR="00C65430" w:rsidRPr="00A07D52">
              <w:rPr>
                <w:rFonts w:cs="Arial"/>
                <w:strike/>
              </w:rPr>
              <w:t>The treatment must be in combination with metformin unless contraindicated or not tolerated;</w:t>
            </w:r>
            <w:r w:rsidR="00A07D52">
              <w:rPr>
                <w:rFonts w:cs="Arial"/>
                <w:strike/>
              </w:rPr>
              <w:t xml:space="preserve"> </w:t>
            </w:r>
            <w:r w:rsidR="00D80C5D" w:rsidRPr="00C331A4">
              <w:rPr>
                <w:rFonts w:cs="Arial"/>
              </w:rPr>
              <w:t>AND</w:t>
            </w:r>
          </w:p>
          <w:p w:rsidR="007E765C" w:rsidRPr="00C331A4" w:rsidRDefault="007E765C" w:rsidP="00D80C5D">
            <w:pPr>
              <w:pStyle w:val="Tabletext"/>
              <w:rPr>
                <w:rFonts w:cs="Arial"/>
              </w:rPr>
            </w:pPr>
          </w:p>
          <w:p w:rsidR="00413FE5" w:rsidRDefault="00D80C5D" w:rsidP="00D80C5D">
            <w:pPr>
              <w:pStyle w:val="Tabletext"/>
              <w:rPr>
                <w:rFonts w:cs="Arial"/>
              </w:rPr>
            </w:pPr>
            <w:r w:rsidRPr="00C331A4">
              <w:rPr>
                <w:rFonts w:cs="Arial"/>
              </w:rPr>
              <w:t>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w:t>
            </w:r>
            <w:r>
              <w:rPr>
                <w:rFonts w:cs="Arial"/>
              </w:rPr>
              <w:t xml:space="preserve"> </w:t>
            </w:r>
          </w:p>
          <w:p w:rsidR="00D80C5D" w:rsidRDefault="00D80C5D" w:rsidP="00D80C5D">
            <w:pPr>
              <w:pStyle w:val="Tabletext"/>
              <w:rPr>
                <w:rFonts w:cs="Arial"/>
              </w:rPr>
            </w:pPr>
            <w:r w:rsidRPr="00C331A4">
              <w:rPr>
                <w:rFonts w:cs="Arial"/>
              </w:rPr>
              <w:t>OR</w:t>
            </w:r>
          </w:p>
          <w:p w:rsidR="00D80C5D" w:rsidRPr="00A30A33" w:rsidRDefault="00D80C5D" w:rsidP="00D80C5D">
            <w:pPr>
              <w:pStyle w:val="Tabletext"/>
              <w:rPr>
                <w:lang w:eastAsia="en-AU"/>
              </w:rPr>
            </w:pPr>
            <w:r w:rsidRPr="00C331A4">
              <w:rPr>
                <w:rFonts w:cs="Arial"/>
              </w:rP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w:t>
            </w:r>
          </w:p>
        </w:tc>
      </w:tr>
      <w:tr w:rsidR="00D80C5D" w:rsidRPr="00A30A33" w:rsidTr="0086641E">
        <w:tblPrEx>
          <w:tblCellMar>
            <w:left w:w="28" w:type="dxa"/>
            <w:right w:w="28" w:type="dxa"/>
          </w:tblCellMar>
        </w:tblPrEx>
        <w:trPr>
          <w:trHeight w:val="20"/>
        </w:trPr>
        <w:tc>
          <w:tcPr>
            <w:tcW w:w="1951" w:type="dxa"/>
          </w:tcPr>
          <w:p w:rsidR="00D80C5D" w:rsidRPr="00A30A33" w:rsidRDefault="00D80C5D" w:rsidP="00D80C5D">
            <w:pPr>
              <w:pStyle w:val="Tabletext"/>
              <w:rPr>
                <w:lang w:eastAsia="en-AU"/>
              </w:rPr>
            </w:pPr>
            <w:r w:rsidRPr="00A30A33">
              <w:rPr>
                <w:lang w:eastAsia="en-AU"/>
              </w:rPr>
              <w:t>Population criteria</w:t>
            </w:r>
            <w:r>
              <w:rPr>
                <w:lang w:eastAsia="en-AU"/>
              </w:rPr>
              <w:t>:</w:t>
            </w:r>
          </w:p>
        </w:tc>
        <w:tc>
          <w:tcPr>
            <w:tcW w:w="7306" w:type="dxa"/>
            <w:gridSpan w:val="7"/>
          </w:tcPr>
          <w:p w:rsidR="00D80C5D" w:rsidRPr="00A23305" w:rsidRDefault="00D80C5D" w:rsidP="00D80C5D">
            <w:pPr>
              <w:pStyle w:val="Tabletext"/>
              <w:rPr>
                <w:strike/>
                <w:color w:val="000000"/>
                <w:szCs w:val="24"/>
                <w:lang w:eastAsia="en-AU"/>
              </w:rPr>
            </w:pPr>
            <w:r w:rsidRPr="00A23305">
              <w:rPr>
                <w:strike/>
              </w:rPr>
              <w:t>Patient must be aged ≥18 years with diabetes mellitus type 2.</w:t>
            </w:r>
          </w:p>
        </w:tc>
      </w:tr>
      <w:tr w:rsidR="00D80C5D" w:rsidRPr="00A30A33" w:rsidTr="0086641E">
        <w:tblPrEx>
          <w:tblCellMar>
            <w:left w:w="28" w:type="dxa"/>
            <w:right w:w="28" w:type="dxa"/>
          </w:tblCellMar>
        </w:tblPrEx>
        <w:trPr>
          <w:trHeight w:val="20"/>
        </w:trPr>
        <w:tc>
          <w:tcPr>
            <w:tcW w:w="1951" w:type="dxa"/>
            <w:hideMark/>
          </w:tcPr>
          <w:p w:rsidR="00D80C5D" w:rsidRPr="00A30A33" w:rsidRDefault="00D80C5D" w:rsidP="00D80C5D">
            <w:pPr>
              <w:pStyle w:val="Tabletext"/>
              <w:rPr>
                <w:lang w:eastAsia="en-AU"/>
              </w:rPr>
            </w:pPr>
            <w:r>
              <w:rPr>
                <w:lang w:eastAsia="en-AU"/>
              </w:rPr>
              <w:t>Prescriber criteria:</w:t>
            </w:r>
          </w:p>
        </w:tc>
        <w:tc>
          <w:tcPr>
            <w:tcW w:w="7306" w:type="dxa"/>
            <w:gridSpan w:val="7"/>
          </w:tcPr>
          <w:p w:rsidR="00D80C5D" w:rsidRDefault="00D80C5D" w:rsidP="00D80C5D">
            <w:pPr>
              <w:pStyle w:val="Tabletext"/>
            </w:pPr>
            <w:r>
              <w:t>The date and level of the qualifying HbA1c measurement must be, or must have been, documented in the patient's medical records at the time treatment with a gliptin, a glitazone, a glucagon-like peptide-1 or an SGLT2 inhibitor is initiated.</w:t>
            </w:r>
          </w:p>
          <w:p w:rsidR="00D80C5D" w:rsidRDefault="00D80C5D" w:rsidP="00D80C5D">
            <w:pPr>
              <w:pStyle w:val="Tabletext"/>
            </w:pPr>
          </w:p>
          <w:p w:rsidR="00D80C5D" w:rsidRDefault="00D80C5D" w:rsidP="00D80C5D">
            <w:pPr>
              <w:pStyle w:val="Tabletext"/>
            </w:pPr>
            <w:r>
              <w:t>The HbA1c must be no more than 4 months old at the time treatment with a gliptin, a glitazone, a glucagon-like peptide-1 or an SGLT2 inhibitor was initiated.</w:t>
            </w:r>
          </w:p>
          <w:p w:rsidR="00D80C5D" w:rsidRDefault="00D80C5D" w:rsidP="00D80C5D">
            <w:pPr>
              <w:pStyle w:val="Tabletext"/>
            </w:pPr>
          </w:p>
          <w:p w:rsidR="00D80C5D" w:rsidRDefault="00D80C5D" w:rsidP="00D80C5D">
            <w:pPr>
              <w:pStyle w:val="Tabletext"/>
            </w:pPr>
            <w:r>
              <w:t>Blood glucose monitoring may be used as an alternative assessment to HbA1c levels in the following circumstances:</w:t>
            </w:r>
          </w:p>
          <w:p w:rsidR="00346574" w:rsidRDefault="00346574" w:rsidP="00D80C5D">
            <w:pPr>
              <w:pStyle w:val="Tabletext"/>
            </w:pPr>
          </w:p>
          <w:p w:rsidR="00D80C5D" w:rsidRDefault="00D80C5D" w:rsidP="00D80C5D">
            <w:pPr>
              <w:pStyle w:val="Tabletext"/>
            </w:pPr>
            <w:r>
              <w:t>(a) A clinical condition with reduced red blood cell survival, including haemolytic anaemias and haemoglobinopathies; and/or</w:t>
            </w:r>
          </w:p>
          <w:p w:rsidR="00346574" w:rsidRDefault="00346574" w:rsidP="00D80C5D">
            <w:pPr>
              <w:pStyle w:val="Tabletext"/>
            </w:pPr>
          </w:p>
          <w:p w:rsidR="00D80C5D" w:rsidRDefault="00D80C5D" w:rsidP="00D80C5D">
            <w:pPr>
              <w:pStyle w:val="Tabletext"/>
            </w:pPr>
            <w:r>
              <w:t>(b) Had red cell transfusion within the previous 3 months.</w:t>
            </w:r>
          </w:p>
          <w:p w:rsidR="00D80C5D" w:rsidRDefault="00D80C5D" w:rsidP="00D80C5D">
            <w:pPr>
              <w:pStyle w:val="Tabletext"/>
            </w:pPr>
          </w:p>
          <w:p w:rsidR="00D80C5D" w:rsidRPr="00A30A33" w:rsidRDefault="00D80C5D" w:rsidP="00D80C5D">
            <w:pPr>
              <w:pStyle w:val="Tabletext"/>
              <w:rPr>
                <w:color w:val="000000"/>
                <w:szCs w:val="24"/>
                <w:lang w:eastAsia="en-AU"/>
              </w:rPr>
            </w:pPr>
            <w:r>
              <w:t>The results of the blood glucose monitoring, which must be no more than 4 months old at the time of initiation of treatment with a gliptin, a glitazone, a glucagon-like peptide-1 or an SGLT2 inhibitor, must be documented in the patient's medical records.</w:t>
            </w:r>
          </w:p>
        </w:tc>
      </w:tr>
      <w:tr w:rsidR="00A23305" w:rsidRPr="004749E5" w:rsidTr="0086641E">
        <w:tblPrEx>
          <w:tblCellMar>
            <w:left w:w="28" w:type="dxa"/>
            <w:right w:w="28" w:type="dxa"/>
          </w:tblCellMar>
        </w:tblPrEx>
        <w:trPr>
          <w:trHeight w:val="20"/>
        </w:trPr>
        <w:tc>
          <w:tcPr>
            <w:tcW w:w="1951" w:type="dxa"/>
            <w:tcBorders>
              <w:top w:val="single" w:sz="4" w:space="0" w:color="auto"/>
              <w:left w:val="single" w:sz="4" w:space="0" w:color="auto"/>
              <w:bottom w:val="single" w:sz="4" w:space="0" w:color="auto"/>
              <w:right w:val="single" w:sz="4" w:space="0" w:color="auto"/>
            </w:tcBorders>
            <w:hideMark/>
          </w:tcPr>
          <w:p w:rsidR="00A23305" w:rsidRPr="00A23305" w:rsidRDefault="00A23305" w:rsidP="00A23305">
            <w:pPr>
              <w:pStyle w:val="Tabletext"/>
              <w:rPr>
                <w:lang w:eastAsia="en-AU"/>
              </w:rPr>
            </w:pPr>
            <w:r w:rsidRPr="00A23305">
              <w:rPr>
                <w:lang w:eastAsia="en-AU"/>
              </w:rPr>
              <w:t>Administrative Advice</w:t>
            </w:r>
          </w:p>
          <w:p w:rsidR="00A23305" w:rsidRPr="00A23305" w:rsidRDefault="00A23305" w:rsidP="00A23305">
            <w:pPr>
              <w:pStyle w:val="Tabletext"/>
              <w:rPr>
                <w:lang w:eastAsia="en-AU"/>
              </w:rPr>
            </w:pPr>
          </w:p>
        </w:tc>
        <w:tc>
          <w:tcPr>
            <w:tcW w:w="7306" w:type="dxa"/>
            <w:gridSpan w:val="7"/>
            <w:tcBorders>
              <w:top w:val="single" w:sz="4" w:space="0" w:color="auto"/>
              <w:left w:val="single" w:sz="4" w:space="0" w:color="auto"/>
              <w:bottom w:val="single" w:sz="4" w:space="0" w:color="auto"/>
              <w:right w:val="single" w:sz="4" w:space="0" w:color="auto"/>
            </w:tcBorders>
          </w:tcPr>
          <w:p w:rsidR="00A23305" w:rsidRPr="00A23305" w:rsidRDefault="00A23305" w:rsidP="00A23305">
            <w:pPr>
              <w:pStyle w:val="Tabletext"/>
              <w:rPr>
                <w:i/>
              </w:rPr>
            </w:pPr>
            <w:r w:rsidRPr="00A23305">
              <w:rPr>
                <w:i/>
              </w:rPr>
              <w:t>This drug is not PBS-subsidised for use as monotherapy or in combination with a dipeptidyl peptidase 4 inhibitor (gliptin), a thiazolidinedione (glitazone) or an SGLT2 inhibitor.</w:t>
            </w:r>
          </w:p>
        </w:tc>
      </w:tr>
    </w:tbl>
    <w:p w:rsidR="001E3B61" w:rsidRDefault="001E3B61" w:rsidP="001E3B61">
      <w:pPr>
        <w:pStyle w:val="TableFooter"/>
      </w:pPr>
      <w:r>
        <w:lastRenderedPageBreak/>
        <w:t>Source: Table 1.4.1 and 1.4.2, pp49-50 of the resubmission</w:t>
      </w:r>
    </w:p>
    <w:p w:rsidR="001E3B61" w:rsidRPr="008F325A" w:rsidRDefault="001E3B61" w:rsidP="001E3B61">
      <w:pPr>
        <w:pStyle w:val="TableFooter"/>
        <w:rPr>
          <w:szCs w:val="18"/>
        </w:rPr>
      </w:pPr>
      <w:r w:rsidRPr="008F325A">
        <w:rPr>
          <w:szCs w:val="18"/>
        </w:rPr>
        <w:t>HbA1c, glycosylated haemoglobin; SGLT2, sodium-glucose co-transporter 2</w:t>
      </w:r>
    </w:p>
    <w:p w:rsidR="001E3B61" w:rsidRPr="00882085" w:rsidRDefault="001E3B61" w:rsidP="001E3B61"/>
    <w:p w:rsidR="00B66CF9" w:rsidRPr="00B66CF9" w:rsidRDefault="001E3B61" w:rsidP="00B66CF9">
      <w:pPr>
        <w:pStyle w:val="ListParagraph"/>
        <w:widowControl/>
        <w:numPr>
          <w:ilvl w:val="1"/>
          <w:numId w:val="3"/>
        </w:numPr>
      </w:pPr>
      <w:r w:rsidRPr="00B66CF9">
        <w:t xml:space="preserve">Compared to the previous submission, the approved ex-manufacturer price per pen for insulin glargine 100 units/mL </w:t>
      </w:r>
      <w:r w:rsidR="00074969">
        <w:t xml:space="preserve">with </w:t>
      </w:r>
      <w:r w:rsidRPr="00B66CF9">
        <w:t xml:space="preserve">lixisenatide 50 mcg/mL decreased by </w:t>
      </w:r>
      <w:r w:rsidR="000D054F">
        <w:rPr>
          <w:noProof/>
          <w:color w:val="000000"/>
          <w:highlight w:val="black"/>
        </w:rPr>
        <w:t>''''''''</w:t>
      </w:r>
      <w:r w:rsidRPr="00B66CF9">
        <w:t>% from $</w:t>
      </w:r>
      <w:r w:rsidR="000D054F">
        <w:rPr>
          <w:noProof/>
          <w:color w:val="000000"/>
          <w:highlight w:val="black"/>
        </w:rPr>
        <w:t>''''''''''</w:t>
      </w:r>
      <w:r w:rsidRPr="00B66CF9">
        <w:t xml:space="preserve"> to $</w:t>
      </w:r>
      <w:r w:rsidR="000D054F">
        <w:rPr>
          <w:noProof/>
          <w:color w:val="000000"/>
          <w:highlight w:val="black"/>
        </w:rPr>
        <w:t>'''''''''''</w:t>
      </w:r>
      <w:r w:rsidR="00DE29CF">
        <w:t>,</w:t>
      </w:r>
      <w:r w:rsidRPr="00B66CF9">
        <w:t xml:space="preserve"> and </w:t>
      </w:r>
      <w:r w:rsidR="00CB0C17" w:rsidRPr="00B66CF9">
        <w:t xml:space="preserve">by </w:t>
      </w:r>
      <w:r w:rsidR="000D054F">
        <w:rPr>
          <w:noProof/>
          <w:color w:val="000000"/>
          <w:highlight w:val="black"/>
        </w:rPr>
        <w:t>'''''''''</w:t>
      </w:r>
      <w:r w:rsidRPr="00B66CF9">
        <w:t>% from $</w:t>
      </w:r>
      <w:r w:rsidR="000D054F">
        <w:rPr>
          <w:noProof/>
          <w:color w:val="000000"/>
          <w:highlight w:val="black"/>
        </w:rPr>
        <w:t>''''''''''</w:t>
      </w:r>
      <w:r w:rsidRPr="00B66CF9">
        <w:t xml:space="preserve"> to $</w:t>
      </w:r>
      <w:r w:rsidR="000D054F">
        <w:rPr>
          <w:noProof/>
          <w:color w:val="000000"/>
          <w:highlight w:val="black"/>
        </w:rPr>
        <w:t>''''''''''</w:t>
      </w:r>
      <w:r w:rsidRPr="00B66CF9">
        <w:t xml:space="preserve"> for insulin glargine 100 units/mL </w:t>
      </w:r>
      <w:r w:rsidR="00074969">
        <w:t xml:space="preserve">with </w:t>
      </w:r>
      <w:r w:rsidRPr="00B66CF9">
        <w:t>lixisenatide 33 mcg/mL.</w:t>
      </w:r>
      <w:r w:rsidR="0031604C" w:rsidRPr="00B66CF9">
        <w:t xml:space="preserve"> </w:t>
      </w:r>
      <w:r w:rsidR="00DC6B6B" w:rsidRPr="00B66CF9">
        <w:t>Additionally</w:t>
      </w:r>
      <w:r w:rsidR="003D4915" w:rsidRPr="00B66CF9">
        <w:t>,</w:t>
      </w:r>
      <w:r w:rsidR="00DC6B6B" w:rsidRPr="00B66CF9">
        <w:t xml:space="preserve"> the maximum number of pens per script decreased from 25 pens in the previous submission to 5 pens in the resubmission.</w:t>
      </w:r>
      <w:r w:rsidR="0031604C" w:rsidRPr="00B66CF9">
        <w:t xml:space="preserve"> </w:t>
      </w:r>
      <w:r w:rsidRPr="00B66CF9">
        <w:t>The proposed reduction in the maximum number of packs per prescription may potentially minimis</w:t>
      </w:r>
      <w:r w:rsidR="00CB0C17" w:rsidRPr="00B66CF9">
        <w:t>e</w:t>
      </w:r>
      <w:r w:rsidRPr="00B66CF9">
        <w:t xml:space="preserve"> wastage. </w:t>
      </w:r>
    </w:p>
    <w:p w:rsidR="001E3B61" w:rsidRPr="00B66CF9" w:rsidRDefault="001E3B61" w:rsidP="001E3B61">
      <w:pPr>
        <w:pStyle w:val="ListParagraph"/>
        <w:widowControl/>
        <w:numPr>
          <w:ilvl w:val="1"/>
          <w:numId w:val="3"/>
        </w:numPr>
      </w:pPr>
      <w:r w:rsidRPr="00B66CF9">
        <w:t>The requested restriction remained unchanged from the previous submission.</w:t>
      </w:r>
      <w:r w:rsidR="0031604C" w:rsidRPr="00B66CF9">
        <w:t xml:space="preserve"> </w:t>
      </w:r>
      <w:r w:rsidR="00223BEA" w:rsidRPr="00B66CF9">
        <w:t>Th</w:t>
      </w:r>
      <w:r w:rsidR="00C376C2" w:rsidRPr="00B66CF9">
        <w:t>e evaluation and the ESC considered this to be</w:t>
      </w:r>
      <w:r w:rsidR="00223BEA" w:rsidRPr="00B66CF9">
        <w:t xml:space="preserve"> appropriate as the restriction aligned with the current PBS restriction for exenatide in combination with insulin.</w:t>
      </w:r>
      <w:r w:rsidR="00B66CF9">
        <w:t xml:space="preserve"> </w:t>
      </w:r>
    </w:p>
    <w:p w:rsidR="001E3B61" w:rsidRPr="00B66CF9" w:rsidRDefault="001E3B61" w:rsidP="003E0F5A">
      <w:pPr>
        <w:pStyle w:val="ListParagraph"/>
        <w:widowControl/>
        <w:numPr>
          <w:ilvl w:val="1"/>
          <w:numId w:val="3"/>
        </w:numPr>
      </w:pPr>
      <w:r w:rsidRPr="00B66CF9">
        <w:t xml:space="preserve">The </w:t>
      </w:r>
      <w:r w:rsidR="004A51BA" w:rsidRPr="00B66CF9">
        <w:t xml:space="preserve">evaluation and the ESC noted that the </w:t>
      </w:r>
      <w:r w:rsidRPr="00B66CF9">
        <w:t xml:space="preserve">requested PBS restriction </w:t>
      </w:r>
      <w:r w:rsidR="003D4915" w:rsidRPr="00B66CF9">
        <w:t>wa</w:t>
      </w:r>
      <w:r w:rsidRPr="00B66CF9">
        <w:t xml:space="preserve">s narrower than the TGA-approved indication, which allows use </w:t>
      </w:r>
      <w:r w:rsidR="00DB49B6" w:rsidRPr="00B66CF9">
        <w:t xml:space="preserve">of insulin glargine with lixisenatide FRC along with metformin </w:t>
      </w:r>
      <w:r w:rsidRPr="00B66CF9">
        <w:t>in patients inadequately controlled using metformin, metformin in combination with another oral agent or basal insulin</w:t>
      </w:r>
      <w:r w:rsidR="00385ED5" w:rsidRPr="00B66CF9">
        <w:t xml:space="preserve"> with no definition for ‘inadequately controlled’</w:t>
      </w:r>
      <w:r w:rsidR="003E0F5A" w:rsidRPr="00B66CF9">
        <w:t xml:space="preserve"> and no mention of treatment with a gliptin, a glitazone, a glucagon-like peptide-1 or an SGLT2 inhibitor</w:t>
      </w:r>
      <w:r w:rsidRPr="00B66CF9">
        <w:t>.</w:t>
      </w:r>
      <w:r w:rsidR="0049397D">
        <w:t xml:space="preserve"> </w:t>
      </w:r>
    </w:p>
    <w:p w:rsidR="00CD2B2A" w:rsidRDefault="00AD05C0" w:rsidP="001E3B61">
      <w:pPr>
        <w:pStyle w:val="ListParagraph"/>
        <w:widowControl/>
        <w:numPr>
          <w:ilvl w:val="1"/>
          <w:numId w:val="3"/>
        </w:numPr>
      </w:pPr>
      <w:r w:rsidRPr="00B66CF9">
        <w:t xml:space="preserve">The </w:t>
      </w:r>
      <w:r w:rsidR="001E3B61" w:rsidRPr="00B66CF9">
        <w:t xml:space="preserve">PBAC </w:t>
      </w:r>
      <w:r w:rsidRPr="00B66CF9">
        <w:t xml:space="preserve">previously </w:t>
      </w:r>
      <w:r w:rsidR="001E3B61" w:rsidRPr="00B66CF9">
        <w:t xml:space="preserve">considered that use outside of the restriction was likely, including </w:t>
      </w:r>
      <w:r w:rsidR="003D4915" w:rsidRPr="00B66CF9">
        <w:t xml:space="preserve">use in </w:t>
      </w:r>
      <w:r w:rsidR="001E3B61" w:rsidRPr="00B66CF9">
        <w:t xml:space="preserve">patients using other oral agents or basal insulin, </w:t>
      </w:r>
      <w:r w:rsidR="000605E4" w:rsidRPr="00B66CF9">
        <w:t>patient’s</w:t>
      </w:r>
      <w:r w:rsidR="001E3B61" w:rsidRPr="00B66CF9">
        <w:t xml:space="preserve"> naïve to insulin, through possible quadruple therapy use and use of doses higher than 60 mg insulin glargine equivalent per day (</w:t>
      </w:r>
      <w:r w:rsidR="00CB0C17" w:rsidRPr="00B66CF9">
        <w:t>5.05 Insulin glargine with lixisenatide</w:t>
      </w:r>
      <w:r w:rsidR="00416D72">
        <w:t>,</w:t>
      </w:r>
      <w:r w:rsidR="00CB0C17" w:rsidRPr="00B66CF9">
        <w:t xml:space="preserve"> March 2018 PSD</w:t>
      </w:r>
      <w:r w:rsidR="00416D72">
        <w:t>,</w:t>
      </w:r>
      <w:r w:rsidR="00CB0C17" w:rsidRPr="00B66CF9">
        <w:t xml:space="preserve"> </w:t>
      </w:r>
      <w:r w:rsidR="001E3B61" w:rsidRPr="00B66CF9">
        <w:t>paragraph 2.6).</w:t>
      </w:r>
      <w:r w:rsidR="00C376C2" w:rsidRPr="00B66CF9">
        <w:t xml:space="preserve"> </w:t>
      </w:r>
    </w:p>
    <w:p w:rsidR="004750AC" w:rsidRPr="005C34A8" w:rsidRDefault="004750AC" w:rsidP="00CD2B2A">
      <w:pPr>
        <w:widowControl/>
        <w:rPr>
          <w:rFonts w:asciiTheme="minorHAnsi" w:hAnsiTheme="minorHAnsi"/>
          <w:i/>
        </w:rPr>
      </w:pPr>
      <w:r w:rsidRPr="00525B39">
        <w:rPr>
          <w:rFonts w:asciiTheme="minorHAnsi" w:hAnsiTheme="minorHAnsi"/>
          <w:i/>
        </w:rPr>
        <w:t>For more detail on PBAC’s view, see section 7 PBAC outcome.</w:t>
      </w:r>
    </w:p>
    <w:p w:rsidR="00B50DB8" w:rsidRPr="00407F2D" w:rsidRDefault="00B50DB8" w:rsidP="005C34A8">
      <w:pPr>
        <w:pStyle w:val="PBACHeading1"/>
        <w:spacing w:before="240" w:after="120"/>
      </w:pPr>
      <w:bookmarkStart w:id="3" w:name="_Toc535856971"/>
      <w:r w:rsidRPr="00407F2D">
        <w:t>Background</w:t>
      </w:r>
      <w:bookmarkEnd w:id="3"/>
    </w:p>
    <w:p w:rsidR="00B60939" w:rsidRPr="004151CF" w:rsidRDefault="00591957" w:rsidP="00A54FDB">
      <w:pPr>
        <w:pStyle w:val="Heading2"/>
        <w:spacing w:before="240"/>
      </w:pPr>
      <w:r w:rsidRPr="004151CF">
        <w:t>Registration status</w:t>
      </w:r>
    </w:p>
    <w:p w:rsidR="001E3B61" w:rsidRPr="00B66CF9" w:rsidRDefault="001E3B61" w:rsidP="001E3B61">
      <w:pPr>
        <w:pStyle w:val="ListParagraph"/>
        <w:numPr>
          <w:ilvl w:val="1"/>
          <w:numId w:val="3"/>
        </w:numPr>
      </w:pPr>
      <w:r w:rsidRPr="008B6152">
        <w:t xml:space="preserve">Insulin glargine with lixisenatide FRC was registered on the ARTG on 27 October 2017, and is indicated for use in combination with metformin for the treatment of adults with Type 2 diabetes mellitus to improve glycaemic control when this has not been provided by metformin alone or metformin combined with another oral glucose lowering medicinal product or with basal insulin. In its </w:t>
      </w:r>
      <w:r w:rsidR="00DE29CF">
        <w:t xml:space="preserve">consideration </w:t>
      </w:r>
      <w:r w:rsidRPr="008B6152">
        <w:t xml:space="preserve">of the previous submission, the ESC noted that the ARTG listing </w:t>
      </w:r>
      <w:r w:rsidR="002A7052" w:rsidRPr="008B6152">
        <w:t xml:space="preserve">did </w:t>
      </w:r>
      <w:r w:rsidRPr="008B6152">
        <w:t>not include a recommended dose for insulin glargine with lixisenatide</w:t>
      </w:r>
      <w:r w:rsidR="00AC41B1">
        <w:t xml:space="preserve"> FRC</w:t>
      </w:r>
      <w:r w:rsidR="00CB0C17" w:rsidRPr="008B6152">
        <w:t>,</w:t>
      </w:r>
      <w:r w:rsidRPr="008B6152">
        <w:t xml:space="preserve"> which could suggest that a linear dose is acceptable, and </w:t>
      </w:r>
      <w:r w:rsidR="00C376C2">
        <w:t xml:space="preserve">the </w:t>
      </w:r>
      <w:r w:rsidRPr="008B6152">
        <w:t>ESC further noted that the TGA recommended dose for lixisenatide as an add-on therapy is 20</w:t>
      </w:r>
      <w:r w:rsidR="00470273" w:rsidRPr="008B6152">
        <w:t xml:space="preserve"> </w:t>
      </w:r>
      <w:r w:rsidRPr="008B6152">
        <w:t xml:space="preserve">mcg once </w:t>
      </w:r>
      <w:r w:rsidRPr="00B66CF9">
        <w:t>daily</w:t>
      </w:r>
      <w:r w:rsidR="00D51C09" w:rsidRPr="00B66CF9">
        <w:t xml:space="preserve"> for maintenance therapy</w:t>
      </w:r>
      <w:r w:rsidRPr="00B66CF9">
        <w:t>.</w:t>
      </w:r>
      <w:r w:rsidR="0049397D">
        <w:t xml:space="preserve"> </w:t>
      </w:r>
    </w:p>
    <w:p w:rsidR="00B033E5" w:rsidRPr="008B6152" w:rsidRDefault="00B033E5" w:rsidP="00A54FDB">
      <w:pPr>
        <w:pStyle w:val="Heading2"/>
        <w:keepNext/>
        <w:keepLines/>
        <w:spacing w:before="240"/>
      </w:pPr>
      <w:r w:rsidRPr="008B6152">
        <w:lastRenderedPageBreak/>
        <w:t>Previous PBAC consideration</w:t>
      </w:r>
    </w:p>
    <w:p w:rsidR="001A100E" w:rsidRPr="008B6152" w:rsidRDefault="001A100E" w:rsidP="00A54FDB">
      <w:pPr>
        <w:pStyle w:val="ListParagraph"/>
        <w:keepNext/>
        <w:keepLines/>
        <w:widowControl/>
        <w:numPr>
          <w:ilvl w:val="1"/>
          <w:numId w:val="3"/>
        </w:numPr>
      </w:pPr>
      <w:r w:rsidRPr="008B6152">
        <w:t xml:space="preserve">The </w:t>
      </w:r>
      <w:r w:rsidR="007A6B8F">
        <w:t>previous (initial)</w:t>
      </w:r>
      <w:r w:rsidR="00B827F6">
        <w:t xml:space="preserve"> </w:t>
      </w:r>
      <w:r w:rsidRPr="008B6152">
        <w:t>submission</w:t>
      </w:r>
      <w:r w:rsidR="00074969">
        <w:t xml:space="preserve"> for insulin glargine with lixisenatide FRC</w:t>
      </w:r>
      <w:r w:rsidRPr="008B6152">
        <w:t xml:space="preserve"> was considered by the PBAC at its March 2018 meeting.</w:t>
      </w:r>
      <w:r w:rsidR="0031604C" w:rsidRPr="008B6152">
        <w:t xml:space="preserve"> </w:t>
      </w:r>
      <w:r w:rsidR="00B85EF1" w:rsidRPr="008B6152">
        <w:t>Outstanding matters of concern from the March 2018 me</w:t>
      </w:r>
      <w:r w:rsidR="0026778C" w:rsidRPr="008B6152">
        <w:t>eting are summarised in Table 2</w:t>
      </w:r>
      <w:r w:rsidR="00B85EF1" w:rsidRPr="008B6152">
        <w:t>.</w:t>
      </w:r>
      <w:r w:rsidR="00B66CF9">
        <w:t xml:space="preserve"> </w:t>
      </w:r>
    </w:p>
    <w:p w:rsidR="00B60939" w:rsidRPr="008B6152" w:rsidRDefault="0026778C" w:rsidP="0026778C">
      <w:pPr>
        <w:pStyle w:val="Caption"/>
        <w:keepNext/>
        <w:spacing w:after="0"/>
        <w:rPr>
          <w:rStyle w:val="CommentReference"/>
          <w:b/>
          <w:color w:val="auto"/>
        </w:rPr>
      </w:pPr>
      <w:bookmarkStart w:id="4" w:name="_Ref533086581"/>
      <w:r w:rsidRPr="008B6152">
        <w:rPr>
          <w:rFonts w:ascii="Arial Narrow" w:hAnsi="Arial Narrow"/>
          <w:color w:val="auto"/>
          <w:sz w:val="20"/>
          <w:szCs w:val="20"/>
        </w:rPr>
        <w:t xml:space="preserve">Table </w:t>
      </w:r>
      <w:r w:rsidR="00F86B96" w:rsidRPr="008B6152">
        <w:rPr>
          <w:rFonts w:ascii="Arial Narrow" w:hAnsi="Arial Narrow"/>
          <w:noProof/>
          <w:color w:val="auto"/>
          <w:sz w:val="20"/>
          <w:szCs w:val="20"/>
        </w:rPr>
        <w:t>2</w:t>
      </w:r>
      <w:bookmarkEnd w:id="4"/>
      <w:r w:rsidR="00203181" w:rsidRPr="008B6152">
        <w:rPr>
          <w:rStyle w:val="CommentReference"/>
          <w:color w:val="auto"/>
        </w:rPr>
        <w:t>:</w:t>
      </w:r>
      <w:r w:rsidR="0031604C" w:rsidRPr="008B6152">
        <w:rPr>
          <w:rStyle w:val="CommentReference"/>
          <w:color w:val="auto"/>
        </w:rPr>
        <w:t xml:space="preserve"> </w:t>
      </w:r>
      <w:r w:rsidR="00203181" w:rsidRPr="008B6152">
        <w:rPr>
          <w:rStyle w:val="CommentReference"/>
          <w:b/>
          <w:color w:val="auto"/>
        </w:rPr>
        <w:t>Summary of outstanding matters of concern</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outstanding matters of concern"/>
      </w:tblPr>
      <w:tblGrid>
        <w:gridCol w:w="1099"/>
        <w:gridCol w:w="4822"/>
        <w:gridCol w:w="3068"/>
      </w:tblGrid>
      <w:tr w:rsidR="004B03AA" w:rsidRPr="008B6152" w:rsidTr="0086641E">
        <w:trPr>
          <w:cantSplit/>
          <w:tblHeader/>
        </w:trPr>
        <w:tc>
          <w:tcPr>
            <w:tcW w:w="1099" w:type="dxa"/>
            <w:tcMar>
              <w:left w:w="28" w:type="dxa"/>
              <w:right w:w="28" w:type="dxa"/>
            </w:tcMar>
            <w:vAlign w:val="center"/>
          </w:tcPr>
          <w:p w:rsidR="00203181" w:rsidRPr="008B6152" w:rsidRDefault="00203181" w:rsidP="00C7151A">
            <w:pPr>
              <w:pStyle w:val="Tabletext"/>
              <w:keepNext/>
              <w:rPr>
                <w:b/>
              </w:rPr>
            </w:pPr>
            <w:r w:rsidRPr="008B6152">
              <w:rPr>
                <w:b/>
              </w:rPr>
              <w:t>Component</w:t>
            </w:r>
          </w:p>
        </w:tc>
        <w:tc>
          <w:tcPr>
            <w:tcW w:w="4822" w:type="dxa"/>
            <w:tcMar>
              <w:left w:w="28" w:type="dxa"/>
              <w:right w:w="28" w:type="dxa"/>
            </w:tcMar>
            <w:vAlign w:val="center"/>
          </w:tcPr>
          <w:p w:rsidR="00203181" w:rsidRPr="008B6152" w:rsidRDefault="00203181" w:rsidP="00C7151A">
            <w:pPr>
              <w:pStyle w:val="Tabletext"/>
              <w:keepNext/>
              <w:jc w:val="center"/>
              <w:rPr>
                <w:b/>
              </w:rPr>
            </w:pPr>
            <w:r w:rsidRPr="008B6152">
              <w:rPr>
                <w:b/>
              </w:rPr>
              <w:t>Matter of concern</w:t>
            </w:r>
          </w:p>
        </w:tc>
        <w:tc>
          <w:tcPr>
            <w:tcW w:w="3068" w:type="dxa"/>
            <w:tcMar>
              <w:left w:w="28" w:type="dxa"/>
              <w:right w:w="28" w:type="dxa"/>
            </w:tcMar>
            <w:vAlign w:val="center"/>
          </w:tcPr>
          <w:p w:rsidR="00203181" w:rsidRPr="008B6152" w:rsidRDefault="00203181" w:rsidP="00C7151A">
            <w:pPr>
              <w:pStyle w:val="Tabletext"/>
              <w:keepNext/>
              <w:jc w:val="center"/>
              <w:rPr>
                <w:b/>
              </w:rPr>
            </w:pPr>
            <w:r w:rsidRPr="008B6152">
              <w:rPr>
                <w:b/>
              </w:rPr>
              <w:t>How the resubmission addresses it</w:t>
            </w:r>
          </w:p>
        </w:tc>
      </w:tr>
      <w:tr w:rsidR="001B639D" w:rsidRPr="008B6152" w:rsidTr="0086641E">
        <w:trPr>
          <w:cantSplit/>
        </w:trPr>
        <w:tc>
          <w:tcPr>
            <w:tcW w:w="1099" w:type="dxa"/>
            <w:vMerge w:val="restart"/>
            <w:tcMar>
              <w:left w:w="28" w:type="dxa"/>
              <w:right w:w="28" w:type="dxa"/>
            </w:tcMar>
            <w:vAlign w:val="center"/>
          </w:tcPr>
          <w:p w:rsidR="001B639D" w:rsidRPr="008B6152" w:rsidRDefault="001B639D" w:rsidP="00203181">
            <w:pPr>
              <w:pStyle w:val="Tabletext"/>
            </w:pPr>
            <w:r w:rsidRPr="008B6152">
              <w:t>Clinical claim</w:t>
            </w:r>
          </w:p>
        </w:tc>
        <w:tc>
          <w:tcPr>
            <w:tcW w:w="4822" w:type="dxa"/>
            <w:tcMar>
              <w:left w:w="28" w:type="dxa"/>
              <w:right w:w="28" w:type="dxa"/>
            </w:tcMar>
            <w:vAlign w:val="center"/>
          </w:tcPr>
          <w:p w:rsidR="001B639D" w:rsidRPr="008B6152" w:rsidRDefault="001B639D" w:rsidP="00E9659E">
            <w:pPr>
              <w:pStyle w:val="Tabletext"/>
            </w:pPr>
            <w:r w:rsidRPr="008B6152">
              <w:t xml:space="preserve">The ESC noted that other trials referenced in the TGA Product Information including the GetGoal X study may be informative in assessing effectiveness (6.12) </w:t>
            </w:r>
          </w:p>
        </w:tc>
        <w:tc>
          <w:tcPr>
            <w:tcW w:w="3068" w:type="dxa"/>
            <w:vMerge w:val="restart"/>
            <w:tcMar>
              <w:left w:w="28" w:type="dxa"/>
              <w:right w:w="28" w:type="dxa"/>
            </w:tcMar>
            <w:vAlign w:val="center"/>
          </w:tcPr>
          <w:p w:rsidR="001B639D" w:rsidRPr="008B6152" w:rsidRDefault="001B639D" w:rsidP="00D80C5D">
            <w:pPr>
              <w:pStyle w:val="Tabletext"/>
            </w:pPr>
            <w:r w:rsidRPr="008B6152">
              <w:t>The resubmission argued that lixisenatide was non-inferior to exenatide based on results from GetGoal-X</w:t>
            </w:r>
            <w:r w:rsidR="00DE29CF">
              <w:t>, however</w:t>
            </w:r>
            <w:r w:rsidRPr="008B6152">
              <w:t xml:space="preserve"> </w:t>
            </w:r>
            <w:r w:rsidR="00DE29CF">
              <w:t>t</w:t>
            </w:r>
            <w:r w:rsidR="000812CD">
              <w:t>he evaluation noted that</w:t>
            </w:r>
            <w:r w:rsidRPr="008B6152">
              <w:t xml:space="preserve"> the results numerically favoured exenatide.</w:t>
            </w:r>
            <w:r w:rsidR="0049397D">
              <w:t xml:space="preserve"> </w:t>
            </w:r>
          </w:p>
          <w:p w:rsidR="001B639D" w:rsidRPr="008B6152" w:rsidRDefault="001B639D" w:rsidP="003D5EDF">
            <w:pPr>
              <w:pStyle w:val="Tabletext"/>
            </w:pPr>
            <w:r w:rsidRPr="008B6152">
              <w:t>The resubmission argued that the PBAC previously accepted an upper 95% CI of 0.43% for dapagliflozin compared to insulin glargine at the March 2015 meeting. Th</w:t>
            </w:r>
            <w:r w:rsidR="000812CD">
              <w:t>e evaluation and ESC considered that this</w:t>
            </w:r>
            <w:r w:rsidRPr="008B6152">
              <w:t xml:space="preserve"> may not be appropriate as the decision for dapagliflozin was related to total injection avoidance.</w:t>
            </w:r>
          </w:p>
        </w:tc>
      </w:tr>
      <w:tr w:rsidR="001B639D" w:rsidRPr="008B6152" w:rsidTr="0086641E">
        <w:trPr>
          <w:cantSplit/>
        </w:trPr>
        <w:tc>
          <w:tcPr>
            <w:tcW w:w="1099" w:type="dxa"/>
            <w:vMerge/>
            <w:tcMar>
              <w:left w:w="28" w:type="dxa"/>
              <w:right w:w="28" w:type="dxa"/>
            </w:tcMar>
            <w:vAlign w:val="center"/>
          </w:tcPr>
          <w:p w:rsidR="001B639D" w:rsidRPr="008B6152" w:rsidRDefault="001B639D" w:rsidP="00203181">
            <w:pPr>
              <w:pStyle w:val="Tabletext"/>
            </w:pPr>
          </w:p>
        </w:tc>
        <w:tc>
          <w:tcPr>
            <w:tcW w:w="4822" w:type="dxa"/>
            <w:tcMar>
              <w:left w:w="28" w:type="dxa"/>
              <w:right w:w="28" w:type="dxa"/>
            </w:tcMar>
            <w:vAlign w:val="center"/>
          </w:tcPr>
          <w:p w:rsidR="001B639D" w:rsidRPr="008B6152" w:rsidRDefault="001B639D" w:rsidP="00E9659E">
            <w:pPr>
              <w:pStyle w:val="Tabletext"/>
            </w:pPr>
            <w:r w:rsidRPr="008B6152">
              <w:t>The PBAC considered that a resubmission should provide further evidence to support the equi-effective doses (7.16)</w:t>
            </w:r>
          </w:p>
        </w:tc>
        <w:tc>
          <w:tcPr>
            <w:tcW w:w="3068" w:type="dxa"/>
            <w:vMerge/>
            <w:tcMar>
              <w:left w:w="28" w:type="dxa"/>
              <w:right w:w="28" w:type="dxa"/>
            </w:tcMar>
            <w:vAlign w:val="center"/>
          </w:tcPr>
          <w:p w:rsidR="001B639D" w:rsidRPr="008B6152" w:rsidRDefault="001B639D" w:rsidP="003D5EDF">
            <w:pPr>
              <w:pStyle w:val="Tabletext"/>
            </w:pPr>
          </w:p>
        </w:tc>
      </w:tr>
      <w:tr w:rsidR="001B639D" w:rsidRPr="008B6152" w:rsidTr="0086641E">
        <w:trPr>
          <w:cantSplit/>
        </w:trPr>
        <w:tc>
          <w:tcPr>
            <w:tcW w:w="1099" w:type="dxa"/>
            <w:vMerge/>
            <w:tcMar>
              <w:left w:w="28" w:type="dxa"/>
              <w:right w:w="28" w:type="dxa"/>
            </w:tcMar>
            <w:vAlign w:val="center"/>
          </w:tcPr>
          <w:p w:rsidR="001B639D" w:rsidRPr="008B6152" w:rsidRDefault="001B639D" w:rsidP="00203181">
            <w:pPr>
              <w:pStyle w:val="Tabletext"/>
            </w:pPr>
          </w:p>
        </w:tc>
        <w:tc>
          <w:tcPr>
            <w:tcW w:w="4822" w:type="dxa"/>
            <w:tcMar>
              <w:left w:w="28" w:type="dxa"/>
              <w:right w:w="28" w:type="dxa"/>
            </w:tcMar>
            <w:vAlign w:val="center"/>
          </w:tcPr>
          <w:p w:rsidR="001B639D" w:rsidRPr="008B6152" w:rsidRDefault="001B639D" w:rsidP="00E9659E">
            <w:pPr>
              <w:pStyle w:val="Tabletext"/>
            </w:pPr>
            <w:r w:rsidRPr="008B6152">
              <w:t>The PBAC considered that non-inferiority was not demonstrated as the upper 95% CI exceeded the nominated non-inferiority margin of 0.3% to 0.4% (6.19, 7.6)</w:t>
            </w:r>
          </w:p>
        </w:tc>
        <w:tc>
          <w:tcPr>
            <w:tcW w:w="3068" w:type="dxa"/>
            <w:vMerge/>
            <w:tcMar>
              <w:left w:w="28" w:type="dxa"/>
              <w:right w:w="28" w:type="dxa"/>
            </w:tcMar>
            <w:vAlign w:val="center"/>
          </w:tcPr>
          <w:p w:rsidR="001B639D" w:rsidRPr="008B6152" w:rsidRDefault="001B639D" w:rsidP="003D5EDF">
            <w:pPr>
              <w:pStyle w:val="Tabletext"/>
            </w:pPr>
          </w:p>
        </w:tc>
      </w:tr>
      <w:tr w:rsidR="00774BE7" w:rsidRPr="008B6152" w:rsidTr="0086641E">
        <w:trPr>
          <w:cantSplit/>
        </w:trPr>
        <w:tc>
          <w:tcPr>
            <w:tcW w:w="1099" w:type="dxa"/>
            <w:vMerge/>
            <w:tcMar>
              <w:left w:w="28" w:type="dxa"/>
              <w:right w:w="28" w:type="dxa"/>
            </w:tcMar>
            <w:vAlign w:val="center"/>
          </w:tcPr>
          <w:p w:rsidR="00774BE7" w:rsidRPr="008B6152" w:rsidRDefault="00774BE7" w:rsidP="00203181">
            <w:pPr>
              <w:pStyle w:val="Tabletext"/>
            </w:pPr>
          </w:p>
        </w:tc>
        <w:tc>
          <w:tcPr>
            <w:tcW w:w="4822" w:type="dxa"/>
            <w:tcMar>
              <w:left w:w="28" w:type="dxa"/>
              <w:right w:w="28" w:type="dxa"/>
            </w:tcMar>
            <w:vAlign w:val="center"/>
          </w:tcPr>
          <w:p w:rsidR="00774BE7" w:rsidRPr="008B6152" w:rsidRDefault="00774BE7" w:rsidP="00F244D4">
            <w:pPr>
              <w:pStyle w:val="Tabletext"/>
            </w:pPr>
            <w:r w:rsidRPr="008B6152">
              <w:t xml:space="preserve">The commentary noted that results of the matched adjusted indirect comparisons </w:t>
            </w:r>
            <w:r w:rsidR="001A100E" w:rsidRPr="008B6152">
              <w:t xml:space="preserve">(MAIC) </w:t>
            </w:r>
            <w:r w:rsidRPr="008B6152">
              <w:t>were not considered robust (6.28). The PBAC noted the limitations of the MAIC and acknowledged that Scenarios 2 and 3 resulted in an upper 95% CI of 0.36%, which was lower than the 0.4% non-inferiority margin but not the 0.3% margin (7.7)</w:t>
            </w:r>
          </w:p>
        </w:tc>
        <w:tc>
          <w:tcPr>
            <w:tcW w:w="3068" w:type="dxa"/>
            <w:tcMar>
              <w:left w:w="28" w:type="dxa"/>
              <w:right w:w="28" w:type="dxa"/>
            </w:tcMar>
            <w:vAlign w:val="center"/>
          </w:tcPr>
          <w:p w:rsidR="00FE3AAE" w:rsidRPr="00B66CF9" w:rsidRDefault="00774BE7" w:rsidP="00203181">
            <w:pPr>
              <w:pStyle w:val="Tabletext"/>
            </w:pPr>
            <w:r w:rsidRPr="00B66CF9">
              <w:t xml:space="preserve">No additional evidence </w:t>
            </w:r>
            <w:r w:rsidR="00CB0C17" w:rsidRPr="00B66CF9">
              <w:t xml:space="preserve">was </w:t>
            </w:r>
            <w:r w:rsidRPr="00B66CF9">
              <w:t>presented</w:t>
            </w:r>
            <w:r w:rsidR="00FE3AAE" w:rsidRPr="00B66CF9">
              <w:t>.</w:t>
            </w:r>
          </w:p>
          <w:p w:rsidR="00774BE7" w:rsidRPr="00963BC4" w:rsidRDefault="00FE3AAE" w:rsidP="00203181">
            <w:pPr>
              <w:pStyle w:val="Tabletext"/>
              <w:rPr>
                <w:i/>
              </w:rPr>
            </w:pPr>
            <w:r w:rsidRPr="00B66CF9">
              <w:t>The submission assume</w:t>
            </w:r>
            <w:r w:rsidR="00FE3468">
              <w:t>d</w:t>
            </w:r>
            <w:r w:rsidRPr="00B66CF9">
              <w:t xml:space="preserve"> that the PBAC ha</w:t>
            </w:r>
            <w:r w:rsidR="000812CD">
              <w:t>d</w:t>
            </w:r>
            <w:r w:rsidRPr="00B66CF9">
              <w:t xml:space="preserve"> accepted non-inferiority</w:t>
            </w:r>
            <w:r w:rsidR="000812CD">
              <w:t xml:space="preserve"> and the literature search yielded no new evidence to present</w:t>
            </w:r>
            <w:r w:rsidR="000337E2" w:rsidRPr="00B66CF9">
              <w:t>.</w:t>
            </w:r>
          </w:p>
        </w:tc>
      </w:tr>
      <w:tr w:rsidR="00774BE7" w:rsidRPr="008B6152" w:rsidTr="0086641E">
        <w:trPr>
          <w:cantSplit/>
        </w:trPr>
        <w:tc>
          <w:tcPr>
            <w:tcW w:w="1099" w:type="dxa"/>
            <w:vMerge/>
            <w:tcMar>
              <w:left w:w="28" w:type="dxa"/>
              <w:right w:w="28" w:type="dxa"/>
            </w:tcMar>
            <w:vAlign w:val="center"/>
          </w:tcPr>
          <w:p w:rsidR="00774BE7" w:rsidRPr="008B6152" w:rsidRDefault="00774BE7" w:rsidP="004B03AA">
            <w:pPr>
              <w:pStyle w:val="Tabletext"/>
            </w:pPr>
          </w:p>
        </w:tc>
        <w:tc>
          <w:tcPr>
            <w:tcW w:w="4822" w:type="dxa"/>
            <w:tcMar>
              <w:left w:w="28" w:type="dxa"/>
              <w:right w:w="28" w:type="dxa"/>
            </w:tcMar>
            <w:vAlign w:val="center"/>
          </w:tcPr>
          <w:p w:rsidR="00774BE7" w:rsidRPr="008B6152" w:rsidRDefault="00774BE7" w:rsidP="001A100E">
            <w:pPr>
              <w:pStyle w:val="Tabletext"/>
            </w:pPr>
            <w:r w:rsidRPr="008B6152">
              <w:t xml:space="preserve">The commentary and </w:t>
            </w:r>
            <w:r w:rsidR="00E9659E" w:rsidRPr="008B6152">
              <w:t xml:space="preserve">the </w:t>
            </w:r>
            <w:r w:rsidRPr="008B6152">
              <w:t>ESC stated the</w:t>
            </w:r>
            <w:r w:rsidR="001A100E" w:rsidRPr="008B6152">
              <w:t xml:space="preserve"> clinical claim of </w:t>
            </w:r>
            <w:r w:rsidR="00D80C5D" w:rsidRPr="008B6152">
              <w:t xml:space="preserve">non-inferiority </w:t>
            </w:r>
            <w:r w:rsidRPr="008B6152">
              <w:t xml:space="preserve">was not adequately supported (6.41. 6.42). </w:t>
            </w:r>
            <w:r w:rsidR="001A100E" w:rsidRPr="008B6152">
              <w:t>T</w:t>
            </w:r>
            <w:r w:rsidRPr="008B6152">
              <w:t>he PBAC considered the claim of non-inferior comparative effectiveness to be uncertain but that it may be reasonable (6.43, 7.8) and on balance that a claim of non-inferior comparative safety was supported (6.44, 7.10)</w:t>
            </w:r>
          </w:p>
        </w:tc>
        <w:tc>
          <w:tcPr>
            <w:tcW w:w="3068" w:type="dxa"/>
            <w:vMerge w:val="restart"/>
            <w:tcMar>
              <w:left w:w="28" w:type="dxa"/>
              <w:right w:w="28" w:type="dxa"/>
            </w:tcMar>
            <w:vAlign w:val="center"/>
          </w:tcPr>
          <w:p w:rsidR="00774BE7" w:rsidRPr="008B6152" w:rsidRDefault="00774BE7" w:rsidP="00203181">
            <w:pPr>
              <w:pStyle w:val="Tabletext"/>
            </w:pPr>
            <w:r w:rsidRPr="008B6152">
              <w:t xml:space="preserve">No additional clinical evidence was presented other than the GetGoal-X results </w:t>
            </w:r>
            <w:r w:rsidR="00D80C5D" w:rsidRPr="008B6152">
              <w:t xml:space="preserve">as supplementary information </w:t>
            </w:r>
            <w:r w:rsidRPr="008B6152">
              <w:t>comparing lixisenatide and exenatide</w:t>
            </w:r>
            <w:r w:rsidR="003D4915" w:rsidRPr="008B6152">
              <w:t>.</w:t>
            </w:r>
          </w:p>
        </w:tc>
      </w:tr>
      <w:tr w:rsidR="00774BE7" w:rsidRPr="008B6152" w:rsidTr="0086641E">
        <w:trPr>
          <w:cantSplit/>
        </w:trPr>
        <w:tc>
          <w:tcPr>
            <w:tcW w:w="1099" w:type="dxa"/>
            <w:vMerge/>
            <w:tcMar>
              <w:left w:w="28" w:type="dxa"/>
              <w:right w:w="28" w:type="dxa"/>
            </w:tcMar>
            <w:vAlign w:val="center"/>
          </w:tcPr>
          <w:p w:rsidR="00774BE7" w:rsidRPr="008B6152" w:rsidRDefault="00774BE7" w:rsidP="00774BE7">
            <w:pPr>
              <w:pStyle w:val="Tabletext"/>
            </w:pPr>
          </w:p>
        </w:tc>
        <w:tc>
          <w:tcPr>
            <w:tcW w:w="4822" w:type="dxa"/>
            <w:tcMar>
              <w:left w:w="28" w:type="dxa"/>
              <w:right w:w="28" w:type="dxa"/>
            </w:tcMar>
            <w:vAlign w:val="center"/>
          </w:tcPr>
          <w:p w:rsidR="00774BE7" w:rsidRPr="008B6152" w:rsidRDefault="00E9659E" w:rsidP="001A100E">
            <w:pPr>
              <w:pStyle w:val="Tabletext"/>
            </w:pPr>
            <w:r w:rsidRPr="008B6152">
              <w:t xml:space="preserve">The PBAC considered </w:t>
            </w:r>
            <w:r w:rsidR="00774BE7" w:rsidRPr="008B6152">
              <w:t xml:space="preserve">further evidence </w:t>
            </w:r>
            <w:r w:rsidR="001A100E" w:rsidRPr="008B6152">
              <w:t xml:space="preserve">would be required </w:t>
            </w:r>
            <w:r w:rsidR="00774BE7" w:rsidRPr="008B6152">
              <w:t xml:space="preserve">to address the uncertainties associated with the claim of </w:t>
            </w:r>
            <w:r w:rsidR="001A100E" w:rsidRPr="008B6152">
              <w:t xml:space="preserve">non-inferior </w:t>
            </w:r>
            <w:r w:rsidR="00774BE7" w:rsidRPr="008B6152">
              <w:t>comparative effectiveness (7.16)</w:t>
            </w:r>
          </w:p>
        </w:tc>
        <w:tc>
          <w:tcPr>
            <w:tcW w:w="3068" w:type="dxa"/>
            <w:vMerge/>
            <w:tcMar>
              <w:left w:w="28" w:type="dxa"/>
              <w:right w:w="28" w:type="dxa"/>
            </w:tcMar>
            <w:vAlign w:val="center"/>
          </w:tcPr>
          <w:p w:rsidR="00774BE7" w:rsidRPr="008B6152" w:rsidRDefault="00774BE7" w:rsidP="00774BE7">
            <w:pPr>
              <w:pStyle w:val="Tabletext"/>
            </w:pPr>
          </w:p>
        </w:tc>
      </w:tr>
      <w:tr w:rsidR="00E7428A" w:rsidRPr="008B6152" w:rsidTr="0086641E">
        <w:trPr>
          <w:cantSplit/>
        </w:trPr>
        <w:tc>
          <w:tcPr>
            <w:tcW w:w="1099" w:type="dxa"/>
            <w:vMerge w:val="restart"/>
            <w:tcMar>
              <w:left w:w="28" w:type="dxa"/>
              <w:right w:w="28" w:type="dxa"/>
            </w:tcMar>
            <w:vAlign w:val="center"/>
          </w:tcPr>
          <w:p w:rsidR="00E7428A" w:rsidRPr="008B6152" w:rsidRDefault="00E7428A" w:rsidP="00440F17">
            <w:pPr>
              <w:pStyle w:val="Tabletext"/>
            </w:pPr>
            <w:r w:rsidRPr="008B6152">
              <w:t>Economic evaluation</w:t>
            </w:r>
          </w:p>
        </w:tc>
        <w:tc>
          <w:tcPr>
            <w:tcW w:w="4822" w:type="dxa"/>
            <w:tcMar>
              <w:left w:w="28" w:type="dxa"/>
              <w:right w:w="28" w:type="dxa"/>
            </w:tcMar>
            <w:vAlign w:val="center"/>
          </w:tcPr>
          <w:p w:rsidR="00E7428A" w:rsidRPr="008B6152" w:rsidRDefault="00E7428A" w:rsidP="00203181">
            <w:pPr>
              <w:pStyle w:val="Tabletext"/>
            </w:pPr>
            <w:r w:rsidRPr="008B6152">
              <w:t>The PBAC considered that the insulin-sparing effect claimed in the submission was not supported (6.16, 6.47, 7.9)</w:t>
            </w:r>
          </w:p>
        </w:tc>
        <w:tc>
          <w:tcPr>
            <w:tcW w:w="3068" w:type="dxa"/>
            <w:vMerge w:val="restart"/>
            <w:tcMar>
              <w:left w:w="28" w:type="dxa"/>
              <w:right w:w="28" w:type="dxa"/>
            </w:tcMar>
            <w:vAlign w:val="center"/>
          </w:tcPr>
          <w:p w:rsidR="00E7428A" w:rsidRPr="008B6152" w:rsidRDefault="00E7428A" w:rsidP="00440F17">
            <w:pPr>
              <w:pStyle w:val="Tabletext"/>
            </w:pPr>
            <w:r w:rsidRPr="008B6152">
              <w:t>No insulin sparing effect was assumed. The equi-effective doses were adjusted from:</w:t>
            </w:r>
          </w:p>
          <w:p w:rsidR="00E7428A" w:rsidRPr="008B6152" w:rsidRDefault="00E7428A" w:rsidP="003D4915">
            <w:pPr>
              <w:pStyle w:val="Tabletext"/>
              <w:numPr>
                <w:ilvl w:val="0"/>
                <w:numId w:val="7"/>
              </w:numPr>
              <w:ind w:left="175" w:hanging="175"/>
            </w:pPr>
            <w:r w:rsidRPr="008B6152">
              <w:t xml:space="preserve">46.67 units/day insulin glargine and 16.87 mcg/day lixisenatide given as a </w:t>
            </w:r>
            <w:r w:rsidR="0048257C" w:rsidRPr="008B6152">
              <w:t>FRC to 53.5 units/day and 19.3 mcg/day respectively</w:t>
            </w:r>
            <w:r w:rsidRPr="008B6152">
              <w:t xml:space="preserve">, and </w:t>
            </w:r>
            <w:r w:rsidR="0048257C" w:rsidRPr="008B6152">
              <w:t xml:space="preserve">from </w:t>
            </w:r>
          </w:p>
          <w:p w:rsidR="00E7428A" w:rsidRPr="008B6152" w:rsidRDefault="00E7428A" w:rsidP="003D4915">
            <w:pPr>
              <w:pStyle w:val="Tabletext"/>
              <w:numPr>
                <w:ilvl w:val="0"/>
                <w:numId w:val="7"/>
              </w:numPr>
              <w:ind w:left="175" w:hanging="175"/>
            </w:pPr>
            <w:r w:rsidRPr="008B6152">
              <w:t>62.5 units/day insulin glargine and 19.3 mcg/day exenatide given separately</w:t>
            </w:r>
            <w:r w:rsidR="0048257C" w:rsidRPr="008B6152">
              <w:t xml:space="preserve"> to 53.5 units/day and 19.3 mcg/day respectively</w:t>
            </w:r>
            <w:r w:rsidR="005F2662">
              <w:t>.</w:t>
            </w:r>
          </w:p>
        </w:tc>
      </w:tr>
      <w:tr w:rsidR="00E7428A" w:rsidRPr="008B6152" w:rsidTr="0086641E">
        <w:trPr>
          <w:cantSplit/>
        </w:trPr>
        <w:tc>
          <w:tcPr>
            <w:tcW w:w="1099" w:type="dxa"/>
            <w:vMerge/>
            <w:tcMar>
              <w:left w:w="28" w:type="dxa"/>
              <w:right w:w="28" w:type="dxa"/>
            </w:tcMar>
            <w:vAlign w:val="center"/>
          </w:tcPr>
          <w:p w:rsidR="00E7428A" w:rsidRPr="008B6152" w:rsidRDefault="00E7428A" w:rsidP="00203181">
            <w:pPr>
              <w:pStyle w:val="Tabletext"/>
            </w:pPr>
          </w:p>
        </w:tc>
        <w:tc>
          <w:tcPr>
            <w:tcW w:w="4822" w:type="dxa"/>
            <w:tcMar>
              <w:left w:w="28" w:type="dxa"/>
              <w:right w:w="28" w:type="dxa"/>
            </w:tcMar>
            <w:vAlign w:val="center"/>
          </w:tcPr>
          <w:p w:rsidR="00E7428A" w:rsidRPr="008B6152" w:rsidRDefault="00E7428A" w:rsidP="001A100E">
            <w:pPr>
              <w:pStyle w:val="Tabletext"/>
            </w:pPr>
            <w:r w:rsidRPr="008B6152">
              <w:t>The PBAC consi</w:t>
            </w:r>
            <w:r w:rsidR="001A100E" w:rsidRPr="008B6152">
              <w:t>dered that capping of the dose in the LIXILAN-L trial to be</w:t>
            </w:r>
            <w:r w:rsidRPr="008B6152">
              <w:t xml:space="preserve"> a confounding factor in determining the equi-effective doses and that the proposed dose relativity was not supported (6.47, 6.53, 7.12)</w:t>
            </w:r>
          </w:p>
        </w:tc>
        <w:tc>
          <w:tcPr>
            <w:tcW w:w="3068" w:type="dxa"/>
            <w:vMerge/>
            <w:tcMar>
              <w:left w:w="28" w:type="dxa"/>
              <w:right w:w="28" w:type="dxa"/>
            </w:tcMar>
            <w:vAlign w:val="center"/>
          </w:tcPr>
          <w:p w:rsidR="00E7428A" w:rsidRPr="008B6152" w:rsidRDefault="00E7428A" w:rsidP="00203181">
            <w:pPr>
              <w:pStyle w:val="Tabletext"/>
            </w:pPr>
          </w:p>
        </w:tc>
      </w:tr>
      <w:tr w:rsidR="00E7428A" w:rsidRPr="008B6152" w:rsidTr="0086641E">
        <w:trPr>
          <w:cantSplit/>
        </w:trPr>
        <w:tc>
          <w:tcPr>
            <w:tcW w:w="1099" w:type="dxa"/>
            <w:vMerge/>
            <w:tcMar>
              <w:left w:w="28" w:type="dxa"/>
              <w:right w:w="28" w:type="dxa"/>
            </w:tcMar>
            <w:vAlign w:val="center"/>
          </w:tcPr>
          <w:p w:rsidR="00E7428A" w:rsidRPr="008B6152" w:rsidRDefault="00E7428A" w:rsidP="00203181">
            <w:pPr>
              <w:pStyle w:val="Tabletext"/>
            </w:pPr>
          </w:p>
        </w:tc>
        <w:tc>
          <w:tcPr>
            <w:tcW w:w="4822" w:type="dxa"/>
            <w:tcMar>
              <w:left w:w="28" w:type="dxa"/>
              <w:right w:w="28" w:type="dxa"/>
            </w:tcMar>
            <w:vAlign w:val="center"/>
          </w:tcPr>
          <w:p w:rsidR="00E7428A" w:rsidRPr="008B6152" w:rsidRDefault="00E7428A" w:rsidP="00203181">
            <w:pPr>
              <w:pStyle w:val="Tabletext"/>
            </w:pPr>
            <w:r w:rsidRPr="008B6152">
              <w:rPr>
                <w:bCs/>
                <w:lang w:val="en-GB"/>
              </w:rPr>
              <w:t xml:space="preserve">The PBAC did not accept the equi-effective doses proposed in the submission and hence did not have </w:t>
            </w:r>
            <w:r w:rsidRPr="008B6152">
              <w:t>a basis for determining the cost-effective price (7.14)</w:t>
            </w:r>
          </w:p>
        </w:tc>
        <w:tc>
          <w:tcPr>
            <w:tcW w:w="3068" w:type="dxa"/>
            <w:vMerge/>
            <w:tcMar>
              <w:left w:w="28" w:type="dxa"/>
              <w:right w:w="28" w:type="dxa"/>
            </w:tcMar>
            <w:vAlign w:val="center"/>
          </w:tcPr>
          <w:p w:rsidR="00E7428A" w:rsidRPr="008B6152" w:rsidRDefault="00E7428A" w:rsidP="00203181">
            <w:pPr>
              <w:pStyle w:val="Tabletext"/>
            </w:pPr>
          </w:p>
        </w:tc>
      </w:tr>
      <w:tr w:rsidR="00EF6004" w:rsidRPr="008B6152" w:rsidTr="0086641E">
        <w:trPr>
          <w:cantSplit/>
        </w:trPr>
        <w:tc>
          <w:tcPr>
            <w:tcW w:w="1099" w:type="dxa"/>
            <w:vMerge/>
            <w:tcMar>
              <w:left w:w="28" w:type="dxa"/>
              <w:right w:w="28" w:type="dxa"/>
            </w:tcMar>
            <w:vAlign w:val="center"/>
          </w:tcPr>
          <w:p w:rsidR="00EF6004" w:rsidRPr="008B6152" w:rsidRDefault="00EF6004" w:rsidP="00203181">
            <w:pPr>
              <w:pStyle w:val="Tabletext"/>
            </w:pPr>
          </w:p>
        </w:tc>
        <w:tc>
          <w:tcPr>
            <w:tcW w:w="4822" w:type="dxa"/>
            <w:tcMar>
              <w:left w:w="28" w:type="dxa"/>
              <w:right w:w="28" w:type="dxa"/>
            </w:tcMar>
            <w:vAlign w:val="center"/>
          </w:tcPr>
          <w:p w:rsidR="00EF6004" w:rsidRPr="008B6152" w:rsidRDefault="00EF6004" w:rsidP="00F95075">
            <w:pPr>
              <w:pStyle w:val="Tabletext"/>
            </w:pPr>
            <w:r w:rsidRPr="008B6152">
              <w:t>The PBAC considered that a difference in the dose relativities between lixisenatide and exenatide was not justified (6.47)</w:t>
            </w:r>
          </w:p>
        </w:tc>
        <w:tc>
          <w:tcPr>
            <w:tcW w:w="3068" w:type="dxa"/>
            <w:tcMar>
              <w:left w:w="28" w:type="dxa"/>
              <w:right w:w="28" w:type="dxa"/>
            </w:tcMar>
            <w:vAlign w:val="center"/>
          </w:tcPr>
          <w:p w:rsidR="00EF6004" w:rsidRPr="008B6152" w:rsidRDefault="00EF6004" w:rsidP="00493E06">
            <w:pPr>
              <w:pStyle w:val="Tabletext"/>
            </w:pPr>
            <w:r w:rsidRPr="008B6152">
              <w:t xml:space="preserve">The newly proposed equi-effective doses in the resubmission suggest that lixisenatide and exenatide are non-inferior on a mcg to mcg basis, and the resubmission claimed the GetGoal-X </w:t>
            </w:r>
            <w:r w:rsidR="00493E06">
              <w:t>results support this conclusion</w:t>
            </w:r>
            <w:r w:rsidR="00D80C5D" w:rsidRPr="008B6152">
              <w:t>. This is inconsistent with PBAC’s previous considerations of lixisenatide and exenatide.</w:t>
            </w:r>
          </w:p>
        </w:tc>
      </w:tr>
      <w:tr w:rsidR="00EF6004" w:rsidRPr="008B6152" w:rsidTr="0086641E">
        <w:trPr>
          <w:cantSplit/>
        </w:trPr>
        <w:tc>
          <w:tcPr>
            <w:tcW w:w="1099" w:type="dxa"/>
            <w:vMerge/>
            <w:tcMar>
              <w:left w:w="28" w:type="dxa"/>
              <w:right w:w="28" w:type="dxa"/>
            </w:tcMar>
            <w:vAlign w:val="center"/>
          </w:tcPr>
          <w:p w:rsidR="00EF6004" w:rsidRPr="008B6152" w:rsidRDefault="00EF6004" w:rsidP="00203181">
            <w:pPr>
              <w:pStyle w:val="Tabletext"/>
            </w:pPr>
          </w:p>
        </w:tc>
        <w:tc>
          <w:tcPr>
            <w:tcW w:w="4822" w:type="dxa"/>
            <w:tcMar>
              <w:left w:w="28" w:type="dxa"/>
              <w:right w:w="28" w:type="dxa"/>
            </w:tcMar>
            <w:vAlign w:val="center"/>
          </w:tcPr>
          <w:p w:rsidR="00EF6004" w:rsidRPr="008B6152" w:rsidRDefault="00EF6004" w:rsidP="001A100E">
            <w:pPr>
              <w:pStyle w:val="Tabletext"/>
            </w:pPr>
            <w:r w:rsidRPr="008B6152">
              <w:t xml:space="preserve">The </w:t>
            </w:r>
            <w:r w:rsidR="00E9659E" w:rsidRPr="008B6152">
              <w:t xml:space="preserve">commentary noted that the </w:t>
            </w:r>
            <w:r w:rsidRPr="008B6152">
              <w:t xml:space="preserve">cost per unit of insulin glargine, and the cost per mcg of exenatide 5 mcg and 10 mcg </w:t>
            </w:r>
            <w:r w:rsidR="001A100E" w:rsidRPr="008B6152">
              <w:t xml:space="preserve">were </w:t>
            </w:r>
            <w:r w:rsidRPr="008B6152">
              <w:t xml:space="preserve">based on the price at first listing, and </w:t>
            </w:r>
            <w:r w:rsidR="001A100E" w:rsidRPr="008B6152">
              <w:t xml:space="preserve">noted </w:t>
            </w:r>
            <w:r w:rsidRPr="008B6152">
              <w:t>these costs could not be verified during the evaluation (6.48).</w:t>
            </w:r>
          </w:p>
        </w:tc>
        <w:tc>
          <w:tcPr>
            <w:tcW w:w="3068" w:type="dxa"/>
            <w:tcMar>
              <w:left w:w="28" w:type="dxa"/>
              <w:right w:w="28" w:type="dxa"/>
            </w:tcMar>
            <w:vAlign w:val="center"/>
          </w:tcPr>
          <w:p w:rsidR="00EF6004" w:rsidRPr="008B6152" w:rsidRDefault="00EF6004" w:rsidP="00493E06">
            <w:pPr>
              <w:pStyle w:val="Tabletext"/>
            </w:pPr>
            <w:r w:rsidRPr="008B6152">
              <w:t>Current list prices for exenatide and insulin glargine were used in the resubmission</w:t>
            </w:r>
            <w:r w:rsidR="00493E06">
              <w:t>.</w:t>
            </w:r>
          </w:p>
        </w:tc>
      </w:tr>
      <w:tr w:rsidR="00171DA0" w:rsidRPr="008B6152" w:rsidTr="0086641E">
        <w:trPr>
          <w:cantSplit/>
        </w:trPr>
        <w:tc>
          <w:tcPr>
            <w:tcW w:w="1099" w:type="dxa"/>
            <w:vMerge w:val="restart"/>
            <w:tcMar>
              <w:left w:w="28" w:type="dxa"/>
              <w:right w:w="28" w:type="dxa"/>
            </w:tcMar>
            <w:vAlign w:val="center"/>
          </w:tcPr>
          <w:p w:rsidR="00171DA0" w:rsidRPr="008B6152" w:rsidRDefault="00171DA0" w:rsidP="00203181">
            <w:pPr>
              <w:pStyle w:val="Tabletext"/>
            </w:pPr>
            <w:r w:rsidRPr="008B6152">
              <w:t>Financial issues</w:t>
            </w:r>
          </w:p>
        </w:tc>
        <w:tc>
          <w:tcPr>
            <w:tcW w:w="4822" w:type="dxa"/>
            <w:tcMar>
              <w:left w:w="28" w:type="dxa"/>
              <w:right w:w="28" w:type="dxa"/>
            </w:tcMar>
            <w:vAlign w:val="center"/>
          </w:tcPr>
          <w:p w:rsidR="00171DA0" w:rsidRPr="008B6152" w:rsidRDefault="00171DA0" w:rsidP="00203181">
            <w:pPr>
              <w:pStyle w:val="Tabletext"/>
            </w:pPr>
            <w:r w:rsidRPr="008B6152">
              <w:t>In estimating regimens likely to be substituted, the submission excluded sulfonylureas, thiazolidinediones and acarbose from the analysis, which the PBAC considered may not be reasonable (6.63)</w:t>
            </w:r>
          </w:p>
        </w:tc>
        <w:tc>
          <w:tcPr>
            <w:tcW w:w="3068" w:type="dxa"/>
            <w:tcMar>
              <w:left w:w="28" w:type="dxa"/>
              <w:right w:w="28" w:type="dxa"/>
            </w:tcMar>
            <w:vAlign w:val="center"/>
          </w:tcPr>
          <w:p w:rsidR="00171DA0" w:rsidRPr="008B6152" w:rsidRDefault="00171DA0" w:rsidP="00493E06">
            <w:pPr>
              <w:pStyle w:val="Tabletext"/>
            </w:pPr>
            <w:r w:rsidRPr="008B6152">
              <w:t xml:space="preserve">An allowance was made for </w:t>
            </w:r>
            <w:r w:rsidR="00604863" w:rsidRPr="008B6152">
              <w:t xml:space="preserve">substitution </w:t>
            </w:r>
            <w:r w:rsidRPr="008B6152">
              <w:t>of sulfonylureas in Years 1 to 3</w:t>
            </w:r>
            <w:r w:rsidR="005F2662">
              <w:t>.</w:t>
            </w:r>
          </w:p>
        </w:tc>
      </w:tr>
      <w:tr w:rsidR="00171DA0" w:rsidRPr="008B6152" w:rsidTr="0086641E">
        <w:trPr>
          <w:cantSplit/>
        </w:trPr>
        <w:tc>
          <w:tcPr>
            <w:tcW w:w="1099" w:type="dxa"/>
            <w:vMerge/>
            <w:tcMar>
              <w:left w:w="28" w:type="dxa"/>
              <w:right w:w="28" w:type="dxa"/>
            </w:tcMar>
            <w:vAlign w:val="center"/>
          </w:tcPr>
          <w:p w:rsidR="00171DA0" w:rsidRPr="008B6152" w:rsidRDefault="00171DA0" w:rsidP="00203181">
            <w:pPr>
              <w:pStyle w:val="Tabletext"/>
            </w:pPr>
          </w:p>
        </w:tc>
        <w:tc>
          <w:tcPr>
            <w:tcW w:w="4822" w:type="dxa"/>
            <w:tcMar>
              <w:left w:w="28" w:type="dxa"/>
              <w:right w:w="28" w:type="dxa"/>
            </w:tcMar>
            <w:vAlign w:val="center"/>
          </w:tcPr>
          <w:p w:rsidR="00171DA0" w:rsidRPr="008B6152" w:rsidRDefault="00171DA0" w:rsidP="00835743">
            <w:pPr>
              <w:pStyle w:val="Tabletext"/>
            </w:pPr>
            <w:r w:rsidRPr="008B6152">
              <w:t>The</w:t>
            </w:r>
            <w:r w:rsidR="00E9659E" w:rsidRPr="008B6152">
              <w:t xml:space="preserve"> PBAC considered there to be</w:t>
            </w:r>
            <w:r w:rsidRPr="008B6152">
              <w:t xml:space="preserve"> potential for use outs</w:t>
            </w:r>
            <w:r w:rsidR="00835743" w:rsidRPr="008B6152">
              <w:t>ide of the proposed restriction</w:t>
            </w:r>
            <w:r w:rsidRPr="008B6152">
              <w:t>, which may increase the cost to government (6.67, 7.3, 7.15)</w:t>
            </w:r>
          </w:p>
        </w:tc>
        <w:tc>
          <w:tcPr>
            <w:tcW w:w="3068" w:type="dxa"/>
            <w:tcMar>
              <w:left w:w="28" w:type="dxa"/>
              <w:right w:w="28" w:type="dxa"/>
            </w:tcMar>
            <w:vAlign w:val="center"/>
          </w:tcPr>
          <w:p w:rsidR="00171DA0" w:rsidRPr="008B6152" w:rsidRDefault="00171DA0" w:rsidP="00203181">
            <w:pPr>
              <w:pStyle w:val="Tabletext"/>
            </w:pPr>
            <w:r w:rsidRPr="008B6152">
              <w:t>Not addressed</w:t>
            </w:r>
            <w:r w:rsidR="005F2662">
              <w:t>.</w:t>
            </w:r>
          </w:p>
        </w:tc>
      </w:tr>
      <w:tr w:rsidR="00171DA0" w:rsidRPr="008B6152" w:rsidTr="0086641E">
        <w:trPr>
          <w:cantSplit/>
        </w:trPr>
        <w:tc>
          <w:tcPr>
            <w:tcW w:w="1099" w:type="dxa"/>
            <w:vMerge/>
            <w:tcMar>
              <w:left w:w="28" w:type="dxa"/>
              <w:right w:w="28" w:type="dxa"/>
            </w:tcMar>
            <w:vAlign w:val="center"/>
          </w:tcPr>
          <w:p w:rsidR="00171DA0" w:rsidRPr="008B6152" w:rsidRDefault="00171DA0" w:rsidP="00203181">
            <w:pPr>
              <w:pStyle w:val="Tabletext"/>
            </w:pPr>
          </w:p>
        </w:tc>
        <w:tc>
          <w:tcPr>
            <w:tcW w:w="4822" w:type="dxa"/>
            <w:tcMar>
              <w:left w:w="28" w:type="dxa"/>
              <w:right w:w="28" w:type="dxa"/>
            </w:tcMar>
            <w:vAlign w:val="center"/>
          </w:tcPr>
          <w:p w:rsidR="00171DA0" w:rsidRPr="008B6152" w:rsidRDefault="00171DA0" w:rsidP="00E9659E">
            <w:pPr>
              <w:pStyle w:val="Tabletext"/>
            </w:pPr>
            <w:r w:rsidRPr="008B6152">
              <w:t>The</w:t>
            </w:r>
            <w:r w:rsidR="00E9659E" w:rsidRPr="008B6152">
              <w:t xml:space="preserve"> PBAC considered there was</w:t>
            </w:r>
            <w:r w:rsidRPr="008B6152">
              <w:t xml:space="preserve"> a significant risk of wastage </w:t>
            </w:r>
            <w:r w:rsidR="00E9659E" w:rsidRPr="008B6152">
              <w:t xml:space="preserve">with the requested listing </w:t>
            </w:r>
            <w:r w:rsidRPr="008B6152">
              <w:t>(6.67)</w:t>
            </w:r>
          </w:p>
        </w:tc>
        <w:tc>
          <w:tcPr>
            <w:tcW w:w="3068" w:type="dxa"/>
            <w:tcMar>
              <w:left w:w="28" w:type="dxa"/>
              <w:right w:w="28" w:type="dxa"/>
            </w:tcMar>
            <w:vAlign w:val="center"/>
          </w:tcPr>
          <w:p w:rsidR="00171DA0" w:rsidRPr="008B6152" w:rsidRDefault="00171DA0" w:rsidP="00493E06">
            <w:pPr>
              <w:pStyle w:val="Tabletext"/>
            </w:pPr>
            <w:r w:rsidRPr="008B6152">
              <w:t>The resubmission proposed a sma</w:t>
            </w:r>
            <w:r w:rsidR="00493E06">
              <w:t>ller maximum quantity</w:t>
            </w:r>
            <w:r w:rsidRPr="008B6152">
              <w:t>, which will help to address the wastage concern</w:t>
            </w:r>
          </w:p>
        </w:tc>
      </w:tr>
      <w:tr w:rsidR="00171DA0" w:rsidRPr="008B6152" w:rsidTr="0086641E">
        <w:trPr>
          <w:cantSplit/>
        </w:trPr>
        <w:tc>
          <w:tcPr>
            <w:tcW w:w="1099" w:type="dxa"/>
            <w:vMerge/>
            <w:tcMar>
              <w:left w:w="28" w:type="dxa"/>
              <w:right w:w="28" w:type="dxa"/>
            </w:tcMar>
            <w:vAlign w:val="center"/>
          </w:tcPr>
          <w:p w:rsidR="00171DA0" w:rsidRPr="008B6152" w:rsidRDefault="00171DA0" w:rsidP="00203181">
            <w:pPr>
              <w:pStyle w:val="Tabletext"/>
            </w:pPr>
          </w:p>
        </w:tc>
        <w:tc>
          <w:tcPr>
            <w:tcW w:w="4822" w:type="dxa"/>
            <w:tcMar>
              <w:left w:w="28" w:type="dxa"/>
              <w:right w:w="28" w:type="dxa"/>
            </w:tcMar>
            <w:vAlign w:val="center"/>
          </w:tcPr>
          <w:p w:rsidR="00171DA0" w:rsidRPr="008B6152" w:rsidRDefault="00171DA0" w:rsidP="00835743">
            <w:pPr>
              <w:pStyle w:val="Tabletext"/>
            </w:pPr>
            <w:r w:rsidRPr="008B6152">
              <w:t xml:space="preserve">The </w:t>
            </w:r>
            <w:r w:rsidR="00E9659E" w:rsidRPr="008B6152">
              <w:t xml:space="preserve">PBAC noted that the </w:t>
            </w:r>
            <w:r w:rsidRPr="008B6152">
              <w:t xml:space="preserve">assumed average insulin doses were based on clinical trial utilisation and may not reflect the average doses used in the Australian population (6.67) </w:t>
            </w:r>
          </w:p>
        </w:tc>
        <w:tc>
          <w:tcPr>
            <w:tcW w:w="3068" w:type="dxa"/>
            <w:tcMar>
              <w:left w:w="28" w:type="dxa"/>
              <w:right w:w="28" w:type="dxa"/>
            </w:tcMar>
            <w:vAlign w:val="center"/>
          </w:tcPr>
          <w:p w:rsidR="00171DA0" w:rsidRPr="008B6152" w:rsidRDefault="00171DA0" w:rsidP="00493E06">
            <w:pPr>
              <w:pStyle w:val="Tabletext"/>
            </w:pPr>
            <w:r w:rsidRPr="008B6152">
              <w:t>The estimates assumed higher average insulin doses based on the newly proposed dose relativity. This may partly address this concern</w:t>
            </w:r>
            <w:r w:rsidR="005F2662">
              <w:t>.</w:t>
            </w:r>
          </w:p>
        </w:tc>
      </w:tr>
      <w:tr w:rsidR="00171DA0" w:rsidRPr="008B6152" w:rsidTr="0086641E">
        <w:trPr>
          <w:cantSplit/>
        </w:trPr>
        <w:tc>
          <w:tcPr>
            <w:tcW w:w="1099" w:type="dxa"/>
            <w:vMerge/>
            <w:tcMar>
              <w:left w:w="28" w:type="dxa"/>
              <w:right w:w="28" w:type="dxa"/>
            </w:tcMar>
            <w:vAlign w:val="center"/>
          </w:tcPr>
          <w:p w:rsidR="00171DA0" w:rsidRPr="008B6152" w:rsidRDefault="00171DA0" w:rsidP="00203181">
            <w:pPr>
              <w:pStyle w:val="Tabletext"/>
            </w:pPr>
          </w:p>
        </w:tc>
        <w:tc>
          <w:tcPr>
            <w:tcW w:w="4822" w:type="dxa"/>
            <w:tcMar>
              <w:left w:w="28" w:type="dxa"/>
              <w:right w:w="28" w:type="dxa"/>
            </w:tcMar>
            <w:vAlign w:val="center"/>
          </w:tcPr>
          <w:p w:rsidR="00171DA0" w:rsidRPr="008B6152" w:rsidRDefault="00171DA0" w:rsidP="00E9659E">
            <w:pPr>
              <w:pStyle w:val="Tabletext"/>
            </w:pPr>
            <w:r w:rsidRPr="008B6152">
              <w:t>The</w:t>
            </w:r>
            <w:r w:rsidR="00E9659E" w:rsidRPr="008B6152">
              <w:t xml:space="preserve"> PBAC considered that there was</w:t>
            </w:r>
            <w:r w:rsidRPr="008B6152">
              <w:t xml:space="preserve"> potential for higher than forecast uptake due to convenience of regimen, and the reduction in patient co-payments compared to other treatments (6.67)</w:t>
            </w:r>
          </w:p>
        </w:tc>
        <w:tc>
          <w:tcPr>
            <w:tcW w:w="3068" w:type="dxa"/>
            <w:tcMar>
              <w:left w:w="28" w:type="dxa"/>
              <w:right w:w="28" w:type="dxa"/>
            </w:tcMar>
            <w:vAlign w:val="center"/>
          </w:tcPr>
          <w:p w:rsidR="00171DA0" w:rsidRPr="008B6152" w:rsidRDefault="00171DA0" w:rsidP="00755D21">
            <w:pPr>
              <w:pStyle w:val="Tabletext"/>
            </w:pPr>
            <w:r w:rsidRPr="008B6152">
              <w:t>Uptake rates in the resubmissi</w:t>
            </w:r>
            <w:r w:rsidR="00493E06">
              <w:t>on remained the same</w:t>
            </w:r>
            <w:r w:rsidRPr="008B6152">
              <w:t>. With a lower maximum quantity requested, the concern regarding lower co-payments leading to higher uptake was considered to be less of a concern</w:t>
            </w:r>
            <w:r w:rsidR="005F2662">
              <w:t>.</w:t>
            </w:r>
          </w:p>
        </w:tc>
      </w:tr>
      <w:tr w:rsidR="00171DA0" w:rsidRPr="008B6152" w:rsidTr="0086641E">
        <w:trPr>
          <w:cantSplit/>
        </w:trPr>
        <w:tc>
          <w:tcPr>
            <w:tcW w:w="1099" w:type="dxa"/>
            <w:vMerge/>
            <w:tcMar>
              <w:left w:w="28" w:type="dxa"/>
              <w:right w:w="28" w:type="dxa"/>
            </w:tcMar>
            <w:vAlign w:val="center"/>
          </w:tcPr>
          <w:p w:rsidR="00171DA0" w:rsidRPr="008B6152" w:rsidRDefault="00171DA0" w:rsidP="00203181">
            <w:pPr>
              <w:pStyle w:val="Tabletext"/>
            </w:pPr>
          </w:p>
        </w:tc>
        <w:tc>
          <w:tcPr>
            <w:tcW w:w="4822" w:type="dxa"/>
            <w:tcMar>
              <w:left w:w="28" w:type="dxa"/>
              <w:right w:w="28" w:type="dxa"/>
            </w:tcMar>
            <w:vAlign w:val="center"/>
          </w:tcPr>
          <w:p w:rsidR="00171DA0" w:rsidRPr="008B6152" w:rsidRDefault="00835743" w:rsidP="00835743">
            <w:pPr>
              <w:pStyle w:val="Tabletext"/>
            </w:pPr>
            <w:r w:rsidRPr="008B6152">
              <w:rPr>
                <w:bCs/>
                <w:lang w:val="en-GB"/>
              </w:rPr>
              <w:t>T</w:t>
            </w:r>
            <w:r w:rsidR="00171DA0" w:rsidRPr="008B6152">
              <w:rPr>
                <w:bCs/>
                <w:lang w:val="en-GB"/>
              </w:rPr>
              <w:t>he PBAC considered that a Risk Sharing Arrangement with an expenditure cap would be required</w:t>
            </w:r>
            <w:r w:rsidR="00774BE7" w:rsidRPr="008B6152">
              <w:rPr>
                <w:bCs/>
                <w:lang w:val="en-GB"/>
              </w:rPr>
              <w:t xml:space="preserve"> for any resubmission</w:t>
            </w:r>
            <w:r w:rsidR="00171DA0" w:rsidRPr="008B6152">
              <w:rPr>
                <w:bCs/>
                <w:lang w:val="en-GB"/>
              </w:rPr>
              <w:t xml:space="preserve"> (7.16)</w:t>
            </w:r>
          </w:p>
        </w:tc>
        <w:tc>
          <w:tcPr>
            <w:tcW w:w="3068" w:type="dxa"/>
            <w:tcMar>
              <w:left w:w="28" w:type="dxa"/>
              <w:right w:w="28" w:type="dxa"/>
            </w:tcMar>
            <w:vAlign w:val="center"/>
          </w:tcPr>
          <w:p w:rsidR="00171DA0" w:rsidRPr="008B6152" w:rsidRDefault="00171DA0" w:rsidP="00755D21">
            <w:pPr>
              <w:pStyle w:val="Tabletext"/>
            </w:pPr>
            <w:r w:rsidRPr="008B6152">
              <w:t>Not addressed</w:t>
            </w:r>
            <w:r w:rsidR="005F2662">
              <w:t>.</w:t>
            </w:r>
          </w:p>
        </w:tc>
      </w:tr>
      <w:tr w:rsidR="00F654B1" w:rsidRPr="008B6152" w:rsidTr="0086641E">
        <w:trPr>
          <w:cantSplit/>
        </w:trPr>
        <w:tc>
          <w:tcPr>
            <w:tcW w:w="1099" w:type="dxa"/>
            <w:tcMar>
              <w:left w:w="28" w:type="dxa"/>
              <w:right w:w="28" w:type="dxa"/>
            </w:tcMar>
            <w:vAlign w:val="center"/>
          </w:tcPr>
          <w:p w:rsidR="00F654B1" w:rsidRPr="008B6152" w:rsidRDefault="00F654B1" w:rsidP="00203181">
            <w:pPr>
              <w:pStyle w:val="Tabletext"/>
            </w:pPr>
            <w:r w:rsidRPr="008B6152">
              <w:t>Quality use of medicines issues</w:t>
            </w:r>
          </w:p>
        </w:tc>
        <w:tc>
          <w:tcPr>
            <w:tcW w:w="4822" w:type="dxa"/>
            <w:tcMar>
              <w:left w:w="28" w:type="dxa"/>
              <w:right w:w="28" w:type="dxa"/>
            </w:tcMar>
            <w:vAlign w:val="center"/>
          </w:tcPr>
          <w:p w:rsidR="00F654B1" w:rsidRPr="008B6152" w:rsidRDefault="00F654B1" w:rsidP="00545461">
            <w:pPr>
              <w:pStyle w:val="Tabletext"/>
            </w:pPr>
            <w:r w:rsidRPr="008B6152">
              <w:t>A number of quality use of medicines issues were raised, with the PBAC noting the need for appropriate activities to be put in place (6.</w:t>
            </w:r>
            <w:r w:rsidR="00BC5F92" w:rsidRPr="008B6152">
              <w:t>69, 6.71 – 6.</w:t>
            </w:r>
            <w:r w:rsidRPr="008B6152">
              <w:t>74</w:t>
            </w:r>
            <w:r w:rsidR="000B7235" w:rsidRPr="008B6152">
              <w:t>, 7.3</w:t>
            </w:r>
            <w:r w:rsidRPr="008B6152">
              <w:t>)</w:t>
            </w:r>
          </w:p>
        </w:tc>
        <w:tc>
          <w:tcPr>
            <w:tcW w:w="3068" w:type="dxa"/>
            <w:tcMar>
              <w:left w:w="28" w:type="dxa"/>
              <w:right w:w="28" w:type="dxa"/>
            </w:tcMar>
            <w:vAlign w:val="center"/>
          </w:tcPr>
          <w:p w:rsidR="00F654B1" w:rsidRPr="008B6152" w:rsidRDefault="00F64B15" w:rsidP="00545461">
            <w:pPr>
              <w:pStyle w:val="Tabletext"/>
            </w:pPr>
            <w:r w:rsidRPr="008B6152">
              <w:t>No additional QUM activities were proposed</w:t>
            </w:r>
            <w:r w:rsidR="005F2662">
              <w:t>.</w:t>
            </w:r>
          </w:p>
        </w:tc>
      </w:tr>
    </w:tbl>
    <w:p w:rsidR="00F244D4" w:rsidRPr="008B6152" w:rsidRDefault="00F244D4" w:rsidP="00203181">
      <w:pPr>
        <w:pStyle w:val="TableFooter"/>
      </w:pPr>
      <w:r w:rsidRPr="008B6152">
        <w:t>All paragraph references refer to the 5.05 Insulin glargine with lixisenatide March 2018 PSD</w:t>
      </w:r>
    </w:p>
    <w:p w:rsidR="00203181" w:rsidRPr="008B6152" w:rsidRDefault="00203181" w:rsidP="00203181">
      <w:pPr>
        <w:pStyle w:val="TableFooter"/>
      </w:pPr>
      <w:r w:rsidRPr="008B6152">
        <w:t xml:space="preserve">Source: </w:t>
      </w:r>
      <w:r w:rsidR="00B81A81" w:rsidRPr="008B6152">
        <w:t xml:space="preserve">5.05 Insulin glargine with lixisenatide March 2018 PSD; Sections </w:t>
      </w:r>
      <w:r w:rsidR="0048257C" w:rsidRPr="008B6152">
        <w:t>2 to 4</w:t>
      </w:r>
      <w:r w:rsidR="00B81A81" w:rsidRPr="008B6152">
        <w:t xml:space="preserve"> of the resubmission</w:t>
      </w:r>
    </w:p>
    <w:p w:rsidR="00E55BB5" w:rsidRPr="008B6152" w:rsidRDefault="00E55BB5" w:rsidP="004B1CB4"/>
    <w:p w:rsidR="00CD2B2A" w:rsidRDefault="00D80C5D" w:rsidP="00D80C5D">
      <w:pPr>
        <w:pStyle w:val="ListParagraph"/>
        <w:widowControl/>
        <w:numPr>
          <w:ilvl w:val="1"/>
          <w:numId w:val="3"/>
        </w:numPr>
      </w:pPr>
      <w:r w:rsidRPr="008B6152">
        <w:t>The PBAC considered a submission for lixisenatide for the treatment of Type 2 diabetes as dual therapy in combination with metformin, and as triple therapy in combination with metformin and a sulfonylurea, at the July 2014 PBAC meeting. The PBAC considered that for the dual therapy indication, the one head-to-head randomised trial comparing lixisenatide to exenatide in combination with metformin suggested that lixisenatide was statistically inferior compared to exenatide. The PBAC further considered that for the triple therapy indication, the indirect comparison did not provide conclusive evidence of non-inferiority of lixisenatide versus exenatide.</w:t>
      </w:r>
      <w:r w:rsidR="004863C8">
        <w:t xml:space="preserve"> </w:t>
      </w:r>
    </w:p>
    <w:p w:rsidR="00D80C5D" w:rsidRPr="008B6152" w:rsidRDefault="00D80C5D" w:rsidP="00CD2B2A">
      <w:pPr>
        <w:widowControl/>
      </w:pPr>
    </w:p>
    <w:p w:rsidR="00D80C5D" w:rsidRDefault="004750AC" w:rsidP="004B1CB4">
      <w:r w:rsidRPr="00525B39">
        <w:rPr>
          <w:rFonts w:asciiTheme="minorHAnsi" w:hAnsiTheme="minorHAnsi"/>
          <w:i/>
        </w:rPr>
        <w:t>For more detail on PBAC’s view, see section 7 PBAC outcome.</w:t>
      </w:r>
    </w:p>
    <w:p w:rsidR="005E4631" w:rsidRPr="008B6152" w:rsidRDefault="005E4631" w:rsidP="004B1CB4"/>
    <w:p w:rsidR="00B60939" w:rsidRPr="008B6152" w:rsidRDefault="00203181" w:rsidP="00B60939">
      <w:pPr>
        <w:pStyle w:val="PBACHeading1"/>
        <w:spacing w:before="240" w:after="120"/>
      </w:pPr>
      <w:bookmarkStart w:id="5" w:name="_Toc535856972"/>
      <w:r w:rsidRPr="008B6152">
        <w:t xml:space="preserve">Population and </w:t>
      </w:r>
      <w:r w:rsidR="008E0D3C" w:rsidRPr="008B6152">
        <w:t>d</w:t>
      </w:r>
      <w:r w:rsidRPr="008B6152">
        <w:t>isease</w:t>
      </w:r>
      <w:bookmarkEnd w:id="5"/>
    </w:p>
    <w:p w:rsidR="00E55BB5" w:rsidRDefault="0049781C" w:rsidP="00317C02">
      <w:pPr>
        <w:pStyle w:val="ListParagraph"/>
        <w:widowControl/>
        <w:numPr>
          <w:ilvl w:val="1"/>
          <w:numId w:val="3"/>
        </w:numPr>
      </w:pPr>
      <w:r w:rsidRPr="008B6152">
        <w:t>The resubmission did not change the clinical place of insulin glargine with lixisenatide FRC, positioning this as an option for patients who fail to achieve adequate glycaemic control with basal insulin. Alternative treatment intensification options included in the algorithm for patients who fail to achieve adequate glycaemic control with basal insulin are addition of a DPP4 inhibitor, an SGLT2 inhibitor, a GLP-1 agonist, rapid acting insulin, or switching to a premixed insulin. The PBAC previously agreed with the proposed clinical place for the product (</w:t>
      </w:r>
      <w:r w:rsidR="00E022F2" w:rsidRPr="00B66CF9">
        <w:t>5.05 Insulin glargine with lixisenatide</w:t>
      </w:r>
      <w:r w:rsidR="00416D72">
        <w:t>,</w:t>
      </w:r>
      <w:r w:rsidR="00E022F2" w:rsidRPr="00B66CF9">
        <w:t xml:space="preserve"> </w:t>
      </w:r>
      <w:r w:rsidRPr="008B6152">
        <w:t xml:space="preserve">March 2018 </w:t>
      </w:r>
      <w:r w:rsidR="00E022F2">
        <w:t xml:space="preserve">PBAC Meeting </w:t>
      </w:r>
      <w:r w:rsidRPr="008B6152">
        <w:t>PSD, paragraph 7.3).</w:t>
      </w:r>
      <w:r w:rsidR="004863C8">
        <w:t xml:space="preserve"> </w:t>
      </w:r>
    </w:p>
    <w:p w:rsidR="00B7589D" w:rsidRPr="008B6152" w:rsidRDefault="00B7589D" w:rsidP="005C34A8">
      <w:r w:rsidRPr="00525B39">
        <w:rPr>
          <w:rFonts w:asciiTheme="minorHAnsi" w:hAnsiTheme="minorHAnsi"/>
          <w:i/>
        </w:rPr>
        <w:t>For more detail on PBAC’s view, see section 7 PBAC outcome.</w:t>
      </w:r>
    </w:p>
    <w:p w:rsidR="00B60939" w:rsidRPr="008B6152" w:rsidRDefault="00B50DB8" w:rsidP="004B1CB4">
      <w:pPr>
        <w:pStyle w:val="PBACHeading1"/>
        <w:spacing w:before="240" w:after="120"/>
      </w:pPr>
      <w:bookmarkStart w:id="6" w:name="_Toc535856973"/>
      <w:r w:rsidRPr="008B6152">
        <w:t>Comparator</w:t>
      </w:r>
      <w:bookmarkEnd w:id="6"/>
    </w:p>
    <w:p w:rsidR="00584406" w:rsidRPr="001573D2" w:rsidRDefault="003569D8" w:rsidP="00FE3468">
      <w:pPr>
        <w:pStyle w:val="ListParagraph"/>
        <w:widowControl/>
        <w:numPr>
          <w:ilvl w:val="1"/>
          <w:numId w:val="3"/>
        </w:numPr>
        <w:rPr>
          <w:rFonts w:cs="Calibri"/>
          <w:iCs/>
          <w:snapToGrid/>
          <w:szCs w:val="24"/>
          <w:lang w:val="en-US" w:eastAsia="en-AU"/>
        </w:rPr>
      </w:pPr>
      <w:r w:rsidRPr="00B66CF9">
        <w:rPr>
          <w:rFonts w:cs="Calibri"/>
          <w:snapToGrid/>
          <w:szCs w:val="24"/>
          <w:lang w:val="en-US" w:eastAsia="en-AU"/>
        </w:rPr>
        <w:t>T</w:t>
      </w:r>
      <w:r w:rsidR="00C35764" w:rsidRPr="00B66CF9">
        <w:rPr>
          <w:rFonts w:cs="Calibri"/>
          <w:snapToGrid/>
          <w:szCs w:val="24"/>
          <w:lang w:val="en-US" w:eastAsia="en-AU"/>
        </w:rPr>
        <w:t>he resubmission nominated basal insulin (insulin glargine) plus exenatide twice daily as the main comparator.</w:t>
      </w:r>
      <w:r w:rsidR="0031604C" w:rsidRPr="00B66CF9">
        <w:rPr>
          <w:rFonts w:cs="Calibri"/>
          <w:snapToGrid/>
          <w:szCs w:val="24"/>
          <w:lang w:val="en-US" w:eastAsia="en-AU"/>
        </w:rPr>
        <w:t xml:space="preserve"> </w:t>
      </w:r>
      <w:r w:rsidR="00AD05C0" w:rsidRPr="00B66CF9">
        <w:rPr>
          <w:rFonts w:cs="Calibri"/>
          <w:snapToGrid/>
          <w:szCs w:val="24"/>
          <w:lang w:val="en-US" w:eastAsia="en-AU"/>
        </w:rPr>
        <w:t>This was the same comparator as the previous submission.</w:t>
      </w:r>
      <w:r w:rsidR="0031604C" w:rsidRPr="00B66CF9">
        <w:rPr>
          <w:rFonts w:cs="Calibri"/>
          <w:snapToGrid/>
          <w:szCs w:val="24"/>
          <w:lang w:val="en-US" w:eastAsia="en-AU"/>
        </w:rPr>
        <w:t xml:space="preserve"> </w:t>
      </w:r>
    </w:p>
    <w:p w:rsidR="009E76B5" w:rsidRPr="00B66CF9" w:rsidRDefault="00C35764" w:rsidP="009E76B5">
      <w:pPr>
        <w:pStyle w:val="ListParagraph"/>
        <w:numPr>
          <w:ilvl w:val="1"/>
          <w:numId w:val="3"/>
        </w:numPr>
        <w:rPr>
          <w:rFonts w:cs="Calibri"/>
          <w:iCs/>
          <w:snapToGrid/>
          <w:szCs w:val="24"/>
          <w:lang w:val="en-US" w:eastAsia="en-AU"/>
        </w:rPr>
      </w:pPr>
      <w:r w:rsidRPr="00B66CF9">
        <w:rPr>
          <w:rFonts w:cs="Calibri"/>
          <w:iCs/>
          <w:snapToGrid/>
          <w:szCs w:val="24"/>
          <w:lang w:val="en-US" w:eastAsia="en-AU"/>
        </w:rPr>
        <w:t xml:space="preserve">The PBAC previously agreed that the proposed comparator was appropriate, </w:t>
      </w:r>
      <w:r w:rsidR="00B6798D" w:rsidRPr="00B66CF9">
        <w:rPr>
          <w:rFonts w:cs="Calibri"/>
          <w:iCs/>
          <w:snapToGrid/>
          <w:szCs w:val="24"/>
          <w:lang w:val="en-US" w:eastAsia="en-AU"/>
        </w:rPr>
        <w:t xml:space="preserve">but also noted other therapies </w:t>
      </w:r>
      <w:r w:rsidRPr="00B66CF9">
        <w:rPr>
          <w:rFonts w:cs="Calibri"/>
          <w:iCs/>
          <w:snapToGrid/>
          <w:szCs w:val="24"/>
          <w:lang w:val="en-US" w:eastAsia="en-AU"/>
        </w:rPr>
        <w:t>e.g. oral agents (sulfonylureas, DPP4 inhibitors, SGLT2 inhibitors), GLP-1 agonists and the addition of rapid-acting insulin or premixed insulin (in addition to basal insulin and metformin</w:t>
      </w:r>
      <w:r w:rsidR="009749A4" w:rsidRPr="00B66CF9">
        <w:rPr>
          <w:rFonts w:cs="Calibri"/>
          <w:iCs/>
          <w:snapToGrid/>
          <w:szCs w:val="24"/>
          <w:lang w:val="en-US" w:eastAsia="en-AU"/>
        </w:rPr>
        <w:t>)</w:t>
      </w:r>
      <w:r w:rsidRPr="00B66CF9">
        <w:rPr>
          <w:rFonts w:cs="Calibri"/>
          <w:iCs/>
          <w:snapToGrid/>
          <w:szCs w:val="24"/>
          <w:lang w:val="en-US" w:eastAsia="en-AU"/>
        </w:rPr>
        <w:t xml:space="preserve"> may be displaced if insulin glargine with lixisenatide FRC </w:t>
      </w:r>
      <w:r w:rsidR="00074969">
        <w:rPr>
          <w:rFonts w:cs="Calibri"/>
          <w:iCs/>
          <w:snapToGrid/>
          <w:szCs w:val="24"/>
          <w:lang w:val="en-US" w:eastAsia="en-AU"/>
        </w:rPr>
        <w:t>were</w:t>
      </w:r>
      <w:r w:rsidRPr="00B66CF9">
        <w:rPr>
          <w:rFonts w:cs="Calibri"/>
          <w:iCs/>
          <w:snapToGrid/>
          <w:szCs w:val="24"/>
          <w:lang w:val="en-US" w:eastAsia="en-AU"/>
        </w:rPr>
        <w:t xml:space="preserve"> listed and therefore may be alternative comparators (5.05 Insulin glargine with lixisenatide</w:t>
      </w:r>
      <w:r w:rsidR="00416D72">
        <w:rPr>
          <w:rFonts w:cs="Calibri"/>
          <w:iCs/>
          <w:snapToGrid/>
          <w:szCs w:val="24"/>
          <w:lang w:val="en-US" w:eastAsia="en-AU"/>
        </w:rPr>
        <w:t>,</w:t>
      </w:r>
      <w:r w:rsidRPr="00B66CF9">
        <w:rPr>
          <w:rFonts w:cs="Calibri"/>
          <w:iCs/>
          <w:snapToGrid/>
          <w:szCs w:val="24"/>
          <w:lang w:val="en-US" w:eastAsia="en-AU"/>
        </w:rPr>
        <w:t xml:space="preserve"> March 2018 </w:t>
      </w:r>
      <w:r w:rsidR="00E022F2">
        <w:rPr>
          <w:rFonts w:cs="Calibri"/>
          <w:iCs/>
          <w:snapToGrid/>
          <w:szCs w:val="24"/>
          <w:lang w:val="en-US" w:eastAsia="en-AU"/>
        </w:rPr>
        <w:t xml:space="preserve">PBAC Meeting </w:t>
      </w:r>
      <w:r w:rsidRPr="00B66CF9">
        <w:rPr>
          <w:rFonts w:cs="Calibri"/>
          <w:iCs/>
          <w:snapToGrid/>
          <w:szCs w:val="24"/>
          <w:lang w:val="en-US" w:eastAsia="en-AU"/>
        </w:rPr>
        <w:t>PSD</w:t>
      </w:r>
      <w:r w:rsidR="00416D72">
        <w:rPr>
          <w:rFonts w:cs="Calibri"/>
          <w:iCs/>
          <w:snapToGrid/>
          <w:szCs w:val="24"/>
          <w:lang w:val="en-US" w:eastAsia="en-AU"/>
        </w:rPr>
        <w:t>,</w:t>
      </w:r>
      <w:r w:rsidRPr="00B66CF9">
        <w:rPr>
          <w:rFonts w:cs="Calibri"/>
          <w:iCs/>
          <w:snapToGrid/>
          <w:szCs w:val="24"/>
          <w:lang w:val="en-US" w:eastAsia="en-AU"/>
        </w:rPr>
        <w:t xml:space="preserve"> paragraphs 5.8 and 7.4).</w:t>
      </w:r>
      <w:r w:rsidR="004863C8">
        <w:rPr>
          <w:rFonts w:cs="Calibri"/>
          <w:iCs/>
          <w:snapToGrid/>
          <w:szCs w:val="24"/>
          <w:lang w:val="en-US" w:eastAsia="en-AU"/>
        </w:rPr>
        <w:t xml:space="preserve"> </w:t>
      </w:r>
    </w:p>
    <w:p w:rsidR="00CD2B2A" w:rsidRDefault="00C35764" w:rsidP="00C35764">
      <w:pPr>
        <w:pStyle w:val="ListParagraph"/>
        <w:numPr>
          <w:ilvl w:val="1"/>
          <w:numId w:val="3"/>
        </w:numPr>
        <w:rPr>
          <w:rFonts w:cs="Calibri"/>
          <w:iCs/>
          <w:snapToGrid/>
          <w:szCs w:val="24"/>
          <w:lang w:val="en-US" w:eastAsia="en-AU"/>
        </w:rPr>
      </w:pPr>
      <w:r w:rsidRPr="00B66CF9">
        <w:rPr>
          <w:rFonts w:cs="Calibri"/>
          <w:iCs/>
          <w:snapToGrid/>
          <w:szCs w:val="24"/>
          <w:lang w:val="en-US" w:eastAsia="en-AU"/>
        </w:rPr>
        <w:t xml:space="preserve">The PBAC </w:t>
      </w:r>
      <w:r w:rsidR="006E55D9">
        <w:rPr>
          <w:rFonts w:cs="Calibri"/>
          <w:iCs/>
          <w:snapToGrid/>
          <w:szCs w:val="24"/>
          <w:lang w:val="en-US" w:eastAsia="en-AU"/>
        </w:rPr>
        <w:t xml:space="preserve">previously </w:t>
      </w:r>
      <w:r w:rsidRPr="00B66CF9">
        <w:rPr>
          <w:rFonts w:cs="Calibri"/>
          <w:iCs/>
          <w:snapToGrid/>
          <w:szCs w:val="24"/>
          <w:lang w:val="en-US" w:eastAsia="en-AU"/>
        </w:rPr>
        <w:t xml:space="preserve">noted that </w:t>
      </w:r>
      <w:r w:rsidR="006408C4">
        <w:rPr>
          <w:rFonts w:cs="Calibri"/>
          <w:iCs/>
          <w:snapToGrid/>
          <w:szCs w:val="24"/>
          <w:lang w:val="en-US" w:eastAsia="en-AU"/>
        </w:rPr>
        <w:t>’</w:t>
      </w:r>
      <w:r w:rsidR="0049781C" w:rsidRPr="00B66CF9">
        <w:rPr>
          <w:rFonts w:cs="Calibri"/>
          <w:iCs/>
          <w:snapToGrid/>
          <w:szCs w:val="24"/>
          <w:lang w:val="en-US" w:eastAsia="en-AU"/>
        </w:rPr>
        <w:t>U</w:t>
      </w:r>
      <w:r w:rsidRPr="00B66CF9">
        <w:rPr>
          <w:rFonts w:cs="Calibri"/>
          <w:iCs/>
          <w:snapToGrid/>
          <w:szCs w:val="24"/>
          <w:lang w:val="en-US" w:eastAsia="en-AU"/>
        </w:rPr>
        <w:t>nder the National Health Act 1953, the PBAC cannot make a positive recommendation for a medicine that is substantially more costly than an alternative therapy or therapies unless it is satisfied that the proposed medicine for some patients provides a significant improvement in efficacy or reduction in toxicity over the alternative therapy or therapies. Some of the identified alternative treatment options are likely to be less costly than insulin glargine plus exenatide (twice daily</w:t>
      </w:r>
      <w:r w:rsidR="006408C4" w:rsidRPr="00B66CF9">
        <w:rPr>
          <w:rFonts w:cs="Calibri"/>
          <w:iCs/>
          <w:snapToGrid/>
          <w:szCs w:val="24"/>
          <w:lang w:val="en-US" w:eastAsia="en-AU"/>
        </w:rPr>
        <w:t>)</w:t>
      </w:r>
      <w:r w:rsidR="006408C4">
        <w:rPr>
          <w:rFonts w:cs="Calibri"/>
          <w:iCs/>
          <w:snapToGrid/>
          <w:szCs w:val="24"/>
          <w:lang w:val="en-US" w:eastAsia="en-AU"/>
        </w:rPr>
        <w:t>’</w:t>
      </w:r>
      <w:r w:rsidR="006408C4" w:rsidRPr="00B66CF9">
        <w:rPr>
          <w:rFonts w:cs="Calibri"/>
          <w:iCs/>
          <w:snapToGrid/>
          <w:szCs w:val="24"/>
          <w:lang w:val="en-US" w:eastAsia="en-AU"/>
        </w:rPr>
        <w:t xml:space="preserve"> </w:t>
      </w:r>
      <w:r w:rsidRPr="00B66CF9">
        <w:rPr>
          <w:rFonts w:cs="Calibri"/>
          <w:iCs/>
          <w:snapToGrid/>
          <w:szCs w:val="24"/>
          <w:lang w:val="en-US" w:eastAsia="en-AU"/>
        </w:rPr>
        <w:t>(5.05 Insulin glargine with lixisenatide FRC, March 2018</w:t>
      </w:r>
      <w:r w:rsidR="00E022F2">
        <w:rPr>
          <w:rFonts w:cs="Calibri"/>
          <w:iCs/>
          <w:snapToGrid/>
          <w:szCs w:val="24"/>
          <w:lang w:val="en-US" w:eastAsia="en-AU"/>
        </w:rPr>
        <w:t xml:space="preserve"> PBAC Meeting</w:t>
      </w:r>
      <w:r w:rsidRPr="00B66CF9">
        <w:rPr>
          <w:rFonts w:cs="Calibri"/>
          <w:iCs/>
          <w:snapToGrid/>
          <w:szCs w:val="24"/>
          <w:lang w:val="en-US" w:eastAsia="en-AU"/>
        </w:rPr>
        <w:t xml:space="preserve"> PSD paragraph 5.3).</w:t>
      </w:r>
      <w:r w:rsidR="004863C8">
        <w:rPr>
          <w:rFonts w:cs="Calibri"/>
          <w:iCs/>
          <w:snapToGrid/>
          <w:szCs w:val="24"/>
          <w:lang w:val="en-US" w:eastAsia="en-AU"/>
        </w:rPr>
        <w:t xml:space="preserve"> </w:t>
      </w:r>
    </w:p>
    <w:p w:rsidR="00B7589D" w:rsidRPr="001573D2" w:rsidRDefault="00FE3468" w:rsidP="00B7589D">
      <w:pPr>
        <w:pStyle w:val="ListParagraph"/>
        <w:widowControl/>
        <w:numPr>
          <w:ilvl w:val="1"/>
          <w:numId w:val="3"/>
        </w:numPr>
        <w:rPr>
          <w:rFonts w:cs="Calibri"/>
          <w:iCs/>
          <w:snapToGrid/>
          <w:szCs w:val="24"/>
          <w:lang w:val="en-US" w:eastAsia="en-AU"/>
        </w:rPr>
      </w:pPr>
      <w:r w:rsidRPr="00B66CF9">
        <w:rPr>
          <w:rFonts w:cs="Calibri"/>
          <w:snapToGrid/>
          <w:szCs w:val="24"/>
          <w:lang w:val="en-US" w:eastAsia="en-AU"/>
        </w:rPr>
        <w:t>The ESC agreed that the nominated comparator</w:t>
      </w:r>
      <w:r w:rsidR="0049397D">
        <w:rPr>
          <w:rFonts w:cs="Calibri"/>
          <w:snapToGrid/>
          <w:szCs w:val="24"/>
          <w:lang w:val="en-US" w:eastAsia="en-AU"/>
        </w:rPr>
        <w:t xml:space="preserve"> remained</w:t>
      </w:r>
      <w:r w:rsidRPr="00B66CF9">
        <w:rPr>
          <w:rFonts w:cs="Calibri"/>
          <w:snapToGrid/>
          <w:szCs w:val="24"/>
          <w:lang w:val="en-US" w:eastAsia="en-AU"/>
        </w:rPr>
        <w:t xml:space="preserve"> appropriate</w:t>
      </w:r>
      <w:r>
        <w:rPr>
          <w:rFonts w:cs="Calibri"/>
          <w:snapToGrid/>
          <w:szCs w:val="24"/>
          <w:lang w:val="en-US" w:eastAsia="en-AU"/>
        </w:rPr>
        <w:t xml:space="preserve"> in the resubmission</w:t>
      </w:r>
      <w:r w:rsidRPr="00B66CF9">
        <w:rPr>
          <w:rFonts w:cs="Calibri"/>
          <w:snapToGrid/>
          <w:szCs w:val="24"/>
          <w:lang w:val="en-US" w:eastAsia="en-AU"/>
        </w:rPr>
        <w:t>, and noted that there are several other potential comparators, particularly different insulin regimes, however it was difficult to determine which of these would be replaced in practice</w:t>
      </w:r>
      <w:r w:rsidR="00610CD4">
        <w:rPr>
          <w:rFonts w:cs="Calibri"/>
          <w:snapToGrid/>
          <w:szCs w:val="24"/>
          <w:lang w:val="en-US" w:eastAsia="en-AU"/>
        </w:rPr>
        <w:t>.</w:t>
      </w:r>
    </w:p>
    <w:p w:rsidR="00FE3468" w:rsidRPr="00FE3468" w:rsidRDefault="00FE3468" w:rsidP="00FE3468">
      <w:pPr>
        <w:pStyle w:val="ListParagraph"/>
        <w:widowControl/>
        <w:numPr>
          <w:ilvl w:val="1"/>
          <w:numId w:val="3"/>
        </w:numPr>
        <w:rPr>
          <w:rFonts w:cs="Calibri"/>
          <w:iCs/>
          <w:snapToGrid/>
          <w:szCs w:val="24"/>
          <w:lang w:val="en-US" w:eastAsia="en-AU"/>
        </w:rPr>
      </w:pPr>
      <w:r w:rsidRPr="00FE3468">
        <w:rPr>
          <w:rFonts w:cs="Calibri"/>
          <w:snapToGrid/>
          <w:szCs w:val="24"/>
          <w:lang w:val="en-US" w:eastAsia="en-AU"/>
        </w:rPr>
        <w:t>The ESC considered this treatment landscape is evolving and the main comparator may change with time despite the PBAC</w:t>
      </w:r>
      <w:r w:rsidR="00B7589D">
        <w:rPr>
          <w:rFonts w:cs="Calibri"/>
          <w:snapToGrid/>
          <w:szCs w:val="24"/>
          <w:lang w:val="en-US" w:eastAsia="en-AU"/>
        </w:rPr>
        <w:t xml:space="preserve"> having</w:t>
      </w:r>
      <w:r w:rsidRPr="00FE3468">
        <w:rPr>
          <w:rFonts w:cs="Calibri"/>
          <w:snapToGrid/>
          <w:szCs w:val="24"/>
          <w:lang w:val="en-US" w:eastAsia="en-AU"/>
        </w:rPr>
        <w:t xml:space="preserve"> previously accept</w:t>
      </w:r>
      <w:r w:rsidR="00B7589D">
        <w:rPr>
          <w:rFonts w:cs="Calibri"/>
          <w:snapToGrid/>
          <w:szCs w:val="24"/>
          <w:lang w:val="en-US" w:eastAsia="en-AU"/>
        </w:rPr>
        <w:t>ed</w:t>
      </w:r>
      <w:r w:rsidRPr="00FE3468">
        <w:rPr>
          <w:rFonts w:cs="Calibri"/>
          <w:snapToGrid/>
          <w:szCs w:val="24"/>
          <w:lang w:val="en-US" w:eastAsia="en-AU"/>
        </w:rPr>
        <w:t xml:space="preserve"> it. </w:t>
      </w:r>
      <w:r w:rsidR="00610CD4" w:rsidRPr="001573D2">
        <w:rPr>
          <w:rFonts w:cs="Calibri"/>
          <w:snapToGrid/>
          <w:szCs w:val="24"/>
          <w:lang w:val="en-US" w:eastAsia="en-AU"/>
        </w:rPr>
        <w:t>T</w:t>
      </w:r>
      <w:r w:rsidR="00610CD4">
        <w:rPr>
          <w:rFonts w:cs="Calibri"/>
          <w:snapToGrid/>
          <w:szCs w:val="24"/>
          <w:lang w:val="en-US" w:eastAsia="en-AU"/>
        </w:rPr>
        <w:t xml:space="preserve">he </w:t>
      </w:r>
      <w:r w:rsidR="00610CD4" w:rsidRPr="001573D2">
        <w:rPr>
          <w:rFonts w:cs="Calibri"/>
          <w:snapToGrid/>
          <w:szCs w:val="24"/>
          <w:lang w:val="en-US" w:eastAsia="en-AU"/>
        </w:rPr>
        <w:t xml:space="preserve">Pre-PBAC Response </w:t>
      </w:r>
      <w:r w:rsidR="00610CD4">
        <w:rPr>
          <w:rFonts w:cs="Calibri"/>
          <w:snapToGrid/>
          <w:szCs w:val="24"/>
          <w:lang w:val="en-US" w:eastAsia="en-AU"/>
        </w:rPr>
        <w:t>acknowledged this, adding that</w:t>
      </w:r>
      <w:r w:rsidR="00610CD4" w:rsidRPr="00B7589D">
        <w:rPr>
          <w:rFonts w:cs="Calibri"/>
          <w:snapToGrid/>
          <w:szCs w:val="24"/>
          <w:lang w:val="en-US" w:eastAsia="en-AU"/>
        </w:rPr>
        <w:t xml:space="preserve"> </w:t>
      </w:r>
      <w:r w:rsidR="00610CD4">
        <w:rPr>
          <w:rFonts w:cs="Calibri"/>
          <w:snapToGrid/>
          <w:szCs w:val="24"/>
          <w:lang w:val="en-US" w:eastAsia="en-AU"/>
        </w:rPr>
        <w:t>‘</w:t>
      </w:r>
      <w:r w:rsidR="00610CD4" w:rsidRPr="001573D2">
        <w:rPr>
          <w:rFonts w:cs="Calibri"/>
          <w:snapToGrid/>
          <w:szCs w:val="24"/>
          <w:lang w:val="en-US" w:eastAsia="en-AU"/>
        </w:rPr>
        <w:t xml:space="preserve">in lieu of specific advice from the Department, the submission cannot reasonably be expected to anticipate future </w:t>
      </w:r>
      <w:r w:rsidR="00610CD4" w:rsidRPr="001573D2">
        <w:rPr>
          <w:rFonts w:cs="Calibri"/>
          <w:snapToGrid/>
          <w:szCs w:val="24"/>
          <w:lang w:val="en-US" w:eastAsia="en-AU"/>
        </w:rPr>
        <w:lastRenderedPageBreak/>
        <w:t>entrants to the PBS for this indication, given that the market access strategies and timelines for competitors’ products are proprietary commercial information’.</w:t>
      </w:r>
    </w:p>
    <w:p w:rsidR="006D7092" w:rsidRPr="005C34A8" w:rsidRDefault="004750AC" w:rsidP="00DF5D2B">
      <w:pPr>
        <w:rPr>
          <w:rFonts w:cs="Calibri"/>
          <w:iCs/>
          <w:snapToGrid/>
          <w:szCs w:val="24"/>
          <w:lang w:val="en-US" w:eastAsia="en-AU"/>
        </w:rPr>
      </w:pPr>
      <w:r w:rsidRPr="00525B39">
        <w:rPr>
          <w:rFonts w:asciiTheme="minorHAnsi" w:hAnsiTheme="minorHAnsi"/>
          <w:i/>
        </w:rPr>
        <w:t>For more detail on PBAC’s view, see section 7 PBAC outcome.</w:t>
      </w:r>
    </w:p>
    <w:p w:rsidR="00B50DB8" w:rsidRPr="008B6152" w:rsidRDefault="00BD6CF3" w:rsidP="005C34A8">
      <w:pPr>
        <w:pStyle w:val="PBACHeading1"/>
        <w:spacing w:before="240" w:after="120"/>
      </w:pPr>
      <w:bookmarkStart w:id="7" w:name="_Toc535856974"/>
      <w:r w:rsidRPr="008B6152">
        <w:t>C</w:t>
      </w:r>
      <w:r w:rsidR="00B50DB8" w:rsidRPr="008B6152">
        <w:t>onsideration of the evidence</w:t>
      </w:r>
      <w:bookmarkEnd w:id="7"/>
    </w:p>
    <w:p w:rsidR="00551A47" w:rsidRPr="003C62C9" w:rsidRDefault="00551A47" w:rsidP="00A54FDB">
      <w:pPr>
        <w:pStyle w:val="Heading2"/>
        <w:keepNext/>
        <w:keepLines/>
        <w:spacing w:before="240"/>
      </w:pPr>
      <w:bookmarkStart w:id="8" w:name="_Toc535856975"/>
      <w:r w:rsidRPr="003C62C9">
        <w:t>Sponsor hearing</w:t>
      </w:r>
    </w:p>
    <w:p w:rsidR="00551A47" w:rsidRPr="00525B39" w:rsidRDefault="00551A47" w:rsidP="00551A47">
      <w:pPr>
        <w:numPr>
          <w:ilvl w:val="1"/>
          <w:numId w:val="3"/>
        </w:numPr>
        <w:spacing w:after="120"/>
        <w:rPr>
          <w:rFonts w:asciiTheme="minorHAnsi" w:hAnsiTheme="minorHAnsi"/>
          <w:bCs/>
        </w:rPr>
      </w:pPr>
      <w:r w:rsidRPr="00525B39">
        <w:rPr>
          <w:rFonts w:asciiTheme="minorHAnsi" w:hAnsiTheme="minorHAnsi"/>
          <w:bCs/>
        </w:rPr>
        <w:t>There was no hearing for this item.</w:t>
      </w:r>
    </w:p>
    <w:p w:rsidR="00551A47" w:rsidRPr="00525B39" w:rsidRDefault="00551A47" w:rsidP="00A54FDB">
      <w:pPr>
        <w:pStyle w:val="Heading2"/>
        <w:keepNext/>
        <w:keepLines/>
        <w:spacing w:before="240"/>
      </w:pPr>
      <w:r w:rsidRPr="00525B39">
        <w:t>Consumer comments</w:t>
      </w:r>
    </w:p>
    <w:p w:rsidR="00551A47" w:rsidRDefault="00551A47" w:rsidP="00551A47">
      <w:pPr>
        <w:numPr>
          <w:ilvl w:val="1"/>
          <w:numId w:val="3"/>
        </w:numPr>
        <w:spacing w:after="120"/>
        <w:rPr>
          <w:rFonts w:asciiTheme="minorHAnsi" w:hAnsiTheme="minorHAnsi"/>
          <w:bCs/>
        </w:rPr>
      </w:pPr>
      <w:r w:rsidRPr="00525B39">
        <w:rPr>
          <w:rFonts w:asciiTheme="minorHAnsi" w:hAnsiTheme="minorHAnsi"/>
          <w:bCs/>
        </w:rPr>
        <w:t>The PBAC noted and welcomed the input from individuals (</w:t>
      </w:r>
      <w:r w:rsidR="00EB2CD8">
        <w:rPr>
          <w:rFonts w:asciiTheme="minorHAnsi" w:hAnsiTheme="minorHAnsi"/>
          <w:bCs/>
        </w:rPr>
        <w:t>1</w:t>
      </w:r>
      <w:r w:rsidRPr="00525B39">
        <w:rPr>
          <w:rFonts w:asciiTheme="minorHAnsi" w:hAnsiTheme="minorHAnsi"/>
          <w:bCs/>
        </w:rPr>
        <w:t>) via the Consumer Comments facility on the PBS website.</w:t>
      </w:r>
      <w:r w:rsidR="0049397D">
        <w:rPr>
          <w:rFonts w:asciiTheme="minorHAnsi" w:hAnsiTheme="minorHAnsi"/>
          <w:bCs/>
        </w:rPr>
        <w:t xml:space="preserve"> </w:t>
      </w:r>
      <w:r w:rsidRPr="00525B39">
        <w:rPr>
          <w:rFonts w:asciiTheme="minorHAnsi" w:hAnsiTheme="minorHAnsi"/>
          <w:bCs/>
        </w:rPr>
        <w:t>The comment</w:t>
      </w:r>
      <w:r w:rsidR="00EB2CD8">
        <w:rPr>
          <w:rFonts w:asciiTheme="minorHAnsi" w:hAnsiTheme="minorHAnsi"/>
          <w:bCs/>
        </w:rPr>
        <w:t xml:space="preserve"> received</w:t>
      </w:r>
      <w:r w:rsidRPr="00525B39">
        <w:rPr>
          <w:rFonts w:asciiTheme="minorHAnsi" w:hAnsiTheme="minorHAnsi"/>
          <w:bCs/>
        </w:rPr>
        <w:t xml:space="preserve"> described </w:t>
      </w:r>
      <w:r w:rsidR="00074969">
        <w:rPr>
          <w:rFonts w:asciiTheme="minorHAnsi" w:hAnsiTheme="minorHAnsi"/>
          <w:bCs/>
        </w:rPr>
        <w:t>insulin glargine with lixisenatide</w:t>
      </w:r>
      <w:r w:rsidR="00074969" w:rsidRPr="00525B39">
        <w:rPr>
          <w:rFonts w:asciiTheme="minorHAnsi" w:hAnsiTheme="minorHAnsi"/>
          <w:bCs/>
        </w:rPr>
        <w:t xml:space="preserve"> </w:t>
      </w:r>
      <w:r w:rsidR="002D7CBB">
        <w:rPr>
          <w:rFonts w:asciiTheme="minorHAnsi" w:hAnsiTheme="minorHAnsi"/>
          <w:bCs/>
        </w:rPr>
        <w:t>a</w:t>
      </w:r>
      <w:r w:rsidR="00EB2CD8">
        <w:rPr>
          <w:rFonts w:asciiTheme="minorHAnsi" w:hAnsiTheme="minorHAnsi"/>
          <w:bCs/>
        </w:rPr>
        <w:t xml:space="preserve">s a promising </w:t>
      </w:r>
      <w:r w:rsidR="002D7CBB">
        <w:rPr>
          <w:rFonts w:asciiTheme="minorHAnsi" w:hAnsiTheme="minorHAnsi"/>
          <w:bCs/>
        </w:rPr>
        <w:t>alternative</w:t>
      </w:r>
      <w:r w:rsidR="00EB2CD8">
        <w:rPr>
          <w:rFonts w:asciiTheme="minorHAnsi" w:hAnsiTheme="minorHAnsi"/>
          <w:bCs/>
        </w:rPr>
        <w:t xml:space="preserve"> treatment for </w:t>
      </w:r>
      <w:r w:rsidR="002D7CBB">
        <w:rPr>
          <w:rFonts w:asciiTheme="minorHAnsi" w:hAnsiTheme="minorHAnsi"/>
          <w:bCs/>
        </w:rPr>
        <w:t xml:space="preserve">diabetic </w:t>
      </w:r>
      <w:r w:rsidR="00EB2CD8">
        <w:rPr>
          <w:rFonts w:asciiTheme="minorHAnsi" w:hAnsiTheme="minorHAnsi"/>
          <w:bCs/>
        </w:rPr>
        <w:t>patients</w:t>
      </w:r>
      <w:r w:rsidR="002D7CBB">
        <w:rPr>
          <w:rFonts w:asciiTheme="minorHAnsi" w:hAnsiTheme="minorHAnsi"/>
          <w:bCs/>
        </w:rPr>
        <w:t xml:space="preserve"> with reduced response to basal insulin alone</w:t>
      </w:r>
      <w:r w:rsidR="00EB2CD8">
        <w:rPr>
          <w:rFonts w:asciiTheme="minorHAnsi" w:hAnsiTheme="minorHAnsi"/>
          <w:bCs/>
        </w:rPr>
        <w:t xml:space="preserve">. </w:t>
      </w:r>
    </w:p>
    <w:p w:rsidR="00B60939" w:rsidRPr="00C9624D" w:rsidRDefault="00B60939" w:rsidP="00A54FDB">
      <w:pPr>
        <w:pStyle w:val="Heading2"/>
        <w:keepNext/>
        <w:keepLines/>
        <w:spacing w:before="240"/>
      </w:pPr>
      <w:r w:rsidRPr="00C9624D">
        <w:t>Clinical trials</w:t>
      </w:r>
      <w:bookmarkEnd w:id="8"/>
    </w:p>
    <w:p w:rsidR="00FD5C06" w:rsidRPr="008B6152" w:rsidRDefault="00DD7AD2" w:rsidP="00E64579">
      <w:pPr>
        <w:pStyle w:val="ListParagraph"/>
        <w:numPr>
          <w:ilvl w:val="1"/>
          <w:numId w:val="3"/>
        </w:numPr>
        <w:rPr>
          <w:rFonts w:cs="Calibri"/>
          <w:snapToGrid/>
          <w:szCs w:val="24"/>
          <w:lang w:val="en-US" w:eastAsia="en-AU"/>
        </w:rPr>
      </w:pPr>
      <w:r>
        <w:rPr>
          <w:rFonts w:cs="Calibri"/>
          <w:snapToGrid/>
          <w:szCs w:val="24"/>
          <w:lang w:val="en-US" w:eastAsia="en-AU"/>
        </w:rPr>
        <w:t>Similar to the</w:t>
      </w:r>
      <w:r w:rsidR="00FD5C06" w:rsidRPr="008B6152">
        <w:rPr>
          <w:rFonts w:cs="Calibri"/>
          <w:snapToGrid/>
          <w:szCs w:val="24"/>
          <w:lang w:val="en-US" w:eastAsia="en-AU"/>
        </w:rPr>
        <w:t xml:space="preserve"> previous submission, th</w:t>
      </w:r>
      <w:r>
        <w:rPr>
          <w:rFonts w:cs="Calibri"/>
          <w:snapToGrid/>
          <w:szCs w:val="24"/>
          <w:lang w:val="en-US" w:eastAsia="en-AU"/>
        </w:rPr>
        <w:t>is</w:t>
      </w:r>
      <w:r w:rsidR="00FD5C06" w:rsidRPr="008B6152">
        <w:rPr>
          <w:rFonts w:cs="Calibri"/>
          <w:snapToGrid/>
          <w:szCs w:val="24"/>
          <w:lang w:val="en-US" w:eastAsia="en-AU"/>
        </w:rPr>
        <w:t xml:space="preserve"> resubmission was based on an indirect comparison of insulin glargine with lixisenatide FRC to insulin glargine plus exenatide twice daily using insulin glargine </w:t>
      </w:r>
      <w:r w:rsidR="004C1993" w:rsidRPr="008B6152">
        <w:rPr>
          <w:rFonts w:cs="Calibri"/>
          <w:snapToGrid/>
          <w:szCs w:val="24"/>
          <w:lang w:val="en-US" w:eastAsia="en-AU"/>
        </w:rPr>
        <w:t xml:space="preserve">only </w:t>
      </w:r>
      <w:r w:rsidR="00FD5C06" w:rsidRPr="008B6152">
        <w:rPr>
          <w:rFonts w:cs="Calibri"/>
          <w:snapToGrid/>
          <w:szCs w:val="24"/>
          <w:lang w:val="en-US" w:eastAsia="en-AU"/>
        </w:rPr>
        <w:t>as the common reference.</w:t>
      </w:r>
      <w:r w:rsidR="0031604C" w:rsidRPr="008B6152">
        <w:rPr>
          <w:rFonts w:cs="Calibri"/>
          <w:snapToGrid/>
          <w:szCs w:val="24"/>
          <w:lang w:val="en-US" w:eastAsia="en-AU"/>
        </w:rPr>
        <w:t xml:space="preserve"> </w:t>
      </w:r>
      <w:r w:rsidR="00FD5C06" w:rsidRPr="008B6152">
        <w:rPr>
          <w:rFonts w:cs="Calibri"/>
          <w:snapToGrid/>
          <w:szCs w:val="24"/>
          <w:lang w:val="en-US" w:eastAsia="en-AU"/>
        </w:rPr>
        <w:t>The indirect comparison was based on two head</w:t>
      </w:r>
      <w:r w:rsidR="000F4FE1" w:rsidRPr="008B6152">
        <w:rPr>
          <w:rFonts w:cs="Calibri"/>
          <w:snapToGrid/>
          <w:szCs w:val="24"/>
          <w:lang w:val="en-US" w:eastAsia="en-AU"/>
        </w:rPr>
        <w:t>-</w:t>
      </w:r>
      <w:r w:rsidR="00FD5C06" w:rsidRPr="008B6152">
        <w:rPr>
          <w:rFonts w:cs="Calibri"/>
          <w:snapToGrid/>
          <w:szCs w:val="24"/>
          <w:lang w:val="en-US" w:eastAsia="en-AU"/>
        </w:rPr>
        <w:t>to</w:t>
      </w:r>
      <w:r w:rsidR="000F4FE1" w:rsidRPr="008B6152">
        <w:rPr>
          <w:rFonts w:cs="Calibri"/>
          <w:snapToGrid/>
          <w:szCs w:val="24"/>
          <w:lang w:val="en-US" w:eastAsia="en-AU"/>
        </w:rPr>
        <w:t>-</w:t>
      </w:r>
      <w:r w:rsidR="00FD5C06" w:rsidRPr="008B6152">
        <w:rPr>
          <w:rFonts w:cs="Calibri"/>
          <w:snapToGrid/>
          <w:szCs w:val="24"/>
          <w:lang w:val="en-US" w:eastAsia="en-AU"/>
        </w:rPr>
        <w:t>head trials:</w:t>
      </w:r>
    </w:p>
    <w:p w:rsidR="00FD5C06" w:rsidRPr="008B6152" w:rsidRDefault="00FD5C06" w:rsidP="00215CF0">
      <w:pPr>
        <w:pStyle w:val="ListParagraph"/>
        <w:widowControl/>
        <w:numPr>
          <w:ilvl w:val="0"/>
          <w:numId w:val="18"/>
        </w:numPr>
        <w:spacing w:after="0"/>
        <w:rPr>
          <w:rFonts w:cs="Calibri"/>
          <w:snapToGrid/>
          <w:szCs w:val="24"/>
          <w:lang w:val="en-US" w:eastAsia="en-AU"/>
        </w:rPr>
      </w:pPr>
      <w:r w:rsidRPr="008B6152">
        <w:rPr>
          <w:rFonts w:cs="Calibri"/>
          <w:snapToGrid/>
          <w:szCs w:val="24"/>
          <w:lang w:val="en-US" w:eastAsia="en-AU"/>
        </w:rPr>
        <w:t>Insulin glargine with lixisenatide FRC versus insulin glargine</w:t>
      </w:r>
      <w:r w:rsidR="004C1993" w:rsidRPr="008B6152">
        <w:rPr>
          <w:rFonts w:cs="Calibri"/>
          <w:snapToGrid/>
          <w:szCs w:val="24"/>
          <w:lang w:val="en-US" w:eastAsia="en-AU"/>
        </w:rPr>
        <w:t xml:space="preserve"> only</w:t>
      </w:r>
      <w:r w:rsidRPr="008B6152">
        <w:rPr>
          <w:rFonts w:cs="Calibri"/>
          <w:snapToGrid/>
          <w:szCs w:val="24"/>
          <w:lang w:val="en-US" w:eastAsia="en-AU"/>
        </w:rPr>
        <w:t xml:space="preserve"> (LIXILAN-L);</w:t>
      </w:r>
      <w:r w:rsidR="00215CF0" w:rsidRPr="008B6152">
        <w:rPr>
          <w:rFonts w:cs="Calibri"/>
          <w:snapToGrid/>
          <w:szCs w:val="24"/>
          <w:lang w:val="en-US" w:eastAsia="en-AU"/>
        </w:rPr>
        <w:t xml:space="preserve"> and</w:t>
      </w:r>
    </w:p>
    <w:p w:rsidR="00FD5C06" w:rsidRPr="006E55D9" w:rsidRDefault="00FD5C06" w:rsidP="006E55D9">
      <w:pPr>
        <w:pStyle w:val="ListParagraph"/>
        <w:widowControl/>
        <w:numPr>
          <w:ilvl w:val="0"/>
          <w:numId w:val="18"/>
        </w:numPr>
        <w:rPr>
          <w:rFonts w:cs="Calibri"/>
          <w:snapToGrid/>
          <w:szCs w:val="24"/>
          <w:lang w:val="en-US" w:eastAsia="en-AU"/>
        </w:rPr>
      </w:pPr>
      <w:r w:rsidRPr="008B6152">
        <w:rPr>
          <w:rFonts w:cs="Calibri"/>
          <w:snapToGrid/>
          <w:szCs w:val="24"/>
          <w:lang w:val="en-US" w:eastAsia="en-AU"/>
        </w:rPr>
        <w:t>Insulin glargine plus exenatide twice daily versus insulin glargine</w:t>
      </w:r>
      <w:r w:rsidR="004C1993" w:rsidRPr="008B6152">
        <w:rPr>
          <w:rFonts w:cs="Calibri"/>
          <w:snapToGrid/>
          <w:szCs w:val="24"/>
          <w:lang w:val="en-US" w:eastAsia="en-AU"/>
        </w:rPr>
        <w:t xml:space="preserve"> only</w:t>
      </w:r>
      <w:r w:rsidRPr="008B6152">
        <w:rPr>
          <w:rFonts w:cs="Calibri"/>
          <w:snapToGrid/>
          <w:szCs w:val="24"/>
          <w:lang w:val="en-US" w:eastAsia="en-AU"/>
        </w:rPr>
        <w:t xml:space="preserve"> (GWCO).</w:t>
      </w:r>
      <w:r w:rsidR="004863C8">
        <w:rPr>
          <w:rFonts w:cs="Calibri"/>
          <w:snapToGrid/>
          <w:szCs w:val="24"/>
          <w:lang w:val="en-US" w:eastAsia="en-AU"/>
        </w:rPr>
        <w:t xml:space="preserve"> </w:t>
      </w:r>
    </w:p>
    <w:p w:rsidR="00FD5C06" w:rsidRPr="008B6152" w:rsidRDefault="00FD5C06" w:rsidP="00FD5C06">
      <w:pPr>
        <w:pStyle w:val="ListParagraph"/>
        <w:widowControl/>
        <w:numPr>
          <w:ilvl w:val="1"/>
          <w:numId w:val="3"/>
        </w:numPr>
      </w:pPr>
      <w:r w:rsidRPr="008B6152">
        <w:rPr>
          <w:rFonts w:cs="Calibri"/>
          <w:snapToGrid/>
          <w:szCs w:val="24"/>
          <w:lang w:val="en-US" w:eastAsia="en-AU"/>
        </w:rPr>
        <w:t xml:space="preserve">The resubmission </w:t>
      </w:r>
      <w:r w:rsidR="0018001C" w:rsidRPr="008B6152">
        <w:rPr>
          <w:rFonts w:cs="Calibri"/>
          <w:snapToGrid/>
          <w:szCs w:val="24"/>
          <w:lang w:val="en-US" w:eastAsia="en-AU"/>
        </w:rPr>
        <w:t xml:space="preserve">also </w:t>
      </w:r>
      <w:r w:rsidR="0018001C" w:rsidRPr="008B6152">
        <w:t>provided data from the open-label, parallel-group, multicentre, randomised GetGoal-X trial (N=634), which had the primary objective of assessing safety and efficacy of lixisenatide 20 mcg once daily (n=318) to exenatide 10 mcg twice daily (n=316) in changing HbA1c from baseline to Week 24 in T2DM patients inadequately controlled (baseline HbA1c 7-10%) on metformin</w:t>
      </w:r>
      <w:r w:rsidRPr="008B6152">
        <w:rPr>
          <w:rFonts w:cs="Calibri"/>
          <w:snapToGrid/>
          <w:szCs w:val="24"/>
          <w:lang w:val="en-US" w:eastAsia="en-AU"/>
        </w:rPr>
        <w:t xml:space="preserve"> over a 24-week period.</w:t>
      </w:r>
      <w:r w:rsidR="00D31DDA" w:rsidRPr="008B6152">
        <w:rPr>
          <w:rFonts w:cs="Calibri"/>
          <w:snapToGrid/>
          <w:szCs w:val="24"/>
          <w:lang w:val="en-US" w:eastAsia="en-AU"/>
        </w:rPr>
        <w:t xml:space="preserve"> </w:t>
      </w:r>
      <w:r w:rsidR="0018001C" w:rsidRPr="008B6152">
        <w:t xml:space="preserve">The resubmission did not critique the GetGoal-X trial, or provide any information on baseline demographics, or </w:t>
      </w:r>
      <w:r w:rsidR="003372A1">
        <w:t xml:space="preserve">the </w:t>
      </w:r>
      <w:r w:rsidR="0018001C" w:rsidRPr="008B6152">
        <w:t xml:space="preserve">risk of bias. </w:t>
      </w:r>
      <w:r w:rsidR="0018001C" w:rsidRPr="008B6152">
        <w:rPr>
          <w:rFonts w:cs="Calibri"/>
          <w:snapToGrid/>
          <w:szCs w:val="24"/>
          <w:lang w:val="en-US" w:eastAsia="en-AU"/>
        </w:rPr>
        <w:t xml:space="preserve">GetGoal-X </w:t>
      </w:r>
      <w:r w:rsidR="00D31DDA" w:rsidRPr="008B6152">
        <w:rPr>
          <w:rFonts w:cs="Calibri"/>
          <w:snapToGrid/>
          <w:szCs w:val="24"/>
          <w:lang w:val="en-US" w:eastAsia="en-AU"/>
        </w:rPr>
        <w:t>was not used to inform the indirect comparison</w:t>
      </w:r>
      <w:r w:rsidR="0018001C" w:rsidRPr="008B6152">
        <w:rPr>
          <w:rFonts w:cs="Calibri"/>
          <w:snapToGrid/>
          <w:szCs w:val="24"/>
          <w:lang w:val="en-US" w:eastAsia="en-AU"/>
        </w:rPr>
        <w:t>, but included to support the resubmission’s contention that lixisenatide is non-inferior to exenatide.</w:t>
      </w:r>
      <w:r w:rsidR="004863C8">
        <w:rPr>
          <w:rFonts w:cs="Calibri"/>
          <w:snapToGrid/>
          <w:szCs w:val="24"/>
          <w:lang w:val="en-US" w:eastAsia="en-AU"/>
        </w:rPr>
        <w:t xml:space="preserve"> </w:t>
      </w:r>
    </w:p>
    <w:p w:rsidR="00B7589D" w:rsidRPr="0086641E" w:rsidRDefault="00FD5C06" w:rsidP="00FC3D47">
      <w:pPr>
        <w:pStyle w:val="ListParagraph"/>
        <w:widowControl/>
        <w:numPr>
          <w:ilvl w:val="1"/>
          <w:numId w:val="3"/>
        </w:numPr>
      </w:pPr>
      <w:r w:rsidRPr="008B6152">
        <w:rPr>
          <w:rFonts w:cs="Calibri"/>
          <w:snapToGrid/>
          <w:szCs w:val="24"/>
          <w:lang w:val="en-US" w:eastAsia="en-AU"/>
        </w:rPr>
        <w:t xml:space="preserve">Details of the trials presented in the resubmission are provided in </w:t>
      </w:r>
      <w:r w:rsidR="0026778C" w:rsidRPr="008B6152">
        <w:rPr>
          <w:rFonts w:cs="Calibri"/>
          <w:snapToGrid/>
          <w:szCs w:val="24"/>
          <w:lang w:val="en-US" w:eastAsia="en-AU"/>
        </w:rPr>
        <w:t>Table 3</w:t>
      </w:r>
      <w:r w:rsidR="00215CF0" w:rsidRPr="008B6152">
        <w:rPr>
          <w:rFonts w:cs="Calibri"/>
          <w:snapToGrid/>
          <w:szCs w:val="24"/>
          <w:lang w:val="en-US" w:eastAsia="en-AU"/>
        </w:rPr>
        <w:t>.</w:t>
      </w:r>
      <w:r w:rsidR="0031604C" w:rsidRPr="008B6152">
        <w:rPr>
          <w:rFonts w:cs="Calibri"/>
          <w:snapToGrid/>
          <w:szCs w:val="24"/>
          <w:lang w:val="en-US" w:eastAsia="en-AU"/>
        </w:rPr>
        <w:t xml:space="preserve"> </w:t>
      </w:r>
    </w:p>
    <w:p w:rsidR="0086641E" w:rsidRPr="008B6152" w:rsidRDefault="0086641E" w:rsidP="003E1620">
      <w:pPr>
        <w:widowControl/>
      </w:pPr>
    </w:p>
    <w:p w:rsidR="00FD5C06" w:rsidRPr="008B6152" w:rsidRDefault="0026778C" w:rsidP="0026778C">
      <w:pPr>
        <w:pStyle w:val="Caption"/>
        <w:keepNext/>
        <w:spacing w:after="0"/>
        <w:rPr>
          <w:rStyle w:val="CommentReference"/>
          <w:b/>
          <w:color w:val="auto"/>
          <w:szCs w:val="20"/>
        </w:rPr>
      </w:pPr>
      <w:bookmarkStart w:id="9" w:name="_Ref533086637"/>
      <w:r w:rsidRPr="008B6152">
        <w:rPr>
          <w:rFonts w:ascii="Arial Narrow" w:hAnsi="Arial Narrow"/>
          <w:color w:val="auto"/>
          <w:sz w:val="20"/>
          <w:szCs w:val="20"/>
        </w:rPr>
        <w:t xml:space="preserve">Table </w:t>
      </w:r>
      <w:r w:rsidR="00F86B96" w:rsidRPr="008B6152">
        <w:rPr>
          <w:rFonts w:ascii="Arial Narrow" w:hAnsi="Arial Narrow"/>
          <w:noProof/>
          <w:color w:val="auto"/>
          <w:sz w:val="20"/>
          <w:szCs w:val="20"/>
        </w:rPr>
        <w:t>3</w:t>
      </w:r>
      <w:bookmarkEnd w:id="9"/>
      <w:r w:rsidR="00FD5C06" w:rsidRPr="008B6152">
        <w:rPr>
          <w:rStyle w:val="CommentReference"/>
          <w:color w:val="auto"/>
          <w:szCs w:val="20"/>
        </w:rPr>
        <w:t>:</w:t>
      </w:r>
      <w:r w:rsidR="0031604C" w:rsidRPr="008B6152">
        <w:rPr>
          <w:rStyle w:val="CommentReference"/>
          <w:color w:val="auto"/>
          <w:szCs w:val="20"/>
        </w:rPr>
        <w:t xml:space="preserve"> </w:t>
      </w:r>
      <w:r w:rsidR="00FD5C06" w:rsidRPr="008B6152">
        <w:rPr>
          <w:rStyle w:val="CommentReference"/>
          <w:b/>
          <w:color w:val="auto"/>
          <w:szCs w:val="20"/>
        </w:rPr>
        <w:t>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resubmission"/>
      </w:tblPr>
      <w:tblGrid>
        <w:gridCol w:w="873"/>
        <w:gridCol w:w="5360"/>
        <w:gridCol w:w="2784"/>
      </w:tblGrid>
      <w:tr w:rsidR="00FD5C06" w:rsidRPr="008B6152" w:rsidTr="0086641E">
        <w:trPr>
          <w:cantSplit/>
          <w:tblHeader/>
        </w:trPr>
        <w:tc>
          <w:tcPr>
            <w:tcW w:w="484" w:type="pct"/>
            <w:vAlign w:val="center"/>
          </w:tcPr>
          <w:p w:rsidR="00FD5C06" w:rsidRPr="008B6152" w:rsidRDefault="00FD5C06" w:rsidP="005E1B97">
            <w:pPr>
              <w:widowControl/>
              <w:jc w:val="left"/>
              <w:rPr>
                <w:rFonts w:ascii="Arial Narrow" w:hAnsi="Arial Narrow" w:cs="Times New Roman"/>
                <w:b/>
                <w:snapToGrid/>
                <w:sz w:val="20"/>
                <w:szCs w:val="20"/>
              </w:rPr>
            </w:pPr>
            <w:r w:rsidRPr="008B6152">
              <w:rPr>
                <w:rFonts w:ascii="Arial Narrow" w:hAnsi="Arial Narrow" w:cs="Times New Roman"/>
                <w:b/>
                <w:snapToGrid/>
                <w:sz w:val="20"/>
                <w:szCs w:val="20"/>
              </w:rPr>
              <w:t>Trial ID</w:t>
            </w:r>
          </w:p>
        </w:tc>
        <w:tc>
          <w:tcPr>
            <w:tcW w:w="2972" w:type="pct"/>
            <w:tcBorders>
              <w:bottom w:val="single" w:sz="4" w:space="0" w:color="auto"/>
            </w:tcBorders>
            <w:vAlign w:val="center"/>
          </w:tcPr>
          <w:p w:rsidR="00FD5C06" w:rsidRPr="008B6152" w:rsidRDefault="00FD5C06" w:rsidP="005E1B97">
            <w:pPr>
              <w:widowControl/>
              <w:jc w:val="center"/>
              <w:rPr>
                <w:rFonts w:ascii="Arial Narrow" w:hAnsi="Arial Narrow" w:cs="Times New Roman"/>
                <w:b/>
                <w:snapToGrid/>
                <w:sz w:val="20"/>
                <w:szCs w:val="20"/>
              </w:rPr>
            </w:pPr>
            <w:r w:rsidRPr="008B6152">
              <w:rPr>
                <w:rFonts w:ascii="Arial Narrow" w:hAnsi="Arial Narrow" w:cs="Times New Roman"/>
                <w:b/>
                <w:snapToGrid/>
                <w:sz w:val="20"/>
                <w:szCs w:val="20"/>
              </w:rPr>
              <w:t>Protocol title/ Publication title</w:t>
            </w:r>
          </w:p>
        </w:tc>
        <w:tc>
          <w:tcPr>
            <w:tcW w:w="1544" w:type="pct"/>
            <w:tcBorders>
              <w:bottom w:val="single" w:sz="4" w:space="0" w:color="auto"/>
            </w:tcBorders>
            <w:vAlign w:val="center"/>
          </w:tcPr>
          <w:p w:rsidR="00FD5C06" w:rsidRPr="008B6152" w:rsidRDefault="00FD5C06" w:rsidP="005E1B97">
            <w:pPr>
              <w:widowControl/>
              <w:jc w:val="center"/>
              <w:rPr>
                <w:rFonts w:ascii="Arial Narrow" w:hAnsi="Arial Narrow" w:cs="Times New Roman"/>
                <w:b/>
                <w:snapToGrid/>
                <w:sz w:val="20"/>
                <w:szCs w:val="20"/>
              </w:rPr>
            </w:pPr>
            <w:r w:rsidRPr="008B6152">
              <w:rPr>
                <w:rFonts w:ascii="Arial Narrow" w:hAnsi="Arial Narrow" w:cs="Times New Roman"/>
                <w:b/>
                <w:snapToGrid/>
                <w:sz w:val="20"/>
                <w:szCs w:val="20"/>
              </w:rPr>
              <w:t>Publication citation</w:t>
            </w:r>
          </w:p>
        </w:tc>
      </w:tr>
      <w:tr w:rsidR="000954CF" w:rsidRPr="008B6152" w:rsidTr="0086641E">
        <w:trPr>
          <w:cantSplit/>
          <w:trHeight w:val="57"/>
        </w:trPr>
        <w:tc>
          <w:tcPr>
            <w:tcW w:w="5000" w:type="pct"/>
            <w:gridSpan w:val="3"/>
            <w:vAlign w:val="center"/>
          </w:tcPr>
          <w:p w:rsidR="000954CF" w:rsidRPr="008B6152" w:rsidRDefault="00B347F7" w:rsidP="005E1B97">
            <w:pPr>
              <w:widowControl/>
              <w:jc w:val="left"/>
              <w:rPr>
                <w:rFonts w:ascii="Arial Narrow" w:hAnsi="Arial Narrow" w:cs="Times New Roman"/>
                <w:snapToGrid/>
                <w:sz w:val="20"/>
                <w:szCs w:val="20"/>
              </w:rPr>
            </w:pPr>
            <w:r w:rsidRPr="009F5F2E">
              <w:rPr>
                <w:rFonts w:ascii="Arial Narrow" w:hAnsi="Arial Narrow"/>
                <w:b/>
                <w:sz w:val="20"/>
              </w:rPr>
              <w:t>Indirect randomised trials</w:t>
            </w:r>
          </w:p>
        </w:tc>
      </w:tr>
      <w:tr w:rsidR="00FD5C06" w:rsidRPr="008B6152" w:rsidTr="0086641E">
        <w:trPr>
          <w:cantSplit/>
          <w:trHeight w:val="57"/>
        </w:trPr>
        <w:tc>
          <w:tcPr>
            <w:tcW w:w="484" w:type="pct"/>
            <w:vMerge w:val="restart"/>
            <w:vAlign w:val="center"/>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imes New Roman"/>
                <w:snapToGrid/>
                <w:sz w:val="20"/>
                <w:szCs w:val="20"/>
              </w:rPr>
              <w:t>LIXILAN-L</w:t>
            </w:r>
          </w:p>
        </w:tc>
        <w:tc>
          <w:tcPr>
            <w:tcW w:w="2972" w:type="pct"/>
            <w:tcBorders>
              <w:bottom w:val="nil"/>
              <w:right w:val="single" w:sz="4" w:space="0" w:color="auto"/>
            </w:tcBorders>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imes New Roman"/>
                <w:snapToGrid/>
                <w:sz w:val="20"/>
                <w:szCs w:val="20"/>
              </w:rPr>
              <w:t>A randomized, 30-week, active-controlled, open-label, 2-treatment arm, parallel-group, multicenter study comparing the efficacy and safety of the insulin glargine/lixisenatide fixed ratio combination to insulin glargine with or without metformin in patients with Type 2 diabetes mellitus (T2DM).</w:t>
            </w:r>
          </w:p>
        </w:tc>
        <w:tc>
          <w:tcPr>
            <w:tcW w:w="1544" w:type="pct"/>
            <w:tcBorders>
              <w:left w:val="single" w:sz="4" w:space="0" w:color="auto"/>
              <w:bottom w:val="nil"/>
            </w:tcBorders>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imes New Roman"/>
                <w:snapToGrid/>
                <w:sz w:val="20"/>
                <w:szCs w:val="20"/>
              </w:rPr>
              <w:t>Clinical study report, 25 November 2015.</w:t>
            </w:r>
          </w:p>
        </w:tc>
      </w:tr>
      <w:tr w:rsidR="00FD5C06" w:rsidRPr="008B6152" w:rsidTr="0086641E">
        <w:trPr>
          <w:cantSplit/>
          <w:trHeight w:val="57"/>
        </w:trPr>
        <w:tc>
          <w:tcPr>
            <w:tcW w:w="484" w:type="pct"/>
            <w:vMerge/>
            <w:vAlign w:val="center"/>
          </w:tcPr>
          <w:p w:rsidR="00FD5C06" w:rsidRPr="008B6152" w:rsidRDefault="00FD5C06" w:rsidP="005E1B97">
            <w:pPr>
              <w:widowControl/>
              <w:jc w:val="left"/>
              <w:rPr>
                <w:rFonts w:ascii="Arial Narrow" w:hAnsi="Arial Narrow" w:cs="Times New Roman"/>
                <w:snapToGrid/>
                <w:sz w:val="20"/>
                <w:szCs w:val="20"/>
              </w:rPr>
            </w:pPr>
          </w:p>
        </w:tc>
        <w:tc>
          <w:tcPr>
            <w:tcW w:w="2972" w:type="pct"/>
            <w:tcBorders>
              <w:top w:val="nil"/>
              <w:bottom w:val="nil"/>
              <w:right w:val="single" w:sz="4" w:space="0" w:color="auto"/>
            </w:tcBorders>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heme="minorHAnsi"/>
                <w:snapToGrid/>
                <w:sz w:val="20"/>
                <w:szCs w:val="20"/>
              </w:rPr>
              <w:t xml:space="preserve">Aroda VR, Rosenstock J, Wysham C et al. Efficacy and safety of LixiLan, a titratable fixed-ratio combination of insulin glargine plus lixisenatide in Type 2 diabetes inadequately controlled on basal insulin and metformin: the LixiLan-L Randomized Trial. </w:t>
            </w:r>
          </w:p>
        </w:tc>
        <w:tc>
          <w:tcPr>
            <w:tcW w:w="1544" w:type="pct"/>
            <w:tcBorders>
              <w:top w:val="nil"/>
              <w:left w:val="single" w:sz="4" w:space="0" w:color="auto"/>
              <w:bottom w:val="nil"/>
            </w:tcBorders>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heme="minorHAnsi"/>
                <w:snapToGrid/>
                <w:sz w:val="20"/>
                <w:szCs w:val="20"/>
              </w:rPr>
              <w:t>Diabetes Care 2016; 39(11):1972-1980.</w:t>
            </w:r>
          </w:p>
        </w:tc>
      </w:tr>
      <w:tr w:rsidR="00FD5C06" w:rsidRPr="008B6152" w:rsidTr="0086641E">
        <w:trPr>
          <w:cantSplit/>
          <w:trHeight w:val="57"/>
        </w:trPr>
        <w:tc>
          <w:tcPr>
            <w:tcW w:w="484" w:type="pct"/>
            <w:vMerge/>
            <w:vAlign w:val="center"/>
          </w:tcPr>
          <w:p w:rsidR="00FD5C06" w:rsidRPr="008B6152" w:rsidRDefault="00FD5C06" w:rsidP="005E1B97">
            <w:pPr>
              <w:widowControl/>
              <w:jc w:val="left"/>
              <w:rPr>
                <w:rFonts w:ascii="Arial Narrow" w:hAnsi="Arial Narrow" w:cs="Times New Roman"/>
                <w:snapToGrid/>
                <w:sz w:val="20"/>
                <w:szCs w:val="20"/>
              </w:rPr>
            </w:pPr>
          </w:p>
        </w:tc>
        <w:tc>
          <w:tcPr>
            <w:tcW w:w="2972" w:type="pct"/>
            <w:tcBorders>
              <w:top w:val="nil"/>
              <w:bottom w:val="nil"/>
              <w:right w:val="single" w:sz="4" w:space="0" w:color="auto"/>
            </w:tcBorders>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heme="minorHAnsi"/>
                <w:snapToGrid/>
                <w:sz w:val="20"/>
                <w:szCs w:val="20"/>
              </w:rPr>
              <w:t xml:space="preserve">Wysham MD, Bonadonna RC, Aroda AR et al. Consistent findings in glycaemic control, body weight and hypoglycaemia with iGlarLixi (insulin glargine/lixisenatide titratable fixed-ratio combination) vs insulin glargine across baseline HbA1c, BMI and diabetes duration categories in the LixiLan-L trial. </w:t>
            </w:r>
          </w:p>
        </w:tc>
        <w:tc>
          <w:tcPr>
            <w:tcW w:w="1544" w:type="pct"/>
            <w:tcBorders>
              <w:top w:val="nil"/>
              <w:left w:val="single" w:sz="4" w:space="0" w:color="auto"/>
              <w:bottom w:val="nil"/>
            </w:tcBorders>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heme="minorHAnsi"/>
                <w:snapToGrid/>
                <w:sz w:val="20"/>
                <w:szCs w:val="20"/>
              </w:rPr>
              <w:t>Diabetes Obes Metab 2017; 19(10):1408-1415.</w:t>
            </w:r>
          </w:p>
        </w:tc>
      </w:tr>
      <w:tr w:rsidR="00FD5C06" w:rsidRPr="008B6152" w:rsidTr="0086641E">
        <w:trPr>
          <w:cantSplit/>
          <w:trHeight w:val="58"/>
        </w:trPr>
        <w:tc>
          <w:tcPr>
            <w:tcW w:w="484" w:type="pct"/>
            <w:vMerge/>
            <w:vAlign w:val="center"/>
          </w:tcPr>
          <w:p w:rsidR="00FD5C06" w:rsidRPr="008B6152" w:rsidRDefault="00FD5C06" w:rsidP="005E1B97">
            <w:pPr>
              <w:widowControl/>
              <w:jc w:val="left"/>
              <w:rPr>
                <w:rFonts w:ascii="Arial Narrow" w:hAnsi="Arial Narrow" w:cs="Times New Roman"/>
                <w:snapToGrid/>
                <w:sz w:val="20"/>
                <w:szCs w:val="20"/>
              </w:rPr>
            </w:pPr>
          </w:p>
        </w:tc>
        <w:tc>
          <w:tcPr>
            <w:tcW w:w="2972" w:type="pct"/>
            <w:tcBorders>
              <w:top w:val="nil"/>
              <w:bottom w:val="nil"/>
              <w:right w:val="single" w:sz="4" w:space="0" w:color="auto"/>
            </w:tcBorders>
          </w:tcPr>
          <w:p w:rsidR="00FD5C06" w:rsidRPr="008B6152" w:rsidRDefault="00FD5C06" w:rsidP="005E1B97">
            <w:pPr>
              <w:widowControl/>
              <w:jc w:val="left"/>
              <w:rPr>
                <w:rFonts w:ascii="Arial Narrow" w:hAnsi="Arial Narrow" w:cs="Times New Roman"/>
                <w:snapToGrid/>
                <w:sz w:val="20"/>
                <w:szCs w:val="20"/>
                <w:lang w:eastAsia="en-AU"/>
              </w:rPr>
            </w:pPr>
            <w:r w:rsidRPr="008B6152">
              <w:rPr>
                <w:rFonts w:ascii="Arial Narrow" w:hAnsi="Arial Narrow" w:cs="Times New Roman"/>
                <w:snapToGrid/>
                <w:sz w:val="20"/>
                <w:szCs w:val="20"/>
              </w:rPr>
              <w:t xml:space="preserve">Vidal J, Giorgino F, Stager W et al. Postprandial glycaemic outcomes of a fixed-ratio combination of insulin glargine and lixisenatide in the LixiLan-L trial. </w:t>
            </w:r>
          </w:p>
        </w:tc>
        <w:tc>
          <w:tcPr>
            <w:tcW w:w="1544" w:type="pct"/>
            <w:tcBorders>
              <w:top w:val="nil"/>
              <w:left w:val="single" w:sz="4" w:space="0" w:color="auto"/>
              <w:bottom w:val="nil"/>
            </w:tcBorders>
          </w:tcPr>
          <w:p w:rsidR="00FD5C06" w:rsidRPr="008B6152" w:rsidRDefault="00FD5C06" w:rsidP="005E1B97">
            <w:pPr>
              <w:widowControl/>
              <w:jc w:val="left"/>
              <w:rPr>
                <w:rFonts w:ascii="Arial Narrow" w:hAnsi="Arial Narrow" w:cs="Times New Roman"/>
                <w:snapToGrid/>
                <w:sz w:val="20"/>
                <w:szCs w:val="20"/>
                <w:lang w:eastAsia="en-AU"/>
              </w:rPr>
            </w:pPr>
            <w:r w:rsidRPr="008B6152">
              <w:rPr>
                <w:rFonts w:ascii="Arial Narrow" w:hAnsi="Arial Narrow" w:cs="Times New Roman"/>
                <w:snapToGrid/>
                <w:sz w:val="20"/>
                <w:szCs w:val="20"/>
              </w:rPr>
              <w:t>Diabetologia 2016; 59 (Supp 1): S382-S383</w:t>
            </w:r>
          </w:p>
        </w:tc>
      </w:tr>
      <w:tr w:rsidR="00FD5C06" w:rsidRPr="008B6152" w:rsidTr="0086641E">
        <w:trPr>
          <w:cantSplit/>
          <w:trHeight w:val="139"/>
        </w:trPr>
        <w:tc>
          <w:tcPr>
            <w:tcW w:w="484" w:type="pct"/>
            <w:vMerge/>
            <w:vAlign w:val="center"/>
          </w:tcPr>
          <w:p w:rsidR="00FD5C06" w:rsidRPr="008B6152" w:rsidRDefault="00FD5C06" w:rsidP="005E1B97">
            <w:pPr>
              <w:widowControl/>
              <w:jc w:val="left"/>
              <w:rPr>
                <w:rFonts w:ascii="Arial Narrow" w:hAnsi="Arial Narrow" w:cs="Times New Roman"/>
                <w:snapToGrid/>
                <w:sz w:val="20"/>
                <w:szCs w:val="20"/>
              </w:rPr>
            </w:pPr>
          </w:p>
        </w:tc>
        <w:tc>
          <w:tcPr>
            <w:tcW w:w="2972" w:type="pct"/>
            <w:tcBorders>
              <w:top w:val="nil"/>
              <w:bottom w:val="nil"/>
              <w:right w:val="single" w:sz="4" w:space="0" w:color="auto"/>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 xml:space="preserve">Aroda, VR, Rosenstock J, Wysham C et al. Erratum. Efficacy and Safety of LixiLan, a Titratable Fixed-Ratio Combination of Insulin Glargine Plus Lixisenatide in Type 2 Diabetes Inadequately Controlled on Basal Insulin and Metformin: The LixiLan-L Randomized Trial. </w:t>
            </w:r>
          </w:p>
        </w:tc>
        <w:tc>
          <w:tcPr>
            <w:tcW w:w="1544" w:type="pct"/>
            <w:tcBorders>
              <w:top w:val="nil"/>
              <w:left w:val="single" w:sz="4" w:space="0" w:color="auto"/>
              <w:bottom w:val="nil"/>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Diabetes Care 2016; 39:1972-1980. Diabetes Care 2017; 40(6): 809.</w:t>
            </w:r>
          </w:p>
        </w:tc>
      </w:tr>
      <w:tr w:rsidR="00FD5C06" w:rsidRPr="008B6152" w:rsidTr="0086641E">
        <w:trPr>
          <w:cantSplit/>
          <w:trHeight w:val="139"/>
        </w:trPr>
        <w:tc>
          <w:tcPr>
            <w:tcW w:w="484" w:type="pct"/>
            <w:vMerge/>
            <w:vAlign w:val="center"/>
          </w:tcPr>
          <w:p w:rsidR="00FD5C06" w:rsidRPr="008B6152" w:rsidRDefault="00FD5C06" w:rsidP="005E1B97">
            <w:pPr>
              <w:widowControl/>
              <w:jc w:val="left"/>
              <w:rPr>
                <w:rFonts w:ascii="Arial Narrow" w:hAnsi="Arial Narrow" w:cs="Times New Roman"/>
                <w:snapToGrid/>
                <w:sz w:val="20"/>
                <w:szCs w:val="20"/>
              </w:rPr>
            </w:pPr>
          </w:p>
        </w:tc>
        <w:tc>
          <w:tcPr>
            <w:tcW w:w="2972" w:type="pct"/>
            <w:tcBorders>
              <w:top w:val="nil"/>
              <w:bottom w:val="nil"/>
              <w:right w:val="single" w:sz="4" w:space="0" w:color="auto"/>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The association between iGlarLixi and patient satisfaction with their treatment's ability to control type 2 diabetes is mediated by reduced glycaemic variability (GV)</w:t>
            </w:r>
            <w:r w:rsidR="0031604C" w:rsidRPr="008B6152">
              <w:rPr>
                <w:rFonts w:ascii="Arial Narrow" w:hAnsi="Arial Narrow" w:cstheme="minorHAnsi"/>
                <w:snapToGrid/>
                <w:sz w:val="20"/>
                <w:szCs w:val="20"/>
              </w:rPr>
              <w:t xml:space="preserve"> </w:t>
            </w:r>
            <w:r w:rsidRPr="008B6152">
              <w:rPr>
                <w:rFonts w:ascii="Arial Narrow" w:hAnsi="Arial Narrow" w:cstheme="minorHAnsi"/>
                <w:snapToGrid/>
                <w:sz w:val="20"/>
                <w:szCs w:val="20"/>
              </w:rPr>
              <w:t xml:space="preserve">[Conference abstract]. </w:t>
            </w:r>
          </w:p>
        </w:tc>
        <w:tc>
          <w:tcPr>
            <w:tcW w:w="1544" w:type="pct"/>
            <w:tcBorders>
              <w:top w:val="nil"/>
              <w:left w:val="single" w:sz="4" w:space="0" w:color="auto"/>
              <w:bottom w:val="nil"/>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Diabetologia 2017;</w:t>
            </w:r>
            <w:r w:rsidRPr="008B6152">
              <w:rPr>
                <w:rFonts w:ascii="Arial Narrow" w:hAnsi="Arial Narrow" w:cstheme="minorHAnsi"/>
                <w:bCs/>
                <w:snapToGrid/>
                <w:sz w:val="20"/>
                <w:szCs w:val="20"/>
              </w:rPr>
              <w:t xml:space="preserve"> 60 </w:t>
            </w:r>
            <w:r w:rsidRPr="008B6152">
              <w:rPr>
                <w:rFonts w:ascii="Arial Narrow" w:hAnsi="Arial Narrow" w:cstheme="minorHAnsi"/>
                <w:snapToGrid/>
                <w:sz w:val="20"/>
                <w:szCs w:val="20"/>
              </w:rPr>
              <w:t>(Supp 1): S368.</w:t>
            </w:r>
          </w:p>
        </w:tc>
      </w:tr>
      <w:tr w:rsidR="00FD5C06" w:rsidRPr="008B6152" w:rsidTr="0086641E">
        <w:trPr>
          <w:cantSplit/>
          <w:trHeight w:val="139"/>
        </w:trPr>
        <w:tc>
          <w:tcPr>
            <w:tcW w:w="484" w:type="pct"/>
            <w:vMerge/>
            <w:vAlign w:val="center"/>
          </w:tcPr>
          <w:p w:rsidR="00FD5C06" w:rsidRPr="008B6152" w:rsidRDefault="00FD5C06" w:rsidP="005E1B97">
            <w:pPr>
              <w:widowControl/>
              <w:jc w:val="left"/>
              <w:rPr>
                <w:rFonts w:ascii="Arial Narrow" w:hAnsi="Arial Narrow" w:cs="Times New Roman"/>
                <w:snapToGrid/>
                <w:sz w:val="20"/>
                <w:szCs w:val="20"/>
              </w:rPr>
            </w:pPr>
          </w:p>
        </w:tc>
        <w:tc>
          <w:tcPr>
            <w:tcW w:w="2972" w:type="pct"/>
            <w:tcBorders>
              <w:top w:val="nil"/>
              <w:bottom w:val="nil"/>
              <w:right w:val="single" w:sz="4" w:space="0" w:color="auto"/>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 xml:space="preserve">Characteristics and outcomes of type 2 diabetes patients titrated to 60U/day with insulin glargine/lixisenatide fixed-ratio combination vs insulin in LixiLan-L [Conference abstract]. </w:t>
            </w:r>
          </w:p>
        </w:tc>
        <w:tc>
          <w:tcPr>
            <w:tcW w:w="1544" w:type="pct"/>
            <w:tcBorders>
              <w:top w:val="nil"/>
              <w:left w:val="single" w:sz="4" w:space="0" w:color="auto"/>
              <w:bottom w:val="nil"/>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 xml:space="preserve">Diabetologia </w:t>
            </w:r>
            <w:r w:rsidRPr="008B6152">
              <w:rPr>
                <w:rFonts w:ascii="Arial Narrow" w:hAnsi="Arial Narrow" w:cstheme="minorHAnsi"/>
                <w:bCs/>
                <w:snapToGrid/>
                <w:sz w:val="20"/>
                <w:szCs w:val="20"/>
              </w:rPr>
              <w:t xml:space="preserve">2017; 60 </w:t>
            </w:r>
            <w:r w:rsidRPr="008B6152">
              <w:rPr>
                <w:rFonts w:ascii="Arial Narrow" w:hAnsi="Arial Narrow" w:cstheme="minorHAnsi"/>
                <w:snapToGrid/>
                <w:sz w:val="20"/>
                <w:szCs w:val="20"/>
              </w:rPr>
              <w:t>(Supp 1): S371.</w:t>
            </w:r>
          </w:p>
        </w:tc>
      </w:tr>
      <w:tr w:rsidR="00FD5C06" w:rsidRPr="008B6152" w:rsidTr="0086641E">
        <w:trPr>
          <w:cantSplit/>
          <w:trHeight w:val="139"/>
        </w:trPr>
        <w:tc>
          <w:tcPr>
            <w:tcW w:w="484" w:type="pct"/>
            <w:vMerge/>
            <w:vAlign w:val="center"/>
          </w:tcPr>
          <w:p w:rsidR="00FD5C06" w:rsidRPr="008B6152" w:rsidRDefault="00FD5C06" w:rsidP="005E1B97">
            <w:pPr>
              <w:widowControl/>
              <w:jc w:val="left"/>
              <w:rPr>
                <w:rFonts w:ascii="Arial Narrow" w:hAnsi="Arial Narrow" w:cs="Times New Roman"/>
                <w:snapToGrid/>
                <w:sz w:val="20"/>
                <w:szCs w:val="20"/>
              </w:rPr>
            </w:pPr>
          </w:p>
        </w:tc>
        <w:tc>
          <w:tcPr>
            <w:tcW w:w="2972" w:type="pct"/>
            <w:tcBorders>
              <w:top w:val="nil"/>
              <w:bottom w:val="nil"/>
              <w:right w:val="single" w:sz="4" w:space="0" w:color="auto"/>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 xml:space="preserve">Blonde L, Bailey TS, Chao J et al. Characteristics and outcomes of type 2 diabetes patients titrated to 60U/day with insulin glargine/lixisenatide fixed-ratio combination vs insulin in LixiLan-L. </w:t>
            </w:r>
          </w:p>
        </w:tc>
        <w:tc>
          <w:tcPr>
            <w:tcW w:w="1544" w:type="pct"/>
            <w:tcBorders>
              <w:top w:val="nil"/>
              <w:left w:val="single" w:sz="4" w:space="0" w:color="auto"/>
              <w:bottom w:val="nil"/>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 xml:space="preserve">Diabetologia 2017; </w:t>
            </w:r>
            <w:r w:rsidRPr="008B6152">
              <w:rPr>
                <w:rFonts w:ascii="Arial Narrow" w:hAnsi="Arial Narrow" w:cstheme="minorHAnsi"/>
                <w:bCs/>
                <w:snapToGrid/>
                <w:sz w:val="20"/>
                <w:szCs w:val="20"/>
              </w:rPr>
              <w:t>60(</w:t>
            </w:r>
            <w:r w:rsidRPr="008B6152">
              <w:rPr>
                <w:rFonts w:ascii="Arial Narrow" w:hAnsi="Arial Narrow" w:cstheme="minorHAnsi"/>
                <w:snapToGrid/>
                <w:sz w:val="20"/>
                <w:szCs w:val="20"/>
              </w:rPr>
              <w:t>1): S371.</w:t>
            </w:r>
          </w:p>
        </w:tc>
      </w:tr>
      <w:tr w:rsidR="00FD5C06" w:rsidRPr="008B6152" w:rsidTr="0086641E">
        <w:trPr>
          <w:cantSplit/>
          <w:trHeight w:val="139"/>
        </w:trPr>
        <w:tc>
          <w:tcPr>
            <w:tcW w:w="484" w:type="pct"/>
            <w:vMerge/>
            <w:vAlign w:val="center"/>
          </w:tcPr>
          <w:p w:rsidR="00FD5C06" w:rsidRPr="008B6152" w:rsidRDefault="00FD5C06" w:rsidP="005E1B97">
            <w:pPr>
              <w:widowControl/>
              <w:jc w:val="left"/>
              <w:rPr>
                <w:rFonts w:ascii="Arial Narrow" w:hAnsi="Arial Narrow" w:cs="Times New Roman"/>
                <w:snapToGrid/>
                <w:sz w:val="20"/>
                <w:szCs w:val="20"/>
              </w:rPr>
            </w:pPr>
          </w:p>
        </w:tc>
        <w:tc>
          <w:tcPr>
            <w:tcW w:w="2972" w:type="pct"/>
            <w:tcBorders>
              <w:top w:val="nil"/>
              <w:bottom w:val="nil"/>
              <w:right w:val="single" w:sz="4" w:space="0" w:color="auto"/>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 xml:space="preserve">Dex T, Roborel De Climens A, </w:t>
            </w:r>
            <w:proofErr w:type="gramStart"/>
            <w:r w:rsidRPr="008B6152">
              <w:rPr>
                <w:rFonts w:ascii="Arial Narrow" w:hAnsi="Arial Narrow" w:cstheme="minorHAnsi"/>
                <w:snapToGrid/>
                <w:sz w:val="20"/>
                <w:szCs w:val="20"/>
              </w:rPr>
              <w:t>Roberts</w:t>
            </w:r>
            <w:proofErr w:type="gramEnd"/>
            <w:r w:rsidRPr="008B6152">
              <w:rPr>
                <w:rFonts w:ascii="Arial Narrow" w:hAnsi="Arial Narrow" w:cstheme="minorHAnsi"/>
                <w:snapToGrid/>
                <w:sz w:val="20"/>
                <w:szCs w:val="20"/>
              </w:rPr>
              <w:t xml:space="preserve"> M et al. The association between iGlarLixi and patient satisfaction with their treatment's ability to control type 2 diabetes is mediated by reduced glycaemic variability (GV).</w:t>
            </w:r>
          </w:p>
        </w:tc>
        <w:tc>
          <w:tcPr>
            <w:tcW w:w="1544" w:type="pct"/>
            <w:tcBorders>
              <w:top w:val="nil"/>
              <w:left w:val="single" w:sz="4" w:space="0" w:color="auto"/>
              <w:bottom w:val="nil"/>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 xml:space="preserve">Diabetologia 2017; </w:t>
            </w:r>
            <w:r w:rsidRPr="008B6152">
              <w:rPr>
                <w:rFonts w:ascii="Arial Narrow" w:hAnsi="Arial Narrow" w:cstheme="minorHAnsi"/>
                <w:bCs/>
                <w:snapToGrid/>
                <w:sz w:val="20"/>
                <w:szCs w:val="20"/>
              </w:rPr>
              <w:t>60</w:t>
            </w:r>
            <w:r w:rsidRPr="008B6152">
              <w:rPr>
                <w:rFonts w:ascii="Arial Narrow" w:hAnsi="Arial Narrow" w:cstheme="minorHAnsi"/>
                <w:snapToGrid/>
                <w:sz w:val="20"/>
                <w:szCs w:val="20"/>
              </w:rPr>
              <w:t>(1): S368.</w:t>
            </w:r>
          </w:p>
        </w:tc>
      </w:tr>
      <w:tr w:rsidR="00FD5C06" w:rsidRPr="008B6152" w:rsidTr="0086641E">
        <w:trPr>
          <w:cantSplit/>
          <w:trHeight w:val="139"/>
        </w:trPr>
        <w:tc>
          <w:tcPr>
            <w:tcW w:w="484" w:type="pct"/>
            <w:vMerge/>
            <w:vAlign w:val="center"/>
          </w:tcPr>
          <w:p w:rsidR="00FD5C06" w:rsidRPr="008B6152" w:rsidRDefault="00FD5C06" w:rsidP="005E1B97">
            <w:pPr>
              <w:widowControl/>
              <w:jc w:val="left"/>
              <w:rPr>
                <w:rFonts w:ascii="Arial Narrow" w:hAnsi="Arial Narrow" w:cs="Times New Roman"/>
                <w:snapToGrid/>
                <w:sz w:val="20"/>
                <w:szCs w:val="20"/>
              </w:rPr>
            </w:pPr>
          </w:p>
        </w:tc>
        <w:tc>
          <w:tcPr>
            <w:tcW w:w="2972" w:type="pct"/>
            <w:tcBorders>
              <w:top w:val="nil"/>
              <w:bottom w:val="nil"/>
              <w:right w:val="single" w:sz="4" w:space="0" w:color="auto"/>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 xml:space="preserve">Gaston-Mathe Y, Fan T, Shaunik A et al. Using machine learning algorithms to identify predictive factors of clinical outcomes with iGlarLixi or iGlar in the LixiLan-L trial [Conference abstract]. </w:t>
            </w:r>
          </w:p>
        </w:tc>
        <w:tc>
          <w:tcPr>
            <w:tcW w:w="1544" w:type="pct"/>
            <w:tcBorders>
              <w:top w:val="nil"/>
              <w:left w:val="single" w:sz="4" w:space="0" w:color="auto"/>
              <w:bottom w:val="nil"/>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 xml:space="preserve">Diabetologia 2017; </w:t>
            </w:r>
            <w:r w:rsidRPr="008B6152">
              <w:rPr>
                <w:rFonts w:ascii="Arial Narrow" w:hAnsi="Arial Narrow" w:cstheme="minorHAnsi"/>
                <w:bCs/>
                <w:snapToGrid/>
                <w:sz w:val="20"/>
                <w:szCs w:val="20"/>
              </w:rPr>
              <w:t xml:space="preserve">60 </w:t>
            </w:r>
            <w:r w:rsidRPr="008B6152">
              <w:rPr>
                <w:rFonts w:ascii="Arial Narrow" w:hAnsi="Arial Narrow" w:cstheme="minorHAnsi"/>
                <w:snapToGrid/>
                <w:sz w:val="20"/>
                <w:szCs w:val="20"/>
              </w:rPr>
              <w:t>(Supp 1): S373</w:t>
            </w:r>
            <w:r w:rsidRPr="008B6152">
              <w:rPr>
                <w:rFonts w:ascii="Cambria Math" w:hAnsi="Cambria Math" w:cs="Cambria Math"/>
                <w:snapToGrid/>
                <w:sz w:val="20"/>
                <w:szCs w:val="20"/>
              </w:rPr>
              <w:t>‐</w:t>
            </w:r>
            <w:r w:rsidRPr="008B6152">
              <w:rPr>
                <w:rFonts w:ascii="Arial Narrow" w:hAnsi="Arial Narrow" w:cstheme="minorHAnsi"/>
                <w:snapToGrid/>
                <w:sz w:val="20"/>
                <w:szCs w:val="20"/>
              </w:rPr>
              <w:t>S374.</w:t>
            </w:r>
          </w:p>
        </w:tc>
      </w:tr>
      <w:tr w:rsidR="00FD5C06" w:rsidRPr="008B6152" w:rsidTr="0086641E">
        <w:trPr>
          <w:cantSplit/>
          <w:trHeight w:val="139"/>
        </w:trPr>
        <w:tc>
          <w:tcPr>
            <w:tcW w:w="484" w:type="pct"/>
            <w:vMerge/>
            <w:vAlign w:val="center"/>
          </w:tcPr>
          <w:p w:rsidR="00FD5C06" w:rsidRPr="008B6152" w:rsidRDefault="00FD5C06" w:rsidP="005E1B97">
            <w:pPr>
              <w:widowControl/>
              <w:jc w:val="left"/>
              <w:rPr>
                <w:rFonts w:ascii="Arial Narrow" w:hAnsi="Arial Narrow" w:cs="Times New Roman"/>
                <w:snapToGrid/>
                <w:sz w:val="20"/>
                <w:szCs w:val="20"/>
              </w:rPr>
            </w:pPr>
          </w:p>
        </w:tc>
        <w:tc>
          <w:tcPr>
            <w:tcW w:w="2972" w:type="pct"/>
            <w:tcBorders>
              <w:top w:val="nil"/>
              <w:bottom w:val="nil"/>
              <w:right w:val="single" w:sz="4" w:space="0" w:color="auto"/>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 xml:space="preserve">Giorgino F, Retnakaran R, Vidal J et al. iGlarlixi effectively reduces residual hyperglycemia in patients with type 2 diabetes on basal insulin-a post-hoc analysis from the LixiLan-l study. </w:t>
            </w:r>
          </w:p>
        </w:tc>
        <w:tc>
          <w:tcPr>
            <w:tcW w:w="1544" w:type="pct"/>
            <w:tcBorders>
              <w:top w:val="nil"/>
              <w:left w:val="single" w:sz="4" w:space="0" w:color="auto"/>
              <w:bottom w:val="nil"/>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 xml:space="preserve">Diabetes </w:t>
            </w:r>
            <w:r w:rsidRPr="008B6152">
              <w:rPr>
                <w:rFonts w:ascii="Arial Narrow" w:hAnsi="Arial Narrow" w:cstheme="minorHAnsi"/>
                <w:bCs/>
                <w:snapToGrid/>
                <w:sz w:val="20"/>
                <w:szCs w:val="20"/>
              </w:rPr>
              <w:t>67</w:t>
            </w:r>
            <w:r w:rsidRPr="008B6152">
              <w:rPr>
                <w:rFonts w:ascii="Arial Narrow" w:hAnsi="Arial Narrow" w:cstheme="minorHAnsi"/>
                <w:snapToGrid/>
                <w:sz w:val="20"/>
                <w:szCs w:val="20"/>
              </w:rPr>
              <w:t>: A292</w:t>
            </w:r>
          </w:p>
        </w:tc>
      </w:tr>
      <w:tr w:rsidR="00FD5C06" w:rsidRPr="008B6152" w:rsidTr="0086641E">
        <w:trPr>
          <w:cantSplit/>
          <w:trHeight w:val="139"/>
        </w:trPr>
        <w:tc>
          <w:tcPr>
            <w:tcW w:w="484" w:type="pct"/>
            <w:vMerge/>
            <w:vAlign w:val="center"/>
          </w:tcPr>
          <w:p w:rsidR="00FD5C06" w:rsidRPr="008B6152" w:rsidRDefault="00FD5C06" w:rsidP="005E1B97">
            <w:pPr>
              <w:widowControl/>
              <w:jc w:val="left"/>
              <w:rPr>
                <w:rFonts w:ascii="Arial Narrow" w:hAnsi="Arial Narrow" w:cs="Times New Roman"/>
                <w:snapToGrid/>
                <w:sz w:val="20"/>
                <w:szCs w:val="20"/>
              </w:rPr>
            </w:pPr>
          </w:p>
        </w:tc>
        <w:tc>
          <w:tcPr>
            <w:tcW w:w="2972" w:type="pct"/>
            <w:tcBorders>
              <w:top w:val="nil"/>
              <w:bottom w:val="nil"/>
              <w:right w:val="single" w:sz="4" w:space="0" w:color="auto"/>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Segoe UI"/>
                <w:snapToGrid/>
                <w:sz w:val="20"/>
                <w:szCs w:val="20"/>
              </w:rPr>
              <w:t xml:space="preserve">Giorgino F, Shaunik A, Liu M et al. The effect on lipid profiles of iGlarLixi versus iGlar in the LixiLan-L trial [Conference abstract]. </w:t>
            </w:r>
          </w:p>
        </w:tc>
        <w:tc>
          <w:tcPr>
            <w:tcW w:w="1544" w:type="pct"/>
            <w:tcBorders>
              <w:top w:val="nil"/>
              <w:left w:val="single" w:sz="4" w:space="0" w:color="auto"/>
              <w:bottom w:val="nil"/>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Segoe UI"/>
                <w:snapToGrid/>
                <w:sz w:val="20"/>
                <w:szCs w:val="20"/>
              </w:rPr>
              <w:t xml:space="preserve">Diabetologia 2017; </w:t>
            </w:r>
            <w:r w:rsidRPr="008B6152">
              <w:rPr>
                <w:rFonts w:ascii="Arial Narrow" w:hAnsi="Arial Narrow" w:cs="Segoe UI"/>
                <w:bCs/>
                <w:snapToGrid/>
                <w:sz w:val="20"/>
                <w:szCs w:val="20"/>
              </w:rPr>
              <w:t xml:space="preserve">60 </w:t>
            </w:r>
            <w:r w:rsidRPr="008B6152">
              <w:rPr>
                <w:rFonts w:ascii="Arial Narrow" w:hAnsi="Arial Narrow" w:cs="Segoe UI"/>
                <w:snapToGrid/>
                <w:sz w:val="20"/>
                <w:szCs w:val="20"/>
              </w:rPr>
              <w:t>(Supp 1): S373.</w:t>
            </w:r>
          </w:p>
        </w:tc>
      </w:tr>
      <w:tr w:rsidR="00FD5C06" w:rsidRPr="008B6152" w:rsidTr="0086641E">
        <w:trPr>
          <w:cantSplit/>
          <w:trHeight w:val="139"/>
        </w:trPr>
        <w:tc>
          <w:tcPr>
            <w:tcW w:w="484" w:type="pct"/>
            <w:vMerge/>
            <w:vAlign w:val="center"/>
          </w:tcPr>
          <w:p w:rsidR="00FD5C06" w:rsidRPr="008B6152" w:rsidRDefault="00FD5C06" w:rsidP="005E1B97">
            <w:pPr>
              <w:widowControl/>
              <w:jc w:val="left"/>
              <w:rPr>
                <w:rFonts w:ascii="Arial Narrow" w:hAnsi="Arial Narrow" w:cs="Times New Roman"/>
                <w:snapToGrid/>
                <w:sz w:val="20"/>
                <w:szCs w:val="20"/>
              </w:rPr>
            </w:pPr>
          </w:p>
        </w:tc>
        <w:tc>
          <w:tcPr>
            <w:tcW w:w="2972" w:type="pct"/>
            <w:tcBorders>
              <w:top w:val="nil"/>
              <w:bottom w:val="nil"/>
              <w:right w:val="single" w:sz="4" w:space="0" w:color="auto"/>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 xml:space="preserve">Niemoeller E, Souhami E, Wu Y et al. Iglarlixi reduces A1C to a greater extent than basal insulin therapy regardless of A1C levels at screening. </w:t>
            </w:r>
          </w:p>
        </w:tc>
        <w:tc>
          <w:tcPr>
            <w:tcW w:w="1544" w:type="pct"/>
            <w:tcBorders>
              <w:top w:val="nil"/>
              <w:left w:val="single" w:sz="4" w:space="0" w:color="auto"/>
              <w:bottom w:val="nil"/>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 xml:space="preserve">Diabetes 2017; </w:t>
            </w:r>
            <w:r w:rsidRPr="008B6152">
              <w:rPr>
                <w:rFonts w:ascii="Arial Narrow" w:hAnsi="Arial Narrow" w:cstheme="minorHAnsi"/>
                <w:bCs/>
                <w:snapToGrid/>
                <w:sz w:val="20"/>
                <w:szCs w:val="20"/>
              </w:rPr>
              <w:t>66</w:t>
            </w:r>
            <w:r w:rsidRPr="008B6152">
              <w:rPr>
                <w:rFonts w:ascii="Arial Narrow" w:hAnsi="Arial Narrow" w:cstheme="minorHAnsi"/>
                <w:snapToGrid/>
                <w:sz w:val="20"/>
                <w:szCs w:val="20"/>
              </w:rPr>
              <w:t>: A285.</w:t>
            </w:r>
          </w:p>
        </w:tc>
      </w:tr>
      <w:tr w:rsidR="00FD5C06" w:rsidRPr="008B6152" w:rsidTr="0086641E">
        <w:trPr>
          <w:cantSplit/>
          <w:trHeight w:val="139"/>
        </w:trPr>
        <w:tc>
          <w:tcPr>
            <w:tcW w:w="484" w:type="pct"/>
            <w:vMerge/>
            <w:vAlign w:val="center"/>
          </w:tcPr>
          <w:p w:rsidR="00FD5C06" w:rsidRPr="008B6152" w:rsidRDefault="00FD5C06" w:rsidP="005E1B97">
            <w:pPr>
              <w:widowControl/>
              <w:jc w:val="left"/>
              <w:rPr>
                <w:rFonts w:ascii="Arial Narrow" w:hAnsi="Arial Narrow" w:cs="Times New Roman"/>
                <w:snapToGrid/>
                <w:sz w:val="20"/>
                <w:szCs w:val="20"/>
              </w:rPr>
            </w:pPr>
          </w:p>
        </w:tc>
        <w:tc>
          <w:tcPr>
            <w:tcW w:w="2972" w:type="pct"/>
            <w:tcBorders>
              <w:top w:val="nil"/>
              <w:bottom w:val="nil"/>
              <w:right w:val="single" w:sz="4" w:space="0" w:color="auto"/>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 xml:space="preserve">Niemoeller E, Souhami E, Wu Y et al. IGlarLixi reduces HbA1c to a greater extent than basal insulin therapy regardless of HbA1c levels at screening [Conference abstract]. </w:t>
            </w:r>
          </w:p>
        </w:tc>
        <w:tc>
          <w:tcPr>
            <w:tcW w:w="1544" w:type="pct"/>
            <w:tcBorders>
              <w:top w:val="nil"/>
              <w:left w:val="single" w:sz="4" w:space="0" w:color="auto"/>
              <w:bottom w:val="nil"/>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 xml:space="preserve">Diabetologia 2017; </w:t>
            </w:r>
            <w:r w:rsidRPr="008B6152">
              <w:rPr>
                <w:rFonts w:ascii="Arial Narrow" w:hAnsi="Arial Narrow" w:cstheme="minorHAnsi"/>
                <w:bCs/>
                <w:snapToGrid/>
                <w:sz w:val="20"/>
                <w:szCs w:val="20"/>
              </w:rPr>
              <w:t xml:space="preserve">60 </w:t>
            </w:r>
            <w:r w:rsidRPr="008B6152">
              <w:rPr>
                <w:rFonts w:ascii="Arial Narrow" w:hAnsi="Arial Narrow" w:cstheme="minorHAnsi"/>
                <w:snapToGrid/>
                <w:sz w:val="20"/>
                <w:szCs w:val="20"/>
              </w:rPr>
              <w:t>(Supp 1): S370</w:t>
            </w:r>
            <w:r w:rsidRPr="008B6152">
              <w:rPr>
                <w:rFonts w:ascii="Cambria Math" w:hAnsi="Cambria Math" w:cs="Cambria Math"/>
                <w:snapToGrid/>
                <w:sz w:val="20"/>
                <w:szCs w:val="20"/>
              </w:rPr>
              <w:t>‐</w:t>
            </w:r>
            <w:r w:rsidRPr="008B6152">
              <w:rPr>
                <w:rFonts w:ascii="Arial Narrow" w:hAnsi="Arial Narrow" w:cstheme="minorHAnsi"/>
                <w:snapToGrid/>
                <w:sz w:val="20"/>
                <w:szCs w:val="20"/>
              </w:rPr>
              <w:t>S371.</w:t>
            </w:r>
          </w:p>
        </w:tc>
      </w:tr>
      <w:tr w:rsidR="00FD5C06" w:rsidRPr="008B6152" w:rsidTr="0086641E">
        <w:trPr>
          <w:cantSplit/>
          <w:trHeight w:val="139"/>
        </w:trPr>
        <w:tc>
          <w:tcPr>
            <w:tcW w:w="484" w:type="pct"/>
            <w:vMerge/>
            <w:vAlign w:val="center"/>
          </w:tcPr>
          <w:p w:rsidR="00FD5C06" w:rsidRPr="008B6152" w:rsidRDefault="00FD5C06" w:rsidP="005E1B97">
            <w:pPr>
              <w:widowControl/>
              <w:jc w:val="left"/>
              <w:rPr>
                <w:rFonts w:ascii="Arial Narrow" w:hAnsi="Arial Narrow" w:cs="Times New Roman"/>
                <w:snapToGrid/>
                <w:sz w:val="20"/>
                <w:szCs w:val="20"/>
              </w:rPr>
            </w:pPr>
          </w:p>
        </w:tc>
        <w:tc>
          <w:tcPr>
            <w:tcW w:w="2972" w:type="pct"/>
            <w:tcBorders>
              <w:top w:val="nil"/>
              <w:bottom w:val="nil"/>
              <w:right w:val="single" w:sz="4" w:space="0" w:color="auto"/>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 xml:space="preserve">Niemoeller E, Souhami E, Wu Y et al. iGlarLixi Reduces Glycated Hemoglobin to a Greater Extent Than Basal Insulin Regardless of Levels at Screening: post Hoc Analysis of LixiLan-L. </w:t>
            </w:r>
          </w:p>
        </w:tc>
        <w:tc>
          <w:tcPr>
            <w:tcW w:w="1544" w:type="pct"/>
            <w:tcBorders>
              <w:top w:val="nil"/>
              <w:left w:val="single" w:sz="4" w:space="0" w:color="auto"/>
              <w:bottom w:val="nil"/>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 xml:space="preserve">Diabetes therapy 2018; </w:t>
            </w:r>
            <w:r w:rsidRPr="008B6152">
              <w:rPr>
                <w:rFonts w:ascii="Arial Narrow" w:hAnsi="Arial Narrow" w:cstheme="minorHAnsi"/>
                <w:bCs/>
                <w:snapToGrid/>
                <w:sz w:val="20"/>
                <w:szCs w:val="20"/>
              </w:rPr>
              <w:t>9</w:t>
            </w:r>
            <w:r w:rsidRPr="008B6152">
              <w:rPr>
                <w:rFonts w:ascii="Arial Narrow" w:hAnsi="Arial Narrow" w:cstheme="minorHAnsi"/>
                <w:snapToGrid/>
                <w:sz w:val="20"/>
                <w:szCs w:val="20"/>
              </w:rPr>
              <w:t>(1): 373</w:t>
            </w:r>
            <w:r w:rsidRPr="008B6152">
              <w:rPr>
                <w:rFonts w:ascii="Cambria Math" w:hAnsi="Cambria Math" w:cs="Cambria Math"/>
                <w:snapToGrid/>
                <w:sz w:val="20"/>
                <w:szCs w:val="20"/>
              </w:rPr>
              <w:t>‐</w:t>
            </w:r>
            <w:r w:rsidRPr="008B6152">
              <w:rPr>
                <w:rFonts w:ascii="Arial Narrow" w:hAnsi="Arial Narrow" w:cstheme="minorHAnsi"/>
                <w:snapToGrid/>
                <w:sz w:val="20"/>
                <w:szCs w:val="20"/>
              </w:rPr>
              <w:t>382.</w:t>
            </w:r>
          </w:p>
        </w:tc>
      </w:tr>
      <w:tr w:rsidR="00FD5C06" w:rsidRPr="008B6152" w:rsidTr="0086641E">
        <w:trPr>
          <w:cantSplit/>
          <w:trHeight w:val="139"/>
        </w:trPr>
        <w:tc>
          <w:tcPr>
            <w:tcW w:w="484" w:type="pct"/>
            <w:vMerge/>
            <w:vAlign w:val="center"/>
          </w:tcPr>
          <w:p w:rsidR="00FD5C06" w:rsidRPr="008B6152" w:rsidRDefault="00FD5C06" w:rsidP="005E1B97">
            <w:pPr>
              <w:widowControl/>
              <w:jc w:val="left"/>
              <w:rPr>
                <w:rFonts w:ascii="Arial Narrow" w:hAnsi="Arial Narrow" w:cs="Times New Roman"/>
                <w:snapToGrid/>
                <w:sz w:val="20"/>
                <w:szCs w:val="20"/>
              </w:rPr>
            </w:pPr>
          </w:p>
        </w:tc>
        <w:tc>
          <w:tcPr>
            <w:tcW w:w="2972" w:type="pct"/>
            <w:tcBorders>
              <w:top w:val="nil"/>
              <w:bottom w:val="nil"/>
              <w:right w:val="single" w:sz="4" w:space="0" w:color="auto"/>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 xml:space="preserve">Vidal J, Giorgino F, Stager W et al. Postprandial glycaemic outcomes of a fixed-ratio combination of insulin glargine and lixisenatide in the LixiLan-L trial [Conference abstract]. </w:t>
            </w:r>
          </w:p>
        </w:tc>
        <w:tc>
          <w:tcPr>
            <w:tcW w:w="1544" w:type="pct"/>
            <w:tcBorders>
              <w:top w:val="nil"/>
              <w:left w:val="single" w:sz="4" w:space="0" w:color="auto"/>
              <w:bottom w:val="nil"/>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 xml:space="preserve">Diabetology and metabolic syndrome 2018; </w:t>
            </w:r>
            <w:r w:rsidRPr="008B6152">
              <w:rPr>
                <w:rFonts w:ascii="Arial Narrow" w:hAnsi="Arial Narrow" w:cstheme="minorHAnsi"/>
                <w:bCs/>
                <w:snapToGrid/>
                <w:sz w:val="20"/>
                <w:szCs w:val="20"/>
              </w:rPr>
              <w:t xml:space="preserve">10 </w:t>
            </w:r>
            <w:r w:rsidRPr="008B6152">
              <w:rPr>
                <w:rFonts w:ascii="Arial Narrow" w:hAnsi="Arial Narrow" w:cstheme="minorHAnsi"/>
                <w:snapToGrid/>
                <w:sz w:val="20"/>
                <w:szCs w:val="20"/>
              </w:rPr>
              <w:t>(Supp 1): (no pagination).</w:t>
            </w:r>
          </w:p>
        </w:tc>
      </w:tr>
      <w:tr w:rsidR="00FD5C06" w:rsidRPr="008B6152" w:rsidTr="0086641E">
        <w:trPr>
          <w:cantSplit/>
          <w:trHeight w:val="139"/>
        </w:trPr>
        <w:tc>
          <w:tcPr>
            <w:tcW w:w="484" w:type="pct"/>
            <w:vMerge/>
            <w:vAlign w:val="center"/>
          </w:tcPr>
          <w:p w:rsidR="00FD5C06" w:rsidRPr="008B6152" w:rsidRDefault="00FD5C06" w:rsidP="005E1B97">
            <w:pPr>
              <w:widowControl/>
              <w:jc w:val="left"/>
              <w:rPr>
                <w:rFonts w:ascii="Arial Narrow" w:hAnsi="Arial Narrow" w:cs="Times New Roman"/>
                <w:snapToGrid/>
                <w:sz w:val="20"/>
                <w:szCs w:val="20"/>
              </w:rPr>
            </w:pPr>
          </w:p>
        </w:tc>
        <w:tc>
          <w:tcPr>
            <w:tcW w:w="2972" w:type="pct"/>
            <w:tcBorders>
              <w:top w:val="nil"/>
              <w:bottom w:val="nil"/>
              <w:right w:val="single" w:sz="4" w:space="0" w:color="auto"/>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 xml:space="preserve">Wysham C, Bonadonna RC, Aroda VR et al. Consistent findings in glycaemic control, body weight and hypoglycaemia with iGlarLixi (insulin glargine/lixisenatide titratable fixed-ratio combination) vs insulin glargine across baseline HbA1c, BMI and diabetes duration categories in the LixiLan-L trial. </w:t>
            </w:r>
          </w:p>
        </w:tc>
        <w:tc>
          <w:tcPr>
            <w:tcW w:w="1544" w:type="pct"/>
            <w:tcBorders>
              <w:top w:val="nil"/>
              <w:left w:val="single" w:sz="4" w:space="0" w:color="auto"/>
              <w:bottom w:val="nil"/>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 xml:space="preserve">Diabetes Obes Metab 2017; </w:t>
            </w:r>
            <w:r w:rsidRPr="008B6152">
              <w:rPr>
                <w:rFonts w:ascii="Arial Narrow" w:hAnsi="Arial Narrow" w:cstheme="minorHAnsi"/>
                <w:bCs/>
                <w:snapToGrid/>
                <w:sz w:val="20"/>
                <w:szCs w:val="20"/>
              </w:rPr>
              <w:t>19</w:t>
            </w:r>
            <w:r w:rsidRPr="008B6152">
              <w:rPr>
                <w:rFonts w:ascii="Arial Narrow" w:hAnsi="Arial Narrow" w:cstheme="minorHAnsi"/>
                <w:snapToGrid/>
                <w:sz w:val="20"/>
                <w:szCs w:val="20"/>
              </w:rPr>
              <w:t>(10): 1408-1415.</w:t>
            </w:r>
          </w:p>
        </w:tc>
      </w:tr>
      <w:tr w:rsidR="00FD5C06" w:rsidRPr="008B6152" w:rsidTr="0086641E">
        <w:trPr>
          <w:cantSplit/>
          <w:trHeight w:val="139"/>
        </w:trPr>
        <w:tc>
          <w:tcPr>
            <w:tcW w:w="484" w:type="pct"/>
            <w:vMerge/>
            <w:vAlign w:val="center"/>
          </w:tcPr>
          <w:p w:rsidR="00FD5C06" w:rsidRPr="008B6152" w:rsidRDefault="00FD5C06" w:rsidP="005E1B97">
            <w:pPr>
              <w:widowControl/>
              <w:jc w:val="left"/>
              <w:rPr>
                <w:rFonts w:ascii="Arial Narrow" w:hAnsi="Arial Narrow" w:cs="Times New Roman"/>
                <w:snapToGrid/>
                <w:sz w:val="20"/>
                <w:szCs w:val="20"/>
              </w:rPr>
            </w:pPr>
          </w:p>
        </w:tc>
        <w:tc>
          <w:tcPr>
            <w:tcW w:w="2972" w:type="pct"/>
            <w:tcBorders>
              <w:top w:val="nil"/>
              <w:bottom w:val="single" w:sz="4" w:space="0" w:color="auto"/>
              <w:right w:val="single" w:sz="4" w:space="0" w:color="auto"/>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 xml:space="preserve">Zisman A, Dex T, </w:t>
            </w:r>
            <w:proofErr w:type="gramStart"/>
            <w:r w:rsidRPr="008B6152">
              <w:rPr>
                <w:rFonts w:ascii="Arial Narrow" w:hAnsi="Arial Narrow" w:cstheme="minorHAnsi"/>
                <w:snapToGrid/>
                <w:sz w:val="20"/>
                <w:szCs w:val="20"/>
              </w:rPr>
              <w:t>Roberts</w:t>
            </w:r>
            <w:proofErr w:type="gramEnd"/>
            <w:r w:rsidRPr="008B6152">
              <w:rPr>
                <w:rFonts w:ascii="Arial Narrow" w:hAnsi="Arial Narrow" w:cstheme="minorHAnsi"/>
                <w:snapToGrid/>
                <w:sz w:val="20"/>
                <w:szCs w:val="20"/>
              </w:rPr>
              <w:t xml:space="preserve"> M et al. (2018). Bedtime-to-Morning Glucose Difference and iGlarLixi in Type 2 Diabetes: Post Hoc Analysis of LixiLan-L. </w:t>
            </w:r>
          </w:p>
        </w:tc>
        <w:tc>
          <w:tcPr>
            <w:tcW w:w="1544" w:type="pct"/>
            <w:tcBorders>
              <w:top w:val="nil"/>
              <w:left w:val="single" w:sz="4" w:space="0" w:color="auto"/>
              <w:bottom w:val="single" w:sz="4" w:space="0" w:color="auto"/>
            </w:tcBorders>
          </w:tcPr>
          <w:p w:rsidR="00FD5C06" w:rsidRPr="008B6152" w:rsidRDefault="00FD5C06" w:rsidP="005E1B97">
            <w:pPr>
              <w:widowControl/>
              <w:jc w:val="left"/>
              <w:rPr>
                <w:rFonts w:ascii="Arial Narrow" w:hAnsi="Arial Narrow" w:cstheme="minorHAnsi"/>
                <w:snapToGrid/>
                <w:sz w:val="20"/>
                <w:szCs w:val="20"/>
              </w:rPr>
            </w:pPr>
            <w:r w:rsidRPr="008B6152">
              <w:rPr>
                <w:rFonts w:ascii="Arial Narrow" w:hAnsi="Arial Narrow" w:cstheme="minorHAnsi"/>
                <w:snapToGrid/>
                <w:sz w:val="20"/>
                <w:szCs w:val="20"/>
              </w:rPr>
              <w:t>Diabetes Ther 2018.</w:t>
            </w:r>
          </w:p>
        </w:tc>
      </w:tr>
      <w:tr w:rsidR="00FD5C06" w:rsidRPr="008B6152" w:rsidTr="0086641E">
        <w:trPr>
          <w:cantSplit/>
          <w:trHeight w:val="139"/>
        </w:trPr>
        <w:tc>
          <w:tcPr>
            <w:tcW w:w="484" w:type="pct"/>
            <w:vMerge w:val="restart"/>
            <w:vAlign w:val="center"/>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imes New Roman"/>
                <w:snapToGrid/>
                <w:sz w:val="20"/>
                <w:szCs w:val="20"/>
              </w:rPr>
              <w:lastRenderedPageBreak/>
              <w:t>GWCO</w:t>
            </w:r>
          </w:p>
        </w:tc>
        <w:tc>
          <w:tcPr>
            <w:tcW w:w="2972" w:type="pct"/>
            <w:tcBorders>
              <w:bottom w:val="nil"/>
              <w:right w:val="single" w:sz="4" w:space="0" w:color="auto"/>
            </w:tcBorders>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heme="minorHAnsi"/>
                <w:snapToGrid/>
                <w:sz w:val="20"/>
                <w:szCs w:val="20"/>
              </w:rPr>
              <w:t xml:space="preserve">Buse JB, Bergenstal RM, Glass LC et al. Use of twice-daily exenatide in basal insulin-treated patients with type 2 diabetes. </w:t>
            </w:r>
          </w:p>
        </w:tc>
        <w:tc>
          <w:tcPr>
            <w:tcW w:w="1544" w:type="pct"/>
            <w:tcBorders>
              <w:left w:val="single" w:sz="4" w:space="0" w:color="auto"/>
              <w:bottom w:val="nil"/>
            </w:tcBorders>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heme="minorHAnsi"/>
                <w:snapToGrid/>
                <w:sz w:val="20"/>
                <w:szCs w:val="20"/>
              </w:rPr>
              <w:t>Annals of Internal Medicine 2011; 154 (2): 103-112.</w:t>
            </w:r>
          </w:p>
        </w:tc>
      </w:tr>
      <w:tr w:rsidR="00FD5C06" w:rsidRPr="008B6152" w:rsidTr="0086641E">
        <w:trPr>
          <w:cantSplit/>
          <w:trHeight w:val="65"/>
        </w:trPr>
        <w:tc>
          <w:tcPr>
            <w:tcW w:w="484" w:type="pct"/>
            <w:vMerge/>
            <w:vAlign w:val="center"/>
          </w:tcPr>
          <w:p w:rsidR="00FD5C06" w:rsidRPr="008B6152" w:rsidRDefault="00FD5C06" w:rsidP="005E1B97">
            <w:pPr>
              <w:widowControl/>
              <w:jc w:val="left"/>
              <w:rPr>
                <w:rFonts w:ascii="Arial Narrow" w:hAnsi="Arial Narrow" w:cs="Times New Roman"/>
                <w:snapToGrid/>
                <w:sz w:val="20"/>
                <w:szCs w:val="20"/>
              </w:rPr>
            </w:pPr>
          </w:p>
        </w:tc>
        <w:tc>
          <w:tcPr>
            <w:tcW w:w="2972" w:type="pct"/>
            <w:tcBorders>
              <w:top w:val="nil"/>
              <w:bottom w:val="nil"/>
              <w:right w:val="single" w:sz="4" w:space="0" w:color="auto"/>
            </w:tcBorders>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heme="minorHAnsi"/>
                <w:snapToGrid/>
                <w:sz w:val="20"/>
                <w:szCs w:val="20"/>
              </w:rPr>
              <w:t xml:space="preserve">Rosenstock J, Shenouda SK, Bergenstal RM et al. Baseline factors associated with glycemic control and weight loss when exenatide twice daily is added to optimised insulin glargine in patients with type 2 diabetes. </w:t>
            </w:r>
          </w:p>
        </w:tc>
        <w:tc>
          <w:tcPr>
            <w:tcW w:w="1544" w:type="pct"/>
            <w:tcBorders>
              <w:top w:val="nil"/>
              <w:left w:val="single" w:sz="4" w:space="0" w:color="auto"/>
              <w:bottom w:val="nil"/>
            </w:tcBorders>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heme="minorHAnsi"/>
                <w:snapToGrid/>
                <w:sz w:val="20"/>
                <w:szCs w:val="20"/>
              </w:rPr>
              <w:t>Diabetes Care 2012; 35 (5):955-958.</w:t>
            </w:r>
          </w:p>
        </w:tc>
      </w:tr>
      <w:tr w:rsidR="00FD5C06" w:rsidRPr="008B6152" w:rsidTr="0086641E">
        <w:trPr>
          <w:cantSplit/>
          <w:trHeight w:val="65"/>
        </w:trPr>
        <w:tc>
          <w:tcPr>
            <w:tcW w:w="484" w:type="pct"/>
            <w:vMerge/>
            <w:vAlign w:val="center"/>
          </w:tcPr>
          <w:p w:rsidR="00FD5C06" w:rsidRPr="008B6152" w:rsidRDefault="00FD5C06" w:rsidP="005E1B97">
            <w:pPr>
              <w:widowControl/>
              <w:jc w:val="left"/>
              <w:rPr>
                <w:rFonts w:ascii="Arial Narrow" w:hAnsi="Arial Narrow" w:cs="Times New Roman"/>
                <w:snapToGrid/>
                <w:sz w:val="20"/>
                <w:szCs w:val="20"/>
              </w:rPr>
            </w:pPr>
          </w:p>
        </w:tc>
        <w:tc>
          <w:tcPr>
            <w:tcW w:w="2972" w:type="pct"/>
            <w:tcBorders>
              <w:top w:val="nil"/>
              <w:bottom w:val="nil"/>
              <w:right w:val="single" w:sz="4" w:space="0" w:color="auto"/>
            </w:tcBorders>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heme="minorHAnsi"/>
                <w:snapToGrid/>
                <w:sz w:val="20"/>
                <w:szCs w:val="20"/>
              </w:rPr>
              <w:t xml:space="preserve">Wintle M, Pencek R, Han J et al. Addition of fixed-dose exenatide to insulin glargine therapy improved glycaemic control without increasing hypoglycaemia or weight gain across a range of insulin titration. </w:t>
            </w:r>
          </w:p>
        </w:tc>
        <w:tc>
          <w:tcPr>
            <w:tcW w:w="1544" w:type="pct"/>
            <w:tcBorders>
              <w:top w:val="nil"/>
              <w:left w:val="single" w:sz="4" w:space="0" w:color="auto"/>
              <w:bottom w:val="nil"/>
            </w:tcBorders>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heme="minorHAnsi"/>
                <w:snapToGrid/>
                <w:sz w:val="20"/>
                <w:szCs w:val="20"/>
              </w:rPr>
              <w:t>Diabetologia 2012; 55 (Supp. 1):S331</w:t>
            </w:r>
          </w:p>
        </w:tc>
      </w:tr>
      <w:tr w:rsidR="00FD5C06" w:rsidRPr="008B6152" w:rsidTr="0086641E">
        <w:trPr>
          <w:cantSplit/>
          <w:trHeight w:val="65"/>
        </w:trPr>
        <w:tc>
          <w:tcPr>
            <w:tcW w:w="484" w:type="pct"/>
            <w:vMerge/>
            <w:vAlign w:val="center"/>
          </w:tcPr>
          <w:p w:rsidR="00FD5C06" w:rsidRPr="008B6152" w:rsidRDefault="00FD5C06" w:rsidP="005E1B97">
            <w:pPr>
              <w:widowControl/>
              <w:jc w:val="left"/>
              <w:rPr>
                <w:rFonts w:ascii="Arial Narrow" w:hAnsi="Arial Narrow" w:cs="Times New Roman"/>
                <w:snapToGrid/>
                <w:sz w:val="20"/>
                <w:szCs w:val="20"/>
              </w:rPr>
            </w:pPr>
          </w:p>
        </w:tc>
        <w:tc>
          <w:tcPr>
            <w:tcW w:w="2972" w:type="pct"/>
            <w:tcBorders>
              <w:top w:val="nil"/>
              <w:bottom w:val="nil"/>
              <w:right w:val="single" w:sz="4" w:space="0" w:color="auto"/>
            </w:tcBorders>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heme="minorHAnsi"/>
                <w:snapToGrid/>
                <w:sz w:val="20"/>
                <w:szCs w:val="20"/>
              </w:rPr>
              <w:t xml:space="preserve">Buse J, Glass L, Heilmann C et al. Weight change in placebo and exenatide (BID)-treated subjects with type 2 diabetes on insulin glargine: Effects of sex, diabetes duration, baseline A1C, and insulin dose. [Poster]. </w:t>
            </w:r>
          </w:p>
        </w:tc>
        <w:tc>
          <w:tcPr>
            <w:tcW w:w="1544" w:type="pct"/>
            <w:tcBorders>
              <w:top w:val="nil"/>
              <w:left w:val="single" w:sz="4" w:space="0" w:color="auto"/>
              <w:bottom w:val="nil"/>
            </w:tcBorders>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heme="minorHAnsi"/>
                <w:snapToGrid/>
                <w:sz w:val="20"/>
                <w:szCs w:val="20"/>
              </w:rPr>
              <w:t>Diabetes 2011; 60 (Supp. 1):A266-A267.</w:t>
            </w:r>
          </w:p>
        </w:tc>
      </w:tr>
      <w:tr w:rsidR="00FD5C06" w:rsidRPr="008B6152" w:rsidTr="0086641E">
        <w:trPr>
          <w:cantSplit/>
          <w:trHeight w:val="65"/>
        </w:trPr>
        <w:tc>
          <w:tcPr>
            <w:tcW w:w="484" w:type="pct"/>
            <w:vMerge/>
            <w:vAlign w:val="center"/>
          </w:tcPr>
          <w:p w:rsidR="00FD5C06" w:rsidRPr="008B6152" w:rsidRDefault="00FD5C06" w:rsidP="005E1B97">
            <w:pPr>
              <w:widowControl/>
              <w:jc w:val="left"/>
              <w:rPr>
                <w:rFonts w:ascii="Arial Narrow" w:hAnsi="Arial Narrow" w:cs="Times New Roman"/>
                <w:snapToGrid/>
                <w:sz w:val="20"/>
                <w:szCs w:val="20"/>
              </w:rPr>
            </w:pPr>
          </w:p>
        </w:tc>
        <w:tc>
          <w:tcPr>
            <w:tcW w:w="2972" w:type="pct"/>
            <w:tcBorders>
              <w:top w:val="nil"/>
              <w:bottom w:val="nil"/>
              <w:right w:val="single" w:sz="4" w:space="0" w:color="auto"/>
            </w:tcBorders>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heme="minorHAnsi"/>
                <w:snapToGrid/>
                <w:sz w:val="20"/>
                <w:szCs w:val="20"/>
              </w:rPr>
              <w:t xml:space="preserve">Bergenstal RM, Buse JB, Glass LC et al. Exenatide added to insulin glargine-treated patients with type 2 diabetes provided excellent fasting and postprandial control with weight loss and no increased risk of hypoglycaemia. </w:t>
            </w:r>
          </w:p>
        </w:tc>
        <w:tc>
          <w:tcPr>
            <w:tcW w:w="1544" w:type="pct"/>
            <w:tcBorders>
              <w:top w:val="nil"/>
              <w:left w:val="single" w:sz="4" w:space="0" w:color="auto"/>
              <w:bottom w:val="nil"/>
            </w:tcBorders>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heme="minorHAnsi"/>
                <w:snapToGrid/>
                <w:sz w:val="20"/>
                <w:szCs w:val="20"/>
              </w:rPr>
              <w:t>Diabetologia 2010; 53: S37.</w:t>
            </w:r>
          </w:p>
        </w:tc>
      </w:tr>
      <w:tr w:rsidR="00FD5C06" w:rsidRPr="008B6152" w:rsidTr="0086641E">
        <w:trPr>
          <w:cantSplit/>
          <w:trHeight w:val="515"/>
        </w:trPr>
        <w:tc>
          <w:tcPr>
            <w:tcW w:w="484" w:type="pct"/>
            <w:vMerge/>
            <w:vAlign w:val="center"/>
          </w:tcPr>
          <w:p w:rsidR="00FD5C06" w:rsidRPr="008B6152" w:rsidRDefault="00FD5C06" w:rsidP="005E1B97">
            <w:pPr>
              <w:widowControl/>
              <w:jc w:val="left"/>
              <w:rPr>
                <w:rFonts w:ascii="Arial Narrow" w:hAnsi="Arial Narrow" w:cs="Times New Roman"/>
                <w:snapToGrid/>
                <w:sz w:val="20"/>
                <w:szCs w:val="20"/>
              </w:rPr>
            </w:pPr>
          </w:p>
        </w:tc>
        <w:tc>
          <w:tcPr>
            <w:tcW w:w="2972" w:type="pct"/>
            <w:tcBorders>
              <w:top w:val="nil"/>
              <w:bottom w:val="single" w:sz="4" w:space="0" w:color="auto"/>
              <w:right w:val="single" w:sz="4" w:space="0" w:color="auto"/>
            </w:tcBorders>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imes New Roman"/>
                <w:snapToGrid/>
                <w:sz w:val="20"/>
                <w:szCs w:val="20"/>
              </w:rPr>
              <w:t xml:space="preserve">Buse JB, Han J, Miller S et al. Addition of exenatide BID to insulin glargine: A post-hoc analysis of the effect on glycemia and weight across a range of insulin titration. </w:t>
            </w:r>
          </w:p>
        </w:tc>
        <w:tc>
          <w:tcPr>
            <w:tcW w:w="1544" w:type="pct"/>
            <w:tcBorders>
              <w:top w:val="nil"/>
              <w:left w:val="single" w:sz="4" w:space="0" w:color="auto"/>
            </w:tcBorders>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imes New Roman"/>
                <w:snapToGrid/>
                <w:sz w:val="20"/>
                <w:szCs w:val="20"/>
              </w:rPr>
              <w:t>Current Medical Research and Opinion 2014; 30(7):1209-1218.</w:t>
            </w:r>
          </w:p>
        </w:tc>
      </w:tr>
      <w:tr w:rsidR="00FD5C06" w:rsidRPr="008B6152" w:rsidTr="0086641E">
        <w:trPr>
          <w:cantSplit/>
          <w:trHeight w:val="999"/>
          <w:tblHeader/>
        </w:trPr>
        <w:tc>
          <w:tcPr>
            <w:tcW w:w="484" w:type="pct"/>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imes New Roman"/>
                <w:snapToGrid/>
                <w:sz w:val="20"/>
                <w:szCs w:val="20"/>
              </w:rPr>
              <w:t>GetGoal-X</w:t>
            </w:r>
          </w:p>
        </w:tc>
        <w:tc>
          <w:tcPr>
            <w:tcW w:w="2972" w:type="pct"/>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imes New Roman"/>
                <w:snapToGrid/>
                <w:sz w:val="20"/>
                <w:szCs w:val="20"/>
              </w:rPr>
              <w:t>Rosenstock J, Raccah D, Koranyi L et al. Efficacy and safety of lixi</w:t>
            </w:r>
            <w:r w:rsidR="00036397" w:rsidRPr="008B6152">
              <w:rPr>
                <w:rFonts w:ascii="Arial Narrow" w:hAnsi="Arial Narrow" w:cs="Times New Roman"/>
                <w:snapToGrid/>
                <w:sz w:val="20"/>
                <w:szCs w:val="20"/>
              </w:rPr>
              <w:t>senatide once daily versus exen</w:t>
            </w:r>
            <w:r w:rsidRPr="008B6152">
              <w:rPr>
                <w:rFonts w:ascii="Arial Narrow" w:hAnsi="Arial Narrow" w:cs="Times New Roman"/>
                <w:snapToGrid/>
                <w:sz w:val="20"/>
                <w:szCs w:val="20"/>
              </w:rPr>
              <w:t>atide twice daily in type 2 diabetes inadequately controlled on metformin: a 24-week, randomized, open-label, active-controlled study.</w:t>
            </w:r>
          </w:p>
        </w:tc>
        <w:tc>
          <w:tcPr>
            <w:tcW w:w="1544" w:type="pct"/>
          </w:tcPr>
          <w:p w:rsidR="00FD5C06" w:rsidRPr="008B6152" w:rsidRDefault="00FD5C06" w:rsidP="005E1B97">
            <w:pPr>
              <w:widowControl/>
              <w:jc w:val="left"/>
              <w:rPr>
                <w:rFonts w:ascii="Arial Narrow" w:hAnsi="Arial Narrow" w:cs="Times New Roman"/>
                <w:snapToGrid/>
                <w:sz w:val="20"/>
                <w:szCs w:val="20"/>
              </w:rPr>
            </w:pPr>
            <w:r w:rsidRPr="008B6152">
              <w:rPr>
                <w:rFonts w:ascii="Arial Narrow" w:hAnsi="Arial Narrow" w:cs="Times New Roman"/>
                <w:snapToGrid/>
                <w:sz w:val="20"/>
                <w:szCs w:val="20"/>
              </w:rPr>
              <w:t>Diabetes Care 2013; 36:2945-51.</w:t>
            </w:r>
          </w:p>
        </w:tc>
      </w:tr>
    </w:tbl>
    <w:p w:rsidR="00FD5C06" w:rsidRPr="008B6152" w:rsidRDefault="00FD5C06" w:rsidP="00FD5C06">
      <w:pPr>
        <w:widowControl/>
        <w:contextualSpacing/>
        <w:rPr>
          <w:rFonts w:ascii="Arial Narrow" w:hAnsi="Arial Narrow"/>
          <w:sz w:val="18"/>
        </w:rPr>
      </w:pPr>
      <w:r w:rsidRPr="008B6152">
        <w:rPr>
          <w:rFonts w:ascii="Arial Narrow" w:hAnsi="Arial Narrow"/>
          <w:sz w:val="18"/>
        </w:rPr>
        <w:t>Source: Table 2.2.1, pp61-64 of the resubmission.</w:t>
      </w:r>
    </w:p>
    <w:p w:rsidR="00FD5C06" w:rsidRPr="008B6152" w:rsidRDefault="00FD5C06" w:rsidP="00FD5C06">
      <w:pPr>
        <w:widowControl/>
        <w:contextualSpacing/>
        <w:rPr>
          <w:rFonts w:ascii="Arial Narrow" w:hAnsi="Arial Narrow"/>
          <w:sz w:val="18"/>
        </w:rPr>
      </w:pPr>
    </w:p>
    <w:p w:rsidR="00A05465" w:rsidRDefault="00FD5C06" w:rsidP="00FC3D47">
      <w:pPr>
        <w:pStyle w:val="ListParagraph"/>
        <w:widowControl/>
        <w:numPr>
          <w:ilvl w:val="1"/>
          <w:numId w:val="3"/>
        </w:numPr>
      </w:pPr>
      <w:r w:rsidRPr="00B66CF9">
        <w:t xml:space="preserve">The key features of the trials </w:t>
      </w:r>
      <w:r w:rsidR="000F4FE1" w:rsidRPr="00B66CF9">
        <w:t xml:space="preserve">included in the indirect comparison </w:t>
      </w:r>
      <w:r w:rsidRPr="00B66CF9">
        <w:t>are summarised in</w:t>
      </w:r>
      <w:r w:rsidR="0026778C" w:rsidRPr="00B66CF9">
        <w:t xml:space="preserve"> Table 4</w:t>
      </w:r>
      <w:r w:rsidRPr="00B66CF9">
        <w:t>.</w:t>
      </w:r>
      <w:r w:rsidR="0031604C" w:rsidRPr="00B66CF9">
        <w:t xml:space="preserve"> </w:t>
      </w:r>
      <w:r w:rsidR="004A51BA" w:rsidRPr="00B66CF9">
        <w:t xml:space="preserve">The </w:t>
      </w:r>
      <w:r w:rsidR="002E2B66">
        <w:t>Pre-Sub-Committee Response (</w:t>
      </w:r>
      <w:r w:rsidR="004A51BA" w:rsidRPr="00B66CF9">
        <w:t>PSCR</w:t>
      </w:r>
      <w:r w:rsidR="002E2B66">
        <w:t>)</w:t>
      </w:r>
      <w:r w:rsidR="004A51BA" w:rsidRPr="00B66CF9">
        <w:t xml:space="preserve"> noted that the clinical analysis wa</w:t>
      </w:r>
      <w:r w:rsidR="00F76285" w:rsidRPr="00B66CF9">
        <w:t xml:space="preserve">s largely unchanged because the updated literature search did not identify any new evidence, making the evidence presented the best available. </w:t>
      </w:r>
      <w:r w:rsidR="003372A1" w:rsidRPr="00B66CF9">
        <w:t>The ESC noted that most of the clinical trial data remained the same as in the previous submission, and the ESC’s views remained unchanged regarding these elements</w:t>
      </w:r>
      <w:r w:rsidR="009E4696">
        <w:t>.</w:t>
      </w:r>
      <w:r w:rsidR="0049397D">
        <w:t xml:space="preserve"> </w:t>
      </w:r>
    </w:p>
    <w:p w:rsidR="004A51BA" w:rsidRPr="008B6152" w:rsidRDefault="0026778C" w:rsidP="0086641E">
      <w:pPr>
        <w:keepNext/>
        <w:widowControl/>
        <w:jc w:val="left"/>
        <w:rPr>
          <w:rStyle w:val="CommentReference"/>
          <w:szCs w:val="20"/>
        </w:rPr>
      </w:pPr>
      <w:bookmarkStart w:id="10" w:name="_Ref533086705"/>
      <w:r w:rsidRPr="008B6152">
        <w:rPr>
          <w:rFonts w:ascii="Arial Narrow" w:hAnsi="Arial Narrow"/>
          <w:b/>
          <w:sz w:val="20"/>
          <w:szCs w:val="20"/>
        </w:rPr>
        <w:t xml:space="preserve">Table </w:t>
      </w:r>
      <w:r w:rsidR="00F86B96" w:rsidRPr="008B6152">
        <w:rPr>
          <w:rFonts w:ascii="Arial Narrow" w:hAnsi="Arial Narrow"/>
          <w:b/>
          <w:noProof/>
          <w:sz w:val="20"/>
          <w:szCs w:val="20"/>
        </w:rPr>
        <w:t>4</w:t>
      </w:r>
      <w:bookmarkEnd w:id="10"/>
      <w:r w:rsidR="00734823" w:rsidRPr="008B6152">
        <w:rPr>
          <w:rFonts w:ascii="Arial Narrow" w:hAnsi="Arial Narrow"/>
          <w:sz w:val="20"/>
          <w:szCs w:val="20"/>
        </w:rPr>
        <w:t>:</w:t>
      </w:r>
      <w:r w:rsidR="00FD5C06" w:rsidRPr="008B6152">
        <w:rPr>
          <w:rStyle w:val="CommentReference"/>
          <w:szCs w:val="20"/>
        </w:rPr>
        <w:t xml:space="preserve"> Key features of the included evidence</w:t>
      </w:r>
      <w:r w:rsidR="000F4FE1" w:rsidRPr="008B6152">
        <w:rPr>
          <w:rStyle w:val="CommentReference"/>
          <w:szCs w:val="20"/>
        </w:rPr>
        <w:t xml:space="preserve"> for the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for the indirect comparison"/>
      </w:tblPr>
      <w:tblGrid>
        <w:gridCol w:w="876"/>
        <w:gridCol w:w="536"/>
        <w:gridCol w:w="2835"/>
        <w:gridCol w:w="992"/>
        <w:gridCol w:w="2692"/>
        <w:gridCol w:w="1086"/>
      </w:tblGrid>
      <w:tr w:rsidR="00FD5C06" w:rsidRPr="008B6152" w:rsidTr="002A7052">
        <w:tc>
          <w:tcPr>
            <w:tcW w:w="486" w:type="pct"/>
            <w:shd w:val="clear" w:color="auto" w:fill="auto"/>
            <w:vAlign w:val="center"/>
          </w:tcPr>
          <w:p w:rsidR="00FD5C06" w:rsidRPr="008B6152" w:rsidRDefault="00FD5C06" w:rsidP="0086641E">
            <w:pPr>
              <w:pStyle w:val="Tabletext"/>
              <w:keepNext/>
              <w:rPr>
                <w:b/>
                <w:lang w:val="en-US"/>
              </w:rPr>
            </w:pPr>
            <w:r w:rsidRPr="008B6152">
              <w:rPr>
                <w:b/>
                <w:lang w:val="en-US"/>
              </w:rPr>
              <w:t>Trial</w:t>
            </w:r>
          </w:p>
        </w:tc>
        <w:tc>
          <w:tcPr>
            <w:tcW w:w="297" w:type="pct"/>
            <w:shd w:val="clear" w:color="auto" w:fill="auto"/>
            <w:vAlign w:val="center"/>
          </w:tcPr>
          <w:p w:rsidR="00FD5C06" w:rsidRPr="008B6152" w:rsidRDefault="00FD5C06" w:rsidP="0086641E">
            <w:pPr>
              <w:pStyle w:val="Tabletext"/>
              <w:keepNext/>
              <w:jc w:val="center"/>
              <w:rPr>
                <w:b/>
                <w:lang w:val="en-US"/>
              </w:rPr>
            </w:pPr>
            <w:r w:rsidRPr="008B6152">
              <w:rPr>
                <w:b/>
                <w:lang w:val="en-US"/>
              </w:rPr>
              <w:t>N</w:t>
            </w:r>
          </w:p>
        </w:tc>
        <w:tc>
          <w:tcPr>
            <w:tcW w:w="1572" w:type="pct"/>
            <w:shd w:val="clear" w:color="auto" w:fill="auto"/>
            <w:vAlign w:val="center"/>
          </w:tcPr>
          <w:p w:rsidR="00FD5C06" w:rsidRPr="008B6152" w:rsidRDefault="00FD5C06" w:rsidP="0086641E">
            <w:pPr>
              <w:pStyle w:val="Tabletext"/>
              <w:keepNext/>
              <w:jc w:val="center"/>
              <w:rPr>
                <w:b/>
                <w:lang w:val="en-US"/>
              </w:rPr>
            </w:pPr>
            <w:r w:rsidRPr="008B6152">
              <w:rPr>
                <w:b/>
                <w:lang w:val="en-US"/>
              </w:rPr>
              <w:t>Design/ duration</w:t>
            </w:r>
          </w:p>
        </w:tc>
        <w:tc>
          <w:tcPr>
            <w:tcW w:w="550" w:type="pct"/>
            <w:shd w:val="clear" w:color="auto" w:fill="auto"/>
            <w:vAlign w:val="center"/>
          </w:tcPr>
          <w:p w:rsidR="00FD5C06" w:rsidRPr="008B6152" w:rsidRDefault="00FD5C06" w:rsidP="0086641E">
            <w:pPr>
              <w:pStyle w:val="Tabletext"/>
              <w:keepNext/>
              <w:jc w:val="center"/>
              <w:rPr>
                <w:b/>
                <w:lang w:val="en-US"/>
              </w:rPr>
            </w:pPr>
            <w:r w:rsidRPr="008B6152">
              <w:rPr>
                <w:b/>
                <w:lang w:val="en-US"/>
              </w:rPr>
              <w:t>Risk of bias</w:t>
            </w:r>
          </w:p>
        </w:tc>
        <w:tc>
          <w:tcPr>
            <w:tcW w:w="1493" w:type="pct"/>
            <w:shd w:val="clear" w:color="auto" w:fill="auto"/>
            <w:vAlign w:val="center"/>
          </w:tcPr>
          <w:p w:rsidR="00FD5C06" w:rsidRPr="008B6152" w:rsidRDefault="00FD5C06" w:rsidP="0086641E">
            <w:pPr>
              <w:pStyle w:val="Tabletext"/>
              <w:keepNext/>
              <w:jc w:val="center"/>
              <w:rPr>
                <w:b/>
                <w:lang w:val="en-US"/>
              </w:rPr>
            </w:pPr>
            <w:r w:rsidRPr="008B6152">
              <w:rPr>
                <w:b/>
                <w:lang w:val="en-US"/>
              </w:rPr>
              <w:t>Patient population</w:t>
            </w:r>
          </w:p>
        </w:tc>
        <w:tc>
          <w:tcPr>
            <w:tcW w:w="602" w:type="pct"/>
            <w:shd w:val="clear" w:color="auto" w:fill="auto"/>
            <w:vAlign w:val="center"/>
          </w:tcPr>
          <w:p w:rsidR="00FD5C06" w:rsidRPr="008B6152" w:rsidRDefault="00FD5C06" w:rsidP="0086641E">
            <w:pPr>
              <w:pStyle w:val="Tabletext"/>
              <w:keepNext/>
              <w:jc w:val="center"/>
              <w:rPr>
                <w:b/>
                <w:lang w:val="en-US"/>
              </w:rPr>
            </w:pPr>
            <w:r w:rsidRPr="008B6152">
              <w:rPr>
                <w:b/>
                <w:lang w:val="en-US"/>
              </w:rPr>
              <w:t>Outcomes</w:t>
            </w:r>
          </w:p>
        </w:tc>
      </w:tr>
      <w:tr w:rsidR="00FD5C06" w:rsidRPr="008B6152" w:rsidTr="005E1B97">
        <w:tc>
          <w:tcPr>
            <w:tcW w:w="5000" w:type="pct"/>
            <w:gridSpan w:val="6"/>
            <w:shd w:val="clear" w:color="auto" w:fill="auto"/>
            <w:vAlign w:val="center"/>
          </w:tcPr>
          <w:p w:rsidR="00FD5C06" w:rsidRPr="008B6152" w:rsidRDefault="00FD5C06" w:rsidP="0086641E">
            <w:pPr>
              <w:pStyle w:val="Tabletext"/>
              <w:keepNext/>
              <w:rPr>
                <w:b/>
                <w:lang w:val="en-US"/>
              </w:rPr>
            </w:pPr>
            <w:r w:rsidRPr="008B6152">
              <w:rPr>
                <w:b/>
                <w:lang w:val="en-US"/>
              </w:rPr>
              <w:t>Insulin glargine with lixisenatide FRC versus insulin glargine</w:t>
            </w:r>
          </w:p>
        </w:tc>
      </w:tr>
      <w:tr w:rsidR="00FD5C06" w:rsidRPr="008B6152" w:rsidTr="002A7052">
        <w:tc>
          <w:tcPr>
            <w:tcW w:w="486" w:type="pct"/>
            <w:shd w:val="clear" w:color="auto" w:fill="auto"/>
            <w:vAlign w:val="center"/>
          </w:tcPr>
          <w:p w:rsidR="00FD5C06" w:rsidRPr="008B6152" w:rsidRDefault="00FD5C06" w:rsidP="0086641E">
            <w:pPr>
              <w:pStyle w:val="Tabletext"/>
              <w:keepNext/>
              <w:rPr>
                <w:lang w:val="en-US"/>
              </w:rPr>
            </w:pPr>
            <w:r w:rsidRPr="008B6152">
              <w:rPr>
                <w:lang w:val="en-US"/>
              </w:rPr>
              <w:t>LIXILAN-L</w:t>
            </w:r>
          </w:p>
        </w:tc>
        <w:tc>
          <w:tcPr>
            <w:tcW w:w="297" w:type="pct"/>
            <w:shd w:val="clear" w:color="auto" w:fill="auto"/>
            <w:vAlign w:val="center"/>
          </w:tcPr>
          <w:p w:rsidR="00FD5C06" w:rsidRPr="008B6152" w:rsidRDefault="00FD5C06" w:rsidP="0086641E">
            <w:pPr>
              <w:pStyle w:val="Tabletext"/>
              <w:keepNext/>
              <w:jc w:val="center"/>
              <w:rPr>
                <w:lang w:val="en-US"/>
              </w:rPr>
            </w:pPr>
            <w:r w:rsidRPr="008B6152">
              <w:rPr>
                <w:lang w:val="en-US"/>
              </w:rPr>
              <w:t>736</w:t>
            </w:r>
          </w:p>
        </w:tc>
        <w:tc>
          <w:tcPr>
            <w:tcW w:w="1572" w:type="pct"/>
            <w:shd w:val="clear" w:color="auto" w:fill="auto"/>
            <w:vAlign w:val="center"/>
          </w:tcPr>
          <w:p w:rsidR="00FD5C06" w:rsidRPr="008B6152" w:rsidRDefault="00FD5C06" w:rsidP="0086641E">
            <w:pPr>
              <w:pStyle w:val="Tabletext"/>
              <w:keepNext/>
              <w:jc w:val="center"/>
              <w:rPr>
                <w:lang w:val="en-US"/>
              </w:rPr>
            </w:pPr>
            <w:r w:rsidRPr="008B6152">
              <w:rPr>
                <w:lang w:val="en-US"/>
              </w:rPr>
              <w:t>Randomised, active-controlled, open-label, parallel group, multi-centre trial (30-weeks with 6-week run-in phase).</w:t>
            </w:r>
          </w:p>
        </w:tc>
        <w:tc>
          <w:tcPr>
            <w:tcW w:w="550" w:type="pct"/>
            <w:shd w:val="clear" w:color="auto" w:fill="auto"/>
            <w:vAlign w:val="center"/>
          </w:tcPr>
          <w:p w:rsidR="00FD5C06" w:rsidRPr="008B6152" w:rsidRDefault="00FD5C06" w:rsidP="0086641E">
            <w:pPr>
              <w:pStyle w:val="Tabletext"/>
              <w:keepNext/>
              <w:jc w:val="center"/>
              <w:rPr>
                <w:lang w:val="en-US"/>
              </w:rPr>
            </w:pPr>
            <w:r w:rsidRPr="008B6152">
              <w:rPr>
                <w:lang w:val="en-US"/>
              </w:rPr>
              <w:t>High</w:t>
            </w:r>
          </w:p>
        </w:tc>
        <w:tc>
          <w:tcPr>
            <w:tcW w:w="1493" w:type="pct"/>
            <w:shd w:val="clear" w:color="auto" w:fill="auto"/>
            <w:vAlign w:val="center"/>
          </w:tcPr>
          <w:p w:rsidR="00FD5C06" w:rsidRPr="008B6152" w:rsidRDefault="00FD5C06" w:rsidP="0086641E">
            <w:pPr>
              <w:pStyle w:val="Tabletext"/>
              <w:keepNext/>
              <w:jc w:val="center"/>
              <w:rPr>
                <w:lang w:val="en-US"/>
              </w:rPr>
            </w:pPr>
            <w:r w:rsidRPr="008B6152">
              <w:rPr>
                <w:lang w:val="en-US"/>
              </w:rPr>
              <w:t>Adults with Type 2 diabetes who have inadequate glycaemic control on basal insulin (15-40 units/day) and up to 2 OADs.</w:t>
            </w:r>
          </w:p>
        </w:tc>
        <w:tc>
          <w:tcPr>
            <w:tcW w:w="602" w:type="pct"/>
            <w:shd w:val="clear" w:color="auto" w:fill="auto"/>
            <w:vAlign w:val="center"/>
          </w:tcPr>
          <w:p w:rsidR="00FD5C06" w:rsidRPr="008B6152" w:rsidRDefault="00FD5C06" w:rsidP="0086641E">
            <w:pPr>
              <w:pStyle w:val="Tabletext"/>
              <w:keepNext/>
              <w:jc w:val="center"/>
              <w:rPr>
                <w:lang w:val="en-US"/>
              </w:rPr>
            </w:pPr>
            <w:r w:rsidRPr="008B6152">
              <w:rPr>
                <w:lang w:val="en-US"/>
              </w:rPr>
              <w:t>Change from baseline in HbA1c</w:t>
            </w:r>
            <w:r w:rsidR="00C75ACF" w:rsidRPr="008B6152">
              <w:rPr>
                <w:lang w:val="en-US"/>
              </w:rPr>
              <w:t>.</w:t>
            </w:r>
            <w:r w:rsidRPr="008B6152">
              <w:rPr>
                <w:lang w:val="en-US"/>
              </w:rPr>
              <w:t xml:space="preserve"> </w:t>
            </w:r>
          </w:p>
        </w:tc>
      </w:tr>
      <w:tr w:rsidR="00FD5C06" w:rsidRPr="008B6152" w:rsidTr="005E1B97">
        <w:tc>
          <w:tcPr>
            <w:tcW w:w="5000" w:type="pct"/>
            <w:gridSpan w:val="6"/>
            <w:shd w:val="clear" w:color="auto" w:fill="auto"/>
            <w:vAlign w:val="center"/>
          </w:tcPr>
          <w:p w:rsidR="00FD5C06" w:rsidRPr="008B6152" w:rsidRDefault="00FD5C06" w:rsidP="0086641E">
            <w:pPr>
              <w:pStyle w:val="Tabletext"/>
              <w:keepNext/>
              <w:rPr>
                <w:b/>
                <w:lang w:val="en-US"/>
              </w:rPr>
            </w:pPr>
            <w:r w:rsidRPr="008B6152">
              <w:rPr>
                <w:b/>
                <w:lang w:val="en-US"/>
              </w:rPr>
              <w:t>Insulin glargine plus exenatide (twice daily) versus insulin glargine plus placebo</w:t>
            </w:r>
          </w:p>
        </w:tc>
      </w:tr>
      <w:tr w:rsidR="00FD5C06" w:rsidRPr="008B6152" w:rsidTr="002A7052">
        <w:tc>
          <w:tcPr>
            <w:tcW w:w="486" w:type="pct"/>
            <w:shd w:val="clear" w:color="auto" w:fill="auto"/>
            <w:vAlign w:val="center"/>
          </w:tcPr>
          <w:p w:rsidR="00FD5C06" w:rsidRPr="008B6152" w:rsidRDefault="00FD5C06" w:rsidP="0086641E">
            <w:pPr>
              <w:pStyle w:val="Tabletext"/>
              <w:keepNext/>
              <w:rPr>
                <w:lang w:val="en-US"/>
              </w:rPr>
            </w:pPr>
            <w:r w:rsidRPr="008B6152">
              <w:rPr>
                <w:lang w:val="en-US"/>
              </w:rPr>
              <w:t>GWCO</w:t>
            </w:r>
          </w:p>
        </w:tc>
        <w:tc>
          <w:tcPr>
            <w:tcW w:w="297" w:type="pct"/>
            <w:shd w:val="clear" w:color="auto" w:fill="auto"/>
            <w:vAlign w:val="center"/>
          </w:tcPr>
          <w:p w:rsidR="00FD5C06" w:rsidRPr="008B6152" w:rsidRDefault="00FD5C06" w:rsidP="0086641E">
            <w:pPr>
              <w:pStyle w:val="Tabletext"/>
              <w:keepNext/>
              <w:jc w:val="center"/>
              <w:rPr>
                <w:lang w:val="en-US"/>
              </w:rPr>
            </w:pPr>
            <w:r w:rsidRPr="008B6152">
              <w:rPr>
                <w:lang w:val="en-US"/>
              </w:rPr>
              <w:t>259</w:t>
            </w:r>
          </w:p>
        </w:tc>
        <w:tc>
          <w:tcPr>
            <w:tcW w:w="1572" w:type="pct"/>
            <w:shd w:val="clear" w:color="auto" w:fill="auto"/>
            <w:vAlign w:val="center"/>
          </w:tcPr>
          <w:p w:rsidR="00FD5C06" w:rsidRPr="008B6152" w:rsidRDefault="00FD5C06" w:rsidP="0086641E">
            <w:pPr>
              <w:pStyle w:val="Tabletext"/>
              <w:keepNext/>
              <w:jc w:val="center"/>
              <w:rPr>
                <w:lang w:val="en-US"/>
              </w:rPr>
            </w:pPr>
            <w:r w:rsidRPr="008B6152">
              <w:rPr>
                <w:lang w:val="en-US"/>
              </w:rPr>
              <w:t>Randomised, placebo-controlled, double-blind, parallel group, multi-centre trial (30-weeks).</w:t>
            </w:r>
          </w:p>
        </w:tc>
        <w:tc>
          <w:tcPr>
            <w:tcW w:w="550" w:type="pct"/>
            <w:shd w:val="clear" w:color="auto" w:fill="auto"/>
            <w:vAlign w:val="center"/>
          </w:tcPr>
          <w:p w:rsidR="00FD5C06" w:rsidRPr="008B6152" w:rsidRDefault="00FD5C06" w:rsidP="0086641E">
            <w:pPr>
              <w:pStyle w:val="Tabletext"/>
              <w:keepNext/>
              <w:jc w:val="center"/>
              <w:rPr>
                <w:lang w:val="en-US"/>
              </w:rPr>
            </w:pPr>
            <w:r w:rsidRPr="008B6152">
              <w:rPr>
                <w:lang w:val="en-US"/>
              </w:rPr>
              <w:t>Unclear</w:t>
            </w:r>
          </w:p>
        </w:tc>
        <w:tc>
          <w:tcPr>
            <w:tcW w:w="1493" w:type="pct"/>
            <w:shd w:val="clear" w:color="auto" w:fill="auto"/>
            <w:vAlign w:val="center"/>
          </w:tcPr>
          <w:p w:rsidR="00FD5C06" w:rsidRPr="008B6152" w:rsidRDefault="00FD5C06" w:rsidP="0086641E">
            <w:pPr>
              <w:pStyle w:val="Tabletext"/>
              <w:keepNext/>
              <w:jc w:val="center"/>
              <w:rPr>
                <w:lang w:val="en-US"/>
              </w:rPr>
            </w:pPr>
            <w:r w:rsidRPr="008B6152">
              <w:rPr>
                <w:lang w:val="en-US"/>
              </w:rPr>
              <w:t>Adults with Type 2 diabetes who have inadequate glycaemic control on insulin glargine (≥20 units/day) +/- metformin +/- pioglitazone.</w:t>
            </w:r>
          </w:p>
        </w:tc>
        <w:tc>
          <w:tcPr>
            <w:tcW w:w="602" w:type="pct"/>
            <w:shd w:val="clear" w:color="auto" w:fill="auto"/>
            <w:vAlign w:val="center"/>
          </w:tcPr>
          <w:p w:rsidR="00FD5C06" w:rsidRPr="008B6152" w:rsidRDefault="00FD5C06" w:rsidP="0086641E">
            <w:pPr>
              <w:pStyle w:val="Tabletext"/>
              <w:keepNext/>
              <w:jc w:val="center"/>
              <w:rPr>
                <w:lang w:val="en-US"/>
              </w:rPr>
            </w:pPr>
            <w:r w:rsidRPr="008B6152">
              <w:rPr>
                <w:lang w:val="en-US"/>
              </w:rPr>
              <w:t>Change from baseline in HbA1c</w:t>
            </w:r>
            <w:r w:rsidR="00C75ACF" w:rsidRPr="008B6152">
              <w:rPr>
                <w:lang w:val="en-US"/>
              </w:rPr>
              <w:t>.</w:t>
            </w:r>
            <w:r w:rsidRPr="008B6152">
              <w:rPr>
                <w:lang w:val="en-US"/>
              </w:rPr>
              <w:t xml:space="preserve"> </w:t>
            </w:r>
          </w:p>
        </w:tc>
      </w:tr>
    </w:tbl>
    <w:p w:rsidR="00FD5C06" w:rsidRPr="008B6152" w:rsidRDefault="00FD5C06" w:rsidP="00FD5C06">
      <w:pPr>
        <w:pStyle w:val="TableFooter"/>
      </w:pPr>
      <w:r w:rsidRPr="008B6152">
        <w:t xml:space="preserve">Source: Table 3 of the 5.05 Insulin glargine with lixisenatide FRC March 2018 PSD </w:t>
      </w:r>
    </w:p>
    <w:p w:rsidR="00FD5C06" w:rsidRPr="008B6152" w:rsidRDefault="00FD5C06" w:rsidP="00FD5C06">
      <w:pPr>
        <w:pStyle w:val="TableFooter"/>
      </w:pPr>
      <w:r w:rsidRPr="008B6152">
        <w:t xml:space="preserve">FRC, fixed ratio combination; HbA1c, glycosylated haemoglobin, OAD, oral antidiabetic drugs, SMPG, self-monitored plasma glucose; FPG, fasting plasma glucose; EQ-5D, EuroQoL-5 dimensions-3 Levels; VAS, visual analogue scale; </w:t>
      </w:r>
      <w:r w:rsidRPr="008B6152">
        <w:rPr>
          <w:lang w:val="en-US"/>
        </w:rPr>
        <w:t xml:space="preserve">IWQoL-Lite, </w:t>
      </w:r>
      <w:r w:rsidRPr="008B6152">
        <w:t xml:space="preserve">Impact of Weight on Quality of Life-Lite; </w:t>
      </w:r>
      <w:r w:rsidRPr="008B6152">
        <w:rPr>
          <w:lang w:val="en-US"/>
        </w:rPr>
        <w:t xml:space="preserve">TRIM-D, </w:t>
      </w:r>
      <w:r w:rsidRPr="008B6152">
        <w:t>Treatment Related Impact Measure-Diabetes</w:t>
      </w:r>
    </w:p>
    <w:p w:rsidR="004A51BA" w:rsidRDefault="004A51BA" w:rsidP="00FD5C06"/>
    <w:p w:rsidR="00FD5C06" w:rsidRPr="00C9624D" w:rsidRDefault="00FD5C06" w:rsidP="00A54FDB">
      <w:pPr>
        <w:pStyle w:val="Heading2"/>
        <w:keepNext/>
        <w:keepLines/>
        <w:spacing w:before="240"/>
      </w:pPr>
      <w:bookmarkStart w:id="11" w:name="_Toc532891843"/>
      <w:bookmarkStart w:id="12" w:name="_Toc535856976"/>
      <w:r w:rsidRPr="00C9624D">
        <w:lastRenderedPageBreak/>
        <w:t>Comparative effectiveness</w:t>
      </w:r>
      <w:bookmarkEnd w:id="11"/>
      <w:bookmarkEnd w:id="12"/>
    </w:p>
    <w:p w:rsidR="00FD5C06" w:rsidRPr="008B6152" w:rsidRDefault="00FD5C06" w:rsidP="002122D8">
      <w:pPr>
        <w:pStyle w:val="ListParagraph"/>
        <w:keepNext/>
        <w:keepLines/>
        <w:widowControl/>
        <w:numPr>
          <w:ilvl w:val="1"/>
          <w:numId w:val="3"/>
        </w:numPr>
      </w:pPr>
      <w:r w:rsidRPr="008B6152">
        <w:rPr>
          <w:rFonts w:cs="Calibri"/>
          <w:snapToGrid/>
          <w:szCs w:val="24"/>
          <w:lang w:val="en-US" w:eastAsia="en-AU"/>
        </w:rPr>
        <w:t xml:space="preserve">The results of an indirect comparison between insulin glargine with lixisenatide FRC and insulin glargine plus exenatide, using the common reference of insulin glargine presented in the resubmission were identical to the results presented in the previous submission, and </w:t>
      </w:r>
      <w:r w:rsidR="000F4FE1" w:rsidRPr="008B6152">
        <w:rPr>
          <w:rFonts w:cs="Calibri"/>
          <w:snapToGrid/>
          <w:szCs w:val="24"/>
          <w:lang w:val="en-US" w:eastAsia="en-AU"/>
        </w:rPr>
        <w:t xml:space="preserve">these </w:t>
      </w:r>
      <w:r w:rsidRPr="008B6152">
        <w:rPr>
          <w:rFonts w:cs="Calibri"/>
          <w:snapToGrid/>
          <w:szCs w:val="24"/>
          <w:lang w:val="en-US" w:eastAsia="en-AU"/>
        </w:rPr>
        <w:t xml:space="preserve">are summarised </w:t>
      </w:r>
      <w:r w:rsidR="00215CF0" w:rsidRPr="008B6152">
        <w:rPr>
          <w:rFonts w:cs="Calibri"/>
          <w:snapToGrid/>
          <w:szCs w:val="24"/>
          <w:lang w:val="en-US" w:eastAsia="en-AU"/>
        </w:rPr>
        <w:t>in Table 5</w:t>
      </w:r>
      <w:r w:rsidRPr="008B6152">
        <w:rPr>
          <w:rFonts w:cs="Calibri"/>
          <w:snapToGrid/>
          <w:szCs w:val="24"/>
          <w:lang w:val="en-US" w:eastAsia="en-AU"/>
        </w:rPr>
        <w:t xml:space="preserve">. There was no statistically significant difference between the treatments for the primary outcome of change from baseline in HbA1c at 30 weeks or for patients reaching HbA1c targets of &lt;7% or ≤6.5% at 30 weeks. </w:t>
      </w:r>
    </w:p>
    <w:p w:rsidR="00FD5C06" w:rsidRPr="008B6152" w:rsidRDefault="0026778C" w:rsidP="0026778C">
      <w:pPr>
        <w:pStyle w:val="Caption"/>
        <w:spacing w:after="0"/>
        <w:rPr>
          <w:rFonts w:ascii="Arial Narrow" w:hAnsi="Arial Narrow"/>
          <w:color w:val="auto"/>
          <w:sz w:val="20"/>
          <w:szCs w:val="20"/>
        </w:rPr>
      </w:pPr>
      <w:bookmarkStart w:id="13" w:name="_Ref533086830"/>
      <w:r w:rsidRPr="008B6152">
        <w:rPr>
          <w:rFonts w:ascii="Arial Narrow" w:hAnsi="Arial Narrow"/>
          <w:color w:val="auto"/>
          <w:sz w:val="20"/>
          <w:szCs w:val="20"/>
        </w:rPr>
        <w:t xml:space="preserve">Table </w:t>
      </w:r>
      <w:r w:rsidR="00F86B96" w:rsidRPr="008B6152">
        <w:rPr>
          <w:rFonts w:ascii="Arial Narrow" w:hAnsi="Arial Narrow"/>
          <w:noProof/>
          <w:color w:val="auto"/>
          <w:sz w:val="20"/>
          <w:szCs w:val="20"/>
        </w:rPr>
        <w:t>5</w:t>
      </w:r>
      <w:bookmarkEnd w:id="13"/>
      <w:r w:rsidR="00FD5C06" w:rsidRPr="008B6152">
        <w:rPr>
          <w:rFonts w:ascii="Arial Narrow" w:hAnsi="Arial Narrow"/>
          <w:b w:val="0"/>
          <w:color w:val="auto"/>
          <w:sz w:val="20"/>
          <w:szCs w:val="20"/>
        </w:rPr>
        <w:t xml:space="preserve">: </w:t>
      </w:r>
      <w:r w:rsidR="00FD5C06" w:rsidRPr="008B6152">
        <w:rPr>
          <w:rFonts w:ascii="Arial Narrow" w:hAnsi="Arial Narrow"/>
          <w:color w:val="auto"/>
          <w:sz w:val="20"/>
          <w:szCs w:val="20"/>
        </w:rPr>
        <w:t>Indirect comparison of insulin glargine with lixisenatide FRC versus insulin glargine plus exenatide</w:t>
      </w:r>
    </w:p>
    <w:tbl>
      <w:tblPr>
        <w:tblStyle w:val="TableGrid"/>
        <w:tblW w:w="4976" w:type="pct"/>
        <w:jc w:val="center"/>
        <w:tblLook w:val="04A0" w:firstRow="1" w:lastRow="0" w:firstColumn="1" w:lastColumn="0" w:noHBand="0" w:noVBand="1"/>
        <w:tblCaption w:val="Table 5: Indirect comparison of insulin glargine with lixisenatide FRC versus insulin glargine plus exenatide"/>
      </w:tblPr>
      <w:tblGrid>
        <w:gridCol w:w="1590"/>
        <w:gridCol w:w="1847"/>
        <w:gridCol w:w="1847"/>
        <w:gridCol w:w="1847"/>
        <w:gridCol w:w="1843"/>
      </w:tblGrid>
      <w:tr w:rsidR="00FD5C06" w:rsidRPr="008B6152" w:rsidTr="00490292">
        <w:trPr>
          <w:trHeight w:val="757"/>
          <w:tblHeader/>
          <w:jc w:val="center"/>
        </w:trPr>
        <w:tc>
          <w:tcPr>
            <w:tcW w:w="886" w:type="pct"/>
            <w:shd w:val="clear" w:color="auto" w:fill="auto"/>
            <w:vAlign w:val="center"/>
          </w:tcPr>
          <w:p w:rsidR="00FD5C06" w:rsidRPr="008B6152" w:rsidRDefault="00FD5C06" w:rsidP="005E1B97">
            <w:pPr>
              <w:pStyle w:val="V50Instructions"/>
              <w:spacing w:before="0" w:after="0"/>
              <w:jc w:val="left"/>
              <w:rPr>
                <w:rFonts w:ascii="Arial Narrow" w:hAnsi="Arial Narrow"/>
                <w:b/>
                <w:color w:val="auto"/>
                <w:sz w:val="20"/>
                <w:szCs w:val="20"/>
              </w:rPr>
            </w:pPr>
            <w:r w:rsidRPr="008B6152">
              <w:rPr>
                <w:rFonts w:ascii="Arial Narrow" w:hAnsi="Arial Narrow"/>
                <w:b/>
                <w:color w:val="auto"/>
                <w:sz w:val="20"/>
                <w:szCs w:val="20"/>
              </w:rPr>
              <w:t>Trial</w:t>
            </w:r>
          </w:p>
        </w:tc>
        <w:tc>
          <w:tcPr>
            <w:tcW w:w="1029" w:type="pct"/>
            <w:shd w:val="clear" w:color="auto" w:fill="auto"/>
            <w:vAlign w:val="center"/>
          </w:tcPr>
          <w:p w:rsidR="00FD5C06" w:rsidRPr="008B6152" w:rsidRDefault="00FD5C06" w:rsidP="005E1B97">
            <w:pPr>
              <w:pStyle w:val="V50Instructions"/>
              <w:spacing w:before="0" w:after="0"/>
              <w:jc w:val="center"/>
              <w:rPr>
                <w:rFonts w:ascii="Arial Narrow" w:hAnsi="Arial Narrow"/>
                <w:b/>
                <w:color w:val="auto"/>
                <w:sz w:val="20"/>
                <w:szCs w:val="20"/>
              </w:rPr>
            </w:pPr>
            <w:r w:rsidRPr="008B6152">
              <w:rPr>
                <w:rFonts w:ascii="Arial Narrow" w:hAnsi="Arial Narrow"/>
                <w:b/>
                <w:color w:val="auto"/>
                <w:sz w:val="20"/>
                <w:szCs w:val="20"/>
              </w:rPr>
              <w:t>Insulin glargine with lixisenatide FRC</w:t>
            </w:r>
          </w:p>
        </w:tc>
        <w:tc>
          <w:tcPr>
            <w:tcW w:w="1029" w:type="pct"/>
            <w:shd w:val="clear" w:color="auto" w:fill="auto"/>
            <w:vAlign w:val="center"/>
          </w:tcPr>
          <w:p w:rsidR="00FD5C06" w:rsidRPr="008B6152" w:rsidRDefault="00FD5C06" w:rsidP="005E1B97">
            <w:pPr>
              <w:pStyle w:val="V50Instructions"/>
              <w:spacing w:before="0" w:after="0"/>
              <w:jc w:val="center"/>
              <w:rPr>
                <w:rFonts w:ascii="Arial Narrow" w:hAnsi="Arial Narrow"/>
                <w:b/>
                <w:color w:val="auto"/>
                <w:sz w:val="20"/>
                <w:szCs w:val="20"/>
              </w:rPr>
            </w:pPr>
            <w:r w:rsidRPr="008B6152">
              <w:rPr>
                <w:rFonts w:ascii="Arial Narrow" w:hAnsi="Arial Narrow"/>
                <w:b/>
                <w:color w:val="auto"/>
                <w:sz w:val="20"/>
                <w:szCs w:val="20"/>
              </w:rPr>
              <w:t>Common reference insulin glargine</w:t>
            </w:r>
          </w:p>
        </w:tc>
        <w:tc>
          <w:tcPr>
            <w:tcW w:w="1029" w:type="pct"/>
            <w:shd w:val="clear" w:color="auto" w:fill="auto"/>
            <w:vAlign w:val="center"/>
          </w:tcPr>
          <w:p w:rsidR="00FD5C06" w:rsidRPr="008B6152" w:rsidRDefault="00FD5C06" w:rsidP="005E1B97">
            <w:pPr>
              <w:pStyle w:val="V50Instructions"/>
              <w:spacing w:before="0" w:after="0"/>
              <w:jc w:val="center"/>
              <w:rPr>
                <w:rFonts w:ascii="Arial Narrow" w:hAnsi="Arial Narrow"/>
                <w:b/>
                <w:color w:val="auto"/>
                <w:sz w:val="20"/>
                <w:szCs w:val="20"/>
              </w:rPr>
            </w:pPr>
            <w:r w:rsidRPr="008B6152">
              <w:rPr>
                <w:rFonts w:ascii="Arial Narrow" w:hAnsi="Arial Narrow"/>
                <w:b/>
                <w:color w:val="auto"/>
                <w:sz w:val="20"/>
                <w:szCs w:val="20"/>
              </w:rPr>
              <w:t>Insulin glargine plus exenatide</w:t>
            </w:r>
          </w:p>
        </w:tc>
        <w:tc>
          <w:tcPr>
            <w:tcW w:w="1027" w:type="pct"/>
            <w:shd w:val="clear" w:color="auto" w:fill="auto"/>
            <w:vAlign w:val="center"/>
          </w:tcPr>
          <w:p w:rsidR="00FD5C06" w:rsidRPr="008B6152" w:rsidRDefault="00FD5C06" w:rsidP="00486EE4">
            <w:pPr>
              <w:pStyle w:val="V50Instructions"/>
              <w:spacing w:before="0" w:after="0"/>
              <w:jc w:val="center"/>
              <w:rPr>
                <w:rFonts w:ascii="Arial Narrow" w:hAnsi="Arial Narrow"/>
                <w:b/>
                <w:color w:val="auto"/>
                <w:sz w:val="20"/>
                <w:szCs w:val="20"/>
              </w:rPr>
            </w:pPr>
            <w:r w:rsidRPr="008B6152">
              <w:rPr>
                <w:rFonts w:ascii="Arial Narrow" w:hAnsi="Arial Narrow"/>
                <w:b/>
                <w:color w:val="auto"/>
                <w:sz w:val="20"/>
                <w:szCs w:val="20"/>
              </w:rPr>
              <w:t>Treatment difference</w:t>
            </w:r>
            <w:r w:rsidR="00486EE4" w:rsidRPr="008B6152">
              <w:rPr>
                <w:rFonts w:ascii="Arial Narrow" w:hAnsi="Arial Narrow"/>
                <w:b/>
                <w:color w:val="auto"/>
                <w:sz w:val="20"/>
                <w:szCs w:val="20"/>
              </w:rPr>
              <w:t xml:space="preserve"> </w:t>
            </w:r>
            <w:r w:rsidRPr="008B6152">
              <w:rPr>
                <w:rFonts w:ascii="Arial Narrow" w:hAnsi="Arial Narrow"/>
                <w:b/>
                <w:color w:val="auto"/>
                <w:sz w:val="20"/>
                <w:szCs w:val="20"/>
              </w:rPr>
              <w:t>(95% CI)</w:t>
            </w:r>
          </w:p>
        </w:tc>
      </w:tr>
      <w:tr w:rsidR="00FD5C06" w:rsidRPr="008B6152" w:rsidTr="00490292">
        <w:trPr>
          <w:trHeight w:val="245"/>
          <w:jc w:val="center"/>
        </w:trPr>
        <w:tc>
          <w:tcPr>
            <w:tcW w:w="5000" w:type="pct"/>
            <w:gridSpan w:val="5"/>
            <w:shd w:val="clear" w:color="auto" w:fill="auto"/>
            <w:vAlign w:val="center"/>
          </w:tcPr>
          <w:p w:rsidR="00FD5C06" w:rsidRPr="008B6152" w:rsidRDefault="00FD5C06" w:rsidP="005E1B97">
            <w:pPr>
              <w:pStyle w:val="V50Instructions"/>
              <w:spacing w:before="0" w:after="0"/>
              <w:jc w:val="left"/>
              <w:rPr>
                <w:rFonts w:ascii="Arial Narrow" w:hAnsi="Arial Narrow"/>
                <w:b/>
                <w:color w:val="auto"/>
                <w:sz w:val="20"/>
                <w:szCs w:val="20"/>
              </w:rPr>
            </w:pPr>
            <w:r w:rsidRPr="008B6152">
              <w:rPr>
                <w:rFonts w:ascii="Arial Narrow" w:hAnsi="Arial Narrow"/>
                <w:b/>
                <w:color w:val="auto"/>
                <w:sz w:val="20"/>
                <w:szCs w:val="20"/>
              </w:rPr>
              <w:t>Change from baseline in HbA1c at 30 weeks LSM (SE)</w:t>
            </w:r>
          </w:p>
        </w:tc>
      </w:tr>
      <w:tr w:rsidR="00FD5C06" w:rsidRPr="008B6152" w:rsidTr="00490292">
        <w:trPr>
          <w:trHeight w:val="490"/>
          <w:jc w:val="center"/>
        </w:trPr>
        <w:tc>
          <w:tcPr>
            <w:tcW w:w="886" w:type="pct"/>
            <w:shd w:val="clear" w:color="auto" w:fill="auto"/>
            <w:vAlign w:val="center"/>
          </w:tcPr>
          <w:p w:rsidR="00FD5C06" w:rsidRPr="008B6152" w:rsidRDefault="00FD5C06" w:rsidP="005E1B97">
            <w:pPr>
              <w:pStyle w:val="V50Instructions"/>
              <w:spacing w:before="0" w:after="0"/>
              <w:jc w:val="left"/>
              <w:rPr>
                <w:rFonts w:ascii="Arial Narrow" w:hAnsi="Arial Narrow"/>
                <w:color w:val="auto"/>
                <w:sz w:val="20"/>
                <w:szCs w:val="20"/>
              </w:rPr>
            </w:pPr>
            <w:r w:rsidRPr="008B6152">
              <w:rPr>
                <w:rFonts w:ascii="Arial Narrow" w:hAnsi="Arial Narrow"/>
                <w:color w:val="auto"/>
                <w:sz w:val="20"/>
                <w:szCs w:val="20"/>
              </w:rPr>
              <w:t>LIXILAN-L</w:t>
            </w:r>
          </w:p>
        </w:tc>
        <w:tc>
          <w:tcPr>
            <w:tcW w:w="1029" w:type="pct"/>
            <w:shd w:val="clear" w:color="auto" w:fill="auto"/>
            <w:vAlign w:val="center"/>
          </w:tcPr>
          <w:p w:rsidR="00FD5C06" w:rsidRPr="008B6152" w:rsidRDefault="00FD5C06" w:rsidP="005E1B97">
            <w:pPr>
              <w:pStyle w:val="V50Instructions"/>
              <w:spacing w:before="0" w:after="0"/>
              <w:jc w:val="center"/>
              <w:rPr>
                <w:rFonts w:ascii="Arial Narrow" w:hAnsi="Arial Narrow"/>
                <w:color w:val="auto"/>
                <w:sz w:val="20"/>
                <w:szCs w:val="20"/>
              </w:rPr>
            </w:pPr>
            <w:r w:rsidRPr="008B6152">
              <w:rPr>
                <w:rFonts w:ascii="Arial Narrow" w:hAnsi="Arial Narrow"/>
                <w:color w:val="auto"/>
                <w:sz w:val="20"/>
                <w:szCs w:val="20"/>
              </w:rPr>
              <w:t>-1.13% (0.06)</w:t>
            </w:r>
          </w:p>
          <w:p w:rsidR="00FD5C06" w:rsidRPr="008B6152" w:rsidRDefault="00FD5C06" w:rsidP="005E1B97">
            <w:pPr>
              <w:pStyle w:val="V50Instructions"/>
              <w:spacing w:before="0" w:after="0"/>
              <w:jc w:val="center"/>
              <w:rPr>
                <w:rFonts w:ascii="Arial Narrow" w:hAnsi="Arial Narrow"/>
                <w:color w:val="auto"/>
                <w:sz w:val="20"/>
                <w:szCs w:val="20"/>
              </w:rPr>
            </w:pPr>
            <w:r w:rsidRPr="008B6152">
              <w:rPr>
                <w:rFonts w:ascii="Arial Narrow" w:hAnsi="Arial Narrow"/>
                <w:color w:val="auto"/>
                <w:sz w:val="20"/>
                <w:szCs w:val="20"/>
              </w:rPr>
              <w:t>N=364</w:t>
            </w:r>
          </w:p>
        </w:tc>
        <w:tc>
          <w:tcPr>
            <w:tcW w:w="1029" w:type="pct"/>
            <w:shd w:val="clear" w:color="auto" w:fill="auto"/>
            <w:vAlign w:val="center"/>
          </w:tcPr>
          <w:p w:rsidR="00FD5C06" w:rsidRPr="008B6152" w:rsidRDefault="00FD5C06" w:rsidP="005E1B97">
            <w:pPr>
              <w:pStyle w:val="V50Instructions"/>
              <w:spacing w:before="0" w:after="0"/>
              <w:jc w:val="center"/>
              <w:rPr>
                <w:rFonts w:ascii="Arial Narrow" w:hAnsi="Arial Narrow"/>
                <w:color w:val="auto"/>
                <w:sz w:val="20"/>
                <w:szCs w:val="20"/>
              </w:rPr>
            </w:pPr>
            <w:r w:rsidRPr="008B6152">
              <w:rPr>
                <w:rFonts w:ascii="Arial Narrow" w:hAnsi="Arial Narrow"/>
                <w:color w:val="auto"/>
                <w:sz w:val="20"/>
                <w:szCs w:val="20"/>
              </w:rPr>
              <w:t>-0.62% (0.06)</w:t>
            </w:r>
          </w:p>
          <w:p w:rsidR="00FD5C06" w:rsidRPr="008B6152" w:rsidRDefault="00FD5C06" w:rsidP="005E1B97">
            <w:pPr>
              <w:pStyle w:val="V50Instructions"/>
              <w:spacing w:before="0" w:after="0"/>
              <w:jc w:val="center"/>
              <w:rPr>
                <w:rFonts w:ascii="Arial Narrow" w:hAnsi="Arial Narrow"/>
                <w:color w:val="auto"/>
                <w:sz w:val="20"/>
                <w:szCs w:val="20"/>
              </w:rPr>
            </w:pPr>
            <w:r w:rsidRPr="008B6152">
              <w:rPr>
                <w:rFonts w:ascii="Arial Narrow" w:hAnsi="Arial Narrow"/>
                <w:color w:val="auto"/>
                <w:sz w:val="20"/>
                <w:szCs w:val="20"/>
              </w:rPr>
              <w:t>N=364</w:t>
            </w:r>
          </w:p>
        </w:tc>
        <w:tc>
          <w:tcPr>
            <w:tcW w:w="1029" w:type="pct"/>
            <w:shd w:val="clear" w:color="auto" w:fill="auto"/>
            <w:vAlign w:val="center"/>
          </w:tcPr>
          <w:p w:rsidR="00FD5C06" w:rsidRPr="008B6152" w:rsidRDefault="00FD5C06" w:rsidP="005E1B97">
            <w:pPr>
              <w:pStyle w:val="V50Instructions"/>
              <w:spacing w:before="0" w:after="0"/>
              <w:jc w:val="center"/>
              <w:rPr>
                <w:rFonts w:ascii="Arial Narrow" w:hAnsi="Arial Narrow"/>
                <w:color w:val="auto"/>
                <w:sz w:val="20"/>
                <w:szCs w:val="20"/>
              </w:rPr>
            </w:pPr>
            <w:r w:rsidRPr="008B6152">
              <w:rPr>
                <w:rFonts w:ascii="Arial Narrow" w:hAnsi="Arial Narrow"/>
                <w:color w:val="auto"/>
                <w:sz w:val="20"/>
                <w:szCs w:val="20"/>
              </w:rPr>
              <w:t>-</w:t>
            </w:r>
          </w:p>
        </w:tc>
        <w:tc>
          <w:tcPr>
            <w:tcW w:w="1027" w:type="pct"/>
            <w:shd w:val="clear" w:color="auto" w:fill="auto"/>
            <w:vAlign w:val="center"/>
          </w:tcPr>
          <w:p w:rsidR="00FD5C06" w:rsidRPr="008B6152" w:rsidRDefault="00FD5C06" w:rsidP="005E1B97">
            <w:pPr>
              <w:pStyle w:val="V50Instructions"/>
              <w:spacing w:before="0" w:after="0"/>
              <w:jc w:val="center"/>
              <w:rPr>
                <w:rFonts w:ascii="Arial Narrow" w:hAnsi="Arial Narrow"/>
                <w:color w:val="auto"/>
                <w:sz w:val="20"/>
                <w:szCs w:val="20"/>
              </w:rPr>
            </w:pPr>
            <w:r w:rsidRPr="008B6152">
              <w:rPr>
                <w:rFonts w:ascii="Arial Narrow" w:hAnsi="Arial Narrow"/>
                <w:color w:val="auto"/>
                <w:sz w:val="20"/>
                <w:szCs w:val="20"/>
              </w:rPr>
              <w:t>-0.52% (-0.63, -0.40)</w:t>
            </w:r>
          </w:p>
        </w:tc>
      </w:tr>
      <w:tr w:rsidR="00FD5C06" w:rsidRPr="008B6152" w:rsidTr="00490292">
        <w:trPr>
          <w:trHeight w:val="426"/>
          <w:jc w:val="center"/>
        </w:trPr>
        <w:tc>
          <w:tcPr>
            <w:tcW w:w="886" w:type="pct"/>
            <w:shd w:val="clear" w:color="auto" w:fill="auto"/>
            <w:vAlign w:val="center"/>
          </w:tcPr>
          <w:p w:rsidR="00FD5C06" w:rsidRPr="008B6152" w:rsidRDefault="00FD5C06" w:rsidP="005E1B97">
            <w:pPr>
              <w:pStyle w:val="V50Instructions"/>
              <w:spacing w:before="0" w:after="0"/>
              <w:jc w:val="left"/>
              <w:rPr>
                <w:rFonts w:ascii="Arial Narrow" w:hAnsi="Arial Narrow"/>
                <w:color w:val="auto"/>
                <w:sz w:val="20"/>
                <w:szCs w:val="20"/>
              </w:rPr>
            </w:pPr>
            <w:r w:rsidRPr="008B6152">
              <w:rPr>
                <w:rFonts w:ascii="Arial Narrow" w:hAnsi="Arial Narrow"/>
                <w:color w:val="auto"/>
                <w:sz w:val="20"/>
                <w:szCs w:val="20"/>
              </w:rPr>
              <w:t>GWCO</w:t>
            </w:r>
          </w:p>
        </w:tc>
        <w:tc>
          <w:tcPr>
            <w:tcW w:w="1029" w:type="pct"/>
            <w:shd w:val="clear" w:color="auto" w:fill="auto"/>
            <w:vAlign w:val="center"/>
          </w:tcPr>
          <w:p w:rsidR="00FD5C06" w:rsidRPr="008B6152" w:rsidRDefault="00FD5C06" w:rsidP="005E1B97">
            <w:pPr>
              <w:pStyle w:val="V50Instructions"/>
              <w:spacing w:before="0" w:after="0"/>
              <w:jc w:val="center"/>
              <w:rPr>
                <w:rFonts w:ascii="Arial Narrow" w:hAnsi="Arial Narrow"/>
                <w:color w:val="auto"/>
                <w:sz w:val="20"/>
                <w:szCs w:val="20"/>
              </w:rPr>
            </w:pPr>
            <w:r w:rsidRPr="008B6152">
              <w:rPr>
                <w:rFonts w:ascii="Arial Narrow" w:hAnsi="Arial Narrow"/>
                <w:color w:val="auto"/>
                <w:sz w:val="20"/>
                <w:szCs w:val="20"/>
              </w:rPr>
              <w:t>-</w:t>
            </w:r>
          </w:p>
        </w:tc>
        <w:tc>
          <w:tcPr>
            <w:tcW w:w="1029" w:type="pct"/>
            <w:shd w:val="clear" w:color="auto" w:fill="auto"/>
            <w:vAlign w:val="center"/>
          </w:tcPr>
          <w:p w:rsidR="00FD5C06" w:rsidRPr="008B6152" w:rsidRDefault="00FD5C06" w:rsidP="005E1B97">
            <w:pPr>
              <w:pStyle w:val="V50Instructions"/>
              <w:spacing w:before="0" w:after="0"/>
              <w:jc w:val="center"/>
              <w:rPr>
                <w:rFonts w:ascii="Arial Narrow" w:hAnsi="Arial Narrow"/>
                <w:color w:val="auto"/>
                <w:sz w:val="20"/>
                <w:szCs w:val="20"/>
              </w:rPr>
            </w:pPr>
            <w:r w:rsidRPr="008B6152">
              <w:rPr>
                <w:rFonts w:ascii="Arial Narrow" w:hAnsi="Arial Narrow"/>
                <w:color w:val="auto"/>
                <w:sz w:val="20"/>
                <w:szCs w:val="20"/>
              </w:rPr>
              <w:t>-1.04% (NR)</w:t>
            </w:r>
          </w:p>
          <w:p w:rsidR="00FD5C06" w:rsidRPr="008B6152" w:rsidRDefault="00FD5C06" w:rsidP="005E1B97">
            <w:pPr>
              <w:pStyle w:val="V50Instructions"/>
              <w:spacing w:before="0" w:after="0"/>
              <w:jc w:val="center"/>
              <w:rPr>
                <w:rFonts w:ascii="Arial Narrow" w:hAnsi="Arial Narrow"/>
                <w:color w:val="auto"/>
                <w:sz w:val="20"/>
                <w:szCs w:val="20"/>
              </w:rPr>
            </w:pPr>
            <w:r w:rsidRPr="008B6152">
              <w:rPr>
                <w:rFonts w:ascii="Arial Narrow" w:hAnsi="Arial Narrow"/>
                <w:color w:val="auto"/>
                <w:sz w:val="20"/>
                <w:szCs w:val="20"/>
              </w:rPr>
              <w:t>N=122</w:t>
            </w:r>
          </w:p>
        </w:tc>
        <w:tc>
          <w:tcPr>
            <w:tcW w:w="1029" w:type="pct"/>
            <w:shd w:val="clear" w:color="auto" w:fill="auto"/>
            <w:vAlign w:val="center"/>
          </w:tcPr>
          <w:p w:rsidR="00FD5C06" w:rsidRPr="008B6152" w:rsidRDefault="00FD5C06" w:rsidP="005E1B97">
            <w:pPr>
              <w:pStyle w:val="V50Instructions"/>
              <w:spacing w:before="0" w:after="0"/>
              <w:jc w:val="center"/>
              <w:rPr>
                <w:rFonts w:ascii="Arial Narrow" w:hAnsi="Arial Narrow"/>
                <w:color w:val="auto"/>
                <w:sz w:val="20"/>
                <w:szCs w:val="20"/>
              </w:rPr>
            </w:pPr>
            <w:r w:rsidRPr="008B6152">
              <w:rPr>
                <w:rFonts w:ascii="Arial Narrow" w:hAnsi="Arial Narrow"/>
                <w:color w:val="auto"/>
                <w:sz w:val="20"/>
                <w:szCs w:val="20"/>
              </w:rPr>
              <w:t>-1.74% (NR)</w:t>
            </w:r>
          </w:p>
          <w:p w:rsidR="00FD5C06" w:rsidRPr="008B6152" w:rsidRDefault="00FD5C06" w:rsidP="005E1B97">
            <w:pPr>
              <w:pStyle w:val="V50Instructions"/>
              <w:spacing w:before="0" w:after="0"/>
              <w:jc w:val="center"/>
              <w:rPr>
                <w:rFonts w:ascii="Arial Narrow" w:hAnsi="Arial Narrow"/>
                <w:color w:val="auto"/>
                <w:sz w:val="20"/>
                <w:szCs w:val="20"/>
              </w:rPr>
            </w:pPr>
            <w:r w:rsidRPr="008B6152">
              <w:rPr>
                <w:rFonts w:ascii="Arial Narrow" w:hAnsi="Arial Narrow"/>
                <w:color w:val="auto"/>
                <w:sz w:val="20"/>
                <w:szCs w:val="20"/>
              </w:rPr>
              <w:t>N=137</w:t>
            </w:r>
          </w:p>
        </w:tc>
        <w:tc>
          <w:tcPr>
            <w:tcW w:w="1027" w:type="pct"/>
            <w:shd w:val="clear" w:color="auto" w:fill="auto"/>
            <w:vAlign w:val="center"/>
          </w:tcPr>
          <w:p w:rsidR="00FD5C06" w:rsidRPr="008B6152" w:rsidRDefault="00FD5C06" w:rsidP="005E1B97">
            <w:pPr>
              <w:pStyle w:val="V50Instructions"/>
              <w:spacing w:before="0" w:after="0"/>
              <w:jc w:val="center"/>
              <w:rPr>
                <w:rFonts w:ascii="Arial Narrow" w:hAnsi="Arial Narrow"/>
                <w:color w:val="auto"/>
                <w:sz w:val="20"/>
                <w:szCs w:val="20"/>
              </w:rPr>
            </w:pPr>
            <w:r w:rsidRPr="008B6152">
              <w:rPr>
                <w:rFonts w:ascii="Arial Narrow" w:hAnsi="Arial Narrow"/>
                <w:color w:val="auto"/>
                <w:sz w:val="20"/>
                <w:szCs w:val="20"/>
              </w:rPr>
              <w:t>-0.69% (-0.93, -0.46)</w:t>
            </w:r>
          </w:p>
        </w:tc>
      </w:tr>
      <w:tr w:rsidR="00FD5C06" w:rsidRPr="008B6152" w:rsidTr="00490292">
        <w:trPr>
          <w:trHeight w:val="465"/>
          <w:jc w:val="center"/>
        </w:trPr>
        <w:tc>
          <w:tcPr>
            <w:tcW w:w="3973" w:type="pct"/>
            <w:gridSpan w:val="4"/>
            <w:shd w:val="clear" w:color="auto" w:fill="auto"/>
            <w:vAlign w:val="center"/>
          </w:tcPr>
          <w:p w:rsidR="00FD5C06" w:rsidRPr="008B6152" w:rsidRDefault="00FD5C06" w:rsidP="005E1B97">
            <w:pPr>
              <w:pStyle w:val="V50Instructions"/>
              <w:spacing w:before="0" w:after="0"/>
              <w:jc w:val="right"/>
              <w:rPr>
                <w:rFonts w:ascii="Arial Narrow" w:hAnsi="Arial Narrow"/>
                <w:b/>
                <w:color w:val="auto"/>
                <w:sz w:val="20"/>
                <w:szCs w:val="20"/>
              </w:rPr>
            </w:pPr>
            <w:r w:rsidRPr="008B6152">
              <w:rPr>
                <w:rFonts w:ascii="Arial Narrow" w:hAnsi="Arial Narrow"/>
                <w:b/>
                <w:color w:val="auto"/>
                <w:sz w:val="20"/>
                <w:szCs w:val="20"/>
              </w:rPr>
              <w:t xml:space="preserve">Indirect WMD, 95% CI ( result &lt;0 favours FRC) </w:t>
            </w:r>
          </w:p>
        </w:tc>
        <w:tc>
          <w:tcPr>
            <w:tcW w:w="1027" w:type="pct"/>
            <w:shd w:val="clear" w:color="auto" w:fill="auto"/>
            <w:vAlign w:val="center"/>
          </w:tcPr>
          <w:p w:rsidR="00FD5C06" w:rsidRPr="008B6152" w:rsidRDefault="00FD5C06" w:rsidP="005E1B97">
            <w:pPr>
              <w:pStyle w:val="V50Instructions"/>
              <w:spacing w:before="0" w:after="0"/>
              <w:jc w:val="center"/>
              <w:rPr>
                <w:rFonts w:ascii="Arial Narrow" w:hAnsi="Arial Narrow"/>
                <w:b/>
                <w:color w:val="auto"/>
                <w:sz w:val="20"/>
                <w:szCs w:val="20"/>
              </w:rPr>
            </w:pPr>
            <w:r w:rsidRPr="008B6152">
              <w:rPr>
                <w:rFonts w:ascii="Arial Narrow" w:hAnsi="Arial Narrow"/>
                <w:b/>
                <w:color w:val="auto"/>
                <w:sz w:val="20"/>
                <w:szCs w:val="20"/>
              </w:rPr>
              <w:t>0.17% (-0.09, 0.43)</w:t>
            </w:r>
          </w:p>
        </w:tc>
      </w:tr>
    </w:tbl>
    <w:p w:rsidR="00FD5C06" w:rsidRPr="008B6152" w:rsidRDefault="00FD5C06" w:rsidP="00FD5C06">
      <w:pPr>
        <w:pStyle w:val="TableFooter"/>
      </w:pPr>
      <w:r w:rsidRPr="008B6152">
        <w:t>Source: Table 2.6.4, p127 of the resubmission</w:t>
      </w:r>
    </w:p>
    <w:p w:rsidR="00FD5C06" w:rsidRDefault="00FD5C06" w:rsidP="0086641E">
      <w:pPr>
        <w:pStyle w:val="TableFooter"/>
      </w:pPr>
      <w:r w:rsidRPr="008B6152">
        <w:t>HbA1c, glycosylated haemoglobin; LSM, least squares mean; SE, standard error; FRC, fixed ratio combination; CI, confidence interval; WMD, weighted mean difference</w:t>
      </w:r>
    </w:p>
    <w:p w:rsidR="0086641E" w:rsidRDefault="0086641E" w:rsidP="0086641E"/>
    <w:p w:rsidR="00FD5C06" w:rsidRPr="008B6152" w:rsidRDefault="00FD5C06" w:rsidP="0086641E">
      <w:pPr>
        <w:pStyle w:val="ListParagraph"/>
        <w:widowControl/>
        <w:numPr>
          <w:ilvl w:val="1"/>
          <w:numId w:val="3"/>
        </w:numPr>
        <w:rPr>
          <w:rFonts w:cs="Calibri"/>
          <w:snapToGrid/>
          <w:szCs w:val="24"/>
          <w:lang w:val="en-US" w:eastAsia="en-AU"/>
        </w:rPr>
      </w:pPr>
      <w:r w:rsidRPr="008B6152">
        <w:t xml:space="preserve">In its </w:t>
      </w:r>
      <w:r w:rsidR="009E4696">
        <w:t xml:space="preserve">previous </w:t>
      </w:r>
      <w:r w:rsidRPr="008B6152">
        <w:t xml:space="preserve">consideration of this analysis, the PBAC noted </w:t>
      </w:r>
      <w:r w:rsidR="00EA4AE8">
        <w:t>‘</w:t>
      </w:r>
      <w:r w:rsidRPr="008B6152">
        <w:t>t</w:t>
      </w:r>
      <w:r w:rsidRPr="008B6152">
        <w:rPr>
          <w:rFonts w:cs="Calibri"/>
          <w:snapToGrid/>
          <w:szCs w:val="24"/>
          <w:lang w:val="en-US" w:eastAsia="en-AU"/>
        </w:rPr>
        <w:t>here was no statistically significant difference between insulin glargine with lixisenatide FRC and insulin glargine plus exenatide for change from baseline in HbA1c at 30 weeks, with a weighted mean difference of 0.17% (95% CI: -0.09, 0.43), however as the upper 95% confidence limit exceeded the nominated non-inferiority margin of 0.3% to 0.4%, non-inferiority was not demonstrated</w:t>
      </w:r>
      <w:r w:rsidR="00EA4AE8">
        <w:rPr>
          <w:rFonts w:cs="Calibri"/>
          <w:snapToGrid/>
          <w:szCs w:val="24"/>
          <w:lang w:val="en-US" w:eastAsia="en-AU"/>
        </w:rPr>
        <w:t>’</w:t>
      </w:r>
      <w:r w:rsidRPr="008B6152">
        <w:rPr>
          <w:rFonts w:cs="Calibri"/>
          <w:snapToGrid/>
          <w:szCs w:val="24"/>
          <w:lang w:val="en-US" w:eastAsia="en-AU"/>
        </w:rPr>
        <w:t xml:space="preserve"> (</w:t>
      </w:r>
      <w:r w:rsidRPr="008B6152">
        <w:t>5.05 Insulin glargine with lixisenatide</w:t>
      </w:r>
      <w:r w:rsidR="00416D72">
        <w:t>,</w:t>
      </w:r>
      <w:r w:rsidRPr="008B6152">
        <w:t xml:space="preserve"> March 2018</w:t>
      </w:r>
      <w:r w:rsidR="00E022F2">
        <w:t xml:space="preserve"> PBAC Meeting</w:t>
      </w:r>
      <w:r w:rsidRPr="008B6152">
        <w:t xml:space="preserve"> PSD</w:t>
      </w:r>
      <w:r w:rsidR="00416D72">
        <w:t xml:space="preserve">, </w:t>
      </w:r>
      <w:r w:rsidR="00416D72">
        <w:rPr>
          <w:rFonts w:cs="Calibri"/>
          <w:snapToGrid/>
          <w:szCs w:val="24"/>
          <w:lang w:val="en-US" w:eastAsia="en-AU"/>
        </w:rPr>
        <w:t>paragraph 7.6</w:t>
      </w:r>
      <w:r w:rsidRPr="008B6152">
        <w:rPr>
          <w:rFonts w:cs="Calibri"/>
          <w:snapToGrid/>
          <w:szCs w:val="24"/>
          <w:lang w:val="en-US" w:eastAsia="en-AU"/>
        </w:rPr>
        <w:t>).</w:t>
      </w:r>
      <w:r w:rsidR="0031604C" w:rsidRPr="008B6152">
        <w:rPr>
          <w:rFonts w:cs="Calibri"/>
          <w:snapToGrid/>
          <w:szCs w:val="24"/>
          <w:lang w:val="en-US" w:eastAsia="en-AU"/>
        </w:rPr>
        <w:t xml:space="preserve"> </w:t>
      </w:r>
    </w:p>
    <w:p w:rsidR="00FD5C06" w:rsidRPr="00763DEA" w:rsidRDefault="00FD5C06" w:rsidP="007A6B8F">
      <w:pPr>
        <w:pStyle w:val="ListParagraph"/>
        <w:keepNext/>
        <w:widowControl/>
        <w:numPr>
          <w:ilvl w:val="1"/>
          <w:numId w:val="3"/>
        </w:numPr>
        <w:rPr>
          <w:snapToGrid/>
          <w:lang w:val="en-US" w:eastAsia="en-AU"/>
        </w:rPr>
      </w:pPr>
      <w:r w:rsidRPr="00763DEA">
        <w:rPr>
          <w:rFonts w:cs="Calibri"/>
          <w:snapToGrid/>
          <w:szCs w:val="24"/>
          <w:lang w:val="en-US" w:eastAsia="en-AU"/>
        </w:rPr>
        <w:t xml:space="preserve">The resubmission argued that the weighted mean difference of 0.17 for the change from baseline in HbA1c at 30 weeks was similar to the value of 0.16 (-0.11, 0.43) for dapagliflozin compared to insulin glargine </w:t>
      </w:r>
      <w:r w:rsidR="00F35179" w:rsidRPr="00763DEA">
        <w:rPr>
          <w:rFonts w:cs="Calibri"/>
          <w:snapToGrid/>
          <w:szCs w:val="24"/>
          <w:lang w:val="en-US" w:eastAsia="en-AU"/>
        </w:rPr>
        <w:t xml:space="preserve">that was considered </w:t>
      </w:r>
      <w:r w:rsidRPr="00763DEA">
        <w:rPr>
          <w:rFonts w:cs="Calibri"/>
          <w:snapToGrid/>
          <w:szCs w:val="24"/>
          <w:lang w:val="en-US" w:eastAsia="en-AU"/>
        </w:rPr>
        <w:t xml:space="preserve">at the March 2015 </w:t>
      </w:r>
      <w:r w:rsidR="00F35179" w:rsidRPr="00763DEA">
        <w:rPr>
          <w:rFonts w:cs="Calibri"/>
          <w:snapToGrid/>
          <w:szCs w:val="24"/>
          <w:lang w:val="en-US" w:eastAsia="en-AU"/>
        </w:rPr>
        <w:t xml:space="preserve">PBAC </w:t>
      </w:r>
      <w:r w:rsidRPr="00763DEA">
        <w:rPr>
          <w:rFonts w:cs="Calibri"/>
          <w:snapToGrid/>
          <w:szCs w:val="24"/>
          <w:lang w:val="en-US" w:eastAsia="en-AU"/>
        </w:rPr>
        <w:t>meeting.</w:t>
      </w:r>
      <w:r w:rsidR="0031604C" w:rsidRPr="00763DEA">
        <w:rPr>
          <w:rFonts w:cs="Calibri"/>
          <w:snapToGrid/>
          <w:szCs w:val="24"/>
          <w:lang w:val="en-US" w:eastAsia="en-AU"/>
        </w:rPr>
        <w:t xml:space="preserve"> </w:t>
      </w:r>
      <w:r w:rsidR="00F35179" w:rsidRPr="00763DEA">
        <w:rPr>
          <w:rFonts w:cs="Calibri"/>
          <w:snapToGrid/>
          <w:szCs w:val="24"/>
          <w:lang w:val="en-US" w:eastAsia="en-AU"/>
        </w:rPr>
        <w:t>At th</w:t>
      </w:r>
      <w:r w:rsidR="00E92133" w:rsidRPr="00763DEA">
        <w:rPr>
          <w:rFonts w:cs="Calibri"/>
          <w:snapToGrid/>
          <w:szCs w:val="24"/>
          <w:lang w:val="en-US" w:eastAsia="en-AU"/>
        </w:rPr>
        <w:t>at</w:t>
      </w:r>
      <w:r w:rsidR="00F35179" w:rsidRPr="00763DEA">
        <w:rPr>
          <w:rFonts w:cs="Calibri"/>
          <w:snapToGrid/>
          <w:szCs w:val="24"/>
          <w:lang w:val="en-US" w:eastAsia="en-AU"/>
        </w:rPr>
        <w:t xml:space="preserve"> meeting, t</w:t>
      </w:r>
      <w:r w:rsidRPr="00763DEA">
        <w:rPr>
          <w:rFonts w:cs="Calibri"/>
          <w:snapToGrid/>
          <w:szCs w:val="24"/>
          <w:lang w:val="en-US" w:eastAsia="en-AU"/>
        </w:rPr>
        <w:t>he PBAC accepted that dapagliflozin was non-inferior to insulin glargine despite the fact that it failed to meet the non-inferiority margin of 0.4%, stating that there was a clinical need for oral triple therapy to avoid injections</w:t>
      </w:r>
      <w:r w:rsidR="00B5359E" w:rsidRPr="00763DEA">
        <w:rPr>
          <w:rFonts w:cs="Calibri"/>
          <w:snapToGrid/>
          <w:szCs w:val="24"/>
          <w:lang w:val="en-US" w:eastAsia="en-AU"/>
        </w:rPr>
        <w:t xml:space="preserve"> (altogether)</w:t>
      </w:r>
      <w:r w:rsidRPr="00763DEA">
        <w:rPr>
          <w:rFonts w:cs="Calibri"/>
          <w:snapToGrid/>
          <w:szCs w:val="24"/>
          <w:lang w:val="en-US" w:eastAsia="en-AU"/>
        </w:rPr>
        <w:t>, and also that the upper CI of 0.43 approached non-inferiority.</w:t>
      </w:r>
      <w:r w:rsidR="0031604C" w:rsidRPr="00763DEA">
        <w:rPr>
          <w:rFonts w:cs="Calibri"/>
          <w:snapToGrid/>
          <w:szCs w:val="24"/>
          <w:lang w:val="en-US" w:eastAsia="en-AU"/>
        </w:rPr>
        <w:t xml:space="preserve"> </w:t>
      </w:r>
      <w:r w:rsidRPr="00763DEA">
        <w:rPr>
          <w:rFonts w:cs="Calibri"/>
          <w:snapToGrid/>
          <w:szCs w:val="24"/>
          <w:lang w:val="en-US" w:eastAsia="en-AU"/>
        </w:rPr>
        <w:t xml:space="preserve">Therefore, the resubmission argued that there is a precedent for listing an agent that </w:t>
      </w:r>
      <w:r w:rsidR="00B5359E" w:rsidRPr="00763DEA">
        <w:rPr>
          <w:rFonts w:cs="Calibri"/>
          <w:snapToGrid/>
          <w:szCs w:val="24"/>
          <w:lang w:val="en-US" w:eastAsia="en-AU"/>
        </w:rPr>
        <w:t xml:space="preserve">reduces </w:t>
      </w:r>
      <w:r w:rsidRPr="00763DEA">
        <w:rPr>
          <w:rFonts w:cs="Calibri"/>
          <w:snapToGrid/>
          <w:szCs w:val="24"/>
          <w:lang w:val="en-US" w:eastAsia="en-AU"/>
        </w:rPr>
        <w:t xml:space="preserve">injections (in the case of </w:t>
      </w:r>
      <w:r w:rsidR="00486EE4" w:rsidRPr="00763DEA">
        <w:rPr>
          <w:rFonts w:cs="Calibri"/>
          <w:snapToGrid/>
          <w:szCs w:val="24"/>
          <w:lang w:val="en-US" w:eastAsia="en-AU"/>
        </w:rPr>
        <w:t xml:space="preserve">insulin glargine with lixisenatide FRC, </w:t>
      </w:r>
      <w:r w:rsidR="00B5359E" w:rsidRPr="00763DEA">
        <w:rPr>
          <w:rFonts w:cs="Calibri"/>
          <w:snapToGrid/>
          <w:szCs w:val="24"/>
          <w:lang w:val="en-US" w:eastAsia="en-AU"/>
        </w:rPr>
        <w:t xml:space="preserve">decreasing </w:t>
      </w:r>
      <w:r w:rsidRPr="00763DEA">
        <w:rPr>
          <w:rFonts w:cs="Calibri"/>
          <w:snapToGrid/>
          <w:szCs w:val="24"/>
          <w:lang w:val="en-US" w:eastAsia="en-AU"/>
        </w:rPr>
        <w:t xml:space="preserve">from </w:t>
      </w:r>
      <w:r w:rsidR="00F35179" w:rsidRPr="00763DEA">
        <w:rPr>
          <w:rFonts w:cs="Calibri"/>
          <w:snapToGrid/>
          <w:szCs w:val="24"/>
          <w:lang w:val="en-US" w:eastAsia="en-AU"/>
        </w:rPr>
        <w:t xml:space="preserve">three </w:t>
      </w:r>
      <w:r w:rsidR="0018001C" w:rsidRPr="00763DEA">
        <w:rPr>
          <w:rFonts w:cs="Calibri"/>
          <w:snapToGrid/>
          <w:szCs w:val="24"/>
          <w:lang w:val="en-US" w:eastAsia="en-AU"/>
        </w:rPr>
        <w:t xml:space="preserve">daily injections </w:t>
      </w:r>
      <w:r w:rsidR="00F35179" w:rsidRPr="00763DEA">
        <w:rPr>
          <w:rFonts w:cs="Calibri"/>
          <w:snapToGrid/>
          <w:szCs w:val="24"/>
          <w:lang w:val="en-US" w:eastAsia="en-AU"/>
        </w:rPr>
        <w:t>to one</w:t>
      </w:r>
      <w:r w:rsidRPr="00763DEA">
        <w:rPr>
          <w:rFonts w:cs="Calibri"/>
          <w:snapToGrid/>
          <w:szCs w:val="24"/>
          <w:lang w:val="en-US" w:eastAsia="en-AU"/>
        </w:rPr>
        <w:t xml:space="preserve">) and </w:t>
      </w:r>
      <w:r w:rsidR="00F35179" w:rsidRPr="00763DEA">
        <w:rPr>
          <w:rFonts w:cs="Calibri"/>
          <w:snapToGrid/>
          <w:szCs w:val="24"/>
          <w:lang w:val="en-US" w:eastAsia="en-AU"/>
        </w:rPr>
        <w:t xml:space="preserve">that </w:t>
      </w:r>
      <w:r w:rsidRPr="00763DEA">
        <w:rPr>
          <w:rFonts w:cs="Calibri"/>
          <w:snapToGrid/>
          <w:szCs w:val="24"/>
          <w:lang w:val="en-US" w:eastAsia="en-AU"/>
        </w:rPr>
        <w:t>the unadjusted analysis similarly approached non-inferiority.</w:t>
      </w:r>
      <w:r w:rsidR="0031604C" w:rsidRPr="00763DEA">
        <w:rPr>
          <w:rFonts w:cs="Calibri"/>
          <w:snapToGrid/>
          <w:szCs w:val="24"/>
          <w:lang w:val="en-US" w:eastAsia="en-AU"/>
        </w:rPr>
        <w:t xml:space="preserve"> </w:t>
      </w:r>
      <w:r w:rsidR="00A33EF8" w:rsidRPr="00763DEA">
        <w:rPr>
          <w:rFonts w:cs="Calibri"/>
          <w:snapToGrid/>
          <w:szCs w:val="24"/>
          <w:lang w:val="en-US" w:eastAsia="en-AU"/>
        </w:rPr>
        <w:t>T</w:t>
      </w:r>
      <w:r w:rsidR="00273668" w:rsidRPr="00763DEA">
        <w:rPr>
          <w:rFonts w:cs="Calibri"/>
          <w:snapToGrid/>
          <w:szCs w:val="24"/>
          <w:lang w:val="en-US" w:eastAsia="en-AU"/>
        </w:rPr>
        <w:t>he evaluation considered that t</w:t>
      </w:r>
      <w:r w:rsidR="00A33EF8" w:rsidRPr="00763DEA">
        <w:rPr>
          <w:rFonts w:cs="Calibri"/>
          <w:snapToGrid/>
          <w:szCs w:val="24"/>
          <w:lang w:val="en-US" w:eastAsia="en-AU"/>
        </w:rPr>
        <w:t>his precedent may not be relevant to insulin glargine with lixisenatide FRC as</w:t>
      </w:r>
      <w:r w:rsidR="00C2634A" w:rsidRPr="00763DEA">
        <w:rPr>
          <w:rFonts w:cs="Calibri"/>
          <w:snapToGrid/>
          <w:szCs w:val="24"/>
          <w:lang w:val="en-US" w:eastAsia="en-AU"/>
        </w:rPr>
        <w:t xml:space="preserve"> </w:t>
      </w:r>
      <w:r w:rsidR="00C2634A" w:rsidRPr="00763DEA">
        <w:rPr>
          <w:snapToGrid/>
          <w:lang w:val="en-US" w:eastAsia="en-AU"/>
        </w:rPr>
        <w:t xml:space="preserve">dapagliflozin </w:t>
      </w:r>
      <w:r w:rsidRPr="00763DEA">
        <w:rPr>
          <w:snapToGrid/>
          <w:lang w:val="en-US" w:eastAsia="en-AU"/>
        </w:rPr>
        <w:t xml:space="preserve">was an oral therapy </w:t>
      </w:r>
      <w:r w:rsidR="00F35179" w:rsidRPr="00763DEA">
        <w:rPr>
          <w:snapToGrid/>
          <w:lang w:val="en-US" w:eastAsia="en-AU"/>
        </w:rPr>
        <w:t>that</w:t>
      </w:r>
      <w:r w:rsidRPr="00763DEA">
        <w:rPr>
          <w:snapToGrid/>
          <w:lang w:val="en-US" w:eastAsia="en-AU"/>
        </w:rPr>
        <w:t xml:space="preserve"> allow</w:t>
      </w:r>
      <w:r w:rsidR="004F16FA" w:rsidRPr="00763DEA">
        <w:rPr>
          <w:snapToGrid/>
          <w:lang w:val="en-US" w:eastAsia="en-AU"/>
        </w:rPr>
        <w:t>ed</w:t>
      </w:r>
      <w:r w:rsidRPr="00763DEA">
        <w:rPr>
          <w:snapToGrid/>
          <w:lang w:val="en-US" w:eastAsia="en-AU"/>
        </w:rPr>
        <w:t xml:space="preserve"> the patient to completely avoid injections, whereas insulin glargine with lixisenatide FRC is still a daily injection</w:t>
      </w:r>
      <w:r w:rsidR="00C2634A" w:rsidRPr="00763DEA">
        <w:rPr>
          <w:snapToGrid/>
          <w:lang w:val="en-US" w:eastAsia="en-AU"/>
        </w:rPr>
        <w:t>.</w:t>
      </w:r>
      <w:r w:rsidR="004863C8" w:rsidRPr="00763DEA">
        <w:rPr>
          <w:snapToGrid/>
          <w:lang w:val="en-US" w:eastAsia="en-AU"/>
        </w:rPr>
        <w:t xml:space="preserve"> </w:t>
      </w:r>
    </w:p>
    <w:p w:rsidR="00584406" w:rsidRPr="00B66CF9" w:rsidRDefault="00C85868" w:rsidP="00584406">
      <w:pPr>
        <w:pStyle w:val="ListParagraph"/>
        <w:numPr>
          <w:ilvl w:val="1"/>
          <w:numId w:val="3"/>
        </w:numPr>
        <w:rPr>
          <w:snapToGrid/>
          <w:lang w:val="en-US" w:eastAsia="en-AU"/>
        </w:rPr>
      </w:pPr>
      <w:r w:rsidRPr="00B66CF9">
        <w:rPr>
          <w:snapToGrid/>
          <w:lang w:val="en-US" w:eastAsia="en-AU"/>
        </w:rPr>
        <w:t xml:space="preserve">The PSCR stated that injection reduction is just as important, or possibly more </w:t>
      </w:r>
      <w:r w:rsidRPr="00B66CF9">
        <w:rPr>
          <w:snapToGrid/>
          <w:lang w:val="en-US" w:eastAsia="en-AU"/>
        </w:rPr>
        <w:lastRenderedPageBreak/>
        <w:t>important</w:t>
      </w:r>
      <w:r w:rsidR="00441C49" w:rsidRPr="00B66CF9">
        <w:rPr>
          <w:snapToGrid/>
          <w:lang w:val="en-US" w:eastAsia="en-AU"/>
        </w:rPr>
        <w:t>,</w:t>
      </w:r>
      <w:r w:rsidRPr="00B66CF9">
        <w:rPr>
          <w:snapToGrid/>
          <w:lang w:val="en-US" w:eastAsia="en-AU"/>
        </w:rPr>
        <w:t xml:space="preserve"> than injection avoidance. </w:t>
      </w:r>
      <w:r w:rsidR="00584406" w:rsidRPr="00B66CF9">
        <w:rPr>
          <w:snapToGrid/>
          <w:lang w:val="en-US" w:eastAsia="en-AU"/>
        </w:rPr>
        <w:t xml:space="preserve">The ESC </w:t>
      </w:r>
      <w:r w:rsidR="00CE6180" w:rsidRPr="00B66CF9">
        <w:rPr>
          <w:snapToGrid/>
          <w:lang w:val="en-US" w:eastAsia="en-AU"/>
        </w:rPr>
        <w:t>considered</w:t>
      </w:r>
      <w:r w:rsidR="00584406" w:rsidRPr="00B66CF9">
        <w:rPr>
          <w:snapToGrid/>
          <w:lang w:val="en-US" w:eastAsia="en-AU"/>
        </w:rPr>
        <w:t xml:space="preserve"> the</w:t>
      </w:r>
      <w:r w:rsidR="008113CF" w:rsidRPr="00B66CF9">
        <w:rPr>
          <w:snapToGrid/>
          <w:lang w:val="en-US" w:eastAsia="en-AU"/>
        </w:rPr>
        <w:t xml:space="preserve"> previous</w:t>
      </w:r>
      <w:r w:rsidRPr="00B66CF9">
        <w:rPr>
          <w:snapToGrid/>
          <w:lang w:val="en-US" w:eastAsia="en-AU"/>
        </w:rPr>
        <w:t xml:space="preserve"> consideration</w:t>
      </w:r>
      <w:r w:rsidR="00584406" w:rsidRPr="00B66CF9">
        <w:rPr>
          <w:snapToGrid/>
          <w:lang w:val="en-US" w:eastAsia="en-AU"/>
        </w:rPr>
        <w:t xml:space="preserve"> </w:t>
      </w:r>
      <w:r w:rsidRPr="00B66CF9">
        <w:rPr>
          <w:snapToGrid/>
          <w:lang w:val="en-US" w:eastAsia="en-AU"/>
        </w:rPr>
        <w:t>of</w:t>
      </w:r>
      <w:r w:rsidR="00584406" w:rsidRPr="00B66CF9">
        <w:rPr>
          <w:snapToGrid/>
          <w:lang w:val="en-US" w:eastAsia="en-AU"/>
        </w:rPr>
        <w:t xml:space="preserve"> dapagliflozin </w:t>
      </w:r>
      <w:r w:rsidR="00E66774">
        <w:rPr>
          <w:snapToGrid/>
          <w:lang w:val="en-US" w:eastAsia="en-AU"/>
        </w:rPr>
        <w:t>was</w:t>
      </w:r>
      <w:r w:rsidR="00E66774" w:rsidRPr="00B66CF9">
        <w:rPr>
          <w:snapToGrid/>
          <w:lang w:val="en-US" w:eastAsia="en-AU"/>
        </w:rPr>
        <w:t xml:space="preserve"> </w:t>
      </w:r>
      <w:r w:rsidR="00CE6180" w:rsidRPr="00B66CF9">
        <w:rPr>
          <w:snapToGrid/>
          <w:lang w:val="en-US" w:eastAsia="en-AU"/>
        </w:rPr>
        <w:t xml:space="preserve">not </w:t>
      </w:r>
      <w:r w:rsidR="00584406" w:rsidRPr="00B66CF9">
        <w:rPr>
          <w:snapToGrid/>
          <w:lang w:val="en-US" w:eastAsia="en-AU"/>
        </w:rPr>
        <w:t>a</w:t>
      </w:r>
      <w:r w:rsidR="008113CF" w:rsidRPr="00B66CF9">
        <w:rPr>
          <w:snapToGrid/>
          <w:lang w:val="en-US" w:eastAsia="en-AU"/>
        </w:rPr>
        <w:t xml:space="preserve"> suitable</w:t>
      </w:r>
      <w:r w:rsidR="00584406" w:rsidRPr="00B66CF9">
        <w:rPr>
          <w:snapToGrid/>
          <w:lang w:val="en-US" w:eastAsia="en-AU"/>
        </w:rPr>
        <w:t xml:space="preserve"> precedent for this current submission and considered there </w:t>
      </w:r>
      <w:r w:rsidR="00E66774">
        <w:rPr>
          <w:snapToGrid/>
          <w:lang w:val="en-US" w:eastAsia="en-AU"/>
        </w:rPr>
        <w:t>was</w:t>
      </w:r>
      <w:r w:rsidR="00E66774" w:rsidRPr="00B66CF9">
        <w:rPr>
          <w:snapToGrid/>
          <w:lang w:val="en-US" w:eastAsia="en-AU"/>
        </w:rPr>
        <w:t xml:space="preserve"> </w:t>
      </w:r>
      <w:r w:rsidR="00584406" w:rsidRPr="00B66CF9">
        <w:rPr>
          <w:snapToGrid/>
          <w:lang w:val="en-US" w:eastAsia="en-AU"/>
        </w:rPr>
        <w:t xml:space="preserve">a </w:t>
      </w:r>
      <w:r w:rsidR="008113CF" w:rsidRPr="00B66CF9">
        <w:rPr>
          <w:snapToGrid/>
          <w:lang w:val="en-US" w:eastAsia="en-AU"/>
        </w:rPr>
        <w:t xml:space="preserve">significant clinical </w:t>
      </w:r>
      <w:r w:rsidR="00584406" w:rsidRPr="00B66CF9">
        <w:rPr>
          <w:snapToGrid/>
          <w:lang w:val="en-US" w:eastAsia="en-AU"/>
        </w:rPr>
        <w:t xml:space="preserve">difference </w:t>
      </w:r>
      <w:r w:rsidR="008113CF" w:rsidRPr="00B66CF9">
        <w:rPr>
          <w:snapToGrid/>
          <w:lang w:val="en-US" w:eastAsia="en-AU"/>
        </w:rPr>
        <w:t xml:space="preserve">between </w:t>
      </w:r>
      <w:r w:rsidR="00584406" w:rsidRPr="00B66CF9">
        <w:rPr>
          <w:snapToGrid/>
          <w:lang w:val="en-US" w:eastAsia="en-AU"/>
        </w:rPr>
        <w:t xml:space="preserve">reducing injections from one to no injections compared to reducing from three injections to one. </w:t>
      </w:r>
    </w:p>
    <w:p w:rsidR="00FD5C06" w:rsidRPr="00B66CF9" w:rsidRDefault="00FD5C06" w:rsidP="00AF161F">
      <w:pPr>
        <w:pStyle w:val="ListParagraph"/>
        <w:keepNext/>
        <w:widowControl/>
        <w:numPr>
          <w:ilvl w:val="1"/>
          <w:numId w:val="3"/>
        </w:numPr>
        <w:rPr>
          <w:rFonts w:cs="Calibri"/>
          <w:snapToGrid/>
          <w:szCs w:val="24"/>
          <w:lang w:val="en-US" w:eastAsia="en-AU"/>
        </w:rPr>
      </w:pPr>
      <w:r w:rsidRPr="00B66CF9">
        <w:rPr>
          <w:rFonts w:cs="Calibri"/>
          <w:snapToGrid/>
          <w:szCs w:val="24"/>
          <w:lang w:val="en-US" w:eastAsia="en-AU"/>
        </w:rPr>
        <w:t>Results from matched adjusted indirect comparisons (MAIC) for change in HbA1c from baseline at 30 weeks as well as the results of LIXILAN-L before matching, and the results from GWCO</w:t>
      </w:r>
      <w:r w:rsidR="00F35179" w:rsidRPr="00B66CF9">
        <w:rPr>
          <w:rFonts w:cs="Calibri"/>
          <w:snapToGrid/>
          <w:szCs w:val="24"/>
          <w:lang w:val="en-US" w:eastAsia="en-AU"/>
        </w:rPr>
        <w:t xml:space="preserve"> are presented in</w:t>
      </w:r>
      <w:r w:rsidR="0026778C" w:rsidRPr="00B66CF9">
        <w:rPr>
          <w:rFonts w:cs="Calibri"/>
          <w:snapToGrid/>
          <w:szCs w:val="24"/>
          <w:lang w:val="en-US" w:eastAsia="en-AU"/>
        </w:rPr>
        <w:t xml:space="preserve"> Table 6</w:t>
      </w:r>
      <w:r w:rsidRPr="00B66CF9">
        <w:rPr>
          <w:rFonts w:cs="Calibri"/>
          <w:snapToGrid/>
          <w:szCs w:val="24"/>
          <w:lang w:val="en-US" w:eastAsia="en-AU"/>
        </w:rPr>
        <w:t>.</w:t>
      </w:r>
      <w:r w:rsidR="0031604C" w:rsidRPr="00B66CF9">
        <w:rPr>
          <w:rFonts w:cs="Calibri"/>
          <w:snapToGrid/>
          <w:szCs w:val="24"/>
          <w:lang w:val="en-US" w:eastAsia="en-AU"/>
        </w:rPr>
        <w:t xml:space="preserve"> </w:t>
      </w:r>
      <w:r w:rsidRPr="00B66CF9">
        <w:rPr>
          <w:rFonts w:cs="Calibri"/>
          <w:snapToGrid/>
          <w:szCs w:val="24"/>
          <w:lang w:val="en-US" w:eastAsia="en-AU"/>
        </w:rPr>
        <w:t xml:space="preserve">The results (and the </w:t>
      </w:r>
      <w:r w:rsidR="00486EE4" w:rsidRPr="00B66CF9">
        <w:rPr>
          <w:rFonts w:cs="Calibri"/>
          <w:snapToGrid/>
          <w:szCs w:val="24"/>
          <w:lang w:val="en-US" w:eastAsia="en-AU"/>
        </w:rPr>
        <w:t>S</w:t>
      </w:r>
      <w:r w:rsidRPr="00B66CF9">
        <w:rPr>
          <w:rFonts w:cs="Calibri"/>
          <w:snapToGrid/>
          <w:szCs w:val="24"/>
          <w:lang w:val="en-US" w:eastAsia="en-AU"/>
        </w:rPr>
        <w:t>cenario descriptions) were unchanged from the previous submission.</w:t>
      </w:r>
      <w:r w:rsidR="0031604C" w:rsidRPr="00B66CF9">
        <w:rPr>
          <w:rFonts w:cs="Calibri"/>
          <w:snapToGrid/>
          <w:szCs w:val="24"/>
          <w:lang w:val="en-US" w:eastAsia="en-AU"/>
        </w:rPr>
        <w:t xml:space="preserve"> </w:t>
      </w:r>
      <w:r w:rsidR="00AF161F" w:rsidRPr="00B66CF9">
        <w:rPr>
          <w:rFonts w:cs="Calibri"/>
          <w:snapToGrid/>
          <w:szCs w:val="24"/>
          <w:lang w:val="en-US" w:eastAsia="en-AU"/>
        </w:rPr>
        <w:t xml:space="preserve">Scenario 2 matched for variables interacting with the study treatment (treatment effect modifiers) that had different distributions across the trials and </w:t>
      </w:r>
      <w:r w:rsidR="00EA4AE8">
        <w:rPr>
          <w:rFonts w:cs="Calibri"/>
          <w:snapToGrid/>
          <w:szCs w:val="24"/>
          <w:lang w:val="en-US" w:eastAsia="en-AU"/>
        </w:rPr>
        <w:t xml:space="preserve">the resubmission </w:t>
      </w:r>
      <w:r w:rsidR="00AF161F" w:rsidRPr="00B66CF9">
        <w:rPr>
          <w:rFonts w:cs="Calibri"/>
          <w:snapToGrid/>
          <w:szCs w:val="24"/>
          <w:lang w:val="en-US" w:eastAsia="en-AU"/>
        </w:rPr>
        <w:t xml:space="preserve">relied upon </w:t>
      </w:r>
      <w:r w:rsidR="00EA4AE8">
        <w:rPr>
          <w:rFonts w:cs="Calibri"/>
          <w:snapToGrid/>
          <w:szCs w:val="24"/>
          <w:lang w:val="en-US" w:eastAsia="en-AU"/>
        </w:rPr>
        <w:t xml:space="preserve">this analysis </w:t>
      </w:r>
      <w:r w:rsidR="00AF161F" w:rsidRPr="00B66CF9">
        <w:rPr>
          <w:rFonts w:cs="Calibri"/>
          <w:snapToGrid/>
          <w:szCs w:val="24"/>
          <w:lang w:val="en-US" w:eastAsia="en-AU"/>
        </w:rPr>
        <w:t xml:space="preserve">for </w:t>
      </w:r>
      <w:r w:rsidR="00EA4AE8">
        <w:rPr>
          <w:rFonts w:cs="Calibri"/>
          <w:snapToGrid/>
          <w:szCs w:val="24"/>
          <w:lang w:val="en-US" w:eastAsia="en-AU"/>
        </w:rPr>
        <w:t>its</w:t>
      </w:r>
      <w:r w:rsidR="00AF161F" w:rsidRPr="00B66CF9">
        <w:rPr>
          <w:rFonts w:cs="Calibri"/>
          <w:snapToGrid/>
          <w:szCs w:val="24"/>
          <w:lang w:val="en-US" w:eastAsia="en-AU"/>
        </w:rPr>
        <w:t xml:space="preserve"> clinical claim.</w:t>
      </w:r>
      <w:r w:rsidR="004863C8">
        <w:rPr>
          <w:rFonts w:cs="Calibri"/>
          <w:snapToGrid/>
          <w:szCs w:val="24"/>
          <w:lang w:val="en-US" w:eastAsia="en-AU"/>
        </w:rPr>
        <w:t xml:space="preserve"> </w:t>
      </w:r>
    </w:p>
    <w:p w:rsidR="00513E11" w:rsidRPr="00B66CF9" w:rsidRDefault="00513E11" w:rsidP="00AF161F">
      <w:pPr>
        <w:pStyle w:val="ListParagraph"/>
        <w:keepNext/>
        <w:widowControl/>
        <w:numPr>
          <w:ilvl w:val="1"/>
          <w:numId w:val="3"/>
        </w:numPr>
        <w:rPr>
          <w:rFonts w:cs="Calibri"/>
          <w:snapToGrid/>
          <w:szCs w:val="24"/>
          <w:lang w:val="en-US" w:eastAsia="en-AU"/>
        </w:rPr>
      </w:pPr>
      <w:r w:rsidRPr="00B66CF9">
        <w:rPr>
          <w:rFonts w:cs="Calibri"/>
          <w:snapToGrid/>
          <w:szCs w:val="24"/>
          <w:lang w:val="en-US" w:eastAsia="en-AU"/>
        </w:rPr>
        <w:t>The ESC</w:t>
      </w:r>
      <w:r w:rsidR="0012571C" w:rsidRPr="00B66CF9">
        <w:rPr>
          <w:rFonts w:cs="Calibri"/>
          <w:snapToGrid/>
          <w:szCs w:val="24"/>
          <w:lang w:val="en-US" w:eastAsia="en-AU"/>
        </w:rPr>
        <w:t xml:space="preserve"> noted the MAIC analyses and reiterated its concerns regarding </w:t>
      </w:r>
      <w:r w:rsidR="000B1B28" w:rsidRPr="00B66CF9">
        <w:rPr>
          <w:rFonts w:cs="Calibri"/>
          <w:snapToGrid/>
          <w:szCs w:val="24"/>
          <w:lang w:val="en-US" w:eastAsia="en-AU"/>
        </w:rPr>
        <w:t xml:space="preserve">these analyses noted in </w:t>
      </w:r>
      <w:r w:rsidR="0012571C" w:rsidRPr="00B66CF9">
        <w:rPr>
          <w:rFonts w:cs="Calibri"/>
          <w:snapToGrid/>
          <w:szCs w:val="24"/>
          <w:lang w:val="en-US" w:eastAsia="en-AU"/>
        </w:rPr>
        <w:t xml:space="preserve">the previous submission including the small number involved in the adjusted data from the LIXILAN-L study, the differences in trial design and populations, insulin dose capping in the LIXILAN-L trial and the statistically significant reduction in insulin glargine doses for patients in the GWCO trial using exenatide. </w:t>
      </w:r>
    </w:p>
    <w:p w:rsidR="00FD5C06" w:rsidRPr="008B6152" w:rsidRDefault="0026778C" w:rsidP="0092518A">
      <w:pPr>
        <w:pStyle w:val="BodyText"/>
        <w:rPr>
          <w:rFonts w:ascii="Arial Narrow" w:hAnsi="Arial Narrow"/>
          <w:b/>
          <w:sz w:val="20"/>
          <w:szCs w:val="20"/>
        </w:rPr>
      </w:pPr>
      <w:bookmarkStart w:id="14" w:name="_Ref533086903"/>
      <w:r w:rsidRPr="008B6152">
        <w:rPr>
          <w:rFonts w:ascii="Arial Narrow" w:hAnsi="Arial Narrow"/>
          <w:b/>
          <w:sz w:val="20"/>
          <w:szCs w:val="20"/>
        </w:rPr>
        <w:t xml:space="preserve">Table </w:t>
      </w:r>
      <w:r w:rsidR="00F86B96" w:rsidRPr="008B6152">
        <w:rPr>
          <w:rFonts w:ascii="Arial Narrow" w:hAnsi="Arial Narrow"/>
          <w:b/>
          <w:noProof/>
          <w:sz w:val="20"/>
          <w:szCs w:val="20"/>
        </w:rPr>
        <w:t>6</w:t>
      </w:r>
      <w:bookmarkEnd w:id="14"/>
      <w:r w:rsidR="000605E4">
        <w:rPr>
          <w:rFonts w:ascii="Arial Narrow" w:hAnsi="Arial Narrow"/>
          <w:b/>
          <w:sz w:val="20"/>
          <w:szCs w:val="20"/>
        </w:rPr>
        <w:t>: Results of the match</w:t>
      </w:r>
      <w:r w:rsidR="00592A7C">
        <w:rPr>
          <w:rFonts w:ascii="Arial Narrow" w:hAnsi="Arial Narrow"/>
          <w:b/>
          <w:sz w:val="20"/>
          <w:szCs w:val="20"/>
        </w:rPr>
        <w:t>ed</w:t>
      </w:r>
      <w:r w:rsidR="00FD5C06" w:rsidRPr="008B6152">
        <w:rPr>
          <w:rFonts w:ascii="Arial Narrow" w:hAnsi="Arial Narrow"/>
          <w:b/>
          <w:sz w:val="20"/>
          <w:szCs w:val="20"/>
        </w:rPr>
        <w:t xml:space="preserve"> adjusted indirect comparisons for Scenario 2 and Scenario 3</w:t>
      </w:r>
    </w:p>
    <w:tbl>
      <w:tblPr>
        <w:tblStyle w:val="TableGrid"/>
        <w:tblW w:w="9072" w:type="dxa"/>
        <w:tblInd w:w="-5" w:type="dxa"/>
        <w:tblLook w:val="04A0" w:firstRow="1" w:lastRow="0" w:firstColumn="1" w:lastColumn="0" w:noHBand="0" w:noVBand="1"/>
        <w:tblCaption w:val="Table 6: Results of the matched adjusted indirect comparisons for Scenario 2 and Scenario 3"/>
      </w:tblPr>
      <w:tblGrid>
        <w:gridCol w:w="1843"/>
        <w:gridCol w:w="1807"/>
        <w:gridCol w:w="1807"/>
        <w:gridCol w:w="1807"/>
        <w:gridCol w:w="1808"/>
      </w:tblGrid>
      <w:tr w:rsidR="00FD5C06" w:rsidRPr="008B6152" w:rsidTr="00B6798D">
        <w:trPr>
          <w:tblHeader/>
        </w:trPr>
        <w:tc>
          <w:tcPr>
            <w:tcW w:w="1843" w:type="dxa"/>
          </w:tcPr>
          <w:p w:rsidR="00FD5C06" w:rsidRPr="008B6152" w:rsidRDefault="00FD5C06" w:rsidP="005E1B97"/>
        </w:tc>
        <w:tc>
          <w:tcPr>
            <w:tcW w:w="1807" w:type="dxa"/>
            <w:vAlign w:val="center"/>
          </w:tcPr>
          <w:p w:rsidR="00FD5C06" w:rsidRPr="008B6152" w:rsidRDefault="00FD5C06" w:rsidP="005E1B97">
            <w:pPr>
              <w:jc w:val="center"/>
              <w:rPr>
                <w:rFonts w:ascii="Arial Narrow" w:hAnsi="Arial Narrow"/>
                <w:b/>
                <w:sz w:val="20"/>
                <w:szCs w:val="20"/>
              </w:rPr>
            </w:pPr>
            <w:r w:rsidRPr="008B6152">
              <w:rPr>
                <w:rFonts w:ascii="Arial Narrow" w:hAnsi="Arial Narrow"/>
                <w:b/>
                <w:sz w:val="20"/>
                <w:szCs w:val="20"/>
              </w:rPr>
              <w:t>Insulin glargine with lixisenatide FRC</w:t>
            </w:r>
          </w:p>
        </w:tc>
        <w:tc>
          <w:tcPr>
            <w:tcW w:w="1807" w:type="dxa"/>
            <w:vAlign w:val="center"/>
          </w:tcPr>
          <w:p w:rsidR="00FD5C06" w:rsidRPr="008B6152" w:rsidRDefault="00FD5C06" w:rsidP="005E1B97">
            <w:pPr>
              <w:jc w:val="center"/>
              <w:rPr>
                <w:rFonts w:ascii="Arial Narrow" w:hAnsi="Arial Narrow"/>
                <w:b/>
                <w:sz w:val="20"/>
                <w:szCs w:val="20"/>
              </w:rPr>
            </w:pPr>
            <w:r w:rsidRPr="008B6152">
              <w:rPr>
                <w:rFonts w:ascii="Arial Narrow" w:hAnsi="Arial Narrow"/>
                <w:b/>
                <w:sz w:val="20"/>
                <w:szCs w:val="20"/>
              </w:rPr>
              <w:t>Insulin glargine</w:t>
            </w:r>
          </w:p>
        </w:tc>
        <w:tc>
          <w:tcPr>
            <w:tcW w:w="1807" w:type="dxa"/>
            <w:vAlign w:val="center"/>
          </w:tcPr>
          <w:p w:rsidR="00FD5C06" w:rsidRPr="008B6152" w:rsidRDefault="00FD5C06" w:rsidP="005E1B97">
            <w:pPr>
              <w:jc w:val="center"/>
              <w:rPr>
                <w:rFonts w:ascii="Arial Narrow" w:hAnsi="Arial Narrow"/>
                <w:b/>
                <w:sz w:val="20"/>
                <w:szCs w:val="20"/>
              </w:rPr>
            </w:pPr>
            <w:r w:rsidRPr="008B6152">
              <w:rPr>
                <w:rFonts w:ascii="Arial Narrow" w:hAnsi="Arial Narrow"/>
                <w:b/>
                <w:sz w:val="20"/>
                <w:szCs w:val="20"/>
              </w:rPr>
              <w:t>Insulin glargine plus exenatide</w:t>
            </w:r>
          </w:p>
        </w:tc>
        <w:tc>
          <w:tcPr>
            <w:tcW w:w="1808" w:type="dxa"/>
            <w:vAlign w:val="center"/>
          </w:tcPr>
          <w:p w:rsidR="00FD5C06" w:rsidRPr="008B6152" w:rsidRDefault="00FD5C06" w:rsidP="005E1B97">
            <w:pPr>
              <w:jc w:val="center"/>
              <w:rPr>
                <w:rFonts w:ascii="Arial Narrow" w:hAnsi="Arial Narrow"/>
                <w:b/>
                <w:sz w:val="20"/>
                <w:szCs w:val="20"/>
              </w:rPr>
            </w:pPr>
            <w:r w:rsidRPr="008B6152">
              <w:rPr>
                <w:rFonts w:ascii="Arial Narrow" w:hAnsi="Arial Narrow"/>
                <w:b/>
                <w:sz w:val="20"/>
                <w:szCs w:val="20"/>
              </w:rPr>
              <w:t>Mean difference</w:t>
            </w:r>
          </w:p>
          <w:p w:rsidR="00FD5C06" w:rsidRPr="008B6152" w:rsidRDefault="00FD5C06" w:rsidP="005E1B97">
            <w:pPr>
              <w:jc w:val="center"/>
              <w:rPr>
                <w:rFonts w:ascii="Arial Narrow" w:hAnsi="Arial Narrow"/>
                <w:b/>
                <w:sz w:val="20"/>
                <w:szCs w:val="20"/>
              </w:rPr>
            </w:pPr>
            <w:r w:rsidRPr="008B6152">
              <w:rPr>
                <w:rFonts w:ascii="Arial Narrow" w:hAnsi="Arial Narrow"/>
                <w:b/>
                <w:sz w:val="20"/>
                <w:szCs w:val="20"/>
              </w:rPr>
              <w:t>(95% CI)</w:t>
            </w:r>
          </w:p>
        </w:tc>
      </w:tr>
      <w:tr w:rsidR="00FD5C06" w:rsidRPr="008B6152" w:rsidTr="004F16FA">
        <w:tc>
          <w:tcPr>
            <w:tcW w:w="9072" w:type="dxa"/>
            <w:gridSpan w:val="5"/>
          </w:tcPr>
          <w:p w:rsidR="00FD5C06" w:rsidRPr="008B6152" w:rsidRDefault="00FD5C06" w:rsidP="005E1B97">
            <w:pPr>
              <w:jc w:val="left"/>
              <w:rPr>
                <w:rFonts w:ascii="Arial Narrow" w:hAnsi="Arial Narrow"/>
                <w:b/>
                <w:sz w:val="20"/>
                <w:szCs w:val="20"/>
              </w:rPr>
            </w:pPr>
            <w:r w:rsidRPr="008B6152">
              <w:rPr>
                <w:rFonts w:ascii="Arial Narrow" w:hAnsi="Arial Narrow"/>
                <w:b/>
                <w:sz w:val="20"/>
                <w:szCs w:val="20"/>
              </w:rPr>
              <w:t>Change in HbA1c at 30 weeks</w:t>
            </w:r>
          </w:p>
        </w:tc>
      </w:tr>
      <w:tr w:rsidR="00FD5C06" w:rsidRPr="008B6152" w:rsidTr="004F16FA">
        <w:tc>
          <w:tcPr>
            <w:tcW w:w="1843" w:type="dxa"/>
          </w:tcPr>
          <w:p w:rsidR="00FD5C06" w:rsidRPr="008B6152" w:rsidRDefault="00FD5C06" w:rsidP="005E1B97">
            <w:pPr>
              <w:jc w:val="left"/>
              <w:rPr>
                <w:rFonts w:ascii="Arial Narrow" w:hAnsi="Arial Narrow"/>
                <w:sz w:val="20"/>
                <w:szCs w:val="20"/>
              </w:rPr>
            </w:pPr>
            <w:r w:rsidRPr="008B6152">
              <w:rPr>
                <w:rFonts w:ascii="Arial Narrow" w:hAnsi="Arial Narrow"/>
                <w:sz w:val="20"/>
                <w:szCs w:val="20"/>
              </w:rPr>
              <w:t>LIXILAN-L before matching</w:t>
            </w:r>
          </w:p>
        </w:tc>
        <w:tc>
          <w:tcPr>
            <w:tcW w:w="1807" w:type="dxa"/>
            <w:vAlign w:val="center"/>
          </w:tcPr>
          <w:p w:rsidR="00FD5C06" w:rsidRPr="008B6152" w:rsidRDefault="00FD5C06" w:rsidP="005E1B97">
            <w:pPr>
              <w:jc w:val="center"/>
              <w:rPr>
                <w:rFonts w:ascii="Arial Narrow" w:hAnsi="Arial Narrow"/>
                <w:sz w:val="20"/>
                <w:szCs w:val="20"/>
              </w:rPr>
            </w:pPr>
            <w:r w:rsidRPr="008B6152">
              <w:rPr>
                <w:rFonts w:ascii="Arial Narrow" w:hAnsi="Arial Narrow"/>
                <w:sz w:val="20"/>
                <w:szCs w:val="20"/>
              </w:rPr>
              <w:t>-1.12%(-1.21, -1.03)</w:t>
            </w:r>
          </w:p>
        </w:tc>
        <w:tc>
          <w:tcPr>
            <w:tcW w:w="1807" w:type="dxa"/>
            <w:vAlign w:val="center"/>
          </w:tcPr>
          <w:p w:rsidR="00FD5C06" w:rsidRPr="008B6152" w:rsidRDefault="00FD5C06" w:rsidP="005E1B97">
            <w:pPr>
              <w:jc w:val="center"/>
              <w:rPr>
                <w:rFonts w:ascii="Arial Narrow" w:hAnsi="Arial Narrow"/>
                <w:sz w:val="20"/>
                <w:szCs w:val="20"/>
              </w:rPr>
            </w:pPr>
            <w:r w:rsidRPr="008B6152">
              <w:rPr>
                <w:rFonts w:ascii="Arial Narrow" w:hAnsi="Arial Narrow"/>
                <w:sz w:val="20"/>
                <w:szCs w:val="20"/>
              </w:rPr>
              <w:t>-0.60%(-0.69, -0.51)</w:t>
            </w:r>
          </w:p>
        </w:tc>
        <w:tc>
          <w:tcPr>
            <w:tcW w:w="1807" w:type="dxa"/>
          </w:tcPr>
          <w:p w:rsidR="00FD5C06" w:rsidRPr="008B6152" w:rsidRDefault="00FD5C06" w:rsidP="005E1B97">
            <w:pPr>
              <w:jc w:val="center"/>
              <w:rPr>
                <w:rFonts w:ascii="Arial Narrow" w:hAnsi="Arial Narrow"/>
                <w:sz w:val="20"/>
                <w:szCs w:val="20"/>
              </w:rPr>
            </w:pPr>
            <w:r w:rsidRPr="008B6152">
              <w:rPr>
                <w:rFonts w:ascii="Arial Narrow" w:hAnsi="Arial Narrow"/>
                <w:sz w:val="20"/>
                <w:szCs w:val="20"/>
              </w:rPr>
              <w:t>-</w:t>
            </w:r>
          </w:p>
        </w:tc>
        <w:tc>
          <w:tcPr>
            <w:tcW w:w="1808" w:type="dxa"/>
            <w:vAlign w:val="center"/>
          </w:tcPr>
          <w:p w:rsidR="00FD5C06" w:rsidRPr="008B6152" w:rsidRDefault="00FD5C06" w:rsidP="00A33EF8">
            <w:pPr>
              <w:jc w:val="center"/>
              <w:rPr>
                <w:rFonts w:ascii="Arial Narrow" w:hAnsi="Arial Narrow"/>
                <w:sz w:val="20"/>
                <w:szCs w:val="20"/>
              </w:rPr>
            </w:pPr>
            <w:r w:rsidRPr="008B6152">
              <w:rPr>
                <w:rFonts w:ascii="Arial Narrow" w:hAnsi="Arial Narrow"/>
                <w:sz w:val="20"/>
                <w:szCs w:val="20"/>
              </w:rPr>
              <w:t>-0.52% (-0.65, -0.40)</w:t>
            </w:r>
          </w:p>
        </w:tc>
      </w:tr>
      <w:tr w:rsidR="00FD5C06" w:rsidRPr="008B6152" w:rsidTr="004F16FA">
        <w:trPr>
          <w:trHeight w:val="58"/>
        </w:trPr>
        <w:tc>
          <w:tcPr>
            <w:tcW w:w="1843" w:type="dxa"/>
          </w:tcPr>
          <w:p w:rsidR="00FD5C06" w:rsidRPr="008B6152" w:rsidRDefault="00FD5C06" w:rsidP="005E1B97">
            <w:pPr>
              <w:jc w:val="left"/>
              <w:rPr>
                <w:rFonts w:ascii="Arial Narrow" w:hAnsi="Arial Narrow"/>
                <w:sz w:val="20"/>
                <w:szCs w:val="20"/>
              </w:rPr>
            </w:pPr>
            <w:r w:rsidRPr="008B6152">
              <w:rPr>
                <w:rFonts w:ascii="Arial Narrow" w:hAnsi="Arial Narrow"/>
                <w:sz w:val="20"/>
                <w:szCs w:val="20"/>
              </w:rPr>
              <w:t>LIXILAN-L Scenario 2</w:t>
            </w:r>
          </w:p>
        </w:tc>
        <w:tc>
          <w:tcPr>
            <w:tcW w:w="1807" w:type="dxa"/>
          </w:tcPr>
          <w:p w:rsidR="00FD5C06" w:rsidRPr="008B6152" w:rsidRDefault="00FD5C06" w:rsidP="005E1B97">
            <w:pPr>
              <w:jc w:val="center"/>
              <w:rPr>
                <w:rFonts w:ascii="Arial Narrow" w:hAnsi="Arial Narrow"/>
                <w:sz w:val="20"/>
                <w:szCs w:val="20"/>
              </w:rPr>
            </w:pPr>
            <w:r w:rsidRPr="008B6152">
              <w:rPr>
                <w:rFonts w:ascii="Arial Narrow" w:hAnsi="Arial Narrow"/>
                <w:sz w:val="20"/>
                <w:szCs w:val="20"/>
              </w:rPr>
              <w:t>-1.11%(-1.21, -1.02)</w:t>
            </w:r>
          </w:p>
        </w:tc>
        <w:tc>
          <w:tcPr>
            <w:tcW w:w="1807" w:type="dxa"/>
          </w:tcPr>
          <w:p w:rsidR="00FD5C06" w:rsidRPr="008B6152" w:rsidRDefault="00FD5C06" w:rsidP="005E1B97">
            <w:pPr>
              <w:jc w:val="center"/>
              <w:rPr>
                <w:rFonts w:ascii="Arial Narrow" w:hAnsi="Arial Narrow"/>
                <w:sz w:val="20"/>
                <w:szCs w:val="20"/>
              </w:rPr>
            </w:pPr>
            <w:r w:rsidRPr="008B6152">
              <w:rPr>
                <w:rFonts w:ascii="Arial Narrow" w:hAnsi="Arial Narrow"/>
                <w:sz w:val="20"/>
                <w:szCs w:val="20"/>
              </w:rPr>
              <w:t>-0.52%(-0.61, -0.42)</w:t>
            </w:r>
          </w:p>
        </w:tc>
        <w:tc>
          <w:tcPr>
            <w:tcW w:w="1807" w:type="dxa"/>
          </w:tcPr>
          <w:p w:rsidR="00FD5C06" w:rsidRPr="008B6152" w:rsidRDefault="00FD5C06" w:rsidP="005E1B97">
            <w:pPr>
              <w:jc w:val="center"/>
              <w:rPr>
                <w:rFonts w:ascii="Arial Narrow" w:hAnsi="Arial Narrow"/>
                <w:sz w:val="20"/>
                <w:szCs w:val="20"/>
              </w:rPr>
            </w:pPr>
            <w:r w:rsidRPr="008B6152">
              <w:rPr>
                <w:rFonts w:ascii="Arial Narrow" w:hAnsi="Arial Narrow"/>
                <w:sz w:val="20"/>
                <w:szCs w:val="20"/>
              </w:rPr>
              <w:t>-</w:t>
            </w:r>
          </w:p>
        </w:tc>
        <w:tc>
          <w:tcPr>
            <w:tcW w:w="1808" w:type="dxa"/>
          </w:tcPr>
          <w:p w:rsidR="00FD5C06" w:rsidRPr="008B6152" w:rsidRDefault="00FD5C06" w:rsidP="005E1B97">
            <w:pPr>
              <w:jc w:val="center"/>
              <w:rPr>
                <w:rFonts w:ascii="Arial Narrow" w:hAnsi="Arial Narrow"/>
                <w:sz w:val="20"/>
                <w:szCs w:val="20"/>
              </w:rPr>
            </w:pPr>
            <w:r w:rsidRPr="008B6152">
              <w:rPr>
                <w:rFonts w:ascii="Arial Narrow" w:hAnsi="Arial Narrow"/>
                <w:sz w:val="20"/>
                <w:szCs w:val="20"/>
              </w:rPr>
              <w:t>-0.60% (-0.73, -0.47)</w:t>
            </w:r>
          </w:p>
        </w:tc>
      </w:tr>
      <w:tr w:rsidR="00FD5C06" w:rsidRPr="008B6152" w:rsidTr="004F16FA">
        <w:trPr>
          <w:trHeight w:val="58"/>
        </w:trPr>
        <w:tc>
          <w:tcPr>
            <w:tcW w:w="1843" w:type="dxa"/>
          </w:tcPr>
          <w:p w:rsidR="00FD5C06" w:rsidRPr="008B6152" w:rsidRDefault="00FD5C06" w:rsidP="005E1B97">
            <w:pPr>
              <w:jc w:val="left"/>
              <w:rPr>
                <w:rFonts w:ascii="Arial Narrow" w:hAnsi="Arial Narrow"/>
                <w:sz w:val="20"/>
                <w:szCs w:val="20"/>
              </w:rPr>
            </w:pPr>
            <w:r w:rsidRPr="008B6152">
              <w:rPr>
                <w:rFonts w:ascii="Arial Narrow" w:hAnsi="Arial Narrow"/>
                <w:sz w:val="20"/>
                <w:szCs w:val="20"/>
              </w:rPr>
              <w:t>LIXILAN-L Scenario 3</w:t>
            </w:r>
          </w:p>
        </w:tc>
        <w:tc>
          <w:tcPr>
            <w:tcW w:w="1807" w:type="dxa"/>
          </w:tcPr>
          <w:p w:rsidR="00FD5C06" w:rsidRPr="008B6152" w:rsidRDefault="00FD5C06" w:rsidP="005E1B97">
            <w:pPr>
              <w:jc w:val="center"/>
              <w:rPr>
                <w:rFonts w:ascii="Arial Narrow" w:hAnsi="Arial Narrow"/>
                <w:sz w:val="20"/>
                <w:szCs w:val="20"/>
              </w:rPr>
            </w:pPr>
            <w:r w:rsidRPr="008B6152">
              <w:rPr>
                <w:rFonts w:ascii="Arial Narrow" w:hAnsi="Arial Narrow"/>
                <w:sz w:val="20"/>
                <w:szCs w:val="20"/>
              </w:rPr>
              <w:t>-1.13%(-1.22, -1.03)</w:t>
            </w:r>
          </w:p>
        </w:tc>
        <w:tc>
          <w:tcPr>
            <w:tcW w:w="1807" w:type="dxa"/>
          </w:tcPr>
          <w:p w:rsidR="00FD5C06" w:rsidRPr="008B6152" w:rsidRDefault="00FD5C06" w:rsidP="005E1B97">
            <w:pPr>
              <w:jc w:val="center"/>
              <w:rPr>
                <w:rFonts w:ascii="Arial Narrow" w:hAnsi="Arial Narrow"/>
                <w:sz w:val="20"/>
                <w:szCs w:val="20"/>
              </w:rPr>
            </w:pPr>
            <w:r w:rsidRPr="008B6152">
              <w:rPr>
                <w:rFonts w:ascii="Arial Narrow" w:hAnsi="Arial Narrow"/>
                <w:sz w:val="20"/>
                <w:szCs w:val="20"/>
              </w:rPr>
              <w:t>-0.53%(-0.61, -0.44)</w:t>
            </w:r>
          </w:p>
        </w:tc>
        <w:tc>
          <w:tcPr>
            <w:tcW w:w="1807" w:type="dxa"/>
          </w:tcPr>
          <w:p w:rsidR="00FD5C06" w:rsidRPr="008B6152" w:rsidRDefault="00FD5C06" w:rsidP="005E1B97">
            <w:pPr>
              <w:jc w:val="center"/>
              <w:rPr>
                <w:rFonts w:ascii="Arial Narrow" w:hAnsi="Arial Narrow"/>
                <w:sz w:val="20"/>
                <w:szCs w:val="20"/>
              </w:rPr>
            </w:pPr>
            <w:r w:rsidRPr="008B6152">
              <w:rPr>
                <w:rFonts w:ascii="Arial Narrow" w:hAnsi="Arial Narrow"/>
                <w:sz w:val="20"/>
                <w:szCs w:val="20"/>
              </w:rPr>
              <w:t>-</w:t>
            </w:r>
          </w:p>
        </w:tc>
        <w:tc>
          <w:tcPr>
            <w:tcW w:w="1808" w:type="dxa"/>
          </w:tcPr>
          <w:p w:rsidR="00FD5C06" w:rsidRPr="008B6152" w:rsidRDefault="00FD5C06" w:rsidP="005E1B97">
            <w:pPr>
              <w:jc w:val="center"/>
              <w:rPr>
                <w:rFonts w:ascii="Arial Narrow" w:hAnsi="Arial Narrow"/>
                <w:sz w:val="20"/>
                <w:szCs w:val="20"/>
              </w:rPr>
            </w:pPr>
            <w:r w:rsidRPr="008B6152">
              <w:rPr>
                <w:rFonts w:ascii="Arial Narrow" w:hAnsi="Arial Narrow"/>
                <w:sz w:val="20"/>
                <w:szCs w:val="20"/>
              </w:rPr>
              <w:t>-0.60% (-0.73, -0.47)</w:t>
            </w:r>
          </w:p>
        </w:tc>
      </w:tr>
      <w:tr w:rsidR="00FD5C06" w:rsidRPr="008B6152" w:rsidTr="004F16FA">
        <w:trPr>
          <w:trHeight w:val="58"/>
        </w:trPr>
        <w:tc>
          <w:tcPr>
            <w:tcW w:w="1843" w:type="dxa"/>
          </w:tcPr>
          <w:p w:rsidR="00FD5C06" w:rsidRPr="008B6152" w:rsidRDefault="00FD5C06" w:rsidP="005E1B97">
            <w:pPr>
              <w:jc w:val="left"/>
              <w:rPr>
                <w:rFonts w:ascii="Arial Narrow" w:hAnsi="Arial Narrow"/>
                <w:sz w:val="20"/>
                <w:szCs w:val="20"/>
              </w:rPr>
            </w:pPr>
            <w:r w:rsidRPr="008B6152">
              <w:rPr>
                <w:rFonts w:ascii="Arial Narrow" w:hAnsi="Arial Narrow"/>
                <w:sz w:val="20"/>
                <w:szCs w:val="20"/>
              </w:rPr>
              <w:t>GWCO</w:t>
            </w:r>
          </w:p>
        </w:tc>
        <w:tc>
          <w:tcPr>
            <w:tcW w:w="1807" w:type="dxa"/>
          </w:tcPr>
          <w:p w:rsidR="00FD5C06" w:rsidRPr="008B6152" w:rsidRDefault="00FD5C06" w:rsidP="005E1B97">
            <w:pPr>
              <w:jc w:val="center"/>
              <w:rPr>
                <w:rFonts w:ascii="Arial Narrow" w:hAnsi="Arial Narrow"/>
                <w:sz w:val="20"/>
                <w:szCs w:val="20"/>
              </w:rPr>
            </w:pPr>
            <w:r w:rsidRPr="008B6152">
              <w:rPr>
                <w:rFonts w:ascii="Arial Narrow" w:hAnsi="Arial Narrow"/>
                <w:sz w:val="20"/>
                <w:szCs w:val="20"/>
              </w:rPr>
              <w:t>-</w:t>
            </w:r>
          </w:p>
        </w:tc>
        <w:tc>
          <w:tcPr>
            <w:tcW w:w="1807" w:type="dxa"/>
          </w:tcPr>
          <w:p w:rsidR="00FD5C06" w:rsidRPr="008B6152" w:rsidRDefault="00FD5C06" w:rsidP="005E1B97">
            <w:pPr>
              <w:jc w:val="center"/>
              <w:rPr>
                <w:rFonts w:ascii="Arial Narrow" w:hAnsi="Arial Narrow"/>
                <w:sz w:val="20"/>
                <w:szCs w:val="20"/>
              </w:rPr>
            </w:pPr>
            <w:r w:rsidRPr="008B6152">
              <w:rPr>
                <w:rFonts w:ascii="Arial Narrow" w:hAnsi="Arial Narrow"/>
                <w:sz w:val="20"/>
                <w:szCs w:val="20"/>
              </w:rPr>
              <w:t>-1.04%(-1.22, -0.86)</w:t>
            </w:r>
          </w:p>
        </w:tc>
        <w:tc>
          <w:tcPr>
            <w:tcW w:w="1807" w:type="dxa"/>
          </w:tcPr>
          <w:p w:rsidR="00FD5C06" w:rsidRPr="008B6152" w:rsidRDefault="00FD5C06" w:rsidP="005E1B97">
            <w:pPr>
              <w:jc w:val="center"/>
              <w:rPr>
                <w:rFonts w:ascii="Arial Narrow" w:hAnsi="Arial Narrow"/>
                <w:sz w:val="20"/>
                <w:szCs w:val="20"/>
              </w:rPr>
            </w:pPr>
            <w:r w:rsidRPr="008B6152">
              <w:rPr>
                <w:rFonts w:ascii="Arial Narrow" w:hAnsi="Arial Narrow"/>
                <w:sz w:val="20"/>
                <w:szCs w:val="20"/>
              </w:rPr>
              <w:t>-1.74%-1.91, -1.56)</w:t>
            </w:r>
          </w:p>
        </w:tc>
        <w:tc>
          <w:tcPr>
            <w:tcW w:w="1808" w:type="dxa"/>
          </w:tcPr>
          <w:p w:rsidR="00FD5C06" w:rsidRPr="008B6152" w:rsidRDefault="00FD5C06" w:rsidP="005E1B97">
            <w:pPr>
              <w:jc w:val="center"/>
              <w:rPr>
                <w:rFonts w:ascii="Arial Narrow" w:hAnsi="Arial Narrow"/>
                <w:sz w:val="20"/>
                <w:szCs w:val="20"/>
              </w:rPr>
            </w:pPr>
            <w:r w:rsidRPr="008B6152">
              <w:rPr>
                <w:rFonts w:ascii="Arial Narrow" w:hAnsi="Arial Narrow"/>
                <w:sz w:val="20"/>
                <w:szCs w:val="20"/>
              </w:rPr>
              <w:t>-0.69% (-0.93, -0.46)</w:t>
            </w:r>
          </w:p>
        </w:tc>
      </w:tr>
      <w:tr w:rsidR="00FD5C06" w:rsidRPr="008B6152" w:rsidTr="004F16FA">
        <w:trPr>
          <w:trHeight w:val="58"/>
        </w:trPr>
        <w:tc>
          <w:tcPr>
            <w:tcW w:w="7264" w:type="dxa"/>
            <w:gridSpan w:val="4"/>
          </w:tcPr>
          <w:p w:rsidR="00FD5C06" w:rsidRPr="008B6152" w:rsidRDefault="00FD5C06" w:rsidP="005E1B97">
            <w:pPr>
              <w:jc w:val="right"/>
              <w:rPr>
                <w:rFonts w:ascii="Arial Narrow" w:hAnsi="Arial Narrow"/>
                <w:b/>
                <w:sz w:val="20"/>
                <w:szCs w:val="20"/>
              </w:rPr>
            </w:pPr>
            <w:r w:rsidRPr="008B6152">
              <w:rPr>
                <w:rFonts w:ascii="Arial Narrow" w:hAnsi="Arial Narrow"/>
                <w:b/>
                <w:sz w:val="20"/>
                <w:szCs w:val="20"/>
              </w:rPr>
              <w:t>Indirect estimate Scenario 2 (Result &lt;0 favours FRC)</w:t>
            </w:r>
          </w:p>
        </w:tc>
        <w:tc>
          <w:tcPr>
            <w:tcW w:w="1808" w:type="dxa"/>
          </w:tcPr>
          <w:p w:rsidR="00FD5C06" w:rsidRPr="008B6152" w:rsidRDefault="00FD5C06" w:rsidP="005E1B97">
            <w:pPr>
              <w:jc w:val="center"/>
              <w:rPr>
                <w:rFonts w:ascii="Arial Narrow" w:hAnsi="Arial Narrow"/>
                <w:b/>
                <w:sz w:val="20"/>
                <w:szCs w:val="20"/>
              </w:rPr>
            </w:pPr>
            <w:r w:rsidRPr="008B6152">
              <w:rPr>
                <w:rFonts w:ascii="Arial Narrow" w:hAnsi="Arial Narrow"/>
                <w:b/>
                <w:sz w:val="20"/>
                <w:szCs w:val="20"/>
              </w:rPr>
              <w:t>0.09 (-0.18, 0.36)</w:t>
            </w:r>
          </w:p>
        </w:tc>
      </w:tr>
      <w:tr w:rsidR="00FD5C06" w:rsidRPr="008B6152" w:rsidTr="004F16FA">
        <w:trPr>
          <w:trHeight w:val="58"/>
        </w:trPr>
        <w:tc>
          <w:tcPr>
            <w:tcW w:w="7264" w:type="dxa"/>
            <w:gridSpan w:val="4"/>
          </w:tcPr>
          <w:p w:rsidR="00FD5C06" w:rsidRPr="008B6152" w:rsidRDefault="00FD5C06" w:rsidP="005E1B97">
            <w:pPr>
              <w:jc w:val="right"/>
              <w:rPr>
                <w:rFonts w:ascii="Arial Narrow" w:hAnsi="Arial Narrow"/>
                <w:b/>
                <w:sz w:val="20"/>
                <w:szCs w:val="20"/>
              </w:rPr>
            </w:pPr>
            <w:r w:rsidRPr="008B6152">
              <w:rPr>
                <w:rFonts w:ascii="Arial Narrow" w:hAnsi="Arial Narrow"/>
                <w:b/>
                <w:sz w:val="20"/>
                <w:szCs w:val="20"/>
              </w:rPr>
              <w:t>Indirect estimate Scenario 3 (Result &lt;0 favours FRC)</w:t>
            </w:r>
          </w:p>
        </w:tc>
        <w:tc>
          <w:tcPr>
            <w:tcW w:w="1808" w:type="dxa"/>
          </w:tcPr>
          <w:p w:rsidR="00FD5C06" w:rsidRPr="008B6152" w:rsidRDefault="00FD5C06" w:rsidP="005E1B97">
            <w:pPr>
              <w:jc w:val="center"/>
              <w:rPr>
                <w:rFonts w:ascii="Arial Narrow" w:hAnsi="Arial Narrow"/>
                <w:b/>
                <w:sz w:val="20"/>
                <w:szCs w:val="20"/>
              </w:rPr>
            </w:pPr>
            <w:r w:rsidRPr="008B6152">
              <w:rPr>
                <w:rFonts w:ascii="Arial Narrow" w:hAnsi="Arial Narrow"/>
                <w:b/>
                <w:sz w:val="20"/>
                <w:szCs w:val="20"/>
              </w:rPr>
              <w:t>0.09 (-0.18, 0.36)</w:t>
            </w:r>
          </w:p>
        </w:tc>
      </w:tr>
    </w:tbl>
    <w:p w:rsidR="00FD5C06" w:rsidRPr="008B6152" w:rsidRDefault="00FD5C06" w:rsidP="00FD5C06">
      <w:pPr>
        <w:pStyle w:val="TableFooter"/>
        <w:rPr>
          <w:szCs w:val="18"/>
        </w:rPr>
      </w:pPr>
      <w:r w:rsidRPr="008B6152">
        <w:rPr>
          <w:szCs w:val="18"/>
        </w:rPr>
        <w:t>Source: Table 2.6.9, p129 and Table 2.6.12, p133 of the resubmission; 5.05 Insulin glargine with lixisenatide FRC PSD Table 6</w:t>
      </w:r>
    </w:p>
    <w:p w:rsidR="00FD5C06" w:rsidRPr="008B6152" w:rsidRDefault="00FD5C06" w:rsidP="00FD5C06">
      <w:pPr>
        <w:pStyle w:val="TableFooter"/>
        <w:rPr>
          <w:szCs w:val="18"/>
        </w:rPr>
      </w:pPr>
      <w:r w:rsidRPr="008B6152">
        <w:rPr>
          <w:szCs w:val="18"/>
        </w:rPr>
        <w:t>FRC, fixed ratio combination; CI, confidence interval; HbA1c, glycosylated haemoglobin</w:t>
      </w:r>
    </w:p>
    <w:p w:rsidR="00AF161F" w:rsidRPr="008B6152" w:rsidRDefault="00AF161F" w:rsidP="00FD5C06">
      <w:pPr>
        <w:pStyle w:val="TableFooter"/>
        <w:rPr>
          <w:szCs w:val="18"/>
        </w:rPr>
      </w:pPr>
      <w:r w:rsidRPr="008B6152">
        <w:rPr>
          <w:szCs w:val="18"/>
        </w:rPr>
        <w:t>Scenario 2 matched for variables interacting with the study treatment (treatment effect modifiers) that had different distributions across the trials and this analysis was relied upon by the resubmission for their clinical claim</w:t>
      </w:r>
    </w:p>
    <w:p w:rsidR="00AF161F" w:rsidRPr="008B6152" w:rsidRDefault="00AF161F" w:rsidP="00FD5C06">
      <w:pPr>
        <w:pStyle w:val="TableFooter"/>
        <w:rPr>
          <w:szCs w:val="18"/>
        </w:rPr>
      </w:pPr>
      <w:r w:rsidRPr="008B6152">
        <w:rPr>
          <w:szCs w:val="18"/>
        </w:rPr>
        <w:t>Scenario 3 matched for variables that interacted with the study treatment and had an impact on outcomes with different distributions between the trials</w:t>
      </w:r>
    </w:p>
    <w:p w:rsidR="00FD5C06" w:rsidRPr="008B6152" w:rsidRDefault="00FD5C06" w:rsidP="00FD5C06">
      <w:pPr>
        <w:pStyle w:val="TableFooter"/>
        <w:rPr>
          <w:rFonts w:asciiTheme="minorHAnsi" w:hAnsiTheme="minorHAnsi" w:cstheme="minorHAnsi"/>
          <w:sz w:val="24"/>
          <w:szCs w:val="18"/>
        </w:rPr>
      </w:pPr>
    </w:p>
    <w:p w:rsidR="009724BD" w:rsidRDefault="00AF161F" w:rsidP="00B2362A">
      <w:pPr>
        <w:pStyle w:val="ListParagraph"/>
        <w:keepNext/>
        <w:widowControl/>
        <w:numPr>
          <w:ilvl w:val="1"/>
          <w:numId w:val="3"/>
        </w:numPr>
        <w:rPr>
          <w:rFonts w:cs="Calibri"/>
          <w:snapToGrid/>
          <w:szCs w:val="24"/>
          <w:lang w:val="en-US" w:eastAsia="en-AU"/>
        </w:rPr>
      </w:pPr>
      <w:r w:rsidRPr="00D51C09">
        <w:rPr>
          <w:rFonts w:cs="Calibri"/>
          <w:snapToGrid/>
          <w:szCs w:val="24"/>
          <w:lang w:val="en-US" w:eastAsia="en-AU"/>
        </w:rPr>
        <w:t xml:space="preserve">As for the previous submission, the resubmission </w:t>
      </w:r>
      <w:r w:rsidR="00B5359E">
        <w:rPr>
          <w:rFonts w:cs="Calibri"/>
          <w:snapToGrid/>
          <w:szCs w:val="24"/>
          <w:lang w:val="en-US" w:eastAsia="en-AU"/>
        </w:rPr>
        <w:t>proposed</w:t>
      </w:r>
      <w:r w:rsidR="00B5359E" w:rsidRPr="00D51C09">
        <w:rPr>
          <w:rFonts w:cs="Calibri"/>
          <w:snapToGrid/>
          <w:szCs w:val="24"/>
          <w:lang w:val="en-US" w:eastAsia="en-AU"/>
        </w:rPr>
        <w:t xml:space="preserve"> </w:t>
      </w:r>
      <w:r w:rsidRPr="00D51C09">
        <w:rPr>
          <w:rFonts w:cs="Calibri"/>
          <w:snapToGrid/>
          <w:szCs w:val="24"/>
          <w:lang w:val="en-US" w:eastAsia="en-AU"/>
        </w:rPr>
        <w:t xml:space="preserve">that the results of the MAIC analyses supported the claim of non-inferior efficacy given that the upper bound of the 95% CI was within the MCID of 0.4 most recently used by the PBAC. In relation to the previous submission, considering the limitations of the MAIC, the PBAC </w:t>
      </w:r>
      <w:r w:rsidR="00E66774">
        <w:rPr>
          <w:rFonts w:cs="Calibri"/>
          <w:snapToGrid/>
          <w:szCs w:val="24"/>
          <w:lang w:val="en-US" w:eastAsia="en-AU"/>
        </w:rPr>
        <w:t>‘</w:t>
      </w:r>
      <w:r w:rsidRPr="00D51C09">
        <w:rPr>
          <w:rFonts w:cs="Calibri"/>
          <w:snapToGrid/>
          <w:szCs w:val="24"/>
          <w:lang w:val="en-US" w:eastAsia="en-AU"/>
        </w:rPr>
        <w:t xml:space="preserve">acknowledged that for the outcome of change in HbA1c at Week 30, the matching undertaken (in Scenarios 2 and 3) resulted in an upper 95% confidence interval of 0.36% which was lower than the 0.4% non-inferiority margin, but not the 0.3% </w:t>
      </w:r>
      <w:r w:rsidRPr="00B66CF9">
        <w:rPr>
          <w:rFonts w:cs="Calibri"/>
          <w:snapToGrid/>
          <w:szCs w:val="24"/>
          <w:lang w:val="en-US" w:eastAsia="en-AU"/>
        </w:rPr>
        <w:t>margin</w:t>
      </w:r>
      <w:r w:rsidR="00E66774">
        <w:rPr>
          <w:rFonts w:cs="Calibri"/>
          <w:snapToGrid/>
          <w:szCs w:val="24"/>
          <w:lang w:val="en-US" w:eastAsia="en-AU"/>
        </w:rPr>
        <w:t>’</w:t>
      </w:r>
      <w:r w:rsidRPr="00B66CF9">
        <w:rPr>
          <w:rFonts w:cs="Calibri"/>
          <w:snapToGrid/>
          <w:szCs w:val="24"/>
          <w:lang w:val="en-US" w:eastAsia="en-AU"/>
        </w:rPr>
        <w:t xml:space="preserve"> (5.05 Insulin glargine with lixisenatide</w:t>
      </w:r>
      <w:r w:rsidR="00416D72">
        <w:rPr>
          <w:rFonts w:cs="Calibri"/>
          <w:snapToGrid/>
          <w:szCs w:val="24"/>
          <w:lang w:val="en-US" w:eastAsia="en-AU"/>
        </w:rPr>
        <w:t>,</w:t>
      </w:r>
      <w:r w:rsidRPr="00B66CF9">
        <w:rPr>
          <w:rFonts w:cs="Calibri"/>
          <w:snapToGrid/>
          <w:szCs w:val="24"/>
          <w:lang w:val="en-US" w:eastAsia="en-AU"/>
        </w:rPr>
        <w:t xml:space="preserve"> March 2018</w:t>
      </w:r>
      <w:r w:rsidR="00E022F2">
        <w:rPr>
          <w:rFonts w:cs="Calibri"/>
          <w:snapToGrid/>
          <w:szCs w:val="24"/>
          <w:lang w:val="en-US" w:eastAsia="en-AU"/>
        </w:rPr>
        <w:t xml:space="preserve"> PBAC Meeting</w:t>
      </w:r>
      <w:r w:rsidRPr="00B66CF9">
        <w:rPr>
          <w:rFonts w:cs="Calibri"/>
          <w:snapToGrid/>
          <w:szCs w:val="24"/>
          <w:lang w:val="en-US" w:eastAsia="en-AU"/>
        </w:rPr>
        <w:t xml:space="preserve"> PSD</w:t>
      </w:r>
      <w:r w:rsidR="00416D72">
        <w:rPr>
          <w:rFonts w:cs="Calibri"/>
          <w:snapToGrid/>
          <w:szCs w:val="24"/>
          <w:lang w:val="en-US" w:eastAsia="en-AU"/>
        </w:rPr>
        <w:t>,</w:t>
      </w:r>
      <w:r w:rsidRPr="00B66CF9">
        <w:rPr>
          <w:rFonts w:cs="Calibri"/>
          <w:snapToGrid/>
          <w:szCs w:val="24"/>
          <w:lang w:val="en-US" w:eastAsia="en-AU"/>
        </w:rPr>
        <w:t xml:space="preserve"> paragraph 7.7).</w:t>
      </w:r>
      <w:r w:rsidR="008229C9" w:rsidRPr="00B66CF9">
        <w:rPr>
          <w:rFonts w:cs="Calibri"/>
          <w:snapToGrid/>
          <w:szCs w:val="24"/>
          <w:lang w:val="en-US" w:eastAsia="en-AU"/>
        </w:rPr>
        <w:t xml:space="preserve"> The ESC considered that as per the original submission, </w:t>
      </w:r>
      <w:r w:rsidR="00EA4AE8">
        <w:rPr>
          <w:rFonts w:cs="Calibri"/>
          <w:snapToGrid/>
          <w:szCs w:val="24"/>
          <w:lang w:val="en-US" w:eastAsia="en-AU"/>
        </w:rPr>
        <w:t xml:space="preserve">the evidence presented did not support </w:t>
      </w:r>
      <w:r w:rsidR="008229C9" w:rsidRPr="00B66CF9">
        <w:rPr>
          <w:rFonts w:cs="Calibri"/>
          <w:snapToGrid/>
          <w:szCs w:val="24"/>
          <w:lang w:val="en-US" w:eastAsia="en-AU"/>
        </w:rPr>
        <w:t>non-inferiority</w:t>
      </w:r>
      <w:r w:rsidR="00EA4AE8">
        <w:rPr>
          <w:rFonts w:cs="Calibri"/>
          <w:snapToGrid/>
          <w:szCs w:val="24"/>
          <w:lang w:val="en-US" w:eastAsia="en-AU"/>
        </w:rPr>
        <w:t xml:space="preserve">. </w:t>
      </w:r>
    </w:p>
    <w:p w:rsidR="00B2362A" w:rsidRDefault="00817AE6" w:rsidP="00B2362A">
      <w:pPr>
        <w:pStyle w:val="ListParagraph"/>
        <w:keepNext/>
        <w:widowControl/>
        <w:numPr>
          <w:ilvl w:val="1"/>
          <w:numId w:val="3"/>
        </w:numPr>
        <w:rPr>
          <w:rFonts w:cs="Calibri"/>
          <w:snapToGrid/>
          <w:szCs w:val="24"/>
          <w:lang w:val="en-US" w:eastAsia="en-AU"/>
        </w:rPr>
      </w:pPr>
      <w:r w:rsidRPr="00B66CF9">
        <w:rPr>
          <w:rFonts w:cs="Calibri"/>
          <w:snapToGrid/>
          <w:szCs w:val="24"/>
          <w:lang w:val="en-US" w:eastAsia="en-AU"/>
        </w:rPr>
        <w:t>The ESC</w:t>
      </w:r>
      <w:r w:rsidR="00D51C09" w:rsidRPr="00B66CF9">
        <w:rPr>
          <w:rFonts w:cs="Calibri"/>
          <w:snapToGrid/>
          <w:szCs w:val="24"/>
          <w:lang w:val="en-US" w:eastAsia="en-AU"/>
        </w:rPr>
        <w:t xml:space="preserve"> reiterated its previous advice that </w:t>
      </w:r>
      <w:r w:rsidR="00E66774">
        <w:rPr>
          <w:rFonts w:cs="Calibri"/>
          <w:snapToGrid/>
          <w:szCs w:val="24"/>
          <w:lang w:val="en-US" w:eastAsia="en-AU"/>
        </w:rPr>
        <w:t>‘</w:t>
      </w:r>
      <w:r w:rsidR="00E66774" w:rsidRPr="00B66CF9">
        <w:rPr>
          <w:rFonts w:cs="Calibri"/>
          <w:snapToGrid/>
          <w:szCs w:val="24"/>
          <w:lang w:val="en-US" w:eastAsia="en-AU"/>
        </w:rPr>
        <w:t xml:space="preserve"> </w:t>
      </w:r>
      <w:r w:rsidR="00D51C09" w:rsidRPr="00B66CF9">
        <w:rPr>
          <w:rFonts w:cs="Calibri"/>
          <w:snapToGrid/>
          <w:szCs w:val="24"/>
          <w:lang w:val="en-US" w:eastAsia="en-AU"/>
        </w:rPr>
        <w:t xml:space="preserve">… the dose of insulin was capped in the LIXILAN-L trial with 27% of participants reaching that cap, and that there was a </w:t>
      </w:r>
      <w:r w:rsidR="00D51C09" w:rsidRPr="00B66CF9">
        <w:rPr>
          <w:rFonts w:cs="Calibri"/>
          <w:snapToGrid/>
          <w:szCs w:val="24"/>
          <w:lang w:val="en-US" w:eastAsia="en-AU"/>
        </w:rPr>
        <w:lastRenderedPageBreak/>
        <w:t>statistically significant reduction in insulin glargine doses for patients using exenatide in the GWCO trial which was not observed in the LIXILAN-L trial for patients using insulin glargine with lixisenatide</w:t>
      </w:r>
      <w:r w:rsidR="00E66774" w:rsidRPr="00B66CF9">
        <w:rPr>
          <w:rFonts w:cs="Calibri"/>
          <w:snapToGrid/>
          <w:szCs w:val="24"/>
          <w:lang w:val="en-US" w:eastAsia="en-AU"/>
        </w:rPr>
        <w:t>.</w:t>
      </w:r>
      <w:r w:rsidR="00E66774">
        <w:rPr>
          <w:rFonts w:cs="Calibri"/>
          <w:snapToGrid/>
          <w:szCs w:val="24"/>
          <w:lang w:val="en-US" w:eastAsia="en-AU"/>
        </w:rPr>
        <w:t>’</w:t>
      </w:r>
      <w:r w:rsidR="00E66774" w:rsidRPr="00B66CF9">
        <w:rPr>
          <w:rFonts w:cs="Calibri"/>
          <w:snapToGrid/>
          <w:szCs w:val="24"/>
          <w:lang w:val="en-US" w:eastAsia="en-AU"/>
        </w:rPr>
        <w:t xml:space="preserve"> </w:t>
      </w:r>
      <w:r w:rsidR="00D51C09" w:rsidRPr="00B66CF9">
        <w:rPr>
          <w:rFonts w:cs="Calibri"/>
          <w:snapToGrid/>
          <w:szCs w:val="24"/>
          <w:lang w:val="en-US" w:eastAsia="en-AU"/>
        </w:rPr>
        <w:t>(</w:t>
      </w:r>
      <w:r w:rsidR="00416D72">
        <w:rPr>
          <w:rFonts w:cs="Calibri"/>
          <w:snapToGrid/>
          <w:szCs w:val="24"/>
          <w:lang w:val="en-US" w:eastAsia="en-AU"/>
        </w:rPr>
        <w:t xml:space="preserve">5.05 </w:t>
      </w:r>
      <w:r w:rsidR="00D51C09" w:rsidRPr="00B66CF9">
        <w:rPr>
          <w:rFonts w:cs="Calibri"/>
          <w:snapToGrid/>
          <w:szCs w:val="24"/>
          <w:lang w:val="en-US" w:eastAsia="en-AU"/>
        </w:rPr>
        <w:t>Insulin glargine with lixisenatide PSD, March 2018</w:t>
      </w:r>
      <w:r w:rsidR="00273668">
        <w:rPr>
          <w:rFonts w:cs="Calibri"/>
          <w:snapToGrid/>
          <w:szCs w:val="24"/>
          <w:lang w:val="en-US" w:eastAsia="en-AU"/>
        </w:rPr>
        <w:t xml:space="preserve"> PBAC Meeting</w:t>
      </w:r>
      <w:r w:rsidR="00D51C09" w:rsidRPr="00B66CF9">
        <w:rPr>
          <w:rFonts w:cs="Calibri"/>
          <w:snapToGrid/>
          <w:szCs w:val="24"/>
          <w:lang w:val="en-US" w:eastAsia="en-AU"/>
        </w:rPr>
        <w:t>,</w:t>
      </w:r>
      <w:r w:rsidRPr="00B66CF9">
        <w:rPr>
          <w:rFonts w:cs="Calibri"/>
          <w:snapToGrid/>
          <w:szCs w:val="24"/>
          <w:lang w:val="en-US" w:eastAsia="en-AU"/>
        </w:rPr>
        <w:t xml:space="preserve"> </w:t>
      </w:r>
      <w:r w:rsidR="00D51C09" w:rsidRPr="00B66CF9">
        <w:rPr>
          <w:rFonts w:cs="Calibri"/>
          <w:snapToGrid/>
          <w:szCs w:val="24"/>
          <w:lang w:val="en-US" w:eastAsia="en-AU"/>
        </w:rPr>
        <w:t>paragraph 6.28)</w:t>
      </w:r>
      <w:r w:rsidR="008229C9" w:rsidRPr="00B66CF9">
        <w:rPr>
          <w:rFonts w:cs="Calibri"/>
          <w:snapToGrid/>
          <w:szCs w:val="24"/>
          <w:lang w:val="en-US" w:eastAsia="en-AU"/>
        </w:rPr>
        <w:t>.</w:t>
      </w:r>
      <w:r w:rsidR="00BB2B44" w:rsidRPr="00B66CF9">
        <w:rPr>
          <w:rFonts w:cs="Calibri"/>
          <w:snapToGrid/>
          <w:szCs w:val="24"/>
          <w:lang w:val="en-US" w:eastAsia="en-AU"/>
        </w:rPr>
        <w:t xml:space="preserve"> The ESC noted that for patients to get the recommended dose of lixisenatide of 20mcg</w:t>
      </w:r>
      <w:r w:rsidR="00273668">
        <w:rPr>
          <w:rFonts w:cs="Calibri"/>
          <w:snapToGrid/>
          <w:szCs w:val="24"/>
          <w:lang w:val="en-US" w:eastAsia="en-AU"/>
        </w:rPr>
        <w:t xml:space="preserve"> they</w:t>
      </w:r>
      <w:r w:rsidR="00BB2B44" w:rsidRPr="00B66CF9">
        <w:rPr>
          <w:rFonts w:cs="Calibri"/>
          <w:snapToGrid/>
          <w:szCs w:val="24"/>
          <w:lang w:val="en-US" w:eastAsia="en-AU"/>
        </w:rPr>
        <w:t xml:space="preserve"> would require a 60 unit dose of insulin</w:t>
      </w:r>
      <w:r w:rsidR="003B2B91" w:rsidRPr="00B66CF9">
        <w:rPr>
          <w:rFonts w:cs="Calibri"/>
          <w:snapToGrid/>
          <w:szCs w:val="24"/>
          <w:lang w:val="en-US" w:eastAsia="en-AU"/>
        </w:rPr>
        <w:t xml:space="preserve">, and that many patients needing to </w:t>
      </w:r>
      <w:r w:rsidR="00441C49" w:rsidRPr="00B66CF9">
        <w:rPr>
          <w:rFonts w:cs="Calibri"/>
          <w:snapToGrid/>
          <w:szCs w:val="24"/>
          <w:lang w:val="en-US" w:eastAsia="en-AU"/>
        </w:rPr>
        <w:t>down titrate</w:t>
      </w:r>
      <w:r w:rsidR="003B2B91" w:rsidRPr="00B66CF9">
        <w:rPr>
          <w:rFonts w:cs="Calibri"/>
          <w:snapToGrid/>
          <w:szCs w:val="24"/>
          <w:lang w:val="en-US" w:eastAsia="en-AU"/>
        </w:rPr>
        <w:t xml:space="preserve"> the insulin dose to avoid hypoglycaemic events would not be receiving the therapeutic </w:t>
      </w:r>
      <w:r w:rsidR="003B2B91" w:rsidRPr="00737B42">
        <w:rPr>
          <w:rFonts w:cs="Calibri"/>
          <w:snapToGrid/>
          <w:szCs w:val="24"/>
          <w:lang w:val="en-US" w:eastAsia="en-AU"/>
        </w:rPr>
        <w:t>lixisenatide dose</w:t>
      </w:r>
      <w:r w:rsidR="00BB2B44" w:rsidRPr="00737B42">
        <w:rPr>
          <w:rFonts w:cs="Calibri"/>
          <w:snapToGrid/>
          <w:szCs w:val="24"/>
          <w:lang w:val="en-US" w:eastAsia="en-AU"/>
        </w:rPr>
        <w:t>.</w:t>
      </w:r>
      <w:r w:rsidR="0049397D">
        <w:rPr>
          <w:rFonts w:cs="Calibri"/>
          <w:snapToGrid/>
          <w:szCs w:val="24"/>
          <w:lang w:val="en-US" w:eastAsia="en-AU"/>
        </w:rPr>
        <w:t xml:space="preserve"> </w:t>
      </w:r>
      <w:r w:rsidR="00490292">
        <w:rPr>
          <w:rFonts w:cs="Calibri"/>
          <w:snapToGrid/>
          <w:szCs w:val="24"/>
          <w:lang w:val="en-US" w:eastAsia="en-AU"/>
        </w:rPr>
        <w:t>The Pre-PBAC Response stated that patients whose glargine requirements exceed the amounts allowable by FRC would either not initiate therapy or would transition off therapy of insulin glargine with lixisenatide, and that those in the tr</w:t>
      </w:r>
      <w:r w:rsidR="00F518D7">
        <w:rPr>
          <w:rFonts w:cs="Calibri"/>
          <w:snapToGrid/>
          <w:szCs w:val="24"/>
          <w:lang w:val="en-US" w:eastAsia="en-AU"/>
        </w:rPr>
        <w:t>ial who reached the maximum g</w:t>
      </w:r>
      <w:r w:rsidR="00490292">
        <w:rPr>
          <w:rFonts w:cs="Calibri"/>
          <w:snapToGrid/>
          <w:szCs w:val="24"/>
          <w:lang w:val="en-US" w:eastAsia="en-AU"/>
        </w:rPr>
        <w:t>largine dose would have sought different treatment outside of the trial protocol.</w:t>
      </w:r>
      <w:r w:rsidR="0049397D">
        <w:rPr>
          <w:rFonts w:cs="Calibri"/>
          <w:snapToGrid/>
          <w:szCs w:val="24"/>
          <w:lang w:val="en-US" w:eastAsia="en-AU"/>
        </w:rPr>
        <w:t xml:space="preserve"> </w:t>
      </w:r>
      <w:r w:rsidR="00490292">
        <w:rPr>
          <w:rFonts w:cs="Calibri"/>
          <w:snapToGrid/>
          <w:szCs w:val="24"/>
          <w:lang w:val="en-US" w:eastAsia="en-AU"/>
        </w:rPr>
        <w:t>The sponsor posed that that this 27% of patients may explain some of the difference in efficacy between lixisenatide and exenatide.</w:t>
      </w:r>
    </w:p>
    <w:p w:rsidR="00490292" w:rsidRPr="00737B42" w:rsidRDefault="00490292" w:rsidP="00490292">
      <w:pPr>
        <w:pStyle w:val="ListParagraph"/>
        <w:widowControl/>
        <w:numPr>
          <w:ilvl w:val="1"/>
          <w:numId w:val="3"/>
        </w:numPr>
      </w:pPr>
      <w:r w:rsidRPr="00B66CF9">
        <w:t xml:space="preserve">The ESC also noted there </w:t>
      </w:r>
      <w:r>
        <w:t>wa</w:t>
      </w:r>
      <w:r w:rsidRPr="00B66CF9">
        <w:t>s a lack of evidence to inform comparisons between the full dose of exenatide usually administered and partial doses of lixisenatide in the FRC product given the flexible insulin dosing in the trials.</w:t>
      </w:r>
      <w:r>
        <w:t xml:space="preserve"> </w:t>
      </w:r>
      <w:r w:rsidRPr="00737B42">
        <w:t xml:space="preserve">The Pre-PBAC </w:t>
      </w:r>
      <w:r w:rsidR="003B7D1E">
        <w:t>R</w:t>
      </w:r>
      <w:r w:rsidRPr="00737B42">
        <w:t xml:space="preserve">esponse stated that it was not appropriate to compare </w:t>
      </w:r>
      <w:r w:rsidRPr="00737B42">
        <w:rPr>
          <w:szCs w:val="24"/>
        </w:rPr>
        <w:t xml:space="preserve">the doses of lixisenatide administered via the FRC in isolation without consideration of the insulin component, because, the impact of the FRC on accepted measures of disease control is driven by both components. The sponsor claimed that </w:t>
      </w:r>
      <w:r w:rsidRPr="00737B42">
        <w:t>the MAIC was the best available evidence to compare the clinical effectiveness of insulin glargine with lixisenatide FRC to exenatide plus insulin glargine, because the MAIC study examined the most clinically relevant metric, HbA1c reduction (rather than insulin dose).</w:t>
      </w:r>
      <w:r w:rsidR="0049397D">
        <w:t xml:space="preserve"> </w:t>
      </w:r>
    </w:p>
    <w:p w:rsidR="00B2362A" w:rsidRDefault="00FD5C06" w:rsidP="00B2362A">
      <w:pPr>
        <w:pStyle w:val="ListParagraph"/>
        <w:keepNext/>
        <w:widowControl/>
        <w:numPr>
          <w:ilvl w:val="1"/>
          <w:numId w:val="3"/>
        </w:numPr>
        <w:rPr>
          <w:rFonts w:cs="Calibri"/>
          <w:snapToGrid/>
          <w:szCs w:val="24"/>
          <w:lang w:val="en-US" w:eastAsia="en-AU"/>
        </w:rPr>
      </w:pPr>
      <w:r w:rsidRPr="00B66CF9">
        <w:rPr>
          <w:rFonts w:cs="Calibri"/>
          <w:snapToGrid/>
          <w:szCs w:val="24"/>
          <w:lang w:val="en-US" w:eastAsia="en-AU"/>
        </w:rPr>
        <w:t xml:space="preserve">The resubmission also provided data from the open-label, parallel-group, multicentre, randomised GetGoal-X trial, which </w:t>
      </w:r>
      <w:r w:rsidR="00402539" w:rsidRPr="00B66CF9">
        <w:rPr>
          <w:rFonts w:cs="Calibri"/>
          <w:snapToGrid/>
          <w:szCs w:val="24"/>
          <w:lang w:val="en-US" w:eastAsia="en-AU"/>
        </w:rPr>
        <w:t>enrolled patients with T2DM inadequately controlled with metformin.</w:t>
      </w:r>
      <w:r w:rsidR="0031604C" w:rsidRPr="00B66CF9">
        <w:rPr>
          <w:rFonts w:cs="Calibri"/>
          <w:snapToGrid/>
          <w:szCs w:val="24"/>
          <w:lang w:val="en-US" w:eastAsia="en-AU"/>
        </w:rPr>
        <w:t xml:space="preserve"> </w:t>
      </w:r>
      <w:r w:rsidR="00402539" w:rsidRPr="00B66CF9">
        <w:rPr>
          <w:rFonts w:cs="Calibri"/>
          <w:snapToGrid/>
          <w:szCs w:val="24"/>
          <w:lang w:val="en-US" w:eastAsia="en-AU"/>
        </w:rPr>
        <w:t>Patients were randomi</w:t>
      </w:r>
      <w:r w:rsidR="009560C9" w:rsidRPr="00B66CF9">
        <w:rPr>
          <w:rFonts w:cs="Calibri"/>
          <w:snapToGrid/>
          <w:szCs w:val="24"/>
          <w:lang w:val="en-US" w:eastAsia="en-AU"/>
        </w:rPr>
        <w:t>s</w:t>
      </w:r>
      <w:r w:rsidR="00402539" w:rsidRPr="00B66CF9">
        <w:rPr>
          <w:rFonts w:cs="Calibri"/>
          <w:snapToGrid/>
          <w:szCs w:val="24"/>
          <w:lang w:val="en-US" w:eastAsia="en-AU"/>
        </w:rPr>
        <w:t xml:space="preserve">ed to receive either </w:t>
      </w:r>
      <w:r w:rsidRPr="00B66CF9">
        <w:rPr>
          <w:rFonts w:cs="Calibri"/>
          <w:snapToGrid/>
          <w:szCs w:val="24"/>
          <w:lang w:val="en-US" w:eastAsia="en-AU"/>
        </w:rPr>
        <w:t>lixisenatide 20 mcg once daily</w:t>
      </w:r>
      <w:r w:rsidR="00402539" w:rsidRPr="00B66CF9">
        <w:rPr>
          <w:rFonts w:cs="Calibri"/>
          <w:snapToGrid/>
          <w:szCs w:val="24"/>
          <w:lang w:val="en-US" w:eastAsia="en-AU"/>
        </w:rPr>
        <w:t xml:space="preserve"> (n=318)</w:t>
      </w:r>
      <w:r w:rsidRPr="00B66CF9">
        <w:rPr>
          <w:rFonts w:cs="Calibri"/>
          <w:snapToGrid/>
          <w:szCs w:val="24"/>
          <w:lang w:val="en-US" w:eastAsia="en-AU"/>
        </w:rPr>
        <w:t xml:space="preserve"> </w:t>
      </w:r>
      <w:r w:rsidR="00402539" w:rsidRPr="00B66CF9">
        <w:rPr>
          <w:rFonts w:cs="Calibri"/>
          <w:snapToGrid/>
          <w:szCs w:val="24"/>
          <w:lang w:val="en-US" w:eastAsia="en-AU"/>
        </w:rPr>
        <w:t>or</w:t>
      </w:r>
      <w:r w:rsidRPr="00B66CF9">
        <w:rPr>
          <w:rFonts w:cs="Calibri"/>
          <w:snapToGrid/>
          <w:szCs w:val="24"/>
          <w:lang w:val="en-US" w:eastAsia="en-AU"/>
        </w:rPr>
        <w:t xml:space="preserve"> exenatide 10 mcg twice daily </w:t>
      </w:r>
      <w:r w:rsidR="00402539" w:rsidRPr="00B66CF9">
        <w:rPr>
          <w:rFonts w:cs="Calibri"/>
          <w:snapToGrid/>
          <w:szCs w:val="24"/>
          <w:lang w:val="en-US" w:eastAsia="en-AU"/>
        </w:rPr>
        <w:t xml:space="preserve">(n=316), and change in </w:t>
      </w:r>
      <w:r w:rsidRPr="00B66CF9">
        <w:rPr>
          <w:rFonts w:cs="Calibri"/>
          <w:snapToGrid/>
          <w:szCs w:val="24"/>
          <w:lang w:val="en-US" w:eastAsia="en-AU"/>
        </w:rPr>
        <w:t xml:space="preserve">HbA1c from baseline to Week 24 </w:t>
      </w:r>
      <w:r w:rsidR="00402539" w:rsidRPr="00B66CF9">
        <w:rPr>
          <w:rFonts w:cs="Calibri"/>
          <w:snapToGrid/>
          <w:szCs w:val="24"/>
          <w:lang w:val="en-US" w:eastAsia="en-AU"/>
        </w:rPr>
        <w:t>was measured.</w:t>
      </w:r>
      <w:r w:rsidR="0031604C" w:rsidRPr="00B66CF9">
        <w:rPr>
          <w:rFonts w:cs="Calibri"/>
          <w:snapToGrid/>
          <w:szCs w:val="24"/>
          <w:lang w:val="en-US" w:eastAsia="en-AU"/>
        </w:rPr>
        <w:t xml:space="preserve"> </w:t>
      </w:r>
      <w:r w:rsidR="00402539" w:rsidRPr="00B66CF9">
        <w:rPr>
          <w:rFonts w:cs="Calibri"/>
          <w:snapToGrid/>
          <w:szCs w:val="24"/>
          <w:lang w:val="en-US" w:eastAsia="en-AU"/>
        </w:rPr>
        <w:t>T</w:t>
      </w:r>
      <w:r w:rsidRPr="00B66CF9">
        <w:rPr>
          <w:rFonts w:cs="Calibri"/>
          <w:snapToGrid/>
          <w:szCs w:val="24"/>
          <w:lang w:val="en-US" w:eastAsia="en-AU"/>
        </w:rPr>
        <w:t xml:space="preserve">he trial </w:t>
      </w:r>
      <w:r w:rsidR="00402539" w:rsidRPr="00B66CF9">
        <w:rPr>
          <w:rFonts w:cs="Calibri"/>
          <w:snapToGrid/>
          <w:szCs w:val="24"/>
          <w:lang w:val="en-US" w:eastAsia="en-AU"/>
        </w:rPr>
        <w:t>reported a least squares (LS) mean difference of 0.17% (95% CI</w:t>
      </w:r>
      <w:r w:rsidR="00A33EF8" w:rsidRPr="00B66CF9">
        <w:rPr>
          <w:rFonts w:cs="Calibri"/>
          <w:snapToGrid/>
          <w:szCs w:val="24"/>
          <w:lang w:val="en-US" w:eastAsia="en-AU"/>
        </w:rPr>
        <w:t>:</w:t>
      </w:r>
      <w:r w:rsidR="00402539" w:rsidRPr="00B66CF9">
        <w:rPr>
          <w:rFonts w:cs="Calibri"/>
          <w:snapToGrid/>
          <w:szCs w:val="24"/>
          <w:lang w:val="en-US" w:eastAsia="en-AU"/>
        </w:rPr>
        <w:t xml:space="preserve"> 0.033, 0.297) in HbA1c change from baseline between the </w:t>
      </w:r>
      <w:r w:rsidR="00E005DD" w:rsidRPr="00B66CF9">
        <w:rPr>
          <w:rFonts w:cs="Calibri"/>
          <w:snapToGrid/>
          <w:szCs w:val="24"/>
          <w:lang w:val="en-US" w:eastAsia="en-AU"/>
        </w:rPr>
        <w:t xml:space="preserve">lixisenatide </w:t>
      </w:r>
      <w:r w:rsidR="00AD76FF" w:rsidRPr="00B66CF9">
        <w:rPr>
          <w:rFonts w:cs="Calibri"/>
          <w:snapToGrid/>
          <w:szCs w:val="24"/>
          <w:lang w:val="en-US" w:eastAsia="en-AU"/>
        </w:rPr>
        <w:t xml:space="preserve">(-0.79%) </w:t>
      </w:r>
      <w:r w:rsidR="00E005DD" w:rsidRPr="00B66CF9">
        <w:rPr>
          <w:rFonts w:cs="Calibri"/>
          <w:snapToGrid/>
          <w:szCs w:val="24"/>
          <w:lang w:val="en-US" w:eastAsia="en-AU"/>
        </w:rPr>
        <w:t>and exenatide</w:t>
      </w:r>
      <w:r w:rsidR="00AD76FF" w:rsidRPr="00B66CF9">
        <w:rPr>
          <w:rFonts w:cs="Calibri"/>
          <w:snapToGrid/>
          <w:szCs w:val="24"/>
          <w:lang w:val="en-US" w:eastAsia="en-AU"/>
        </w:rPr>
        <w:t xml:space="preserve"> (-0.96%)</w:t>
      </w:r>
      <w:r w:rsidR="00402539" w:rsidRPr="00B66CF9">
        <w:rPr>
          <w:rFonts w:cs="Calibri"/>
          <w:snapToGrid/>
          <w:szCs w:val="24"/>
          <w:lang w:val="en-US" w:eastAsia="en-AU"/>
        </w:rPr>
        <w:t>.</w:t>
      </w:r>
      <w:r w:rsidR="0031604C" w:rsidRPr="00B66CF9">
        <w:rPr>
          <w:rFonts w:cs="Calibri"/>
          <w:snapToGrid/>
          <w:szCs w:val="24"/>
          <w:lang w:val="en-US" w:eastAsia="en-AU"/>
        </w:rPr>
        <w:t xml:space="preserve"> </w:t>
      </w:r>
      <w:r w:rsidRPr="00B66CF9">
        <w:rPr>
          <w:rFonts w:cs="Calibri"/>
          <w:snapToGrid/>
          <w:szCs w:val="24"/>
          <w:lang w:val="en-US" w:eastAsia="en-AU"/>
        </w:rPr>
        <w:t xml:space="preserve">The </w:t>
      </w:r>
      <w:r w:rsidR="00402539" w:rsidRPr="00B66CF9">
        <w:rPr>
          <w:rFonts w:cs="Calibri"/>
          <w:snapToGrid/>
          <w:szCs w:val="24"/>
          <w:lang w:val="en-US" w:eastAsia="en-AU"/>
        </w:rPr>
        <w:t>resubmission argue</w:t>
      </w:r>
      <w:r w:rsidR="009560C9" w:rsidRPr="00B66CF9">
        <w:rPr>
          <w:rFonts w:cs="Calibri"/>
          <w:snapToGrid/>
          <w:szCs w:val="24"/>
          <w:lang w:val="en-US" w:eastAsia="en-AU"/>
        </w:rPr>
        <w:t>d</w:t>
      </w:r>
      <w:r w:rsidR="00402539" w:rsidRPr="00B66CF9">
        <w:rPr>
          <w:rFonts w:cs="Calibri"/>
          <w:snapToGrid/>
          <w:szCs w:val="24"/>
          <w:lang w:val="en-US" w:eastAsia="en-AU"/>
        </w:rPr>
        <w:t xml:space="preserve"> that as the </w:t>
      </w:r>
      <w:r w:rsidRPr="00B66CF9">
        <w:rPr>
          <w:rFonts w:cs="Calibri"/>
          <w:snapToGrid/>
          <w:szCs w:val="24"/>
          <w:lang w:val="en-US" w:eastAsia="en-AU"/>
        </w:rPr>
        <w:t>treatment difference met the pre-defined non-inferiority margin of 0.4%</w:t>
      </w:r>
      <w:r w:rsidR="00402539" w:rsidRPr="00B66CF9">
        <w:rPr>
          <w:rFonts w:cs="Calibri"/>
          <w:snapToGrid/>
          <w:szCs w:val="24"/>
          <w:lang w:val="en-US" w:eastAsia="en-AU"/>
        </w:rPr>
        <w:t>, lixisenatide was non-inferior to exenatide</w:t>
      </w:r>
      <w:r w:rsidRPr="00B66CF9">
        <w:rPr>
          <w:rFonts w:cs="Calibri"/>
          <w:snapToGrid/>
          <w:szCs w:val="24"/>
          <w:lang w:val="en-US" w:eastAsia="en-AU"/>
        </w:rPr>
        <w:t>.</w:t>
      </w:r>
      <w:r w:rsidR="0031604C" w:rsidRPr="00B66CF9">
        <w:rPr>
          <w:rFonts w:cs="Calibri"/>
          <w:snapToGrid/>
          <w:szCs w:val="24"/>
          <w:lang w:val="en-US" w:eastAsia="en-AU"/>
        </w:rPr>
        <w:t xml:space="preserve"> </w:t>
      </w:r>
      <w:r w:rsidR="00402539" w:rsidRPr="00B66CF9">
        <w:rPr>
          <w:rFonts w:cs="Calibri"/>
          <w:snapToGrid/>
          <w:szCs w:val="24"/>
          <w:lang w:val="en-US" w:eastAsia="en-AU"/>
        </w:rPr>
        <w:t>Th</w:t>
      </w:r>
      <w:r w:rsidR="00737B42">
        <w:rPr>
          <w:rFonts w:cs="Calibri"/>
          <w:snapToGrid/>
          <w:szCs w:val="24"/>
          <w:lang w:val="en-US" w:eastAsia="en-AU"/>
        </w:rPr>
        <w:t>e evaluation noted that this</w:t>
      </w:r>
      <w:r w:rsidR="00402539" w:rsidRPr="00B66CF9">
        <w:rPr>
          <w:rFonts w:cs="Calibri"/>
          <w:snapToGrid/>
          <w:szCs w:val="24"/>
          <w:lang w:val="en-US" w:eastAsia="en-AU"/>
        </w:rPr>
        <w:t xml:space="preserve"> may not be appropriate, as treatment with exenatide resulted in statistically significantly greater reduction in HbA1c from baseline than treatment with lixisenatide.</w:t>
      </w:r>
      <w:r w:rsidR="0031604C" w:rsidRPr="00B66CF9">
        <w:rPr>
          <w:rFonts w:cs="Calibri"/>
          <w:snapToGrid/>
          <w:szCs w:val="24"/>
          <w:lang w:val="en-US" w:eastAsia="en-AU"/>
        </w:rPr>
        <w:t xml:space="preserve"> </w:t>
      </w:r>
      <w:r w:rsidR="0000694B" w:rsidRPr="00B66CF9">
        <w:rPr>
          <w:rFonts w:cs="Calibri"/>
          <w:snapToGrid/>
          <w:szCs w:val="24"/>
          <w:lang w:val="en-US" w:eastAsia="en-AU"/>
        </w:rPr>
        <w:t>This is also consistent with the PBAC’s comment in the previous submission that lixisenatide may be inferior to exenatide on a mcg to mcg basis (5.05 Insulin glargine with lixisenatide FRC</w:t>
      </w:r>
      <w:r w:rsidR="00416D72">
        <w:rPr>
          <w:rFonts w:cs="Calibri"/>
          <w:snapToGrid/>
          <w:szCs w:val="24"/>
          <w:lang w:val="en-US" w:eastAsia="en-AU"/>
        </w:rPr>
        <w:t>,</w:t>
      </w:r>
      <w:r w:rsidR="0000694B" w:rsidRPr="00B66CF9">
        <w:rPr>
          <w:rFonts w:cs="Calibri"/>
          <w:snapToGrid/>
          <w:szCs w:val="24"/>
          <w:lang w:val="en-US" w:eastAsia="en-AU"/>
        </w:rPr>
        <w:t xml:space="preserve"> March 2018</w:t>
      </w:r>
      <w:r w:rsidR="00E022F2">
        <w:rPr>
          <w:rFonts w:cs="Calibri"/>
          <w:snapToGrid/>
          <w:szCs w:val="24"/>
          <w:lang w:val="en-US" w:eastAsia="en-AU"/>
        </w:rPr>
        <w:t xml:space="preserve"> PBAC Meeting</w:t>
      </w:r>
      <w:r w:rsidR="0000694B" w:rsidRPr="00B66CF9">
        <w:rPr>
          <w:rFonts w:cs="Calibri"/>
          <w:snapToGrid/>
          <w:szCs w:val="24"/>
          <w:lang w:val="en-US" w:eastAsia="en-AU"/>
        </w:rPr>
        <w:t xml:space="preserve"> PSD</w:t>
      </w:r>
      <w:r w:rsidR="00416D72">
        <w:rPr>
          <w:rFonts w:cs="Calibri"/>
          <w:snapToGrid/>
          <w:szCs w:val="24"/>
          <w:lang w:val="en-US" w:eastAsia="en-AU"/>
        </w:rPr>
        <w:t>,</w:t>
      </w:r>
      <w:r w:rsidR="0000694B" w:rsidRPr="00B66CF9">
        <w:rPr>
          <w:rFonts w:cs="Calibri"/>
          <w:snapToGrid/>
          <w:szCs w:val="24"/>
          <w:lang w:val="en-US" w:eastAsia="en-AU"/>
        </w:rPr>
        <w:t xml:space="preserve"> paragraph 6.47)</w:t>
      </w:r>
      <w:r w:rsidR="00411362" w:rsidRPr="00B66CF9">
        <w:rPr>
          <w:rFonts w:cs="Calibri"/>
          <w:snapToGrid/>
          <w:szCs w:val="24"/>
          <w:lang w:val="en-US" w:eastAsia="en-AU"/>
        </w:rPr>
        <w:t>.</w:t>
      </w:r>
      <w:r w:rsidR="00F76285" w:rsidRPr="00B66CF9">
        <w:rPr>
          <w:rFonts w:cs="Calibri"/>
          <w:snapToGrid/>
          <w:szCs w:val="24"/>
          <w:lang w:val="en-US" w:eastAsia="en-AU"/>
        </w:rPr>
        <w:t xml:space="preserve"> The PSCR stated that as a non-inferiority trial</w:t>
      </w:r>
      <w:r w:rsidR="00ED7D2A">
        <w:rPr>
          <w:rFonts w:cs="Calibri"/>
          <w:snapToGrid/>
          <w:szCs w:val="24"/>
          <w:lang w:val="en-US" w:eastAsia="en-AU"/>
        </w:rPr>
        <w:t>,</w:t>
      </w:r>
      <w:r w:rsidR="00F76285" w:rsidRPr="00B66CF9">
        <w:rPr>
          <w:rFonts w:cs="Calibri"/>
          <w:snapToGrid/>
          <w:szCs w:val="24"/>
          <w:lang w:val="en-US" w:eastAsia="en-AU"/>
        </w:rPr>
        <w:t xml:space="preserve"> the GetGoal-X trial tested only for non-inferiority, not superiority, and that it was not included in the main analysis due to differences in trial design and patient population.</w:t>
      </w:r>
      <w:r w:rsidR="00817AE6" w:rsidRPr="00B66CF9">
        <w:rPr>
          <w:rFonts w:cs="Calibri"/>
          <w:snapToGrid/>
          <w:szCs w:val="24"/>
          <w:lang w:val="en-US" w:eastAsia="en-AU"/>
        </w:rPr>
        <w:t xml:space="preserve"> The ESC noted the results of the GetGoal-X trial and considered that it did not demonstrate non</w:t>
      </w:r>
      <w:r w:rsidR="00F8025C" w:rsidRPr="00B66CF9">
        <w:rPr>
          <w:rFonts w:cs="Calibri"/>
          <w:snapToGrid/>
          <w:szCs w:val="24"/>
          <w:lang w:val="en-US" w:eastAsia="en-AU"/>
        </w:rPr>
        <w:t>-</w:t>
      </w:r>
      <w:r w:rsidR="00817AE6" w:rsidRPr="00B66CF9">
        <w:rPr>
          <w:rFonts w:cs="Calibri"/>
          <w:snapToGrid/>
          <w:szCs w:val="24"/>
          <w:lang w:val="en-US" w:eastAsia="en-AU"/>
        </w:rPr>
        <w:t xml:space="preserve">inferiority of lixisenatide to exenatide as the exenatide </w:t>
      </w:r>
      <w:r w:rsidR="00817AE6" w:rsidRPr="00B66CF9">
        <w:rPr>
          <w:rFonts w:cs="Calibri"/>
          <w:snapToGrid/>
          <w:szCs w:val="24"/>
          <w:lang w:val="en-US" w:eastAsia="en-AU"/>
        </w:rPr>
        <w:lastRenderedPageBreak/>
        <w:t>treatment arm saw a statistically significantly greater reduction in HbA1c from baseline than the lixisenatide arm.</w:t>
      </w:r>
      <w:r w:rsidR="004863C8">
        <w:rPr>
          <w:rFonts w:cs="Calibri"/>
          <w:snapToGrid/>
          <w:szCs w:val="24"/>
          <w:lang w:val="en-US" w:eastAsia="en-AU"/>
        </w:rPr>
        <w:t xml:space="preserve"> </w:t>
      </w:r>
    </w:p>
    <w:p w:rsidR="00B2362A" w:rsidRPr="00C9624D" w:rsidRDefault="00B2362A" w:rsidP="00A54FDB">
      <w:pPr>
        <w:pStyle w:val="Heading2"/>
        <w:keepNext/>
        <w:keepLines/>
        <w:spacing w:before="240"/>
      </w:pPr>
      <w:r w:rsidRPr="00C9624D">
        <w:t>Comparative harms</w:t>
      </w:r>
    </w:p>
    <w:p w:rsidR="005E4631" w:rsidRPr="00A7335E" w:rsidRDefault="00FD5C06" w:rsidP="00B2362A">
      <w:pPr>
        <w:pStyle w:val="ListParagraph"/>
        <w:keepNext/>
        <w:widowControl/>
        <w:numPr>
          <w:ilvl w:val="1"/>
          <w:numId w:val="3"/>
        </w:numPr>
        <w:rPr>
          <w:rFonts w:cs="Calibri"/>
          <w:snapToGrid/>
          <w:szCs w:val="24"/>
          <w:lang w:val="en-US" w:eastAsia="en-AU"/>
        </w:rPr>
      </w:pPr>
      <w:r w:rsidRPr="00B66CF9">
        <w:t>The resubmission did not present any new evidence relating to comparative safety.</w:t>
      </w:r>
      <w:r w:rsidR="0031604C" w:rsidRPr="00B66CF9">
        <w:t xml:space="preserve"> </w:t>
      </w:r>
      <w:r w:rsidR="00A10A33" w:rsidRPr="00B66CF9">
        <w:t>This was reasonable as</w:t>
      </w:r>
      <w:r w:rsidR="009C6B11" w:rsidRPr="00B66CF9">
        <w:t xml:space="preserve"> the</w:t>
      </w:r>
      <w:r w:rsidRPr="00B66CF9">
        <w:t xml:space="preserve"> PBAC had previously considered that </w:t>
      </w:r>
      <w:r w:rsidR="005639A0">
        <w:t>‘</w:t>
      </w:r>
      <w:r w:rsidRPr="00B66CF9">
        <w:t>on balance, …insulin glargine with lixisenatide FRC was non-inferior in comparative safety to the comparator</w:t>
      </w:r>
      <w:r w:rsidR="00ED7D2A">
        <w:t>’</w:t>
      </w:r>
      <w:r w:rsidRPr="00B66CF9">
        <w:t xml:space="preserve"> (5.05 Insulin glargine with lixisenatide FRC</w:t>
      </w:r>
      <w:r w:rsidR="00416D72">
        <w:t>,</w:t>
      </w:r>
      <w:r w:rsidRPr="00B66CF9">
        <w:t xml:space="preserve"> March 2018</w:t>
      </w:r>
      <w:r w:rsidR="00E022F2">
        <w:t xml:space="preserve"> PBAC Meeting</w:t>
      </w:r>
      <w:r w:rsidRPr="00B66CF9">
        <w:t xml:space="preserve"> PSD</w:t>
      </w:r>
      <w:r w:rsidR="00416D72">
        <w:t>,</w:t>
      </w:r>
      <w:r w:rsidRPr="00B66CF9">
        <w:t xml:space="preserve"> paragraph 6.44).</w:t>
      </w:r>
      <w:r w:rsidR="008229C9" w:rsidRPr="00B66CF9">
        <w:t xml:space="preserve"> As per its previous advice, the ESC noted </w:t>
      </w:r>
      <w:r w:rsidR="00627ADD" w:rsidRPr="00B66CF9">
        <w:t xml:space="preserve">that </w:t>
      </w:r>
      <w:r w:rsidR="005639A0">
        <w:t>‘</w:t>
      </w:r>
      <w:r w:rsidR="00D51C09" w:rsidRPr="00B66CF9">
        <w:t xml:space="preserve">… </w:t>
      </w:r>
      <w:r w:rsidR="008229C9" w:rsidRPr="00B66CF9">
        <w:t>differences in methods for classifying adverse events made valid comparison difficult</w:t>
      </w:r>
      <w:r w:rsidR="00ED7D2A">
        <w:t>’</w:t>
      </w:r>
      <w:r w:rsidR="008229C9" w:rsidRPr="00B66CF9">
        <w:t>, however it was noted</w:t>
      </w:r>
      <w:r w:rsidR="00273668">
        <w:t xml:space="preserve"> </w:t>
      </w:r>
      <w:r w:rsidR="008229C9" w:rsidRPr="00B66CF9">
        <w:t>fewer patients withdrew from the LIXILAN-L trial.</w:t>
      </w:r>
      <w:r w:rsidR="0049397D">
        <w:t xml:space="preserve"> </w:t>
      </w:r>
      <w:r w:rsidR="008229C9" w:rsidRPr="00B66CF9">
        <w:t>The ESC considered that the higher number of withdrawals due to adverse events in the GWCO trial and the reduction in gastrointestinal</w:t>
      </w:r>
      <w:r w:rsidR="00AC625A">
        <w:t xml:space="preserve"> (GI)</w:t>
      </w:r>
      <w:r w:rsidR="008229C9" w:rsidRPr="00B66CF9">
        <w:t xml:space="preserve"> adverse events in the LIXILAN-L trial may be due to the lower effective dose of lixisenatide administered compared to exenatide. The ESC also noted that a comparison of hypoglycaemia rates across studies was not possible due to the different definitions used (Insulin glargine with lixisenatide PSD, March 2018</w:t>
      </w:r>
      <w:r w:rsidR="00E022F2">
        <w:t xml:space="preserve"> PBAC Meeting</w:t>
      </w:r>
      <w:r w:rsidR="00627ADD" w:rsidRPr="00B66CF9">
        <w:t>, Paragraph 6.38</w:t>
      </w:r>
      <w:r w:rsidR="008229C9" w:rsidRPr="00B66CF9">
        <w:t>).</w:t>
      </w:r>
      <w:r w:rsidR="0049397D">
        <w:t xml:space="preserve"> </w:t>
      </w:r>
      <w:r w:rsidR="008229C9" w:rsidRPr="00B66CF9">
        <w:t>The ESC also considered there were no concerning toxicity signals, however there was a higher number of withdrawals due to adverse events in the GWCO trial.</w:t>
      </w:r>
      <w:r w:rsidR="004863C8">
        <w:t xml:space="preserve"> </w:t>
      </w:r>
    </w:p>
    <w:p w:rsidR="00FD5C06" w:rsidRDefault="00FD5C06" w:rsidP="00A54FDB">
      <w:pPr>
        <w:pStyle w:val="Heading2"/>
        <w:keepNext/>
        <w:keepLines/>
        <w:spacing w:before="240"/>
      </w:pPr>
      <w:r w:rsidRPr="005304D8">
        <w:t>Interpretation of clinical evidence</w:t>
      </w:r>
    </w:p>
    <w:p w:rsidR="00817AE6" w:rsidRPr="00B66CF9" w:rsidRDefault="00FD5C06" w:rsidP="00817AE6">
      <w:pPr>
        <w:pStyle w:val="ListParagraph"/>
        <w:widowControl/>
        <w:numPr>
          <w:ilvl w:val="1"/>
          <w:numId w:val="3"/>
        </w:numPr>
      </w:pPr>
      <w:r w:rsidRPr="00B66CF9">
        <w:t>The resubmission described insulin glargine with lixisenatide FRC as non-inferior in effectiveness compared with insulin glargine plus exenatide and similar with respect to safety for the treatment of patients with T2DM who have received prior treatment with basal insulin with or without metformin and who have inadequate glycaemic control.</w:t>
      </w:r>
      <w:r w:rsidR="0031604C" w:rsidRPr="00B66CF9">
        <w:t xml:space="preserve"> </w:t>
      </w:r>
      <w:r w:rsidR="00817AE6" w:rsidRPr="00B66CF9">
        <w:t>The PSCR argued that PBAC previously agreed that non-inferiority may be reasonable</w:t>
      </w:r>
      <w:r w:rsidR="00C63B89" w:rsidRPr="00B66CF9">
        <w:t xml:space="preserve"> and proceeded on the basis that non-inferiority had been accepted by PBAC</w:t>
      </w:r>
      <w:r w:rsidR="00817AE6" w:rsidRPr="00B66CF9">
        <w:t>.</w:t>
      </w:r>
      <w:r w:rsidR="0049397D">
        <w:t xml:space="preserve"> </w:t>
      </w:r>
      <w:r w:rsidR="00817AE6" w:rsidRPr="00B66CF9">
        <w:t xml:space="preserve">The ESC </w:t>
      </w:r>
      <w:r w:rsidR="003B2B91" w:rsidRPr="00B66CF9">
        <w:t xml:space="preserve">considered </w:t>
      </w:r>
      <w:r w:rsidR="00FF22CE" w:rsidRPr="00B66CF9">
        <w:t>that this assumption may not be</w:t>
      </w:r>
      <w:r w:rsidR="00817AE6" w:rsidRPr="00B66CF9">
        <w:t xml:space="preserve"> </w:t>
      </w:r>
      <w:r w:rsidR="00C63B89" w:rsidRPr="00B66CF9">
        <w:t xml:space="preserve">appropriate </w:t>
      </w:r>
      <w:r w:rsidR="00817AE6" w:rsidRPr="00B66CF9">
        <w:t>noting that PBAC previously concluded ‘non-inferior comparative effectiveness was uncertain, but may be reasonable’ (</w:t>
      </w:r>
      <w:r w:rsidR="00416D72">
        <w:t>PSD,</w:t>
      </w:r>
      <w:r w:rsidR="00817AE6" w:rsidRPr="00B66CF9">
        <w:t xml:space="preserve"> March 2018</w:t>
      </w:r>
      <w:r w:rsidR="00416D72">
        <w:t xml:space="preserve"> PBAC Meeting, </w:t>
      </w:r>
      <w:r w:rsidR="00416D72" w:rsidRPr="00B66CF9">
        <w:t>paragraph 7.8</w:t>
      </w:r>
      <w:r w:rsidR="00817AE6" w:rsidRPr="00B66CF9">
        <w:t>).</w:t>
      </w:r>
      <w:r w:rsidR="004863C8">
        <w:t xml:space="preserve"> </w:t>
      </w:r>
    </w:p>
    <w:p w:rsidR="00D81C0A" w:rsidRPr="004750AC" w:rsidRDefault="00FD5C06" w:rsidP="00D81C0A">
      <w:pPr>
        <w:pStyle w:val="ListParagraph"/>
        <w:keepNext/>
        <w:widowControl/>
        <w:numPr>
          <w:ilvl w:val="1"/>
          <w:numId w:val="3"/>
        </w:numPr>
        <w:rPr>
          <w:rFonts w:cs="Calibri"/>
          <w:snapToGrid/>
          <w:szCs w:val="24"/>
          <w:lang w:val="en-US" w:eastAsia="en-AU"/>
        </w:rPr>
      </w:pPr>
      <w:r w:rsidRPr="00B66CF9">
        <w:t xml:space="preserve">The resubmission </w:t>
      </w:r>
      <w:r w:rsidR="009C6B11" w:rsidRPr="00B66CF9">
        <w:t>maintained that</w:t>
      </w:r>
      <w:r w:rsidR="009C6B11" w:rsidRPr="00B66CF9" w:rsidDel="009C6B11">
        <w:t xml:space="preserve"> </w:t>
      </w:r>
      <w:r w:rsidRPr="00B66CF9">
        <w:t xml:space="preserve">insulin glargine with lixisenatide FRC may be better tolerated than insulin glargine plus exenatide in terms of gastrointestinal adverse events, including nausea and vomiting. </w:t>
      </w:r>
      <w:r w:rsidR="009C6B11" w:rsidRPr="00B66CF9">
        <w:t xml:space="preserve">However, the PBAC previously considered </w:t>
      </w:r>
      <w:r w:rsidR="00ED7D2A">
        <w:t>’</w:t>
      </w:r>
      <w:r w:rsidR="009C6B11" w:rsidRPr="00B66CF9">
        <w:t>the claim of reduced gastrointestinal adverse events was not adequately supported due to the reduced dose of lixisenatide compared with exenatide in the trials</w:t>
      </w:r>
      <w:r w:rsidR="00ED7D2A">
        <w:t>’</w:t>
      </w:r>
      <w:r w:rsidR="009C6B11" w:rsidRPr="00B66CF9">
        <w:t xml:space="preserve"> (5.05 Insulin glargine with lixisenatide</w:t>
      </w:r>
      <w:r w:rsidR="00416D72">
        <w:t>,</w:t>
      </w:r>
      <w:r w:rsidR="009C6B11" w:rsidRPr="00B66CF9">
        <w:t xml:space="preserve"> March 2018 </w:t>
      </w:r>
      <w:r w:rsidR="00E022F2">
        <w:t xml:space="preserve">PBAC Meeting </w:t>
      </w:r>
      <w:r w:rsidR="009C6B11" w:rsidRPr="00B66CF9">
        <w:t>PSD</w:t>
      </w:r>
      <w:r w:rsidR="00416D72">
        <w:t>,</w:t>
      </w:r>
      <w:r w:rsidR="009C6B11" w:rsidRPr="00B66CF9">
        <w:t xml:space="preserve"> paragraph 7.10) and no additional data </w:t>
      </w:r>
      <w:r w:rsidR="006B3BFE">
        <w:t>was</w:t>
      </w:r>
      <w:r w:rsidR="009C6B11" w:rsidRPr="00B66CF9">
        <w:t xml:space="preserve"> provided with the resubmission to further support this claim.</w:t>
      </w:r>
      <w:r w:rsidR="00F76285" w:rsidRPr="00B66CF9">
        <w:t xml:space="preserve"> </w:t>
      </w:r>
      <w:r w:rsidR="00817AE6" w:rsidRPr="00B66CF9">
        <w:t>The ESC considered that the claimed reduction in nausea of lixisenatide to exenatide was not supported.</w:t>
      </w:r>
      <w:r w:rsidR="0049397D">
        <w:t xml:space="preserve"> </w:t>
      </w:r>
      <w:r w:rsidR="00D81C0A">
        <w:t xml:space="preserve">The Pre-PBAC response reiterated the claim of the submission that </w:t>
      </w:r>
      <w:r w:rsidR="00D81C0A">
        <w:lastRenderedPageBreak/>
        <w:t xml:space="preserve">insulin glargine with lixisenatide exhibits superior clinical safety due to less GI adverse events </w:t>
      </w:r>
    </w:p>
    <w:p w:rsidR="00FD5C06" w:rsidRPr="00C31AA4" w:rsidRDefault="00FD5C06" w:rsidP="00FD5C06">
      <w:pPr>
        <w:pStyle w:val="ListParagraph"/>
        <w:widowControl/>
        <w:numPr>
          <w:ilvl w:val="1"/>
          <w:numId w:val="3"/>
        </w:numPr>
      </w:pPr>
      <w:r w:rsidRPr="00B66CF9">
        <w:t>The PBAC previously considered the claim of non-inferior comparative effectiveness to be uncertain as the unadjusted indirect analysis did not meet the non-inferiority margin of 0.4%.</w:t>
      </w:r>
      <w:r w:rsidR="0031604C" w:rsidRPr="00B66CF9">
        <w:t xml:space="preserve"> </w:t>
      </w:r>
      <w:r w:rsidRPr="00B66CF9">
        <w:t>However</w:t>
      </w:r>
      <w:r w:rsidR="00D81C0A">
        <w:t>,</w:t>
      </w:r>
      <w:r w:rsidRPr="00B66CF9">
        <w:t xml:space="preserve"> the PBAC</w:t>
      </w:r>
      <w:r w:rsidR="00D81C0A">
        <w:t xml:space="preserve"> had</w:t>
      </w:r>
      <w:r w:rsidRPr="00B66CF9">
        <w:t xml:space="preserve"> considered that the claim may be reasonable given the key parameters which varied across the trials appear</w:t>
      </w:r>
      <w:r w:rsidR="009724BD">
        <w:t>ed</w:t>
      </w:r>
      <w:r w:rsidRPr="00B66CF9">
        <w:t xml:space="preserve"> to not be treatment effect modifiers and non-inferiority was demonstrated with a 0.4% margin using the MAIC analysis (5.05 Insulin glargine with lixisenatide</w:t>
      </w:r>
      <w:r w:rsidR="00416D72">
        <w:t>,</w:t>
      </w:r>
      <w:r w:rsidRPr="00B66CF9">
        <w:t xml:space="preserve"> March 2018</w:t>
      </w:r>
      <w:r w:rsidR="00E022F2">
        <w:t xml:space="preserve"> PBAC Meeting</w:t>
      </w:r>
      <w:r w:rsidRPr="00B66CF9">
        <w:t xml:space="preserve"> PSD</w:t>
      </w:r>
      <w:r w:rsidR="00416D72">
        <w:t>,</w:t>
      </w:r>
      <w:r w:rsidRPr="00B66CF9">
        <w:t xml:space="preserve"> paragraph 7.8).</w:t>
      </w:r>
      <w:r w:rsidR="0031604C" w:rsidRPr="00B66CF9">
        <w:t xml:space="preserve"> </w:t>
      </w:r>
      <w:r w:rsidR="0015501D" w:rsidRPr="00B66CF9">
        <w:t>Given that the main indirect comparison ha</w:t>
      </w:r>
      <w:r w:rsidR="00F54E12">
        <w:t>d</w:t>
      </w:r>
      <w:r w:rsidR="0015501D" w:rsidRPr="00B66CF9">
        <w:t xml:space="preserve"> not changed since the </w:t>
      </w:r>
      <w:r w:rsidR="00F54E12">
        <w:t>initial</w:t>
      </w:r>
      <w:r w:rsidR="0015501D" w:rsidRPr="00B66CF9">
        <w:t xml:space="preserve"> submission</w:t>
      </w:r>
      <w:r w:rsidR="00BC16BA" w:rsidRPr="00B66CF9">
        <w:t>, and supplementary evidence from</w:t>
      </w:r>
      <w:r w:rsidR="00D81C0A">
        <w:t xml:space="preserve"> the</w:t>
      </w:r>
      <w:r w:rsidR="00BC16BA" w:rsidRPr="00B66CF9">
        <w:t xml:space="preserve"> GetGoal-X</w:t>
      </w:r>
      <w:r w:rsidR="00D81C0A">
        <w:t xml:space="preserve"> trial</w:t>
      </w:r>
      <w:r w:rsidR="00F54E12">
        <w:t>,</w:t>
      </w:r>
      <w:r w:rsidR="00D81C0A">
        <w:t xml:space="preserve"> </w:t>
      </w:r>
      <w:r w:rsidR="00F54E12" w:rsidRPr="00B66CF9">
        <w:t>indicat</w:t>
      </w:r>
      <w:r w:rsidR="00F54E12">
        <w:t>ed</w:t>
      </w:r>
      <w:r w:rsidR="00F54E12" w:rsidRPr="00B66CF9">
        <w:t xml:space="preserve"> </w:t>
      </w:r>
      <w:r w:rsidR="009C6B11" w:rsidRPr="00B66CF9">
        <w:t xml:space="preserve">that treatment with exenatide </w:t>
      </w:r>
      <w:r w:rsidR="00F54E12" w:rsidRPr="00B66CF9">
        <w:t>result</w:t>
      </w:r>
      <w:r w:rsidR="00F54E12">
        <w:t>ed</w:t>
      </w:r>
      <w:r w:rsidR="00F54E12" w:rsidRPr="00B66CF9">
        <w:t xml:space="preserve"> </w:t>
      </w:r>
      <w:r w:rsidR="009C6B11" w:rsidRPr="00B66CF9">
        <w:t xml:space="preserve">in statistically significantly greater HbA1c reduction </w:t>
      </w:r>
      <w:r w:rsidR="00F54E12">
        <w:t>compared to</w:t>
      </w:r>
      <w:r w:rsidR="0049397D">
        <w:t xml:space="preserve"> </w:t>
      </w:r>
      <w:r w:rsidR="009C6B11" w:rsidRPr="00B66CF9">
        <w:t>lixisenatide</w:t>
      </w:r>
      <w:r w:rsidR="00F54E12">
        <w:t xml:space="preserve">, </w:t>
      </w:r>
      <w:r w:rsidR="00D81C0A" w:rsidRPr="00B66CF9">
        <w:t>the clinical claim remain</w:t>
      </w:r>
      <w:r w:rsidR="00D81C0A">
        <w:t>ed</w:t>
      </w:r>
      <w:r w:rsidR="00D81C0A" w:rsidRPr="00B66CF9">
        <w:t xml:space="preserve"> </w:t>
      </w:r>
      <w:r w:rsidR="00D81C0A">
        <w:t>uncertain</w:t>
      </w:r>
      <w:r w:rsidR="00360CED">
        <w:t>.</w:t>
      </w:r>
      <w:r w:rsidR="0049397D">
        <w:t xml:space="preserve"> </w:t>
      </w:r>
      <w:r w:rsidR="00627ADD" w:rsidRPr="00B66CF9">
        <w:t xml:space="preserve">The ESC considered that as per the </w:t>
      </w:r>
      <w:r w:rsidR="00D51C09" w:rsidRPr="00B66CF9">
        <w:t>previous</w:t>
      </w:r>
      <w:r w:rsidR="00627ADD" w:rsidRPr="00B66CF9">
        <w:t xml:space="preserve"> submission, the clinical claim of non-inferiority had not been demonstrated.</w:t>
      </w:r>
      <w:r w:rsidR="004863C8" w:rsidRPr="004863C8">
        <w:rPr>
          <w:rFonts w:asciiTheme="minorHAnsi" w:hAnsiTheme="minorHAnsi"/>
          <w:i/>
        </w:rPr>
        <w:t xml:space="preserve"> </w:t>
      </w:r>
    </w:p>
    <w:p w:rsidR="00C31AA4" w:rsidRPr="00C31AA4" w:rsidRDefault="00C31AA4" w:rsidP="00FD5C06">
      <w:pPr>
        <w:pStyle w:val="ListParagraph"/>
        <w:widowControl/>
        <w:numPr>
          <w:ilvl w:val="1"/>
          <w:numId w:val="3"/>
        </w:numPr>
      </w:pPr>
      <w:r w:rsidRPr="00C31AA4">
        <w:rPr>
          <w:rFonts w:asciiTheme="minorHAnsi" w:hAnsiTheme="minorHAnsi"/>
        </w:rPr>
        <w:t xml:space="preserve">The Pre-PBAC </w:t>
      </w:r>
      <w:r w:rsidR="00F518D7">
        <w:rPr>
          <w:rFonts w:asciiTheme="minorHAnsi" w:hAnsiTheme="minorHAnsi"/>
        </w:rPr>
        <w:t>R</w:t>
      </w:r>
      <w:r w:rsidRPr="00C31AA4">
        <w:rPr>
          <w:rFonts w:asciiTheme="minorHAnsi" w:hAnsiTheme="minorHAnsi"/>
        </w:rPr>
        <w:t xml:space="preserve">esponse </w:t>
      </w:r>
      <w:r>
        <w:rPr>
          <w:rFonts w:asciiTheme="minorHAnsi" w:hAnsiTheme="minorHAnsi"/>
        </w:rPr>
        <w:t xml:space="preserve">argued that </w:t>
      </w:r>
      <w:r w:rsidR="001F4E26">
        <w:rPr>
          <w:rFonts w:asciiTheme="minorHAnsi" w:hAnsiTheme="minorHAnsi"/>
        </w:rPr>
        <w:t>the submission presented the best available evidence in the absence of a head-to-head trial because the MAIC analysis met the 0.4% non-inferiority margin and appropriate measures were taken to reduce bias and heterogeneity.</w:t>
      </w:r>
      <w:r w:rsidR="00035FDE">
        <w:rPr>
          <w:rFonts w:asciiTheme="minorHAnsi" w:hAnsiTheme="minorHAnsi"/>
        </w:rPr>
        <w:t xml:space="preserve"> It stated that the ITC marginally missed the non-inferiority margin, however the analysis did not adjust for treatment effect modifiers, suggesting it may meet this margin had these been adjustments been included.</w:t>
      </w:r>
      <w:r w:rsidR="001F4E26">
        <w:rPr>
          <w:rFonts w:asciiTheme="minorHAnsi" w:hAnsiTheme="minorHAnsi"/>
        </w:rPr>
        <w:t xml:space="preserve"> It further added that GetGoal-X demonstrated </w:t>
      </w:r>
      <w:r w:rsidR="000B6073">
        <w:rPr>
          <w:rFonts w:asciiTheme="minorHAnsi" w:hAnsiTheme="minorHAnsi"/>
        </w:rPr>
        <w:t xml:space="preserve">similar HbA1c&lt;7% results between exenatide and lixisenatide, </w:t>
      </w:r>
      <w:r w:rsidR="00035FDE">
        <w:rPr>
          <w:rFonts w:asciiTheme="minorHAnsi" w:hAnsiTheme="minorHAnsi"/>
        </w:rPr>
        <w:t xml:space="preserve">and the non-inferiority margin was met, so </w:t>
      </w:r>
      <w:r w:rsidR="000B6073">
        <w:rPr>
          <w:rFonts w:asciiTheme="minorHAnsi" w:hAnsiTheme="minorHAnsi"/>
        </w:rPr>
        <w:t>on balance,</w:t>
      </w:r>
      <w:r w:rsidR="00035FDE">
        <w:rPr>
          <w:rFonts w:asciiTheme="minorHAnsi" w:hAnsiTheme="minorHAnsi"/>
        </w:rPr>
        <w:t xml:space="preserve"> non-inferiority </w:t>
      </w:r>
      <w:r w:rsidR="00D81C0A">
        <w:rPr>
          <w:rFonts w:asciiTheme="minorHAnsi" w:hAnsiTheme="minorHAnsi"/>
        </w:rPr>
        <w:t>wa</w:t>
      </w:r>
      <w:r w:rsidR="00035FDE">
        <w:rPr>
          <w:rFonts w:asciiTheme="minorHAnsi" w:hAnsiTheme="minorHAnsi"/>
        </w:rPr>
        <w:t xml:space="preserve">s </w:t>
      </w:r>
      <w:r w:rsidR="00D81C0A">
        <w:rPr>
          <w:rFonts w:asciiTheme="minorHAnsi" w:hAnsiTheme="minorHAnsi"/>
        </w:rPr>
        <w:t xml:space="preserve">a </w:t>
      </w:r>
      <w:r w:rsidR="000B6073">
        <w:rPr>
          <w:rFonts w:asciiTheme="minorHAnsi" w:hAnsiTheme="minorHAnsi"/>
        </w:rPr>
        <w:t>reasonable</w:t>
      </w:r>
      <w:r w:rsidR="00D81C0A">
        <w:rPr>
          <w:rFonts w:asciiTheme="minorHAnsi" w:hAnsiTheme="minorHAnsi"/>
        </w:rPr>
        <w:t xml:space="preserve"> conclusion</w:t>
      </w:r>
      <w:r w:rsidR="000B6073">
        <w:rPr>
          <w:rFonts w:asciiTheme="minorHAnsi" w:hAnsiTheme="minorHAnsi"/>
        </w:rPr>
        <w:t xml:space="preserve">. </w:t>
      </w:r>
    </w:p>
    <w:p w:rsidR="00FD5C06" w:rsidRPr="00271A58" w:rsidRDefault="00FD5C06" w:rsidP="00FD5C06">
      <w:pPr>
        <w:pStyle w:val="ListParagraph"/>
        <w:widowControl/>
        <w:numPr>
          <w:ilvl w:val="1"/>
          <w:numId w:val="3"/>
        </w:numPr>
      </w:pPr>
      <w:r w:rsidRPr="00B66CF9">
        <w:t>In relation to safety, the PBAC previously considered that the claim of non-inferior comparative safety was reasonable (5.05 Insulin glargine with lixisenatide</w:t>
      </w:r>
      <w:r w:rsidR="00416D72">
        <w:t>,</w:t>
      </w:r>
      <w:r w:rsidRPr="00B66CF9">
        <w:t xml:space="preserve"> March 2018</w:t>
      </w:r>
      <w:r w:rsidR="00E022F2">
        <w:t xml:space="preserve"> PBAC Meeting</w:t>
      </w:r>
      <w:r w:rsidRPr="00B66CF9">
        <w:t xml:space="preserve"> PSD</w:t>
      </w:r>
      <w:r w:rsidR="00416D72">
        <w:t>,</w:t>
      </w:r>
      <w:r w:rsidRPr="00B66CF9">
        <w:t xml:space="preserve"> paragraph 7.10). </w:t>
      </w:r>
    </w:p>
    <w:p w:rsidR="00271A58" w:rsidRPr="00C94EEA" w:rsidDel="00CA4743" w:rsidRDefault="00271A58" w:rsidP="00271A58">
      <w:pPr>
        <w:pStyle w:val="ListParagraph"/>
        <w:widowControl/>
        <w:numPr>
          <w:ilvl w:val="1"/>
          <w:numId w:val="3"/>
        </w:numPr>
        <w:spacing w:after="120"/>
        <w:ind w:left="810" w:hanging="810"/>
        <w:rPr>
          <w:rFonts w:asciiTheme="minorHAnsi" w:hAnsiTheme="minorHAnsi"/>
          <w:szCs w:val="20"/>
        </w:rPr>
      </w:pPr>
      <w:r w:rsidRPr="00C94EEA" w:rsidDel="00CA4743">
        <w:rPr>
          <w:rFonts w:asciiTheme="minorHAnsi" w:hAnsiTheme="minorHAnsi"/>
          <w:szCs w:val="20"/>
        </w:rPr>
        <w:t xml:space="preserve">The PBAC considered that the claim of non-inferior comparative </w:t>
      </w:r>
      <w:r w:rsidR="00C471ED">
        <w:rPr>
          <w:rFonts w:asciiTheme="minorHAnsi" w:hAnsiTheme="minorHAnsi"/>
          <w:szCs w:val="20"/>
        </w:rPr>
        <w:t>effectiveness</w:t>
      </w:r>
      <w:r w:rsidR="0034128F">
        <w:t xml:space="preserve"> was uncertain, but considered that it may be reasonable.</w:t>
      </w:r>
    </w:p>
    <w:p w:rsidR="00271A58" w:rsidRPr="00B66CF9" w:rsidRDefault="00271A58" w:rsidP="0084559A">
      <w:pPr>
        <w:pStyle w:val="ListParagraph"/>
        <w:widowControl/>
        <w:numPr>
          <w:ilvl w:val="1"/>
          <w:numId w:val="3"/>
        </w:numPr>
        <w:spacing w:after="120"/>
        <w:ind w:left="810" w:hanging="810"/>
      </w:pPr>
      <w:r w:rsidRPr="00C94EEA" w:rsidDel="00CA4743">
        <w:rPr>
          <w:rFonts w:asciiTheme="minorHAnsi" w:hAnsiTheme="minorHAnsi"/>
          <w:szCs w:val="20"/>
        </w:rPr>
        <w:t xml:space="preserve">The PBAC considered that the claim of </w:t>
      </w:r>
      <w:r w:rsidRPr="00C94EEA">
        <w:rPr>
          <w:rFonts w:asciiTheme="minorHAnsi" w:hAnsiTheme="minorHAnsi"/>
          <w:szCs w:val="20"/>
        </w:rPr>
        <w:t>non-inferior</w:t>
      </w:r>
      <w:r w:rsidR="00325745" w:rsidRPr="00C94EEA" w:rsidDel="00325745">
        <w:rPr>
          <w:rFonts w:asciiTheme="minorHAnsi" w:hAnsiTheme="minorHAnsi"/>
          <w:szCs w:val="20"/>
        </w:rPr>
        <w:t xml:space="preserve"> </w:t>
      </w:r>
      <w:r w:rsidRPr="00C94EEA" w:rsidDel="00CA4743">
        <w:rPr>
          <w:rFonts w:asciiTheme="minorHAnsi" w:hAnsiTheme="minorHAnsi"/>
          <w:szCs w:val="20"/>
        </w:rPr>
        <w:t xml:space="preserve">comparative safety </w:t>
      </w:r>
      <w:r w:rsidRPr="00C94EEA">
        <w:rPr>
          <w:rFonts w:asciiTheme="minorHAnsi" w:hAnsiTheme="minorHAnsi"/>
          <w:szCs w:val="20"/>
        </w:rPr>
        <w:t>was reasonable</w:t>
      </w:r>
      <w:r w:rsidRPr="00C94EEA" w:rsidDel="00CA4743">
        <w:rPr>
          <w:rFonts w:asciiTheme="minorHAnsi" w:hAnsiTheme="minorHAnsi"/>
          <w:szCs w:val="20"/>
        </w:rPr>
        <w:t>.</w:t>
      </w:r>
    </w:p>
    <w:p w:rsidR="00B60939" w:rsidRPr="00C9624D" w:rsidRDefault="00B60939" w:rsidP="00A54FDB">
      <w:pPr>
        <w:pStyle w:val="Heading2"/>
        <w:keepNext/>
        <w:keepLines/>
        <w:spacing w:before="240"/>
      </w:pPr>
      <w:bookmarkStart w:id="15" w:name="_Toc535856978"/>
      <w:r w:rsidRPr="00C9624D">
        <w:t>Economic analysis</w:t>
      </w:r>
      <w:bookmarkEnd w:id="15"/>
      <w:r w:rsidR="00491B3A" w:rsidRPr="00C9624D">
        <w:t xml:space="preserve"> </w:t>
      </w:r>
    </w:p>
    <w:p w:rsidR="00FD5C06" w:rsidRPr="00B66CF9" w:rsidRDefault="00250BA5" w:rsidP="00FD5C06">
      <w:pPr>
        <w:pStyle w:val="ListParagraph"/>
        <w:widowControl/>
        <w:numPr>
          <w:ilvl w:val="1"/>
          <w:numId w:val="3"/>
        </w:numPr>
      </w:pPr>
      <w:r w:rsidRPr="00B66CF9">
        <w:rPr>
          <w:rFonts w:cs="Calibri"/>
          <w:snapToGrid/>
          <w:szCs w:val="24"/>
          <w:lang w:val="en-US" w:eastAsia="en-AU"/>
        </w:rPr>
        <w:t>Based on the claim of non-inferior efficacy and safety, a</w:t>
      </w:r>
      <w:r w:rsidR="00FD5C06" w:rsidRPr="00B66CF9">
        <w:rPr>
          <w:rFonts w:cs="Calibri"/>
          <w:snapToGrid/>
          <w:szCs w:val="24"/>
          <w:lang w:val="en-US" w:eastAsia="en-AU"/>
        </w:rPr>
        <w:t xml:space="preserve"> cost-minimisation analysis of insulin glargine with lixisenatide FRC versus insulin glargine plus exenatide twice daily was presented.</w:t>
      </w:r>
      <w:r w:rsidR="0031604C" w:rsidRPr="00B66CF9">
        <w:rPr>
          <w:rFonts w:cs="Calibri"/>
          <w:snapToGrid/>
          <w:szCs w:val="24"/>
          <w:lang w:val="en-US" w:eastAsia="en-AU"/>
        </w:rPr>
        <w:t xml:space="preserve"> </w:t>
      </w:r>
      <w:r w:rsidR="00486EE4" w:rsidRPr="00B66CF9">
        <w:rPr>
          <w:rFonts w:cs="Calibri"/>
          <w:snapToGrid/>
          <w:szCs w:val="24"/>
          <w:lang w:val="en-US" w:eastAsia="en-AU"/>
        </w:rPr>
        <w:t>Th</w:t>
      </w:r>
      <w:r w:rsidR="00B7329E">
        <w:rPr>
          <w:rFonts w:cs="Calibri"/>
          <w:snapToGrid/>
          <w:szCs w:val="24"/>
          <w:lang w:val="en-US" w:eastAsia="en-AU"/>
        </w:rPr>
        <w:t>e evaluation noted that this</w:t>
      </w:r>
      <w:r w:rsidR="00486EE4" w:rsidRPr="00B66CF9">
        <w:rPr>
          <w:rFonts w:cs="Calibri"/>
          <w:snapToGrid/>
          <w:szCs w:val="24"/>
          <w:lang w:val="en-US" w:eastAsia="en-AU"/>
        </w:rPr>
        <w:t xml:space="preserve"> </w:t>
      </w:r>
      <w:r w:rsidR="00B7329E">
        <w:rPr>
          <w:rFonts w:cs="Calibri"/>
          <w:snapToGrid/>
          <w:szCs w:val="24"/>
          <w:lang w:val="en-US" w:eastAsia="en-AU"/>
        </w:rPr>
        <w:t>wa</w:t>
      </w:r>
      <w:r w:rsidR="00486EE4" w:rsidRPr="00B66CF9">
        <w:rPr>
          <w:rFonts w:cs="Calibri"/>
          <w:snapToGrid/>
          <w:szCs w:val="24"/>
          <w:lang w:val="en-US" w:eastAsia="en-AU"/>
        </w:rPr>
        <w:t>s only reasonable if the PBAC accept</w:t>
      </w:r>
      <w:r w:rsidR="00B7329E">
        <w:rPr>
          <w:rFonts w:cs="Calibri"/>
          <w:snapToGrid/>
          <w:szCs w:val="24"/>
          <w:lang w:val="en-US" w:eastAsia="en-AU"/>
        </w:rPr>
        <w:t>ed</w:t>
      </w:r>
      <w:r w:rsidR="00486EE4" w:rsidRPr="00B66CF9">
        <w:rPr>
          <w:rFonts w:cs="Calibri"/>
          <w:snapToGrid/>
          <w:szCs w:val="24"/>
          <w:lang w:val="en-US" w:eastAsia="en-AU"/>
        </w:rPr>
        <w:t xml:space="preserve"> the claim of non-inferior effectiveness and safety.</w:t>
      </w:r>
      <w:r w:rsidR="004863C8">
        <w:rPr>
          <w:rFonts w:cs="Calibri"/>
          <w:snapToGrid/>
          <w:szCs w:val="24"/>
          <w:lang w:val="en-US" w:eastAsia="en-AU"/>
        </w:rPr>
        <w:t xml:space="preserve"> </w:t>
      </w:r>
    </w:p>
    <w:p w:rsidR="00B976A7" w:rsidRPr="00B66CF9" w:rsidRDefault="00B976A7" w:rsidP="00FD5C06">
      <w:pPr>
        <w:pStyle w:val="ListParagraph"/>
        <w:widowControl/>
        <w:numPr>
          <w:ilvl w:val="1"/>
          <w:numId w:val="3"/>
        </w:numPr>
      </w:pPr>
      <w:r w:rsidRPr="00B66CF9">
        <w:t xml:space="preserve">As the PBAC previously noted, some of the alternative therapies identified </w:t>
      </w:r>
      <w:r w:rsidR="0084559A">
        <w:t>would be</w:t>
      </w:r>
      <w:r w:rsidR="0084559A" w:rsidRPr="00B66CF9">
        <w:t xml:space="preserve"> </w:t>
      </w:r>
      <w:r w:rsidRPr="00B66CF9">
        <w:t>likely to be less costly than insulin glargine plus exenatide twice daily.</w:t>
      </w:r>
      <w:r w:rsidR="0031604C" w:rsidRPr="00B66CF9">
        <w:t xml:space="preserve"> </w:t>
      </w:r>
      <w:r w:rsidR="0084559A">
        <w:t>The evaluation considered that a</w:t>
      </w:r>
      <w:r w:rsidRPr="00B66CF9">
        <w:t xml:space="preserve"> cost-minimisation against insulin glargine plus exenatide twice daily only d</w:t>
      </w:r>
      <w:r w:rsidR="0084559A">
        <w:t>id</w:t>
      </w:r>
      <w:r w:rsidRPr="00B66CF9">
        <w:t xml:space="preserve"> not represent a true cost</w:t>
      </w:r>
      <w:r w:rsidR="00581304" w:rsidRPr="00B66CF9">
        <w:t>-</w:t>
      </w:r>
      <w:r w:rsidRPr="00B66CF9">
        <w:t xml:space="preserve">minimisation, </w:t>
      </w:r>
      <w:r w:rsidR="00D15EA6" w:rsidRPr="00B66CF9">
        <w:t>and comparison</w:t>
      </w:r>
      <w:r w:rsidR="00A10A33" w:rsidRPr="00B66CF9">
        <w:t xml:space="preserve"> </w:t>
      </w:r>
      <w:r w:rsidRPr="00B66CF9">
        <w:t xml:space="preserve">against </w:t>
      </w:r>
      <w:r w:rsidR="00486EE4" w:rsidRPr="00B66CF9">
        <w:t>the least costly</w:t>
      </w:r>
      <w:r w:rsidRPr="00B66CF9">
        <w:t xml:space="preserve"> alternative therapies may have been more appropriate.</w:t>
      </w:r>
      <w:r w:rsidR="0031604C" w:rsidRPr="00B66CF9">
        <w:t xml:space="preserve"> </w:t>
      </w:r>
    </w:p>
    <w:p w:rsidR="00FD5C06" w:rsidRPr="00B66CF9" w:rsidRDefault="00FD5C06" w:rsidP="00A33EF8">
      <w:pPr>
        <w:pStyle w:val="ListParagraph"/>
        <w:widowControl/>
        <w:numPr>
          <w:ilvl w:val="1"/>
          <w:numId w:val="3"/>
        </w:numPr>
        <w:spacing w:after="0"/>
      </w:pPr>
      <w:r w:rsidRPr="00B66CF9">
        <w:lastRenderedPageBreak/>
        <w:t>The resubmission used the following equi-effective doses in the cost-minimisation analysis:</w:t>
      </w:r>
    </w:p>
    <w:p w:rsidR="00FD5C06" w:rsidRPr="00B66CF9" w:rsidRDefault="00FD5C06" w:rsidP="00A33EF8">
      <w:pPr>
        <w:pStyle w:val="ListParagraph"/>
        <w:widowControl/>
        <w:numPr>
          <w:ilvl w:val="1"/>
          <w:numId w:val="20"/>
        </w:numPr>
        <w:spacing w:after="0"/>
        <w:ind w:left="993" w:hanging="284"/>
      </w:pPr>
      <w:r w:rsidRPr="00B66CF9">
        <w:t xml:space="preserve">53.5 units/day for insulin glargine and 19.3 mcg/day lixisenatide given as a fixed ratio combination, and </w:t>
      </w:r>
    </w:p>
    <w:p w:rsidR="004863C8" w:rsidRPr="00B66CF9" w:rsidRDefault="00FD5C06" w:rsidP="00C94EEA">
      <w:pPr>
        <w:pStyle w:val="ListParagraph"/>
        <w:widowControl/>
        <w:numPr>
          <w:ilvl w:val="1"/>
          <w:numId w:val="20"/>
        </w:numPr>
        <w:ind w:left="993" w:hanging="284"/>
      </w:pPr>
      <w:r w:rsidRPr="00B66CF9">
        <w:t xml:space="preserve">53.5 units/day insulin glargine and 19.3 mcg/day exenatide given separately. </w:t>
      </w:r>
    </w:p>
    <w:p w:rsidR="00BC16BA" w:rsidRPr="0084559A" w:rsidRDefault="00FD5C06" w:rsidP="00BC16BA">
      <w:pPr>
        <w:pStyle w:val="ListParagraph"/>
        <w:widowControl/>
        <w:numPr>
          <w:ilvl w:val="1"/>
          <w:numId w:val="3"/>
        </w:numPr>
      </w:pPr>
      <w:r w:rsidRPr="00B66CF9">
        <w:t xml:space="preserve">The doses were calculated based on the average dose of exenatide </w:t>
      </w:r>
      <w:r w:rsidR="002B21D1" w:rsidRPr="00B66CF9">
        <w:t xml:space="preserve">that was </w:t>
      </w:r>
      <w:r w:rsidRPr="00B66CF9">
        <w:t>used by patients in the GWCO trial at 30 weeks of 19.3 mcg/day, a dose relativity of 1:1 for lixisenatide compared to exenatide, and calculation of the dose of insulin glargine required to deliver this dose per day in the FRC.</w:t>
      </w:r>
      <w:r w:rsidR="0049397D">
        <w:t xml:space="preserve"> </w:t>
      </w:r>
      <w:r w:rsidRPr="00B66CF9">
        <w:t>Th</w:t>
      </w:r>
      <w:r w:rsidR="0084559A">
        <w:t>e evaluation considered that this</w:t>
      </w:r>
      <w:r w:rsidRPr="00B66CF9">
        <w:t xml:space="preserve"> </w:t>
      </w:r>
      <w:r w:rsidR="0084559A">
        <w:t>wa</w:t>
      </w:r>
      <w:r w:rsidR="002F7A74" w:rsidRPr="00B66CF9">
        <w:t>s likely optimistic as the PBAC ha</w:t>
      </w:r>
      <w:r w:rsidR="0084559A">
        <w:t>d</w:t>
      </w:r>
      <w:r w:rsidR="002F7A74" w:rsidRPr="00B66CF9">
        <w:t xml:space="preserve"> previously considered that lixisenatide may be inferior to exenatide on a mcg to mcg basis</w:t>
      </w:r>
      <w:r w:rsidR="0084559A">
        <w:t>.</w:t>
      </w:r>
      <w:r w:rsidR="0049397D">
        <w:t xml:space="preserve"> </w:t>
      </w:r>
      <w:r w:rsidR="0084559A">
        <w:t>This approach wa</w:t>
      </w:r>
      <w:r w:rsidR="00A10A33" w:rsidRPr="00B66CF9">
        <w:t xml:space="preserve">s </w:t>
      </w:r>
      <w:r w:rsidR="002F7A74" w:rsidRPr="00B66CF9">
        <w:t xml:space="preserve">considered more reasonable than the </w:t>
      </w:r>
      <w:r w:rsidRPr="00B66CF9">
        <w:t>approach</w:t>
      </w:r>
      <w:r w:rsidR="00BC16BA" w:rsidRPr="00B66CF9">
        <w:t xml:space="preserve"> </w:t>
      </w:r>
      <w:r w:rsidR="002F7A74" w:rsidRPr="00B66CF9">
        <w:t>in the</w:t>
      </w:r>
      <w:r w:rsidR="00BC16BA" w:rsidRPr="00B66CF9">
        <w:t xml:space="preserve"> previous submission </w:t>
      </w:r>
      <w:r w:rsidR="0000694B" w:rsidRPr="00B66CF9">
        <w:t xml:space="preserve">which </w:t>
      </w:r>
      <w:r w:rsidR="00BC16BA" w:rsidRPr="00B66CF9">
        <w:t>assumed a dose relativity of 46.67 units/day insulin glargine and 16.87 mcg/day lixisenatide given as a fixed ratio combination, and 62.5 units/day insulin glargine and 19.3 mcg/day exenatide given separately</w:t>
      </w:r>
      <w:r w:rsidR="0000694B" w:rsidRPr="00B66CF9">
        <w:t>.</w:t>
      </w:r>
      <w:r w:rsidR="0049397D">
        <w:t xml:space="preserve"> </w:t>
      </w:r>
      <w:r w:rsidR="00E21C32" w:rsidRPr="00B66CF9">
        <w:t>The PSCR state</w:t>
      </w:r>
      <w:r w:rsidR="00817AE6" w:rsidRPr="00B66CF9">
        <w:t>d</w:t>
      </w:r>
      <w:r w:rsidR="00E21C32" w:rsidRPr="00B66CF9">
        <w:t xml:space="preserve"> that a 1:1 ratio for lixisenatide and exenatide was justified as there was no </w:t>
      </w:r>
      <w:r w:rsidR="00817AE6" w:rsidRPr="00B66CF9">
        <w:t xml:space="preserve">new </w:t>
      </w:r>
      <w:r w:rsidR="00E21C32" w:rsidRPr="00B66CF9">
        <w:t xml:space="preserve">literature identified making the original </w:t>
      </w:r>
      <w:r w:rsidR="00A74098">
        <w:t>indirect trial comparison</w:t>
      </w:r>
      <w:r w:rsidR="00E21C32" w:rsidRPr="00B66CF9">
        <w:t xml:space="preserve"> the best available evidence, and because the P</w:t>
      </w:r>
      <w:r w:rsidR="003B2B91" w:rsidRPr="00B66CF9">
        <w:t>B</w:t>
      </w:r>
      <w:r w:rsidR="00E21C32" w:rsidRPr="00B66CF9">
        <w:t>AC had previously accepted a claim of non-inferiority may be reasonable.</w:t>
      </w:r>
      <w:r w:rsidR="0049397D">
        <w:t xml:space="preserve"> </w:t>
      </w:r>
      <w:r w:rsidR="00E21C32" w:rsidRPr="00B66CF9">
        <w:t>The PSCR also state</w:t>
      </w:r>
      <w:r w:rsidR="00817AE6" w:rsidRPr="00B66CF9">
        <w:t>d</w:t>
      </w:r>
      <w:r w:rsidR="00E21C32" w:rsidRPr="00B66CF9">
        <w:t xml:space="preserve"> that the GetGoal-X trial demonstrated non-inferiority as the upper CI did not exceed 0.4%. The ESC considered that the basis for determining a 1:1 ratio </w:t>
      </w:r>
      <w:r w:rsidR="00387D94">
        <w:t>remained</w:t>
      </w:r>
      <w:r w:rsidR="00387D94" w:rsidRPr="00B66CF9">
        <w:t xml:space="preserve"> </w:t>
      </w:r>
      <w:r w:rsidR="00E21C32" w:rsidRPr="00B66CF9">
        <w:t>uncertain</w:t>
      </w:r>
      <w:r w:rsidR="0095198E">
        <w:t xml:space="preserve"> given there </w:t>
      </w:r>
      <w:r w:rsidR="0095198E" w:rsidRPr="0084559A">
        <w:t>was no additional evidence was provided to support it</w:t>
      </w:r>
      <w:r w:rsidR="00E21C32" w:rsidRPr="0084559A">
        <w:t>.</w:t>
      </w:r>
      <w:r w:rsidR="004863C8" w:rsidRPr="0084559A">
        <w:t xml:space="preserve"> </w:t>
      </w:r>
      <w:r w:rsidR="00610CD4">
        <w:t>The Pre-PBAC Response stated that if there is a difference in efficacy between insulin glargine with lixisenatide and insulin glargine and exenatide, it is unlikely to be of a clinically relevant magnitude given the available evidence and accepted MCID and non-inferiority margins in the disease area.</w:t>
      </w:r>
      <w:r w:rsidR="0049397D">
        <w:t xml:space="preserve"> </w:t>
      </w:r>
      <w:r w:rsidR="00610CD4">
        <w:t>The sponsor added that it was unclear how the 1:1 lixisenatide to exenatide ratio could be appropriately adjusted to take account of a potential difference in HbA1c reduction between treatments that does not meet accepted measure of clinical relevance a</w:t>
      </w:r>
      <w:r w:rsidR="00254B55">
        <w:t>nd is unlikely to result in a difference in patient-relevant outcomes.</w:t>
      </w:r>
    </w:p>
    <w:p w:rsidR="00D4704A" w:rsidRPr="00B66CF9" w:rsidRDefault="0026778C" w:rsidP="00D4704A">
      <w:pPr>
        <w:pStyle w:val="ListParagraph"/>
        <w:widowControl/>
        <w:numPr>
          <w:ilvl w:val="1"/>
          <w:numId w:val="3"/>
        </w:numPr>
      </w:pPr>
      <w:r w:rsidRPr="00B66CF9">
        <w:t xml:space="preserve">Table 7 </w:t>
      </w:r>
      <w:r w:rsidR="00D4704A" w:rsidRPr="00B66CF9">
        <w:t>summarises the steps used to calculate the total daily cost of insulin glargine plus exenatide twice daily used in the cost minimisation analysis.</w:t>
      </w:r>
      <w:r w:rsidR="004863C8">
        <w:t xml:space="preserve"> </w:t>
      </w:r>
    </w:p>
    <w:p w:rsidR="00D4704A" w:rsidRPr="008B6152" w:rsidRDefault="0026778C" w:rsidP="002122D8">
      <w:pPr>
        <w:keepNext/>
        <w:keepLines/>
        <w:widowControl/>
        <w:jc w:val="left"/>
        <w:rPr>
          <w:rFonts w:ascii="Arial Narrow" w:hAnsi="Arial Narrow"/>
          <w:b/>
          <w:sz w:val="20"/>
          <w:szCs w:val="20"/>
        </w:rPr>
      </w:pPr>
      <w:bookmarkStart w:id="16" w:name="_Ref533086970"/>
      <w:r w:rsidRPr="008B6152">
        <w:rPr>
          <w:rFonts w:ascii="Arial Narrow" w:hAnsi="Arial Narrow"/>
          <w:b/>
          <w:sz w:val="20"/>
          <w:szCs w:val="20"/>
        </w:rPr>
        <w:lastRenderedPageBreak/>
        <w:t xml:space="preserve">Table </w:t>
      </w:r>
      <w:r w:rsidR="00F86B96" w:rsidRPr="008B6152">
        <w:rPr>
          <w:rFonts w:ascii="Arial Narrow" w:hAnsi="Arial Narrow"/>
          <w:b/>
          <w:noProof/>
          <w:sz w:val="20"/>
          <w:szCs w:val="20"/>
        </w:rPr>
        <w:t>7</w:t>
      </w:r>
      <w:bookmarkEnd w:id="16"/>
      <w:r w:rsidR="00D4704A" w:rsidRPr="008B6152">
        <w:rPr>
          <w:rFonts w:ascii="Arial Narrow" w:hAnsi="Arial Narrow"/>
          <w:b/>
          <w:sz w:val="20"/>
          <w:szCs w:val="20"/>
        </w:rPr>
        <w:t>: Derivation of price per day of insulin glargine plus exenatide (twice daily)</w:t>
      </w:r>
    </w:p>
    <w:tbl>
      <w:tblPr>
        <w:tblStyle w:val="TableGrid"/>
        <w:tblW w:w="5003" w:type="pct"/>
        <w:tblInd w:w="-5" w:type="dxa"/>
        <w:tblLook w:val="04A0" w:firstRow="1" w:lastRow="0" w:firstColumn="1" w:lastColumn="0" w:noHBand="0" w:noVBand="1"/>
        <w:tblCaption w:val="Table 7: Derivation of price per day of insulin glargine plus exenatide (twice daily)"/>
      </w:tblPr>
      <w:tblGrid>
        <w:gridCol w:w="4536"/>
        <w:gridCol w:w="2243"/>
        <w:gridCol w:w="2243"/>
      </w:tblGrid>
      <w:tr w:rsidR="00D4704A" w:rsidRPr="008B6152" w:rsidTr="00B6798D">
        <w:trPr>
          <w:tblHeader/>
        </w:trPr>
        <w:tc>
          <w:tcPr>
            <w:tcW w:w="2514" w:type="pct"/>
            <w:vAlign w:val="center"/>
          </w:tcPr>
          <w:p w:rsidR="00D4704A" w:rsidRPr="008B6152" w:rsidRDefault="00D4704A" w:rsidP="002122D8">
            <w:pPr>
              <w:keepNext/>
              <w:keepLines/>
              <w:jc w:val="left"/>
              <w:rPr>
                <w:rFonts w:ascii="Arial Narrow" w:hAnsi="Arial Narrow"/>
                <w:sz w:val="20"/>
                <w:szCs w:val="20"/>
              </w:rPr>
            </w:pPr>
          </w:p>
        </w:tc>
        <w:tc>
          <w:tcPr>
            <w:tcW w:w="1243" w:type="pct"/>
            <w:vAlign w:val="center"/>
          </w:tcPr>
          <w:p w:rsidR="00D4704A" w:rsidRPr="008B6152" w:rsidRDefault="00D4704A" w:rsidP="002122D8">
            <w:pPr>
              <w:keepNext/>
              <w:keepLines/>
              <w:jc w:val="center"/>
              <w:rPr>
                <w:rFonts w:ascii="Arial Narrow" w:hAnsi="Arial Narrow"/>
                <w:b/>
                <w:sz w:val="20"/>
                <w:szCs w:val="20"/>
              </w:rPr>
            </w:pPr>
            <w:r w:rsidRPr="008B6152">
              <w:rPr>
                <w:rFonts w:ascii="Arial Narrow" w:hAnsi="Arial Narrow"/>
                <w:b/>
                <w:sz w:val="20"/>
                <w:szCs w:val="20"/>
              </w:rPr>
              <w:t>Insulin glargine + exenatide twice daily</w:t>
            </w:r>
          </w:p>
        </w:tc>
        <w:tc>
          <w:tcPr>
            <w:tcW w:w="1243" w:type="pct"/>
          </w:tcPr>
          <w:p w:rsidR="00D4704A" w:rsidRPr="008B6152" w:rsidRDefault="00D4704A" w:rsidP="002122D8">
            <w:pPr>
              <w:keepNext/>
              <w:keepLines/>
              <w:jc w:val="center"/>
              <w:rPr>
                <w:rFonts w:ascii="Arial Narrow" w:hAnsi="Arial Narrow"/>
                <w:b/>
                <w:sz w:val="20"/>
                <w:szCs w:val="20"/>
              </w:rPr>
            </w:pPr>
            <w:r w:rsidRPr="008B6152">
              <w:rPr>
                <w:rFonts w:ascii="Arial Narrow" w:hAnsi="Arial Narrow"/>
                <w:b/>
                <w:sz w:val="20"/>
                <w:szCs w:val="20"/>
              </w:rPr>
              <w:t>Insulin glargine with lixisenatide FRC</w:t>
            </w:r>
          </w:p>
        </w:tc>
      </w:tr>
      <w:tr w:rsidR="00D4704A" w:rsidRPr="008B6152" w:rsidTr="000E4A69">
        <w:tc>
          <w:tcPr>
            <w:tcW w:w="5000" w:type="pct"/>
            <w:gridSpan w:val="3"/>
            <w:vAlign w:val="center"/>
          </w:tcPr>
          <w:p w:rsidR="00D4704A" w:rsidRPr="008B6152" w:rsidRDefault="00D4704A" w:rsidP="002122D8">
            <w:pPr>
              <w:keepNext/>
              <w:keepLines/>
              <w:jc w:val="left"/>
              <w:rPr>
                <w:rFonts w:ascii="Arial Narrow" w:hAnsi="Arial Narrow"/>
                <w:sz w:val="20"/>
                <w:szCs w:val="20"/>
              </w:rPr>
            </w:pPr>
            <w:r w:rsidRPr="008B6152">
              <w:rPr>
                <w:rFonts w:ascii="Arial Narrow" w:hAnsi="Arial Narrow"/>
                <w:b/>
                <w:sz w:val="20"/>
                <w:szCs w:val="20"/>
              </w:rPr>
              <w:t>Insulin glargine</w:t>
            </w:r>
          </w:p>
        </w:tc>
      </w:tr>
      <w:tr w:rsidR="00D4704A" w:rsidRPr="008B6152" w:rsidTr="00AD76FF">
        <w:tc>
          <w:tcPr>
            <w:tcW w:w="2514" w:type="pct"/>
            <w:vAlign w:val="center"/>
          </w:tcPr>
          <w:p w:rsidR="00D4704A" w:rsidRPr="008B6152" w:rsidRDefault="00D4704A" w:rsidP="002122D8">
            <w:pPr>
              <w:keepNext/>
              <w:keepLines/>
              <w:jc w:val="left"/>
              <w:rPr>
                <w:rFonts w:ascii="Arial Narrow" w:hAnsi="Arial Narrow"/>
                <w:sz w:val="20"/>
                <w:szCs w:val="20"/>
              </w:rPr>
            </w:pPr>
            <w:r w:rsidRPr="008B6152">
              <w:rPr>
                <w:rFonts w:ascii="Arial Narrow" w:hAnsi="Arial Narrow"/>
                <w:sz w:val="20"/>
                <w:szCs w:val="20"/>
              </w:rPr>
              <w:t xml:space="preserve">AEMP per pack (effective price) </w:t>
            </w:r>
          </w:p>
        </w:tc>
        <w:tc>
          <w:tcPr>
            <w:tcW w:w="1243" w:type="pct"/>
            <w:vAlign w:val="center"/>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w:t>
            </w:r>
            <w:r w:rsidR="000D054F">
              <w:rPr>
                <w:rFonts w:ascii="Arial Narrow" w:hAnsi="Arial Narrow"/>
                <w:noProof/>
                <w:color w:val="000000"/>
                <w:sz w:val="20"/>
                <w:szCs w:val="20"/>
                <w:highlight w:val="black"/>
              </w:rPr>
              <w:t>'''''''''''''</w:t>
            </w:r>
            <w:r w:rsidRPr="008B6152">
              <w:rPr>
                <w:rFonts w:ascii="Arial Narrow" w:hAnsi="Arial Narrow"/>
                <w:sz w:val="20"/>
                <w:szCs w:val="20"/>
              </w:rPr>
              <w:t>/pack</w:t>
            </w:r>
          </w:p>
        </w:tc>
        <w:tc>
          <w:tcPr>
            <w:tcW w:w="1243" w:type="pct"/>
            <w:vAlign w:val="center"/>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w:t>
            </w:r>
            <w:r w:rsidR="000D054F">
              <w:rPr>
                <w:rFonts w:ascii="Arial Narrow" w:hAnsi="Arial Narrow"/>
                <w:noProof/>
                <w:color w:val="000000"/>
                <w:sz w:val="20"/>
                <w:szCs w:val="20"/>
                <w:highlight w:val="black"/>
              </w:rPr>
              <w:t>''''''''''''</w:t>
            </w:r>
            <w:r w:rsidRPr="008B6152">
              <w:rPr>
                <w:rFonts w:ascii="Arial Narrow" w:hAnsi="Arial Narrow"/>
                <w:sz w:val="20"/>
                <w:szCs w:val="20"/>
              </w:rPr>
              <w:t>/pack</w:t>
            </w:r>
          </w:p>
        </w:tc>
      </w:tr>
      <w:tr w:rsidR="00D4704A" w:rsidRPr="008B6152" w:rsidTr="00AD76FF">
        <w:tc>
          <w:tcPr>
            <w:tcW w:w="2514" w:type="pct"/>
            <w:vAlign w:val="center"/>
          </w:tcPr>
          <w:p w:rsidR="00D4704A" w:rsidRPr="008B6152" w:rsidRDefault="00D4704A" w:rsidP="002122D8">
            <w:pPr>
              <w:keepNext/>
              <w:keepLines/>
              <w:jc w:val="left"/>
              <w:rPr>
                <w:rFonts w:ascii="Arial Narrow" w:hAnsi="Arial Narrow"/>
                <w:sz w:val="20"/>
                <w:szCs w:val="20"/>
              </w:rPr>
            </w:pPr>
            <w:r w:rsidRPr="008B6152">
              <w:rPr>
                <w:rFonts w:ascii="Arial Narrow" w:hAnsi="Arial Narrow"/>
                <w:sz w:val="20"/>
                <w:szCs w:val="20"/>
              </w:rPr>
              <w:t>Units per pack (5 pens)</w:t>
            </w:r>
          </w:p>
        </w:tc>
        <w:tc>
          <w:tcPr>
            <w:tcW w:w="1243" w:type="pct"/>
            <w:vAlign w:val="center"/>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1500 units/pack</w:t>
            </w:r>
          </w:p>
        </w:tc>
        <w:tc>
          <w:tcPr>
            <w:tcW w:w="1243" w:type="pct"/>
            <w:vAlign w:val="center"/>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1500 units/pack</w:t>
            </w:r>
          </w:p>
        </w:tc>
      </w:tr>
      <w:tr w:rsidR="00D4704A" w:rsidRPr="008B6152" w:rsidTr="00AD76FF">
        <w:tc>
          <w:tcPr>
            <w:tcW w:w="2514" w:type="pct"/>
            <w:vAlign w:val="center"/>
          </w:tcPr>
          <w:p w:rsidR="00D4704A" w:rsidRPr="008B6152" w:rsidRDefault="00D4704A" w:rsidP="002122D8">
            <w:pPr>
              <w:keepNext/>
              <w:keepLines/>
              <w:jc w:val="left"/>
              <w:rPr>
                <w:rFonts w:ascii="Arial Narrow" w:hAnsi="Arial Narrow"/>
                <w:sz w:val="20"/>
                <w:szCs w:val="20"/>
              </w:rPr>
            </w:pPr>
            <w:r w:rsidRPr="008B6152">
              <w:rPr>
                <w:rFonts w:ascii="Arial Narrow" w:hAnsi="Arial Narrow"/>
                <w:sz w:val="20"/>
                <w:szCs w:val="20"/>
              </w:rPr>
              <w:t>Price per unit ($</w:t>
            </w:r>
            <w:r w:rsidR="000D054F">
              <w:rPr>
                <w:rFonts w:ascii="Arial Narrow" w:hAnsi="Arial Narrow"/>
                <w:noProof/>
                <w:color w:val="000000"/>
                <w:sz w:val="20"/>
                <w:szCs w:val="20"/>
                <w:highlight w:val="black"/>
              </w:rPr>
              <w:t>''''''''''''</w:t>
            </w:r>
            <w:r w:rsidRPr="008B6152">
              <w:rPr>
                <w:rFonts w:ascii="Arial Narrow" w:hAnsi="Arial Narrow"/>
                <w:sz w:val="20"/>
                <w:szCs w:val="20"/>
              </w:rPr>
              <w:t>/1500 units)</w:t>
            </w:r>
          </w:p>
        </w:tc>
        <w:tc>
          <w:tcPr>
            <w:tcW w:w="1243" w:type="pct"/>
            <w:vAlign w:val="center"/>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w:t>
            </w:r>
            <w:r w:rsidR="000D054F">
              <w:rPr>
                <w:rFonts w:ascii="Arial Narrow" w:hAnsi="Arial Narrow"/>
                <w:noProof/>
                <w:color w:val="000000"/>
                <w:sz w:val="20"/>
                <w:szCs w:val="20"/>
                <w:highlight w:val="black"/>
              </w:rPr>
              <w:t>''''''''''''</w:t>
            </w:r>
            <w:r w:rsidRPr="008B6152">
              <w:rPr>
                <w:rFonts w:ascii="Arial Narrow" w:hAnsi="Arial Narrow"/>
                <w:sz w:val="20"/>
                <w:szCs w:val="20"/>
              </w:rPr>
              <w:t>/unit</w:t>
            </w:r>
          </w:p>
        </w:tc>
        <w:tc>
          <w:tcPr>
            <w:tcW w:w="1243" w:type="pct"/>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w:t>
            </w:r>
            <w:r w:rsidR="000D054F">
              <w:rPr>
                <w:rFonts w:ascii="Arial Narrow" w:hAnsi="Arial Narrow"/>
                <w:noProof/>
                <w:color w:val="000000"/>
                <w:sz w:val="20"/>
                <w:szCs w:val="20"/>
                <w:highlight w:val="black"/>
              </w:rPr>
              <w:t>'''''''''''''</w:t>
            </w:r>
            <w:r w:rsidRPr="008B6152">
              <w:rPr>
                <w:rFonts w:ascii="Arial Narrow" w:hAnsi="Arial Narrow"/>
                <w:sz w:val="20"/>
                <w:szCs w:val="20"/>
              </w:rPr>
              <w:t>/unit</w:t>
            </w:r>
          </w:p>
        </w:tc>
      </w:tr>
      <w:tr w:rsidR="00D4704A" w:rsidRPr="008B6152" w:rsidTr="00AD76FF">
        <w:tc>
          <w:tcPr>
            <w:tcW w:w="2514" w:type="pct"/>
            <w:vAlign w:val="center"/>
          </w:tcPr>
          <w:p w:rsidR="00D4704A" w:rsidRPr="008B6152" w:rsidRDefault="00D4704A" w:rsidP="002122D8">
            <w:pPr>
              <w:keepNext/>
              <w:keepLines/>
              <w:jc w:val="left"/>
              <w:rPr>
                <w:rFonts w:ascii="Arial Narrow" w:hAnsi="Arial Narrow"/>
                <w:sz w:val="20"/>
                <w:szCs w:val="20"/>
              </w:rPr>
            </w:pPr>
            <w:r w:rsidRPr="008B6152">
              <w:rPr>
                <w:rFonts w:ascii="Arial Narrow" w:hAnsi="Arial Narrow"/>
                <w:sz w:val="20"/>
                <w:szCs w:val="20"/>
              </w:rPr>
              <w:t xml:space="preserve">Price of 53.5 units (GWCO Week 30) </w:t>
            </w:r>
          </w:p>
        </w:tc>
        <w:tc>
          <w:tcPr>
            <w:tcW w:w="1243" w:type="pct"/>
            <w:vAlign w:val="center"/>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w:t>
            </w:r>
            <w:r w:rsidR="000D054F">
              <w:rPr>
                <w:rFonts w:ascii="Arial Narrow" w:hAnsi="Arial Narrow"/>
                <w:noProof/>
                <w:color w:val="000000"/>
                <w:sz w:val="20"/>
                <w:szCs w:val="20"/>
                <w:highlight w:val="black"/>
              </w:rPr>
              <w:t>''''''''''''</w:t>
            </w:r>
          </w:p>
        </w:tc>
        <w:tc>
          <w:tcPr>
            <w:tcW w:w="1243" w:type="pct"/>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w:t>
            </w:r>
            <w:r w:rsidR="000D054F">
              <w:rPr>
                <w:rFonts w:ascii="Arial Narrow" w:hAnsi="Arial Narrow"/>
                <w:noProof/>
                <w:color w:val="000000"/>
                <w:sz w:val="20"/>
                <w:szCs w:val="20"/>
                <w:highlight w:val="black"/>
              </w:rPr>
              <w:t>''''''''''</w:t>
            </w:r>
          </w:p>
        </w:tc>
      </w:tr>
      <w:tr w:rsidR="00D4704A" w:rsidRPr="008B6152" w:rsidTr="000E4A69">
        <w:tc>
          <w:tcPr>
            <w:tcW w:w="5000" w:type="pct"/>
            <w:gridSpan w:val="3"/>
            <w:vAlign w:val="center"/>
          </w:tcPr>
          <w:p w:rsidR="00D4704A" w:rsidRPr="008B6152" w:rsidRDefault="00D4704A" w:rsidP="002122D8">
            <w:pPr>
              <w:keepNext/>
              <w:keepLines/>
              <w:jc w:val="left"/>
              <w:rPr>
                <w:rFonts w:ascii="Arial Narrow" w:hAnsi="Arial Narrow"/>
                <w:b/>
                <w:sz w:val="20"/>
                <w:szCs w:val="20"/>
              </w:rPr>
            </w:pPr>
            <w:r w:rsidRPr="008B6152">
              <w:rPr>
                <w:rFonts w:ascii="Arial Narrow" w:hAnsi="Arial Narrow"/>
                <w:b/>
                <w:sz w:val="20"/>
                <w:szCs w:val="20"/>
              </w:rPr>
              <w:t>Exenatide 10 mcg</w:t>
            </w:r>
          </w:p>
        </w:tc>
      </w:tr>
      <w:tr w:rsidR="00D4704A" w:rsidRPr="008B6152" w:rsidTr="00AD76FF">
        <w:tc>
          <w:tcPr>
            <w:tcW w:w="2514" w:type="pct"/>
            <w:vAlign w:val="center"/>
          </w:tcPr>
          <w:p w:rsidR="00D4704A" w:rsidRPr="008B6152" w:rsidRDefault="00D4704A" w:rsidP="002122D8">
            <w:pPr>
              <w:keepNext/>
              <w:keepLines/>
              <w:jc w:val="left"/>
              <w:rPr>
                <w:rFonts w:ascii="Arial Narrow" w:hAnsi="Arial Narrow"/>
                <w:sz w:val="20"/>
                <w:szCs w:val="20"/>
              </w:rPr>
            </w:pPr>
            <w:r w:rsidRPr="008B6152">
              <w:rPr>
                <w:rFonts w:ascii="Arial Narrow" w:hAnsi="Arial Narrow"/>
                <w:sz w:val="20"/>
                <w:szCs w:val="20"/>
              </w:rPr>
              <w:t xml:space="preserve">AEMP per pack </w:t>
            </w:r>
          </w:p>
        </w:tc>
        <w:tc>
          <w:tcPr>
            <w:tcW w:w="1243" w:type="pct"/>
            <w:vAlign w:val="center"/>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$72.96/pack</w:t>
            </w:r>
          </w:p>
        </w:tc>
        <w:tc>
          <w:tcPr>
            <w:tcW w:w="1243" w:type="pct"/>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w:t>
            </w:r>
          </w:p>
        </w:tc>
      </w:tr>
      <w:tr w:rsidR="00D4704A" w:rsidRPr="008B6152" w:rsidTr="00AD76FF">
        <w:tc>
          <w:tcPr>
            <w:tcW w:w="2514" w:type="pct"/>
            <w:vAlign w:val="center"/>
          </w:tcPr>
          <w:p w:rsidR="00D4704A" w:rsidRPr="008B6152" w:rsidRDefault="00D4704A" w:rsidP="002122D8">
            <w:pPr>
              <w:keepNext/>
              <w:keepLines/>
              <w:jc w:val="left"/>
              <w:rPr>
                <w:rFonts w:ascii="Arial Narrow" w:hAnsi="Arial Narrow"/>
                <w:sz w:val="20"/>
                <w:szCs w:val="20"/>
              </w:rPr>
            </w:pPr>
            <w:r w:rsidRPr="008B6152">
              <w:rPr>
                <w:rFonts w:ascii="Arial Narrow" w:hAnsi="Arial Narrow"/>
                <w:sz w:val="20"/>
                <w:szCs w:val="20"/>
              </w:rPr>
              <w:t xml:space="preserve">Micrograms per pack </w:t>
            </w:r>
          </w:p>
        </w:tc>
        <w:tc>
          <w:tcPr>
            <w:tcW w:w="1243" w:type="pct"/>
            <w:vAlign w:val="center"/>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600 mcg/pack</w:t>
            </w:r>
          </w:p>
        </w:tc>
        <w:tc>
          <w:tcPr>
            <w:tcW w:w="1243" w:type="pct"/>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w:t>
            </w:r>
          </w:p>
        </w:tc>
      </w:tr>
      <w:tr w:rsidR="00D4704A" w:rsidRPr="008B6152" w:rsidTr="00AD76FF">
        <w:tc>
          <w:tcPr>
            <w:tcW w:w="2514" w:type="pct"/>
            <w:vAlign w:val="center"/>
          </w:tcPr>
          <w:p w:rsidR="00D4704A" w:rsidRPr="008B6152" w:rsidRDefault="00D4704A" w:rsidP="002122D8">
            <w:pPr>
              <w:keepNext/>
              <w:keepLines/>
              <w:jc w:val="left"/>
              <w:rPr>
                <w:rFonts w:ascii="Arial Narrow" w:hAnsi="Arial Narrow"/>
                <w:sz w:val="20"/>
                <w:szCs w:val="20"/>
              </w:rPr>
            </w:pPr>
            <w:r w:rsidRPr="008B6152">
              <w:rPr>
                <w:rFonts w:ascii="Arial Narrow" w:hAnsi="Arial Narrow"/>
                <w:sz w:val="20"/>
                <w:szCs w:val="20"/>
              </w:rPr>
              <w:t>Price per mcg ($72.96/600 mcg)</w:t>
            </w:r>
          </w:p>
        </w:tc>
        <w:tc>
          <w:tcPr>
            <w:tcW w:w="1243" w:type="pct"/>
            <w:vAlign w:val="center"/>
          </w:tcPr>
          <w:p w:rsidR="00D4704A" w:rsidRPr="008B6152" w:rsidRDefault="0000694B" w:rsidP="002122D8">
            <w:pPr>
              <w:keepNext/>
              <w:keepLines/>
              <w:jc w:val="center"/>
              <w:rPr>
                <w:rFonts w:ascii="Arial Narrow" w:hAnsi="Arial Narrow"/>
                <w:sz w:val="20"/>
                <w:szCs w:val="20"/>
              </w:rPr>
            </w:pPr>
            <w:r w:rsidRPr="008B6152">
              <w:rPr>
                <w:rFonts w:ascii="Arial Narrow" w:hAnsi="Arial Narrow"/>
                <w:sz w:val="20"/>
                <w:szCs w:val="20"/>
              </w:rPr>
              <w:t>$</w:t>
            </w:r>
            <w:r w:rsidR="00D4704A" w:rsidRPr="008B6152">
              <w:rPr>
                <w:rFonts w:ascii="Arial Narrow" w:hAnsi="Arial Narrow"/>
                <w:sz w:val="20"/>
                <w:szCs w:val="20"/>
              </w:rPr>
              <w:t>0.122/mcg</w:t>
            </w:r>
          </w:p>
        </w:tc>
        <w:tc>
          <w:tcPr>
            <w:tcW w:w="1243" w:type="pct"/>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w:t>
            </w:r>
          </w:p>
        </w:tc>
      </w:tr>
      <w:tr w:rsidR="00D4704A" w:rsidRPr="008B6152" w:rsidTr="000E4A69">
        <w:tc>
          <w:tcPr>
            <w:tcW w:w="5000" w:type="pct"/>
            <w:gridSpan w:val="3"/>
            <w:vAlign w:val="center"/>
          </w:tcPr>
          <w:p w:rsidR="00D4704A" w:rsidRPr="008B6152" w:rsidRDefault="00D4704A" w:rsidP="002122D8">
            <w:pPr>
              <w:keepNext/>
              <w:keepLines/>
              <w:jc w:val="left"/>
              <w:rPr>
                <w:rFonts w:ascii="Arial Narrow" w:hAnsi="Arial Narrow"/>
                <w:b/>
                <w:sz w:val="20"/>
                <w:szCs w:val="20"/>
              </w:rPr>
            </w:pPr>
            <w:r w:rsidRPr="008B6152">
              <w:rPr>
                <w:rFonts w:ascii="Arial Narrow" w:hAnsi="Arial Narrow"/>
                <w:b/>
                <w:sz w:val="20"/>
                <w:szCs w:val="20"/>
              </w:rPr>
              <w:t>Exenatide 5 mcg</w:t>
            </w:r>
          </w:p>
        </w:tc>
      </w:tr>
      <w:tr w:rsidR="00D4704A" w:rsidRPr="008B6152" w:rsidTr="00AD76FF">
        <w:tc>
          <w:tcPr>
            <w:tcW w:w="2514" w:type="pct"/>
            <w:vAlign w:val="center"/>
          </w:tcPr>
          <w:p w:rsidR="00D4704A" w:rsidRPr="008B6152" w:rsidRDefault="00D4704A" w:rsidP="002122D8">
            <w:pPr>
              <w:keepNext/>
              <w:keepLines/>
              <w:jc w:val="left"/>
              <w:rPr>
                <w:rFonts w:ascii="Arial Narrow" w:hAnsi="Arial Narrow"/>
                <w:sz w:val="20"/>
                <w:szCs w:val="20"/>
              </w:rPr>
            </w:pPr>
            <w:r w:rsidRPr="008B6152">
              <w:rPr>
                <w:rFonts w:ascii="Arial Narrow" w:hAnsi="Arial Narrow"/>
                <w:sz w:val="20"/>
                <w:szCs w:val="20"/>
              </w:rPr>
              <w:t xml:space="preserve">Exenatide 5 mcg AEMP per pack </w:t>
            </w:r>
          </w:p>
        </w:tc>
        <w:tc>
          <w:tcPr>
            <w:tcW w:w="1243" w:type="pct"/>
            <w:vAlign w:val="center"/>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$51.07/pack</w:t>
            </w:r>
          </w:p>
        </w:tc>
        <w:tc>
          <w:tcPr>
            <w:tcW w:w="1243" w:type="pct"/>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w:t>
            </w:r>
          </w:p>
        </w:tc>
      </w:tr>
      <w:tr w:rsidR="00D4704A" w:rsidRPr="008B6152" w:rsidTr="00AD76FF">
        <w:tc>
          <w:tcPr>
            <w:tcW w:w="2514" w:type="pct"/>
            <w:vAlign w:val="center"/>
          </w:tcPr>
          <w:p w:rsidR="00D4704A" w:rsidRPr="008B6152" w:rsidRDefault="00D4704A" w:rsidP="002122D8">
            <w:pPr>
              <w:keepNext/>
              <w:keepLines/>
              <w:jc w:val="left"/>
              <w:rPr>
                <w:rFonts w:ascii="Arial Narrow" w:hAnsi="Arial Narrow"/>
                <w:sz w:val="20"/>
                <w:szCs w:val="20"/>
              </w:rPr>
            </w:pPr>
            <w:r w:rsidRPr="008B6152">
              <w:rPr>
                <w:rFonts w:ascii="Arial Narrow" w:hAnsi="Arial Narrow"/>
                <w:sz w:val="20"/>
                <w:szCs w:val="20"/>
              </w:rPr>
              <w:t>Micrograms per pack</w:t>
            </w:r>
          </w:p>
        </w:tc>
        <w:tc>
          <w:tcPr>
            <w:tcW w:w="1243" w:type="pct"/>
            <w:vAlign w:val="center"/>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300 mcg/pack</w:t>
            </w:r>
          </w:p>
        </w:tc>
        <w:tc>
          <w:tcPr>
            <w:tcW w:w="1243" w:type="pct"/>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w:t>
            </w:r>
          </w:p>
        </w:tc>
      </w:tr>
      <w:tr w:rsidR="00D4704A" w:rsidRPr="008B6152" w:rsidTr="00AD76FF">
        <w:tc>
          <w:tcPr>
            <w:tcW w:w="2514" w:type="pct"/>
            <w:vAlign w:val="center"/>
          </w:tcPr>
          <w:p w:rsidR="00D4704A" w:rsidRPr="008B6152" w:rsidRDefault="00D4704A" w:rsidP="002122D8">
            <w:pPr>
              <w:keepNext/>
              <w:keepLines/>
              <w:jc w:val="left"/>
              <w:rPr>
                <w:rFonts w:ascii="Arial Narrow" w:hAnsi="Arial Narrow"/>
                <w:sz w:val="20"/>
                <w:szCs w:val="20"/>
              </w:rPr>
            </w:pPr>
            <w:r w:rsidRPr="008B6152">
              <w:rPr>
                <w:rFonts w:ascii="Arial Narrow" w:hAnsi="Arial Narrow"/>
                <w:sz w:val="20"/>
                <w:szCs w:val="20"/>
              </w:rPr>
              <w:t>Price per mcg ($51.07/300 mcg)</w:t>
            </w:r>
          </w:p>
        </w:tc>
        <w:tc>
          <w:tcPr>
            <w:tcW w:w="1243" w:type="pct"/>
            <w:vAlign w:val="center"/>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$0.17/mcg</w:t>
            </w:r>
          </w:p>
        </w:tc>
        <w:tc>
          <w:tcPr>
            <w:tcW w:w="1243" w:type="pct"/>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w:t>
            </w:r>
          </w:p>
        </w:tc>
      </w:tr>
      <w:tr w:rsidR="00D4704A" w:rsidRPr="008B6152" w:rsidTr="000E4A69">
        <w:tc>
          <w:tcPr>
            <w:tcW w:w="5000" w:type="pct"/>
            <w:gridSpan w:val="3"/>
            <w:vAlign w:val="center"/>
          </w:tcPr>
          <w:p w:rsidR="00D4704A" w:rsidRPr="008B6152" w:rsidRDefault="00D4704A" w:rsidP="002122D8">
            <w:pPr>
              <w:keepNext/>
              <w:keepLines/>
              <w:jc w:val="left"/>
              <w:rPr>
                <w:rFonts w:ascii="Arial Narrow" w:hAnsi="Arial Narrow"/>
                <w:b/>
                <w:sz w:val="20"/>
                <w:szCs w:val="20"/>
              </w:rPr>
            </w:pPr>
            <w:r w:rsidRPr="008B6152">
              <w:rPr>
                <w:rFonts w:ascii="Arial Narrow" w:hAnsi="Arial Narrow"/>
                <w:b/>
                <w:sz w:val="20"/>
                <w:szCs w:val="20"/>
              </w:rPr>
              <w:t>Weighted price/unit to achieve GWCO Week 30 dose (19.3 mcg) GLP-1 agonists</w:t>
            </w:r>
          </w:p>
        </w:tc>
      </w:tr>
      <w:tr w:rsidR="00D4704A" w:rsidRPr="008B6152" w:rsidTr="00AD76FF">
        <w:tc>
          <w:tcPr>
            <w:tcW w:w="2514" w:type="pct"/>
            <w:vAlign w:val="center"/>
          </w:tcPr>
          <w:p w:rsidR="00D4704A" w:rsidRPr="008B6152" w:rsidRDefault="00D4704A" w:rsidP="002122D8">
            <w:pPr>
              <w:keepNext/>
              <w:keepLines/>
              <w:jc w:val="left"/>
              <w:rPr>
                <w:rFonts w:ascii="Arial Narrow" w:hAnsi="Arial Narrow"/>
                <w:sz w:val="20"/>
                <w:szCs w:val="20"/>
              </w:rPr>
            </w:pPr>
            <w:r w:rsidRPr="008B6152">
              <w:rPr>
                <w:rFonts w:ascii="Arial Narrow" w:hAnsi="Arial Narrow"/>
                <w:sz w:val="20"/>
                <w:szCs w:val="20"/>
              </w:rPr>
              <w:t>Exenatide 10 mcg (93% x 0.122/mcg)</w:t>
            </w:r>
          </w:p>
          <w:p w:rsidR="00D4704A" w:rsidRPr="008B6152" w:rsidRDefault="00D4704A" w:rsidP="002122D8">
            <w:pPr>
              <w:keepNext/>
              <w:keepLines/>
              <w:jc w:val="left"/>
              <w:rPr>
                <w:rFonts w:ascii="Arial Narrow" w:hAnsi="Arial Narrow"/>
                <w:sz w:val="20"/>
                <w:szCs w:val="20"/>
              </w:rPr>
            </w:pPr>
            <w:r w:rsidRPr="008B6152">
              <w:rPr>
                <w:rFonts w:ascii="Arial Narrow" w:hAnsi="Arial Narrow"/>
                <w:sz w:val="20"/>
                <w:szCs w:val="20"/>
              </w:rPr>
              <w:t>Exenatide 5 mcg</w:t>
            </w:r>
            <w:r w:rsidR="0031604C" w:rsidRPr="008B6152">
              <w:rPr>
                <w:rFonts w:ascii="Arial Narrow" w:hAnsi="Arial Narrow"/>
                <w:sz w:val="20"/>
                <w:szCs w:val="20"/>
              </w:rPr>
              <w:t xml:space="preserve"> </w:t>
            </w:r>
            <w:r w:rsidRPr="008B6152">
              <w:rPr>
                <w:rFonts w:ascii="Arial Narrow" w:hAnsi="Arial Narrow"/>
                <w:sz w:val="20"/>
                <w:szCs w:val="20"/>
              </w:rPr>
              <w:t>(7% x 0.17/mcg)</w:t>
            </w:r>
          </w:p>
        </w:tc>
        <w:tc>
          <w:tcPr>
            <w:tcW w:w="1243" w:type="pct"/>
            <w:vAlign w:val="center"/>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$0.125/mcg at 19.3mcg</w:t>
            </w:r>
          </w:p>
        </w:tc>
        <w:tc>
          <w:tcPr>
            <w:tcW w:w="1243" w:type="pct"/>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w:t>
            </w:r>
          </w:p>
        </w:tc>
      </w:tr>
      <w:tr w:rsidR="00D4704A" w:rsidRPr="008B6152" w:rsidTr="00AD76FF">
        <w:tc>
          <w:tcPr>
            <w:tcW w:w="2514" w:type="pct"/>
            <w:vAlign w:val="center"/>
          </w:tcPr>
          <w:p w:rsidR="00D4704A" w:rsidRPr="008B6152" w:rsidRDefault="00D4704A" w:rsidP="002122D8">
            <w:pPr>
              <w:keepNext/>
              <w:keepLines/>
              <w:jc w:val="left"/>
              <w:rPr>
                <w:rFonts w:ascii="Arial Narrow" w:hAnsi="Arial Narrow"/>
                <w:sz w:val="20"/>
                <w:szCs w:val="20"/>
              </w:rPr>
            </w:pPr>
            <w:r w:rsidRPr="008B6152">
              <w:rPr>
                <w:rFonts w:ascii="Arial Narrow" w:hAnsi="Arial Narrow"/>
                <w:sz w:val="20"/>
                <w:szCs w:val="20"/>
              </w:rPr>
              <w:t xml:space="preserve">Lixisenatide 19.3mcg </w:t>
            </w:r>
          </w:p>
        </w:tc>
        <w:tc>
          <w:tcPr>
            <w:tcW w:w="1243" w:type="pct"/>
            <w:vAlign w:val="center"/>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w:t>
            </w:r>
          </w:p>
        </w:tc>
        <w:tc>
          <w:tcPr>
            <w:tcW w:w="1243" w:type="pct"/>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$0.125/mcg at 19.3mcg</w:t>
            </w:r>
          </w:p>
        </w:tc>
      </w:tr>
      <w:tr w:rsidR="00D4704A" w:rsidRPr="008B6152" w:rsidTr="00AD76FF">
        <w:tc>
          <w:tcPr>
            <w:tcW w:w="2514" w:type="pct"/>
            <w:vAlign w:val="center"/>
          </w:tcPr>
          <w:p w:rsidR="00D4704A" w:rsidRPr="008B6152" w:rsidRDefault="00D4704A" w:rsidP="002122D8">
            <w:pPr>
              <w:keepNext/>
              <w:keepLines/>
              <w:jc w:val="left"/>
              <w:rPr>
                <w:rFonts w:ascii="Arial Narrow" w:hAnsi="Arial Narrow"/>
                <w:sz w:val="20"/>
                <w:szCs w:val="20"/>
              </w:rPr>
            </w:pPr>
            <w:r w:rsidRPr="008B6152">
              <w:rPr>
                <w:rFonts w:ascii="Arial Narrow" w:hAnsi="Arial Narrow"/>
                <w:sz w:val="20"/>
                <w:szCs w:val="20"/>
              </w:rPr>
              <w:t>Weighted price of 19.3 mcg</w:t>
            </w:r>
          </w:p>
        </w:tc>
        <w:tc>
          <w:tcPr>
            <w:tcW w:w="1243" w:type="pct"/>
            <w:vAlign w:val="center"/>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$2.41</w:t>
            </w:r>
          </w:p>
        </w:tc>
        <w:tc>
          <w:tcPr>
            <w:tcW w:w="1243" w:type="pct"/>
          </w:tcPr>
          <w:p w:rsidR="00D4704A" w:rsidRPr="008B6152" w:rsidRDefault="00D4704A" w:rsidP="002122D8">
            <w:pPr>
              <w:keepNext/>
              <w:keepLines/>
              <w:jc w:val="center"/>
              <w:rPr>
                <w:rFonts w:ascii="Arial Narrow" w:hAnsi="Arial Narrow"/>
                <w:sz w:val="20"/>
                <w:szCs w:val="20"/>
              </w:rPr>
            </w:pPr>
            <w:r w:rsidRPr="008B6152">
              <w:rPr>
                <w:rFonts w:ascii="Arial Narrow" w:hAnsi="Arial Narrow"/>
                <w:sz w:val="20"/>
                <w:szCs w:val="20"/>
              </w:rPr>
              <w:t>$2.41</w:t>
            </w:r>
          </w:p>
        </w:tc>
      </w:tr>
      <w:tr w:rsidR="00D4704A" w:rsidRPr="002122D8" w:rsidTr="000E4A69">
        <w:tc>
          <w:tcPr>
            <w:tcW w:w="5000" w:type="pct"/>
            <w:gridSpan w:val="3"/>
            <w:vAlign w:val="center"/>
          </w:tcPr>
          <w:p w:rsidR="00D4704A" w:rsidRPr="002122D8" w:rsidRDefault="00AA75A6" w:rsidP="002122D8">
            <w:pPr>
              <w:keepNext/>
              <w:keepLines/>
              <w:jc w:val="left"/>
              <w:rPr>
                <w:rFonts w:ascii="Arial Narrow" w:hAnsi="Arial Narrow"/>
                <w:b/>
                <w:sz w:val="20"/>
                <w:szCs w:val="20"/>
              </w:rPr>
            </w:pPr>
            <w:r w:rsidRPr="002122D8">
              <w:rPr>
                <w:rFonts w:ascii="Arial Narrow" w:hAnsi="Arial Narrow"/>
                <w:b/>
                <w:sz w:val="20"/>
                <w:szCs w:val="20"/>
              </w:rPr>
              <w:t xml:space="preserve">Needle costs </w:t>
            </w:r>
          </w:p>
        </w:tc>
      </w:tr>
      <w:tr w:rsidR="00D4704A" w:rsidRPr="002122D8" w:rsidTr="00AD76FF">
        <w:tc>
          <w:tcPr>
            <w:tcW w:w="2514" w:type="pct"/>
            <w:vAlign w:val="center"/>
          </w:tcPr>
          <w:p w:rsidR="00D4704A" w:rsidRPr="002122D8" w:rsidRDefault="00D4704A" w:rsidP="002122D8">
            <w:pPr>
              <w:keepNext/>
              <w:keepLines/>
              <w:jc w:val="left"/>
              <w:rPr>
                <w:rFonts w:ascii="Arial Narrow" w:hAnsi="Arial Narrow"/>
                <w:sz w:val="20"/>
                <w:szCs w:val="20"/>
                <w:vertAlign w:val="superscript"/>
              </w:rPr>
            </w:pPr>
            <w:r w:rsidRPr="002122D8">
              <w:rPr>
                <w:rFonts w:ascii="Arial Narrow" w:hAnsi="Arial Narrow"/>
                <w:sz w:val="20"/>
                <w:szCs w:val="20"/>
              </w:rPr>
              <w:t>Cost per pack of 100 needles</w:t>
            </w:r>
            <w:r w:rsidRPr="002122D8">
              <w:rPr>
                <w:rFonts w:ascii="Arial Narrow" w:hAnsi="Arial Narrow"/>
                <w:sz w:val="20"/>
                <w:szCs w:val="20"/>
                <w:vertAlign w:val="superscript"/>
              </w:rPr>
              <w:t>1</w:t>
            </w:r>
          </w:p>
        </w:tc>
        <w:tc>
          <w:tcPr>
            <w:tcW w:w="1243" w:type="pct"/>
            <w:vAlign w:val="center"/>
          </w:tcPr>
          <w:p w:rsidR="00D4704A" w:rsidRPr="002122D8" w:rsidRDefault="00D4704A" w:rsidP="002122D8">
            <w:pPr>
              <w:keepNext/>
              <w:keepLines/>
              <w:jc w:val="center"/>
              <w:rPr>
                <w:rFonts w:ascii="Arial Narrow" w:hAnsi="Arial Narrow"/>
                <w:sz w:val="20"/>
                <w:szCs w:val="20"/>
              </w:rPr>
            </w:pPr>
            <w:r w:rsidRPr="002122D8">
              <w:rPr>
                <w:rFonts w:ascii="Arial Narrow" w:hAnsi="Arial Narrow"/>
                <w:sz w:val="20"/>
                <w:szCs w:val="20"/>
              </w:rPr>
              <w:t>$31.93</w:t>
            </w:r>
          </w:p>
        </w:tc>
        <w:tc>
          <w:tcPr>
            <w:tcW w:w="1243" w:type="pct"/>
            <w:vAlign w:val="center"/>
          </w:tcPr>
          <w:p w:rsidR="00D4704A" w:rsidRPr="002122D8" w:rsidRDefault="00D4704A" w:rsidP="002122D8">
            <w:pPr>
              <w:keepNext/>
              <w:keepLines/>
              <w:jc w:val="center"/>
              <w:rPr>
                <w:rFonts w:ascii="Arial Narrow" w:hAnsi="Arial Narrow"/>
                <w:sz w:val="20"/>
                <w:szCs w:val="20"/>
              </w:rPr>
            </w:pPr>
            <w:r w:rsidRPr="002122D8">
              <w:rPr>
                <w:rFonts w:ascii="Arial Narrow" w:hAnsi="Arial Narrow"/>
                <w:sz w:val="20"/>
                <w:szCs w:val="20"/>
              </w:rPr>
              <w:t>$31.93</w:t>
            </w:r>
          </w:p>
        </w:tc>
      </w:tr>
      <w:tr w:rsidR="00D4704A" w:rsidRPr="002122D8" w:rsidTr="00AD76FF">
        <w:tc>
          <w:tcPr>
            <w:tcW w:w="2514" w:type="pct"/>
            <w:vAlign w:val="center"/>
          </w:tcPr>
          <w:p w:rsidR="00D4704A" w:rsidRPr="002122D8" w:rsidRDefault="00D4704A" w:rsidP="002122D8">
            <w:pPr>
              <w:keepNext/>
              <w:keepLines/>
              <w:jc w:val="left"/>
              <w:rPr>
                <w:rFonts w:ascii="Arial Narrow" w:hAnsi="Arial Narrow"/>
                <w:sz w:val="20"/>
                <w:szCs w:val="20"/>
              </w:rPr>
            </w:pPr>
            <w:r w:rsidRPr="002122D8">
              <w:rPr>
                <w:rFonts w:ascii="Arial Narrow" w:hAnsi="Arial Narrow"/>
                <w:sz w:val="20"/>
                <w:szCs w:val="20"/>
              </w:rPr>
              <w:t>Cost per needle</w:t>
            </w:r>
          </w:p>
        </w:tc>
        <w:tc>
          <w:tcPr>
            <w:tcW w:w="1243" w:type="pct"/>
            <w:vAlign w:val="center"/>
          </w:tcPr>
          <w:p w:rsidR="00D4704A" w:rsidRPr="002122D8" w:rsidRDefault="00D4704A" w:rsidP="002122D8">
            <w:pPr>
              <w:keepNext/>
              <w:keepLines/>
              <w:jc w:val="center"/>
              <w:rPr>
                <w:rFonts w:ascii="Arial Narrow" w:hAnsi="Arial Narrow"/>
                <w:sz w:val="20"/>
                <w:szCs w:val="20"/>
              </w:rPr>
            </w:pPr>
            <w:r w:rsidRPr="002122D8">
              <w:rPr>
                <w:rFonts w:ascii="Arial Narrow" w:hAnsi="Arial Narrow"/>
                <w:sz w:val="20"/>
                <w:szCs w:val="20"/>
              </w:rPr>
              <w:t>$0.319/needle</w:t>
            </w:r>
          </w:p>
        </w:tc>
        <w:tc>
          <w:tcPr>
            <w:tcW w:w="1243" w:type="pct"/>
            <w:vAlign w:val="center"/>
          </w:tcPr>
          <w:p w:rsidR="00D4704A" w:rsidRPr="002122D8" w:rsidRDefault="00D4704A" w:rsidP="002122D8">
            <w:pPr>
              <w:keepNext/>
              <w:keepLines/>
              <w:jc w:val="center"/>
              <w:rPr>
                <w:rFonts w:ascii="Arial Narrow" w:hAnsi="Arial Narrow"/>
                <w:sz w:val="20"/>
                <w:szCs w:val="20"/>
              </w:rPr>
            </w:pPr>
            <w:r w:rsidRPr="002122D8">
              <w:rPr>
                <w:rFonts w:ascii="Arial Narrow" w:hAnsi="Arial Narrow"/>
                <w:sz w:val="20"/>
                <w:szCs w:val="20"/>
              </w:rPr>
              <w:t>$0.319/needle</w:t>
            </w:r>
          </w:p>
        </w:tc>
      </w:tr>
      <w:tr w:rsidR="00D4704A" w:rsidRPr="002122D8" w:rsidTr="00AD76FF">
        <w:tc>
          <w:tcPr>
            <w:tcW w:w="2514" w:type="pct"/>
            <w:vAlign w:val="center"/>
          </w:tcPr>
          <w:p w:rsidR="00D4704A" w:rsidRPr="002122D8" w:rsidRDefault="00D4704A" w:rsidP="002122D8">
            <w:pPr>
              <w:keepNext/>
              <w:keepLines/>
              <w:jc w:val="left"/>
              <w:rPr>
                <w:rFonts w:ascii="Arial Narrow" w:hAnsi="Arial Narrow"/>
                <w:sz w:val="20"/>
                <w:szCs w:val="20"/>
              </w:rPr>
            </w:pPr>
            <w:r w:rsidRPr="002122D8">
              <w:rPr>
                <w:rFonts w:ascii="Arial Narrow" w:hAnsi="Arial Narrow"/>
                <w:sz w:val="20"/>
                <w:szCs w:val="20"/>
              </w:rPr>
              <w:t xml:space="preserve">Total needles assumed </w:t>
            </w:r>
          </w:p>
        </w:tc>
        <w:tc>
          <w:tcPr>
            <w:tcW w:w="1243" w:type="pct"/>
            <w:vAlign w:val="center"/>
          </w:tcPr>
          <w:p w:rsidR="00D4704A" w:rsidRPr="002122D8" w:rsidRDefault="00D4704A" w:rsidP="002122D8">
            <w:pPr>
              <w:keepNext/>
              <w:keepLines/>
              <w:jc w:val="center"/>
              <w:rPr>
                <w:rFonts w:ascii="Arial Narrow" w:hAnsi="Arial Narrow"/>
                <w:sz w:val="20"/>
                <w:szCs w:val="20"/>
              </w:rPr>
            </w:pPr>
            <w:r w:rsidRPr="002122D8">
              <w:rPr>
                <w:rFonts w:ascii="Arial Narrow" w:hAnsi="Arial Narrow"/>
                <w:sz w:val="20"/>
                <w:szCs w:val="20"/>
              </w:rPr>
              <w:t>2 needles/day</w:t>
            </w:r>
            <w:r w:rsidR="00AD76FF" w:rsidRPr="002122D8">
              <w:rPr>
                <w:rFonts w:ascii="Arial Narrow" w:hAnsi="Arial Narrow"/>
                <w:sz w:val="20"/>
                <w:szCs w:val="20"/>
              </w:rPr>
              <w:t xml:space="preserve">: </w:t>
            </w:r>
            <w:r w:rsidRPr="002122D8">
              <w:rPr>
                <w:rFonts w:ascii="Arial Narrow" w:hAnsi="Arial Narrow"/>
                <w:sz w:val="20"/>
                <w:szCs w:val="20"/>
              </w:rPr>
              <w:t>$0.639</w:t>
            </w:r>
          </w:p>
        </w:tc>
        <w:tc>
          <w:tcPr>
            <w:tcW w:w="1243" w:type="pct"/>
          </w:tcPr>
          <w:p w:rsidR="00D4704A" w:rsidRPr="002122D8" w:rsidRDefault="00D4704A" w:rsidP="002122D8">
            <w:pPr>
              <w:keepNext/>
              <w:keepLines/>
              <w:jc w:val="center"/>
              <w:rPr>
                <w:rFonts w:ascii="Arial Narrow" w:hAnsi="Arial Narrow"/>
                <w:sz w:val="20"/>
                <w:szCs w:val="20"/>
              </w:rPr>
            </w:pPr>
            <w:r w:rsidRPr="002122D8">
              <w:rPr>
                <w:rFonts w:ascii="Arial Narrow" w:hAnsi="Arial Narrow"/>
                <w:sz w:val="20"/>
                <w:szCs w:val="20"/>
              </w:rPr>
              <w:t>1 needle/day</w:t>
            </w:r>
            <w:r w:rsidR="00AD76FF" w:rsidRPr="002122D8">
              <w:rPr>
                <w:rFonts w:ascii="Arial Narrow" w:hAnsi="Arial Narrow"/>
                <w:sz w:val="20"/>
                <w:szCs w:val="20"/>
              </w:rPr>
              <w:t xml:space="preserve">: </w:t>
            </w:r>
            <w:r w:rsidRPr="002122D8">
              <w:rPr>
                <w:rFonts w:ascii="Arial Narrow" w:hAnsi="Arial Narrow"/>
                <w:sz w:val="20"/>
                <w:szCs w:val="20"/>
              </w:rPr>
              <w:t>$0.319</w:t>
            </w:r>
          </w:p>
        </w:tc>
      </w:tr>
      <w:tr w:rsidR="00D4704A" w:rsidRPr="002122D8" w:rsidTr="00AD76FF">
        <w:tc>
          <w:tcPr>
            <w:tcW w:w="2514" w:type="pct"/>
            <w:vAlign w:val="center"/>
          </w:tcPr>
          <w:p w:rsidR="00D4704A" w:rsidRPr="002122D8" w:rsidRDefault="00D4704A" w:rsidP="002122D8">
            <w:pPr>
              <w:keepNext/>
              <w:keepLines/>
              <w:jc w:val="left"/>
              <w:rPr>
                <w:rFonts w:ascii="Arial Narrow" w:hAnsi="Arial Narrow"/>
                <w:sz w:val="20"/>
                <w:szCs w:val="20"/>
              </w:rPr>
            </w:pPr>
            <w:r w:rsidRPr="002122D8">
              <w:rPr>
                <w:rFonts w:ascii="Arial Narrow" w:hAnsi="Arial Narrow"/>
                <w:sz w:val="20"/>
                <w:szCs w:val="20"/>
              </w:rPr>
              <w:t>Offset claimed (50% of total needle reduction)</w:t>
            </w:r>
          </w:p>
        </w:tc>
        <w:tc>
          <w:tcPr>
            <w:tcW w:w="1243" w:type="pct"/>
            <w:vAlign w:val="center"/>
          </w:tcPr>
          <w:p w:rsidR="00D4704A" w:rsidRPr="002122D8" w:rsidRDefault="00D4704A" w:rsidP="002122D8">
            <w:pPr>
              <w:keepNext/>
              <w:keepLines/>
              <w:jc w:val="center"/>
              <w:rPr>
                <w:rFonts w:ascii="Arial Narrow" w:hAnsi="Arial Narrow"/>
                <w:sz w:val="20"/>
                <w:szCs w:val="20"/>
              </w:rPr>
            </w:pPr>
            <w:r w:rsidRPr="002122D8">
              <w:rPr>
                <w:rFonts w:ascii="Arial Narrow" w:hAnsi="Arial Narrow"/>
                <w:sz w:val="20"/>
                <w:szCs w:val="20"/>
              </w:rPr>
              <w:t>-</w:t>
            </w:r>
          </w:p>
        </w:tc>
        <w:tc>
          <w:tcPr>
            <w:tcW w:w="1243" w:type="pct"/>
          </w:tcPr>
          <w:p w:rsidR="00D4704A" w:rsidRPr="002122D8" w:rsidRDefault="00D4704A" w:rsidP="002122D8">
            <w:pPr>
              <w:keepNext/>
              <w:keepLines/>
              <w:jc w:val="center"/>
              <w:rPr>
                <w:rFonts w:ascii="Arial Narrow" w:hAnsi="Arial Narrow"/>
                <w:sz w:val="20"/>
                <w:szCs w:val="20"/>
              </w:rPr>
            </w:pPr>
            <w:r w:rsidRPr="002122D8">
              <w:rPr>
                <w:rFonts w:ascii="Arial Narrow" w:hAnsi="Arial Narrow"/>
                <w:sz w:val="20"/>
                <w:szCs w:val="20"/>
              </w:rPr>
              <w:t>$0.319</w:t>
            </w:r>
          </w:p>
        </w:tc>
      </w:tr>
      <w:tr w:rsidR="00D4704A" w:rsidRPr="002122D8" w:rsidTr="000E4A69">
        <w:tc>
          <w:tcPr>
            <w:tcW w:w="5000" w:type="pct"/>
            <w:gridSpan w:val="3"/>
            <w:vAlign w:val="center"/>
          </w:tcPr>
          <w:p w:rsidR="00D4704A" w:rsidRPr="002122D8" w:rsidRDefault="00D4704A" w:rsidP="002122D8">
            <w:pPr>
              <w:keepNext/>
              <w:keepLines/>
              <w:jc w:val="left"/>
              <w:rPr>
                <w:rFonts w:ascii="Arial Narrow" w:hAnsi="Arial Narrow"/>
                <w:b/>
                <w:sz w:val="20"/>
                <w:szCs w:val="20"/>
              </w:rPr>
            </w:pPr>
            <w:r w:rsidRPr="002122D8">
              <w:rPr>
                <w:rFonts w:ascii="Arial Narrow" w:hAnsi="Arial Narrow"/>
                <w:b/>
                <w:sz w:val="20"/>
                <w:szCs w:val="20"/>
              </w:rPr>
              <w:t>Total daily cost</w:t>
            </w:r>
          </w:p>
        </w:tc>
      </w:tr>
      <w:tr w:rsidR="00D4704A" w:rsidRPr="002122D8" w:rsidTr="00AD76FF">
        <w:tc>
          <w:tcPr>
            <w:tcW w:w="2514" w:type="pct"/>
            <w:vAlign w:val="center"/>
          </w:tcPr>
          <w:p w:rsidR="00D4704A" w:rsidRPr="002122D8" w:rsidRDefault="00D4704A" w:rsidP="002122D8">
            <w:pPr>
              <w:keepNext/>
              <w:keepLines/>
              <w:jc w:val="left"/>
              <w:rPr>
                <w:rFonts w:ascii="Arial Narrow" w:hAnsi="Arial Narrow"/>
                <w:sz w:val="20"/>
                <w:szCs w:val="20"/>
              </w:rPr>
            </w:pPr>
            <w:r w:rsidRPr="002122D8">
              <w:rPr>
                <w:rFonts w:ascii="Arial Narrow" w:hAnsi="Arial Narrow"/>
                <w:sz w:val="20"/>
                <w:szCs w:val="20"/>
              </w:rPr>
              <w:t>Insulin glargine ($</w:t>
            </w:r>
            <w:r w:rsidR="000D054F">
              <w:rPr>
                <w:rFonts w:ascii="Arial Narrow" w:hAnsi="Arial Narrow"/>
                <w:noProof/>
                <w:color w:val="000000"/>
                <w:sz w:val="20"/>
                <w:szCs w:val="20"/>
                <w:highlight w:val="black"/>
              </w:rPr>
              <w:t>'''''''''''</w:t>
            </w:r>
            <w:r w:rsidRPr="002122D8">
              <w:rPr>
                <w:rFonts w:ascii="Arial Narrow" w:hAnsi="Arial Narrow"/>
                <w:sz w:val="20"/>
                <w:szCs w:val="20"/>
              </w:rPr>
              <w:t>) + exenatide weighted ($2.41) + needles ($0.639)</w:t>
            </w:r>
          </w:p>
        </w:tc>
        <w:tc>
          <w:tcPr>
            <w:tcW w:w="1243" w:type="pct"/>
            <w:vAlign w:val="center"/>
          </w:tcPr>
          <w:p w:rsidR="00D4704A" w:rsidRPr="002122D8" w:rsidRDefault="00D4704A" w:rsidP="002122D8">
            <w:pPr>
              <w:keepNext/>
              <w:keepLines/>
              <w:jc w:val="center"/>
              <w:rPr>
                <w:rFonts w:ascii="Arial Narrow" w:hAnsi="Arial Narrow"/>
                <w:sz w:val="20"/>
                <w:szCs w:val="20"/>
              </w:rPr>
            </w:pPr>
            <w:r w:rsidRPr="002122D8">
              <w:rPr>
                <w:rFonts w:ascii="Arial Narrow" w:hAnsi="Arial Narrow"/>
                <w:sz w:val="20"/>
                <w:szCs w:val="20"/>
              </w:rPr>
              <w:t>$</w:t>
            </w:r>
            <w:r w:rsidR="000D054F">
              <w:rPr>
                <w:rFonts w:ascii="Arial Narrow" w:hAnsi="Arial Narrow"/>
                <w:noProof/>
                <w:color w:val="000000"/>
                <w:sz w:val="20"/>
                <w:szCs w:val="20"/>
                <w:highlight w:val="black"/>
              </w:rPr>
              <w:t>'''''''''''</w:t>
            </w:r>
          </w:p>
        </w:tc>
        <w:tc>
          <w:tcPr>
            <w:tcW w:w="1243" w:type="pct"/>
          </w:tcPr>
          <w:p w:rsidR="00D4704A" w:rsidRPr="002122D8" w:rsidRDefault="00D4704A" w:rsidP="002122D8">
            <w:pPr>
              <w:keepNext/>
              <w:keepLines/>
              <w:jc w:val="center"/>
              <w:rPr>
                <w:rFonts w:ascii="Arial Narrow" w:hAnsi="Arial Narrow"/>
                <w:sz w:val="20"/>
                <w:szCs w:val="20"/>
              </w:rPr>
            </w:pPr>
            <w:r w:rsidRPr="002122D8">
              <w:rPr>
                <w:rFonts w:ascii="Arial Narrow" w:hAnsi="Arial Narrow"/>
                <w:sz w:val="20"/>
                <w:szCs w:val="20"/>
              </w:rPr>
              <w:t>-</w:t>
            </w:r>
          </w:p>
        </w:tc>
      </w:tr>
      <w:tr w:rsidR="00D4704A" w:rsidRPr="002122D8" w:rsidTr="00AD76FF">
        <w:tc>
          <w:tcPr>
            <w:tcW w:w="2514" w:type="pct"/>
            <w:vAlign w:val="center"/>
          </w:tcPr>
          <w:p w:rsidR="00D4704A" w:rsidRPr="002122D8" w:rsidRDefault="00D4704A" w:rsidP="002122D8">
            <w:pPr>
              <w:keepNext/>
              <w:keepLines/>
              <w:jc w:val="left"/>
              <w:rPr>
                <w:rFonts w:ascii="Arial Narrow" w:hAnsi="Arial Narrow"/>
                <w:sz w:val="20"/>
                <w:szCs w:val="20"/>
              </w:rPr>
            </w:pPr>
            <w:r w:rsidRPr="002122D8">
              <w:rPr>
                <w:rFonts w:ascii="Arial Narrow" w:hAnsi="Arial Narrow"/>
                <w:sz w:val="20"/>
                <w:szCs w:val="20"/>
              </w:rPr>
              <w:t>Insulin glargine ($</w:t>
            </w:r>
            <w:r w:rsidR="000D054F">
              <w:rPr>
                <w:rFonts w:ascii="Arial Narrow" w:hAnsi="Arial Narrow"/>
                <w:noProof/>
                <w:color w:val="000000"/>
                <w:sz w:val="20"/>
                <w:szCs w:val="20"/>
                <w:highlight w:val="black"/>
              </w:rPr>
              <w:t>''''''''''</w:t>
            </w:r>
            <w:r w:rsidRPr="002122D8">
              <w:rPr>
                <w:rFonts w:ascii="Arial Narrow" w:hAnsi="Arial Narrow"/>
                <w:sz w:val="20"/>
                <w:szCs w:val="20"/>
              </w:rPr>
              <w:t>) + lixisenatide ($2.41) + needles ($0.32) + needle offset ($0.32)</w:t>
            </w:r>
          </w:p>
        </w:tc>
        <w:tc>
          <w:tcPr>
            <w:tcW w:w="1243" w:type="pct"/>
            <w:vAlign w:val="center"/>
          </w:tcPr>
          <w:p w:rsidR="00D4704A" w:rsidRPr="002122D8" w:rsidRDefault="00D4704A" w:rsidP="002122D8">
            <w:pPr>
              <w:keepNext/>
              <w:keepLines/>
              <w:jc w:val="center"/>
              <w:rPr>
                <w:rFonts w:ascii="Arial Narrow" w:hAnsi="Arial Narrow"/>
                <w:sz w:val="20"/>
                <w:szCs w:val="20"/>
              </w:rPr>
            </w:pPr>
            <w:r w:rsidRPr="002122D8">
              <w:rPr>
                <w:rFonts w:ascii="Arial Narrow" w:hAnsi="Arial Narrow"/>
                <w:sz w:val="20"/>
                <w:szCs w:val="20"/>
              </w:rPr>
              <w:t>-</w:t>
            </w:r>
          </w:p>
        </w:tc>
        <w:tc>
          <w:tcPr>
            <w:tcW w:w="1243" w:type="pct"/>
            <w:vAlign w:val="center"/>
          </w:tcPr>
          <w:p w:rsidR="00D4704A" w:rsidRPr="002122D8" w:rsidRDefault="00D4704A" w:rsidP="002122D8">
            <w:pPr>
              <w:keepNext/>
              <w:keepLines/>
              <w:jc w:val="center"/>
              <w:rPr>
                <w:rFonts w:ascii="Arial Narrow" w:hAnsi="Arial Narrow"/>
                <w:sz w:val="20"/>
                <w:szCs w:val="20"/>
              </w:rPr>
            </w:pPr>
            <w:r w:rsidRPr="002122D8">
              <w:rPr>
                <w:rFonts w:ascii="Arial Narrow" w:hAnsi="Arial Narrow"/>
                <w:sz w:val="20"/>
                <w:szCs w:val="20"/>
              </w:rPr>
              <w:t>$</w:t>
            </w:r>
            <w:r w:rsidR="000D054F">
              <w:rPr>
                <w:rFonts w:ascii="Arial Narrow" w:hAnsi="Arial Narrow"/>
                <w:noProof/>
                <w:color w:val="000000"/>
                <w:sz w:val="20"/>
                <w:szCs w:val="20"/>
                <w:highlight w:val="black"/>
              </w:rPr>
              <w:t>''''''''''</w:t>
            </w:r>
          </w:p>
        </w:tc>
      </w:tr>
    </w:tbl>
    <w:p w:rsidR="00D4704A" w:rsidRPr="008B6152" w:rsidRDefault="00D4704A" w:rsidP="002122D8">
      <w:pPr>
        <w:pStyle w:val="ListParagraph"/>
        <w:keepNext/>
        <w:keepLines/>
        <w:widowControl/>
        <w:spacing w:after="0"/>
        <w:ind w:left="0"/>
        <w:rPr>
          <w:rFonts w:ascii="Arial Narrow" w:hAnsi="Arial Narrow"/>
          <w:sz w:val="18"/>
          <w:szCs w:val="18"/>
        </w:rPr>
      </w:pPr>
      <w:r w:rsidRPr="002122D8">
        <w:rPr>
          <w:rFonts w:ascii="Arial Narrow" w:hAnsi="Arial Narrow"/>
          <w:sz w:val="18"/>
          <w:szCs w:val="18"/>
        </w:rPr>
        <w:t>Source: ‘iGlarLixi CMA November 2018’ Excel workbook, Attachment 9 of the resubmission</w:t>
      </w:r>
    </w:p>
    <w:p w:rsidR="00D4704A" w:rsidRPr="008B6152" w:rsidRDefault="00D4704A" w:rsidP="002122D8">
      <w:pPr>
        <w:pStyle w:val="ListParagraph"/>
        <w:keepNext/>
        <w:keepLines/>
        <w:widowControl/>
        <w:spacing w:after="0"/>
        <w:ind w:left="0"/>
        <w:rPr>
          <w:rFonts w:ascii="Arial Narrow" w:hAnsi="Arial Narrow"/>
          <w:sz w:val="18"/>
          <w:szCs w:val="18"/>
        </w:rPr>
      </w:pPr>
      <w:r w:rsidRPr="008B6152">
        <w:rPr>
          <w:rFonts w:ascii="Arial Narrow" w:hAnsi="Arial Narrow"/>
          <w:sz w:val="18"/>
          <w:szCs w:val="18"/>
        </w:rPr>
        <w:t xml:space="preserve">AEMP, approved ex-manufacturer </w:t>
      </w:r>
      <w:r w:rsidR="004C1448" w:rsidRPr="008B6152">
        <w:rPr>
          <w:rFonts w:ascii="Arial Narrow" w:hAnsi="Arial Narrow"/>
          <w:sz w:val="18"/>
          <w:szCs w:val="18"/>
        </w:rPr>
        <w:t>price</w:t>
      </w:r>
      <w:r w:rsidRPr="008B6152">
        <w:rPr>
          <w:rFonts w:ascii="Arial Narrow" w:hAnsi="Arial Narrow"/>
          <w:sz w:val="18"/>
          <w:szCs w:val="18"/>
        </w:rPr>
        <w:t>, FRC = fixed ratio combination, GLP-1 = Glucagon-like peptide -1</w:t>
      </w:r>
    </w:p>
    <w:p w:rsidR="00D4704A" w:rsidRPr="008B6152" w:rsidRDefault="00D4704A" w:rsidP="002122D8">
      <w:pPr>
        <w:pStyle w:val="ListParagraph"/>
        <w:keepNext/>
        <w:keepLines/>
        <w:widowControl/>
        <w:spacing w:after="0"/>
        <w:ind w:left="0"/>
        <w:rPr>
          <w:rFonts w:ascii="Arial Narrow" w:hAnsi="Arial Narrow"/>
          <w:sz w:val="18"/>
          <w:szCs w:val="18"/>
        </w:rPr>
      </w:pPr>
      <w:r w:rsidRPr="002122D8">
        <w:rPr>
          <w:rFonts w:ascii="Arial Narrow" w:hAnsi="Arial Narrow"/>
          <w:sz w:val="18"/>
          <w:szCs w:val="18"/>
          <w:vertAlign w:val="superscript"/>
        </w:rPr>
        <w:t>1</w:t>
      </w:r>
      <w:r w:rsidRPr="002122D8">
        <w:rPr>
          <w:rFonts w:ascii="Arial Narrow" w:hAnsi="Arial Narrow"/>
          <w:sz w:val="18"/>
          <w:szCs w:val="18"/>
        </w:rPr>
        <w:t xml:space="preserve"> http://www.pharmacydirect.com.au/product/bd-micro-fine-29g-x-127mm-pen-needle-box-100-037951.aspx [accessed 21 September 2017 and checked still current price at 19 November 2018]</w:t>
      </w:r>
    </w:p>
    <w:p w:rsidR="00D4704A" w:rsidRPr="008B6152" w:rsidRDefault="00D4704A" w:rsidP="00D4704A">
      <w:pPr>
        <w:pStyle w:val="ListParagraph"/>
        <w:widowControl/>
        <w:spacing w:after="0"/>
        <w:rPr>
          <w:szCs w:val="18"/>
        </w:rPr>
      </w:pPr>
    </w:p>
    <w:p w:rsidR="00411362" w:rsidRPr="00B66CF9" w:rsidRDefault="00411362" w:rsidP="00411362">
      <w:pPr>
        <w:pStyle w:val="ListParagraph"/>
        <w:widowControl/>
        <w:numPr>
          <w:ilvl w:val="1"/>
          <w:numId w:val="3"/>
        </w:numPr>
      </w:pPr>
      <w:r w:rsidRPr="00B66CF9">
        <w:t xml:space="preserve">The resubmission derived the cost per unit of insulin glargine, and the cost per mcg of exenatide 5 mcg and 10 mcg based on the current PBS approved ex-manufacturer prices. This differed from the approach taken in the previous submission, which used the price for each drug when first listed. The resubmission’s revised approach was appropriate. </w:t>
      </w:r>
    </w:p>
    <w:p w:rsidR="00411362" w:rsidRPr="00B66CF9" w:rsidRDefault="00411362" w:rsidP="00411362">
      <w:pPr>
        <w:pStyle w:val="ListParagraph"/>
        <w:widowControl/>
        <w:numPr>
          <w:ilvl w:val="1"/>
          <w:numId w:val="3"/>
        </w:numPr>
      </w:pPr>
      <w:r w:rsidRPr="00B66CF9">
        <w:t xml:space="preserve">The cost of treatment per day was derived using the equi-effective doses, and </w:t>
      </w:r>
      <w:r w:rsidRPr="002122D8">
        <w:t xml:space="preserve">assuming </w:t>
      </w:r>
      <w:r w:rsidR="000D054F">
        <w:rPr>
          <w:noProof/>
          <w:color w:val="000000"/>
          <w:highlight w:val="black"/>
        </w:rPr>
        <w:t>''''''</w:t>
      </w:r>
      <w:r w:rsidRPr="002122D8">
        <w:t xml:space="preserve">% use of exenatide 5 mcg and </w:t>
      </w:r>
      <w:r w:rsidR="000D054F">
        <w:rPr>
          <w:noProof/>
          <w:color w:val="000000"/>
          <w:highlight w:val="black"/>
        </w:rPr>
        <w:t>'''''</w:t>
      </w:r>
      <w:r w:rsidR="007E1420" w:rsidRPr="002122D8">
        <w:t xml:space="preserve">% </w:t>
      </w:r>
      <w:r w:rsidRPr="002122D8">
        <w:t>use of exenatide 10 mcg, based</w:t>
      </w:r>
      <w:r w:rsidRPr="00B66CF9">
        <w:t xml:space="preserve"> on the weighting required to achieve a dose of 19.3 mcg/day.</w:t>
      </w:r>
      <w:r w:rsidR="004863C8">
        <w:t xml:space="preserve"> </w:t>
      </w:r>
    </w:p>
    <w:p w:rsidR="00875A16" w:rsidRPr="00B66CF9" w:rsidRDefault="00F86B96" w:rsidP="00875A16">
      <w:pPr>
        <w:pStyle w:val="ListParagraph"/>
        <w:widowControl/>
        <w:numPr>
          <w:ilvl w:val="1"/>
          <w:numId w:val="3"/>
        </w:numPr>
      </w:pPr>
      <w:r w:rsidRPr="00B66CF9">
        <w:t xml:space="preserve">Table </w:t>
      </w:r>
      <w:r w:rsidRPr="00B66CF9">
        <w:rPr>
          <w:noProof/>
        </w:rPr>
        <w:t>8</w:t>
      </w:r>
      <w:r w:rsidR="006322A3" w:rsidRPr="00B66CF9">
        <w:t xml:space="preserve"> </w:t>
      </w:r>
      <w:r w:rsidR="00875A16" w:rsidRPr="00B66CF9">
        <w:t>summarises the steps used to derive the requested ex-manufacturer price for each strength of insulin glargine with lixisenatide FRC pen.</w:t>
      </w:r>
      <w:r w:rsidR="004863C8">
        <w:t xml:space="preserve"> </w:t>
      </w:r>
    </w:p>
    <w:p w:rsidR="00875A16" w:rsidRPr="008B6152" w:rsidRDefault="00F86B96" w:rsidP="002122D8">
      <w:pPr>
        <w:pStyle w:val="TableHeading0"/>
        <w:keepLines/>
        <w:spacing w:after="0"/>
      </w:pPr>
      <w:bookmarkStart w:id="17" w:name="_Ref534478891"/>
      <w:r w:rsidRPr="008B6152">
        <w:lastRenderedPageBreak/>
        <w:t>Table 8</w:t>
      </w:r>
      <w:bookmarkEnd w:id="17"/>
      <w:r w:rsidRPr="008B6152">
        <w:t>:</w:t>
      </w:r>
      <w:r w:rsidR="0031604C" w:rsidRPr="008B6152">
        <w:t xml:space="preserve"> </w:t>
      </w:r>
      <w:r w:rsidR="00875A16" w:rsidRPr="008B6152">
        <w:t>Derivation of the AEMP for insulin glargine with lixisenatide FRC</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8: Derivation of the AEMP for insulin glargine with lixisenatide FRC"/>
      </w:tblPr>
      <w:tblGrid>
        <w:gridCol w:w="988"/>
        <w:gridCol w:w="568"/>
        <w:gridCol w:w="707"/>
        <w:gridCol w:w="709"/>
        <w:gridCol w:w="604"/>
        <w:gridCol w:w="956"/>
        <w:gridCol w:w="709"/>
        <w:gridCol w:w="850"/>
        <w:gridCol w:w="1064"/>
        <w:gridCol w:w="1023"/>
        <w:gridCol w:w="889"/>
      </w:tblGrid>
      <w:tr w:rsidR="00875A16" w:rsidRPr="008B6152" w:rsidTr="000E4A69">
        <w:trPr>
          <w:trHeight w:val="288"/>
          <w:jc w:val="center"/>
        </w:trPr>
        <w:tc>
          <w:tcPr>
            <w:tcW w:w="545" w:type="pct"/>
            <w:vMerge w:val="restart"/>
            <w:shd w:val="clear" w:color="auto" w:fill="auto"/>
            <w:noWrap/>
            <w:vAlign w:val="center"/>
            <w:hideMark/>
          </w:tcPr>
          <w:p w:rsidR="00875A16" w:rsidRPr="008B6152" w:rsidRDefault="00875A16" w:rsidP="002122D8">
            <w:pPr>
              <w:keepNext/>
              <w:keepLines/>
              <w:widowControl/>
              <w:jc w:val="left"/>
              <w:rPr>
                <w:rFonts w:ascii="Arial Narrow" w:eastAsia="Calibri" w:hAnsi="Arial Narrow" w:cs="Calibri"/>
                <w:snapToGrid/>
                <w:sz w:val="20"/>
                <w:szCs w:val="20"/>
              </w:rPr>
            </w:pPr>
          </w:p>
        </w:tc>
        <w:tc>
          <w:tcPr>
            <w:tcW w:w="1094" w:type="pct"/>
            <w:gridSpan w:val="3"/>
            <w:shd w:val="clear" w:color="auto" w:fill="auto"/>
            <w:noWrap/>
            <w:vAlign w:val="center"/>
            <w:hideMark/>
          </w:tcPr>
          <w:p w:rsidR="00875A16" w:rsidRPr="008B6152" w:rsidRDefault="00875A16" w:rsidP="002122D8">
            <w:pPr>
              <w:keepNext/>
              <w:keepLines/>
              <w:widowControl/>
              <w:jc w:val="center"/>
              <w:rPr>
                <w:rFonts w:ascii="Arial Narrow" w:eastAsia="Calibri" w:hAnsi="Arial Narrow" w:cs="Calibri"/>
                <w:b/>
                <w:snapToGrid/>
                <w:sz w:val="20"/>
                <w:szCs w:val="20"/>
              </w:rPr>
            </w:pPr>
            <w:r w:rsidRPr="008B6152">
              <w:rPr>
                <w:rFonts w:ascii="Arial Narrow" w:eastAsia="Calibri" w:hAnsi="Arial Narrow" w:cs="Calibri"/>
                <w:b/>
                <w:snapToGrid/>
                <w:sz w:val="20"/>
                <w:szCs w:val="20"/>
              </w:rPr>
              <w:t>Insulin glargine</w:t>
            </w:r>
          </w:p>
        </w:tc>
        <w:tc>
          <w:tcPr>
            <w:tcW w:w="1251" w:type="pct"/>
            <w:gridSpan w:val="3"/>
            <w:shd w:val="clear" w:color="auto" w:fill="auto"/>
            <w:noWrap/>
            <w:vAlign w:val="center"/>
            <w:hideMark/>
          </w:tcPr>
          <w:p w:rsidR="00875A16" w:rsidRPr="008B6152" w:rsidRDefault="00875A16" w:rsidP="002122D8">
            <w:pPr>
              <w:keepNext/>
              <w:keepLines/>
              <w:widowControl/>
              <w:jc w:val="center"/>
              <w:rPr>
                <w:rFonts w:ascii="Arial Narrow" w:eastAsia="Calibri" w:hAnsi="Arial Narrow" w:cs="Calibri"/>
                <w:b/>
                <w:snapToGrid/>
                <w:sz w:val="20"/>
                <w:szCs w:val="20"/>
              </w:rPr>
            </w:pPr>
            <w:r w:rsidRPr="008B6152">
              <w:rPr>
                <w:rFonts w:ascii="Arial Narrow" w:eastAsia="Calibri" w:hAnsi="Arial Narrow" w:cs="Calibri"/>
                <w:b/>
                <w:snapToGrid/>
                <w:sz w:val="20"/>
                <w:szCs w:val="20"/>
              </w:rPr>
              <w:t>Lixisenatide</w:t>
            </w:r>
          </w:p>
        </w:tc>
        <w:tc>
          <w:tcPr>
            <w:tcW w:w="469" w:type="pct"/>
            <w:vMerge w:val="restart"/>
          </w:tcPr>
          <w:p w:rsidR="00875A16" w:rsidRPr="008B6152" w:rsidRDefault="00875A16" w:rsidP="002122D8">
            <w:pPr>
              <w:keepNext/>
              <w:keepLines/>
              <w:widowControl/>
              <w:jc w:val="center"/>
              <w:rPr>
                <w:rFonts w:ascii="Arial Narrow" w:eastAsia="Calibri" w:hAnsi="Arial Narrow" w:cs="Calibri"/>
                <w:b/>
                <w:snapToGrid/>
                <w:sz w:val="20"/>
                <w:szCs w:val="20"/>
              </w:rPr>
            </w:pPr>
            <w:r w:rsidRPr="008B6152">
              <w:rPr>
                <w:rFonts w:ascii="Arial Narrow" w:eastAsia="Calibri" w:hAnsi="Arial Narrow" w:cs="Calibri"/>
                <w:b/>
                <w:snapToGrid/>
                <w:sz w:val="20"/>
                <w:szCs w:val="20"/>
              </w:rPr>
              <w:t>Cost offset from needles</w:t>
            </w:r>
          </w:p>
        </w:tc>
        <w:tc>
          <w:tcPr>
            <w:tcW w:w="587" w:type="pct"/>
            <w:vMerge w:val="restart"/>
            <w:shd w:val="clear" w:color="auto" w:fill="auto"/>
            <w:noWrap/>
            <w:vAlign w:val="center"/>
            <w:hideMark/>
          </w:tcPr>
          <w:p w:rsidR="00875A16" w:rsidRPr="008B6152" w:rsidRDefault="00875A16" w:rsidP="002122D8">
            <w:pPr>
              <w:keepNext/>
              <w:keepLines/>
              <w:widowControl/>
              <w:jc w:val="center"/>
              <w:rPr>
                <w:rFonts w:ascii="Arial Narrow" w:eastAsia="Calibri" w:hAnsi="Arial Narrow" w:cs="Calibri"/>
                <w:b/>
                <w:snapToGrid/>
                <w:sz w:val="20"/>
                <w:szCs w:val="20"/>
              </w:rPr>
            </w:pPr>
            <w:r w:rsidRPr="008B6152">
              <w:rPr>
                <w:rFonts w:ascii="Arial Narrow" w:eastAsia="Calibri" w:hAnsi="Arial Narrow" w:cs="Calibri"/>
                <w:b/>
                <w:snapToGrid/>
                <w:sz w:val="20"/>
                <w:szCs w:val="20"/>
              </w:rPr>
              <w:t>Requested AEMP/pen</w:t>
            </w:r>
          </w:p>
        </w:tc>
        <w:tc>
          <w:tcPr>
            <w:tcW w:w="564" w:type="pct"/>
            <w:vMerge w:val="restart"/>
            <w:vAlign w:val="center"/>
          </w:tcPr>
          <w:p w:rsidR="00875A16" w:rsidRPr="008B6152" w:rsidRDefault="00875A16" w:rsidP="002122D8">
            <w:pPr>
              <w:keepNext/>
              <w:keepLines/>
              <w:widowControl/>
              <w:jc w:val="center"/>
              <w:rPr>
                <w:rFonts w:ascii="Arial Narrow" w:eastAsia="Calibri" w:hAnsi="Arial Narrow" w:cs="Calibri"/>
                <w:b/>
                <w:snapToGrid/>
                <w:sz w:val="20"/>
                <w:szCs w:val="20"/>
              </w:rPr>
            </w:pPr>
            <w:r w:rsidRPr="008B6152">
              <w:rPr>
                <w:rFonts w:ascii="Arial Narrow" w:eastAsia="Calibri" w:hAnsi="Arial Narrow" w:cs="Calibri"/>
                <w:b/>
                <w:snapToGrid/>
                <w:sz w:val="20"/>
                <w:szCs w:val="20"/>
              </w:rPr>
              <w:t>Requested AEMP/pack</w:t>
            </w:r>
          </w:p>
        </w:tc>
        <w:tc>
          <w:tcPr>
            <w:tcW w:w="490" w:type="pct"/>
            <w:vMerge w:val="restart"/>
            <w:shd w:val="clear" w:color="auto" w:fill="auto"/>
            <w:vAlign w:val="center"/>
          </w:tcPr>
          <w:p w:rsidR="00875A16" w:rsidRPr="008B6152" w:rsidRDefault="00875A16" w:rsidP="002122D8">
            <w:pPr>
              <w:keepNext/>
              <w:keepLines/>
              <w:widowControl/>
              <w:jc w:val="center"/>
              <w:rPr>
                <w:rFonts w:ascii="Arial Narrow" w:eastAsia="Calibri" w:hAnsi="Arial Narrow" w:cs="Calibri"/>
                <w:b/>
                <w:snapToGrid/>
                <w:sz w:val="20"/>
                <w:szCs w:val="20"/>
              </w:rPr>
            </w:pPr>
            <w:r w:rsidRPr="008B6152">
              <w:rPr>
                <w:rFonts w:ascii="Arial Narrow" w:eastAsia="Calibri" w:hAnsi="Arial Narrow" w:cs="Calibri"/>
                <w:b/>
                <w:snapToGrid/>
                <w:sz w:val="20"/>
                <w:szCs w:val="20"/>
              </w:rPr>
              <w:t>Expected use</w:t>
            </w:r>
          </w:p>
        </w:tc>
      </w:tr>
      <w:tr w:rsidR="00875A16" w:rsidRPr="008B6152" w:rsidTr="000E4A69">
        <w:trPr>
          <w:trHeight w:val="288"/>
          <w:jc w:val="center"/>
        </w:trPr>
        <w:tc>
          <w:tcPr>
            <w:tcW w:w="545" w:type="pct"/>
            <w:vMerge/>
            <w:shd w:val="clear" w:color="auto" w:fill="auto"/>
            <w:noWrap/>
            <w:vAlign w:val="center"/>
            <w:hideMark/>
          </w:tcPr>
          <w:p w:rsidR="00875A16" w:rsidRPr="008B6152" w:rsidRDefault="00875A16" w:rsidP="002122D8">
            <w:pPr>
              <w:keepNext/>
              <w:keepLines/>
              <w:widowControl/>
              <w:jc w:val="left"/>
              <w:rPr>
                <w:rFonts w:ascii="Arial Narrow" w:eastAsia="Calibri" w:hAnsi="Arial Narrow" w:cs="Calibri"/>
                <w:snapToGrid/>
                <w:sz w:val="20"/>
                <w:szCs w:val="20"/>
              </w:rPr>
            </w:pPr>
          </w:p>
        </w:tc>
        <w:tc>
          <w:tcPr>
            <w:tcW w:w="313" w:type="pct"/>
            <w:shd w:val="clear" w:color="auto" w:fill="auto"/>
            <w:noWrap/>
            <w:vAlign w:val="center"/>
            <w:hideMark/>
          </w:tcPr>
          <w:p w:rsidR="00875A16" w:rsidRPr="008B6152" w:rsidRDefault="00875A16" w:rsidP="002122D8">
            <w:pPr>
              <w:keepNext/>
              <w:keepLines/>
              <w:widowControl/>
              <w:jc w:val="center"/>
              <w:rPr>
                <w:rFonts w:ascii="Arial Narrow" w:eastAsia="Calibri" w:hAnsi="Arial Narrow" w:cs="Calibri"/>
                <w:b/>
                <w:snapToGrid/>
                <w:sz w:val="20"/>
                <w:szCs w:val="20"/>
              </w:rPr>
            </w:pPr>
            <w:r w:rsidRPr="008B6152">
              <w:rPr>
                <w:rFonts w:ascii="Arial Narrow" w:eastAsia="Calibri" w:hAnsi="Arial Narrow" w:cs="Calibri"/>
                <w:b/>
                <w:snapToGrid/>
                <w:sz w:val="20"/>
                <w:szCs w:val="20"/>
              </w:rPr>
              <w:t>IU</w:t>
            </w:r>
          </w:p>
        </w:tc>
        <w:tc>
          <w:tcPr>
            <w:tcW w:w="390" w:type="pct"/>
            <w:shd w:val="clear" w:color="auto" w:fill="auto"/>
            <w:noWrap/>
            <w:vAlign w:val="center"/>
            <w:hideMark/>
          </w:tcPr>
          <w:p w:rsidR="00875A16" w:rsidRPr="008B6152" w:rsidRDefault="00875A16" w:rsidP="002122D8">
            <w:pPr>
              <w:keepNext/>
              <w:keepLines/>
              <w:widowControl/>
              <w:jc w:val="center"/>
              <w:rPr>
                <w:rFonts w:ascii="Arial Narrow" w:eastAsia="Calibri" w:hAnsi="Arial Narrow" w:cs="Calibri"/>
                <w:b/>
                <w:snapToGrid/>
                <w:sz w:val="20"/>
                <w:szCs w:val="20"/>
                <w:vertAlign w:val="superscript"/>
              </w:rPr>
            </w:pPr>
            <w:r w:rsidRPr="008B6152">
              <w:rPr>
                <w:rFonts w:ascii="Arial Narrow" w:eastAsia="Calibri" w:hAnsi="Arial Narrow" w:cs="Calibri"/>
                <w:b/>
                <w:snapToGrid/>
                <w:sz w:val="20"/>
                <w:szCs w:val="20"/>
              </w:rPr>
              <w:t>Cost/IU</w:t>
            </w:r>
            <w:r w:rsidRPr="008B6152">
              <w:rPr>
                <w:rFonts w:ascii="Arial Narrow" w:eastAsia="Calibri" w:hAnsi="Arial Narrow" w:cs="Calibri"/>
                <w:b/>
                <w:snapToGrid/>
                <w:sz w:val="20"/>
                <w:szCs w:val="20"/>
                <w:vertAlign w:val="superscript"/>
              </w:rPr>
              <w:t>1</w:t>
            </w:r>
          </w:p>
        </w:tc>
        <w:tc>
          <w:tcPr>
            <w:tcW w:w="391" w:type="pct"/>
            <w:shd w:val="clear" w:color="auto" w:fill="auto"/>
            <w:noWrap/>
            <w:vAlign w:val="center"/>
            <w:hideMark/>
          </w:tcPr>
          <w:p w:rsidR="00875A16" w:rsidRPr="008B6152" w:rsidRDefault="00875A16" w:rsidP="002122D8">
            <w:pPr>
              <w:keepNext/>
              <w:keepLines/>
              <w:widowControl/>
              <w:jc w:val="center"/>
              <w:rPr>
                <w:rFonts w:ascii="Arial Narrow" w:eastAsia="Calibri" w:hAnsi="Arial Narrow" w:cs="Calibri"/>
                <w:b/>
                <w:snapToGrid/>
                <w:sz w:val="20"/>
                <w:szCs w:val="20"/>
              </w:rPr>
            </w:pPr>
            <w:r w:rsidRPr="008B6152">
              <w:rPr>
                <w:rFonts w:ascii="Arial Narrow" w:eastAsia="Calibri" w:hAnsi="Arial Narrow" w:cs="Calibri"/>
                <w:b/>
                <w:snapToGrid/>
                <w:sz w:val="20"/>
                <w:szCs w:val="20"/>
              </w:rPr>
              <w:t>Cost</w:t>
            </w:r>
          </w:p>
          <w:p w:rsidR="00875A16" w:rsidRPr="008B6152" w:rsidRDefault="00875A16" w:rsidP="002122D8">
            <w:pPr>
              <w:keepNext/>
              <w:keepLines/>
              <w:widowControl/>
              <w:jc w:val="center"/>
              <w:rPr>
                <w:rFonts w:ascii="Arial Narrow" w:eastAsia="Calibri" w:hAnsi="Arial Narrow" w:cs="Calibri"/>
                <w:b/>
                <w:snapToGrid/>
                <w:sz w:val="20"/>
                <w:szCs w:val="20"/>
              </w:rPr>
            </w:pPr>
            <w:r w:rsidRPr="008B6152">
              <w:rPr>
                <w:rFonts w:ascii="Arial Narrow" w:eastAsia="Calibri" w:hAnsi="Arial Narrow" w:cs="Calibri"/>
                <w:b/>
                <w:snapToGrid/>
                <w:sz w:val="20"/>
                <w:szCs w:val="20"/>
              </w:rPr>
              <w:t>/pen</w:t>
            </w:r>
          </w:p>
        </w:tc>
        <w:tc>
          <w:tcPr>
            <w:tcW w:w="333" w:type="pct"/>
            <w:shd w:val="clear" w:color="auto" w:fill="auto"/>
            <w:noWrap/>
            <w:vAlign w:val="center"/>
            <w:hideMark/>
          </w:tcPr>
          <w:p w:rsidR="00875A16" w:rsidRPr="008B6152" w:rsidRDefault="00875A16" w:rsidP="002122D8">
            <w:pPr>
              <w:keepNext/>
              <w:keepLines/>
              <w:widowControl/>
              <w:jc w:val="center"/>
              <w:rPr>
                <w:rFonts w:ascii="Arial Narrow" w:eastAsia="Calibri" w:hAnsi="Arial Narrow"/>
                <w:b/>
                <w:snapToGrid/>
                <w:sz w:val="20"/>
                <w:szCs w:val="20"/>
              </w:rPr>
            </w:pPr>
            <w:r w:rsidRPr="008B6152">
              <w:rPr>
                <w:rFonts w:ascii="Arial Narrow" w:hAnsi="Arial Narrow" w:cs="Calibri"/>
                <w:b/>
                <w:bCs/>
                <w:snapToGrid/>
                <w:color w:val="000000"/>
                <w:sz w:val="20"/>
                <w:szCs w:val="20"/>
                <w:lang w:eastAsia="en-AU"/>
              </w:rPr>
              <w:t>Mcg</w:t>
            </w:r>
          </w:p>
        </w:tc>
        <w:tc>
          <w:tcPr>
            <w:tcW w:w="527" w:type="pct"/>
            <w:shd w:val="clear" w:color="auto" w:fill="auto"/>
            <w:noWrap/>
            <w:vAlign w:val="center"/>
            <w:hideMark/>
          </w:tcPr>
          <w:p w:rsidR="00875A16" w:rsidRPr="008B6152" w:rsidRDefault="00875A16" w:rsidP="002122D8">
            <w:pPr>
              <w:keepNext/>
              <w:keepLines/>
              <w:widowControl/>
              <w:jc w:val="center"/>
              <w:rPr>
                <w:rFonts w:ascii="Arial Narrow" w:hAnsi="Arial Narrow" w:cs="Calibri"/>
                <w:b/>
                <w:bCs/>
                <w:snapToGrid/>
                <w:color w:val="000000"/>
                <w:sz w:val="20"/>
                <w:szCs w:val="20"/>
                <w:vertAlign w:val="superscript"/>
                <w:lang w:eastAsia="en-AU"/>
              </w:rPr>
            </w:pPr>
            <w:r w:rsidRPr="008B6152">
              <w:rPr>
                <w:rFonts w:ascii="Arial Narrow" w:hAnsi="Arial Narrow" w:cs="Calibri"/>
                <w:b/>
                <w:bCs/>
                <w:snapToGrid/>
                <w:color w:val="000000"/>
                <w:sz w:val="20"/>
                <w:szCs w:val="20"/>
                <w:lang w:eastAsia="en-AU"/>
              </w:rPr>
              <w:t>Cost/mcg</w:t>
            </w:r>
            <w:r w:rsidRPr="008B6152">
              <w:rPr>
                <w:rFonts w:ascii="Arial Narrow" w:hAnsi="Arial Narrow" w:cs="Calibri"/>
                <w:b/>
                <w:bCs/>
                <w:snapToGrid/>
                <w:color w:val="000000"/>
                <w:sz w:val="20"/>
                <w:szCs w:val="20"/>
                <w:vertAlign w:val="superscript"/>
                <w:lang w:eastAsia="en-AU"/>
              </w:rPr>
              <w:t>2</w:t>
            </w:r>
          </w:p>
        </w:tc>
        <w:tc>
          <w:tcPr>
            <w:tcW w:w="391" w:type="pct"/>
            <w:shd w:val="clear" w:color="auto" w:fill="auto"/>
            <w:noWrap/>
            <w:vAlign w:val="center"/>
            <w:hideMark/>
          </w:tcPr>
          <w:p w:rsidR="00875A16" w:rsidRPr="008B6152" w:rsidRDefault="00875A16" w:rsidP="002122D8">
            <w:pPr>
              <w:keepNext/>
              <w:keepLines/>
              <w:widowControl/>
              <w:jc w:val="center"/>
              <w:rPr>
                <w:rFonts w:ascii="Arial Narrow" w:hAnsi="Arial Narrow" w:cs="Calibri"/>
                <w:b/>
                <w:bCs/>
                <w:snapToGrid/>
                <w:color w:val="000000"/>
                <w:sz w:val="20"/>
                <w:szCs w:val="20"/>
                <w:lang w:eastAsia="en-AU"/>
              </w:rPr>
            </w:pPr>
            <w:r w:rsidRPr="008B6152">
              <w:rPr>
                <w:rFonts w:ascii="Arial Narrow" w:hAnsi="Arial Narrow" w:cs="Calibri"/>
                <w:b/>
                <w:bCs/>
                <w:snapToGrid/>
                <w:color w:val="000000"/>
                <w:sz w:val="20"/>
                <w:szCs w:val="20"/>
                <w:lang w:eastAsia="en-AU"/>
              </w:rPr>
              <w:t>Cost</w:t>
            </w:r>
          </w:p>
          <w:p w:rsidR="00875A16" w:rsidRPr="008B6152" w:rsidRDefault="00875A16" w:rsidP="002122D8">
            <w:pPr>
              <w:keepNext/>
              <w:keepLines/>
              <w:widowControl/>
              <w:jc w:val="center"/>
              <w:rPr>
                <w:rFonts w:ascii="Arial Narrow" w:hAnsi="Arial Narrow" w:cs="Calibri"/>
                <w:b/>
                <w:bCs/>
                <w:snapToGrid/>
                <w:color w:val="000000"/>
                <w:sz w:val="20"/>
                <w:szCs w:val="20"/>
                <w:lang w:eastAsia="en-AU"/>
              </w:rPr>
            </w:pPr>
            <w:r w:rsidRPr="008B6152">
              <w:rPr>
                <w:rFonts w:ascii="Arial Narrow" w:hAnsi="Arial Narrow" w:cs="Calibri"/>
                <w:b/>
                <w:bCs/>
                <w:snapToGrid/>
                <w:color w:val="000000"/>
                <w:sz w:val="20"/>
                <w:szCs w:val="20"/>
                <w:lang w:eastAsia="en-AU"/>
              </w:rPr>
              <w:t>/pen</w:t>
            </w:r>
          </w:p>
        </w:tc>
        <w:tc>
          <w:tcPr>
            <w:tcW w:w="469" w:type="pct"/>
            <w:vMerge/>
          </w:tcPr>
          <w:p w:rsidR="00875A16" w:rsidRPr="008B6152" w:rsidRDefault="00875A16" w:rsidP="002122D8">
            <w:pPr>
              <w:keepNext/>
              <w:keepLines/>
              <w:widowControl/>
              <w:jc w:val="center"/>
              <w:rPr>
                <w:rFonts w:ascii="Arial Narrow" w:hAnsi="Arial Narrow" w:cs="Calibri"/>
                <w:b/>
                <w:bCs/>
                <w:snapToGrid/>
                <w:color w:val="000000"/>
                <w:sz w:val="20"/>
                <w:szCs w:val="20"/>
                <w:lang w:eastAsia="en-AU"/>
              </w:rPr>
            </w:pPr>
          </w:p>
        </w:tc>
        <w:tc>
          <w:tcPr>
            <w:tcW w:w="587" w:type="pct"/>
            <w:vMerge/>
            <w:shd w:val="clear" w:color="auto" w:fill="auto"/>
            <w:noWrap/>
            <w:vAlign w:val="center"/>
            <w:hideMark/>
          </w:tcPr>
          <w:p w:rsidR="00875A16" w:rsidRPr="008B6152" w:rsidRDefault="00875A16" w:rsidP="002122D8">
            <w:pPr>
              <w:keepNext/>
              <w:keepLines/>
              <w:widowControl/>
              <w:jc w:val="center"/>
              <w:rPr>
                <w:rFonts w:ascii="Arial Narrow" w:hAnsi="Arial Narrow" w:cs="Calibri"/>
                <w:b/>
                <w:bCs/>
                <w:snapToGrid/>
                <w:color w:val="000000"/>
                <w:sz w:val="20"/>
                <w:szCs w:val="20"/>
                <w:lang w:eastAsia="en-AU"/>
              </w:rPr>
            </w:pPr>
          </w:p>
        </w:tc>
        <w:tc>
          <w:tcPr>
            <w:tcW w:w="564" w:type="pct"/>
            <w:vMerge/>
          </w:tcPr>
          <w:p w:rsidR="00875A16" w:rsidRPr="008B6152" w:rsidRDefault="00875A16" w:rsidP="002122D8">
            <w:pPr>
              <w:keepNext/>
              <w:keepLines/>
              <w:widowControl/>
              <w:jc w:val="center"/>
              <w:rPr>
                <w:rFonts w:ascii="Arial Narrow" w:hAnsi="Arial Narrow" w:cs="Calibri"/>
                <w:b/>
                <w:bCs/>
                <w:snapToGrid/>
                <w:color w:val="000000"/>
                <w:sz w:val="20"/>
                <w:szCs w:val="20"/>
                <w:lang w:eastAsia="en-AU"/>
              </w:rPr>
            </w:pPr>
          </w:p>
        </w:tc>
        <w:tc>
          <w:tcPr>
            <w:tcW w:w="490" w:type="pct"/>
            <w:vMerge/>
            <w:shd w:val="clear" w:color="auto" w:fill="auto"/>
            <w:vAlign w:val="center"/>
          </w:tcPr>
          <w:p w:rsidR="00875A16" w:rsidRPr="008B6152" w:rsidRDefault="00875A16" w:rsidP="002122D8">
            <w:pPr>
              <w:keepNext/>
              <w:keepLines/>
              <w:widowControl/>
              <w:jc w:val="center"/>
              <w:rPr>
                <w:rFonts w:ascii="Arial Narrow" w:hAnsi="Arial Narrow" w:cs="Calibri"/>
                <w:b/>
                <w:bCs/>
                <w:snapToGrid/>
                <w:color w:val="000000"/>
                <w:sz w:val="20"/>
                <w:szCs w:val="20"/>
                <w:lang w:eastAsia="en-AU"/>
              </w:rPr>
            </w:pPr>
          </w:p>
        </w:tc>
      </w:tr>
      <w:tr w:rsidR="00875A16" w:rsidRPr="008B6152" w:rsidTr="000E4A69">
        <w:trPr>
          <w:trHeight w:val="288"/>
          <w:jc w:val="center"/>
        </w:trPr>
        <w:tc>
          <w:tcPr>
            <w:tcW w:w="545" w:type="pct"/>
            <w:shd w:val="clear" w:color="auto" w:fill="auto"/>
            <w:noWrap/>
            <w:vAlign w:val="center"/>
            <w:hideMark/>
          </w:tcPr>
          <w:p w:rsidR="00875A16" w:rsidRPr="008B6152" w:rsidRDefault="00875A16" w:rsidP="002122D8">
            <w:pPr>
              <w:keepNext/>
              <w:keepLines/>
              <w:widowControl/>
              <w:jc w:val="left"/>
              <w:rPr>
                <w:rFonts w:ascii="Arial Narrow" w:eastAsia="Calibri" w:hAnsi="Arial Narrow" w:cs="Calibri"/>
                <w:b/>
                <w:snapToGrid/>
                <w:sz w:val="20"/>
                <w:szCs w:val="20"/>
              </w:rPr>
            </w:pPr>
            <w:r w:rsidRPr="008B6152">
              <w:rPr>
                <w:rFonts w:ascii="Arial Narrow" w:eastAsia="Calibri" w:hAnsi="Arial Narrow" w:cs="Calibri"/>
                <w:b/>
                <w:snapToGrid/>
                <w:sz w:val="20"/>
                <w:szCs w:val="20"/>
              </w:rPr>
              <w:t xml:space="preserve">2 units/1 mcg </w:t>
            </w:r>
          </w:p>
        </w:tc>
        <w:tc>
          <w:tcPr>
            <w:tcW w:w="313" w:type="pct"/>
            <w:shd w:val="clear" w:color="auto" w:fill="auto"/>
            <w:noWrap/>
            <w:vAlign w:val="center"/>
            <w:hideMark/>
          </w:tcPr>
          <w:p w:rsidR="00875A16" w:rsidRPr="008B6152" w:rsidRDefault="00875A16" w:rsidP="002122D8">
            <w:pPr>
              <w:keepNext/>
              <w:keepLines/>
              <w:widowControl/>
              <w:jc w:val="center"/>
              <w:rPr>
                <w:rFonts w:ascii="Arial Narrow" w:eastAsia="Calibri" w:hAnsi="Arial Narrow" w:cs="Calibri"/>
                <w:snapToGrid/>
                <w:sz w:val="20"/>
                <w:szCs w:val="20"/>
              </w:rPr>
            </w:pPr>
            <w:r w:rsidRPr="008B6152">
              <w:rPr>
                <w:rFonts w:ascii="Arial Narrow" w:eastAsia="Calibri" w:hAnsi="Arial Narrow" w:cs="Calibri"/>
                <w:snapToGrid/>
                <w:sz w:val="20"/>
                <w:szCs w:val="20"/>
              </w:rPr>
              <w:t>300</w:t>
            </w:r>
          </w:p>
        </w:tc>
        <w:tc>
          <w:tcPr>
            <w:tcW w:w="390" w:type="pct"/>
            <w:shd w:val="clear" w:color="auto" w:fill="auto"/>
            <w:noWrap/>
            <w:vAlign w:val="center"/>
            <w:hideMark/>
          </w:tcPr>
          <w:p w:rsidR="00875A16" w:rsidRPr="008B6152" w:rsidRDefault="00875A16" w:rsidP="002122D8">
            <w:pPr>
              <w:keepNext/>
              <w:keepLines/>
              <w:widowControl/>
              <w:jc w:val="center"/>
              <w:rPr>
                <w:rFonts w:ascii="Arial Narrow" w:eastAsia="Calibri" w:hAnsi="Arial Narrow" w:cs="Calibri"/>
                <w:snapToGrid/>
                <w:sz w:val="20"/>
                <w:szCs w:val="20"/>
              </w:rPr>
            </w:pPr>
            <w:r w:rsidRPr="008B6152">
              <w:rPr>
                <w:rFonts w:ascii="Arial Narrow" w:eastAsia="Calibri" w:hAnsi="Arial Narrow" w:cs="Calibri"/>
                <w:snapToGrid/>
                <w:sz w:val="20"/>
                <w:szCs w:val="20"/>
              </w:rPr>
              <w:t>$</w:t>
            </w:r>
            <w:r w:rsidR="000D054F">
              <w:rPr>
                <w:rFonts w:ascii="Arial Narrow" w:eastAsia="Calibri" w:hAnsi="Arial Narrow" w:cs="Calibri"/>
                <w:noProof/>
                <w:snapToGrid/>
                <w:color w:val="000000"/>
                <w:sz w:val="20"/>
                <w:szCs w:val="20"/>
                <w:highlight w:val="black"/>
              </w:rPr>
              <w:t>'''''''''''''</w:t>
            </w:r>
          </w:p>
        </w:tc>
        <w:tc>
          <w:tcPr>
            <w:tcW w:w="391" w:type="pct"/>
            <w:shd w:val="clear" w:color="auto" w:fill="auto"/>
            <w:noWrap/>
            <w:vAlign w:val="center"/>
            <w:hideMark/>
          </w:tcPr>
          <w:p w:rsidR="00875A16" w:rsidRPr="008B6152" w:rsidRDefault="00875A16" w:rsidP="002122D8">
            <w:pPr>
              <w:keepNext/>
              <w:keepLines/>
              <w:widowControl/>
              <w:jc w:val="center"/>
              <w:rPr>
                <w:rFonts w:ascii="Arial Narrow" w:eastAsia="Calibri" w:hAnsi="Arial Narrow" w:cs="Calibri"/>
                <w:snapToGrid/>
                <w:sz w:val="20"/>
                <w:szCs w:val="20"/>
              </w:rPr>
            </w:pPr>
            <w:r w:rsidRPr="008B6152">
              <w:rPr>
                <w:rFonts w:ascii="Arial Narrow" w:eastAsia="Calibri" w:hAnsi="Arial Narrow" w:cs="Calibri"/>
                <w:snapToGrid/>
                <w:sz w:val="20"/>
                <w:szCs w:val="20"/>
              </w:rPr>
              <w:t>$</w:t>
            </w:r>
            <w:r w:rsidR="000D054F">
              <w:rPr>
                <w:rFonts w:ascii="Arial Narrow" w:eastAsia="Calibri" w:hAnsi="Arial Narrow" w:cs="Calibri"/>
                <w:noProof/>
                <w:snapToGrid/>
                <w:color w:val="000000"/>
                <w:sz w:val="20"/>
                <w:szCs w:val="20"/>
                <w:highlight w:val="black"/>
              </w:rPr>
              <w:t>'''''''''''</w:t>
            </w:r>
          </w:p>
        </w:tc>
        <w:tc>
          <w:tcPr>
            <w:tcW w:w="333" w:type="pct"/>
            <w:shd w:val="clear" w:color="auto" w:fill="auto"/>
            <w:noWrap/>
            <w:vAlign w:val="center"/>
            <w:hideMark/>
          </w:tcPr>
          <w:p w:rsidR="00875A16" w:rsidRPr="008B6152" w:rsidRDefault="00875A16" w:rsidP="002122D8">
            <w:pPr>
              <w:keepNext/>
              <w:keepLines/>
              <w:widowControl/>
              <w:jc w:val="center"/>
              <w:rPr>
                <w:rFonts w:ascii="Arial Narrow" w:eastAsia="Calibri" w:hAnsi="Arial Narrow" w:cs="Calibri"/>
                <w:snapToGrid/>
                <w:sz w:val="20"/>
                <w:szCs w:val="20"/>
              </w:rPr>
            </w:pPr>
            <w:r w:rsidRPr="008B6152">
              <w:rPr>
                <w:rFonts w:ascii="Arial Narrow" w:eastAsia="Calibri" w:hAnsi="Arial Narrow" w:cs="Calibri"/>
                <w:snapToGrid/>
                <w:sz w:val="20"/>
                <w:szCs w:val="20"/>
              </w:rPr>
              <w:t>150</w:t>
            </w:r>
          </w:p>
        </w:tc>
        <w:tc>
          <w:tcPr>
            <w:tcW w:w="527" w:type="pct"/>
            <w:shd w:val="clear" w:color="auto" w:fill="auto"/>
            <w:noWrap/>
            <w:vAlign w:val="center"/>
            <w:hideMark/>
          </w:tcPr>
          <w:p w:rsidR="00875A16" w:rsidRPr="008B6152" w:rsidRDefault="00875A16" w:rsidP="002122D8">
            <w:pPr>
              <w:keepNext/>
              <w:keepLines/>
              <w:widowControl/>
              <w:jc w:val="center"/>
              <w:rPr>
                <w:rFonts w:ascii="Arial Narrow" w:eastAsia="Calibri" w:hAnsi="Arial Narrow" w:cs="Calibri"/>
                <w:snapToGrid/>
                <w:sz w:val="20"/>
                <w:szCs w:val="20"/>
              </w:rPr>
            </w:pPr>
            <w:r w:rsidRPr="008B6152">
              <w:rPr>
                <w:rFonts w:ascii="Arial Narrow" w:eastAsia="Calibri" w:hAnsi="Arial Narrow" w:cs="Calibri"/>
                <w:snapToGrid/>
                <w:sz w:val="20"/>
                <w:szCs w:val="20"/>
              </w:rPr>
              <w:t>$</w:t>
            </w:r>
            <w:r w:rsidR="000D054F">
              <w:rPr>
                <w:rFonts w:ascii="Arial Narrow" w:eastAsia="Calibri" w:hAnsi="Arial Narrow" w:cs="Calibri"/>
                <w:noProof/>
                <w:snapToGrid/>
                <w:color w:val="000000"/>
                <w:sz w:val="20"/>
                <w:szCs w:val="20"/>
                <w:highlight w:val="black"/>
              </w:rPr>
              <w:t>''''''''''''''</w:t>
            </w:r>
          </w:p>
        </w:tc>
        <w:tc>
          <w:tcPr>
            <w:tcW w:w="391" w:type="pct"/>
            <w:shd w:val="clear" w:color="auto" w:fill="auto"/>
            <w:noWrap/>
            <w:vAlign w:val="center"/>
            <w:hideMark/>
          </w:tcPr>
          <w:p w:rsidR="00875A16" w:rsidRPr="002122D8" w:rsidRDefault="00875A16" w:rsidP="002122D8">
            <w:pPr>
              <w:keepNext/>
              <w:keepLines/>
              <w:widowControl/>
              <w:jc w:val="center"/>
              <w:rPr>
                <w:rFonts w:ascii="Arial Narrow" w:eastAsia="Calibri" w:hAnsi="Arial Narrow"/>
                <w:snapToGrid/>
                <w:sz w:val="20"/>
                <w:szCs w:val="20"/>
              </w:rPr>
            </w:pPr>
            <w:r w:rsidRPr="002122D8">
              <w:rPr>
                <w:rFonts w:ascii="Arial Narrow" w:eastAsia="Calibri" w:hAnsi="Arial Narrow"/>
                <w:snapToGrid/>
                <w:sz w:val="20"/>
                <w:szCs w:val="20"/>
              </w:rPr>
              <w:t>$</w:t>
            </w:r>
            <w:r w:rsidR="000D054F">
              <w:rPr>
                <w:rFonts w:ascii="Arial Narrow" w:eastAsia="Calibri" w:hAnsi="Arial Narrow"/>
                <w:noProof/>
                <w:snapToGrid/>
                <w:color w:val="000000"/>
                <w:sz w:val="20"/>
                <w:szCs w:val="20"/>
                <w:highlight w:val="black"/>
              </w:rPr>
              <w:t>'''''''''''''''</w:t>
            </w:r>
          </w:p>
        </w:tc>
        <w:tc>
          <w:tcPr>
            <w:tcW w:w="469" w:type="pct"/>
            <w:vAlign w:val="center"/>
          </w:tcPr>
          <w:p w:rsidR="00875A16" w:rsidRPr="002122D8" w:rsidRDefault="00B4592C" w:rsidP="002122D8">
            <w:pPr>
              <w:keepNext/>
              <w:keepLines/>
              <w:widowControl/>
              <w:jc w:val="center"/>
              <w:rPr>
                <w:rFonts w:ascii="Arial Narrow" w:eastAsia="Calibri" w:hAnsi="Arial Narrow" w:cs="Calibri"/>
                <w:snapToGrid/>
                <w:sz w:val="20"/>
                <w:szCs w:val="20"/>
                <w:vertAlign w:val="superscript"/>
              </w:rPr>
            </w:pPr>
            <w:r w:rsidRPr="002122D8">
              <w:rPr>
                <w:rFonts w:ascii="Arial Narrow" w:eastAsia="Calibri" w:hAnsi="Arial Narrow" w:cs="Calibri"/>
                <w:snapToGrid/>
                <w:sz w:val="20"/>
                <w:szCs w:val="20"/>
              </w:rPr>
              <w:t>$</w:t>
            </w:r>
            <w:r w:rsidR="000D054F">
              <w:rPr>
                <w:rFonts w:ascii="Arial Narrow" w:eastAsia="Calibri" w:hAnsi="Arial Narrow" w:cs="Calibri"/>
                <w:noProof/>
                <w:snapToGrid/>
                <w:color w:val="000000"/>
                <w:sz w:val="20"/>
                <w:szCs w:val="20"/>
                <w:highlight w:val="black"/>
              </w:rPr>
              <w:t>'''''''''''</w:t>
            </w:r>
            <w:r w:rsidRPr="002122D8">
              <w:rPr>
                <w:rFonts w:ascii="Arial Narrow" w:eastAsia="Calibri" w:hAnsi="Arial Narrow" w:cs="Calibri"/>
                <w:snapToGrid/>
                <w:sz w:val="20"/>
                <w:szCs w:val="20"/>
                <w:vertAlign w:val="superscript"/>
              </w:rPr>
              <w:t>3</w:t>
            </w:r>
          </w:p>
        </w:tc>
        <w:tc>
          <w:tcPr>
            <w:tcW w:w="587" w:type="pct"/>
            <w:shd w:val="clear" w:color="auto" w:fill="auto"/>
            <w:noWrap/>
            <w:vAlign w:val="center"/>
            <w:hideMark/>
          </w:tcPr>
          <w:p w:rsidR="00875A16" w:rsidRPr="002122D8" w:rsidRDefault="00875A16" w:rsidP="002122D8">
            <w:pPr>
              <w:keepNext/>
              <w:keepLines/>
              <w:widowControl/>
              <w:jc w:val="center"/>
              <w:rPr>
                <w:rFonts w:ascii="Arial Narrow" w:eastAsia="Calibri" w:hAnsi="Arial Narrow" w:cs="Calibri"/>
                <w:snapToGrid/>
                <w:sz w:val="20"/>
                <w:szCs w:val="20"/>
              </w:rPr>
            </w:pPr>
            <w:r w:rsidRPr="002122D8">
              <w:rPr>
                <w:rFonts w:ascii="Arial Narrow" w:eastAsia="Calibri" w:hAnsi="Arial Narrow" w:cs="Calibri"/>
                <w:snapToGrid/>
                <w:sz w:val="20"/>
                <w:szCs w:val="20"/>
              </w:rPr>
              <w:t>$</w:t>
            </w:r>
            <w:r w:rsidR="000D054F">
              <w:rPr>
                <w:rFonts w:ascii="Arial Narrow" w:eastAsia="Calibri" w:hAnsi="Arial Narrow" w:cs="Calibri"/>
                <w:noProof/>
                <w:snapToGrid/>
                <w:color w:val="000000"/>
                <w:sz w:val="20"/>
                <w:szCs w:val="20"/>
                <w:highlight w:val="black"/>
              </w:rPr>
              <w:t>''''''''''''</w:t>
            </w:r>
          </w:p>
        </w:tc>
        <w:tc>
          <w:tcPr>
            <w:tcW w:w="564" w:type="pct"/>
            <w:vAlign w:val="center"/>
          </w:tcPr>
          <w:p w:rsidR="00875A16" w:rsidRPr="002122D8" w:rsidRDefault="00875A16" w:rsidP="002122D8">
            <w:pPr>
              <w:keepNext/>
              <w:keepLines/>
              <w:widowControl/>
              <w:jc w:val="center"/>
              <w:rPr>
                <w:rFonts w:ascii="Arial Narrow" w:eastAsia="Calibri" w:hAnsi="Arial Narrow" w:cs="Calibri"/>
                <w:snapToGrid/>
                <w:sz w:val="20"/>
                <w:szCs w:val="20"/>
              </w:rPr>
            </w:pPr>
            <w:r w:rsidRPr="002122D8">
              <w:rPr>
                <w:rFonts w:ascii="Arial Narrow" w:eastAsia="Calibri" w:hAnsi="Arial Narrow" w:cs="Calibri"/>
                <w:snapToGrid/>
                <w:sz w:val="20"/>
                <w:szCs w:val="20"/>
              </w:rPr>
              <w:t>$</w:t>
            </w:r>
            <w:r w:rsidR="000D054F">
              <w:rPr>
                <w:rFonts w:ascii="Arial Narrow" w:eastAsia="Calibri" w:hAnsi="Arial Narrow" w:cs="Calibri"/>
                <w:noProof/>
                <w:snapToGrid/>
                <w:color w:val="000000"/>
                <w:sz w:val="20"/>
                <w:szCs w:val="20"/>
                <w:highlight w:val="black"/>
              </w:rPr>
              <w:t>''''''''''''''''''</w:t>
            </w:r>
          </w:p>
        </w:tc>
        <w:tc>
          <w:tcPr>
            <w:tcW w:w="490" w:type="pct"/>
            <w:shd w:val="clear" w:color="auto" w:fill="auto"/>
            <w:vAlign w:val="center"/>
          </w:tcPr>
          <w:p w:rsidR="00875A16" w:rsidRPr="002122D8" w:rsidRDefault="000D054F" w:rsidP="002122D8">
            <w:pPr>
              <w:keepNext/>
              <w:keepLines/>
              <w:widowControl/>
              <w:jc w:val="center"/>
              <w:rPr>
                <w:rFonts w:ascii="Arial Narrow" w:eastAsia="Calibri" w:hAnsi="Arial Narrow" w:cs="Calibri"/>
                <w:snapToGrid/>
                <w:sz w:val="20"/>
                <w:szCs w:val="20"/>
              </w:rPr>
            </w:pPr>
            <w:r>
              <w:rPr>
                <w:rFonts w:ascii="Arial Narrow" w:eastAsia="Calibri" w:hAnsi="Arial Narrow" w:cs="Calibri"/>
                <w:noProof/>
                <w:snapToGrid/>
                <w:color w:val="000000"/>
                <w:sz w:val="20"/>
                <w:szCs w:val="20"/>
                <w:highlight w:val="black"/>
              </w:rPr>
              <w:t>'''''''</w:t>
            </w:r>
            <w:r w:rsidR="00875A16" w:rsidRPr="002122D8">
              <w:rPr>
                <w:rFonts w:ascii="Arial Narrow" w:eastAsia="Calibri" w:hAnsi="Arial Narrow" w:cs="Calibri"/>
                <w:snapToGrid/>
                <w:sz w:val="20"/>
                <w:szCs w:val="20"/>
              </w:rPr>
              <w:t>%</w:t>
            </w:r>
          </w:p>
        </w:tc>
      </w:tr>
      <w:tr w:rsidR="00875A16" w:rsidRPr="008B6152" w:rsidTr="000E4A69">
        <w:trPr>
          <w:trHeight w:val="300"/>
          <w:jc w:val="center"/>
        </w:trPr>
        <w:tc>
          <w:tcPr>
            <w:tcW w:w="545" w:type="pct"/>
            <w:shd w:val="clear" w:color="auto" w:fill="auto"/>
            <w:noWrap/>
            <w:vAlign w:val="center"/>
            <w:hideMark/>
          </w:tcPr>
          <w:p w:rsidR="00875A16" w:rsidRPr="008B6152" w:rsidRDefault="00875A16" w:rsidP="002122D8">
            <w:pPr>
              <w:keepNext/>
              <w:keepLines/>
              <w:widowControl/>
              <w:jc w:val="left"/>
              <w:rPr>
                <w:rFonts w:ascii="Arial Narrow" w:eastAsia="Calibri" w:hAnsi="Arial Narrow" w:cs="Calibri"/>
                <w:b/>
                <w:snapToGrid/>
                <w:sz w:val="20"/>
                <w:szCs w:val="20"/>
              </w:rPr>
            </w:pPr>
            <w:r w:rsidRPr="008B6152">
              <w:rPr>
                <w:rFonts w:ascii="Arial Narrow" w:eastAsia="Calibri" w:hAnsi="Arial Narrow" w:cs="Calibri"/>
                <w:b/>
                <w:snapToGrid/>
                <w:sz w:val="20"/>
                <w:szCs w:val="20"/>
              </w:rPr>
              <w:t>3 units/1 mcg</w:t>
            </w:r>
          </w:p>
          <w:p w:rsidR="00875A16" w:rsidRPr="008B6152" w:rsidRDefault="00875A16" w:rsidP="002122D8">
            <w:pPr>
              <w:keepNext/>
              <w:keepLines/>
              <w:widowControl/>
              <w:jc w:val="left"/>
              <w:rPr>
                <w:rFonts w:ascii="Arial Narrow" w:eastAsia="Calibri" w:hAnsi="Arial Narrow" w:cs="Calibri"/>
                <w:b/>
                <w:snapToGrid/>
                <w:sz w:val="20"/>
                <w:szCs w:val="20"/>
              </w:rPr>
            </w:pPr>
          </w:p>
        </w:tc>
        <w:tc>
          <w:tcPr>
            <w:tcW w:w="313" w:type="pct"/>
            <w:shd w:val="clear" w:color="auto" w:fill="auto"/>
            <w:noWrap/>
            <w:vAlign w:val="center"/>
            <w:hideMark/>
          </w:tcPr>
          <w:p w:rsidR="00875A16" w:rsidRPr="008B6152" w:rsidRDefault="00875A16" w:rsidP="002122D8">
            <w:pPr>
              <w:keepNext/>
              <w:keepLines/>
              <w:widowControl/>
              <w:jc w:val="center"/>
              <w:rPr>
                <w:rFonts w:ascii="Arial Narrow" w:eastAsia="Calibri" w:hAnsi="Arial Narrow" w:cs="Calibri"/>
                <w:snapToGrid/>
                <w:sz w:val="20"/>
                <w:szCs w:val="20"/>
              </w:rPr>
            </w:pPr>
            <w:r w:rsidRPr="008B6152">
              <w:rPr>
                <w:rFonts w:ascii="Arial Narrow" w:eastAsia="Calibri" w:hAnsi="Arial Narrow" w:cs="Calibri"/>
                <w:snapToGrid/>
                <w:sz w:val="20"/>
                <w:szCs w:val="20"/>
              </w:rPr>
              <w:t>300</w:t>
            </w:r>
          </w:p>
        </w:tc>
        <w:tc>
          <w:tcPr>
            <w:tcW w:w="390" w:type="pct"/>
            <w:shd w:val="clear" w:color="auto" w:fill="auto"/>
            <w:noWrap/>
            <w:vAlign w:val="center"/>
            <w:hideMark/>
          </w:tcPr>
          <w:p w:rsidR="00875A16" w:rsidRPr="008B6152" w:rsidRDefault="00875A16" w:rsidP="002122D8">
            <w:pPr>
              <w:keepNext/>
              <w:keepLines/>
              <w:widowControl/>
              <w:jc w:val="center"/>
              <w:rPr>
                <w:rFonts w:ascii="Arial Narrow" w:eastAsia="Calibri" w:hAnsi="Arial Narrow" w:cs="Calibri"/>
                <w:snapToGrid/>
                <w:sz w:val="20"/>
                <w:szCs w:val="20"/>
              </w:rPr>
            </w:pPr>
            <w:r w:rsidRPr="008B6152">
              <w:rPr>
                <w:rFonts w:ascii="Arial Narrow" w:eastAsia="Calibri" w:hAnsi="Arial Narrow" w:cs="Calibri"/>
                <w:snapToGrid/>
                <w:sz w:val="20"/>
                <w:szCs w:val="20"/>
              </w:rPr>
              <w:t>$</w:t>
            </w:r>
            <w:r w:rsidR="000D054F">
              <w:rPr>
                <w:rFonts w:ascii="Arial Narrow" w:eastAsia="Calibri" w:hAnsi="Arial Narrow" w:cs="Calibri"/>
                <w:noProof/>
                <w:snapToGrid/>
                <w:color w:val="000000"/>
                <w:sz w:val="20"/>
                <w:szCs w:val="20"/>
                <w:highlight w:val="black"/>
              </w:rPr>
              <w:t>'''''''''''''''</w:t>
            </w:r>
          </w:p>
        </w:tc>
        <w:tc>
          <w:tcPr>
            <w:tcW w:w="391" w:type="pct"/>
            <w:shd w:val="clear" w:color="auto" w:fill="auto"/>
            <w:noWrap/>
            <w:vAlign w:val="center"/>
            <w:hideMark/>
          </w:tcPr>
          <w:p w:rsidR="00875A16" w:rsidRPr="008B6152" w:rsidRDefault="00875A16" w:rsidP="002122D8">
            <w:pPr>
              <w:keepNext/>
              <w:keepLines/>
              <w:widowControl/>
              <w:jc w:val="center"/>
              <w:rPr>
                <w:rFonts w:ascii="Arial Narrow" w:eastAsia="Calibri" w:hAnsi="Arial Narrow" w:cs="Calibri"/>
                <w:snapToGrid/>
                <w:sz w:val="20"/>
                <w:szCs w:val="20"/>
              </w:rPr>
            </w:pPr>
            <w:r w:rsidRPr="008B6152">
              <w:rPr>
                <w:rFonts w:ascii="Arial Narrow" w:eastAsia="Calibri" w:hAnsi="Arial Narrow" w:cs="Calibri"/>
                <w:snapToGrid/>
                <w:sz w:val="20"/>
                <w:szCs w:val="20"/>
              </w:rPr>
              <w:t>$</w:t>
            </w:r>
            <w:r w:rsidR="000D054F">
              <w:rPr>
                <w:rFonts w:ascii="Arial Narrow" w:eastAsia="Calibri" w:hAnsi="Arial Narrow" w:cs="Calibri"/>
                <w:noProof/>
                <w:snapToGrid/>
                <w:color w:val="000000"/>
                <w:sz w:val="20"/>
                <w:szCs w:val="20"/>
                <w:highlight w:val="black"/>
              </w:rPr>
              <w:t>'''''''''''</w:t>
            </w:r>
          </w:p>
        </w:tc>
        <w:tc>
          <w:tcPr>
            <w:tcW w:w="333" w:type="pct"/>
            <w:shd w:val="clear" w:color="auto" w:fill="auto"/>
            <w:noWrap/>
            <w:vAlign w:val="center"/>
            <w:hideMark/>
          </w:tcPr>
          <w:p w:rsidR="00875A16" w:rsidRPr="008B6152" w:rsidRDefault="00875A16" w:rsidP="002122D8">
            <w:pPr>
              <w:keepNext/>
              <w:keepLines/>
              <w:widowControl/>
              <w:jc w:val="center"/>
              <w:rPr>
                <w:rFonts w:ascii="Arial Narrow" w:eastAsia="Calibri" w:hAnsi="Arial Narrow" w:cs="Calibri"/>
                <w:snapToGrid/>
                <w:sz w:val="20"/>
                <w:szCs w:val="20"/>
              </w:rPr>
            </w:pPr>
            <w:r w:rsidRPr="008B6152">
              <w:rPr>
                <w:rFonts w:ascii="Arial Narrow" w:eastAsia="Calibri" w:hAnsi="Arial Narrow" w:cs="Calibri"/>
                <w:snapToGrid/>
                <w:sz w:val="20"/>
                <w:szCs w:val="20"/>
              </w:rPr>
              <w:t>100</w:t>
            </w:r>
          </w:p>
        </w:tc>
        <w:tc>
          <w:tcPr>
            <w:tcW w:w="527" w:type="pct"/>
            <w:shd w:val="clear" w:color="auto" w:fill="auto"/>
            <w:noWrap/>
            <w:vAlign w:val="center"/>
            <w:hideMark/>
          </w:tcPr>
          <w:p w:rsidR="00875A16" w:rsidRPr="008B6152" w:rsidRDefault="00875A16" w:rsidP="002122D8">
            <w:pPr>
              <w:keepNext/>
              <w:keepLines/>
              <w:widowControl/>
              <w:jc w:val="center"/>
              <w:rPr>
                <w:rFonts w:ascii="Arial Narrow" w:eastAsia="Calibri" w:hAnsi="Arial Narrow" w:cs="Calibri"/>
                <w:snapToGrid/>
                <w:sz w:val="20"/>
                <w:szCs w:val="20"/>
              </w:rPr>
            </w:pPr>
            <w:r w:rsidRPr="008B6152">
              <w:rPr>
                <w:rFonts w:ascii="Arial Narrow" w:eastAsia="Calibri" w:hAnsi="Arial Narrow" w:cs="Calibri"/>
                <w:snapToGrid/>
                <w:sz w:val="20"/>
                <w:szCs w:val="20"/>
              </w:rPr>
              <w:t>$</w:t>
            </w:r>
            <w:r w:rsidR="000D054F">
              <w:rPr>
                <w:rFonts w:ascii="Arial Narrow" w:eastAsia="Calibri" w:hAnsi="Arial Narrow" w:cs="Calibri"/>
                <w:noProof/>
                <w:snapToGrid/>
                <w:color w:val="000000"/>
                <w:sz w:val="20"/>
                <w:szCs w:val="20"/>
                <w:highlight w:val="black"/>
              </w:rPr>
              <w:t>''''''''''''</w:t>
            </w:r>
          </w:p>
        </w:tc>
        <w:tc>
          <w:tcPr>
            <w:tcW w:w="391" w:type="pct"/>
            <w:shd w:val="clear" w:color="auto" w:fill="auto"/>
            <w:noWrap/>
            <w:vAlign w:val="center"/>
            <w:hideMark/>
          </w:tcPr>
          <w:p w:rsidR="00875A16" w:rsidRPr="002122D8" w:rsidRDefault="00875A16" w:rsidP="002122D8">
            <w:pPr>
              <w:keepNext/>
              <w:keepLines/>
              <w:widowControl/>
              <w:jc w:val="center"/>
              <w:rPr>
                <w:rFonts w:ascii="Arial Narrow" w:eastAsia="Calibri" w:hAnsi="Arial Narrow"/>
                <w:snapToGrid/>
                <w:sz w:val="20"/>
                <w:szCs w:val="20"/>
              </w:rPr>
            </w:pPr>
            <w:r w:rsidRPr="002122D8">
              <w:rPr>
                <w:rFonts w:ascii="Arial Narrow" w:eastAsia="Calibri" w:hAnsi="Arial Narrow"/>
                <w:snapToGrid/>
                <w:sz w:val="20"/>
                <w:szCs w:val="20"/>
              </w:rPr>
              <w:t>$</w:t>
            </w:r>
            <w:r w:rsidR="000D054F">
              <w:rPr>
                <w:rFonts w:ascii="Arial Narrow" w:eastAsia="Calibri" w:hAnsi="Arial Narrow"/>
                <w:noProof/>
                <w:snapToGrid/>
                <w:color w:val="000000"/>
                <w:sz w:val="20"/>
                <w:szCs w:val="20"/>
                <w:highlight w:val="black"/>
              </w:rPr>
              <w:t>'''''''''''''''</w:t>
            </w:r>
          </w:p>
        </w:tc>
        <w:tc>
          <w:tcPr>
            <w:tcW w:w="469" w:type="pct"/>
            <w:vAlign w:val="center"/>
          </w:tcPr>
          <w:p w:rsidR="00875A16" w:rsidRPr="002122D8" w:rsidRDefault="00B4592C" w:rsidP="002122D8">
            <w:pPr>
              <w:keepNext/>
              <w:keepLines/>
              <w:widowControl/>
              <w:jc w:val="center"/>
              <w:rPr>
                <w:rFonts w:ascii="Arial Narrow" w:eastAsia="Calibri" w:hAnsi="Arial Narrow" w:cs="Calibri"/>
                <w:snapToGrid/>
                <w:sz w:val="20"/>
                <w:szCs w:val="20"/>
                <w:vertAlign w:val="superscript"/>
              </w:rPr>
            </w:pPr>
            <w:r w:rsidRPr="002122D8">
              <w:rPr>
                <w:rFonts w:ascii="Arial Narrow" w:eastAsia="Calibri" w:hAnsi="Arial Narrow" w:cs="Calibri"/>
                <w:snapToGrid/>
                <w:sz w:val="20"/>
                <w:szCs w:val="20"/>
              </w:rPr>
              <w:t>$</w:t>
            </w:r>
            <w:r w:rsidR="000D054F">
              <w:rPr>
                <w:rFonts w:ascii="Arial Narrow" w:eastAsia="Calibri" w:hAnsi="Arial Narrow" w:cs="Calibri"/>
                <w:noProof/>
                <w:snapToGrid/>
                <w:color w:val="000000"/>
                <w:sz w:val="20"/>
                <w:szCs w:val="20"/>
                <w:highlight w:val="black"/>
              </w:rPr>
              <w:t>''''''''''</w:t>
            </w:r>
            <w:r w:rsidRPr="002122D8">
              <w:rPr>
                <w:rFonts w:ascii="Arial Narrow" w:eastAsia="Calibri" w:hAnsi="Arial Narrow" w:cs="Calibri"/>
                <w:snapToGrid/>
                <w:sz w:val="20"/>
                <w:szCs w:val="20"/>
                <w:vertAlign w:val="superscript"/>
              </w:rPr>
              <w:t>4</w:t>
            </w:r>
          </w:p>
        </w:tc>
        <w:tc>
          <w:tcPr>
            <w:tcW w:w="587" w:type="pct"/>
            <w:shd w:val="clear" w:color="auto" w:fill="auto"/>
            <w:noWrap/>
            <w:vAlign w:val="center"/>
            <w:hideMark/>
          </w:tcPr>
          <w:p w:rsidR="00875A16" w:rsidRPr="008B6152" w:rsidRDefault="00875A16" w:rsidP="002122D8">
            <w:pPr>
              <w:keepNext/>
              <w:keepLines/>
              <w:widowControl/>
              <w:jc w:val="center"/>
              <w:rPr>
                <w:rFonts w:ascii="Arial Narrow" w:eastAsia="Calibri" w:hAnsi="Arial Narrow" w:cs="Calibri"/>
                <w:snapToGrid/>
                <w:sz w:val="20"/>
                <w:szCs w:val="20"/>
              </w:rPr>
            </w:pPr>
            <w:r w:rsidRPr="008B6152">
              <w:rPr>
                <w:rFonts w:ascii="Arial Narrow" w:eastAsia="Calibri" w:hAnsi="Arial Narrow" w:cs="Calibri"/>
                <w:snapToGrid/>
                <w:sz w:val="20"/>
                <w:szCs w:val="20"/>
              </w:rPr>
              <w:t>$</w:t>
            </w:r>
            <w:r w:rsidR="000D054F">
              <w:rPr>
                <w:rFonts w:ascii="Arial Narrow" w:eastAsia="Calibri" w:hAnsi="Arial Narrow" w:cs="Calibri"/>
                <w:noProof/>
                <w:snapToGrid/>
                <w:color w:val="000000"/>
                <w:sz w:val="20"/>
                <w:szCs w:val="20"/>
                <w:highlight w:val="black"/>
              </w:rPr>
              <w:t>''''''''''''</w:t>
            </w:r>
          </w:p>
        </w:tc>
        <w:tc>
          <w:tcPr>
            <w:tcW w:w="564" w:type="pct"/>
            <w:vAlign w:val="center"/>
          </w:tcPr>
          <w:p w:rsidR="00875A16" w:rsidRPr="008B6152" w:rsidRDefault="00875A16" w:rsidP="002122D8">
            <w:pPr>
              <w:keepNext/>
              <w:keepLines/>
              <w:widowControl/>
              <w:jc w:val="center"/>
              <w:rPr>
                <w:rFonts w:ascii="Arial Narrow" w:eastAsia="Calibri" w:hAnsi="Arial Narrow" w:cs="Calibri"/>
                <w:snapToGrid/>
                <w:sz w:val="20"/>
                <w:szCs w:val="20"/>
              </w:rPr>
            </w:pPr>
            <w:r w:rsidRPr="008B6152">
              <w:rPr>
                <w:rFonts w:ascii="Arial Narrow" w:eastAsia="Calibri" w:hAnsi="Arial Narrow" w:cs="Calibri"/>
                <w:snapToGrid/>
                <w:sz w:val="20"/>
                <w:szCs w:val="20"/>
              </w:rPr>
              <w:t>$</w:t>
            </w:r>
            <w:r w:rsidR="000D054F">
              <w:rPr>
                <w:rFonts w:ascii="Arial Narrow" w:eastAsia="Calibri" w:hAnsi="Arial Narrow" w:cs="Calibri"/>
                <w:noProof/>
                <w:snapToGrid/>
                <w:color w:val="000000"/>
                <w:sz w:val="20"/>
                <w:szCs w:val="20"/>
                <w:highlight w:val="black"/>
              </w:rPr>
              <w:t>'''''''''''''''</w:t>
            </w:r>
          </w:p>
        </w:tc>
        <w:tc>
          <w:tcPr>
            <w:tcW w:w="490" w:type="pct"/>
            <w:shd w:val="clear" w:color="auto" w:fill="auto"/>
            <w:vAlign w:val="center"/>
          </w:tcPr>
          <w:p w:rsidR="00875A16" w:rsidRPr="008B6152" w:rsidRDefault="000D054F" w:rsidP="002122D8">
            <w:pPr>
              <w:keepNext/>
              <w:keepLines/>
              <w:widowControl/>
              <w:jc w:val="center"/>
              <w:rPr>
                <w:rFonts w:ascii="Arial Narrow" w:eastAsia="Calibri" w:hAnsi="Arial Narrow" w:cs="Calibri"/>
                <w:snapToGrid/>
                <w:sz w:val="20"/>
                <w:szCs w:val="20"/>
              </w:rPr>
            </w:pPr>
            <w:r>
              <w:rPr>
                <w:rFonts w:ascii="Arial Narrow" w:eastAsia="Calibri" w:hAnsi="Arial Narrow" w:cs="Calibri"/>
                <w:noProof/>
                <w:snapToGrid/>
                <w:color w:val="000000"/>
                <w:sz w:val="20"/>
                <w:szCs w:val="20"/>
                <w:highlight w:val="black"/>
              </w:rPr>
              <w:t>'''''</w:t>
            </w:r>
            <w:r w:rsidR="00875A16" w:rsidRPr="002122D8">
              <w:rPr>
                <w:rFonts w:ascii="Arial Narrow" w:eastAsia="Calibri" w:hAnsi="Arial Narrow" w:cs="Calibri"/>
                <w:snapToGrid/>
                <w:sz w:val="20"/>
                <w:szCs w:val="20"/>
              </w:rPr>
              <w:t>%</w:t>
            </w:r>
          </w:p>
        </w:tc>
      </w:tr>
      <w:tr w:rsidR="00875A16" w:rsidRPr="008B6152" w:rsidTr="000E4A69">
        <w:trPr>
          <w:trHeight w:val="300"/>
          <w:jc w:val="center"/>
        </w:trPr>
        <w:tc>
          <w:tcPr>
            <w:tcW w:w="545" w:type="pct"/>
            <w:shd w:val="clear" w:color="auto" w:fill="auto"/>
            <w:noWrap/>
            <w:vAlign w:val="center"/>
          </w:tcPr>
          <w:p w:rsidR="00875A16" w:rsidRPr="008B6152" w:rsidRDefault="00875A16" w:rsidP="002122D8">
            <w:pPr>
              <w:keepNext/>
              <w:keepLines/>
              <w:widowControl/>
              <w:jc w:val="left"/>
              <w:rPr>
                <w:rFonts w:ascii="Arial Narrow" w:eastAsia="Calibri" w:hAnsi="Arial Narrow" w:cs="Calibri"/>
                <w:b/>
                <w:snapToGrid/>
                <w:sz w:val="20"/>
                <w:szCs w:val="20"/>
              </w:rPr>
            </w:pPr>
            <w:r w:rsidRPr="008B6152">
              <w:rPr>
                <w:rFonts w:ascii="Arial Narrow" w:eastAsia="Calibri" w:hAnsi="Arial Narrow" w:cs="Calibri"/>
                <w:b/>
                <w:snapToGrid/>
                <w:sz w:val="20"/>
                <w:szCs w:val="20"/>
              </w:rPr>
              <w:t>Weighted mean</w:t>
            </w:r>
          </w:p>
        </w:tc>
        <w:tc>
          <w:tcPr>
            <w:tcW w:w="2814" w:type="pct"/>
            <w:gridSpan w:val="7"/>
            <w:shd w:val="clear" w:color="auto" w:fill="auto"/>
            <w:noWrap/>
            <w:vAlign w:val="center"/>
          </w:tcPr>
          <w:p w:rsidR="00875A16" w:rsidRPr="008B6152" w:rsidRDefault="00875A16" w:rsidP="002122D8">
            <w:pPr>
              <w:keepNext/>
              <w:keepLines/>
              <w:widowControl/>
              <w:jc w:val="left"/>
              <w:rPr>
                <w:rFonts w:ascii="Arial Narrow" w:eastAsia="Calibri" w:hAnsi="Arial Narrow" w:cs="Calibri"/>
                <w:snapToGrid/>
                <w:sz w:val="20"/>
                <w:szCs w:val="20"/>
              </w:rPr>
            </w:pPr>
          </w:p>
        </w:tc>
        <w:tc>
          <w:tcPr>
            <w:tcW w:w="587" w:type="pct"/>
            <w:shd w:val="clear" w:color="auto" w:fill="auto"/>
            <w:noWrap/>
            <w:vAlign w:val="center"/>
          </w:tcPr>
          <w:p w:rsidR="00875A16" w:rsidRPr="008B6152" w:rsidRDefault="00875A16" w:rsidP="002122D8">
            <w:pPr>
              <w:keepNext/>
              <w:keepLines/>
              <w:widowControl/>
              <w:jc w:val="center"/>
              <w:rPr>
                <w:rFonts w:ascii="Arial Narrow" w:eastAsia="Calibri" w:hAnsi="Arial Narrow" w:cs="Calibri"/>
                <w:snapToGrid/>
                <w:sz w:val="20"/>
                <w:szCs w:val="20"/>
              </w:rPr>
            </w:pPr>
            <w:r w:rsidRPr="008B6152">
              <w:rPr>
                <w:rFonts w:ascii="Arial Narrow" w:eastAsia="Calibri" w:hAnsi="Arial Narrow" w:cs="Calibri"/>
                <w:snapToGrid/>
                <w:sz w:val="20"/>
                <w:szCs w:val="20"/>
              </w:rPr>
              <w:t>$</w:t>
            </w:r>
            <w:r w:rsidR="000D054F">
              <w:rPr>
                <w:rFonts w:ascii="Arial Narrow" w:eastAsia="Calibri" w:hAnsi="Arial Narrow" w:cs="Calibri"/>
                <w:noProof/>
                <w:snapToGrid/>
                <w:color w:val="000000"/>
                <w:sz w:val="20"/>
                <w:szCs w:val="20"/>
                <w:highlight w:val="black"/>
              </w:rPr>
              <w:t>'''''''''''''''</w:t>
            </w:r>
          </w:p>
        </w:tc>
        <w:tc>
          <w:tcPr>
            <w:tcW w:w="564" w:type="pct"/>
            <w:vAlign w:val="center"/>
          </w:tcPr>
          <w:p w:rsidR="00875A16" w:rsidRPr="008B6152" w:rsidRDefault="00875A16" w:rsidP="002122D8">
            <w:pPr>
              <w:keepNext/>
              <w:keepLines/>
              <w:widowControl/>
              <w:jc w:val="center"/>
              <w:rPr>
                <w:rFonts w:ascii="Arial Narrow" w:eastAsia="Calibri" w:hAnsi="Arial Narrow" w:cs="Calibri"/>
                <w:snapToGrid/>
                <w:sz w:val="20"/>
                <w:szCs w:val="20"/>
              </w:rPr>
            </w:pPr>
            <w:r w:rsidRPr="008B6152">
              <w:rPr>
                <w:rFonts w:ascii="Arial Narrow" w:eastAsia="Calibri" w:hAnsi="Arial Narrow" w:cs="Calibri"/>
                <w:snapToGrid/>
                <w:sz w:val="20"/>
                <w:szCs w:val="20"/>
              </w:rPr>
              <w:t>$</w:t>
            </w:r>
            <w:r w:rsidR="000D054F">
              <w:rPr>
                <w:rFonts w:ascii="Arial Narrow" w:eastAsia="Calibri" w:hAnsi="Arial Narrow" w:cs="Calibri"/>
                <w:noProof/>
                <w:snapToGrid/>
                <w:color w:val="000000"/>
                <w:sz w:val="20"/>
                <w:szCs w:val="20"/>
                <w:highlight w:val="black"/>
              </w:rPr>
              <w:t>'''''''''''''''''</w:t>
            </w:r>
          </w:p>
        </w:tc>
        <w:tc>
          <w:tcPr>
            <w:tcW w:w="490" w:type="pct"/>
            <w:shd w:val="clear" w:color="auto" w:fill="auto"/>
            <w:vAlign w:val="center"/>
          </w:tcPr>
          <w:p w:rsidR="00875A16" w:rsidRPr="008B6152" w:rsidRDefault="00875A16" w:rsidP="002122D8">
            <w:pPr>
              <w:keepNext/>
              <w:keepLines/>
              <w:widowControl/>
              <w:jc w:val="center"/>
              <w:rPr>
                <w:rFonts w:ascii="Arial Narrow" w:eastAsia="Calibri" w:hAnsi="Arial Narrow" w:cs="Calibri"/>
                <w:snapToGrid/>
                <w:sz w:val="20"/>
                <w:szCs w:val="20"/>
              </w:rPr>
            </w:pPr>
            <w:r w:rsidRPr="008B6152">
              <w:rPr>
                <w:rFonts w:ascii="Arial Narrow" w:eastAsia="Calibri" w:hAnsi="Arial Narrow" w:cs="Calibri"/>
                <w:snapToGrid/>
                <w:sz w:val="20"/>
                <w:szCs w:val="20"/>
              </w:rPr>
              <w:t>100%</w:t>
            </w:r>
          </w:p>
        </w:tc>
      </w:tr>
    </w:tbl>
    <w:p w:rsidR="00875A16" w:rsidRPr="008B6152" w:rsidRDefault="00875A16" w:rsidP="002122D8">
      <w:pPr>
        <w:keepNext/>
        <w:keepLines/>
        <w:rPr>
          <w:rFonts w:ascii="Arial Narrow" w:hAnsi="Arial Narrow"/>
          <w:sz w:val="18"/>
          <w:szCs w:val="18"/>
        </w:rPr>
      </w:pPr>
      <w:r w:rsidRPr="008B6152">
        <w:rPr>
          <w:rFonts w:ascii="Arial Narrow" w:hAnsi="Arial Narrow"/>
          <w:sz w:val="18"/>
          <w:szCs w:val="18"/>
          <w:vertAlign w:val="superscript"/>
        </w:rPr>
        <w:t xml:space="preserve">1 </w:t>
      </w:r>
      <w:r w:rsidRPr="008B6152">
        <w:rPr>
          <w:rFonts w:ascii="Arial Narrow" w:hAnsi="Arial Narrow"/>
          <w:sz w:val="18"/>
          <w:szCs w:val="18"/>
        </w:rPr>
        <w:t>Same as price per unit insulin glargine</w:t>
      </w:r>
      <w:r w:rsidR="0031604C" w:rsidRPr="008B6152">
        <w:rPr>
          <w:rFonts w:ascii="Arial Narrow" w:hAnsi="Arial Narrow"/>
          <w:sz w:val="18"/>
          <w:szCs w:val="18"/>
        </w:rPr>
        <w:t xml:space="preserve"> </w:t>
      </w:r>
      <w:r w:rsidRPr="008B6152">
        <w:rPr>
          <w:rFonts w:ascii="Arial Narrow" w:hAnsi="Arial Narrow"/>
          <w:sz w:val="18"/>
          <w:szCs w:val="18"/>
        </w:rPr>
        <w:t>Table 3.4.1</w:t>
      </w:r>
    </w:p>
    <w:p w:rsidR="00875A16" w:rsidRPr="008B6152" w:rsidRDefault="00875A16" w:rsidP="002122D8">
      <w:pPr>
        <w:keepNext/>
        <w:keepLines/>
        <w:rPr>
          <w:rFonts w:ascii="Arial Narrow" w:hAnsi="Arial Narrow"/>
          <w:sz w:val="18"/>
          <w:szCs w:val="18"/>
        </w:rPr>
      </w:pPr>
      <w:r w:rsidRPr="008B6152">
        <w:rPr>
          <w:rFonts w:ascii="Arial Narrow" w:hAnsi="Arial Narrow"/>
          <w:sz w:val="18"/>
          <w:szCs w:val="18"/>
          <w:vertAlign w:val="superscript"/>
        </w:rPr>
        <w:t xml:space="preserve">2 </w:t>
      </w:r>
      <w:r w:rsidRPr="008B6152">
        <w:rPr>
          <w:rFonts w:ascii="Arial Narrow" w:hAnsi="Arial Narrow"/>
          <w:sz w:val="18"/>
          <w:szCs w:val="18"/>
        </w:rPr>
        <w:t>Same as weighted price/unit exenatide to achieve GWCO Week 30 dose (19.3 mcg), Table 3.4.1</w:t>
      </w:r>
    </w:p>
    <w:p w:rsidR="00875A16" w:rsidRPr="008B6152" w:rsidRDefault="00875A16" w:rsidP="002122D8">
      <w:pPr>
        <w:keepNext/>
        <w:keepLines/>
        <w:rPr>
          <w:rFonts w:ascii="Arial Narrow" w:hAnsi="Arial Narrow"/>
          <w:sz w:val="18"/>
          <w:szCs w:val="18"/>
        </w:rPr>
      </w:pPr>
      <w:r w:rsidRPr="008B6152">
        <w:rPr>
          <w:rFonts w:ascii="Arial Narrow" w:hAnsi="Arial Narrow"/>
          <w:sz w:val="18"/>
          <w:szCs w:val="18"/>
          <w:vertAlign w:val="superscript"/>
        </w:rPr>
        <w:t>3</w:t>
      </w:r>
      <w:r w:rsidRPr="008B6152">
        <w:rPr>
          <w:rFonts w:ascii="Arial Narrow" w:hAnsi="Arial Narrow"/>
          <w:sz w:val="18"/>
          <w:szCs w:val="18"/>
        </w:rPr>
        <w:t xml:space="preserve"> Resubmission assumed </w:t>
      </w:r>
      <w:r w:rsidR="000D054F">
        <w:rPr>
          <w:rFonts w:ascii="Arial Narrow" w:hAnsi="Arial Narrow"/>
          <w:noProof/>
          <w:color w:val="000000"/>
          <w:sz w:val="18"/>
          <w:szCs w:val="18"/>
          <w:highlight w:val="black"/>
        </w:rPr>
        <w:t>'''''''''</w:t>
      </w:r>
      <w:r w:rsidRPr="008B6152">
        <w:rPr>
          <w:rFonts w:ascii="Arial Narrow" w:hAnsi="Arial Narrow"/>
          <w:sz w:val="18"/>
          <w:szCs w:val="18"/>
        </w:rPr>
        <w:t xml:space="preserve"> needles saved per pen based on lixisenatide daily dose of 19.3mcg/day</w:t>
      </w:r>
    </w:p>
    <w:p w:rsidR="00875A16" w:rsidRPr="008B6152" w:rsidRDefault="00875A16" w:rsidP="002122D8">
      <w:pPr>
        <w:keepNext/>
        <w:keepLines/>
        <w:rPr>
          <w:rFonts w:ascii="Arial Narrow" w:hAnsi="Arial Narrow"/>
          <w:sz w:val="18"/>
          <w:szCs w:val="18"/>
        </w:rPr>
      </w:pPr>
      <w:r w:rsidRPr="008B6152">
        <w:rPr>
          <w:rFonts w:ascii="Arial Narrow" w:hAnsi="Arial Narrow"/>
          <w:sz w:val="18"/>
          <w:szCs w:val="18"/>
          <w:vertAlign w:val="superscript"/>
        </w:rPr>
        <w:t>4</w:t>
      </w:r>
      <w:r w:rsidRPr="008B6152">
        <w:rPr>
          <w:rFonts w:ascii="Arial Narrow" w:hAnsi="Arial Narrow"/>
          <w:sz w:val="18"/>
          <w:szCs w:val="18"/>
        </w:rPr>
        <w:t xml:space="preserve"> Resubmission assumed </w:t>
      </w:r>
      <w:r w:rsidR="000D054F">
        <w:rPr>
          <w:rFonts w:ascii="Arial Narrow" w:hAnsi="Arial Narrow"/>
          <w:noProof/>
          <w:color w:val="000000"/>
          <w:sz w:val="18"/>
          <w:szCs w:val="18"/>
          <w:highlight w:val="black"/>
        </w:rPr>
        <w:t xml:space="preserve">'''''''''' </w:t>
      </w:r>
      <w:r w:rsidRPr="008B6152">
        <w:rPr>
          <w:rFonts w:ascii="Arial Narrow" w:hAnsi="Arial Narrow"/>
          <w:sz w:val="18"/>
          <w:szCs w:val="18"/>
        </w:rPr>
        <w:t>needles saved per pen based on lixisenatide daily dose of 19.3mcg/day</w:t>
      </w:r>
    </w:p>
    <w:p w:rsidR="00875A16" w:rsidRPr="008B6152" w:rsidRDefault="00875A16" w:rsidP="002122D8">
      <w:pPr>
        <w:keepNext/>
        <w:keepLines/>
        <w:rPr>
          <w:rFonts w:ascii="Arial Narrow" w:hAnsi="Arial Narrow"/>
          <w:sz w:val="18"/>
          <w:szCs w:val="18"/>
        </w:rPr>
      </w:pPr>
      <w:r w:rsidRPr="008B6152">
        <w:rPr>
          <w:rFonts w:ascii="Arial Narrow" w:hAnsi="Arial Narrow"/>
          <w:sz w:val="18"/>
          <w:szCs w:val="18"/>
        </w:rPr>
        <w:t>Source: ‘iGlarLixi CMA November 2018’ Excel workbook, Attachment 9 of the resubmission</w:t>
      </w:r>
    </w:p>
    <w:p w:rsidR="00875A16" w:rsidRPr="008B6152" w:rsidRDefault="00875A16" w:rsidP="002122D8">
      <w:pPr>
        <w:keepNext/>
        <w:keepLines/>
        <w:rPr>
          <w:rFonts w:ascii="Arial Narrow" w:hAnsi="Arial Narrow"/>
          <w:sz w:val="18"/>
          <w:szCs w:val="18"/>
        </w:rPr>
      </w:pPr>
      <w:r w:rsidRPr="008B6152">
        <w:rPr>
          <w:rFonts w:ascii="Arial Narrow" w:hAnsi="Arial Narrow"/>
          <w:sz w:val="18"/>
          <w:szCs w:val="18"/>
        </w:rPr>
        <w:t>AEMP, approved ex-manufacturer price; IU, international unit</w:t>
      </w:r>
    </w:p>
    <w:p w:rsidR="00875A16" w:rsidRPr="008B6152" w:rsidRDefault="00875A16" w:rsidP="00875A16">
      <w:pPr>
        <w:widowControl/>
      </w:pPr>
    </w:p>
    <w:p w:rsidR="00875A16" w:rsidRPr="00B66CF9" w:rsidRDefault="00875A16" w:rsidP="00875A16">
      <w:pPr>
        <w:pStyle w:val="ListParagraph"/>
        <w:widowControl/>
        <w:numPr>
          <w:ilvl w:val="1"/>
          <w:numId w:val="3"/>
        </w:numPr>
      </w:pPr>
      <w:r w:rsidRPr="00B66CF9">
        <w:t>The calculated AEMP per pack equate</w:t>
      </w:r>
      <w:r w:rsidR="008A2D81">
        <w:t>d</w:t>
      </w:r>
      <w:r w:rsidRPr="00B66CF9">
        <w:t xml:space="preserve"> to the requested DPMQs of $</w:t>
      </w:r>
      <w:r w:rsidR="000D054F">
        <w:rPr>
          <w:noProof/>
          <w:color w:val="000000"/>
          <w:highlight w:val="black"/>
        </w:rPr>
        <w:t>''''''''''''</w:t>
      </w:r>
      <w:r w:rsidRPr="00B66CF9">
        <w:t xml:space="preserve"> for the 2 unit/1</w:t>
      </w:r>
      <w:r w:rsidR="009A66C5" w:rsidRPr="00B66CF9">
        <w:t xml:space="preserve"> </w:t>
      </w:r>
      <w:r w:rsidRPr="00B66CF9">
        <w:t xml:space="preserve">mcg pack of </w:t>
      </w:r>
      <w:r w:rsidR="009A66C5" w:rsidRPr="00B66CF9">
        <w:t xml:space="preserve">five </w:t>
      </w:r>
      <w:r w:rsidRPr="00B66CF9">
        <w:t>pens and $</w:t>
      </w:r>
      <w:r w:rsidR="000D054F">
        <w:rPr>
          <w:noProof/>
          <w:color w:val="000000"/>
          <w:highlight w:val="black"/>
        </w:rPr>
        <w:t>''''''''''''</w:t>
      </w:r>
      <w:r w:rsidRPr="00B66CF9">
        <w:t xml:space="preserve"> for the 3 unit/1 mcg pack of </w:t>
      </w:r>
      <w:r w:rsidR="009A66C5" w:rsidRPr="00B66CF9">
        <w:t xml:space="preserve">five </w:t>
      </w:r>
      <w:r w:rsidRPr="00B66CF9">
        <w:t>pens.</w:t>
      </w:r>
      <w:r w:rsidR="004863C8">
        <w:t xml:space="preserve"> </w:t>
      </w:r>
    </w:p>
    <w:p w:rsidR="0040045A" w:rsidRPr="00B66CF9" w:rsidRDefault="0040045A" w:rsidP="0040045A">
      <w:pPr>
        <w:pStyle w:val="ListParagraph"/>
        <w:widowControl/>
        <w:numPr>
          <w:ilvl w:val="1"/>
          <w:numId w:val="3"/>
        </w:numPr>
      </w:pPr>
      <w:r w:rsidRPr="00B66CF9">
        <w:rPr>
          <w:rFonts w:cs="Calibri"/>
          <w:snapToGrid/>
          <w:szCs w:val="24"/>
          <w:lang w:val="en-US" w:eastAsia="en-AU"/>
        </w:rPr>
        <w:t xml:space="preserve">Compared to the previous submission, the following changes were made to the cost-minimisation analysis: the assumed insulin sparing effect was removed </w:t>
      </w:r>
      <w:r w:rsidR="002F7A74" w:rsidRPr="00B66CF9">
        <w:rPr>
          <w:rFonts w:cs="Calibri"/>
          <w:snapToGrid/>
          <w:szCs w:val="24"/>
          <w:lang w:val="en-US" w:eastAsia="en-AU"/>
        </w:rPr>
        <w:t>in line with the PBAC’s advice (5.05 Insulin glargine with lixisenatide</w:t>
      </w:r>
      <w:r w:rsidR="00416D72">
        <w:rPr>
          <w:rFonts w:cs="Calibri"/>
          <w:snapToGrid/>
          <w:szCs w:val="24"/>
          <w:lang w:val="en-US" w:eastAsia="en-AU"/>
        </w:rPr>
        <w:t>,</w:t>
      </w:r>
      <w:r w:rsidR="002F7A74" w:rsidRPr="00B66CF9">
        <w:rPr>
          <w:rFonts w:cs="Calibri"/>
          <w:snapToGrid/>
          <w:szCs w:val="24"/>
          <w:lang w:val="en-US" w:eastAsia="en-AU"/>
        </w:rPr>
        <w:t xml:space="preserve"> FRC March 2018</w:t>
      </w:r>
      <w:r w:rsidR="00E022F2">
        <w:rPr>
          <w:rFonts w:cs="Calibri"/>
          <w:snapToGrid/>
          <w:szCs w:val="24"/>
          <w:lang w:val="en-US" w:eastAsia="en-AU"/>
        </w:rPr>
        <w:t xml:space="preserve"> PBAC Meeting</w:t>
      </w:r>
      <w:r w:rsidR="002F7A74" w:rsidRPr="00B66CF9">
        <w:rPr>
          <w:rFonts w:cs="Calibri"/>
          <w:snapToGrid/>
          <w:szCs w:val="24"/>
          <w:lang w:val="en-US" w:eastAsia="en-AU"/>
        </w:rPr>
        <w:t xml:space="preserve"> PSD</w:t>
      </w:r>
      <w:r w:rsidR="00416D72">
        <w:rPr>
          <w:rFonts w:cs="Calibri"/>
          <w:snapToGrid/>
          <w:szCs w:val="24"/>
          <w:lang w:val="en-US" w:eastAsia="en-AU"/>
        </w:rPr>
        <w:t>,</w:t>
      </w:r>
      <w:r w:rsidR="002F7A74" w:rsidRPr="00B66CF9">
        <w:rPr>
          <w:rFonts w:cs="Calibri"/>
          <w:snapToGrid/>
          <w:szCs w:val="24"/>
          <w:lang w:val="en-US" w:eastAsia="en-AU"/>
        </w:rPr>
        <w:t xml:space="preserve"> paragraph 6.47)</w:t>
      </w:r>
      <w:r w:rsidR="00387D94">
        <w:rPr>
          <w:rFonts w:cs="Calibri"/>
          <w:snapToGrid/>
          <w:szCs w:val="24"/>
          <w:lang w:val="en-US" w:eastAsia="en-AU"/>
        </w:rPr>
        <w:t>,</w:t>
      </w:r>
      <w:r w:rsidR="002F7A74" w:rsidRPr="00B66CF9">
        <w:rPr>
          <w:rFonts w:cs="Calibri"/>
          <w:snapToGrid/>
          <w:szCs w:val="24"/>
          <w:lang w:val="en-US" w:eastAsia="en-AU"/>
        </w:rPr>
        <w:t xml:space="preserve"> </w:t>
      </w:r>
      <w:r w:rsidRPr="00B66CF9">
        <w:rPr>
          <w:rFonts w:cs="Calibri"/>
          <w:snapToGrid/>
          <w:szCs w:val="24"/>
          <w:lang w:val="en-US" w:eastAsia="en-AU"/>
        </w:rPr>
        <w:t xml:space="preserve">and the dose relativity of lixisenatide and exenatide was assumed to be 1:1. Additionally, </w:t>
      </w:r>
      <w:r w:rsidR="002F7A74" w:rsidRPr="00B66CF9">
        <w:rPr>
          <w:rFonts w:cs="Calibri"/>
          <w:snapToGrid/>
          <w:szCs w:val="24"/>
          <w:lang w:val="en-US" w:eastAsia="en-AU"/>
        </w:rPr>
        <w:t xml:space="preserve">prices at first PBS listing </w:t>
      </w:r>
      <w:r w:rsidRPr="00B66CF9">
        <w:rPr>
          <w:rFonts w:cs="Calibri"/>
          <w:snapToGrid/>
          <w:szCs w:val="24"/>
          <w:lang w:val="en-US" w:eastAsia="en-AU"/>
        </w:rPr>
        <w:t>were no longer used, and the requested maximum number of packs was reduced to one.</w:t>
      </w:r>
      <w:r w:rsidR="0031604C" w:rsidRPr="00B66CF9">
        <w:rPr>
          <w:rFonts w:cs="Calibri"/>
          <w:snapToGrid/>
          <w:szCs w:val="24"/>
          <w:lang w:val="en-US" w:eastAsia="en-AU"/>
        </w:rPr>
        <w:t xml:space="preserve"> </w:t>
      </w:r>
    </w:p>
    <w:p w:rsidR="0040045A" w:rsidRPr="00875A16" w:rsidRDefault="0040045A" w:rsidP="0084559A">
      <w:pPr>
        <w:pStyle w:val="ListParagraph"/>
        <w:widowControl/>
        <w:numPr>
          <w:ilvl w:val="1"/>
          <w:numId w:val="3"/>
        </w:numPr>
      </w:pPr>
      <w:r w:rsidRPr="00B66CF9">
        <w:rPr>
          <w:rFonts w:cs="Calibri"/>
          <w:snapToGrid/>
          <w:szCs w:val="24"/>
          <w:lang w:val="en-US" w:eastAsia="en-AU"/>
        </w:rPr>
        <w:t>These changes resulted in a reduction in the cost per day for insulin glargine plus exenatide twice daily and insulin glargine with lixisenatide FRC from $</w:t>
      </w:r>
      <w:r w:rsidR="000D054F">
        <w:rPr>
          <w:rFonts w:cs="Calibri"/>
          <w:noProof/>
          <w:snapToGrid/>
          <w:color w:val="000000"/>
          <w:szCs w:val="24"/>
          <w:highlight w:val="black"/>
          <w:lang w:val="en-US" w:eastAsia="en-AU"/>
        </w:rPr>
        <w:t>''''''''</w:t>
      </w:r>
      <w:r w:rsidRPr="00B66CF9">
        <w:rPr>
          <w:rFonts w:cs="Calibri"/>
          <w:snapToGrid/>
          <w:szCs w:val="24"/>
          <w:lang w:val="en-US" w:eastAsia="en-AU"/>
        </w:rPr>
        <w:t xml:space="preserve"> in the previous submission to $</w:t>
      </w:r>
      <w:r w:rsidR="000D054F">
        <w:rPr>
          <w:rFonts w:cs="Calibri"/>
          <w:noProof/>
          <w:snapToGrid/>
          <w:color w:val="000000"/>
          <w:szCs w:val="24"/>
          <w:highlight w:val="black"/>
          <w:lang w:val="en-US" w:eastAsia="en-AU"/>
        </w:rPr>
        <w:t>'''''''''</w:t>
      </w:r>
      <w:r w:rsidRPr="00B66CF9">
        <w:rPr>
          <w:rFonts w:cs="Calibri"/>
          <w:snapToGrid/>
          <w:szCs w:val="24"/>
          <w:lang w:val="en-US" w:eastAsia="en-AU"/>
        </w:rPr>
        <w:t xml:space="preserve"> in the resubmission, and a corresponding decrease in the approved ex-manufacturer price per pen for insulin glargine 100 units/mL lixisenatide 50 mcg/mL by </w:t>
      </w:r>
      <w:r w:rsidR="004C24A6" w:rsidRPr="00B66CF9">
        <w:rPr>
          <w:rFonts w:cs="Calibri"/>
          <w:snapToGrid/>
          <w:szCs w:val="24"/>
          <w:lang w:val="en-US" w:eastAsia="en-AU"/>
        </w:rPr>
        <w:t>38.8</w:t>
      </w:r>
      <w:r w:rsidRPr="00B66CF9">
        <w:rPr>
          <w:rFonts w:cs="Calibri"/>
          <w:snapToGrid/>
          <w:szCs w:val="24"/>
          <w:lang w:val="en-US" w:eastAsia="en-AU"/>
        </w:rPr>
        <w:t>%</w:t>
      </w:r>
      <w:r w:rsidR="004C24A6" w:rsidRPr="00B66CF9">
        <w:rPr>
          <w:rFonts w:cs="Calibri"/>
          <w:snapToGrid/>
          <w:szCs w:val="24"/>
          <w:lang w:val="en-US" w:eastAsia="en-AU"/>
        </w:rPr>
        <w:t xml:space="preserve"> from $</w:t>
      </w:r>
      <w:r w:rsidR="000D054F">
        <w:rPr>
          <w:rFonts w:cs="Calibri"/>
          <w:noProof/>
          <w:snapToGrid/>
          <w:color w:val="000000"/>
          <w:szCs w:val="24"/>
          <w:highlight w:val="black"/>
          <w:lang w:val="en-US" w:eastAsia="en-AU"/>
        </w:rPr>
        <w:t>''''''''''</w:t>
      </w:r>
      <w:r w:rsidR="004C24A6" w:rsidRPr="00B66CF9">
        <w:rPr>
          <w:rFonts w:cs="Calibri"/>
          <w:snapToGrid/>
          <w:szCs w:val="24"/>
          <w:lang w:val="en-US" w:eastAsia="en-AU"/>
        </w:rPr>
        <w:t xml:space="preserve"> to $</w:t>
      </w:r>
      <w:r w:rsidR="000D054F">
        <w:rPr>
          <w:rFonts w:cs="Calibri"/>
          <w:noProof/>
          <w:snapToGrid/>
          <w:color w:val="000000"/>
          <w:szCs w:val="24"/>
          <w:highlight w:val="black"/>
          <w:lang w:val="en-US" w:eastAsia="en-AU"/>
        </w:rPr>
        <w:t>'''''''''''</w:t>
      </w:r>
      <w:r w:rsidR="00A076D7">
        <w:rPr>
          <w:rFonts w:cs="Calibri"/>
          <w:snapToGrid/>
          <w:szCs w:val="24"/>
          <w:lang w:val="en-US" w:eastAsia="en-AU"/>
        </w:rPr>
        <w:t>,</w:t>
      </w:r>
      <w:r w:rsidR="004C24A6" w:rsidRPr="00B66CF9">
        <w:rPr>
          <w:rFonts w:cs="Calibri"/>
          <w:snapToGrid/>
          <w:szCs w:val="24"/>
          <w:lang w:val="en-US" w:eastAsia="en-AU"/>
        </w:rPr>
        <w:t xml:space="preserve"> and by </w:t>
      </w:r>
      <w:r w:rsidR="000D054F">
        <w:rPr>
          <w:rFonts w:cs="Calibri"/>
          <w:noProof/>
          <w:snapToGrid/>
          <w:color w:val="000000"/>
          <w:szCs w:val="24"/>
          <w:highlight w:val="black"/>
          <w:lang w:val="en-US" w:eastAsia="en-AU"/>
        </w:rPr>
        <w:t>'''''''''</w:t>
      </w:r>
      <w:r w:rsidRPr="00B66CF9">
        <w:rPr>
          <w:rFonts w:cs="Calibri"/>
          <w:snapToGrid/>
          <w:szCs w:val="24"/>
          <w:lang w:val="en-US" w:eastAsia="en-AU"/>
        </w:rPr>
        <w:t>% from $</w:t>
      </w:r>
      <w:r w:rsidR="000D054F">
        <w:rPr>
          <w:rFonts w:cs="Calibri"/>
          <w:noProof/>
          <w:snapToGrid/>
          <w:color w:val="000000"/>
          <w:szCs w:val="24"/>
          <w:highlight w:val="black"/>
          <w:lang w:val="en-US" w:eastAsia="en-AU"/>
        </w:rPr>
        <w:t>'''''''''''</w:t>
      </w:r>
      <w:r w:rsidRPr="00B66CF9">
        <w:rPr>
          <w:rFonts w:cs="Calibri"/>
          <w:snapToGrid/>
          <w:szCs w:val="24"/>
          <w:lang w:val="en-US" w:eastAsia="en-AU"/>
        </w:rPr>
        <w:t xml:space="preserve"> to $</w:t>
      </w:r>
      <w:r w:rsidR="000D054F">
        <w:rPr>
          <w:rFonts w:cs="Calibri"/>
          <w:noProof/>
          <w:snapToGrid/>
          <w:color w:val="000000"/>
          <w:szCs w:val="24"/>
          <w:highlight w:val="black"/>
          <w:lang w:val="en-US" w:eastAsia="en-AU"/>
        </w:rPr>
        <w:t>''''''''''''</w:t>
      </w:r>
      <w:r w:rsidRPr="00B66CF9">
        <w:rPr>
          <w:rFonts w:cs="Calibri"/>
          <w:snapToGrid/>
          <w:szCs w:val="24"/>
          <w:lang w:val="en-US" w:eastAsia="en-AU"/>
        </w:rPr>
        <w:t xml:space="preserve"> for insulin glargine 100 units/mL lixisenatide 33 mcg/mL.</w:t>
      </w:r>
      <w:r w:rsidR="0049397D">
        <w:rPr>
          <w:rFonts w:cs="Calibri"/>
          <w:snapToGrid/>
          <w:szCs w:val="24"/>
          <w:lang w:val="en-US" w:eastAsia="en-AU"/>
        </w:rPr>
        <w:t xml:space="preserve"> </w:t>
      </w:r>
      <w:r w:rsidR="004863C8">
        <w:rPr>
          <w:rFonts w:cs="Calibri"/>
          <w:i/>
          <w:snapToGrid/>
          <w:szCs w:val="24"/>
          <w:lang w:val="en-US" w:eastAsia="en-AU"/>
        </w:rPr>
        <w:t xml:space="preserve"> </w:t>
      </w:r>
    </w:p>
    <w:p w:rsidR="00FD5C06" w:rsidRPr="00A54FDB" w:rsidRDefault="00FD5C06" w:rsidP="00A54FDB">
      <w:pPr>
        <w:pStyle w:val="Heading2"/>
        <w:keepNext/>
        <w:keepLines/>
        <w:spacing w:before="240"/>
      </w:pPr>
      <w:bookmarkStart w:id="18" w:name="_Toc535856979"/>
      <w:bookmarkStart w:id="19" w:name="_Toc503860903"/>
      <w:bookmarkStart w:id="20" w:name="_Toc532891846"/>
      <w:r w:rsidRPr="008D566A">
        <w:t>Drug cost/patient/year:</w:t>
      </w:r>
      <w:bookmarkEnd w:id="18"/>
      <w:r w:rsidRPr="008D566A">
        <w:t xml:space="preserve"> </w:t>
      </w:r>
      <w:bookmarkEnd w:id="19"/>
      <w:bookmarkEnd w:id="20"/>
    </w:p>
    <w:p w:rsidR="0000694B" w:rsidRPr="008B6152" w:rsidRDefault="000E4A69" w:rsidP="000E4A69">
      <w:pPr>
        <w:pStyle w:val="ListParagraph"/>
        <w:keepNext/>
        <w:widowControl/>
        <w:numPr>
          <w:ilvl w:val="1"/>
          <w:numId w:val="3"/>
        </w:numPr>
        <w:spacing w:after="0"/>
      </w:pPr>
      <w:r w:rsidRPr="008B6152">
        <w:t>$</w:t>
      </w:r>
      <w:r w:rsidR="000D054F">
        <w:rPr>
          <w:noProof/>
          <w:color w:val="000000"/>
          <w:highlight w:val="black"/>
        </w:rPr>
        <w:t>''''''''''''''''</w:t>
      </w:r>
      <w:r w:rsidRPr="008B6152">
        <w:t xml:space="preserve"> (3 units/1 mcg pen) and $</w:t>
      </w:r>
      <w:r w:rsidR="000D054F">
        <w:rPr>
          <w:noProof/>
          <w:color w:val="000000"/>
          <w:highlight w:val="black"/>
        </w:rPr>
        <w:t>'''''''''''''''</w:t>
      </w:r>
      <w:r w:rsidRPr="008B6152">
        <w:t xml:space="preserve"> (2 units/1 mcg pen); assuming:</w:t>
      </w:r>
    </w:p>
    <w:p w:rsidR="0000694B" w:rsidRPr="008B6152" w:rsidRDefault="0000694B" w:rsidP="00411362">
      <w:pPr>
        <w:pStyle w:val="Bulletpoints"/>
        <w:ind w:left="993" w:hanging="284"/>
      </w:pPr>
      <w:r w:rsidRPr="008B6152">
        <w:t>3 units/1 mcg pen: At the requested DPMQ of $</w:t>
      </w:r>
      <w:r w:rsidR="000D054F">
        <w:rPr>
          <w:noProof/>
          <w:color w:val="000000"/>
          <w:highlight w:val="black"/>
        </w:rPr>
        <w:t xml:space="preserve">''''''''''''' </w:t>
      </w:r>
      <w:r w:rsidRPr="008B6152">
        <w:t>for five pens (300 units/100 mcg insulin glargine/lixisenatide per pen), assuming 14.1 scripts per year (based on 57.9 units/19.3 mcg per day), the price per patient per year is $</w:t>
      </w:r>
      <w:r w:rsidR="000D054F">
        <w:rPr>
          <w:noProof/>
          <w:color w:val="000000"/>
          <w:highlight w:val="black"/>
        </w:rPr>
        <w:t>'''''''''''''''''</w:t>
      </w:r>
      <w:r w:rsidRPr="008B6152">
        <w:t>.</w:t>
      </w:r>
    </w:p>
    <w:p w:rsidR="0000694B" w:rsidRDefault="0000694B" w:rsidP="00411362">
      <w:pPr>
        <w:pStyle w:val="Bulletpoints"/>
        <w:ind w:left="993" w:hanging="284"/>
      </w:pPr>
      <w:r w:rsidRPr="008B6152">
        <w:t>2 units/1 mcg pen: At the requested DPMQ of $</w:t>
      </w:r>
      <w:r w:rsidR="000D054F">
        <w:rPr>
          <w:noProof/>
          <w:color w:val="000000"/>
          <w:highlight w:val="black"/>
        </w:rPr>
        <w:t>''''''''''''''</w:t>
      </w:r>
      <w:r w:rsidRPr="008B6152">
        <w:t xml:space="preserve"> for five pens (300 units/150 mcg insulin glargine/lixisenatide per pen), assuming 9.4 scripts per year (based on 38.6 units/19.3 mcg per day), the price per patient per year is $</w:t>
      </w:r>
      <w:r w:rsidR="000D054F">
        <w:rPr>
          <w:noProof/>
          <w:color w:val="000000"/>
          <w:highlight w:val="black"/>
        </w:rPr>
        <w:t>''''''''''''''''</w:t>
      </w:r>
      <w:r w:rsidRPr="008B6152">
        <w:t>.</w:t>
      </w:r>
    </w:p>
    <w:p w:rsidR="00411362" w:rsidRPr="008B6152" w:rsidRDefault="00411362" w:rsidP="00ED7D2A">
      <w:pPr>
        <w:pStyle w:val="Bulletpoints"/>
        <w:numPr>
          <w:ilvl w:val="0"/>
          <w:numId w:val="0"/>
        </w:numPr>
      </w:pPr>
    </w:p>
    <w:p w:rsidR="004750AC" w:rsidRDefault="0000694B" w:rsidP="004750AC">
      <w:pPr>
        <w:pStyle w:val="ListParagraph"/>
        <w:keepNext/>
        <w:widowControl/>
        <w:numPr>
          <w:ilvl w:val="1"/>
          <w:numId w:val="3"/>
        </w:numPr>
        <w:spacing w:after="0"/>
      </w:pPr>
      <w:r w:rsidRPr="008B6152">
        <w:t xml:space="preserve">The differences in the number of scripts assumed for each FRC </w:t>
      </w:r>
      <w:r w:rsidR="008A2D81">
        <w:t>wa</w:t>
      </w:r>
      <w:r w:rsidRPr="008B6152">
        <w:t xml:space="preserve">s due to the difference in the lixisenatide content in each type of pen, with </w:t>
      </w:r>
      <w:r w:rsidR="00B805E0" w:rsidRPr="008B6152">
        <w:t xml:space="preserve">a higher number of </w:t>
      </w:r>
      <w:r w:rsidR="00B805E0" w:rsidRPr="008B6152">
        <w:lastRenderedPageBreak/>
        <w:t>pens/scripts required to administer an average daily dose of 19.3 mcg of lixisenatide in the 2:1 FRC compared to the 3:1 FRC</w:t>
      </w:r>
      <w:r w:rsidR="00411362" w:rsidRPr="008B6152">
        <w:t>.</w:t>
      </w:r>
      <w:r w:rsidR="004863C8">
        <w:t xml:space="preserve"> </w:t>
      </w:r>
    </w:p>
    <w:p w:rsidR="00FD5C06" w:rsidRPr="00C9624D" w:rsidRDefault="00FD5C06" w:rsidP="00A54FDB">
      <w:pPr>
        <w:pStyle w:val="Heading2"/>
        <w:keepNext/>
        <w:keepLines/>
        <w:spacing w:before="240"/>
      </w:pPr>
      <w:bookmarkStart w:id="21" w:name="_Toc532891847"/>
      <w:bookmarkStart w:id="22" w:name="_Toc535856980"/>
      <w:r w:rsidRPr="00C9624D">
        <w:t>Estimated PBS usage &amp; financial implications</w:t>
      </w:r>
      <w:bookmarkEnd w:id="21"/>
      <w:bookmarkEnd w:id="22"/>
    </w:p>
    <w:p w:rsidR="00FD5C06" w:rsidRPr="008B6152" w:rsidRDefault="00A076D7" w:rsidP="00FD5C06">
      <w:pPr>
        <w:pStyle w:val="ListParagraph"/>
        <w:widowControl/>
        <w:numPr>
          <w:ilvl w:val="1"/>
          <w:numId w:val="3"/>
        </w:numPr>
      </w:pPr>
      <w:r>
        <w:t xml:space="preserve">The resubmission was not considered by DUSC. </w:t>
      </w:r>
    </w:p>
    <w:p w:rsidR="00EE081D" w:rsidRPr="00B66CF9" w:rsidRDefault="00EE081D" w:rsidP="000E4A69">
      <w:pPr>
        <w:pStyle w:val="ListParagraph"/>
        <w:widowControl/>
        <w:numPr>
          <w:ilvl w:val="1"/>
          <w:numId w:val="3"/>
        </w:numPr>
        <w:spacing w:after="0"/>
      </w:pPr>
      <w:r w:rsidRPr="00B66CF9">
        <w:t>Compared to the previous submission, the resubmission made the following changes to the financial estimates:</w:t>
      </w:r>
    </w:p>
    <w:p w:rsidR="00EE081D" w:rsidRPr="00B66CF9" w:rsidRDefault="00EE081D" w:rsidP="000E4A69">
      <w:pPr>
        <w:pStyle w:val="ListParagraph"/>
        <w:widowControl/>
        <w:numPr>
          <w:ilvl w:val="1"/>
          <w:numId w:val="22"/>
        </w:numPr>
        <w:spacing w:after="0"/>
        <w:ind w:left="993" w:hanging="294"/>
      </w:pPr>
      <w:r w:rsidRPr="00B66CF9">
        <w:t>An allowance was made for uptake of the product in patients who would otherwise have been prescribed basal insulin plus a sulfonylurea (glipizide, glimepiride, gliclazide and glibenclamide) in Years 1 to 3. (The addition of thiazolidinedione to basal insulin was considered but not included due to minimal use. The addition of acarbose to basal insulin was not included);</w:t>
      </w:r>
    </w:p>
    <w:p w:rsidR="00EE081D" w:rsidRPr="00B66CF9" w:rsidRDefault="00EE081D" w:rsidP="000E4A69">
      <w:pPr>
        <w:pStyle w:val="ListParagraph"/>
        <w:widowControl/>
        <w:numPr>
          <w:ilvl w:val="1"/>
          <w:numId w:val="22"/>
        </w:numPr>
        <w:spacing w:after="0"/>
        <w:ind w:left="993" w:hanging="294"/>
      </w:pPr>
      <w:r w:rsidRPr="00B66CF9">
        <w:t>A minor mistake regarding the metformin co-payment was corrected;</w:t>
      </w:r>
    </w:p>
    <w:p w:rsidR="00EE081D" w:rsidRPr="00B66CF9" w:rsidRDefault="00EE081D" w:rsidP="000E4A69">
      <w:pPr>
        <w:pStyle w:val="ListParagraph"/>
        <w:widowControl/>
        <w:numPr>
          <w:ilvl w:val="1"/>
          <w:numId w:val="22"/>
        </w:numPr>
        <w:spacing w:after="0"/>
        <w:ind w:left="993" w:hanging="294"/>
      </w:pPr>
      <w:r w:rsidRPr="00B66CF9">
        <w:t>More recent data from a 10% sample of PBS data including first and second quarter data from 2018 was used to estimate the eligible patient population and the expected patient co-payments; and</w:t>
      </w:r>
    </w:p>
    <w:p w:rsidR="004863C8" w:rsidRPr="00B66CF9" w:rsidRDefault="00EE081D" w:rsidP="004750AC">
      <w:pPr>
        <w:pStyle w:val="ListParagraph"/>
        <w:widowControl/>
        <w:numPr>
          <w:ilvl w:val="1"/>
          <w:numId w:val="22"/>
        </w:numPr>
        <w:ind w:left="993" w:hanging="294"/>
      </w:pPr>
      <w:r w:rsidRPr="00B66CF9">
        <w:t>The new requested DPMQ for insulin glargine with lixisenatide FRC was used and the DPMQ of comparator drugs was updated. The prices of exenatide and insulin glargine were no longer based on their price</w:t>
      </w:r>
      <w:r w:rsidR="009A66C5" w:rsidRPr="00B66CF9">
        <w:t>s at the time of first listing</w:t>
      </w:r>
      <w:r w:rsidRPr="00B66CF9">
        <w:t xml:space="preserve">. </w:t>
      </w:r>
    </w:p>
    <w:p w:rsidR="004863C8" w:rsidRPr="00B66CF9" w:rsidRDefault="007E7DB8" w:rsidP="0084559A">
      <w:pPr>
        <w:pStyle w:val="ListParagraph"/>
        <w:numPr>
          <w:ilvl w:val="1"/>
          <w:numId w:val="3"/>
        </w:numPr>
      </w:pPr>
      <w:r w:rsidRPr="0084559A">
        <w:t>The PSCR stated that potential patients for insulin glargine with lixisenatide are unlikely to choose any other option making it inappropriate to include other treatment options in the cost minimisation analysis</w:t>
      </w:r>
      <w:r w:rsidR="005E4631" w:rsidRPr="0084559A">
        <w:t>.</w:t>
      </w:r>
      <w:r w:rsidRPr="0084559A">
        <w:t xml:space="preserve"> The ESC noted that the estimates presented in the resubmission assumed substitution from a range of therapies which did not align with th</w:t>
      </w:r>
      <w:r w:rsidR="005E4631" w:rsidRPr="0084559A">
        <w:t>is</w:t>
      </w:r>
      <w:r w:rsidRPr="0084559A">
        <w:t xml:space="preserve"> statement.</w:t>
      </w:r>
      <w:r w:rsidR="004863C8" w:rsidRPr="0084559A">
        <w:t xml:space="preserve"> </w:t>
      </w:r>
    </w:p>
    <w:p w:rsidR="00486EE4" w:rsidRPr="00B66CF9" w:rsidRDefault="001B47B1" w:rsidP="0084559A">
      <w:pPr>
        <w:pStyle w:val="ListParagraph"/>
        <w:numPr>
          <w:ilvl w:val="1"/>
          <w:numId w:val="3"/>
        </w:numPr>
      </w:pPr>
      <w:r w:rsidRPr="0084559A">
        <w:t>Table</w:t>
      </w:r>
      <w:r w:rsidRPr="00B66CF9">
        <w:t xml:space="preserve"> </w:t>
      </w:r>
      <w:r w:rsidR="006322A3" w:rsidRPr="00B66CF9">
        <w:t>9</w:t>
      </w:r>
      <w:r w:rsidR="00FD5C06" w:rsidRPr="00B66CF9">
        <w:t xml:space="preserve"> presents the estimated utilisation and financial impact of insulin glargine with lixisenatide FRC over the first six years of listing.</w:t>
      </w:r>
      <w:r w:rsidR="004863C8">
        <w:t xml:space="preserve"> </w:t>
      </w:r>
    </w:p>
    <w:p w:rsidR="00486EE4" w:rsidRPr="00B66CF9" w:rsidRDefault="00486EE4" w:rsidP="00486EE4">
      <w:pPr>
        <w:pStyle w:val="ListParagraph"/>
        <w:numPr>
          <w:ilvl w:val="1"/>
          <w:numId w:val="3"/>
        </w:numPr>
      </w:pPr>
      <w:r w:rsidRPr="00B66CF9">
        <w:t>The resubmission estimated a net cost to the PBS in Year 6 of</w:t>
      </w:r>
      <w:r w:rsidR="00B0555E">
        <w:t xml:space="preserve"> less than</w:t>
      </w:r>
      <w:r w:rsidRPr="00B66CF9">
        <w:t xml:space="preserve"> $</w:t>
      </w:r>
      <w:r w:rsidR="00B0555E">
        <w:t>10</w:t>
      </w:r>
      <w:r w:rsidRPr="00B66CF9">
        <w:t xml:space="preserve"> million. The estimated cumulative net cost over six years was $</w:t>
      </w:r>
      <w:r w:rsidR="00B0555E">
        <w:t>30 to $60</w:t>
      </w:r>
      <w:r w:rsidRPr="00B66CF9">
        <w:t xml:space="preserve"> million. This was lower than the estimated net cost in the previous submission</w:t>
      </w:r>
      <w:r w:rsidR="00DE4DEB" w:rsidRPr="00B66CF9">
        <w:t xml:space="preserve"> (</w:t>
      </w:r>
      <w:r w:rsidR="00B0555E">
        <w:t xml:space="preserve">less than </w:t>
      </w:r>
      <w:r w:rsidR="00DE4DEB" w:rsidRPr="00B66CF9">
        <w:t>$</w:t>
      </w:r>
      <w:r w:rsidR="00B0555E">
        <w:t>10</w:t>
      </w:r>
      <w:r w:rsidR="00DE4DEB" w:rsidRPr="00B66CF9">
        <w:t xml:space="preserve"> million in year 6 of listing and cumulative net cost over first six years of listing of $</w:t>
      </w:r>
      <w:r w:rsidR="00B0555E">
        <w:t>30 to $60</w:t>
      </w:r>
      <w:r w:rsidR="00DE4DEB" w:rsidRPr="00B66CF9">
        <w:t xml:space="preserve"> million)</w:t>
      </w:r>
      <w:r w:rsidRPr="00B66CF9">
        <w:t xml:space="preserve">. The additional cost from insulin glargine with lixisenatide FRC listing was due to the requested price for insulin glargine being greater than the therapies substituted for. </w:t>
      </w:r>
    </w:p>
    <w:p w:rsidR="00486EE4" w:rsidRDefault="00486EE4" w:rsidP="00486EE4">
      <w:pPr>
        <w:pStyle w:val="ListParagraph"/>
        <w:widowControl/>
        <w:numPr>
          <w:ilvl w:val="1"/>
          <w:numId w:val="3"/>
        </w:numPr>
      </w:pPr>
      <w:r w:rsidRPr="00B66CF9">
        <w:t>In relation to the previous submission, DUSC considered that the estimated eligible patient population was probably reasonable, however DUSC also noted that there is potential for use outside of the proposed restriction, particularly in patients who are insulin naïve with inadequate glycaemic control on oral medications, or on GLP-1 agonists +/- oral medications, which may increase the cost to the Government (5.05</w:t>
      </w:r>
      <w:r w:rsidR="00387D94">
        <w:t xml:space="preserve"> insulin glargine with l</w:t>
      </w:r>
      <w:r w:rsidRPr="008B6152">
        <w:t>ixisenatide</w:t>
      </w:r>
      <w:r w:rsidR="00387D94">
        <w:t>, March 2018 PBAC Meeting PSD</w:t>
      </w:r>
      <w:r w:rsidR="00416D72">
        <w:t>, paragraph 6.67</w:t>
      </w:r>
      <w:r w:rsidRPr="008B6152">
        <w:t>).</w:t>
      </w:r>
      <w:r w:rsidR="0049397D">
        <w:t xml:space="preserve"> </w:t>
      </w:r>
      <w:r w:rsidR="00092838" w:rsidRPr="008B6152">
        <w:t>This was not addressed in the resubmission.</w:t>
      </w:r>
      <w:r w:rsidR="004863C8">
        <w:t xml:space="preserve"> </w:t>
      </w:r>
    </w:p>
    <w:p w:rsidR="007561A2" w:rsidRPr="0086641E" w:rsidRDefault="007561A2" w:rsidP="007561A2">
      <w:pPr>
        <w:pStyle w:val="ListParagraph"/>
        <w:widowControl/>
        <w:numPr>
          <w:ilvl w:val="1"/>
          <w:numId w:val="3"/>
        </w:numPr>
        <w:spacing w:after="0"/>
      </w:pPr>
      <w:r>
        <w:lastRenderedPageBreak/>
        <w:t>The Pre-PBAC response state</w:t>
      </w:r>
      <w:r w:rsidR="004B7AC1">
        <w:t>d that</w:t>
      </w:r>
      <w:r>
        <w:t xml:space="preserve"> ‘</w:t>
      </w:r>
      <w:proofErr w:type="gramStart"/>
      <w:r>
        <w:rPr>
          <w:szCs w:val="24"/>
        </w:rPr>
        <w:t>Given</w:t>
      </w:r>
      <w:proofErr w:type="gramEnd"/>
      <w:r>
        <w:rPr>
          <w:szCs w:val="24"/>
        </w:rPr>
        <w:t xml:space="preserve"> that the (insulin glargine with lixisenatide) FRC includes insulin, there is less potential for use outside the reimbursed restriction compared with exenatide because use </w:t>
      </w:r>
      <w:r w:rsidR="00A076D7">
        <w:rPr>
          <w:szCs w:val="24"/>
        </w:rPr>
        <w:t>of</w:t>
      </w:r>
      <w:r>
        <w:rPr>
          <w:szCs w:val="24"/>
        </w:rPr>
        <w:t xml:space="preserve"> GLP</w:t>
      </w:r>
      <w:r w:rsidR="00A076D7">
        <w:rPr>
          <w:szCs w:val="24"/>
        </w:rPr>
        <w:t>-</w:t>
      </w:r>
      <w:r>
        <w:rPr>
          <w:szCs w:val="24"/>
        </w:rPr>
        <w:t>1 receptor agonist monotherapy is not possible … the sponsor contends that the potential for use outside the proposed restriction is low</w:t>
      </w:r>
      <w:r w:rsidR="00333532">
        <w:rPr>
          <w:szCs w:val="24"/>
        </w:rPr>
        <w:t>.’</w:t>
      </w:r>
    </w:p>
    <w:p w:rsidR="0086641E" w:rsidRPr="00B66CF9" w:rsidRDefault="0086641E" w:rsidP="0086641E">
      <w:pPr>
        <w:pStyle w:val="ListParagraph"/>
        <w:widowControl/>
        <w:spacing w:after="0"/>
      </w:pPr>
    </w:p>
    <w:p w:rsidR="00FD5C06" w:rsidRPr="008B6152" w:rsidRDefault="00F86B96" w:rsidP="002122D8">
      <w:pPr>
        <w:keepNext/>
        <w:keepLines/>
        <w:widowControl/>
        <w:jc w:val="left"/>
        <w:rPr>
          <w:rFonts w:ascii="Arial Narrow" w:hAnsi="Arial Narrow"/>
          <w:b/>
          <w:sz w:val="20"/>
          <w:szCs w:val="20"/>
        </w:rPr>
      </w:pPr>
      <w:bookmarkStart w:id="23" w:name="_Ref533087061"/>
      <w:r w:rsidRPr="008B6152">
        <w:rPr>
          <w:rFonts w:ascii="Arial Narrow" w:hAnsi="Arial Narrow"/>
          <w:b/>
          <w:sz w:val="20"/>
          <w:szCs w:val="20"/>
        </w:rPr>
        <w:lastRenderedPageBreak/>
        <w:t>Table 9:</w:t>
      </w:r>
      <w:bookmarkEnd w:id="23"/>
      <w:r w:rsidR="0031604C" w:rsidRPr="008B6152">
        <w:rPr>
          <w:rFonts w:ascii="Arial Narrow" w:hAnsi="Arial Narrow"/>
          <w:b/>
          <w:sz w:val="20"/>
          <w:szCs w:val="20"/>
        </w:rPr>
        <w:t xml:space="preserve"> </w:t>
      </w:r>
      <w:r w:rsidR="00FD5C06" w:rsidRPr="008B6152">
        <w:rPr>
          <w:rFonts w:ascii="Arial Narrow" w:hAnsi="Arial Narrow"/>
          <w:b/>
          <w:sz w:val="20"/>
          <w:szCs w:val="20"/>
        </w:rPr>
        <w:t>Total utilisation and cost to the PBS of listing insulin glargine with lixisenatide FRC</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9: Total utilisation and cost to the PBS of listing insulin glargine with lixisenatide FRC"/>
      </w:tblPr>
      <w:tblGrid>
        <w:gridCol w:w="2268"/>
        <w:gridCol w:w="1134"/>
        <w:gridCol w:w="1134"/>
        <w:gridCol w:w="1134"/>
        <w:gridCol w:w="1134"/>
        <w:gridCol w:w="1134"/>
        <w:gridCol w:w="1134"/>
      </w:tblGrid>
      <w:tr w:rsidR="00E12DAE" w:rsidRPr="008B6152" w:rsidTr="0086641E">
        <w:trPr>
          <w:cantSplit/>
          <w:trHeight w:val="241"/>
          <w:tblHeader/>
        </w:trPr>
        <w:tc>
          <w:tcPr>
            <w:tcW w:w="2268" w:type="dxa"/>
            <w:shd w:val="clear" w:color="auto" w:fill="auto"/>
            <w:noWrap/>
            <w:vAlign w:val="center"/>
            <w:hideMark/>
          </w:tcPr>
          <w:p w:rsidR="00E12DAE" w:rsidRPr="008B6152" w:rsidRDefault="00E12DAE" w:rsidP="002122D8">
            <w:pPr>
              <w:keepNext/>
              <w:keepLines/>
              <w:rPr>
                <w:rFonts w:ascii="Arial Narrow" w:hAnsi="Arial Narrow" w:cs="Calibri"/>
                <w:color w:val="000000"/>
                <w:sz w:val="20"/>
                <w:szCs w:val="20"/>
                <w:lang w:eastAsia="en-AU"/>
              </w:rPr>
            </w:pPr>
          </w:p>
        </w:tc>
        <w:tc>
          <w:tcPr>
            <w:tcW w:w="1134" w:type="dxa"/>
            <w:shd w:val="clear" w:color="auto" w:fill="auto"/>
            <w:noWrap/>
            <w:vAlign w:val="center"/>
            <w:hideMark/>
          </w:tcPr>
          <w:p w:rsidR="00E12DAE" w:rsidRPr="008B6152" w:rsidRDefault="00E12DAE" w:rsidP="002122D8">
            <w:pPr>
              <w:keepNext/>
              <w:keepLines/>
              <w:jc w:val="center"/>
              <w:rPr>
                <w:rFonts w:ascii="Arial Narrow" w:hAnsi="Arial Narrow" w:cs="Calibri"/>
                <w:b/>
                <w:bCs/>
                <w:sz w:val="20"/>
                <w:szCs w:val="20"/>
                <w:lang w:eastAsia="en-AU"/>
              </w:rPr>
            </w:pPr>
            <w:r w:rsidRPr="008B6152">
              <w:rPr>
                <w:rFonts w:ascii="Arial Narrow" w:hAnsi="Arial Narrow" w:cs="Calibri"/>
                <w:b/>
                <w:bCs/>
                <w:sz w:val="20"/>
                <w:szCs w:val="20"/>
                <w:lang w:eastAsia="en-AU"/>
              </w:rPr>
              <w:t>Year 1</w:t>
            </w:r>
          </w:p>
          <w:p w:rsidR="00E12DAE" w:rsidRPr="008B6152" w:rsidRDefault="00E12DAE" w:rsidP="002122D8">
            <w:pPr>
              <w:keepNext/>
              <w:keepLines/>
              <w:jc w:val="center"/>
              <w:rPr>
                <w:rFonts w:ascii="Arial Narrow" w:hAnsi="Arial Narrow" w:cs="Calibri"/>
                <w:b/>
                <w:bCs/>
                <w:sz w:val="20"/>
                <w:szCs w:val="20"/>
                <w:lang w:eastAsia="en-AU"/>
              </w:rPr>
            </w:pPr>
            <w:r w:rsidRPr="008B6152">
              <w:rPr>
                <w:rFonts w:ascii="Arial Narrow" w:hAnsi="Arial Narrow" w:cs="Calibri"/>
                <w:b/>
                <w:bCs/>
                <w:sz w:val="20"/>
                <w:szCs w:val="20"/>
                <w:lang w:eastAsia="en-AU"/>
              </w:rPr>
              <w:t>(2019)</w:t>
            </w:r>
          </w:p>
        </w:tc>
        <w:tc>
          <w:tcPr>
            <w:tcW w:w="1134" w:type="dxa"/>
            <w:shd w:val="clear" w:color="auto" w:fill="auto"/>
            <w:noWrap/>
            <w:vAlign w:val="center"/>
            <w:hideMark/>
          </w:tcPr>
          <w:p w:rsidR="00E12DAE" w:rsidRPr="008B6152" w:rsidRDefault="00E12DAE" w:rsidP="002122D8">
            <w:pPr>
              <w:keepNext/>
              <w:keepLines/>
              <w:jc w:val="center"/>
              <w:rPr>
                <w:rFonts w:ascii="Arial Narrow" w:hAnsi="Arial Narrow" w:cs="Calibri"/>
                <w:b/>
                <w:bCs/>
                <w:sz w:val="20"/>
                <w:szCs w:val="20"/>
                <w:lang w:eastAsia="en-AU"/>
              </w:rPr>
            </w:pPr>
            <w:r w:rsidRPr="008B6152">
              <w:rPr>
                <w:rFonts w:ascii="Arial Narrow" w:hAnsi="Arial Narrow" w:cs="Calibri"/>
                <w:b/>
                <w:bCs/>
                <w:sz w:val="20"/>
                <w:szCs w:val="20"/>
                <w:lang w:eastAsia="en-AU"/>
              </w:rPr>
              <w:t>Year 2</w:t>
            </w:r>
          </w:p>
          <w:p w:rsidR="00E12DAE" w:rsidRPr="008B6152" w:rsidRDefault="00E12DAE" w:rsidP="002122D8">
            <w:pPr>
              <w:keepNext/>
              <w:keepLines/>
              <w:jc w:val="center"/>
              <w:rPr>
                <w:rFonts w:ascii="Arial Narrow" w:hAnsi="Arial Narrow" w:cs="Calibri"/>
                <w:b/>
                <w:bCs/>
                <w:sz w:val="20"/>
                <w:szCs w:val="20"/>
                <w:lang w:eastAsia="en-AU"/>
              </w:rPr>
            </w:pPr>
            <w:r w:rsidRPr="008B6152">
              <w:rPr>
                <w:rFonts w:ascii="Arial Narrow" w:hAnsi="Arial Narrow" w:cs="Calibri"/>
                <w:b/>
                <w:bCs/>
                <w:sz w:val="20"/>
                <w:szCs w:val="20"/>
                <w:lang w:eastAsia="en-AU"/>
              </w:rPr>
              <w:t>(2020)</w:t>
            </w:r>
          </w:p>
        </w:tc>
        <w:tc>
          <w:tcPr>
            <w:tcW w:w="1134" w:type="dxa"/>
            <w:shd w:val="clear" w:color="auto" w:fill="auto"/>
            <w:noWrap/>
            <w:vAlign w:val="center"/>
            <w:hideMark/>
          </w:tcPr>
          <w:p w:rsidR="00E12DAE" w:rsidRPr="008B6152" w:rsidRDefault="00E12DAE" w:rsidP="002122D8">
            <w:pPr>
              <w:keepNext/>
              <w:keepLines/>
              <w:jc w:val="center"/>
              <w:rPr>
                <w:rFonts w:ascii="Arial Narrow" w:hAnsi="Arial Narrow" w:cs="Calibri"/>
                <w:b/>
                <w:bCs/>
                <w:sz w:val="20"/>
                <w:szCs w:val="20"/>
                <w:lang w:eastAsia="en-AU"/>
              </w:rPr>
            </w:pPr>
            <w:r w:rsidRPr="008B6152">
              <w:rPr>
                <w:rFonts w:ascii="Arial Narrow" w:hAnsi="Arial Narrow" w:cs="Calibri"/>
                <w:b/>
                <w:bCs/>
                <w:sz w:val="20"/>
                <w:szCs w:val="20"/>
                <w:lang w:eastAsia="en-AU"/>
              </w:rPr>
              <w:t>Year 3</w:t>
            </w:r>
          </w:p>
          <w:p w:rsidR="00E12DAE" w:rsidRPr="008B6152" w:rsidRDefault="00E12DAE" w:rsidP="002122D8">
            <w:pPr>
              <w:keepNext/>
              <w:keepLines/>
              <w:jc w:val="center"/>
              <w:rPr>
                <w:rFonts w:ascii="Arial Narrow" w:hAnsi="Arial Narrow" w:cs="Calibri"/>
                <w:b/>
                <w:bCs/>
                <w:sz w:val="20"/>
                <w:szCs w:val="20"/>
                <w:lang w:eastAsia="en-AU"/>
              </w:rPr>
            </w:pPr>
            <w:r w:rsidRPr="008B6152">
              <w:rPr>
                <w:rFonts w:ascii="Arial Narrow" w:hAnsi="Arial Narrow" w:cs="Calibri"/>
                <w:b/>
                <w:bCs/>
                <w:sz w:val="20"/>
                <w:szCs w:val="20"/>
                <w:lang w:eastAsia="en-AU"/>
              </w:rPr>
              <w:t>(2021)</w:t>
            </w:r>
          </w:p>
        </w:tc>
        <w:tc>
          <w:tcPr>
            <w:tcW w:w="1134" w:type="dxa"/>
            <w:shd w:val="clear" w:color="auto" w:fill="auto"/>
            <w:noWrap/>
            <w:vAlign w:val="center"/>
            <w:hideMark/>
          </w:tcPr>
          <w:p w:rsidR="00E12DAE" w:rsidRPr="008B6152" w:rsidRDefault="00E12DAE" w:rsidP="002122D8">
            <w:pPr>
              <w:keepNext/>
              <w:keepLines/>
              <w:jc w:val="center"/>
              <w:rPr>
                <w:rFonts w:ascii="Arial Narrow" w:hAnsi="Arial Narrow" w:cs="Calibri"/>
                <w:b/>
                <w:bCs/>
                <w:sz w:val="20"/>
                <w:szCs w:val="20"/>
                <w:lang w:eastAsia="en-AU"/>
              </w:rPr>
            </w:pPr>
            <w:r w:rsidRPr="008B6152">
              <w:rPr>
                <w:rFonts w:ascii="Arial Narrow" w:hAnsi="Arial Narrow" w:cs="Calibri"/>
                <w:b/>
                <w:bCs/>
                <w:sz w:val="20"/>
                <w:szCs w:val="20"/>
                <w:lang w:eastAsia="en-AU"/>
              </w:rPr>
              <w:t>Year 4</w:t>
            </w:r>
          </w:p>
          <w:p w:rsidR="00E12DAE" w:rsidRPr="008B6152" w:rsidRDefault="00E12DAE" w:rsidP="002122D8">
            <w:pPr>
              <w:keepNext/>
              <w:keepLines/>
              <w:jc w:val="center"/>
              <w:rPr>
                <w:rFonts w:ascii="Arial Narrow" w:hAnsi="Arial Narrow" w:cs="Calibri"/>
                <w:b/>
                <w:bCs/>
                <w:sz w:val="20"/>
                <w:szCs w:val="20"/>
                <w:lang w:eastAsia="en-AU"/>
              </w:rPr>
            </w:pPr>
            <w:r w:rsidRPr="008B6152">
              <w:rPr>
                <w:rFonts w:ascii="Arial Narrow" w:hAnsi="Arial Narrow" w:cs="Calibri"/>
                <w:b/>
                <w:bCs/>
                <w:sz w:val="20"/>
                <w:szCs w:val="20"/>
                <w:lang w:eastAsia="en-AU"/>
              </w:rPr>
              <w:t>(2022)</w:t>
            </w:r>
          </w:p>
        </w:tc>
        <w:tc>
          <w:tcPr>
            <w:tcW w:w="1134" w:type="dxa"/>
            <w:shd w:val="clear" w:color="auto" w:fill="auto"/>
            <w:noWrap/>
            <w:vAlign w:val="center"/>
            <w:hideMark/>
          </w:tcPr>
          <w:p w:rsidR="00E12DAE" w:rsidRPr="008B6152" w:rsidRDefault="00E12DAE" w:rsidP="002122D8">
            <w:pPr>
              <w:keepNext/>
              <w:keepLines/>
              <w:jc w:val="center"/>
              <w:rPr>
                <w:rFonts w:ascii="Arial Narrow" w:hAnsi="Arial Narrow" w:cs="Calibri"/>
                <w:b/>
                <w:bCs/>
                <w:sz w:val="20"/>
                <w:szCs w:val="20"/>
                <w:lang w:eastAsia="en-AU"/>
              </w:rPr>
            </w:pPr>
            <w:r w:rsidRPr="008B6152">
              <w:rPr>
                <w:rFonts w:ascii="Arial Narrow" w:hAnsi="Arial Narrow" w:cs="Calibri"/>
                <w:b/>
                <w:bCs/>
                <w:sz w:val="20"/>
                <w:szCs w:val="20"/>
                <w:lang w:eastAsia="en-AU"/>
              </w:rPr>
              <w:t>Year 5</w:t>
            </w:r>
          </w:p>
          <w:p w:rsidR="00E12DAE" w:rsidRPr="008B6152" w:rsidRDefault="00E12DAE" w:rsidP="002122D8">
            <w:pPr>
              <w:keepNext/>
              <w:keepLines/>
              <w:jc w:val="center"/>
              <w:rPr>
                <w:rFonts w:ascii="Arial Narrow" w:hAnsi="Arial Narrow" w:cs="Calibri"/>
                <w:b/>
                <w:bCs/>
                <w:sz w:val="20"/>
                <w:szCs w:val="20"/>
                <w:lang w:eastAsia="en-AU"/>
              </w:rPr>
            </w:pPr>
            <w:r w:rsidRPr="008B6152">
              <w:rPr>
                <w:rFonts w:ascii="Arial Narrow" w:hAnsi="Arial Narrow" w:cs="Calibri"/>
                <w:b/>
                <w:bCs/>
                <w:sz w:val="20"/>
                <w:szCs w:val="20"/>
                <w:lang w:eastAsia="en-AU"/>
              </w:rPr>
              <w:t>(2023)</w:t>
            </w:r>
          </w:p>
        </w:tc>
        <w:tc>
          <w:tcPr>
            <w:tcW w:w="1134" w:type="dxa"/>
            <w:shd w:val="clear" w:color="auto" w:fill="auto"/>
            <w:noWrap/>
            <w:vAlign w:val="center"/>
            <w:hideMark/>
          </w:tcPr>
          <w:p w:rsidR="00E12DAE" w:rsidRPr="008B6152" w:rsidRDefault="00E12DAE" w:rsidP="002122D8">
            <w:pPr>
              <w:keepNext/>
              <w:keepLines/>
              <w:jc w:val="center"/>
              <w:rPr>
                <w:rFonts w:ascii="Arial Narrow" w:hAnsi="Arial Narrow" w:cs="Calibri"/>
                <w:b/>
                <w:bCs/>
                <w:sz w:val="20"/>
                <w:szCs w:val="20"/>
                <w:lang w:eastAsia="en-AU"/>
              </w:rPr>
            </w:pPr>
            <w:r w:rsidRPr="008B6152">
              <w:rPr>
                <w:rFonts w:ascii="Arial Narrow" w:hAnsi="Arial Narrow" w:cs="Calibri"/>
                <w:b/>
                <w:bCs/>
                <w:sz w:val="20"/>
                <w:szCs w:val="20"/>
                <w:lang w:eastAsia="en-AU"/>
              </w:rPr>
              <w:t>Year 6</w:t>
            </w:r>
          </w:p>
          <w:p w:rsidR="00E12DAE" w:rsidRPr="008B6152" w:rsidRDefault="00E12DAE" w:rsidP="002122D8">
            <w:pPr>
              <w:keepNext/>
              <w:keepLines/>
              <w:jc w:val="center"/>
              <w:rPr>
                <w:rFonts w:ascii="Arial Narrow" w:hAnsi="Arial Narrow" w:cs="Calibri"/>
                <w:b/>
                <w:bCs/>
                <w:sz w:val="20"/>
                <w:szCs w:val="20"/>
                <w:lang w:eastAsia="en-AU"/>
              </w:rPr>
            </w:pPr>
            <w:r w:rsidRPr="008B6152">
              <w:rPr>
                <w:rFonts w:ascii="Arial Narrow" w:hAnsi="Arial Narrow" w:cs="Calibri"/>
                <w:b/>
                <w:bCs/>
                <w:sz w:val="20"/>
                <w:szCs w:val="20"/>
                <w:lang w:eastAsia="en-AU"/>
              </w:rPr>
              <w:t>(2024)</w:t>
            </w:r>
          </w:p>
        </w:tc>
      </w:tr>
      <w:tr w:rsidR="00E12DAE" w:rsidRPr="008B6152" w:rsidTr="0086641E">
        <w:trPr>
          <w:cantSplit/>
          <w:trHeight w:val="64"/>
        </w:trPr>
        <w:tc>
          <w:tcPr>
            <w:tcW w:w="9072" w:type="dxa"/>
            <w:gridSpan w:val="7"/>
            <w:shd w:val="clear" w:color="auto" w:fill="auto"/>
            <w:noWrap/>
            <w:vAlign w:val="center"/>
          </w:tcPr>
          <w:p w:rsidR="00E12DAE" w:rsidRPr="008B6152" w:rsidRDefault="00E12DAE" w:rsidP="002122D8">
            <w:pPr>
              <w:keepNext/>
              <w:keepLines/>
              <w:jc w:val="left"/>
              <w:rPr>
                <w:rFonts w:ascii="Arial Narrow" w:hAnsi="Arial Narrow" w:cs="Calibri"/>
                <w:b/>
                <w:color w:val="000000"/>
                <w:sz w:val="20"/>
                <w:szCs w:val="20"/>
                <w:lang w:eastAsia="en-AU"/>
              </w:rPr>
            </w:pPr>
            <w:r w:rsidRPr="008B6152">
              <w:rPr>
                <w:rFonts w:ascii="Arial Narrow" w:hAnsi="Arial Narrow" w:cs="Calibri"/>
                <w:b/>
                <w:color w:val="000000"/>
                <w:sz w:val="20"/>
                <w:szCs w:val="20"/>
                <w:lang w:eastAsia="en-AU"/>
              </w:rPr>
              <w:t xml:space="preserve">Estimated eligible population </w:t>
            </w:r>
          </w:p>
        </w:tc>
      </w:tr>
      <w:tr w:rsidR="009A66C5" w:rsidRPr="008B6152" w:rsidTr="0086641E">
        <w:trPr>
          <w:cantSplit/>
          <w:trHeight w:val="51"/>
        </w:trPr>
        <w:tc>
          <w:tcPr>
            <w:tcW w:w="2268" w:type="dxa"/>
            <w:shd w:val="clear" w:color="auto" w:fill="auto"/>
            <w:noWrap/>
            <w:vAlign w:val="center"/>
          </w:tcPr>
          <w:p w:rsidR="00E12DAE" w:rsidRPr="008B6152" w:rsidRDefault="00E12DAE" w:rsidP="002122D8">
            <w:pPr>
              <w:keepNext/>
              <w:keepLines/>
              <w:rPr>
                <w:rFonts w:ascii="Arial Narrow" w:hAnsi="Arial Narrow" w:cs="Calibri"/>
                <w:color w:val="000000"/>
                <w:sz w:val="20"/>
                <w:szCs w:val="20"/>
                <w:lang w:eastAsia="en-AU"/>
              </w:rPr>
            </w:pPr>
            <w:r w:rsidRPr="008B6152">
              <w:rPr>
                <w:rFonts w:ascii="Arial Narrow" w:hAnsi="Arial Narrow" w:cs="Calibri"/>
                <w:color w:val="000000"/>
                <w:sz w:val="20"/>
                <w:szCs w:val="20"/>
                <w:lang w:eastAsia="en-AU"/>
              </w:rPr>
              <w:t>Total</w:t>
            </w:r>
          </w:p>
        </w:tc>
        <w:tc>
          <w:tcPr>
            <w:tcW w:w="1134" w:type="dxa"/>
            <w:shd w:val="clear" w:color="auto" w:fill="FFFFFF" w:themeFill="background1"/>
            <w:noWrap/>
          </w:tcPr>
          <w:p w:rsidR="00E12DAE" w:rsidRPr="000D054F" w:rsidRDefault="000D054F" w:rsidP="002122D8">
            <w:pPr>
              <w:keepNext/>
              <w:keepLines/>
              <w:jc w:val="center"/>
              <w:rPr>
                <w:rFonts w:ascii="Arial Narrow" w:hAnsi="Arial Narrow" w:cs="Calibri"/>
                <w:color w:val="000000"/>
                <w:sz w:val="20"/>
                <w:szCs w:val="20"/>
                <w:highlight w:val="black"/>
                <w:lang w:eastAsia="en-AU"/>
              </w:rPr>
            </w:pPr>
            <w:r>
              <w:rPr>
                <w:rFonts w:ascii="Arial Narrow" w:hAnsi="Arial Narrow" w:cs="Calibri"/>
                <w:noProof/>
                <w:color w:val="000000"/>
                <w:sz w:val="20"/>
                <w:szCs w:val="20"/>
                <w:highlight w:val="black"/>
                <w:lang w:eastAsia="en-AU"/>
              </w:rPr>
              <w:t xml:space="preserve"> ''''''''''''''''''''' </w:t>
            </w:r>
          </w:p>
        </w:tc>
        <w:tc>
          <w:tcPr>
            <w:tcW w:w="1134" w:type="dxa"/>
            <w:shd w:val="clear" w:color="auto" w:fill="FFFFFF" w:themeFill="background1"/>
            <w:noWrap/>
          </w:tcPr>
          <w:p w:rsidR="00E12DAE" w:rsidRPr="000D054F" w:rsidRDefault="000D054F" w:rsidP="002122D8">
            <w:pPr>
              <w:keepNext/>
              <w:keepLines/>
              <w:jc w:val="center"/>
              <w:rPr>
                <w:rFonts w:ascii="Arial Narrow" w:hAnsi="Arial Narrow" w:cs="Calibri"/>
                <w:color w:val="000000"/>
                <w:sz w:val="20"/>
                <w:szCs w:val="20"/>
                <w:highlight w:val="black"/>
                <w:lang w:eastAsia="en-AU"/>
              </w:rPr>
            </w:pPr>
            <w:r>
              <w:rPr>
                <w:rFonts w:ascii="Arial Narrow" w:hAnsi="Arial Narrow" w:cs="Calibri"/>
                <w:noProof/>
                <w:color w:val="000000"/>
                <w:sz w:val="20"/>
                <w:szCs w:val="20"/>
                <w:highlight w:val="black"/>
                <w:lang w:eastAsia="en-AU"/>
              </w:rPr>
              <w:t xml:space="preserve"> ''''''''''''''''''' </w:t>
            </w:r>
          </w:p>
        </w:tc>
        <w:tc>
          <w:tcPr>
            <w:tcW w:w="1134" w:type="dxa"/>
            <w:shd w:val="clear" w:color="auto" w:fill="FFFFFF" w:themeFill="background1"/>
            <w:noWrap/>
          </w:tcPr>
          <w:p w:rsidR="00E12DAE" w:rsidRPr="000D054F" w:rsidRDefault="000D054F" w:rsidP="002122D8">
            <w:pPr>
              <w:keepNext/>
              <w:keepLines/>
              <w:jc w:val="center"/>
              <w:rPr>
                <w:rFonts w:ascii="Arial Narrow" w:hAnsi="Arial Narrow" w:cs="Calibri"/>
                <w:color w:val="000000"/>
                <w:sz w:val="20"/>
                <w:szCs w:val="20"/>
                <w:highlight w:val="black"/>
                <w:lang w:eastAsia="en-AU"/>
              </w:rPr>
            </w:pPr>
            <w:r>
              <w:rPr>
                <w:rFonts w:ascii="Arial Narrow" w:hAnsi="Arial Narrow" w:cs="Calibri"/>
                <w:noProof/>
                <w:color w:val="000000"/>
                <w:sz w:val="20"/>
                <w:szCs w:val="20"/>
                <w:highlight w:val="black"/>
                <w:lang w:eastAsia="en-AU"/>
              </w:rPr>
              <w:t xml:space="preserve"> ''''''''''''''''''''' </w:t>
            </w:r>
          </w:p>
        </w:tc>
        <w:tc>
          <w:tcPr>
            <w:tcW w:w="1134" w:type="dxa"/>
            <w:shd w:val="clear" w:color="auto" w:fill="FFFFFF" w:themeFill="background1"/>
            <w:noWrap/>
          </w:tcPr>
          <w:p w:rsidR="00E12DAE" w:rsidRPr="000D054F" w:rsidRDefault="000D054F" w:rsidP="002122D8">
            <w:pPr>
              <w:keepNext/>
              <w:keepLines/>
              <w:jc w:val="center"/>
              <w:rPr>
                <w:rFonts w:ascii="Arial Narrow" w:hAnsi="Arial Narrow" w:cs="Calibri"/>
                <w:color w:val="000000"/>
                <w:sz w:val="20"/>
                <w:szCs w:val="20"/>
                <w:highlight w:val="black"/>
                <w:lang w:eastAsia="en-AU"/>
              </w:rPr>
            </w:pPr>
            <w:r>
              <w:rPr>
                <w:rFonts w:ascii="Arial Narrow" w:hAnsi="Arial Narrow" w:cs="Calibri"/>
                <w:noProof/>
                <w:color w:val="000000"/>
                <w:sz w:val="20"/>
                <w:szCs w:val="20"/>
                <w:highlight w:val="black"/>
                <w:lang w:eastAsia="en-AU"/>
              </w:rPr>
              <w:t xml:space="preserve"> ''''''''''''''''''' </w:t>
            </w:r>
          </w:p>
        </w:tc>
        <w:tc>
          <w:tcPr>
            <w:tcW w:w="1134" w:type="dxa"/>
            <w:shd w:val="clear" w:color="auto" w:fill="FFFFFF" w:themeFill="background1"/>
            <w:noWrap/>
          </w:tcPr>
          <w:p w:rsidR="00E12DAE" w:rsidRPr="000D054F" w:rsidRDefault="000D054F" w:rsidP="002122D8">
            <w:pPr>
              <w:keepNext/>
              <w:keepLines/>
              <w:jc w:val="center"/>
              <w:rPr>
                <w:rFonts w:ascii="Arial Narrow" w:hAnsi="Arial Narrow" w:cs="Calibri"/>
                <w:color w:val="000000"/>
                <w:sz w:val="20"/>
                <w:szCs w:val="20"/>
                <w:highlight w:val="black"/>
                <w:lang w:eastAsia="en-AU"/>
              </w:rPr>
            </w:pPr>
            <w:r>
              <w:rPr>
                <w:rFonts w:ascii="Arial Narrow" w:hAnsi="Arial Narrow" w:cs="Calibri"/>
                <w:noProof/>
                <w:color w:val="000000"/>
                <w:sz w:val="20"/>
                <w:szCs w:val="20"/>
                <w:highlight w:val="black"/>
                <w:lang w:eastAsia="en-AU"/>
              </w:rPr>
              <w:t xml:space="preserve"> ''''''''''''''''''' </w:t>
            </w:r>
          </w:p>
        </w:tc>
        <w:tc>
          <w:tcPr>
            <w:tcW w:w="1134" w:type="dxa"/>
            <w:shd w:val="clear" w:color="auto" w:fill="FFFFFF" w:themeFill="background1"/>
            <w:noWrap/>
          </w:tcPr>
          <w:p w:rsidR="00E12DAE" w:rsidRPr="000D054F" w:rsidRDefault="000D054F" w:rsidP="002122D8">
            <w:pPr>
              <w:keepNext/>
              <w:keepLines/>
              <w:jc w:val="center"/>
              <w:rPr>
                <w:rFonts w:ascii="Arial Narrow" w:hAnsi="Arial Narrow" w:cs="Calibri"/>
                <w:color w:val="000000"/>
                <w:sz w:val="20"/>
                <w:szCs w:val="20"/>
                <w:highlight w:val="black"/>
                <w:lang w:eastAsia="en-AU"/>
              </w:rPr>
            </w:pPr>
            <w:r>
              <w:rPr>
                <w:rFonts w:ascii="Arial Narrow" w:hAnsi="Arial Narrow" w:cs="Calibri"/>
                <w:noProof/>
                <w:color w:val="000000"/>
                <w:sz w:val="20"/>
                <w:szCs w:val="20"/>
                <w:highlight w:val="black"/>
                <w:lang w:eastAsia="en-AU"/>
              </w:rPr>
              <w:t xml:space="preserve"> ''''''''''''''''''''' </w:t>
            </w:r>
          </w:p>
        </w:tc>
      </w:tr>
      <w:tr w:rsidR="00E12DAE" w:rsidRPr="008B6152" w:rsidTr="0086641E">
        <w:trPr>
          <w:cantSplit/>
          <w:trHeight w:val="64"/>
        </w:trPr>
        <w:tc>
          <w:tcPr>
            <w:tcW w:w="90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12DAE" w:rsidRPr="002122D8" w:rsidRDefault="00E12DAE" w:rsidP="002122D8">
            <w:pPr>
              <w:keepNext/>
              <w:keepLines/>
              <w:jc w:val="left"/>
              <w:rPr>
                <w:rFonts w:ascii="Arial Narrow" w:hAnsi="Arial Narrow"/>
                <w:b/>
                <w:sz w:val="20"/>
                <w:szCs w:val="20"/>
              </w:rPr>
            </w:pPr>
            <w:r w:rsidRPr="002122D8">
              <w:rPr>
                <w:rFonts w:ascii="Arial Narrow" w:hAnsi="Arial Narrow" w:cs="Calibri"/>
                <w:b/>
                <w:color w:val="000000"/>
                <w:sz w:val="20"/>
                <w:szCs w:val="20"/>
                <w:lang w:eastAsia="en-AU"/>
              </w:rPr>
              <w:t>Estimated displaced scripts</w:t>
            </w:r>
          </w:p>
        </w:tc>
      </w:tr>
      <w:tr w:rsidR="00E12DAE" w:rsidRPr="008B6152" w:rsidTr="0086641E">
        <w:trPr>
          <w:cantSplit/>
          <w:trHeight w:val="64"/>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DAE" w:rsidRPr="008B6152" w:rsidRDefault="00E12DAE" w:rsidP="002122D8">
            <w:pPr>
              <w:keepNext/>
              <w:keepLines/>
              <w:rPr>
                <w:rFonts w:ascii="Arial Narrow" w:hAnsi="Arial Narrow" w:cs="Calibri"/>
                <w:color w:val="000000"/>
                <w:sz w:val="20"/>
                <w:szCs w:val="20"/>
                <w:lang w:eastAsia="en-AU"/>
              </w:rPr>
            </w:pPr>
            <w:r w:rsidRPr="008B6152">
              <w:rPr>
                <w:rFonts w:ascii="Arial Narrow" w:hAnsi="Arial Narrow" w:cs="Calibri"/>
                <w:color w:val="000000"/>
                <w:sz w:val="20"/>
                <w:szCs w:val="20"/>
                <w:lang w:eastAsia="en-AU"/>
              </w:rPr>
              <w:t>Basal insulin + exenatide</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r>
      <w:tr w:rsidR="00E12DAE" w:rsidRPr="008B6152" w:rsidTr="0086641E">
        <w:trPr>
          <w:cantSplit/>
          <w:trHeight w:val="64"/>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DAE" w:rsidRPr="008B6152" w:rsidRDefault="00E12DAE" w:rsidP="002122D8">
            <w:pPr>
              <w:keepNext/>
              <w:keepLines/>
              <w:rPr>
                <w:rFonts w:ascii="Arial Narrow" w:hAnsi="Arial Narrow" w:cs="Calibri"/>
                <w:color w:val="000000"/>
                <w:sz w:val="20"/>
                <w:szCs w:val="20"/>
                <w:lang w:eastAsia="en-AU"/>
              </w:rPr>
            </w:pPr>
            <w:r w:rsidRPr="008B6152">
              <w:rPr>
                <w:rFonts w:ascii="Arial Narrow" w:hAnsi="Arial Narrow" w:cs="Calibri"/>
                <w:color w:val="000000"/>
                <w:sz w:val="20"/>
                <w:szCs w:val="20"/>
                <w:lang w:eastAsia="en-AU"/>
              </w:rPr>
              <w:t>Basal insulin + DPP4</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r>
      <w:tr w:rsidR="00E12DAE" w:rsidRPr="008B6152" w:rsidTr="0086641E">
        <w:trPr>
          <w:cantSplit/>
          <w:trHeight w:val="64"/>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DAE" w:rsidRPr="008B6152" w:rsidRDefault="00E12DAE" w:rsidP="002122D8">
            <w:pPr>
              <w:keepNext/>
              <w:keepLines/>
              <w:rPr>
                <w:rFonts w:ascii="Arial Narrow" w:hAnsi="Arial Narrow" w:cs="Calibri"/>
                <w:color w:val="000000"/>
                <w:sz w:val="20"/>
                <w:szCs w:val="20"/>
                <w:lang w:eastAsia="en-AU"/>
              </w:rPr>
            </w:pPr>
            <w:r w:rsidRPr="008B6152">
              <w:rPr>
                <w:rFonts w:ascii="Arial Narrow" w:hAnsi="Arial Narrow" w:cs="Calibri"/>
                <w:color w:val="000000"/>
                <w:sz w:val="20"/>
                <w:szCs w:val="20"/>
                <w:lang w:eastAsia="en-AU"/>
              </w:rPr>
              <w:t>Basal insulin + SGLT2</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r>
      <w:tr w:rsidR="00E12DAE" w:rsidRPr="008B6152" w:rsidTr="0086641E">
        <w:trPr>
          <w:cantSplit/>
          <w:trHeight w:val="64"/>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DAE" w:rsidRPr="008B6152" w:rsidRDefault="00E12DAE" w:rsidP="002122D8">
            <w:pPr>
              <w:keepNext/>
              <w:keepLines/>
              <w:rPr>
                <w:rFonts w:ascii="Arial Narrow" w:hAnsi="Arial Narrow" w:cs="Calibri"/>
                <w:color w:val="000000"/>
                <w:sz w:val="20"/>
                <w:szCs w:val="20"/>
                <w:lang w:eastAsia="en-AU"/>
              </w:rPr>
            </w:pPr>
            <w:r w:rsidRPr="008B6152">
              <w:rPr>
                <w:rFonts w:ascii="Arial Narrow" w:hAnsi="Arial Narrow" w:cs="Calibri"/>
                <w:color w:val="000000"/>
                <w:sz w:val="20"/>
                <w:szCs w:val="20"/>
                <w:lang w:eastAsia="en-AU"/>
              </w:rPr>
              <w:t>Basal + rapid insulin</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rPr>
              <w:t>''''''''''''''</w:t>
            </w:r>
          </w:p>
        </w:tc>
      </w:tr>
      <w:tr w:rsidR="00E12DAE" w:rsidRPr="008B6152" w:rsidTr="0086641E">
        <w:trPr>
          <w:cantSplit/>
          <w:trHeight w:val="64"/>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DAE" w:rsidRPr="008B6152" w:rsidRDefault="00E12DAE" w:rsidP="002122D8">
            <w:pPr>
              <w:keepNext/>
              <w:keepLines/>
              <w:rPr>
                <w:rFonts w:ascii="Arial Narrow" w:hAnsi="Arial Narrow" w:cs="Calibri"/>
                <w:color w:val="000000"/>
                <w:sz w:val="20"/>
                <w:szCs w:val="20"/>
                <w:lang w:eastAsia="en-AU"/>
              </w:rPr>
            </w:pPr>
            <w:r w:rsidRPr="008B6152">
              <w:rPr>
                <w:rFonts w:ascii="Arial Narrow" w:hAnsi="Arial Narrow" w:cs="Calibri"/>
                <w:color w:val="000000"/>
                <w:sz w:val="20"/>
                <w:szCs w:val="20"/>
                <w:lang w:eastAsia="en-AU"/>
              </w:rPr>
              <w:t>Premixed insulin</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cstheme="minorHAnsi"/>
                <w:noProof/>
                <w:color w:val="000000"/>
                <w:sz w:val="20"/>
                <w:szCs w:val="20"/>
                <w:highlight w:val="black"/>
                <w:lang w:val="en-US"/>
              </w:rPr>
              <w:t>'''</w:t>
            </w:r>
          </w:p>
        </w:tc>
      </w:tr>
      <w:tr w:rsidR="00E12DAE" w:rsidRPr="008B6152" w:rsidTr="0086641E">
        <w:trPr>
          <w:cantSplit/>
          <w:trHeight w:val="64"/>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DAE" w:rsidRPr="008B6152" w:rsidRDefault="00E12DAE" w:rsidP="002122D8">
            <w:pPr>
              <w:keepNext/>
              <w:keepLines/>
              <w:rPr>
                <w:rFonts w:ascii="Arial Narrow" w:hAnsi="Arial Narrow" w:cs="Calibri"/>
                <w:color w:val="000000"/>
                <w:sz w:val="20"/>
                <w:szCs w:val="20"/>
                <w:lang w:eastAsia="en-AU"/>
              </w:rPr>
            </w:pPr>
            <w:r w:rsidRPr="008B6152">
              <w:rPr>
                <w:rFonts w:ascii="Arial Narrow" w:hAnsi="Arial Narrow" w:cs="Calibri"/>
                <w:color w:val="000000"/>
                <w:sz w:val="20"/>
                <w:szCs w:val="20"/>
                <w:lang w:eastAsia="en-AU"/>
              </w:rPr>
              <w:t>Basal insulin + SU</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cstheme="minorHAnsi"/>
                <w:sz w:val="20"/>
                <w:szCs w:val="20"/>
                <w:highlight w:val="black"/>
                <w:lang w:val="en-US"/>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cstheme="minorHAnsi"/>
                <w:sz w:val="20"/>
                <w:szCs w:val="20"/>
                <w:highlight w:val="black"/>
                <w:lang w:val="en-US"/>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cstheme="minorHAnsi"/>
                <w:sz w:val="20"/>
                <w:szCs w:val="20"/>
                <w:highlight w:val="black"/>
                <w:lang w:val="en-US"/>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cstheme="minorHAnsi"/>
                <w:sz w:val="20"/>
                <w:szCs w:val="20"/>
                <w:highlight w:val="black"/>
                <w:lang w:val="en-US"/>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cstheme="minorHAnsi"/>
                <w:sz w:val="20"/>
                <w:szCs w:val="20"/>
                <w:highlight w:val="black"/>
                <w:lang w:val="en-US"/>
              </w:rPr>
            </w:pPr>
            <w:r>
              <w:rPr>
                <w:rFonts w:ascii="Arial Narrow" w:hAnsi="Arial Narrow" w:cstheme="minorHAnsi"/>
                <w:noProof/>
                <w:color w:val="000000"/>
                <w:sz w:val="20"/>
                <w:szCs w:val="20"/>
                <w:highlight w:val="black"/>
                <w:lang w:val="en-US"/>
              </w:rPr>
              <w:t>'''</w:t>
            </w:r>
          </w:p>
        </w:tc>
        <w:tc>
          <w:tcPr>
            <w:tcW w:w="1134" w:type="dxa"/>
            <w:tcBorders>
              <w:top w:val="nil"/>
              <w:left w:val="nil"/>
              <w:bottom w:val="single" w:sz="8" w:space="0" w:color="auto"/>
              <w:right w:val="single" w:sz="8" w:space="0" w:color="auto"/>
            </w:tcBorders>
            <w:shd w:val="clear" w:color="auto" w:fill="auto"/>
            <w:noWrap/>
            <w:vAlign w:val="center"/>
          </w:tcPr>
          <w:p w:rsidR="00E12DAE" w:rsidRPr="000D054F" w:rsidRDefault="000D054F" w:rsidP="002122D8">
            <w:pPr>
              <w:keepNext/>
              <w:keepLines/>
              <w:jc w:val="center"/>
              <w:rPr>
                <w:rFonts w:ascii="Arial Narrow" w:hAnsi="Arial Narrow" w:cstheme="minorHAnsi"/>
                <w:sz w:val="20"/>
                <w:szCs w:val="20"/>
                <w:highlight w:val="black"/>
                <w:lang w:val="en-US"/>
              </w:rPr>
            </w:pPr>
            <w:r>
              <w:rPr>
                <w:rFonts w:ascii="Arial Narrow" w:hAnsi="Arial Narrow" w:cstheme="minorHAnsi"/>
                <w:noProof/>
                <w:color w:val="000000"/>
                <w:sz w:val="20"/>
                <w:szCs w:val="20"/>
                <w:highlight w:val="black"/>
                <w:lang w:val="en-US"/>
              </w:rPr>
              <w:t>''''</w:t>
            </w:r>
          </w:p>
        </w:tc>
      </w:tr>
      <w:tr w:rsidR="009A66C5" w:rsidRPr="008B6152" w:rsidTr="0086641E">
        <w:trPr>
          <w:cantSplit/>
          <w:trHeight w:val="64"/>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DAE" w:rsidRPr="008B6152" w:rsidRDefault="00E12DAE" w:rsidP="002122D8">
            <w:pPr>
              <w:keepNext/>
              <w:keepLines/>
              <w:rPr>
                <w:rFonts w:ascii="Arial Narrow" w:hAnsi="Arial Narrow" w:cs="Calibri"/>
                <w:color w:val="000000"/>
                <w:sz w:val="20"/>
                <w:szCs w:val="20"/>
                <w:lang w:eastAsia="en-AU"/>
              </w:rPr>
            </w:pPr>
            <w:r w:rsidRPr="008B6152">
              <w:rPr>
                <w:rFonts w:ascii="Arial Narrow" w:hAnsi="Arial Narrow" w:cs="Calibri"/>
                <w:color w:val="000000"/>
                <w:sz w:val="20"/>
                <w:szCs w:val="20"/>
                <w:lang w:eastAsia="en-AU"/>
              </w:rPr>
              <w:t>Total FRC patients</w:t>
            </w:r>
          </w:p>
        </w:tc>
        <w:tc>
          <w:tcPr>
            <w:tcW w:w="1134" w:type="dxa"/>
            <w:shd w:val="clear" w:color="auto" w:fill="FFFFFF" w:themeFill="background1"/>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shd w:val="clear" w:color="auto" w:fill="FFFFFF" w:themeFill="background1"/>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shd w:val="clear" w:color="auto" w:fill="FFFFFF" w:themeFill="background1"/>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shd w:val="clear" w:color="auto" w:fill="FFFFFF" w:themeFill="background1"/>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shd w:val="clear" w:color="auto" w:fill="FFFFFF" w:themeFill="background1"/>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shd w:val="clear" w:color="auto" w:fill="FFFFFF" w:themeFill="background1"/>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E12DAE" w:rsidRPr="008B6152" w:rsidTr="0086641E">
        <w:trPr>
          <w:cantSplit/>
          <w:trHeight w:val="64"/>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DAE" w:rsidRPr="008B6152" w:rsidRDefault="00E12DAE" w:rsidP="002122D8">
            <w:pPr>
              <w:keepNext/>
              <w:keepLines/>
              <w:rPr>
                <w:rFonts w:ascii="Arial Narrow" w:hAnsi="Arial Narrow" w:cs="Calibri"/>
                <w:color w:val="000000"/>
                <w:sz w:val="20"/>
                <w:szCs w:val="20"/>
                <w:lang w:eastAsia="en-AU"/>
              </w:rPr>
            </w:pPr>
            <w:r w:rsidRPr="008B6152">
              <w:rPr>
                <w:rFonts w:ascii="Arial Narrow" w:hAnsi="Arial Narrow" w:cs="Calibri"/>
                <w:color w:val="000000"/>
                <w:sz w:val="20"/>
                <w:szCs w:val="20"/>
                <w:lang w:eastAsia="en-AU"/>
              </w:rPr>
              <w:t xml:space="preserve">Previous submission: total FRC patients 2018-2023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 xml:space="preserve"> ''''''''''''''' </w:t>
            </w:r>
          </w:p>
        </w:tc>
      </w:tr>
      <w:tr w:rsidR="00E12DAE" w:rsidRPr="008B6152" w:rsidTr="0086641E">
        <w:trPr>
          <w:cantSplit/>
          <w:trHeight w:val="51"/>
        </w:trPr>
        <w:tc>
          <w:tcPr>
            <w:tcW w:w="90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12DAE" w:rsidRPr="008B6152" w:rsidRDefault="00E12DAE" w:rsidP="002122D8">
            <w:pPr>
              <w:keepNext/>
              <w:keepLines/>
              <w:jc w:val="left"/>
              <w:rPr>
                <w:rFonts w:ascii="Arial Narrow" w:hAnsi="Arial Narrow"/>
                <w:b/>
                <w:sz w:val="20"/>
                <w:szCs w:val="20"/>
              </w:rPr>
            </w:pPr>
            <w:r w:rsidRPr="008B6152">
              <w:rPr>
                <w:rFonts w:ascii="Arial Narrow" w:hAnsi="Arial Narrow"/>
                <w:b/>
                <w:sz w:val="20"/>
                <w:szCs w:val="20"/>
              </w:rPr>
              <w:t xml:space="preserve">Total cost of listing insulin glargine with lixisenatide FRC </w:t>
            </w:r>
            <w:r w:rsidRPr="008B6152">
              <w:rPr>
                <w:rFonts w:ascii="Arial Narrow" w:hAnsi="Arial Narrow" w:cs="Calibri"/>
                <w:b/>
                <w:color w:val="000000"/>
                <w:sz w:val="20"/>
                <w:szCs w:val="20"/>
                <w:lang w:eastAsia="en-AU"/>
              </w:rPr>
              <w:t>(2 units/1 mcg: 22.8%; 3 units/1 mcg: 77.2%)</w:t>
            </w:r>
          </w:p>
        </w:tc>
      </w:tr>
      <w:tr w:rsidR="009A66C5" w:rsidRPr="008B6152" w:rsidTr="0086641E">
        <w:trPr>
          <w:cantSplit/>
          <w:trHeight w:val="5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DAE" w:rsidRPr="008B6152" w:rsidRDefault="00E12DAE" w:rsidP="002122D8">
            <w:pPr>
              <w:keepNext/>
              <w:keepLines/>
              <w:jc w:val="left"/>
              <w:rPr>
                <w:rFonts w:ascii="Arial Narrow" w:hAnsi="Arial Narrow"/>
                <w:sz w:val="20"/>
                <w:szCs w:val="20"/>
                <w:vertAlign w:val="superscript"/>
              </w:rPr>
            </w:pPr>
            <w:r w:rsidRPr="008B6152">
              <w:rPr>
                <w:rFonts w:ascii="Arial Narrow" w:hAnsi="Arial Narrow" w:cs="Calibri"/>
                <w:color w:val="000000"/>
                <w:sz w:val="20"/>
                <w:szCs w:val="20"/>
                <w:lang w:eastAsia="en-AU"/>
              </w:rPr>
              <w:t>Total FRC scripts</w:t>
            </w:r>
            <w:r w:rsidRPr="008B6152">
              <w:rPr>
                <w:rFonts w:ascii="Arial Narrow" w:hAnsi="Arial Narrow" w:cs="Calibri"/>
                <w:color w:val="000000"/>
                <w:sz w:val="20"/>
                <w:szCs w:val="20"/>
                <w:vertAlign w:val="superscript"/>
                <w:lang w:eastAsia="en-AU"/>
              </w:rPr>
              <w:t>1</w:t>
            </w:r>
          </w:p>
        </w:tc>
        <w:tc>
          <w:tcPr>
            <w:tcW w:w="1134" w:type="dxa"/>
            <w:shd w:val="clear" w:color="auto" w:fill="FFFFFF" w:themeFill="background1"/>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shd w:val="clear" w:color="auto" w:fill="FFFFFF" w:themeFill="background1"/>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shd w:val="clear" w:color="auto" w:fill="FFFFFF" w:themeFill="background1"/>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shd w:val="clear" w:color="auto" w:fill="FFFFFF" w:themeFill="background1"/>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shd w:val="clear" w:color="auto" w:fill="FFFFFF" w:themeFill="background1"/>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shd w:val="clear" w:color="auto" w:fill="FFFFFF" w:themeFill="background1"/>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9A66C5" w:rsidRPr="008B6152" w:rsidTr="0086641E">
        <w:trPr>
          <w:cantSplit/>
          <w:trHeight w:val="5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DAE" w:rsidRPr="008B6152" w:rsidRDefault="00E12DAE" w:rsidP="002122D8">
            <w:pPr>
              <w:keepNext/>
              <w:keepLines/>
              <w:jc w:val="left"/>
              <w:rPr>
                <w:rFonts w:ascii="Arial Narrow" w:hAnsi="Arial Narrow"/>
                <w:sz w:val="20"/>
                <w:szCs w:val="20"/>
                <w:vertAlign w:val="superscript"/>
              </w:rPr>
            </w:pPr>
            <w:r w:rsidRPr="008B6152">
              <w:rPr>
                <w:rFonts w:ascii="Arial Narrow" w:hAnsi="Arial Narrow" w:cs="Calibri"/>
                <w:color w:val="000000"/>
                <w:sz w:val="20"/>
                <w:szCs w:val="20"/>
                <w:lang w:eastAsia="en-AU"/>
              </w:rPr>
              <w:t>Additional metformin scripts</w:t>
            </w:r>
            <w:r w:rsidRPr="008B6152">
              <w:rPr>
                <w:rFonts w:ascii="Arial Narrow" w:hAnsi="Arial Narrow" w:cs="Calibri"/>
                <w:color w:val="000000"/>
                <w:sz w:val="20"/>
                <w:szCs w:val="20"/>
                <w:vertAlign w:val="superscript"/>
                <w:lang w:eastAsia="en-AU"/>
              </w:rPr>
              <w:t>2</w:t>
            </w:r>
          </w:p>
        </w:tc>
        <w:tc>
          <w:tcPr>
            <w:tcW w:w="1134" w:type="dxa"/>
            <w:shd w:val="clear" w:color="auto" w:fill="FFFFFF" w:themeFill="background1"/>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eastAsiaTheme="minorHAnsi" w:hAnsi="Arial Narrow" w:cstheme="minorBidi"/>
                <w:noProof/>
                <w:color w:val="000000"/>
                <w:sz w:val="20"/>
                <w:szCs w:val="20"/>
                <w:highlight w:val="black"/>
              </w:rPr>
              <w:t>''''''''''''''</w:t>
            </w:r>
          </w:p>
        </w:tc>
        <w:tc>
          <w:tcPr>
            <w:tcW w:w="1134" w:type="dxa"/>
            <w:shd w:val="clear" w:color="auto" w:fill="FFFFFF" w:themeFill="background1"/>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eastAsiaTheme="minorHAnsi" w:hAnsi="Arial Narrow" w:cstheme="minorBidi"/>
                <w:noProof/>
                <w:color w:val="000000"/>
                <w:sz w:val="20"/>
                <w:szCs w:val="20"/>
                <w:highlight w:val="black"/>
              </w:rPr>
              <w:t>'''''''''''''</w:t>
            </w:r>
          </w:p>
        </w:tc>
        <w:tc>
          <w:tcPr>
            <w:tcW w:w="1134" w:type="dxa"/>
            <w:shd w:val="clear" w:color="auto" w:fill="FFFFFF" w:themeFill="background1"/>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eastAsiaTheme="minorHAnsi" w:hAnsi="Arial Narrow" w:cstheme="minorBidi"/>
                <w:noProof/>
                <w:color w:val="000000"/>
                <w:sz w:val="20"/>
                <w:szCs w:val="20"/>
                <w:highlight w:val="black"/>
              </w:rPr>
              <w:t>'''''''''''''''''</w:t>
            </w:r>
          </w:p>
        </w:tc>
        <w:tc>
          <w:tcPr>
            <w:tcW w:w="1134" w:type="dxa"/>
            <w:shd w:val="clear" w:color="auto" w:fill="FFFFFF" w:themeFill="background1"/>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eastAsiaTheme="minorHAnsi" w:hAnsi="Arial Narrow" w:cstheme="minorBidi"/>
                <w:noProof/>
                <w:color w:val="000000"/>
                <w:sz w:val="20"/>
                <w:szCs w:val="20"/>
                <w:highlight w:val="black"/>
              </w:rPr>
              <w:t>''''''''''''''''</w:t>
            </w:r>
          </w:p>
        </w:tc>
        <w:tc>
          <w:tcPr>
            <w:tcW w:w="1134" w:type="dxa"/>
            <w:shd w:val="clear" w:color="auto" w:fill="FFFFFF" w:themeFill="background1"/>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eastAsiaTheme="minorHAnsi" w:hAnsi="Arial Narrow" w:cstheme="minorBidi"/>
                <w:noProof/>
                <w:color w:val="000000"/>
                <w:sz w:val="20"/>
                <w:szCs w:val="20"/>
                <w:highlight w:val="black"/>
              </w:rPr>
              <w:t>''''''''''''''''</w:t>
            </w:r>
          </w:p>
        </w:tc>
        <w:tc>
          <w:tcPr>
            <w:tcW w:w="1134" w:type="dxa"/>
            <w:shd w:val="clear" w:color="auto" w:fill="FFFFFF" w:themeFill="background1"/>
            <w:noWrap/>
            <w:vAlign w:val="center"/>
          </w:tcPr>
          <w:p w:rsidR="00E12DAE" w:rsidRPr="000D054F" w:rsidRDefault="000D054F" w:rsidP="002122D8">
            <w:pPr>
              <w:keepNext/>
              <w:keepLines/>
              <w:jc w:val="center"/>
              <w:rPr>
                <w:rFonts w:ascii="Arial Narrow" w:hAnsi="Arial Narrow"/>
                <w:sz w:val="20"/>
                <w:szCs w:val="20"/>
                <w:highlight w:val="black"/>
              </w:rPr>
            </w:pPr>
            <w:r>
              <w:rPr>
                <w:rFonts w:ascii="Arial Narrow" w:eastAsiaTheme="minorHAnsi" w:hAnsi="Arial Narrow" w:cstheme="minorBidi"/>
                <w:noProof/>
                <w:color w:val="000000"/>
                <w:sz w:val="20"/>
                <w:szCs w:val="20"/>
                <w:highlight w:val="black"/>
              </w:rPr>
              <w:t>'''''''''''''''''</w:t>
            </w:r>
          </w:p>
        </w:tc>
      </w:tr>
      <w:tr w:rsidR="009A66C5" w:rsidRPr="008B6152" w:rsidTr="0086641E">
        <w:trPr>
          <w:cantSplit/>
          <w:trHeight w:val="5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12DAE" w:rsidRPr="008B6152" w:rsidRDefault="00E12DAE" w:rsidP="002122D8">
            <w:pPr>
              <w:keepNext/>
              <w:keepLines/>
              <w:jc w:val="left"/>
              <w:rPr>
                <w:rFonts w:ascii="Arial Narrow" w:hAnsi="Arial Narrow" w:cs="Calibri"/>
                <w:color w:val="000000"/>
                <w:sz w:val="20"/>
                <w:szCs w:val="20"/>
                <w:vertAlign w:val="superscript"/>
                <w:lang w:eastAsia="en-AU"/>
              </w:rPr>
            </w:pPr>
            <w:r w:rsidRPr="008B6152">
              <w:rPr>
                <w:rFonts w:ascii="Arial Narrow" w:hAnsi="Arial Narrow"/>
                <w:sz w:val="20"/>
                <w:szCs w:val="20"/>
              </w:rPr>
              <w:t>Cost to PBS</w:t>
            </w:r>
            <w:r w:rsidRPr="008B6152">
              <w:rPr>
                <w:rFonts w:ascii="Arial Narrow" w:hAnsi="Arial Narrow"/>
                <w:sz w:val="20"/>
                <w:szCs w:val="20"/>
                <w:vertAlign w:val="superscript"/>
              </w:rPr>
              <w:t>3</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r>
      <w:tr w:rsidR="009A66C5" w:rsidRPr="008B6152" w:rsidTr="0086641E">
        <w:trPr>
          <w:cantSplit/>
          <w:trHeight w:val="5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12DAE" w:rsidRPr="008B6152" w:rsidRDefault="00E12DAE" w:rsidP="002122D8">
            <w:pPr>
              <w:keepNext/>
              <w:keepLines/>
              <w:jc w:val="left"/>
              <w:rPr>
                <w:rFonts w:ascii="Arial Narrow" w:hAnsi="Arial Narrow" w:cs="Calibri"/>
                <w:color w:val="000000"/>
                <w:sz w:val="20"/>
                <w:szCs w:val="20"/>
                <w:lang w:eastAsia="en-AU"/>
              </w:rPr>
            </w:pPr>
            <w:r w:rsidRPr="008B6152">
              <w:rPr>
                <w:rFonts w:ascii="Arial Narrow" w:hAnsi="Arial Narrow"/>
                <w:sz w:val="20"/>
                <w:szCs w:val="20"/>
              </w:rPr>
              <w:t>Co-payments</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pStyle w:val="TableText0"/>
              <w:keepNext/>
              <w:keepLines/>
              <w:widowControl w:val="0"/>
              <w:spacing w:before="0" w:after="0"/>
              <w:jc w:val="center"/>
              <w:rPr>
                <w:rFonts w:ascii="Arial Narrow" w:hAnsi="Arial Narrow"/>
                <w:sz w:val="20"/>
                <w:szCs w:val="20"/>
                <w:highlight w:val="yellow"/>
              </w:rPr>
            </w:pPr>
            <w:r w:rsidRPr="008B6152">
              <w:rPr>
                <w:rFonts w:ascii="Arial Narrow" w:hAnsi="Arial Narrow"/>
                <w:sz w:val="20"/>
                <w:szCs w:val="20"/>
              </w:rPr>
              <w:t>$</w:t>
            </w:r>
            <w:r w:rsidR="000D054F">
              <w:rPr>
                <w:rFonts w:ascii="Arial Narrow" w:hAnsi="Arial Narrow"/>
                <w:noProof/>
                <w:color w:val="000000"/>
                <w:sz w:val="20"/>
                <w:szCs w:val="20"/>
                <w:highlight w:val="black"/>
              </w:rPr>
              <w:t>''''''''''''''''''</w:t>
            </w:r>
            <w:r w:rsidRPr="008B6152">
              <w:rPr>
                <w:rFonts w:ascii="Arial Narrow" w:hAnsi="Arial Narrow"/>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pStyle w:val="TableText0"/>
              <w:keepNext/>
              <w:keepLines/>
              <w:widowControl w:val="0"/>
              <w:spacing w:before="0" w:after="0"/>
              <w:jc w:val="center"/>
              <w:rPr>
                <w:rFonts w:ascii="Arial Narrow" w:hAnsi="Arial Narrow"/>
                <w:sz w:val="20"/>
                <w:szCs w:val="20"/>
                <w:highlight w:val="yellow"/>
              </w:rPr>
            </w:pPr>
            <w:r w:rsidRPr="008B6152">
              <w:rPr>
                <w:rFonts w:ascii="Arial Narrow" w:hAnsi="Arial Narrow"/>
                <w:sz w:val="20"/>
                <w:szCs w:val="20"/>
              </w:rPr>
              <w:t>$</w:t>
            </w:r>
            <w:r w:rsidR="000D054F">
              <w:rPr>
                <w:rFonts w:ascii="Arial Narrow" w:hAnsi="Arial Narrow"/>
                <w:noProof/>
                <w:color w:val="000000"/>
                <w:sz w:val="20"/>
                <w:szCs w:val="20"/>
                <w:highlight w:val="black"/>
              </w:rPr>
              <w:t>'''''''''''''''''''''''</w:t>
            </w:r>
            <w:r w:rsidRPr="008B6152">
              <w:rPr>
                <w:rFonts w:ascii="Arial Narrow" w:hAnsi="Arial Narrow"/>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pStyle w:val="TableText0"/>
              <w:keepNext/>
              <w:keepLines/>
              <w:widowControl w:val="0"/>
              <w:spacing w:before="0" w:after="0"/>
              <w:jc w:val="center"/>
              <w:rPr>
                <w:rFonts w:ascii="Arial Narrow" w:hAnsi="Arial Narrow"/>
                <w:sz w:val="20"/>
                <w:szCs w:val="20"/>
                <w:highlight w:val="yellow"/>
              </w:rPr>
            </w:pPr>
            <w:r w:rsidRPr="008B6152">
              <w:rPr>
                <w:rFonts w:ascii="Arial Narrow" w:hAnsi="Arial Narrow"/>
                <w:sz w:val="20"/>
                <w:szCs w:val="20"/>
              </w:rPr>
              <w:t>$</w:t>
            </w:r>
            <w:r w:rsidR="000D054F">
              <w:rPr>
                <w:rFonts w:ascii="Arial Narrow" w:hAnsi="Arial Narrow"/>
                <w:noProof/>
                <w:color w:val="000000"/>
                <w:sz w:val="20"/>
                <w:szCs w:val="20"/>
                <w:highlight w:val="black"/>
              </w:rPr>
              <w:t>''''''''''''''''''''''''''</w:t>
            </w:r>
            <w:r w:rsidRPr="008B6152">
              <w:rPr>
                <w:rFonts w:ascii="Arial Narrow" w:hAnsi="Arial Narrow"/>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pStyle w:val="TableText0"/>
              <w:keepNext/>
              <w:keepLines/>
              <w:widowControl w:val="0"/>
              <w:spacing w:before="0" w:after="0"/>
              <w:jc w:val="center"/>
              <w:rPr>
                <w:rFonts w:ascii="Arial Narrow" w:hAnsi="Arial Narrow"/>
                <w:sz w:val="20"/>
                <w:szCs w:val="20"/>
                <w:highlight w:val="yellow"/>
              </w:rPr>
            </w:pPr>
            <w:r w:rsidRPr="008B6152">
              <w:rPr>
                <w:rFonts w:ascii="Arial Narrow" w:hAnsi="Arial Narrow"/>
                <w:sz w:val="20"/>
                <w:szCs w:val="20"/>
              </w:rPr>
              <w:t>$</w:t>
            </w:r>
            <w:r w:rsidR="000D054F">
              <w:rPr>
                <w:rFonts w:ascii="Arial Narrow" w:hAnsi="Arial Narrow"/>
                <w:noProof/>
                <w:color w:val="000000"/>
                <w:sz w:val="20"/>
                <w:szCs w:val="20"/>
                <w:highlight w:val="black"/>
              </w:rPr>
              <w:t>'''''''''''''''''''''''</w:t>
            </w:r>
            <w:r w:rsidRPr="008B6152">
              <w:rPr>
                <w:rFonts w:ascii="Arial Narrow" w:hAnsi="Arial Narrow"/>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pStyle w:val="TableText0"/>
              <w:keepNext/>
              <w:keepLines/>
              <w:widowControl w:val="0"/>
              <w:spacing w:before="0" w:after="0"/>
              <w:jc w:val="center"/>
              <w:rPr>
                <w:rFonts w:ascii="Arial Narrow" w:hAnsi="Arial Narrow"/>
                <w:sz w:val="20"/>
                <w:szCs w:val="20"/>
                <w:highlight w:val="yellow"/>
              </w:rPr>
            </w:pPr>
            <w:r w:rsidRPr="008B6152">
              <w:rPr>
                <w:rFonts w:ascii="Arial Narrow" w:hAnsi="Arial Narrow"/>
                <w:sz w:val="20"/>
                <w:szCs w:val="20"/>
              </w:rPr>
              <w:t>$</w:t>
            </w:r>
            <w:r w:rsidR="000D054F">
              <w:rPr>
                <w:rFonts w:ascii="Arial Narrow" w:hAnsi="Arial Narrow"/>
                <w:noProof/>
                <w:color w:val="000000"/>
                <w:sz w:val="20"/>
                <w:szCs w:val="20"/>
                <w:highlight w:val="black"/>
              </w:rPr>
              <w:t>'''''''''''''''''''''''''</w:t>
            </w:r>
            <w:r w:rsidRPr="008B6152">
              <w:rPr>
                <w:rFonts w:ascii="Arial Narrow" w:hAnsi="Arial Narrow"/>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pStyle w:val="TableText0"/>
              <w:keepNext/>
              <w:keepLines/>
              <w:widowControl w:val="0"/>
              <w:spacing w:before="0" w:after="0"/>
              <w:jc w:val="center"/>
              <w:rPr>
                <w:rFonts w:ascii="Arial Narrow" w:hAnsi="Arial Narrow"/>
                <w:sz w:val="20"/>
                <w:szCs w:val="20"/>
                <w:highlight w:val="yellow"/>
              </w:rPr>
            </w:pPr>
            <w:r w:rsidRPr="008B6152">
              <w:rPr>
                <w:rFonts w:ascii="Arial Narrow" w:hAnsi="Arial Narrow"/>
                <w:sz w:val="20"/>
                <w:szCs w:val="20"/>
              </w:rPr>
              <w:t>$</w:t>
            </w:r>
            <w:r w:rsidR="000D054F">
              <w:rPr>
                <w:rFonts w:ascii="Arial Narrow" w:hAnsi="Arial Narrow"/>
                <w:noProof/>
                <w:color w:val="000000"/>
                <w:sz w:val="20"/>
                <w:szCs w:val="20"/>
                <w:highlight w:val="black"/>
              </w:rPr>
              <w:t>''''''''''''''''''''''''''</w:t>
            </w:r>
            <w:r w:rsidRPr="008B6152">
              <w:rPr>
                <w:rFonts w:ascii="Arial Narrow" w:hAnsi="Arial Narrow"/>
                <w:sz w:val="20"/>
                <w:szCs w:val="20"/>
              </w:rPr>
              <w:t xml:space="preserve"> </w:t>
            </w:r>
          </w:p>
        </w:tc>
      </w:tr>
      <w:tr w:rsidR="009A66C5" w:rsidRPr="008B6152" w:rsidTr="0086641E">
        <w:trPr>
          <w:cantSplit/>
          <w:trHeight w:val="5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12DAE" w:rsidRPr="008B6152" w:rsidRDefault="00E12DAE" w:rsidP="002122D8">
            <w:pPr>
              <w:keepNext/>
              <w:keepLines/>
              <w:jc w:val="left"/>
              <w:rPr>
                <w:rFonts w:ascii="Arial Narrow" w:hAnsi="Arial Narrow" w:cs="Calibri"/>
                <w:color w:val="000000"/>
                <w:sz w:val="20"/>
                <w:szCs w:val="20"/>
                <w:lang w:eastAsia="en-AU"/>
              </w:rPr>
            </w:pPr>
            <w:r w:rsidRPr="008B6152">
              <w:rPr>
                <w:rFonts w:ascii="Arial Narrow" w:hAnsi="Arial Narrow"/>
                <w:sz w:val="20"/>
                <w:szCs w:val="20"/>
              </w:rPr>
              <w:t>Cost to PBS/RPBS less co-payments</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r>
      <w:tr w:rsidR="00E12DAE" w:rsidRPr="008B6152" w:rsidTr="0086641E">
        <w:trPr>
          <w:cantSplit/>
          <w:trHeight w:val="51"/>
        </w:trPr>
        <w:tc>
          <w:tcPr>
            <w:tcW w:w="9072"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tcPr>
          <w:p w:rsidR="00E12DAE" w:rsidRPr="008B6152" w:rsidRDefault="00E12DAE" w:rsidP="002122D8">
            <w:pPr>
              <w:keepNext/>
              <w:keepLines/>
              <w:jc w:val="left"/>
              <w:rPr>
                <w:rFonts w:ascii="Arial Narrow" w:hAnsi="Arial Narrow"/>
                <w:b/>
                <w:sz w:val="20"/>
                <w:szCs w:val="20"/>
              </w:rPr>
            </w:pPr>
            <w:r w:rsidRPr="008B6152">
              <w:rPr>
                <w:rFonts w:ascii="Arial Narrow" w:hAnsi="Arial Narrow"/>
                <w:b/>
                <w:sz w:val="20"/>
                <w:szCs w:val="20"/>
              </w:rPr>
              <w:t>Displaced scripts</w:t>
            </w:r>
          </w:p>
        </w:tc>
      </w:tr>
      <w:tr w:rsidR="009A66C5" w:rsidRPr="008B6152" w:rsidTr="0086641E">
        <w:trPr>
          <w:cantSplit/>
          <w:trHeight w:val="5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12DAE" w:rsidRPr="008B6152" w:rsidRDefault="00E12DAE" w:rsidP="002122D8">
            <w:pPr>
              <w:keepNext/>
              <w:keepLines/>
              <w:jc w:val="left"/>
              <w:rPr>
                <w:rFonts w:ascii="Arial Narrow" w:hAnsi="Arial Narrow"/>
                <w:sz w:val="20"/>
                <w:szCs w:val="20"/>
              </w:rPr>
            </w:pPr>
            <w:r w:rsidRPr="008B6152">
              <w:rPr>
                <w:rFonts w:ascii="Arial Narrow" w:hAnsi="Arial Narrow"/>
                <w:sz w:val="20"/>
                <w:szCs w:val="20"/>
              </w:rPr>
              <w:t>Cost to PBS</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r>
      <w:tr w:rsidR="009A66C5" w:rsidRPr="008B6152" w:rsidTr="0086641E">
        <w:trPr>
          <w:cantSplit/>
          <w:trHeight w:val="5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12DAE" w:rsidRPr="008B6152" w:rsidRDefault="00E12DAE" w:rsidP="002122D8">
            <w:pPr>
              <w:keepNext/>
              <w:keepLines/>
              <w:jc w:val="left"/>
              <w:rPr>
                <w:rFonts w:ascii="Arial Narrow" w:hAnsi="Arial Narrow"/>
                <w:sz w:val="20"/>
                <w:szCs w:val="20"/>
              </w:rPr>
            </w:pPr>
            <w:r w:rsidRPr="008B6152">
              <w:rPr>
                <w:rFonts w:ascii="Arial Narrow" w:hAnsi="Arial Narrow"/>
                <w:sz w:val="20"/>
                <w:szCs w:val="20"/>
              </w:rPr>
              <w:t xml:space="preserve">Co-payments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r>
      <w:tr w:rsidR="009A66C5" w:rsidRPr="008B6152" w:rsidTr="0086641E">
        <w:trPr>
          <w:cantSplit/>
          <w:trHeight w:val="5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12DAE" w:rsidRPr="008B6152" w:rsidRDefault="00E12DAE" w:rsidP="002122D8">
            <w:pPr>
              <w:keepNext/>
              <w:keepLines/>
              <w:jc w:val="left"/>
              <w:rPr>
                <w:rFonts w:ascii="Arial Narrow" w:hAnsi="Arial Narrow"/>
                <w:sz w:val="20"/>
                <w:szCs w:val="20"/>
              </w:rPr>
            </w:pPr>
            <w:r w:rsidRPr="008B6152">
              <w:rPr>
                <w:rFonts w:ascii="Arial Narrow" w:hAnsi="Arial Narrow"/>
                <w:sz w:val="20"/>
                <w:szCs w:val="20"/>
              </w:rPr>
              <w:t>Cost to PBS/RPBS less co-payments</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highlight w:val="yellow"/>
              </w:rPr>
            </w:pPr>
            <w:r w:rsidRPr="008B6152">
              <w:rPr>
                <w:rFonts w:ascii="Arial Narrow" w:hAnsi="Arial Narrow" w:cstheme="minorHAnsi"/>
                <w:sz w:val="20"/>
                <w:szCs w:val="20"/>
              </w:rPr>
              <w:t>$</w:t>
            </w:r>
            <w:r w:rsidR="000D054F">
              <w:rPr>
                <w:rFonts w:ascii="Arial Narrow" w:hAnsi="Arial Narrow" w:cstheme="minorHAnsi"/>
                <w:noProof/>
                <w:color w:val="000000"/>
                <w:sz w:val="20"/>
                <w:szCs w:val="20"/>
                <w:highlight w:val="black"/>
              </w:rPr>
              <w:t>''''''''''''''''''''''''</w:t>
            </w:r>
            <w:r w:rsidRPr="008B6152">
              <w:rPr>
                <w:rFonts w:ascii="Arial Narrow" w:hAnsi="Arial Narrow" w:cstheme="minorHAnsi"/>
                <w:sz w:val="20"/>
                <w:szCs w:val="20"/>
              </w:rPr>
              <w:t xml:space="preserve"> </w:t>
            </w:r>
          </w:p>
        </w:tc>
      </w:tr>
      <w:tr w:rsidR="00E12DAE" w:rsidRPr="008B6152" w:rsidTr="0086641E">
        <w:trPr>
          <w:cantSplit/>
          <w:trHeight w:val="51"/>
        </w:trPr>
        <w:tc>
          <w:tcPr>
            <w:tcW w:w="9072"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tcPr>
          <w:p w:rsidR="00E12DAE" w:rsidRPr="008B6152" w:rsidRDefault="00E12DAE" w:rsidP="002122D8">
            <w:pPr>
              <w:keepNext/>
              <w:keepLines/>
              <w:jc w:val="left"/>
              <w:rPr>
                <w:rFonts w:ascii="Arial Narrow" w:hAnsi="Arial Narrow"/>
                <w:b/>
                <w:sz w:val="20"/>
                <w:szCs w:val="20"/>
              </w:rPr>
            </w:pPr>
            <w:r w:rsidRPr="008B6152">
              <w:rPr>
                <w:rFonts w:ascii="Arial Narrow" w:hAnsi="Arial Narrow"/>
                <w:b/>
                <w:sz w:val="20"/>
                <w:szCs w:val="20"/>
              </w:rPr>
              <w:t>Net changes to the PBS/RPBS</w:t>
            </w:r>
          </w:p>
        </w:tc>
      </w:tr>
      <w:tr w:rsidR="009A66C5" w:rsidRPr="008B6152" w:rsidTr="0086641E">
        <w:trPr>
          <w:cantSplit/>
          <w:trHeight w:val="5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12DAE" w:rsidRPr="008B6152" w:rsidRDefault="00E12DAE" w:rsidP="002122D8">
            <w:pPr>
              <w:keepNext/>
              <w:keepLines/>
              <w:jc w:val="left"/>
              <w:rPr>
                <w:rFonts w:ascii="Arial Narrow" w:hAnsi="Arial Narrow"/>
                <w:b/>
                <w:sz w:val="20"/>
                <w:szCs w:val="20"/>
              </w:rPr>
            </w:pPr>
            <w:r w:rsidRPr="008B6152">
              <w:rPr>
                <w:rFonts w:ascii="Arial Narrow" w:hAnsi="Arial Narrow"/>
                <w:b/>
                <w:sz w:val="20"/>
                <w:szCs w:val="20"/>
              </w:rPr>
              <w:t>Net cost to PBS/RPBS (less co-payments)</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b/>
                <w:sz w:val="20"/>
                <w:szCs w:val="20"/>
                <w:highlight w:val="yellow"/>
              </w:rPr>
            </w:pPr>
            <w:r w:rsidRPr="008B6152">
              <w:rPr>
                <w:rFonts w:ascii="Arial Narrow" w:hAnsi="Arial Narrow" w:cstheme="minorHAnsi"/>
                <w:b/>
                <w:bCs/>
                <w:sz w:val="20"/>
                <w:szCs w:val="20"/>
              </w:rPr>
              <w:t>$</w:t>
            </w:r>
            <w:r w:rsidR="000D054F">
              <w:rPr>
                <w:rFonts w:ascii="Arial Narrow" w:hAnsi="Arial Narrow" w:cstheme="minorHAnsi"/>
                <w:b/>
                <w:bCs/>
                <w:noProof/>
                <w:color w:val="000000"/>
                <w:sz w:val="20"/>
                <w:szCs w:val="20"/>
                <w:highlight w:val="black"/>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b/>
                <w:sz w:val="20"/>
                <w:szCs w:val="20"/>
                <w:highlight w:val="yellow"/>
              </w:rPr>
            </w:pPr>
            <w:r w:rsidRPr="008B6152">
              <w:rPr>
                <w:rFonts w:ascii="Arial Narrow" w:hAnsi="Arial Narrow" w:cstheme="minorHAnsi"/>
                <w:b/>
                <w:bCs/>
                <w:sz w:val="20"/>
                <w:szCs w:val="20"/>
              </w:rPr>
              <w:t>$4</w:t>
            </w:r>
            <w:r w:rsidR="000D054F">
              <w:rPr>
                <w:rFonts w:ascii="Arial Narrow" w:hAnsi="Arial Narrow" w:cstheme="minorHAnsi"/>
                <w:b/>
                <w:bCs/>
                <w:noProof/>
                <w:color w:val="000000"/>
                <w:sz w:val="20"/>
                <w:szCs w:val="20"/>
                <w:highlight w:val="black"/>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b/>
                <w:sz w:val="20"/>
                <w:szCs w:val="20"/>
                <w:highlight w:val="yellow"/>
              </w:rPr>
            </w:pPr>
            <w:r w:rsidRPr="008B6152">
              <w:rPr>
                <w:rFonts w:ascii="Arial Narrow" w:hAnsi="Arial Narrow" w:cstheme="minorHAnsi"/>
                <w:b/>
                <w:bCs/>
                <w:sz w:val="20"/>
                <w:szCs w:val="20"/>
              </w:rPr>
              <w:t>$</w:t>
            </w:r>
            <w:r w:rsidR="000D054F">
              <w:rPr>
                <w:rFonts w:ascii="Arial Narrow" w:hAnsi="Arial Narrow" w:cstheme="minorHAnsi"/>
                <w:b/>
                <w:bCs/>
                <w:noProof/>
                <w:color w:val="000000"/>
                <w:sz w:val="20"/>
                <w:szCs w:val="20"/>
                <w:highlight w:val="black"/>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b/>
                <w:sz w:val="20"/>
                <w:szCs w:val="20"/>
                <w:highlight w:val="yellow"/>
              </w:rPr>
            </w:pPr>
            <w:r w:rsidRPr="008B6152">
              <w:rPr>
                <w:rFonts w:ascii="Arial Narrow" w:hAnsi="Arial Narrow" w:cstheme="minorHAnsi"/>
                <w:b/>
                <w:bCs/>
                <w:sz w:val="20"/>
                <w:szCs w:val="20"/>
              </w:rPr>
              <w:t>$</w:t>
            </w:r>
            <w:r w:rsidR="000D054F">
              <w:rPr>
                <w:rFonts w:ascii="Arial Narrow" w:hAnsi="Arial Narrow" w:cstheme="minorHAnsi"/>
                <w:b/>
                <w:bCs/>
                <w:noProof/>
                <w:color w:val="000000"/>
                <w:sz w:val="20"/>
                <w:szCs w:val="20"/>
                <w:highlight w:val="black"/>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b/>
                <w:sz w:val="20"/>
                <w:szCs w:val="20"/>
                <w:highlight w:val="yellow"/>
              </w:rPr>
            </w:pPr>
            <w:r w:rsidRPr="008B6152">
              <w:rPr>
                <w:rFonts w:ascii="Arial Narrow" w:hAnsi="Arial Narrow" w:cstheme="minorHAnsi"/>
                <w:b/>
                <w:bCs/>
                <w:sz w:val="20"/>
                <w:szCs w:val="20"/>
              </w:rPr>
              <w:t>$</w:t>
            </w:r>
            <w:r w:rsidR="000D054F">
              <w:rPr>
                <w:rFonts w:ascii="Arial Narrow" w:hAnsi="Arial Narrow" w:cstheme="minorHAnsi"/>
                <w:b/>
                <w:bCs/>
                <w:noProof/>
                <w:color w:val="000000"/>
                <w:sz w:val="20"/>
                <w:szCs w:val="20"/>
                <w:highlight w:val="black"/>
              </w:rPr>
              <w:t xml:space="preserve">''''''''''''''''''''' </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b/>
                <w:sz w:val="20"/>
                <w:szCs w:val="20"/>
                <w:highlight w:val="yellow"/>
              </w:rPr>
            </w:pPr>
            <w:r w:rsidRPr="008B6152">
              <w:rPr>
                <w:rFonts w:ascii="Arial Narrow" w:hAnsi="Arial Narrow" w:cstheme="minorHAnsi"/>
                <w:b/>
                <w:bCs/>
                <w:sz w:val="20"/>
                <w:szCs w:val="20"/>
              </w:rPr>
              <w:t>$</w:t>
            </w:r>
            <w:r w:rsidR="000D054F">
              <w:rPr>
                <w:rFonts w:ascii="Arial Narrow" w:hAnsi="Arial Narrow" w:cstheme="minorHAnsi"/>
                <w:b/>
                <w:bCs/>
                <w:noProof/>
                <w:color w:val="000000"/>
                <w:sz w:val="20"/>
                <w:szCs w:val="20"/>
                <w:highlight w:val="black"/>
              </w:rPr>
              <w:t xml:space="preserve">''''''''''''''''''' </w:t>
            </w:r>
          </w:p>
        </w:tc>
      </w:tr>
      <w:tr w:rsidR="009A66C5" w:rsidRPr="008B6152" w:rsidTr="0086641E">
        <w:trPr>
          <w:cantSplit/>
          <w:trHeight w:val="5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12DAE" w:rsidRPr="008B6152" w:rsidRDefault="00E12DAE" w:rsidP="002122D8">
            <w:pPr>
              <w:keepNext/>
              <w:keepLines/>
              <w:jc w:val="left"/>
              <w:rPr>
                <w:rFonts w:ascii="Arial Narrow" w:hAnsi="Arial Narrow"/>
                <w:sz w:val="20"/>
                <w:szCs w:val="20"/>
              </w:rPr>
            </w:pPr>
            <w:r w:rsidRPr="008B6152">
              <w:rPr>
                <w:rFonts w:ascii="Arial Narrow" w:hAnsi="Arial Narrow"/>
                <w:sz w:val="20"/>
                <w:szCs w:val="20"/>
              </w:rPr>
              <w:t xml:space="preserve">Previous submission: Net cost to PBS (less co-payments) 2018-2023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rPr>
            </w:pPr>
            <w:r w:rsidRPr="008B6152">
              <w:rPr>
                <w:rFonts w:ascii="Arial Narrow" w:hAnsi="Arial Narrow"/>
                <w:sz w:val="20"/>
                <w:szCs w:val="20"/>
              </w:rPr>
              <w:t>$</w:t>
            </w:r>
            <w:r w:rsidR="000D054F">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rPr>
            </w:pPr>
            <w:r w:rsidRPr="008B6152">
              <w:rPr>
                <w:rFonts w:ascii="Arial Narrow" w:hAnsi="Arial Narrow"/>
                <w:sz w:val="20"/>
                <w:szCs w:val="20"/>
              </w:rPr>
              <w:t>$</w:t>
            </w:r>
            <w:r w:rsidR="000D054F">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rPr>
            </w:pPr>
            <w:r w:rsidRPr="008B6152">
              <w:rPr>
                <w:rFonts w:ascii="Arial Narrow" w:hAnsi="Arial Narrow"/>
                <w:sz w:val="20"/>
                <w:szCs w:val="20"/>
              </w:rPr>
              <w:t>$</w:t>
            </w:r>
            <w:r w:rsidR="000D054F">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rPr>
            </w:pPr>
            <w:r w:rsidRPr="008B6152">
              <w:rPr>
                <w:rFonts w:ascii="Arial Narrow" w:hAnsi="Arial Narrow"/>
                <w:sz w:val="20"/>
                <w:szCs w:val="20"/>
              </w:rPr>
              <w:t>$</w:t>
            </w:r>
            <w:r w:rsidR="000D054F">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rPr>
            </w:pPr>
            <w:r w:rsidRPr="008B6152">
              <w:rPr>
                <w:rFonts w:ascii="Arial Narrow" w:hAnsi="Arial Narrow"/>
                <w:sz w:val="20"/>
                <w:szCs w:val="20"/>
              </w:rPr>
              <w:t>$</w:t>
            </w:r>
            <w:r w:rsidR="000D054F">
              <w:rPr>
                <w:rFonts w:ascii="Arial Narrow" w:hAnsi="Arial Narrow"/>
                <w:noProof/>
                <w:color w:val="000000"/>
                <w:sz w:val="2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12DAE" w:rsidRPr="008B6152" w:rsidRDefault="00E12DAE" w:rsidP="002122D8">
            <w:pPr>
              <w:keepNext/>
              <w:keepLines/>
              <w:jc w:val="center"/>
              <w:rPr>
                <w:rFonts w:ascii="Arial Narrow" w:hAnsi="Arial Narrow"/>
                <w:sz w:val="20"/>
                <w:szCs w:val="20"/>
              </w:rPr>
            </w:pPr>
            <w:r w:rsidRPr="008B6152">
              <w:rPr>
                <w:rFonts w:ascii="Arial Narrow" w:hAnsi="Arial Narrow"/>
                <w:sz w:val="20"/>
                <w:szCs w:val="20"/>
              </w:rPr>
              <w:t>$</w:t>
            </w:r>
            <w:r w:rsidR="000D054F">
              <w:rPr>
                <w:rFonts w:ascii="Arial Narrow" w:hAnsi="Arial Narrow"/>
                <w:noProof/>
                <w:color w:val="000000"/>
                <w:sz w:val="20"/>
                <w:szCs w:val="20"/>
                <w:highlight w:val="black"/>
              </w:rPr>
              <w:t>''''''''''''''''''''''''''</w:t>
            </w:r>
          </w:p>
        </w:tc>
      </w:tr>
      <w:tr w:rsidR="00E12DAE" w:rsidRPr="008B6152" w:rsidTr="0086641E">
        <w:trPr>
          <w:cantSplit/>
          <w:trHeight w:val="5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12DAE" w:rsidRPr="008B6152" w:rsidRDefault="00E12DAE" w:rsidP="002122D8">
            <w:pPr>
              <w:keepNext/>
              <w:keepLines/>
              <w:jc w:val="left"/>
              <w:rPr>
                <w:rFonts w:ascii="Arial Narrow" w:hAnsi="Arial Narrow"/>
                <w:sz w:val="20"/>
                <w:szCs w:val="20"/>
              </w:rPr>
            </w:pPr>
            <w:r w:rsidRPr="008B6152">
              <w:rPr>
                <w:rFonts w:ascii="Arial Narrow" w:hAnsi="Arial Narrow"/>
                <w:sz w:val="20"/>
                <w:szCs w:val="20"/>
              </w:rPr>
              <w:t>Previous submission with correct metformin co-payment: Net cost to PBS (less co-payments) 2018-2023</w:t>
            </w:r>
          </w:p>
        </w:tc>
        <w:tc>
          <w:tcPr>
            <w:tcW w:w="1134" w:type="dxa"/>
            <w:shd w:val="clear" w:color="auto" w:fill="auto"/>
            <w:noWrap/>
            <w:vAlign w:val="center"/>
          </w:tcPr>
          <w:p w:rsidR="00E12DAE" w:rsidRPr="008B6152" w:rsidRDefault="00E12DAE" w:rsidP="002122D8">
            <w:pPr>
              <w:keepNext/>
              <w:keepLines/>
              <w:jc w:val="center"/>
              <w:rPr>
                <w:rFonts w:ascii="Arial Narrow" w:hAnsi="Arial Narrow"/>
                <w:sz w:val="20"/>
                <w:szCs w:val="20"/>
              </w:rPr>
            </w:pPr>
            <w:r w:rsidRPr="008B6152">
              <w:rPr>
                <w:rFonts w:ascii="Arial Narrow" w:hAnsi="Arial Narrow"/>
                <w:snapToGrid/>
                <w:sz w:val="20"/>
                <w:szCs w:val="20"/>
                <w:lang w:eastAsia="en-AU"/>
              </w:rPr>
              <w:t>$</w:t>
            </w:r>
            <w:r w:rsidR="000D054F">
              <w:rPr>
                <w:rFonts w:ascii="Arial Narrow" w:hAnsi="Arial Narrow"/>
                <w:noProof/>
                <w:snapToGrid/>
                <w:color w:val="000000"/>
                <w:sz w:val="20"/>
                <w:szCs w:val="20"/>
                <w:highlight w:val="black"/>
                <w:lang w:eastAsia="en-AU"/>
              </w:rPr>
              <w:t>'''''''''''''''''''''''</w:t>
            </w:r>
          </w:p>
        </w:tc>
        <w:tc>
          <w:tcPr>
            <w:tcW w:w="1134" w:type="dxa"/>
            <w:shd w:val="clear" w:color="auto" w:fill="auto"/>
            <w:noWrap/>
            <w:vAlign w:val="center"/>
          </w:tcPr>
          <w:p w:rsidR="00E12DAE" w:rsidRPr="008B6152" w:rsidRDefault="00E12DAE" w:rsidP="002122D8">
            <w:pPr>
              <w:keepNext/>
              <w:keepLines/>
              <w:jc w:val="center"/>
              <w:rPr>
                <w:rFonts w:ascii="Arial Narrow" w:hAnsi="Arial Narrow"/>
                <w:sz w:val="20"/>
                <w:szCs w:val="20"/>
              </w:rPr>
            </w:pPr>
            <w:r w:rsidRPr="008B6152">
              <w:rPr>
                <w:rFonts w:ascii="Arial Narrow" w:hAnsi="Arial Narrow"/>
                <w:snapToGrid/>
                <w:sz w:val="20"/>
                <w:szCs w:val="20"/>
                <w:lang w:eastAsia="en-AU"/>
              </w:rPr>
              <w:t>$</w:t>
            </w:r>
            <w:r w:rsidR="000D054F">
              <w:rPr>
                <w:rFonts w:ascii="Arial Narrow" w:hAnsi="Arial Narrow"/>
                <w:noProof/>
                <w:snapToGrid/>
                <w:color w:val="000000"/>
                <w:sz w:val="20"/>
                <w:szCs w:val="20"/>
                <w:highlight w:val="black"/>
                <w:lang w:eastAsia="en-AU"/>
              </w:rPr>
              <w:t>'''''''''''''''''''''''''</w:t>
            </w:r>
          </w:p>
        </w:tc>
        <w:tc>
          <w:tcPr>
            <w:tcW w:w="1134" w:type="dxa"/>
            <w:shd w:val="clear" w:color="auto" w:fill="auto"/>
            <w:noWrap/>
            <w:vAlign w:val="center"/>
          </w:tcPr>
          <w:p w:rsidR="00E12DAE" w:rsidRPr="008B6152" w:rsidRDefault="00E12DAE" w:rsidP="002122D8">
            <w:pPr>
              <w:keepNext/>
              <w:keepLines/>
              <w:jc w:val="center"/>
              <w:rPr>
                <w:rFonts w:ascii="Arial Narrow" w:hAnsi="Arial Narrow"/>
                <w:sz w:val="20"/>
                <w:szCs w:val="20"/>
              </w:rPr>
            </w:pPr>
            <w:r w:rsidRPr="008B6152">
              <w:rPr>
                <w:rFonts w:ascii="Arial Narrow" w:hAnsi="Arial Narrow"/>
                <w:snapToGrid/>
                <w:sz w:val="20"/>
                <w:szCs w:val="20"/>
                <w:lang w:eastAsia="en-AU"/>
              </w:rPr>
              <w:t>$</w:t>
            </w:r>
            <w:r w:rsidR="000D054F">
              <w:rPr>
                <w:rFonts w:ascii="Arial Narrow" w:hAnsi="Arial Narrow"/>
                <w:noProof/>
                <w:snapToGrid/>
                <w:color w:val="000000"/>
                <w:sz w:val="20"/>
                <w:szCs w:val="20"/>
                <w:highlight w:val="black"/>
                <w:lang w:eastAsia="en-AU"/>
              </w:rPr>
              <w:t>'''''''''''''''''''''''''</w:t>
            </w:r>
          </w:p>
        </w:tc>
        <w:tc>
          <w:tcPr>
            <w:tcW w:w="1134" w:type="dxa"/>
            <w:shd w:val="clear" w:color="auto" w:fill="auto"/>
            <w:noWrap/>
            <w:vAlign w:val="center"/>
          </w:tcPr>
          <w:p w:rsidR="00E12DAE" w:rsidRPr="008B6152" w:rsidRDefault="00E12DAE" w:rsidP="002122D8">
            <w:pPr>
              <w:keepNext/>
              <w:keepLines/>
              <w:jc w:val="center"/>
              <w:rPr>
                <w:rFonts w:ascii="Arial Narrow" w:hAnsi="Arial Narrow"/>
                <w:sz w:val="20"/>
                <w:szCs w:val="20"/>
              </w:rPr>
            </w:pPr>
            <w:r w:rsidRPr="008B6152">
              <w:rPr>
                <w:rFonts w:ascii="Arial Narrow" w:hAnsi="Arial Narrow"/>
                <w:snapToGrid/>
                <w:sz w:val="20"/>
                <w:szCs w:val="20"/>
                <w:lang w:eastAsia="en-AU"/>
              </w:rPr>
              <w:t>$</w:t>
            </w:r>
            <w:r w:rsidR="000D054F">
              <w:rPr>
                <w:rFonts w:ascii="Arial Narrow" w:hAnsi="Arial Narrow"/>
                <w:noProof/>
                <w:snapToGrid/>
                <w:color w:val="000000"/>
                <w:sz w:val="20"/>
                <w:szCs w:val="20"/>
                <w:highlight w:val="black"/>
                <w:lang w:eastAsia="en-AU"/>
              </w:rPr>
              <w:t>'''''''''''''''''''''''</w:t>
            </w:r>
          </w:p>
        </w:tc>
        <w:tc>
          <w:tcPr>
            <w:tcW w:w="1134" w:type="dxa"/>
            <w:shd w:val="clear" w:color="auto" w:fill="auto"/>
            <w:noWrap/>
            <w:vAlign w:val="center"/>
          </w:tcPr>
          <w:p w:rsidR="00E12DAE" w:rsidRPr="008B6152" w:rsidRDefault="00E12DAE" w:rsidP="002122D8">
            <w:pPr>
              <w:keepNext/>
              <w:keepLines/>
              <w:jc w:val="center"/>
              <w:rPr>
                <w:rFonts w:ascii="Arial Narrow" w:hAnsi="Arial Narrow"/>
                <w:sz w:val="20"/>
                <w:szCs w:val="20"/>
              </w:rPr>
            </w:pPr>
            <w:r w:rsidRPr="008B6152">
              <w:rPr>
                <w:rFonts w:ascii="Arial Narrow" w:hAnsi="Arial Narrow"/>
                <w:snapToGrid/>
                <w:sz w:val="20"/>
                <w:szCs w:val="20"/>
                <w:lang w:eastAsia="en-AU"/>
              </w:rPr>
              <w:t>$</w:t>
            </w:r>
            <w:r w:rsidR="000D054F">
              <w:rPr>
                <w:rFonts w:ascii="Arial Narrow" w:hAnsi="Arial Narrow"/>
                <w:noProof/>
                <w:snapToGrid/>
                <w:color w:val="000000"/>
                <w:sz w:val="20"/>
                <w:szCs w:val="20"/>
                <w:highlight w:val="black"/>
                <w:lang w:eastAsia="en-AU"/>
              </w:rPr>
              <w:t>'''''''''''''''''''''''''</w:t>
            </w:r>
          </w:p>
        </w:tc>
        <w:tc>
          <w:tcPr>
            <w:tcW w:w="1134" w:type="dxa"/>
            <w:shd w:val="clear" w:color="auto" w:fill="auto"/>
            <w:noWrap/>
            <w:vAlign w:val="center"/>
          </w:tcPr>
          <w:p w:rsidR="00E12DAE" w:rsidRPr="008B6152" w:rsidRDefault="00E12DAE" w:rsidP="002122D8">
            <w:pPr>
              <w:keepNext/>
              <w:keepLines/>
              <w:jc w:val="center"/>
              <w:rPr>
                <w:rFonts w:ascii="Arial Narrow" w:hAnsi="Arial Narrow"/>
                <w:sz w:val="20"/>
                <w:szCs w:val="20"/>
              </w:rPr>
            </w:pPr>
            <w:r w:rsidRPr="008B6152">
              <w:rPr>
                <w:rFonts w:ascii="Arial Narrow" w:hAnsi="Arial Narrow"/>
                <w:snapToGrid/>
                <w:sz w:val="20"/>
                <w:szCs w:val="20"/>
                <w:lang w:eastAsia="en-AU"/>
              </w:rPr>
              <w:t>$</w:t>
            </w:r>
            <w:r w:rsidR="000D054F">
              <w:rPr>
                <w:rFonts w:ascii="Arial Narrow" w:hAnsi="Arial Narrow"/>
                <w:noProof/>
                <w:snapToGrid/>
                <w:color w:val="000000"/>
                <w:sz w:val="20"/>
                <w:szCs w:val="20"/>
                <w:highlight w:val="black"/>
                <w:lang w:eastAsia="en-AU"/>
              </w:rPr>
              <w:t>''''''''''''''''''''''''''</w:t>
            </w:r>
          </w:p>
        </w:tc>
      </w:tr>
    </w:tbl>
    <w:p w:rsidR="00E12DAE" w:rsidRPr="008B6152" w:rsidRDefault="00E12DAE" w:rsidP="002122D8">
      <w:pPr>
        <w:pStyle w:val="TableFooter"/>
        <w:keepNext/>
        <w:keepLines/>
      </w:pPr>
      <w:r w:rsidRPr="008B6152">
        <w:t xml:space="preserve">Source: Table 4.3.2, p160; Table 4.3.4, pp162-163; Table 4.3.5, p164; Table 4.3.6, p165; Table 4.3.7, p166; Table 4.3.10, p169; Tables 4.4.1 – 4.4.7, p172; Table 4.5.1, pp173-174; Table 4.6.3, p176 of the resubmission </w:t>
      </w:r>
    </w:p>
    <w:p w:rsidR="00E12DAE" w:rsidRPr="008B6152" w:rsidRDefault="00E12DAE" w:rsidP="002122D8">
      <w:pPr>
        <w:pStyle w:val="TableFooter"/>
        <w:keepNext/>
        <w:keepLines/>
      </w:pPr>
      <w:r w:rsidRPr="008B6152">
        <w:t>BD= Twice daily; DPP4, dipeptidyl peptidase-4; SGLT2, sodium-glucose co-transporter 2; FRC, fixed ratio combination; SU, sulfonylurea; TZD, thiazolidinedione; NA, not applicable</w:t>
      </w:r>
    </w:p>
    <w:p w:rsidR="00E12DAE" w:rsidRPr="008B6152" w:rsidRDefault="00E12DAE" w:rsidP="002122D8">
      <w:pPr>
        <w:pStyle w:val="TableFooter"/>
        <w:keepNext/>
        <w:keepLines/>
      </w:pPr>
      <w:r w:rsidRPr="008B6152">
        <w:rPr>
          <w:vertAlign w:val="superscript"/>
        </w:rPr>
        <w:t xml:space="preserve">1 </w:t>
      </w:r>
      <w:r w:rsidRPr="008B6152">
        <w:t>Assume 22.8% use 2:1 insulin glargine with lixisenatide FRC (Peach) at 9.4 scripts per year and 77.2% use 3:1 insulin glargine with lixisenatide FRC (Olive) at 14.1 scripts per year</w:t>
      </w:r>
    </w:p>
    <w:p w:rsidR="00E12DAE" w:rsidRPr="008B6152" w:rsidRDefault="00E12DAE" w:rsidP="002122D8">
      <w:pPr>
        <w:pStyle w:val="TableFooter"/>
        <w:keepNext/>
        <w:keepLines/>
      </w:pPr>
      <w:r w:rsidRPr="008B6152">
        <w:rPr>
          <w:vertAlign w:val="superscript"/>
        </w:rPr>
        <w:t>2</w:t>
      </w:r>
      <w:r w:rsidRPr="008B6152">
        <w:t xml:space="preserve"> Assume 65% of all patients treated with basal insulin + DPP4 and 17% of patients treated with basal insulin+SGLT2 were treated with metformin as part of a fixed dose combination, therefore requiring additional metformin scrips when switching to insulin glargine with lixisenatide FRC, at 11.9 packs per year. </w:t>
      </w:r>
    </w:p>
    <w:p w:rsidR="00E12DAE" w:rsidRPr="008B6152" w:rsidRDefault="00E12DAE" w:rsidP="002122D8">
      <w:pPr>
        <w:pStyle w:val="TableFooter"/>
        <w:keepNext/>
        <w:keepLines/>
      </w:pPr>
      <w:r w:rsidRPr="008B6152">
        <w:rPr>
          <w:vertAlign w:val="superscript"/>
        </w:rPr>
        <w:t xml:space="preserve">3 </w:t>
      </w:r>
      <w:r w:rsidRPr="008B6152">
        <w:t xml:space="preserve">Includes cost of additional metformin </w:t>
      </w:r>
    </w:p>
    <w:p w:rsidR="00FD5C06" w:rsidRPr="008B6152" w:rsidRDefault="00FD5C06" w:rsidP="00FD5C06">
      <w:pPr>
        <w:widowControl/>
      </w:pPr>
    </w:p>
    <w:p w:rsidR="00B0555E" w:rsidRPr="002122D8" w:rsidRDefault="00B0555E" w:rsidP="00B0555E">
      <w:pPr>
        <w:widowControl/>
      </w:pPr>
      <w:r w:rsidRPr="002122D8">
        <w:t xml:space="preserve">The redacted table shows that at Year 6, the estimated number of patients was 10,000 to 50,000. </w:t>
      </w:r>
    </w:p>
    <w:p w:rsidR="00B0555E" w:rsidRPr="00B0555E" w:rsidRDefault="00B0555E" w:rsidP="00B0555E">
      <w:pPr>
        <w:widowControl/>
        <w:rPr>
          <w:i/>
        </w:rPr>
      </w:pPr>
    </w:p>
    <w:p w:rsidR="00FD5C06" w:rsidRPr="00B66CF9" w:rsidRDefault="00FD5C06" w:rsidP="000E4A69">
      <w:pPr>
        <w:pStyle w:val="ListParagraph"/>
        <w:widowControl/>
        <w:numPr>
          <w:ilvl w:val="1"/>
          <w:numId w:val="3"/>
        </w:numPr>
        <w:spacing w:after="0"/>
      </w:pPr>
      <w:r w:rsidRPr="00B66CF9">
        <w:lastRenderedPageBreak/>
        <w:t>The following issues identified in the evaluation of the previous submission were considered to remain of concern in the resubmission:</w:t>
      </w:r>
    </w:p>
    <w:p w:rsidR="00FD5C06" w:rsidRPr="00B66CF9" w:rsidRDefault="00FD5C06" w:rsidP="00AD76FF">
      <w:pPr>
        <w:pStyle w:val="ListParagraph"/>
        <w:widowControl/>
        <w:numPr>
          <w:ilvl w:val="1"/>
          <w:numId w:val="21"/>
        </w:numPr>
        <w:spacing w:after="0"/>
        <w:ind w:left="993" w:hanging="284"/>
      </w:pPr>
      <w:r w:rsidRPr="00B66CF9">
        <w:t>Uptakes rates were considered to be uncertain and not consistent with data presented from the survey of endocrinologists.</w:t>
      </w:r>
      <w:r w:rsidR="0031604C" w:rsidRPr="00B66CF9">
        <w:t xml:space="preserve"> </w:t>
      </w:r>
      <w:r w:rsidRPr="00B66CF9">
        <w:t xml:space="preserve">Uptake rates may be higher than estimated due to the convenience of a once daily subcutaneous injection. </w:t>
      </w:r>
    </w:p>
    <w:p w:rsidR="00FD5C06" w:rsidRPr="00B66CF9" w:rsidRDefault="00FD5C06" w:rsidP="00AD76FF">
      <w:pPr>
        <w:pStyle w:val="ListParagraph"/>
        <w:widowControl/>
        <w:numPr>
          <w:ilvl w:val="1"/>
          <w:numId w:val="21"/>
        </w:numPr>
        <w:spacing w:after="0"/>
        <w:ind w:left="993" w:hanging="284"/>
      </w:pPr>
      <w:r w:rsidRPr="00B66CF9">
        <w:t>Insulin glargine with lixisenatide FRC may also be used in a proportion of patients who would otherwise have been treated with insulin up-titration, and this was not accounted for.</w:t>
      </w:r>
      <w:r w:rsidR="003B2B91" w:rsidRPr="00B66CF9">
        <w:t xml:space="preserve"> The PSCR stated that this was unlikely as patients would have already tried this or found it to not be a reasonable option. </w:t>
      </w:r>
    </w:p>
    <w:p w:rsidR="00FD5C06" w:rsidRPr="00B66CF9" w:rsidRDefault="00FD5C06" w:rsidP="00AD76FF">
      <w:pPr>
        <w:pStyle w:val="ListParagraph"/>
        <w:widowControl/>
        <w:numPr>
          <w:ilvl w:val="1"/>
          <w:numId w:val="21"/>
        </w:numPr>
        <w:spacing w:after="0"/>
        <w:ind w:left="993" w:hanging="284"/>
      </w:pPr>
      <w:r w:rsidRPr="00B66CF9">
        <w:t>There was an assumption that the only PBS-listed basal insulin that would be replaced in clinical practice would be insulin glargine. However, patients using isophane insulin (intermediate-acting basal insulin) would also be eligible for insulin glargine with lixisenatide.</w:t>
      </w:r>
      <w:r w:rsidR="0031604C" w:rsidRPr="00B66CF9">
        <w:t xml:space="preserve"> </w:t>
      </w:r>
      <w:r w:rsidRPr="00B66CF9">
        <w:t>Exclusion of intermediate basal insulins from the analysis may have underestimated the number of eligible patients.</w:t>
      </w:r>
      <w:r w:rsidR="003B2B91" w:rsidRPr="00B66CF9">
        <w:t xml:space="preserve"> The </w:t>
      </w:r>
      <w:proofErr w:type="gramStart"/>
      <w:r w:rsidR="003B2B91" w:rsidRPr="00B66CF9">
        <w:t>PSCR  considered</w:t>
      </w:r>
      <w:proofErr w:type="gramEnd"/>
      <w:r w:rsidR="003B2B91" w:rsidRPr="00B66CF9">
        <w:t xml:space="preserve"> replacement of isophane insulin would not have any impact on financial projections. </w:t>
      </w:r>
    </w:p>
    <w:p w:rsidR="00FD5C06" w:rsidRPr="00B66CF9" w:rsidRDefault="00FD5C06" w:rsidP="00AD76FF">
      <w:pPr>
        <w:pStyle w:val="ListParagraph"/>
        <w:widowControl/>
        <w:numPr>
          <w:ilvl w:val="1"/>
          <w:numId w:val="21"/>
        </w:numPr>
        <w:spacing w:after="0"/>
        <w:ind w:left="993" w:hanging="284"/>
      </w:pPr>
      <w:r w:rsidRPr="00B66CF9">
        <w:t>The large treatment coverage periods used in the analysis for the 10% Medicare sample are likely to have overestimated co-administration and underestimated treatment switching and discontinuations.</w:t>
      </w:r>
    </w:p>
    <w:p w:rsidR="004863C8" w:rsidRPr="00B66CF9" w:rsidRDefault="00FD5C06" w:rsidP="004750AC">
      <w:pPr>
        <w:pStyle w:val="ListParagraph"/>
        <w:widowControl/>
        <w:numPr>
          <w:ilvl w:val="1"/>
          <w:numId w:val="21"/>
        </w:numPr>
        <w:ind w:left="993" w:hanging="284"/>
      </w:pPr>
      <w:r w:rsidRPr="00B66CF9">
        <w:t>Despite claiming that insulin glargine with lixisenatide FRC would improve treatment adherence, the resubmission did not adjust for differences in treatment adherence.</w:t>
      </w:r>
    </w:p>
    <w:p w:rsidR="004750AC" w:rsidRPr="00A54FDB" w:rsidRDefault="00817AE6" w:rsidP="00B2362A">
      <w:pPr>
        <w:pStyle w:val="ListParagraph"/>
        <w:widowControl/>
        <w:numPr>
          <w:ilvl w:val="1"/>
          <w:numId w:val="3"/>
        </w:numPr>
        <w:spacing w:after="0"/>
      </w:pPr>
      <w:r w:rsidRPr="00B66CF9">
        <w:t>The ESC considered many of the same concerns regarding utilisation and financial estimates applied to the resubmission, including those around uptake rates and dosing issues associated with the FRC.</w:t>
      </w:r>
      <w:bookmarkStart w:id="24" w:name="_Toc532891848"/>
      <w:bookmarkStart w:id="25" w:name="_Toc535856981"/>
      <w:r w:rsidR="004863C8">
        <w:t xml:space="preserve"> </w:t>
      </w:r>
    </w:p>
    <w:p w:rsidR="00FD5C06" w:rsidRPr="00C9624D" w:rsidRDefault="00FD5C06" w:rsidP="00A54FDB">
      <w:pPr>
        <w:pStyle w:val="Heading2"/>
        <w:keepNext/>
        <w:keepLines/>
        <w:spacing w:before="240"/>
      </w:pPr>
      <w:bookmarkStart w:id="26" w:name="_GoBack"/>
      <w:r w:rsidRPr="00C9624D">
        <w:t>Quality Use of Medicines</w:t>
      </w:r>
      <w:bookmarkEnd w:id="24"/>
      <w:bookmarkEnd w:id="25"/>
    </w:p>
    <w:bookmarkEnd w:id="26"/>
    <w:p w:rsidR="002F7A74" w:rsidRPr="008B6152" w:rsidRDefault="00FD5C06" w:rsidP="002F7A74">
      <w:pPr>
        <w:pStyle w:val="ListParagraph"/>
        <w:widowControl/>
        <w:numPr>
          <w:ilvl w:val="1"/>
          <w:numId w:val="3"/>
        </w:numPr>
        <w:spacing w:after="0"/>
      </w:pPr>
      <w:r w:rsidRPr="008B6152">
        <w:t>No additional information was provided in the resubmission on quality use of medicines.</w:t>
      </w:r>
      <w:r w:rsidR="002F7A74" w:rsidRPr="008B6152">
        <w:t xml:space="preserve"> The same quality use of medicines issues detailed in the previous submission, the commentary on the previous submission and </w:t>
      </w:r>
      <w:r w:rsidR="0071566A" w:rsidRPr="008B6152">
        <w:t>advice from</w:t>
      </w:r>
      <w:r w:rsidR="002F7A74" w:rsidRPr="008B6152">
        <w:t xml:space="preserve"> DUSC continue to be relevant for the resubmission. Namely:</w:t>
      </w:r>
    </w:p>
    <w:p w:rsidR="002F7A74" w:rsidRPr="008B6152" w:rsidRDefault="002F7A74" w:rsidP="00B2362A">
      <w:pPr>
        <w:pStyle w:val="ListParagraph"/>
        <w:numPr>
          <w:ilvl w:val="0"/>
          <w:numId w:val="34"/>
        </w:numPr>
        <w:spacing w:after="0"/>
      </w:pPr>
      <w:r w:rsidRPr="008B6152">
        <w:t>Correct administration of insulin glargine with lixisenatide FRC, prevention of medication errors, and the appropriate storage, handling and disposal of insulin glargine with lixisenatide FRC.</w:t>
      </w:r>
    </w:p>
    <w:p w:rsidR="002F7A74" w:rsidRPr="008B6152" w:rsidRDefault="002F7A74" w:rsidP="00B2362A">
      <w:pPr>
        <w:pStyle w:val="ListParagraph"/>
        <w:numPr>
          <w:ilvl w:val="0"/>
          <w:numId w:val="34"/>
        </w:numPr>
        <w:spacing w:after="0"/>
      </w:pPr>
      <w:r w:rsidRPr="008B6152">
        <w:t>Loss of glycaemic control during the switch to insulin glargine with lixisenatide FRC and when patients who reach the maximum dose switch to an alternate therapy.</w:t>
      </w:r>
    </w:p>
    <w:p w:rsidR="002F7A74" w:rsidRPr="008B6152" w:rsidRDefault="002F7A74" w:rsidP="00B2362A">
      <w:pPr>
        <w:pStyle w:val="ListParagraph"/>
        <w:numPr>
          <w:ilvl w:val="0"/>
          <w:numId w:val="34"/>
        </w:numPr>
        <w:spacing w:after="0"/>
      </w:pPr>
      <w:r w:rsidRPr="008B6152">
        <w:t xml:space="preserve">Loss of treatment flexibility as the lixisenatide dose is dependent on the basal insulin requirements. Patients may receive lower than recommended doses of lixisenatide and may not obtain the full benefit of GLP-1 agonist therapy. </w:t>
      </w:r>
    </w:p>
    <w:p w:rsidR="002F7A74" w:rsidRPr="008B6152" w:rsidRDefault="002F7A74" w:rsidP="00B2362A">
      <w:pPr>
        <w:pStyle w:val="ListParagraph"/>
        <w:numPr>
          <w:ilvl w:val="0"/>
          <w:numId w:val="34"/>
        </w:numPr>
        <w:spacing w:after="0"/>
      </w:pPr>
      <w:r w:rsidRPr="008B6152">
        <w:t>Potential for patients requiring insulin doses &gt;60 units to administer higher than recommended doses (i.e. through multiple injections of the FRC) resulting in exposure to higher than recommended doses of lixisenatide.</w:t>
      </w:r>
    </w:p>
    <w:p w:rsidR="002F7A74" w:rsidRPr="008B6152" w:rsidRDefault="002F7A74" w:rsidP="00B2362A">
      <w:pPr>
        <w:pStyle w:val="ListParagraph"/>
        <w:widowControl/>
        <w:numPr>
          <w:ilvl w:val="0"/>
          <w:numId w:val="34"/>
        </w:numPr>
        <w:contextualSpacing/>
        <w:rPr>
          <w:rFonts w:asciiTheme="minorHAnsi" w:hAnsiTheme="minorHAnsi" w:cs="Times New Roman"/>
          <w:szCs w:val="24"/>
        </w:rPr>
      </w:pPr>
      <w:r w:rsidRPr="008B6152">
        <w:rPr>
          <w:rFonts w:asciiTheme="minorHAnsi" w:hAnsiTheme="minorHAnsi" w:cs="Times New Roman"/>
          <w:szCs w:val="24"/>
        </w:rPr>
        <w:t xml:space="preserve">Risk of intentional or inadvertent quadruple therapy. </w:t>
      </w:r>
    </w:p>
    <w:p w:rsidR="004863C8" w:rsidRPr="004750AC" w:rsidRDefault="002F7A74" w:rsidP="004750AC">
      <w:pPr>
        <w:pStyle w:val="ListParagraph"/>
        <w:widowControl/>
        <w:numPr>
          <w:ilvl w:val="0"/>
          <w:numId w:val="34"/>
        </w:numPr>
        <w:rPr>
          <w:rFonts w:asciiTheme="minorHAnsi" w:hAnsiTheme="minorHAnsi" w:cs="Times New Roman"/>
          <w:szCs w:val="24"/>
        </w:rPr>
      </w:pPr>
      <w:r w:rsidRPr="008B6152">
        <w:rPr>
          <w:rFonts w:asciiTheme="minorHAnsi" w:hAnsiTheme="minorHAnsi" w:cs="Times New Roman"/>
          <w:szCs w:val="24"/>
        </w:rPr>
        <w:lastRenderedPageBreak/>
        <w:t>Concurrent adjustment of insulin glargine and lixisenatide dosage may make it difficult to determine which component is responsible for adverse events.</w:t>
      </w:r>
    </w:p>
    <w:p w:rsidR="007561A2" w:rsidRDefault="002F7A74" w:rsidP="002F7A74">
      <w:pPr>
        <w:pStyle w:val="ListParagraph"/>
        <w:widowControl/>
        <w:numPr>
          <w:ilvl w:val="1"/>
          <w:numId w:val="3"/>
        </w:numPr>
      </w:pPr>
      <w:r w:rsidRPr="008B6152">
        <w:t xml:space="preserve">At </w:t>
      </w:r>
      <w:r w:rsidR="00092838" w:rsidRPr="008B6152">
        <w:t>its</w:t>
      </w:r>
      <w:r w:rsidRPr="008B6152">
        <w:t xml:space="preserve"> March 2018 meeting, the PBAC noted the quality use of medicines issue</w:t>
      </w:r>
      <w:r w:rsidR="00092838" w:rsidRPr="008B6152">
        <w:t>s</w:t>
      </w:r>
      <w:r w:rsidRPr="008B6152">
        <w:t xml:space="preserve"> identified </w:t>
      </w:r>
      <w:r w:rsidR="00092838" w:rsidRPr="008B6152">
        <w:t xml:space="preserve">above </w:t>
      </w:r>
      <w:r w:rsidRPr="008B6152">
        <w:t xml:space="preserve">and noted the need for appropriate activities to be put in place (5.05 </w:t>
      </w:r>
      <w:r w:rsidR="00092838" w:rsidRPr="008B6152">
        <w:t>i</w:t>
      </w:r>
      <w:r w:rsidRPr="008B6152">
        <w:t>nsulin glargine with lixisenatide FRC</w:t>
      </w:r>
      <w:r w:rsidR="00416D72">
        <w:t>,</w:t>
      </w:r>
      <w:r w:rsidRPr="008B6152">
        <w:t xml:space="preserve"> March 2018</w:t>
      </w:r>
      <w:r w:rsidR="00E022F2">
        <w:t xml:space="preserve"> PBAC Meeting</w:t>
      </w:r>
      <w:r w:rsidRPr="008B6152">
        <w:t xml:space="preserve"> PSD</w:t>
      </w:r>
      <w:r w:rsidR="00416D72">
        <w:t>,</w:t>
      </w:r>
      <w:r w:rsidRPr="008B6152">
        <w:t xml:space="preserve"> paragraph 6.74).</w:t>
      </w:r>
    </w:p>
    <w:p w:rsidR="00FD5C06" w:rsidRDefault="007561A2" w:rsidP="002F7A74">
      <w:pPr>
        <w:pStyle w:val="ListParagraph"/>
        <w:widowControl/>
        <w:numPr>
          <w:ilvl w:val="1"/>
          <w:numId w:val="3"/>
        </w:numPr>
      </w:pPr>
      <w:r>
        <w:t xml:space="preserve">The Pre-PBAC </w:t>
      </w:r>
      <w:r w:rsidR="00F518D7">
        <w:t>R</w:t>
      </w:r>
      <w:r>
        <w:t>esponse to this outstanding issue state</w:t>
      </w:r>
      <w:r w:rsidR="004B7AC1">
        <w:t>d</w:t>
      </w:r>
      <w:r>
        <w:t xml:space="preserve"> the sponsor is ‘willing work with the Department to </w:t>
      </w:r>
      <w:r w:rsidRPr="0048710C">
        <w:rPr>
          <w:szCs w:val="24"/>
        </w:rPr>
        <w:t>ensure that mechanisms are in place to help guide physicians towards appropriate patient selection</w:t>
      </w:r>
      <w:r w:rsidR="006A50DA">
        <w:rPr>
          <w:szCs w:val="24"/>
        </w:rPr>
        <w:t>…</w:t>
      </w:r>
      <w:proofErr w:type="gramStart"/>
      <w:r>
        <w:rPr>
          <w:szCs w:val="24"/>
        </w:rPr>
        <w:t>’.</w:t>
      </w:r>
      <w:proofErr w:type="gramEnd"/>
    </w:p>
    <w:p w:rsidR="004750AC" w:rsidRPr="005C34A8" w:rsidRDefault="004750AC" w:rsidP="004750AC">
      <w:pPr>
        <w:widowControl/>
        <w:rPr>
          <w:rFonts w:asciiTheme="minorHAnsi" w:hAnsiTheme="minorHAnsi"/>
          <w:i/>
        </w:rPr>
      </w:pPr>
      <w:r w:rsidRPr="00525B39">
        <w:rPr>
          <w:rFonts w:asciiTheme="minorHAnsi" w:hAnsiTheme="minorHAnsi"/>
          <w:i/>
        </w:rPr>
        <w:t>For more detail on PBAC’s view, see section 7 PBAC outcome.</w:t>
      </w:r>
    </w:p>
    <w:p w:rsidR="00FC0113" w:rsidRPr="004C575F" w:rsidRDefault="00FC0113" w:rsidP="00FC0113">
      <w:pPr>
        <w:pStyle w:val="PBACHeading1"/>
        <w:spacing w:before="240" w:after="120"/>
      </w:pPr>
      <w:r w:rsidRPr="004C575F">
        <w:t>PBAC Outcome</w:t>
      </w:r>
    </w:p>
    <w:p w:rsidR="007E2172" w:rsidRPr="00254D1A" w:rsidRDefault="00FC0113" w:rsidP="002D4F12">
      <w:pPr>
        <w:pStyle w:val="ListParagraph"/>
        <w:widowControl/>
        <w:numPr>
          <w:ilvl w:val="1"/>
          <w:numId w:val="3"/>
        </w:numPr>
      </w:pPr>
      <w:r w:rsidRPr="00254D1A">
        <w:t xml:space="preserve">The PBAC </w:t>
      </w:r>
      <w:r w:rsidR="00FD1D7F" w:rsidRPr="00254D1A">
        <w:t>d</w:t>
      </w:r>
      <w:r w:rsidR="008262DA" w:rsidRPr="00254D1A">
        <w:t>i</w:t>
      </w:r>
      <w:r w:rsidR="00FD1D7F" w:rsidRPr="00254D1A">
        <w:t xml:space="preserve">d not </w:t>
      </w:r>
      <w:r w:rsidRPr="00254D1A">
        <w:t>recommend</w:t>
      </w:r>
      <w:r w:rsidR="00FD1D7F" w:rsidRPr="00254D1A">
        <w:t xml:space="preserve"> </w:t>
      </w:r>
      <w:r w:rsidR="008262DA" w:rsidRPr="00254D1A">
        <w:t xml:space="preserve">the listing of </w:t>
      </w:r>
      <w:r w:rsidR="00FD1D7F" w:rsidRPr="00254D1A">
        <w:t xml:space="preserve">insulin glargine with lixisenatide </w:t>
      </w:r>
      <w:r w:rsidR="00531FE1">
        <w:t>fixed ratio combination (</w:t>
      </w:r>
      <w:r w:rsidR="00AC41B1" w:rsidRPr="00254D1A">
        <w:t>FRC</w:t>
      </w:r>
      <w:r w:rsidR="00531FE1">
        <w:t>)</w:t>
      </w:r>
      <w:r w:rsidR="00AC41B1" w:rsidRPr="00254D1A">
        <w:t xml:space="preserve"> </w:t>
      </w:r>
      <w:r w:rsidR="00FD1D7F" w:rsidRPr="00254D1A">
        <w:t>for treatment of adults with type 2 diabetes mellitus</w:t>
      </w:r>
      <w:r w:rsidR="0034128F" w:rsidRPr="00254D1A">
        <w:t xml:space="preserve"> </w:t>
      </w:r>
      <w:r w:rsidR="00FD395E" w:rsidRPr="00254D1A">
        <w:t xml:space="preserve">who have inadequate glycaemic control with basal insulin </w:t>
      </w:r>
      <w:r w:rsidR="0034128F" w:rsidRPr="00254D1A">
        <w:t xml:space="preserve">on the basis that </w:t>
      </w:r>
      <w:r w:rsidR="00923885" w:rsidRPr="00254D1A">
        <w:t>the proposed price was unacceptably high</w:t>
      </w:r>
      <w:r w:rsidR="0034128F" w:rsidRPr="00254D1A">
        <w:t xml:space="preserve"> given </w:t>
      </w:r>
      <w:r w:rsidR="004C575F" w:rsidRPr="00254D1A">
        <w:t xml:space="preserve">the </w:t>
      </w:r>
      <w:r w:rsidR="00CA252B" w:rsidRPr="00254D1A">
        <w:t xml:space="preserve">residual </w:t>
      </w:r>
      <w:r w:rsidR="0034128F" w:rsidRPr="00254D1A">
        <w:t>u</w:t>
      </w:r>
      <w:r w:rsidR="004C575F" w:rsidRPr="00254D1A">
        <w:t>ncertainty</w:t>
      </w:r>
      <w:r w:rsidR="0034128F" w:rsidRPr="00254D1A">
        <w:t xml:space="preserve"> </w:t>
      </w:r>
      <w:r w:rsidR="004C575F" w:rsidRPr="00254D1A">
        <w:t xml:space="preserve">around the </w:t>
      </w:r>
      <w:r w:rsidR="00961835" w:rsidRPr="00254D1A">
        <w:t xml:space="preserve">claim of non-inferiority and the </w:t>
      </w:r>
      <w:r w:rsidR="004C575F" w:rsidRPr="00254D1A">
        <w:t>appropriate equi-effective d</w:t>
      </w:r>
      <w:r w:rsidR="00FA17C4" w:rsidRPr="00254D1A">
        <w:t>ose</w:t>
      </w:r>
      <w:r w:rsidR="008F5E18" w:rsidRPr="00254D1A">
        <w:t>s</w:t>
      </w:r>
      <w:r w:rsidR="00FD1D7F" w:rsidRPr="00254D1A">
        <w:t xml:space="preserve">. </w:t>
      </w:r>
      <w:r w:rsidR="007E2172" w:rsidRPr="00254D1A">
        <w:t>The PBAC considered that on balance, cost-effectiveness had not been demonstrated</w:t>
      </w:r>
      <w:r w:rsidR="00961835" w:rsidRPr="00254D1A">
        <w:t xml:space="preserve"> and noted that there was no strong clinical need for insulin glargine with lixisenatide</w:t>
      </w:r>
      <w:r w:rsidR="007C05BF">
        <w:t xml:space="preserve"> due to other </w:t>
      </w:r>
      <w:r w:rsidR="003B53DD">
        <w:t xml:space="preserve">PBS listed </w:t>
      </w:r>
      <w:r w:rsidR="007C05BF">
        <w:t>treatment options</w:t>
      </w:r>
      <w:r w:rsidR="007E2172" w:rsidRPr="00254D1A">
        <w:t>.</w:t>
      </w:r>
    </w:p>
    <w:p w:rsidR="00FC0113" w:rsidRPr="00254D1A" w:rsidRDefault="004C2CE2" w:rsidP="002D4F12">
      <w:pPr>
        <w:pStyle w:val="ListParagraph"/>
        <w:widowControl/>
        <w:numPr>
          <w:ilvl w:val="1"/>
          <w:numId w:val="3"/>
        </w:numPr>
      </w:pPr>
      <w:r w:rsidRPr="00254D1A">
        <w:t>The PBAC acknowledged there may be practical benefits for some patients in reducing the number of daily injections from three to one, however also considered there may be disadvantages to</w:t>
      </w:r>
      <w:r w:rsidR="00504985" w:rsidRPr="00254D1A">
        <w:t xml:space="preserve"> some</w:t>
      </w:r>
      <w:r w:rsidRPr="00254D1A">
        <w:t xml:space="preserve"> patients due to reduced flexibility of insulin </w:t>
      </w:r>
      <w:r w:rsidR="00504985" w:rsidRPr="00254D1A">
        <w:t>glargine dosing</w:t>
      </w:r>
      <w:r w:rsidRPr="00254D1A">
        <w:t xml:space="preserve"> and</w:t>
      </w:r>
      <w:r w:rsidR="00961835" w:rsidRPr="00254D1A">
        <w:t xml:space="preserve"> the</w:t>
      </w:r>
      <w:r w:rsidRPr="00254D1A">
        <w:t xml:space="preserve"> potential inferiority of </w:t>
      </w:r>
      <w:r w:rsidR="0061681C" w:rsidRPr="00254D1A">
        <w:t xml:space="preserve">lixisenatide </w:t>
      </w:r>
      <w:r w:rsidRPr="00254D1A">
        <w:t>compared</w:t>
      </w:r>
      <w:r w:rsidR="0061681C">
        <w:t xml:space="preserve"> to</w:t>
      </w:r>
      <w:r w:rsidRPr="00254D1A">
        <w:t xml:space="preserve"> </w:t>
      </w:r>
      <w:r w:rsidR="0061681C" w:rsidRPr="00254D1A">
        <w:t>exenatide</w:t>
      </w:r>
      <w:r w:rsidRPr="00254D1A">
        <w:t xml:space="preserve">. </w:t>
      </w:r>
    </w:p>
    <w:p w:rsidR="008F0DD5" w:rsidRPr="00254D1A" w:rsidRDefault="008F0DD5" w:rsidP="002D4F12">
      <w:pPr>
        <w:pStyle w:val="ListParagraph"/>
        <w:widowControl/>
        <w:numPr>
          <w:ilvl w:val="1"/>
          <w:numId w:val="3"/>
        </w:numPr>
      </w:pPr>
      <w:r w:rsidRPr="00254D1A">
        <w:t xml:space="preserve">The PBAC </w:t>
      </w:r>
      <w:r w:rsidR="00531FE1">
        <w:t xml:space="preserve">considered that the </w:t>
      </w:r>
      <w:r w:rsidR="00680AA2" w:rsidRPr="00254D1A">
        <w:t xml:space="preserve">reduction in </w:t>
      </w:r>
      <w:r w:rsidR="00A65CD1" w:rsidRPr="00254D1A">
        <w:t>maximum quantity</w:t>
      </w:r>
      <w:r w:rsidR="00680AA2" w:rsidRPr="00254D1A">
        <w:t xml:space="preserve"> </w:t>
      </w:r>
      <w:r w:rsidR="00A65CD1" w:rsidRPr="00254D1A">
        <w:t xml:space="preserve">from 5 packs </w:t>
      </w:r>
      <w:r w:rsidR="00BA6016" w:rsidRPr="00254D1A">
        <w:t>to 1 in the resubmission</w:t>
      </w:r>
      <w:r w:rsidR="00531FE1">
        <w:t xml:space="preserve"> was appropriate to </w:t>
      </w:r>
      <w:r w:rsidR="00A65CD1" w:rsidRPr="00254D1A">
        <w:t xml:space="preserve">address </w:t>
      </w:r>
      <w:r w:rsidR="00531FE1">
        <w:t>its</w:t>
      </w:r>
      <w:r w:rsidR="00531FE1" w:rsidRPr="00254D1A">
        <w:t xml:space="preserve"> </w:t>
      </w:r>
      <w:r w:rsidR="00A65CD1" w:rsidRPr="00254D1A">
        <w:t>March 2018</w:t>
      </w:r>
      <w:r w:rsidR="00680AA2" w:rsidRPr="00254D1A">
        <w:t xml:space="preserve"> concern</w:t>
      </w:r>
      <w:r w:rsidR="00BA6016" w:rsidRPr="00254D1A">
        <w:t>s</w:t>
      </w:r>
      <w:r w:rsidR="00680AA2" w:rsidRPr="00254D1A">
        <w:t xml:space="preserve"> regarding wastage</w:t>
      </w:r>
      <w:r w:rsidR="00161647" w:rsidRPr="00254D1A">
        <w:t xml:space="preserve"> and potential for higher than forecast uptake due to convenience</w:t>
      </w:r>
      <w:r w:rsidR="00680AA2" w:rsidRPr="00254D1A">
        <w:t>.</w:t>
      </w:r>
      <w:r w:rsidR="0049397D">
        <w:t xml:space="preserve"> </w:t>
      </w:r>
      <w:r w:rsidR="00680AA2" w:rsidRPr="00254D1A">
        <w:t xml:space="preserve">The PBAC recalled </w:t>
      </w:r>
      <w:r w:rsidR="00BE01F4" w:rsidRPr="00254D1A">
        <w:t xml:space="preserve">that at that time </w:t>
      </w:r>
      <w:r w:rsidR="00680AA2" w:rsidRPr="00254D1A">
        <w:t xml:space="preserve">it had </w:t>
      </w:r>
      <w:r w:rsidR="00BE01F4" w:rsidRPr="00254D1A">
        <w:t xml:space="preserve">also </w:t>
      </w:r>
      <w:r w:rsidR="00680AA2" w:rsidRPr="00254D1A">
        <w:t>raised</w:t>
      </w:r>
      <w:r w:rsidRPr="00254D1A">
        <w:t xml:space="preserve"> concern</w:t>
      </w:r>
      <w:r w:rsidR="00680AA2" w:rsidRPr="00254D1A">
        <w:t>s</w:t>
      </w:r>
      <w:r w:rsidRPr="00254D1A">
        <w:t xml:space="preserve"> </w:t>
      </w:r>
      <w:r w:rsidR="00680AA2" w:rsidRPr="00254D1A">
        <w:t>regarding</w:t>
      </w:r>
      <w:r w:rsidRPr="00254D1A">
        <w:t xml:space="preserve"> use outside of</w:t>
      </w:r>
      <w:r w:rsidR="00680AA2" w:rsidRPr="00254D1A">
        <w:t xml:space="preserve"> the</w:t>
      </w:r>
      <w:r w:rsidRPr="00254D1A">
        <w:t xml:space="preserve"> proposed restriction</w:t>
      </w:r>
      <w:r w:rsidR="00680AA2" w:rsidRPr="00254D1A">
        <w:t xml:space="preserve"> and that th</w:t>
      </w:r>
      <w:r w:rsidR="00531FE1">
        <w:t>is</w:t>
      </w:r>
      <w:r w:rsidRPr="00254D1A">
        <w:t xml:space="preserve"> had not been addressed in the resubmission.</w:t>
      </w:r>
      <w:r w:rsidR="00E22122" w:rsidRPr="00254D1A">
        <w:t xml:space="preserve"> </w:t>
      </w:r>
    </w:p>
    <w:p w:rsidR="00680AA2" w:rsidRPr="00254D1A" w:rsidRDefault="00680AA2" w:rsidP="008D22AA">
      <w:pPr>
        <w:pStyle w:val="ListParagraph"/>
        <w:widowControl/>
        <w:numPr>
          <w:ilvl w:val="1"/>
          <w:numId w:val="3"/>
        </w:numPr>
      </w:pPr>
      <w:r w:rsidRPr="00254D1A">
        <w:t>The PBAC reiterated its March 2018 advice that the proposed clinical place for the product was reasonable.</w:t>
      </w:r>
    </w:p>
    <w:p w:rsidR="00F2573A" w:rsidRPr="00254D1A" w:rsidRDefault="00F2573A" w:rsidP="008D22AA">
      <w:pPr>
        <w:pStyle w:val="ListParagraph"/>
        <w:widowControl/>
        <w:numPr>
          <w:ilvl w:val="1"/>
          <w:numId w:val="3"/>
        </w:numPr>
      </w:pPr>
      <w:r w:rsidRPr="00254D1A">
        <w:t xml:space="preserve">The PBAC </w:t>
      </w:r>
      <w:r w:rsidR="00531FE1">
        <w:t>considered that the</w:t>
      </w:r>
      <w:r w:rsidRPr="00254D1A">
        <w:t xml:space="preserve"> comparator proposed by the submission</w:t>
      </w:r>
      <w:r w:rsidR="00531FE1">
        <w:t xml:space="preserve"> remained appropriate.</w:t>
      </w:r>
      <w:r w:rsidR="0049397D">
        <w:t xml:space="preserve"> </w:t>
      </w:r>
    </w:p>
    <w:p w:rsidR="00D207FF" w:rsidRPr="00254D1A" w:rsidRDefault="00D207FF" w:rsidP="00D207FF">
      <w:pPr>
        <w:pStyle w:val="ListParagraph"/>
        <w:widowControl/>
        <w:numPr>
          <w:ilvl w:val="1"/>
          <w:numId w:val="3"/>
        </w:numPr>
      </w:pPr>
      <w:r w:rsidRPr="00254D1A">
        <w:t xml:space="preserve">The PBAC noted the additional evidence from the GetGoal-X trial comparing exenatide to lixisenatide (without insulin glargine) presented in the resubmission, and considered that this did not reduce the uncertainty in relation to </w:t>
      </w:r>
      <w:r w:rsidR="00961835" w:rsidRPr="00254D1A">
        <w:t xml:space="preserve">comparative </w:t>
      </w:r>
      <w:r w:rsidRPr="00254D1A">
        <w:t>clinical effectiveness</w:t>
      </w:r>
      <w:r w:rsidR="00A37E6C" w:rsidRPr="00254D1A">
        <w:t xml:space="preserve">. </w:t>
      </w:r>
      <w:r w:rsidR="00C22B2E" w:rsidRPr="00254D1A">
        <w:t>This was because the results</w:t>
      </w:r>
      <w:r w:rsidR="00531FE1">
        <w:t xml:space="preserve"> demonstrated a statistically significantly larger reduction in HbA1c for exenatide compared to lixisenatide which</w:t>
      </w:r>
      <w:r w:rsidR="00C22B2E" w:rsidRPr="00254D1A">
        <w:t xml:space="preserve"> did not </w:t>
      </w:r>
      <w:r w:rsidR="00531FE1">
        <w:t>support</w:t>
      </w:r>
      <w:r w:rsidR="00C22B2E" w:rsidRPr="00254D1A">
        <w:t xml:space="preserve"> non-inferiority, and the </w:t>
      </w:r>
      <w:r w:rsidR="00531FE1">
        <w:t xml:space="preserve">results were of limited applicability as the </w:t>
      </w:r>
      <w:r w:rsidR="00C22B2E" w:rsidRPr="00254D1A">
        <w:t xml:space="preserve">treatment arms of the trial did not include insulin glargine. </w:t>
      </w:r>
    </w:p>
    <w:p w:rsidR="00762157" w:rsidRPr="00254D1A" w:rsidRDefault="00D207FF" w:rsidP="002243CA">
      <w:pPr>
        <w:pStyle w:val="ListParagraph"/>
        <w:widowControl/>
        <w:numPr>
          <w:ilvl w:val="1"/>
          <w:numId w:val="3"/>
        </w:numPr>
      </w:pPr>
      <w:r w:rsidRPr="00254D1A">
        <w:lastRenderedPageBreak/>
        <w:t xml:space="preserve">Overall, </w:t>
      </w:r>
      <w:r w:rsidR="00531FE1">
        <w:t>as no additional clinical data was presented</w:t>
      </w:r>
      <w:r w:rsidR="009D238F">
        <w:t xml:space="preserve"> in the resubmission</w:t>
      </w:r>
      <w:r w:rsidR="00531FE1">
        <w:t xml:space="preserve"> to support the claim of non-inferiority of insulin glargine with lixisenatide FRC compared to insulin glargine with exenatide, </w:t>
      </w:r>
      <w:r w:rsidRPr="00254D1A">
        <w:t xml:space="preserve">the PBAC reiterated its March 2018 advice that </w:t>
      </w:r>
      <w:r w:rsidR="00961835" w:rsidRPr="00254D1A">
        <w:t xml:space="preserve">the claim of </w:t>
      </w:r>
      <w:r w:rsidRPr="00254D1A">
        <w:t>non-inferior comparative effectiveness was uncertain but may be reasonable</w:t>
      </w:r>
      <w:r w:rsidR="00531FE1">
        <w:t xml:space="preserve">. </w:t>
      </w:r>
    </w:p>
    <w:p w:rsidR="00F2573A" w:rsidRPr="00254D1A" w:rsidRDefault="001C44D9" w:rsidP="001C44D9">
      <w:pPr>
        <w:pStyle w:val="ListParagraph"/>
        <w:widowControl/>
        <w:numPr>
          <w:ilvl w:val="1"/>
          <w:numId w:val="3"/>
        </w:numPr>
      </w:pPr>
      <w:r w:rsidRPr="00254D1A">
        <w:t xml:space="preserve">The PBAC reiterated its March 2018 advice </w:t>
      </w:r>
      <w:r w:rsidR="00136A0C" w:rsidRPr="00254D1A">
        <w:t xml:space="preserve">that the claim of </w:t>
      </w:r>
      <w:r w:rsidR="00D207FF" w:rsidRPr="00254D1A">
        <w:t>lixisenatide exhibited</w:t>
      </w:r>
      <w:r w:rsidR="004B7AC1" w:rsidRPr="00254D1A">
        <w:t xml:space="preserve"> </w:t>
      </w:r>
      <w:r w:rsidR="00D207FF" w:rsidRPr="00254D1A">
        <w:t>less</w:t>
      </w:r>
      <w:r w:rsidR="00136A0C" w:rsidRPr="00254D1A">
        <w:t xml:space="preserve"> gastrointestinal adverse events </w:t>
      </w:r>
      <w:r w:rsidR="00D207FF" w:rsidRPr="00254D1A">
        <w:t xml:space="preserve">when compared to exenatide </w:t>
      </w:r>
      <w:r w:rsidR="00136A0C" w:rsidRPr="00254D1A">
        <w:t>was not adequately supported</w:t>
      </w:r>
      <w:r w:rsidR="00E66078" w:rsidRPr="00254D1A">
        <w:t>.</w:t>
      </w:r>
      <w:r w:rsidR="0049397D">
        <w:t xml:space="preserve"> </w:t>
      </w:r>
      <w:r w:rsidR="00E66078" w:rsidRPr="00254D1A">
        <w:t xml:space="preserve">The PBAC </w:t>
      </w:r>
      <w:r w:rsidR="00D207FF" w:rsidRPr="00254D1A">
        <w:t xml:space="preserve">considered </w:t>
      </w:r>
      <w:r w:rsidR="00E66078" w:rsidRPr="00254D1A">
        <w:t xml:space="preserve">that the claim of </w:t>
      </w:r>
      <w:r w:rsidRPr="00254D1A">
        <w:t>non-inferior</w:t>
      </w:r>
      <w:r w:rsidR="00E66078" w:rsidRPr="00254D1A">
        <w:t xml:space="preserve"> safety</w:t>
      </w:r>
      <w:r w:rsidR="00D207FF" w:rsidRPr="00254D1A">
        <w:t xml:space="preserve"> of </w:t>
      </w:r>
      <w:r w:rsidR="00E66078" w:rsidRPr="00254D1A">
        <w:t>insulin glargine with lixisenatide to the comparator</w:t>
      </w:r>
      <w:r w:rsidR="003B53DD">
        <w:t xml:space="preserve"> </w:t>
      </w:r>
      <w:r w:rsidR="009D238F">
        <w:t>was</w:t>
      </w:r>
      <w:r w:rsidR="00D207FF" w:rsidRPr="00254D1A">
        <w:t xml:space="preserve"> </w:t>
      </w:r>
      <w:r w:rsidRPr="00254D1A">
        <w:t xml:space="preserve">reasonable. </w:t>
      </w:r>
    </w:p>
    <w:p w:rsidR="00163549" w:rsidRPr="00254D1A" w:rsidRDefault="00360CED" w:rsidP="00163549">
      <w:pPr>
        <w:pStyle w:val="ListParagraph"/>
        <w:widowControl/>
        <w:numPr>
          <w:ilvl w:val="1"/>
          <w:numId w:val="3"/>
        </w:numPr>
      </w:pPr>
      <w:r w:rsidRPr="00254D1A">
        <w:t>The PBAC noted the insulin sparing-effect claim</w:t>
      </w:r>
      <w:r w:rsidR="009D238F">
        <w:t>ed in the March 2018</w:t>
      </w:r>
      <w:r w:rsidR="0055691B" w:rsidRPr="00254D1A">
        <w:t xml:space="preserve"> </w:t>
      </w:r>
      <w:r w:rsidR="009D238F">
        <w:t xml:space="preserve">submission </w:t>
      </w:r>
      <w:r w:rsidR="0055691B" w:rsidRPr="00254D1A">
        <w:t>had been removed in the resubmission</w:t>
      </w:r>
      <w:r w:rsidR="00136A0C" w:rsidRPr="00254D1A">
        <w:t xml:space="preserve"> which aligned with the previous PBAC advice</w:t>
      </w:r>
      <w:r w:rsidR="0055691B" w:rsidRPr="00254D1A">
        <w:t>,</w:t>
      </w:r>
      <w:r w:rsidRPr="00254D1A">
        <w:t xml:space="preserve"> and that equi-effective doses had been adjusted</w:t>
      </w:r>
      <w:r w:rsidR="0055691B" w:rsidRPr="00254D1A">
        <w:t xml:space="preserve"> to a one-to-one ratio</w:t>
      </w:r>
      <w:r w:rsidR="00E52019" w:rsidRPr="00254D1A">
        <w:t xml:space="preserve"> (53.5 units/day for insulin glargine and 19.3 mcg/day lixisenatide given as a fixed ratio combination equi-effective to 53.5 units/day insulin glargine and 19.3 mcg/day exenatide given separately)</w:t>
      </w:r>
      <w:r w:rsidRPr="00254D1A">
        <w:t xml:space="preserve">. </w:t>
      </w:r>
      <w:r w:rsidR="008D22AA" w:rsidRPr="00254D1A">
        <w:t>T</w:t>
      </w:r>
      <w:r w:rsidRPr="00254D1A">
        <w:t xml:space="preserve">he PBAC </w:t>
      </w:r>
      <w:r w:rsidR="008D22AA" w:rsidRPr="00254D1A">
        <w:t>considered th</w:t>
      </w:r>
      <w:r w:rsidR="00762157" w:rsidRPr="00254D1A">
        <w:t xml:space="preserve">e </w:t>
      </w:r>
      <w:r w:rsidR="00E52019" w:rsidRPr="00254D1A">
        <w:t xml:space="preserve">revised </w:t>
      </w:r>
      <w:r w:rsidR="00762157" w:rsidRPr="00254D1A">
        <w:t xml:space="preserve">equi-effective ratio </w:t>
      </w:r>
      <w:r w:rsidR="001C44D9" w:rsidRPr="00254D1A">
        <w:t>may</w:t>
      </w:r>
      <w:r w:rsidR="008D22AA" w:rsidRPr="00254D1A">
        <w:t xml:space="preserve"> </w:t>
      </w:r>
      <w:r w:rsidR="00ED38AC" w:rsidRPr="00254D1A">
        <w:t>remain</w:t>
      </w:r>
      <w:r w:rsidR="001C44D9" w:rsidRPr="00254D1A">
        <w:t xml:space="preserve"> </w:t>
      </w:r>
      <w:r w:rsidR="00762157" w:rsidRPr="00254D1A">
        <w:t>optimistic</w:t>
      </w:r>
      <w:r w:rsidR="006224ED" w:rsidRPr="00254D1A">
        <w:t xml:space="preserve">, as </w:t>
      </w:r>
      <w:r w:rsidR="001C44D9" w:rsidRPr="00254D1A">
        <w:t>the PBAC</w:t>
      </w:r>
      <w:r w:rsidR="006224ED" w:rsidRPr="00254D1A">
        <w:t xml:space="preserve"> </w:t>
      </w:r>
      <w:r w:rsidR="001C44D9" w:rsidRPr="00254D1A">
        <w:t xml:space="preserve">had </w:t>
      </w:r>
      <w:r w:rsidR="00762157" w:rsidRPr="00254D1A">
        <w:t>previously</w:t>
      </w:r>
      <w:r w:rsidR="008D22AA" w:rsidRPr="00254D1A">
        <w:t xml:space="preserve"> </w:t>
      </w:r>
      <w:r w:rsidR="006224ED" w:rsidRPr="00254D1A">
        <w:t xml:space="preserve">considered </w:t>
      </w:r>
      <w:r w:rsidR="00BB21E9" w:rsidRPr="00254D1A">
        <w:t>lixis</w:t>
      </w:r>
      <w:r w:rsidR="006224ED" w:rsidRPr="00254D1A">
        <w:t xml:space="preserve">enatide may be </w:t>
      </w:r>
      <w:r w:rsidR="00BB21E9" w:rsidRPr="00254D1A">
        <w:t xml:space="preserve">inferior </w:t>
      </w:r>
      <w:r w:rsidR="006224ED" w:rsidRPr="00254D1A">
        <w:t xml:space="preserve">to </w:t>
      </w:r>
      <w:r w:rsidR="00BB21E9" w:rsidRPr="00254D1A">
        <w:t>exe</w:t>
      </w:r>
      <w:r w:rsidR="006224ED" w:rsidRPr="00254D1A">
        <w:t>natide on a mcg to mcg basis (</w:t>
      </w:r>
      <w:r w:rsidR="00E022F2" w:rsidRPr="00254D1A">
        <w:t>5.9 Lixisenatide Dual Triple Therapy , July 2014 PBAC Meeting PSD paragraph 7.</w:t>
      </w:r>
      <w:r w:rsidR="00365E54" w:rsidRPr="00254D1A">
        <w:t>5</w:t>
      </w:r>
      <w:r w:rsidR="006224ED" w:rsidRPr="00254D1A">
        <w:t xml:space="preserve">). </w:t>
      </w:r>
      <w:r w:rsidR="00163549">
        <w:t xml:space="preserve">The PBAC further considered that the patients on insulin glargine with lixisenatide FRC may not receive the </w:t>
      </w:r>
      <w:r w:rsidR="00F533B6">
        <w:t>therapeutic</w:t>
      </w:r>
      <w:r w:rsidR="00163549">
        <w:t xml:space="preserve"> dose of lixisenatide (20 mcg</w:t>
      </w:r>
      <w:r w:rsidR="009D238F">
        <w:t xml:space="preserve"> daily</w:t>
      </w:r>
      <w:r w:rsidR="00163549">
        <w:t xml:space="preserve">) due to the need to </w:t>
      </w:r>
      <w:r w:rsidR="0086641E">
        <w:t>down titrate</w:t>
      </w:r>
      <w:r w:rsidR="00163549">
        <w:t xml:space="preserve"> </w:t>
      </w:r>
      <w:r w:rsidR="00E544B6">
        <w:t xml:space="preserve">the </w:t>
      </w:r>
      <w:r w:rsidR="00163549">
        <w:t xml:space="preserve">insulin </w:t>
      </w:r>
      <w:r w:rsidR="00E544B6">
        <w:t xml:space="preserve">component </w:t>
      </w:r>
      <w:r w:rsidR="00163549">
        <w:t>in the FRC formulation, which increased uncertainty around equi-effective doses.</w:t>
      </w:r>
    </w:p>
    <w:p w:rsidR="009D238F" w:rsidRPr="00254D1A" w:rsidRDefault="007309C0" w:rsidP="009D238F">
      <w:pPr>
        <w:numPr>
          <w:ilvl w:val="1"/>
          <w:numId w:val="3"/>
        </w:numPr>
        <w:spacing w:after="120"/>
      </w:pPr>
      <w:r w:rsidRPr="00254D1A">
        <w:rPr>
          <w:rFonts w:asciiTheme="minorHAnsi" w:hAnsiTheme="minorHAnsi"/>
          <w:bCs/>
          <w:lang w:val="en-GB"/>
        </w:rPr>
        <w:t xml:space="preserve">The PBAC </w:t>
      </w:r>
      <w:r w:rsidR="00161647" w:rsidRPr="00254D1A">
        <w:rPr>
          <w:rFonts w:asciiTheme="minorHAnsi" w:hAnsiTheme="minorHAnsi"/>
          <w:bCs/>
          <w:lang w:val="en-GB"/>
        </w:rPr>
        <w:t xml:space="preserve">noted adjustments to </w:t>
      </w:r>
      <w:r w:rsidR="00961835" w:rsidRPr="00254D1A">
        <w:rPr>
          <w:rFonts w:asciiTheme="minorHAnsi" w:hAnsiTheme="minorHAnsi"/>
          <w:bCs/>
          <w:lang w:val="en-GB"/>
        </w:rPr>
        <w:t xml:space="preserve">the </w:t>
      </w:r>
      <w:r w:rsidR="009D238F">
        <w:rPr>
          <w:rFonts w:asciiTheme="minorHAnsi" w:hAnsiTheme="minorHAnsi"/>
          <w:bCs/>
          <w:lang w:val="en-GB"/>
        </w:rPr>
        <w:t xml:space="preserve">estimated use </w:t>
      </w:r>
      <w:r w:rsidR="00161647" w:rsidRPr="00254D1A">
        <w:rPr>
          <w:rFonts w:asciiTheme="minorHAnsi" w:hAnsiTheme="minorHAnsi"/>
          <w:bCs/>
          <w:lang w:val="en-GB"/>
        </w:rPr>
        <w:t xml:space="preserve">to allow for uptake of the product in patients that would otherwise have been prescribed basal insulin plus a sulfonylurea in years 1 to 3 and the use of more recent PBS sample data to estimate the eligible patient population and co-payments and </w:t>
      </w:r>
      <w:r w:rsidR="003462DA" w:rsidRPr="00254D1A">
        <w:rPr>
          <w:rFonts w:asciiTheme="minorHAnsi" w:hAnsiTheme="minorHAnsi"/>
          <w:bCs/>
          <w:lang w:val="en-GB"/>
        </w:rPr>
        <w:t>correction to use current PBS prices</w:t>
      </w:r>
      <w:r w:rsidR="00161647" w:rsidRPr="00254D1A">
        <w:rPr>
          <w:rFonts w:asciiTheme="minorHAnsi" w:hAnsiTheme="minorHAnsi"/>
          <w:bCs/>
          <w:lang w:val="en-GB"/>
        </w:rPr>
        <w:t>.</w:t>
      </w:r>
      <w:r w:rsidR="0049397D">
        <w:rPr>
          <w:rFonts w:asciiTheme="minorHAnsi" w:hAnsiTheme="minorHAnsi"/>
          <w:bCs/>
          <w:lang w:val="en-GB"/>
        </w:rPr>
        <w:t xml:space="preserve"> </w:t>
      </w:r>
      <w:r w:rsidR="009D238F" w:rsidRPr="00254D1A">
        <w:t>The PBAC recalled its March 2018 advice that the eligible population figures were acceptable for the proposed population, however utilisation was likely underestimated due to probable use outside of the restriction, preferences for fewer injections and lower out of pocket costs for consumers. The PBAC considered that these concerns were partially addressed in the resubmission through the use of revised PBS data samples, and revisions to the maximum quantities in the restriction.</w:t>
      </w:r>
    </w:p>
    <w:p w:rsidR="003A1ACA" w:rsidRPr="00254D1A" w:rsidRDefault="00961835" w:rsidP="003A1ACA">
      <w:pPr>
        <w:pStyle w:val="ListParagraph"/>
        <w:widowControl/>
        <w:numPr>
          <w:ilvl w:val="1"/>
          <w:numId w:val="3"/>
        </w:numPr>
      </w:pPr>
      <w:r w:rsidRPr="00254D1A">
        <w:t xml:space="preserve">The PBAC noted the changes to the equi-effective doses resulted in lower proposed ex-manufacturer prices for both the 50 mcg/mL and 33 mcg/mL pens, and a reduction of </w:t>
      </w:r>
      <w:r w:rsidR="00B0555E">
        <w:t xml:space="preserve">less than </w:t>
      </w:r>
      <w:r w:rsidRPr="00254D1A">
        <w:t>$</w:t>
      </w:r>
      <w:r w:rsidR="00B0555E">
        <w:t xml:space="preserve">10 </w:t>
      </w:r>
      <w:r w:rsidRPr="00254D1A">
        <w:t>million over 6 years compared to the previous submission</w:t>
      </w:r>
      <w:r w:rsidR="003A1ACA" w:rsidRPr="00254D1A">
        <w:t xml:space="preserve">. The PBAC noted that there remained a proposed net </w:t>
      </w:r>
      <w:r w:rsidR="009D238F">
        <w:t xml:space="preserve">increased </w:t>
      </w:r>
      <w:r w:rsidR="003A1ACA" w:rsidRPr="00254D1A">
        <w:t>cost to PBS of $</w:t>
      </w:r>
      <w:r w:rsidR="00B0555E">
        <w:t>30 to $60</w:t>
      </w:r>
      <w:r w:rsidR="003A1ACA" w:rsidRPr="00254D1A">
        <w:t xml:space="preserve"> million over 6 years</w:t>
      </w:r>
      <w:r w:rsidR="002F1D42">
        <w:t>.</w:t>
      </w:r>
      <w:r w:rsidR="009D238F">
        <w:t xml:space="preserve"> </w:t>
      </w:r>
      <w:r w:rsidR="002F1D42">
        <w:t xml:space="preserve">Considering </w:t>
      </w:r>
      <w:r w:rsidR="003A1ACA" w:rsidRPr="00254D1A">
        <w:t>the</w:t>
      </w:r>
      <w:r w:rsidR="009D238F">
        <w:t xml:space="preserve"> </w:t>
      </w:r>
      <w:r w:rsidR="00E544B6">
        <w:t xml:space="preserve">small </w:t>
      </w:r>
      <w:r w:rsidR="009D238F">
        <w:t>potential</w:t>
      </w:r>
      <w:r w:rsidR="003A1ACA" w:rsidRPr="00254D1A">
        <w:t xml:space="preserve"> benefit </w:t>
      </w:r>
      <w:r w:rsidR="009D238F">
        <w:t xml:space="preserve">to patients </w:t>
      </w:r>
      <w:r w:rsidR="003A1ACA" w:rsidRPr="00254D1A">
        <w:t xml:space="preserve">of reducing from three injections to one injection weighed against disadvantages </w:t>
      </w:r>
      <w:r w:rsidR="009D238F">
        <w:t>of</w:t>
      </w:r>
      <w:r w:rsidR="003A1ACA" w:rsidRPr="00254D1A">
        <w:t xml:space="preserve"> </w:t>
      </w:r>
      <w:r w:rsidR="002F1D42">
        <w:t xml:space="preserve">reduced dosing flexibility </w:t>
      </w:r>
      <w:r w:rsidR="003A1ACA" w:rsidRPr="00254D1A">
        <w:t xml:space="preserve">and possible inferiority of </w:t>
      </w:r>
      <w:r w:rsidR="009D238F">
        <w:t>lixisenatide compared to exenatide</w:t>
      </w:r>
      <w:r w:rsidR="003A1ACA" w:rsidRPr="00254D1A">
        <w:t xml:space="preserve">, </w:t>
      </w:r>
      <w:r w:rsidR="002F1D42">
        <w:t xml:space="preserve">the PBAC </w:t>
      </w:r>
      <w:r w:rsidR="003A1ACA" w:rsidRPr="00254D1A">
        <w:t>did not</w:t>
      </w:r>
      <w:r w:rsidR="002F1D42">
        <w:t xml:space="preserve"> consider that this increased cost to the PBS was</w:t>
      </w:r>
      <w:r w:rsidR="003A1ACA" w:rsidRPr="00254D1A">
        <w:t xml:space="preserve"> </w:t>
      </w:r>
      <w:r w:rsidR="009D238F">
        <w:t xml:space="preserve">adequately </w:t>
      </w:r>
      <w:r w:rsidR="003A1ACA" w:rsidRPr="00254D1A">
        <w:t>justif</w:t>
      </w:r>
      <w:r w:rsidR="002F1D42">
        <w:t>ied</w:t>
      </w:r>
      <w:r w:rsidR="003A1ACA" w:rsidRPr="00254D1A">
        <w:t>.</w:t>
      </w:r>
      <w:r w:rsidR="0049397D">
        <w:t xml:space="preserve"> </w:t>
      </w:r>
    </w:p>
    <w:p w:rsidR="006224ED" w:rsidRPr="00254D1A" w:rsidRDefault="006224ED" w:rsidP="006224ED">
      <w:pPr>
        <w:pStyle w:val="ListParagraph"/>
        <w:widowControl/>
        <w:numPr>
          <w:ilvl w:val="1"/>
          <w:numId w:val="3"/>
        </w:numPr>
      </w:pPr>
      <w:r w:rsidRPr="00254D1A">
        <w:t>The PBAC noted that no quality use of medicine activities were proposed</w:t>
      </w:r>
      <w:r w:rsidR="009E33A4" w:rsidRPr="00254D1A">
        <w:t xml:space="preserve"> in the resubmission</w:t>
      </w:r>
      <w:r w:rsidR="004C1FC1" w:rsidRPr="00254D1A">
        <w:t xml:space="preserve">, </w:t>
      </w:r>
      <w:r w:rsidR="00E7105B">
        <w:t>as previously</w:t>
      </w:r>
      <w:r w:rsidR="009E33A4" w:rsidRPr="00254D1A">
        <w:t xml:space="preserve"> </w:t>
      </w:r>
      <w:r w:rsidRPr="00254D1A">
        <w:t xml:space="preserve">requested </w:t>
      </w:r>
      <w:r w:rsidR="009E33A4" w:rsidRPr="00254D1A">
        <w:t>by the PBAC</w:t>
      </w:r>
      <w:r w:rsidR="004C1FC1" w:rsidRPr="00254D1A">
        <w:t>.</w:t>
      </w:r>
      <w:r w:rsidR="0049397D">
        <w:t xml:space="preserve"> </w:t>
      </w:r>
    </w:p>
    <w:p w:rsidR="0055691B" w:rsidRPr="00254D1A" w:rsidRDefault="0055691B" w:rsidP="00534DF8">
      <w:pPr>
        <w:pStyle w:val="ListParagraph"/>
        <w:widowControl/>
        <w:numPr>
          <w:ilvl w:val="1"/>
          <w:numId w:val="3"/>
        </w:numPr>
      </w:pPr>
      <w:r w:rsidRPr="00254D1A">
        <w:lastRenderedPageBreak/>
        <w:t>The PBAC noted the resubmission did not propose a Risk Sharing Arrangement</w:t>
      </w:r>
      <w:r w:rsidR="001A6E4C" w:rsidRPr="00254D1A">
        <w:t xml:space="preserve"> (RSA)</w:t>
      </w:r>
      <w:r w:rsidRPr="00254D1A">
        <w:t xml:space="preserve"> with an expenditure cap, </w:t>
      </w:r>
      <w:r w:rsidR="00BB21E9" w:rsidRPr="00254D1A">
        <w:t xml:space="preserve">which was </w:t>
      </w:r>
      <w:r w:rsidR="009D238F">
        <w:t>recommended in the March 2018 consideration</w:t>
      </w:r>
      <w:r w:rsidR="008F0DD5" w:rsidRPr="00254D1A">
        <w:t xml:space="preserve"> (</w:t>
      </w:r>
      <w:r w:rsidR="00C53295" w:rsidRPr="00254D1A">
        <w:t xml:space="preserve">5.05 Insulin glargine with lixisenatide March 2018 PBAC Meeting </w:t>
      </w:r>
      <w:r w:rsidR="00837F06">
        <w:t>Public Summary Document (</w:t>
      </w:r>
      <w:r w:rsidR="00C53295" w:rsidRPr="00254D1A">
        <w:t>PSD</w:t>
      </w:r>
      <w:r w:rsidR="00837F06">
        <w:t>)</w:t>
      </w:r>
      <w:r w:rsidR="00E022F2" w:rsidRPr="00254D1A">
        <w:t>, paragraph 7.16</w:t>
      </w:r>
      <w:r w:rsidR="008F0DD5" w:rsidRPr="00254D1A">
        <w:t>)</w:t>
      </w:r>
      <w:r w:rsidRPr="00254D1A">
        <w:t>.</w:t>
      </w:r>
      <w:r w:rsidR="00534DF8" w:rsidRPr="00254D1A">
        <w:t xml:space="preserve"> It noted the Pre-PBAC response</w:t>
      </w:r>
      <w:r w:rsidR="00F61B39" w:rsidRPr="00254D1A">
        <w:t xml:space="preserve"> </w:t>
      </w:r>
      <w:r w:rsidR="00534DF8" w:rsidRPr="00254D1A">
        <w:t xml:space="preserve">stated (the Sponsor) ‘is willing to work with the Department to ensure that mechanisms are in place to help guide physicians towards appropriate patient selection and to provide the Commonwealth with budgetary certainty’, however did not explicitly express willingness to </w:t>
      </w:r>
      <w:r w:rsidR="00F61B39" w:rsidRPr="00254D1A">
        <w:t>negotiate an RSA.</w:t>
      </w:r>
      <w:r w:rsidR="00E544B6">
        <w:t xml:space="preserve"> The PBAC considered that a RSA subsidy cap set at an acceptable utilisation rate of eligible patients with a 100% reimbursement rate for use over the subsidy cap would be appropriate to </w:t>
      </w:r>
      <w:r w:rsidR="00E544B6" w:rsidRPr="00254D1A">
        <w:t>provide the Commonwealth with</w:t>
      </w:r>
      <w:r w:rsidR="00E544B6">
        <w:t xml:space="preserve"> a degree of</w:t>
      </w:r>
      <w:r w:rsidR="00E544B6" w:rsidRPr="00254D1A">
        <w:t xml:space="preserve"> budgetary certainty</w:t>
      </w:r>
      <w:r w:rsidR="00E544B6">
        <w:t xml:space="preserve">. </w:t>
      </w:r>
    </w:p>
    <w:p w:rsidR="002243CA" w:rsidRPr="00DF7984" w:rsidRDefault="00DF7984" w:rsidP="00B416F0">
      <w:pPr>
        <w:pStyle w:val="ListParagraph"/>
        <w:widowControl/>
        <w:numPr>
          <w:ilvl w:val="1"/>
          <w:numId w:val="3"/>
        </w:numPr>
      </w:pPr>
      <w:r w:rsidRPr="00254D1A">
        <w:t xml:space="preserve">The PBAC considered that </w:t>
      </w:r>
      <w:r w:rsidR="001A6E4C" w:rsidRPr="00254D1A">
        <w:t xml:space="preserve">in the absence of further data to support a major submission, </w:t>
      </w:r>
      <w:r w:rsidRPr="00254D1A">
        <w:t xml:space="preserve">a future resubmission </w:t>
      </w:r>
      <w:r w:rsidR="00E513D1" w:rsidRPr="00254D1A">
        <w:t>may</w:t>
      </w:r>
      <w:r w:rsidRPr="00254D1A">
        <w:t xml:space="preserve"> be </w:t>
      </w:r>
      <w:r w:rsidR="00E513D1" w:rsidRPr="00254D1A">
        <w:t>acceptable</w:t>
      </w:r>
      <w:r w:rsidRPr="00254D1A">
        <w:t xml:space="preserve"> as a </w:t>
      </w:r>
      <w:r w:rsidR="00FE10A1" w:rsidRPr="00254D1A">
        <w:t>minor submission</w:t>
      </w:r>
      <w:r w:rsidRPr="00254D1A">
        <w:t xml:space="preserve">. </w:t>
      </w:r>
      <w:r w:rsidR="00697E5D" w:rsidRPr="00254D1A">
        <w:t xml:space="preserve">The PBAC considered that </w:t>
      </w:r>
      <w:r w:rsidR="003B53DD">
        <w:t>in light of the evidence presented</w:t>
      </w:r>
      <w:r w:rsidR="00697E5D" w:rsidRPr="00254D1A">
        <w:t xml:space="preserve">, a proposal for PBS listing </w:t>
      </w:r>
      <w:r w:rsidR="00A17D8B">
        <w:t xml:space="preserve">should be </w:t>
      </w:r>
      <w:r w:rsidR="00961835" w:rsidRPr="00254D1A">
        <w:t xml:space="preserve">at </w:t>
      </w:r>
      <w:r w:rsidR="00EE7DFD">
        <w:t>no</w:t>
      </w:r>
      <w:r w:rsidR="00961835" w:rsidRPr="00254D1A">
        <w:t xml:space="preserve"> net cost to the PBS </w:t>
      </w:r>
      <w:r w:rsidR="009D238F">
        <w:t>given</w:t>
      </w:r>
      <w:r w:rsidR="00961835" w:rsidRPr="00254D1A">
        <w:t xml:space="preserve"> insulin glargine with lixisenatide FRC was </w:t>
      </w:r>
      <w:r w:rsidR="00A17D8B">
        <w:t>optimistically considered</w:t>
      </w:r>
      <w:r w:rsidR="00961835" w:rsidRPr="00254D1A">
        <w:t xml:space="preserve"> non</w:t>
      </w:r>
      <w:r w:rsidR="004B6A00">
        <w:t>-</w:t>
      </w:r>
      <w:r w:rsidR="00961835" w:rsidRPr="00254D1A">
        <w:t>inferior to the comparator, however was likely inferior</w:t>
      </w:r>
      <w:r w:rsidR="000D0312">
        <w:t>,</w:t>
      </w:r>
      <w:r w:rsidR="00A17D8B">
        <w:t xml:space="preserve"> </w:t>
      </w:r>
      <w:r w:rsidR="00961835" w:rsidRPr="00254D1A">
        <w:t>and</w:t>
      </w:r>
      <w:r w:rsidR="00A17D8B">
        <w:t xml:space="preserve"> therefore</w:t>
      </w:r>
      <w:r w:rsidR="00961835" w:rsidRPr="00254D1A">
        <w:t xml:space="preserve"> did not justify increased PBS expenditure.</w:t>
      </w:r>
      <w:r w:rsidR="0049397D">
        <w:t xml:space="preserve"> </w:t>
      </w:r>
      <w:r w:rsidR="00EE7DFD">
        <w:t>A price reduction was considered to be appropriate to address the</w:t>
      </w:r>
      <w:r w:rsidR="00B416F0">
        <w:t xml:space="preserve"> </w:t>
      </w:r>
      <w:r w:rsidR="00B416F0" w:rsidRPr="00B416F0">
        <w:t>residual uncertainty around the claim of non-inferiority and the appropriate equi-effective doses</w:t>
      </w:r>
      <w:r w:rsidR="00B416F0">
        <w:t>.</w:t>
      </w:r>
      <w:r w:rsidR="00EE7DFD">
        <w:t xml:space="preserve"> </w:t>
      </w:r>
      <w:r w:rsidR="00F2573A" w:rsidRPr="00254D1A">
        <w:t>A</w:t>
      </w:r>
      <w:r w:rsidR="0033469D" w:rsidRPr="00254D1A">
        <w:t xml:space="preserve"> resubmission</w:t>
      </w:r>
      <w:r w:rsidR="00697E5D" w:rsidRPr="00254D1A">
        <w:t xml:space="preserve"> would need to </w:t>
      </w:r>
      <w:r w:rsidR="0033469D" w:rsidRPr="00254D1A">
        <w:t xml:space="preserve">include a RSA with an expenditure cap </w:t>
      </w:r>
      <w:r w:rsidR="000D0312">
        <w:t xml:space="preserve">as outlined above </w:t>
      </w:r>
      <w:r w:rsidR="0033469D" w:rsidRPr="00254D1A">
        <w:t xml:space="preserve">to </w:t>
      </w:r>
      <w:r w:rsidR="00D21219" w:rsidRPr="00254D1A">
        <w:t>mitigate</w:t>
      </w:r>
      <w:r w:rsidR="00697E5D" w:rsidRPr="00254D1A">
        <w:t xml:space="preserve"> </w:t>
      </w:r>
      <w:r w:rsidR="0033469D" w:rsidRPr="00254D1A">
        <w:t xml:space="preserve">residual </w:t>
      </w:r>
      <w:r w:rsidR="00D21219" w:rsidRPr="00254D1A">
        <w:t xml:space="preserve">risk due to </w:t>
      </w:r>
      <w:r w:rsidR="001A6E4C" w:rsidRPr="00254D1A">
        <w:t>uncertain</w:t>
      </w:r>
      <w:r w:rsidRPr="00254D1A">
        <w:t xml:space="preserve"> drug utilisation</w:t>
      </w:r>
      <w:r w:rsidR="004B6A00">
        <w:t xml:space="preserve"> from use outside of the restriction, preferences for fewer injections and lower out of pocket costs for consumers</w:t>
      </w:r>
      <w:r w:rsidR="00697E5D" w:rsidRPr="00254D1A">
        <w:t xml:space="preserve">. </w:t>
      </w:r>
      <w:r w:rsidRPr="00254D1A">
        <w:t xml:space="preserve">The PBAC considered that </w:t>
      </w:r>
      <w:r w:rsidR="00120379" w:rsidRPr="00254D1A">
        <w:t>there wa</w:t>
      </w:r>
      <w:r w:rsidR="002818FD" w:rsidRPr="00254D1A">
        <w:t>s unlikely to be any additional evidence to support the</w:t>
      </w:r>
      <w:r w:rsidR="00E7105B">
        <w:t xml:space="preserve"> claim of</w:t>
      </w:r>
      <w:r w:rsidR="002818FD" w:rsidRPr="00254D1A">
        <w:t xml:space="preserve"> non-inferiority of lixisenatide to exenatide</w:t>
      </w:r>
      <w:r w:rsidRPr="00254D1A">
        <w:t>, and that th</w:t>
      </w:r>
      <w:r w:rsidR="00F2573A" w:rsidRPr="00254D1A">
        <w:t>is</w:t>
      </w:r>
      <w:r w:rsidRPr="00254D1A">
        <w:t xml:space="preserve"> approach </w:t>
      </w:r>
      <w:r w:rsidR="00F2573A" w:rsidRPr="00254D1A">
        <w:t>to a minor submission c</w:t>
      </w:r>
      <w:r w:rsidRPr="00254D1A">
        <w:t xml:space="preserve">ould pragmatically support the listing </w:t>
      </w:r>
      <w:r w:rsidR="002243CA" w:rsidRPr="00254D1A">
        <w:t>of insulin glargine with lixisenatide</w:t>
      </w:r>
      <w:r w:rsidR="005E5873" w:rsidRPr="00254D1A">
        <w:t xml:space="preserve"> FRC</w:t>
      </w:r>
      <w:r w:rsidR="002243CA" w:rsidRPr="00254D1A">
        <w:t>, at</w:t>
      </w:r>
      <w:r w:rsidR="002243CA" w:rsidRPr="00DF7984">
        <w:t xml:space="preserve"> a price reflective </w:t>
      </w:r>
      <w:r w:rsidR="00D21219">
        <w:t xml:space="preserve">of </w:t>
      </w:r>
      <w:r w:rsidR="00533788">
        <w:t xml:space="preserve">available evidence. </w:t>
      </w:r>
    </w:p>
    <w:p w:rsidR="00BE5339" w:rsidRPr="00FE0EE1" w:rsidRDefault="00016D7C" w:rsidP="002243CA">
      <w:pPr>
        <w:pStyle w:val="ListParagraph"/>
        <w:widowControl/>
        <w:numPr>
          <w:ilvl w:val="1"/>
          <w:numId w:val="3"/>
        </w:numPr>
        <w:rPr>
          <w:rFonts w:asciiTheme="minorHAnsi" w:hAnsiTheme="minorHAnsi"/>
          <w:bCs/>
          <w:lang w:val="en-GB"/>
        </w:rPr>
      </w:pPr>
      <w:r w:rsidRPr="00CA7E34">
        <w:rPr>
          <w:rFonts w:asciiTheme="minorHAnsi" w:hAnsiTheme="minorHAnsi"/>
          <w:bCs/>
          <w:lang w:val="en-GB"/>
        </w:rPr>
        <w:t xml:space="preserve">The PBAC noted that this submission is eligible for an Independent Review. </w:t>
      </w:r>
    </w:p>
    <w:p w:rsidR="0055691B" w:rsidRPr="00525B39" w:rsidRDefault="0055691B" w:rsidP="0055691B">
      <w:pPr>
        <w:spacing w:before="240"/>
        <w:rPr>
          <w:rFonts w:asciiTheme="minorHAnsi" w:hAnsiTheme="minorHAnsi"/>
          <w:b/>
          <w:bCs/>
          <w:lang w:val="en-GB"/>
        </w:rPr>
      </w:pPr>
      <w:r w:rsidRPr="00525B39">
        <w:rPr>
          <w:rFonts w:asciiTheme="minorHAnsi" w:hAnsiTheme="minorHAnsi"/>
          <w:b/>
          <w:bCs/>
          <w:lang w:val="en-GB"/>
        </w:rPr>
        <w:t>Outcome:</w:t>
      </w:r>
    </w:p>
    <w:p w:rsidR="0055691B" w:rsidRPr="005C34A8" w:rsidRDefault="0055691B" w:rsidP="0055691B">
      <w:pPr>
        <w:rPr>
          <w:rFonts w:asciiTheme="minorHAnsi" w:hAnsiTheme="minorHAnsi"/>
          <w:bCs/>
          <w:lang w:val="en-GB"/>
        </w:rPr>
      </w:pPr>
      <w:r w:rsidRPr="00525B39">
        <w:rPr>
          <w:rFonts w:asciiTheme="minorHAnsi" w:hAnsiTheme="minorHAnsi"/>
          <w:bCs/>
          <w:lang w:val="en-GB"/>
        </w:rPr>
        <w:t>Rejected</w:t>
      </w:r>
    </w:p>
    <w:p w:rsidR="00C50F42" w:rsidRPr="00C50F42" w:rsidRDefault="00C50F42" w:rsidP="005C34A8">
      <w:pPr>
        <w:pStyle w:val="PBACHeading1"/>
        <w:spacing w:before="240" w:after="120"/>
      </w:pPr>
      <w:r w:rsidRPr="00C50F42">
        <w:t>Context for Decision</w:t>
      </w:r>
    </w:p>
    <w:p w:rsidR="00C50F42" w:rsidRPr="00C50F42" w:rsidRDefault="00C50F42" w:rsidP="005C34A8">
      <w:pPr>
        <w:widowControl/>
        <w:spacing w:line="276" w:lineRule="auto"/>
        <w:ind w:left="709"/>
        <w:rPr>
          <w:rFonts w:asciiTheme="minorHAnsi" w:eastAsiaTheme="minorHAnsi" w:hAnsiTheme="minorHAnsi"/>
          <w:snapToGrid/>
        </w:rPr>
      </w:pPr>
      <w:r w:rsidRPr="00C50F42">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50F42" w:rsidRPr="00C50F42" w:rsidRDefault="00C50F42" w:rsidP="005C34A8">
      <w:pPr>
        <w:pStyle w:val="PBACHeading1"/>
        <w:keepNext/>
        <w:keepLines/>
        <w:spacing w:before="240" w:after="120"/>
      </w:pPr>
      <w:r w:rsidRPr="00C50F42">
        <w:lastRenderedPageBreak/>
        <w:t>Sponsor’s Comment</w:t>
      </w:r>
    </w:p>
    <w:p w:rsidR="00271A58" w:rsidRDefault="00B4592C" w:rsidP="005C34A8">
      <w:pPr>
        <w:keepNext/>
        <w:keepLines/>
        <w:widowControl/>
        <w:ind w:left="720"/>
        <w:jc w:val="left"/>
        <w:rPr>
          <w:b/>
          <w:i/>
        </w:rPr>
      </w:pPr>
      <w:r w:rsidRPr="00B4592C">
        <w:rPr>
          <w:rFonts w:asciiTheme="minorHAnsi" w:eastAsiaTheme="minorHAnsi" w:hAnsiTheme="minorHAnsi"/>
          <w:bCs/>
          <w:snapToGrid/>
          <w:lang w:val="en-GB"/>
        </w:rPr>
        <w:t>Sanofi is disappointed by the Committee’s decision and the further delay to access to a convenient alternative treatment option for Australian diabetics in provided by the fixed ratio combination of lixisenatide with insulin glargine.  We welcome the Committee’s pragmatism and hope to be able to find a way forward towards providing access to this medicine in Australia.</w:t>
      </w:r>
    </w:p>
    <w:sectPr w:rsidR="00271A58" w:rsidSect="008B6152">
      <w:headerReference w:type="default" r:id="rId8"/>
      <w:footerReference w:type="default" r:id="rId9"/>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8FEB0B" w16cid:durableId="201A487E"/>
  <w16cid:commentId w16cid:paraId="6847076D" w16cid:durableId="201A487F"/>
  <w16cid:commentId w16cid:paraId="29AF157A" w16cid:durableId="201A5038"/>
  <w16cid:commentId w16cid:paraId="13A0D8C0" w16cid:durableId="201A4880"/>
  <w16cid:commentId w16cid:paraId="72E13445" w16cid:durableId="201A5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54F" w:rsidRDefault="000D054F" w:rsidP="00124A51">
      <w:r>
        <w:separator/>
      </w:r>
    </w:p>
    <w:p w:rsidR="000D054F" w:rsidRDefault="000D054F"/>
  </w:endnote>
  <w:endnote w:type="continuationSeparator" w:id="0">
    <w:p w:rsidR="000D054F" w:rsidRDefault="000D054F" w:rsidP="00124A51">
      <w:r>
        <w:continuationSeparator/>
      </w:r>
    </w:p>
    <w:p w:rsidR="000D054F" w:rsidRDefault="000D0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5A6" w:rsidRPr="0086641E" w:rsidRDefault="00AA75A6" w:rsidP="00B66CF9">
    <w:pPr>
      <w:pStyle w:val="Footer"/>
      <w:jc w:val="center"/>
      <w:rPr>
        <w:b/>
      </w:rPr>
    </w:pPr>
    <w:r w:rsidRPr="0086641E">
      <w:rPr>
        <w:b/>
      </w:rPr>
      <w:fldChar w:fldCharType="begin"/>
    </w:r>
    <w:r w:rsidRPr="0086641E">
      <w:rPr>
        <w:b/>
      </w:rPr>
      <w:instrText xml:space="preserve"> PAGE   \* MERGEFORMAT </w:instrText>
    </w:r>
    <w:r w:rsidRPr="0086641E">
      <w:rPr>
        <w:b/>
      </w:rPr>
      <w:fldChar w:fldCharType="separate"/>
    </w:r>
    <w:r w:rsidR="00A54FDB">
      <w:rPr>
        <w:b/>
        <w:noProof/>
      </w:rPr>
      <w:t>24</w:t>
    </w:r>
    <w:r w:rsidRPr="0086641E">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54F" w:rsidRDefault="000D054F" w:rsidP="00124A51">
      <w:r>
        <w:separator/>
      </w:r>
    </w:p>
    <w:p w:rsidR="000D054F" w:rsidRDefault="000D054F"/>
  </w:footnote>
  <w:footnote w:type="continuationSeparator" w:id="0">
    <w:p w:rsidR="000D054F" w:rsidRDefault="000D054F" w:rsidP="00124A51">
      <w:r>
        <w:continuationSeparator/>
      </w:r>
    </w:p>
    <w:p w:rsidR="000D054F" w:rsidRDefault="000D05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5A6" w:rsidRPr="00E11E1D" w:rsidRDefault="00AA75A6" w:rsidP="00E11E1D">
    <w:pPr>
      <w:widowControl/>
      <w:tabs>
        <w:tab w:val="center" w:pos="4513"/>
        <w:tab w:val="right" w:pos="9026"/>
      </w:tabs>
      <w:jc w:val="center"/>
      <w:rPr>
        <w:rFonts w:asciiTheme="minorHAnsi" w:eastAsiaTheme="minorHAnsi" w:hAnsiTheme="minorHAnsi" w:cstheme="minorHAnsi"/>
        <w:i/>
        <w:snapToGrid/>
        <w:color w:val="808080"/>
      </w:rPr>
    </w:pPr>
    <w:r w:rsidRPr="00E11E1D">
      <w:rPr>
        <w:rFonts w:asciiTheme="minorHAnsi" w:eastAsiaTheme="minorHAnsi" w:hAnsiTheme="minorHAnsi" w:cstheme="minorHAnsi"/>
        <w:i/>
        <w:snapToGrid/>
        <w:color w:val="808080"/>
      </w:rPr>
      <w:t>Public Summary Document – March 2019 PBAC Meeting</w:t>
    </w:r>
  </w:p>
  <w:p w:rsidR="00AA75A6" w:rsidRDefault="00AA75A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EE68C1"/>
    <w:multiLevelType w:val="hybridMultilevel"/>
    <w:tmpl w:val="A3DCA6FE"/>
    <w:lvl w:ilvl="0" w:tplc="04CA32AE">
      <w:start w:val="3"/>
      <w:numFmt w:val="bullet"/>
      <w:lvlText w:val="-"/>
      <w:lvlJc w:val="left"/>
      <w:pPr>
        <w:ind w:left="1039" w:hanging="360"/>
      </w:pPr>
      <w:rPr>
        <w:rFonts w:ascii="Calibri" w:eastAsia="Times New Roman" w:hAnsi="Calibri" w:cs="Arial" w:hint="default"/>
        <w:i/>
      </w:rPr>
    </w:lvl>
    <w:lvl w:ilvl="1" w:tplc="0C090003" w:tentative="1">
      <w:start w:val="1"/>
      <w:numFmt w:val="bullet"/>
      <w:lvlText w:val="o"/>
      <w:lvlJc w:val="left"/>
      <w:pPr>
        <w:ind w:left="1759" w:hanging="360"/>
      </w:pPr>
      <w:rPr>
        <w:rFonts w:ascii="Courier New" w:hAnsi="Courier New" w:cs="Courier New" w:hint="default"/>
      </w:rPr>
    </w:lvl>
    <w:lvl w:ilvl="2" w:tplc="0C090005" w:tentative="1">
      <w:start w:val="1"/>
      <w:numFmt w:val="bullet"/>
      <w:lvlText w:val=""/>
      <w:lvlJc w:val="left"/>
      <w:pPr>
        <w:ind w:left="2479" w:hanging="360"/>
      </w:pPr>
      <w:rPr>
        <w:rFonts w:ascii="Wingdings" w:hAnsi="Wingdings" w:hint="default"/>
      </w:rPr>
    </w:lvl>
    <w:lvl w:ilvl="3" w:tplc="0C090001" w:tentative="1">
      <w:start w:val="1"/>
      <w:numFmt w:val="bullet"/>
      <w:lvlText w:val=""/>
      <w:lvlJc w:val="left"/>
      <w:pPr>
        <w:ind w:left="3199" w:hanging="360"/>
      </w:pPr>
      <w:rPr>
        <w:rFonts w:ascii="Symbol" w:hAnsi="Symbol" w:hint="default"/>
      </w:rPr>
    </w:lvl>
    <w:lvl w:ilvl="4" w:tplc="0C090003" w:tentative="1">
      <w:start w:val="1"/>
      <w:numFmt w:val="bullet"/>
      <w:lvlText w:val="o"/>
      <w:lvlJc w:val="left"/>
      <w:pPr>
        <w:ind w:left="3919" w:hanging="360"/>
      </w:pPr>
      <w:rPr>
        <w:rFonts w:ascii="Courier New" w:hAnsi="Courier New" w:cs="Courier New" w:hint="default"/>
      </w:rPr>
    </w:lvl>
    <w:lvl w:ilvl="5" w:tplc="0C090005" w:tentative="1">
      <w:start w:val="1"/>
      <w:numFmt w:val="bullet"/>
      <w:lvlText w:val=""/>
      <w:lvlJc w:val="left"/>
      <w:pPr>
        <w:ind w:left="4639" w:hanging="360"/>
      </w:pPr>
      <w:rPr>
        <w:rFonts w:ascii="Wingdings" w:hAnsi="Wingdings" w:hint="default"/>
      </w:rPr>
    </w:lvl>
    <w:lvl w:ilvl="6" w:tplc="0C090001" w:tentative="1">
      <w:start w:val="1"/>
      <w:numFmt w:val="bullet"/>
      <w:lvlText w:val=""/>
      <w:lvlJc w:val="left"/>
      <w:pPr>
        <w:ind w:left="5359" w:hanging="360"/>
      </w:pPr>
      <w:rPr>
        <w:rFonts w:ascii="Symbol" w:hAnsi="Symbol" w:hint="default"/>
      </w:rPr>
    </w:lvl>
    <w:lvl w:ilvl="7" w:tplc="0C090003" w:tentative="1">
      <w:start w:val="1"/>
      <w:numFmt w:val="bullet"/>
      <w:lvlText w:val="o"/>
      <w:lvlJc w:val="left"/>
      <w:pPr>
        <w:ind w:left="6079" w:hanging="360"/>
      </w:pPr>
      <w:rPr>
        <w:rFonts w:ascii="Courier New" w:hAnsi="Courier New" w:cs="Courier New" w:hint="default"/>
      </w:rPr>
    </w:lvl>
    <w:lvl w:ilvl="8" w:tplc="0C090005" w:tentative="1">
      <w:start w:val="1"/>
      <w:numFmt w:val="bullet"/>
      <w:lvlText w:val=""/>
      <w:lvlJc w:val="left"/>
      <w:pPr>
        <w:ind w:left="6799" w:hanging="360"/>
      </w:pPr>
      <w:rPr>
        <w:rFonts w:ascii="Wingdings" w:hAnsi="Wingdings" w:hint="default"/>
      </w:rPr>
    </w:lvl>
  </w:abstractNum>
  <w:abstractNum w:abstractNumId="2"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51634"/>
    <w:multiLevelType w:val="hybridMultilevel"/>
    <w:tmpl w:val="F5287FAE"/>
    <w:lvl w:ilvl="0" w:tplc="3F4CB1B0">
      <w:start w:val="100"/>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D558F8"/>
    <w:multiLevelType w:val="hybridMultilevel"/>
    <w:tmpl w:val="DF86A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576F98"/>
    <w:multiLevelType w:val="hybridMultilevel"/>
    <w:tmpl w:val="E35CC5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227FB3"/>
    <w:multiLevelType w:val="hybridMultilevel"/>
    <w:tmpl w:val="B5E6E05C"/>
    <w:lvl w:ilvl="0" w:tplc="3F4CB1B0">
      <w:start w:val="100"/>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36460"/>
    <w:multiLevelType w:val="hybridMultilevel"/>
    <w:tmpl w:val="E6C22CFE"/>
    <w:lvl w:ilvl="0" w:tplc="8436A66C">
      <w:start w:val="5"/>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121DBF"/>
    <w:multiLevelType w:val="hybridMultilevel"/>
    <w:tmpl w:val="C6A06A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B7F7B49"/>
    <w:multiLevelType w:val="hybridMultilevel"/>
    <w:tmpl w:val="A6C2EB80"/>
    <w:lvl w:ilvl="0" w:tplc="3F4CB1B0">
      <w:start w:val="100"/>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252500"/>
    <w:multiLevelType w:val="multilevel"/>
    <w:tmpl w:val="46C68BB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A06D61"/>
    <w:multiLevelType w:val="hybridMultilevel"/>
    <w:tmpl w:val="F5C08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E96300"/>
    <w:multiLevelType w:val="hybridMultilevel"/>
    <w:tmpl w:val="6A2C79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30A4CFA"/>
    <w:multiLevelType w:val="hybridMultilevel"/>
    <w:tmpl w:val="F216CC46"/>
    <w:lvl w:ilvl="0" w:tplc="08AE72D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995A7C"/>
    <w:multiLevelType w:val="hybridMultilevel"/>
    <w:tmpl w:val="FE3A8204"/>
    <w:lvl w:ilvl="0" w:tplc="3F4CB1B0">
      <w:start w:val="100"/>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AD4BD6"/>
    <w:multiLevelType w:val="hybridMultilevel"/>
    <w:tmpl w:val="4F7E2D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B7C34E2"/>
    <w:multiLevelType w:val="hybridMultilevel"/>
    <w:tmpl w:val="DD48A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83288"/>
    <w:multiLevelType w:val="multilevel"/>
    <w:tmpl w:val="9C620CB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1A3510"/>
    <w:multiLevelType w:val="multilevel"/>
    <w:tmpl w:val="FD4CE01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BA325F"/>
    <w:multiLevelType w:val="multilevel"/>
    <w:tmpl w:val="B566B23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C5227"/>
    <w:multiLevelType w:val="multilevel"/>
    <w:tmpl w:val="B1CA467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2E527B"/>
    <w:multiLevelType w:val="hybridMultilevel"/>
    <w:tmpl w:val="247E4236"/>
    <w:lvl w:ilvl="0" w:tplc="3F4CB1B0">
      <w:start w:val="100"/>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642485"/>
    <w:multiLevelType w:val="hybridMultilevel"/>
    <w:tmpl w:val="7C58999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7" w15:restartNumberingAfterBreak="0">
    <w:nsid w:val="5F2A0B20"/>
    <w:multiLevelType w:val="multilevel"/>
    <w:tmpl w:val="FD4CE01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7E294A"/>
    <w:multiLevelType w:val="hybridMultilevel"/>
    <w:tmpl w:val="D54A27F0"/>
    <w:lvl w:ilvl="0" w:tplc="3F4CB1B0">
      <w:start w:val="100"/>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795EB4"/>
    <w:multiLevelType w:val="multilevel"/>
    <w:tmpl w:val="9C620CB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DF7B43"/>
    <w:multiLevelType w:val="hybridMultilevel"/>
    <w:tmpl w:val="0CF8E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F96138"/>
    <w:multiLevelType w:val="hybridMultilevel"/>
    <w:tmpl w:val="01F68AFA"/>
    <w:lvl w:ilvl="0" w:tplc="D156522E">
      <w:start w:val="10"/>
      <w:numFmt w:val="bullet"/>
      <w:lvlText w:val="-"/>
      <w:lvlJc w:val="left"/>
      <w:pPr>
        <w:ind w:left="720" w:hanging="360"/>
      </w:pPr>
      <w:rPr>
        <w:rFonts w:ascii="Calibri" w:eastAsia="Times New Roman" w:hAnsi="Calibri"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FC0EA2"/>
    <w:multiLevelType w:val="hybridMultilevel"/>
    <w:tmpl w:val="E63669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2F90FAE"/>
    <w:multiLevelType w:val="hybridMultilevel"/>
    <w:tmpl w:val="7E2CB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4F7BE6"/>
    <w:multiLevelType w:val="hybridMultilevel"/>
    <w:tmpl w:val="ECC284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84D033C"/>
    <w:multiLevelType w:val="multilevel"/>
    <w:tmpl w:val="491ACF7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212009"/>
    <w:multiLevelType w:val="hybridMultilevel"/>
    <w:tmpl w:val="60B2F6A8"/>
    <w:lvl w:ilvl="0" w:tplc="3F4CB1B0">
      <w:start w:val="100"/>
      <w:numFmt w:val="bullet"/>
      <w:lvlText w:val="-"/>
      <w:lvlJc w:val="left"/>
      <w:pPr>
        <w:tabs>
          <w:tab w:val="num" w:pos="723"/>
        </w:tabs>
        <w:ind w:left="723" w:hanging="360"/>
      </w:pPr>
      <w:rPr>
        <w:rFonts w:ascii="Calibri" w:eastAsia="Times New Roman" w:hAnsi="Calibri" w:cs="Arial" w:hint="default"/>
      </w:rPr>
    </w:lvl>
    <w:lvl w:ilvl="1" w:tplc="C1265CFA">
      <w:start w:val="1"/>
      <w:numFmt w:val="bullet"/>
      <w:lvlText w:val="•"/>
      <w:lvlJc w:val="left"/>
      <w:pPr>
        <w:tabs>
          <w:tab w:val="num" w:pos="1443"/>
        </w:tabs>
        <w:ind w:left="1443" w:hanging="360"/>
      </w:pPr>
      <w:rPr>
        <w:rFonts w:ascii="Arial" w:hAnsi="Arial" w:hint="default"/>
      </w:rPr>
    </w:lvl>
    <w:lvl w:ilvl="2" w:tplc="4A40045A" w:tentative="1">
      <w:start w:val="1"/>
      <w:numFmt w:val="bullet"/>
      <w:lvlText w:val="•"/>
      <w:lvlJc w:val="left"/>
      <w:pPr>
        <w:tabs>
          <w:tab w:val="num" w:pos="2163"/>
        </w:tabs>
        <w:ind w:left="2163" w:hanging="360"/>
      </w:pPr>
      <w:rPr>
        <w:rFonts w:ascii="Arial" w:hAnsi="Arial" w:hint="default"/>
      </w:rPr>
    </w:lvl>
    <w:lvl w:ilvl="3" w:tplc="31A299BC" w:tentative="1">
      <w:start w:val="1"/>
      <w:numFmt w:val="bullet"/>
      <w:lvlText w:val="•"/>
      <w:lvlJc w:val="left"/>
      <w:pPr>
        <w:tabs>
          <w:tab w:val="num" w:pos="2883"/>
        </w:tabs>
        <w:ind w:left="2883" w:hanging="360"/>
      </w:pPr>
      <w:rPr>
        <w:rFonts w:ascii="Arial" w:hAnsi="Arial" w:hint="default"/>
      </w:rPr>
    </w:lvl>
    <w:lvl w:ilvl="4" w:tplc="432AF5D2" w:tentative="1">
      <w:start w:val="1"/>
      <w:numFmt w:val="bullet"/>
      <w:lvlText w:val="•"/>
      <w:lvlJc w:val="left"/>
      <w:pPr>
        <w:tabs>
          <w:tab w:val="num" w:pos="3603"/>
        </w:tabs>
        <w:ind w:left="3603" w:hanging="360"/>
      </w:pPr>
      <w:rPr>
        <w:rFonts w:ascii="Arial" w:hAnsi="Arial" w:hint="default"/>
      </w:rPr>
    </w:lvl>
    <w:lvl w:ilvl="5" w:tplc="3572D8C0" w:tentative="1">
      <w:start w:val="1"/>
      <w:numFmt w:val="bullet"/>
      <w:lvlText w:val="•"/>
      <w:lvlJc w:val="left"/>
      <w:pPr>
        <w:tabs>
          <w:tab w:val="num" w:pos="4323"/>
        </w:tabs>
        <w:ind w:left="4323" w:hanging="360"/>
      </w:pPr>
      <w:rPr>
        <w:rFonts w:ascii="Arial" w:hAnsi="Arial" w:hint="default"/>
      </w:rPr>
    </w:lvl>
    <w:lvl w:ilvl="6" w:tplc="FD84340E" w:tentative="1">
      <w:start w:val="1"/>
      <w:numFmt w:val="bullet"/>
      <w:lvlText w:val="•"/>
      <w:lvlJc w:val="left"/>
      <w:pPr>
        <w:tabs>
          <w:tab w:val="num" w:pos="5043"/>
        </w:tabs>
        <w:ind w:left="5043" w:hanging="360"/>
      </w:pPr>
      <w:rPr>
        <w:rFonts w:ascii="Arial" w:hAnsi="Arial" w:hint="default"/>
      </w:rPr>
    </w:lvl>
    <w:lvl w:ilvl="7" w:tplc="58F2B384" w:tentative="1">
      <w:start w:val="1"/>
      <w:numFmt w:val="bullet"/>
      <w:lvlText w:val="•"/>
      <w:lvlJc w:val="left"/>
      <w:pPr>
        <w:tabs>
          <w:tab w:val="num" w:pos="5763"/>
        </w:tabs>
        <w:ind w:left="5763" w:hanging="360"/>
      </w:pPr>
      <w:rPr>
        <w:rFonts w:ascii="Arial" w:hAnsi="Arial" w:hint="default"/>
      </w:rPr>
    </w:lvl>
    <w:lvl w:ilvl="8" w:tplc="70C24AAE" w:tentative="1">
      <w:start w:val="1"/>
      <w:numFmt w:val="bullet"/>
      <w:lvlText w:val="•"/>
      <w:lvlJc w:val="left"/>
      <w:pPr>
        <w:tabs>
          <w:tab w:val="num" w:pos="6483"/>
        </w:tabs>
        <w:ind w:left="6483" w:hanging="360"/>
      </w:pPr>
      <w:rPr>
        <w:rFonts w:ascii="Arial" w:hAnsi="Arial" w:hint="default"/>
      </w:rPr>
    </w:lvl>
  </w:abstractNum>
  <w:abstractNum w:abstractNumId="37" w15:restartNumberingAfterBreak="0">
    <w:nsid w:val="7E7A4FE8"/>
    <w:multiLevelType w:val="hybridMultilevel"/>
    <w:tmpl w:val="6DD4C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35"/>
  </w:num>
  <w:num w:numId="4">
    <w:abstractNumId w:val="22"/>
  </w:num>
  <w:num w:numId="5">
    <w:abstractNumId w:val="24"/>
  </w:num>
  <w:num w:numId="6">
    <w:abstractNumId w:val="37"/>
  </w:num>
  <w:num w:numId="7">
    <w:abstractNumId w:val="8"/>
  </w:num>
  <w:num w:numId="8">
    <w:abstractNumId w:val="28"/>
  </w:num>
  <w:num w:numId="9">
    <w:abstractNumId w:val="5"/>
  </w:num>
  <w:num w:numId="10">
    <w:abstractNumId w:val="16"/>
  </w:num>
  <w:num w:numId="11">
    <w:abstractNumId w:val="7"/>
  </w:num>
  <w:num w:numId="12">
    <w:abstractNumId w:val="10"/>
  </w:num>
  <w:num w:numId="13">
    <w:abstractNumId w:val="3"/>
  </w:num>
  <w:num w:numId="14">
    <w:abstractNumId w:val="36"/>
  </w:num>
  <w:num w:numId="15">
    <w:abstractNumId w:val="13"/>
  </w:num>
  <w:num w:numId="16">
    <w:abstractNumId w:val="30"/>
  </w:num>
  <w:num w:numId="17">
    <w:abstractNumId w:val="15"/>
  </w:num>
  <w:num w:numId="18">
    <w:abstractNumId w:val="14"/>
  </w:num>
  <w:num w:numId="19">
    <w:abstractNumId w:val="9"/>
  </w:num>
  <w:num w:numId="20">
    <w:abstractNumId w:val="19"/>
  </w:num>
  <w:num w:numId="21">
    <w:abstractNumId w:val="29"/>
  </w:num>
  <w:num w:numId="22">
    <w:abstractNumId w:val="27"/>
  </w:num>
  <w:num w:numId="23">
    <w:abstractNumId w:val="20"/>
  </w:num>
  <w:num w:numId="24">
    <w:abstractNumId w:val="26"/>
  </w:num>
  <w:num w:numId="25">
    <w:abstractNumId w:val="33"/>
  </w:num>
  <w:num w:numId="26">
    <w:abstractNumId w:val="32"/>
  </w:num>
  <w:num w:numId="27">
    <w:abstractNumId w:val="23"/>
  </w:num>
  <w:num w:numId="28">
    <w:abstractNumId w:val="12"/>
  </w:num>
  <w:num w:numId="29">
    <w:abstractNumId w:val="1"/>
  </w:num>
  <w:num w:numId="30">
    <w:abstractNumId w:val="22"/>
  </w:num>
  <w:num w:numId="31">
    <w:abstractNumId w:val="21"/>
  </w:num>
  <w:num w:numId="32">
    <w:abstractNumId w:val="31"/>
  </w:num>
  <w:num w:numId="33">
    <w:abstractNumId w:val="6"/>
  </w:num>
  <w:num w:numId="34">
    <w:abstractNumId w:val="34"/>
  </w:num>
  <w:num w:numId="35">
    <w:abstractNumId w:val="25"/>
  </w:num>
  <w:num w:numId="36">
    <w:abstractNumId w:val="4"/>
  </w:num>
  <w:num w:numId="37">
    <w:abstractNumId w:val="0"/>
  </w:num>
  <w:num w:numId="38">
    <w:abstractNumId w:val="11"/>
  </w:num>
  <w:num w:numId="39">
    <w:abstractNumId w:val="17"/>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35"/>
  </w:num>
  <w:num w:numId="43">
    <w:abstractNumId w:val="35"/>
  </w:num>
  <w:num w:numId="44">
    <w:abstractNumId w:val="35"/>
  </w:num>
  <w:num w:numId="45">
    <w:abstractNumId w:val="35"/>
  </w:num>
  <w:num w:numId="46">
    <w:abstractNumId w:val="35"/>
  </w:num>
  <w:num w:numId="47">
    <w:abstractNumId w:val="35"/>
  </w:num>
  <w:num w:numId="48">
    <w:abstractNumId w:val="35"/>
  </w:num>
  <w:num w:numId="49">
    <w:abstractNumId w:val="35"/>
  </w:num>
  <w:num w:numId="50">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699"/>
    <w:rsid w:val="00003499"/>
    <w:rsid w:val="000039B7"/>
    <w:rsid w:val="0000694B"/>
    <w:rsid w:val="0000775D"/>
    <w:rsid w:val="00012431"/>
    <w:rsid w:val="00013247"/>
    <w:rsid w:val="000142ED"/>
    <w:rsid w:val="00015886"/>
    <w:rsid w:val="000162EF"/>
    <w:rsid w:val="00016D7C"/>
    <w:rsid w:val="000201AC"/>
    <w:rsid w:val="00021990"/>
    <w:rsid w:val="0002225F"/>
    <w:rsid w:val="00023763"/>
    <w:rsid w:val="00024AD4"/>
    <w:rsid w:val="00024E27"/>
    <w:rsid w:val="0003097F"/>
    <w:rsid w:val="000337E2"/>
    <w:rsid w:val="00033863"/>
    <w:rsid w:val="00034A8D"/>
    <w:rsid w:val="00035DC0"/>
    <w:rsid w:val="00035FDE"/>
    <w:rsid w:val="00036397"/>
    <w:rsid w:val="00036829"/>
    <w:rsid w:val="00040895"/>
    <w:rsid w:val="00041325"/>
    <w:rsid w:val="00041B80"/>
    <w:rsid w:val="00042D90"/>
    <w:rsid w:val="00042F5E"/>
    <w:rsid w:val="00043C37"/>
    <w:rsid w:val="0004449D"/>
    <w:rsid w:val="00045017"/>
    <w:rsid w:val="00045A2B"/>
    <w:rsid w:val="0004698F"/>
    <w:rsid w:val="000470FA"/>
    <w:rsid w:val="00050CCE"/>
    <w:rsid w:val="00050F6D"/>
    <w:rsid w:val="000539D0"/>
    <w:rsid w:val="00054621"/>
    <w:rsid w:val="000546D7"/>
    <w:rsid w:val="00057D3D"/>
    <w:rsid w:val="000605E4"/>
    <w:rsid w:val="00062781"/>
    <w:rsid w:val="00063C22"/>
    <w:rsid w:val="00065357"/>
    <w:rsid w:val="00066360"/>
    <w:rsid w:val="00071248"/>
    <w:rsid w:val="00071AE8"/>
    <w:rsid w:val="000720B9"/>
    <w:rsid w:val="00073254"/>
    <w:rsid w:val="000737F7"/>
    <w:rsid w:val="00074969"/>
    <w:rsid w:val="0007672F"/>
    <w:rsid w:val="000774F0"/>
    <w:rsid w:val="00080909"/>
    <w:rsid w:val="000812CA"/>
    <w:rsid w:val="000812CD"/>
    <w:rsid w:val="000814E0"/>
    <w:rsid w:val="00082007"/>
    <w:rsid w:val="0008258D"/>
    <w:rsid w:val="00082624"/>
    <w:rsid w:val="00082B62"/>
    <w:rsid w:val="00083E99"/>
    <w:rsid w:val="000856C5"/>
    <w:rsid w:val="00087522"/>
    <w:rsid w:val="00090C7E"/>
    <w:rsid w:val="00092600"/>
    <w:rsid w:val="0009262B"/>
    <w:rsid w:val="00092838"/>
    <w:rsid w:val="00093310"/>
    <w:rsid w:val="0009445C"/>
    <w:rsid w:val="000954CF"/>
    <w:rsid w:val="00095FE5"/>
    <w:rsid w:val="00096284"/>
    <w:rsid w:val="000A6398"/>
    <w:rsid w:val="000A7D08"/>
    <w:rsid w:val="000B0670"/>
    <w:rsid w:val="000B0E75"/>
    <w:rsid w:val="000B1B28"/>
    <w:rsid w:val="000B6073"/>
    <w:rsid w:val="000B6CAC"/>
    <w:rsid w:val="000B7235"/>
    <w:rsid w:val="000B7612"/>
    <w:rsid w:val="000C3DF9"/>
    <w:rsid w:val="000C56F3"/>
    <w:rsid w:val="000C6713"/>
    <w:rsid w:val="000D0312"/>
    <w:rsid w:val="000D054F"/>
    <w:rsid w:val="000D12A4"/>
    <w:rsid w:val="000D1BFC"/>
    <w:rsid w:val="000D27A4"/>
    <w:rsid w:val="000D281A"/>
    <w:rsid w:val="000D326A"/>
    <w:rsid w:val="000D51FB"/>
    <w:rsid w:val="000D5C4B"/>
    <w:rsid w:val="000D7944"/>
    <w:rsid w:val="000E135D"/>
    <w:rsid w:val="000E1E7F"/>
    <w:rsid w:val="000E3AC2"/>
    <w:rsid w:val="000E4570"/>
    <w:rsid w:val="000E4A69"/>
    <w:rsid w:val="000E556F"/>
    <w:rsid w:val="000E7BDC"/>
    <w:rsid w:val="000F00BA"/>
    <w:rsid w:val="000F177F"/>
    <w:rsid w:val="000F2085"/>
    <w:rsid w:val="000F316A"/>
    <w:rsid w:val="000F3765"/>
    <w:rsid w:val="000F3C74"/>
    <w:rsid w:val="000F42D9"/>
    <w:rsid w:val="000F4BB8"/>
    <w:rsid w:val="000F4FE1"/>
    <w:rsid w:val="000F5BC0"/>
    <w:rsid w:val="000F637C"/>
    <w:rsid w:val="000F708F"/>
    <w:rsid w:val="000F7127"/>
    <w:rsid w:val="000F7F8A"/>
    <w:rsid w:val="00100F8A"/>
    <w:rsid w:val="00102339"/>
    <w:rsid w:val="00104A46"/>
    <w:rsid w:val="00104B3A"/>
    <w:rsid w:val="0010521B"/>
    <w:rsid w:val="00105AE2"/>
    <w:rsid w:val="00106B80"/>
    <w:rsid w:val="00107BF8"/>
    <w:rsid w:val="0011032E"/>
    <w:rsid w:val="0011348B"/>
    <w:rsid w:val="00115982"/>
    <w:rsid w:val="00116144"/>
    <w:rsid w:val="00116C53"/>
    <w:rsid w:val="00120379"/>
    <w:rsid w:val="00121799"/>
    <w:rsid w:val="001222FC"/>
    <w:rsid w:val="001248BC"/>
    <w:rsid w:val="00124A51"/>
    <w:rsid w:val="0012571C"/>
    <w:rsid w:val="00126621"/>
    <w:rsid w:val="00126983"/>
    <w:rsid w:val="001301E9"/>
    <w:rsid w:val="0013077D"/>
    <w:rsid w:val="00131D82"/>
    <w:rsid w:val="00132B45"/>
    <w:rsid w:val="00133D36"/>
    <w:rsid w:val="001348DF"/>
    <w:rsid w:val="00135D09"/>
    <w:rsid w:val="00136A0C"/>
    <w:rsid w:val="00137645"/>
    <w:rsid w:val="0014015A"/>
    <w:rsid w:val="00140E99"/>
    <w:rsid w:val="001428DB"/>
    <w:rsid w:val="00145540"/>
    <w:rsid w:val="001456B0"/>
    <w:rsid w:val="00151E39"/>
    <w:rsid w:val="00151FC4"/>
    <w:rsid w:val="00152F01"/>
    <w:rsid w:val="00153E57"/>
    <w:rsid w:val="00154289"/>
    <w:rsid w:val="0015501D"/>
    <w:rsid w:val="00157130"/>
    <w:rsid w:val="001573D2"/>
    <w:rsid w:val="001576B1"/>
    <w:rsid w:val="001579C1"/>
    <w:rsid w:val="001608EA"/>
    <w:rsid w:val="00160A4C"/>
    <w:rsid w:val="00161647"/>
    <w:rsid w:val="00161D34"/>
    <w:rsid w:val="001628C3"/>
    <w:rsid w:val="00162913"/>
    <w:rsid w:val="00162DFD"/>
    <w:rsid w:val="001630CB"/>
    <w:rsid w:val="00163549"/>
    <w:rsid w:val="00163EFF"/>
    <w:rsid w:val="001661FB"/>
    <w:rsid w:val="00171DA0"/>
    <w:rsid w:val="00172F66"/>
    <w:rsid w:val="00172FEC"/>
    <w:rsid w:val="00173084"/>
    <w:rsid w:val="00173565"/>
    <w:rsid w:val="00173AE7"/>
    <w:rsid w:val="00173B07"/>
    <w:rsid w:val="00175F36"/>
    <w:rsid w:val="00176560"/>
    <w:rsid w:val="00177DC5"/>
    <w:rsid w:val="0018001C"/>
    <w:rsid w:val="0018144A"/>
    <w:rsid w:val="00181D9C"/>
    <w:rsid w:val="00185A6D"/>
    <w:rsid w:val="0018752F"/>
    <w:rsid w:val="001876A3"/>
    <w:rsid w:val="0019161A"/>
    <w:rsid w:val="001938D2"/>
    <w:rsid w:val="00195222"/>
    <w:rsid w:val="001975D8"/>
    <w:rsid w:val="001A0912"/>
    <w:rsid w:val="001A100E"/>
    <w:rsid w:val="001A23D3"/>
    <w:rsid w:val="001A43FA"/>
    <w:rsid w:val="001A444B"/>
    <w:rsid w:val="001A52F6"/>
    <w:rsid w:val="001A59FB"/>
    <w:rsid w:val="001A5D7F"/>
    <w:rsid w:val="001A6354"/>
    <w:rsid w:val="001A6E4C"/>
    <w:rsid w:val="001A75D9"/>
    <w:rsid w:val="001A7AE8"/>
    <w:rsid w:val="001B204E"/>
    <w:rsid w:val="001B3443"/>
    <w:rsid w:val="001B463C"/>
    <w:rsid w:val="001B47B1"/>
    <w:rsid w:val="001B4D20"/>
    <w:rsid w:val="001B639D"/>
    <w:rsid w:val="001C2079"/>
    <w:rsid w:val="001C2A9B"/>
    <w:rsid w:val="001C3346"/>
    <w:rsid w:val="001C4299"/>
    <w:rsid w:val="001C44D9"/>
    <w:rsid w:val="001C4CF5"/>
    <w:rsid w:val="001C5F94"/>
    <w:rsid w:val="001C61DC"/>
    <w:rsid w:val="001C66D1"/>
    <w:rsid w:val="001C6E66"/>
    <w:rsid w:val="001C733E"/>
    <w:rsid w:val="001D04C3"/>
    <w:rsid w:val="001D3AF6"/>
    <w:rsid w:val="001D7344"/>
    <w:rsid w:val="001D7643"/>
    <w:rsid w:val="001E1717"/>
    <w:rsid w:val="001E238E"/>
    <w:rsid w:val="001E2483"/>
    <w:rsid w:val="001E2B1E"/>
    <w:rsid w:val="001E30D4"/>
    <w:rsid w:val="001E3B61"/>
    <w:rsid w:val="001E52EB"/>
    <w:rsid w:val="001E53FE"/>
    <w:rsid w:val="001E61D2"/>
    <w:rsid w:val="001E740C"/>
    <w:rsid w:val="001E7DB7"/>
    <w:rsid w:val="001F0918"/>
    <w:rsid w:val="001F1235"/>
    <w:rsid w:val="001F1CB3"/>
    <w:rsid w:val="001F339D"/>
    <w:rsid w:val="001F38B5"/>
    <w:rsid w:val="001F4E26"/>
    <w:rsid w:val="001F571B"/>
    <w:rsid w:val="001F5FB8"/>
    <w:rsid w:val="001F7361"/>
    <w:rsid w:val="001F76EB"/>
    <w:rsid w:val="00200038"/>
    <w:rsid w:val="002011B0"/>
    <w:rsid w:val="00202BF9"/>
    <w:rsid w:val="00203181"/>
    <w:rsid w:val="00203783"/>
    <w:rsid w:val="0020385F"/>
    <w:rsid w:val="00207021"/>
    <w:rsid w:val="002072A0"/>
    <w:rsid w:val="0020732F"/>
    <w:rsid w:val="00207D00"/>
    <w:rsid w:val="002105C1"/>
    <w:rsid w:val="002122D8"/>
    <w:rsid w:val="00215CF0"/>
    <w:rsid w:val="002174EF"/>
    <w:rsid w:val="00220337"/>
    <w:rsid w:val="002232F2"/>
    <w:rsid w:val="00223B49"/>
    <w:rsid w:val="00223BEA"/>
    <w:rsid w:val="002243CA"/>
    <w:rsid w:val="00224DD4"/>
    <w:rsid w:val="0022707A"/>
    <w:rsid w:val="00227B97"/>
    <w:rsid w:val="002303CA"/>
    <w:rsid w:val="002309CC"/>
    <w:rsid w:val="00230DDD"/>
    <w:rsid w:val="0023209F"/>
    <w:rsid w:val="00232672"/>
    <w:rsid w:val="00234B17"/>
    <w:rsid w:val="00234C2D"/>
    <w:rsid w:val="00235238"/>
    <w:rsid w:val="0023574F"/>
    <w:rsid w:val="0023629D"/>
    <w:rsid w:val="00237255"/>
    <w:rsid w:val="00237469"/>
    <w:rsid w:val="00240359"/>
    <w:rsid w:val="0024232E"/>
    <w:rsid w:val="002424AF"/>
    <w:rsid w:val="002439DC"/>
    <w:rsid w:val="00244927"/>
    <w:rsid w:val="00244DC8"/>
    <w:rsid w:val="002458BA"/>
    <w:rsid w:val="0024636C"/>
    <w:rsid w:val="00247925"/>
    <w:rsid w:val="00250BA5"/>
    <w:rsid w:val="002526E1"/>
    <w:rsid w:val="00253539"/>
    <w:rsid w:val="00254B55"/>
    <w:rsid w:val="00254D1A"/>
    <w:rsid w:val="00254DCF"/>
    <w:rsid w:val="0025534B"/>
    <w:rsid w:val="00255BB7"/>
    <w:rsid w:val="00257541"/>
    <w:rsid w:val="00261B69"/>
    <w:rsid w:val="00262A1A"/>
    <w:rsid w:val="00262A87"/>
    <w:rsid w:val="002649BF"/>
    <w:rsid w:val="00264D26"/>
    <w:rsid w:val="002654DD"/>
    <w:rsid w:val="00267642"/>
    <w:rsid w:val="0026778C"/>
    <w:rsid w:val="00267AEA"/>
    <w:rsid w:val="002700E6"/>
    <w:rsid w:val="00271A58"/>
    <w:rsid w:val="0027294B"/>
    <w:rsid w:val="00273668"/>
    <w:rsid w:val="00275C5A"/>
    <w:rsid w:val="0027763D"/>
    <w:rsid w:val="00277D60"/>
    <w:rsid w:val="00281014"/>
    <w:rsid w:val="002818FD"/>
    <w:rsid w:val="00286E21"/>
    <w:rsid w:val="00290AEB"/>
    <w:rsid w:val="0029233D"/>
    <w:rsid w:val="00292465"/>
    <w:rsid w:val="002955D9"/>
    <w:rsid w:val="002A0761"/>
    <w:rsid w:val="002A14AB"/>
    <w:rsid w:val="002A1EA2"/>
    <w:rsid w:val="002A2BF0"/>
    <w:rsid w:val="002A2F50"/>
    <w:rsid w:val="002A4440"/>
    <w:rsid w:val="002A7052"/>
    <w:rsid w:val="002A7976"/>
    <w:rsid w:val="002B09A4"/>
    <w:rsid w:val="002B0D82"/>
    <w:rsid w:val="002B1C1F"/>
    <w:rsid w:val="002B21D1"/>
    <w:rsid w:val="002B432F"/>
    <w:rsid w:val="002B62B3"/>
    <w:rsid w:val="002B6754"/>
    <w:rsid w:val="002B6CCE"/>
    <w:rsid w:val="002C1CB0"/>
    <w:rsid w:val="002C1F1D"/>
    <w:rsid w:val="002C2510"/>
    <w:rsid w:val="002C2657"/>
    <w:rsid w:val="002C2775"/>
    <w:rsid w:val="002C27C1"/>
    <w:rsid w:val="002C2B76"/>
    <w:rsid w:val="002C5099"/>
    <w:rsid w:val="002C5194"/>
    <w:rsid w:val="002C5889"/>
    <w:rsid w:val="002C58A4"/>
    <w:rsid w:val="002C6C2D"/>
    <w:rsid w:val="002C71CE"/>
    <w:rsid w:val="002D05CC"/>
    <w:rsid w:val="002D4F12"/>
    <w:rsid w:val="002D577C"/>
    <w:rsid w:val="002D602A"/>
    <w:rsid w:val="002D6347"/>
    <w:rsid w:val="002D6433"/>
    <w:rsid w:val="002D69EC"/>
    <w:rsid w:val="002D7CBB"/>
    <w:rsid w:val="002D7D78"/>
    <w:rsid w:val="002E0E90"/>
    <w:rsid w:val="002E15B9"/>
    <w:rsid w:val="002E2158"/>
    <w:rsid w:val="002E2B66"/>
    <w:rsid w:val="002E4690"/>
    <w:rsid w:val="002E69E3"/>
    <w:rsid w:val="002E7722"/>
    <w:rsid w:val="002F07BA"/>
    <w:rsid w:val="002F0DA9"/>
    <w:rsid w:val="002F0EBD"/>
    <w:rsid w:val="002F1D42"/>
    <w:rsid w:val="002F2C06"/>
    <w:rsid w:val="002F57DB"/>
    <w:rsid w:val="002F643C"/>
    <w:rsid w:val="002F70E4"/>
    <w:rsid w:val="002F71C0"/>
    <w:rsid w:val="002F7A74"/>
    <w:rsid w:val="0030010C"/>
    <w:rsid w:val="00300608"/>
    <w:rsid w:val="00301017"/>
    <w:rsid w:val="0030155F"/>
    <w:rsid w:val="003026C6"/>
    <w:rsid w:val="0030587B"/>
    <w:rsid w:val="00306D98"/>
    <w:rsid w:val="0030786C"/>
    <w:rsid w:val="0031031A"/>
    <w:rsid w:val="00310981"/>
    <w:rsid w:val="00311D69"/>
    <w:rsid w:val="0031301E"/>
    <w:rsid w:val="0031455D"/>
    <w:rsid w:val="00315498"/>
    <w:rsid w:val="00315C7F"/>
    <w:rsid w:val="0031604C"/>
    <w:rsid w:val="003168CC"/>
    <w:rsid w:val="003178B2"/>
    <w:rsid w:val="00317C02"/>
    <w:rsid w:val="0032180D"/>
    <w:rsid w:val="00322107"/>
    <w:rsid w:val="00322846"/>
    <w:rsid w:val="00325745"/>
    <w:rsid w:val="00325B31"/>
    <w:rsid w:val="00325D65"/>
    <w:rsid w:val="00326DA7"/>
    <w:rsid w:val="003270E4"/>
    <w:rsid w:val="00327CB3"/>
    <w:rsid w:val="00330F5C"/>
    <w:rsid w:val="00333532"/>
    <w:rsid w:val="0033469D"/>
    <w:rsid w:val="003366C9"/>
    <w:rsid w:val="003371B0"/>
    <w:rsid w:val="003372A1"/>
    <w:rsid w:val="00340058"/>
    <w:rsid w:val="00340DF1"/>
    <w:rsid w:val="003410E7"/>
    <w:rsid w:val="0034128F"/>
    <w:rsid w:val="00344EB1"/>
    <w:rsid w:val="003462DA"/>
    <w:rsid w:val="00346574"/>
    <w:rsid w:val="003507F6"/>
    <w:rsid w:val="003517F9"/>
    <w:rsid w:val="0035535B"/>
    <w:rsid w:val="00355A60"/>
    <w:rsid w:val="0035620E"/>
    <w:rsid w:val="003569D8"/>
    <w:rsid w:val="00356B3F"/>
    <w:rsid w:val="00357DD2"/>
    <w:rsid w:val="00360CED"/>
    <w:rsid w:val="003624C4"/>
    <w:rsid w:val="003654AC"/>
    <w:rsid w:val="00365E54"/>
    <w:rsid w:val="0036621B"/>
    <w:rsid w:val="00366273"/>
    <w:rsid w:val="003670C3"/>
    <w:rsid w:val="003704D8"/>
    <w:rsid w:val="003710CF"/>
    <w:rsid w:val="0037358A"/>
    <w:rsid w:val="003750F6"/>
    <w:rsid w:val="003760FC"/>
    <w:rsid w:val="003827C2"/>
    <w:rsid w:val="0038365C"/>
    <w:rsid w:val="0038369B"/>
    <w:rsid w:val="00383B0E"/>
    <w:rsid w:val="00383B78"/>
    <w:rsid w:val="003850FB"/>
    <w:rsid w:val="00385A9D"/>
    <w:rsid w:val="00385ED5"/>
    <w:rsid w:val="00387D94"/>
    <w:rsid w:val="003902B1"/>
    <w:rsid w:val="00391288"/>
    <w:rsid w:val="00391700"/>
    <w:rsid w:val="003918F3"/>
    <w:rsid w:val="00395FA5"/>
    <w:rsid w:val="00396896"/>
    <w:rsid w:val="00396C2E"/>
    <w:rsid w:val="00396FD0"/>
    <w:rsid w:val="00397E78"/>
    <w:rsid w:val="003A16B7"/>
    <w:rsid w:val="003A1A7A"/>
    <w:rsid w:val="003A1ACA"/>
    <w:rsid w:val="003A1CB2"/>
    <w:rsid w:val="003A1F60"/>
    <w:rsid w:val="003A2392"/>
    <w:rsid w:val="003A2831"/>
    <w:rsid w:val="003A3ED1"/>
    <w:rsid w:val="003B2494"/>
    <w:rsid w:val="003B2B91"/>
    <w:rsid w:val="003B322F"/>
    <w:rsid w:val="003B4BD1"/>
    <w:rsid w:val="003B4DE6"/>
    <w:rsid w:val="003B53DD"/>
    <w:rsid w:val="003B5B61"/>
    <w:rsid w:val="003B7D1E"/>
    <w:rsid w:val="003C1654"/>
    <w:rsid w:val="003C2385"/>
    <w:rsid w:val="003C3DA5"/>
    <w:rsid w:val="003C62C9"/>
    <w:rsid w:val="003C7D19"/>
    <w:rsid w:val="003D044B"/>
    <w:rsid w:val="003D1828"/>
    <w:rsid w:val="003D1DE4"/>
    <w:rsid w:val="003D2238"/>
    <w:rsid w:val="003D2422"/>
    <w:rsid w:val="003D266A"/>
    <w:rsid w:val="003D3540"/>
    <w:rsid w:val="003D39A1"/>
    <w:rsid w:val="003D3FBF"/>
    <w:rsid w:val="003D48CB"/>
    <w:rsid w:val="003D4915"/>
    <w:rsid w:val="003D4A30"/>
    <w:rsid w:val="003D5EDF"/>
    <w:rsid w:val="003D79BB"/>
    <w:rsid w:val="003D7C98"/>
    <w:rsid w:val="003E0543"/>
    <w:rsid w:val="003E0F5A"/>
    <w:rsid w:val="003E1620"/>
    <w:rsid w:val="003E3C16"/>
    <w:rsid w:val="003E6299"/>
    <w:rsid w:val="003F30E7"/>
    <w:rsid w:val="003F31CF"/>
    <w:rsid w:val="003F4156"/>
    <w:rsid w:val="004000DA"/>
    <w:rsid w:val="0040045A"/>
    <w:rsid w:val="00400B29"/>
    <w:rsid w:val="00401135"/>
    <w:rsid w:val="00401F09"/>
    <w:rsid w:val="00402539"/>
    <w:rsid w:val="0040504B"/>
    <w:rsid w:val="00410708"/>
    <w:rsid w:val="00410EC7"/>
    <w:rsid w:val="00411362"/>
    <w:rsid w:val="00411B39"/>
    <w:rsid w:val="00413A1E"/>
    <w:rsid w:val="00413FE5"/>
    <w:rsid w:val="00414476"/>
    <w:rsid w:val="00414C2E"/>
    <w:rsid w:val="004151CF"/>
    <w:rsid w:val="00415492"/>
    <w:rsid w:val="00415D19"/>
    <w:rsid w:val="00416364"/>
    <w:rsid w:val="00416D72"/>
    <w:rsid w:val="004176E9"/>
    <w:rsid w:val="00420AA6"/>
    <w:rsid w:val="00420B9F"/>
    <w:rsid w:val="00422260"/>
    <w:rsid w:val="0042413F"/>
    <w:rsid w:val="00424DF3"/>
    <w:rsid w:val="004319F8"/>
    <w:rsid w:val="00431E55"/>
    <w:rsid w:val="004321F6"/>
    <w:rsid w:val="00432375"/>
    <w:rsid w:val="00433044"/>
    <w:rsid w:val="00433888"/>
    <w:rsid w:val="004361FD"/>
    <w:rsid w:val="00437378"/>
    <w:rsid w:val="004375B9"/>
    <w:rsid w:val="00440F17"/>
    <w:rsid w:val="00441C49"/>
    <w:rsid w:val="004428D0"/>
    <w:rsid w:val="00442B45"/>
    <w:rsid w:val="004443A7"/>
    <w:rsid w:val="0044442C"/>
    <w:rsid w:val="00445941"/>
    <w:rsid w:val="004464EB"/>
    <w:rsid w:val="00447D26"/>
    <w:rsid w:val="0045145A"/>
    <w:rsid w:val="00455D45"/>
    <w:rsid w:val="00456C99"/>
    <w:rsid w:val="004603CC"/>
    <w:rsid w:val="0046394E"/>
    <w:rsid w:val="00464595"/>
    <w:rsid w:val="00470273"/>
    <w:rsid w:val="00470B51"/>
    <w:rsid w:val="0047155B"/>
    <w:rsid w:val="00472A79"/>
    <w:rsid w:val="00473F19"/>
    <w:rsid w:val="00474FF2"/>
    <w:rsid w:val="004750AC"/>
    <w:rsid w:val="00475E22"/>
    <w:rsid w:val="0048088E"/>
    <w:rsid w:val="00481C83"/>
    <w:rsid w:val="0048257C"/>
    <w:rsid w:val="00482720"/>
    <w:rsid w:val="004835E7"/>
    <w:rsid w:val="004863C8"/>
    <w:rsid w:val="004867E2"/>
    <w:rsid w:val="00486EE4"/>
    <w:rsid w:val="00490292"/>
    <w:rsid w:val="00491B3A"/>
    <w:rsid w:val="00492CFD"/>
    <w:rsid w:val="0049304B"/>
    <w:rsid w:val="0049397D"/>
    <w:rsid w:val="00493E06"/>
    <w:rsid w:val="00493F63"/>
    <w:rsid w:val="00494DD5"/>
    <w:rsid w:val="004962D2"/>
    <w:rsid w:val="00496828"/>
    <w:rsid w:val="0049781C"/>
    <w:rsid w:val="004A0DA1"/>
    <w:rsid w:val="004A15D1"/>
    <w:rsid w:val="004A34F5"/>
    <w:rsid w:val="004A5153"/>
    <w:rsid w:val="004A51BA"/>
    <w:rsid w:val="004A52E9"/>
    <w:rsid w:val="004A6597"/>
    <w:rsid w:val="004A7848"/>
    <w:rsid w:val="004B03AA"/>
    <w:rsid w:val="004B1CB4"/>
    <w:rsid w:val="004B2F18"/>
    <w:rsid w:val="004B3241"/>
    <w:rsid w:val="004B36DB"/>
    <w:rsid w:val="004B3DDB"/>
    <w:rsid w:val="004B44FD"/>
    <w:rsid w:val="004B5CFC"/>
    <w:rsid w:val="004B6A00"/>
    <w:rsid w:val="004B6BC5"/>
    <w:rsid w:val="004B774D"/>
    <w:rsid w:val="004B7801"/>
    <w:rsid w:val="004B7AC1"/>
    <w:rsid w:val="004C1448"/>
    <w:rsid w:val="004C1993"/>
    <w:rsid w:val="004C1FC1"/>
    <w:rsid w:val="004C24A6"/>
    <w:rsid w:val="004C2CE2"/>
    <w:rsid w:val="004C4AED"/>
    <w:rsid w:val="004C575F"/>
    <w:rsid w:val="004C6767"/>
    <w:rsid w:val="004D0A02"/>
    <w:rsid w:val="004D2C2D"/>
    <w:rsid w:val="004D3D58"/>
    <w:rsid w:val="004D5DE4"/>
    <w:rsid w:val="004D7227"/>
    <w:rsid w:val="004E0E7F"/>
    <w:rsid w:val="004E0EB8"/>
    <w:rsid w:val="004E2337"/>
    <w:rsid w:val="004E2ADC"/>
    <w:rsid w:val="004E2F5C"/>
    <w:rsid w:val="004E43B2"/>
    <w:rsid w:val="004E4D76"/>
    <w:rsid w:val="004F16FA"/>
    <w:rsid w:val="004F1D02"/>
    <w:rsid w:val="004F23F9"/>
    <w:rsid w:val="004F2679"/>
    <w:rsid w:val="004F2F21"/>
    <w:rsid w:val="004F6913"/>
    <w:rsid w:val="004F7865"/>
    <w:rsid w:val="0050219B"/>
    <w:rsid w:val="00502596"/>
    <w:rsid w:val="005028A0"/>
    <w:rsid w:val="00503266"/>
    <w:rsid w:val="00503F17"/>
    <w:rsid w:val="00504985"/>
    <w:rsid w:val="00506928"/>
    <w:rsid w:val="00506D69"/>
    <w:rsid w:val="00506F8B"/>
    <w:rsid w:val="005078C3"/>
    <w:rsid w:val="00507DF0"/>
    <w:rsid w:val="00510641"/>
    <w:rsid w:val="00513E11"/>
    <w:rsid w:val="005152B5"/>
    <w:rsid w:val="00517BD2"/>
    <w:rsid w:val="00521319"/>
    <w:rsid w:val="005223FF"/>
    <w:rsid w:val="00522BC8"/>
    <w:rsid w:val="005239EF"/>
    <w:rsid w:val="00523C28"/>
    <w:rsid w:val="00523DB7"/>
    <w:rsid w:val="005249F7"/>
    <w:rsid w:val="00530585"/>
    <w:rsid w:val="00531FE1"/>
    <w:rsid w:val="005322A8"/>
    <w:rsid w:val="00532FF3"/>
    <w:rsid w:val="00533788"/>
    <w:rsid w:val="00534DF8"/>
    <w:rsid w:val="00536F42"/>
    <w:rsid w:val="00537182"/>
    <w:rsid w:val="005419DD"/>
    <w:rsid w:val="00542565"/>
    <w:rsid w:val="00542743"/>
    <w:rsid w:val="00542C2D"/>
    <w:rsid w:val="00543E12"/>
    <w:rsid w:val="00544043"/>
    <w:rsid w:val="00544421"/>
    <w:rsid w:val="00544651"/>
    <w:rsid w:val="00544EB4"/>
    <w:rsid w:val="00545461"/>
    <w:rsid w:val="0054589B"/>
    <w:rsid w:val="00547032"/>
    <w:rsid w:val="00550FED"/>
    <w:rsid w:val="00551985"/>
    <w:rsid w:val="00551A47"/>
    <w:rsid w:val="00552BD3"/>
    <w:rsid w:val="005532BF"/>
    <w:rsid w:val="00555109"/>
    <w:rsid w:val="00555DBD"/>
    <w:rsid w:val="00555F41"/>
    <w:rsid w:val="0055691B"/>
    <w:rsid w:val="005577B8"/>
    <w:rsid w:val="00557DA1"/>
    <w:rsid w:val="005639A0"/>
    <w:rsid w:val="0056696F"/>
    <w:rsid w:val="00571872"/>
    <w:rsid w:val="00571AD0"/>
    <w:rsid w:val="00571C9D"/>
    <w:rsid w:val="00572269"/>
    <w:rsid w:val="0057237F"/>
    <w:rsid w:val="0057244A"/>
    <w:rsid w:val="00572D70"/>
    <w:rsid w:val="0057411E"/>
    <w:rsid w:val="00575D8D"/>
    <w:rsid w:val="00576972"/>
    <w:rsid w:val="0057780B"/>
    <w:rsid w:val="00577E4F"/>
    <w:rsid w:val="005801BA"/>
    <w:rsid w:val="00581304"/>
    <w:rsid w:val="00581559"/>
    <w:rsid w:val="00581A5D"/>
    <w:rsid w:val="00583699"/>
    <w:rsid w:val="00584000"/>
    <w:rsid w:val="00584406"/>
    <w:rsid w:val="00585CDD"/>
    <w:rsid w:val="00587058"/>
    <w:rsid w:val="00591957"/>
    <w:rsid w:val="00592174"/>
    <w:rsid w:val="00592A7C"/>
    <w:rsid w:val="005940E2"/>
    <w:rsid w:val="005945E6"/>
    <w:rsid w:val="00595905"/>
    <w:rsid w:val="005963BB"/>
    <w:rsid w:val="00597BF9"/>
    <w:rsid w:val="005A15F7"/>
    <w:rsid w:val="005A20B0"/>
    <w:rsid w:val="005A2D52"/>
    <w:rsid w:val="005A373D"/>
    <w:rsid w:val="005A454F"/>
    <w:rsid w:val="005A68F0"/>
    <w:rsid w:val="005B5857"/>
    <w:rsid w:val="005C1B83"/>
    <w:rsid w:val="005C2D55"/>
    <w:rsid w:val="005C346B"/>
    <w:rsid w:val="005C34A8"/>
    <w:rsid w:val="005C3BB7"/>
    <w:rsid w:val="005C4137"/>
    <w:rsid w:val="005C566F"/>
    <w:rsid w:val="005C7719"/>
    <w:rsid w:val="005D044D"/>
    <w:rsid w:val="005D06DE"/>
    <w:rsid w:val="005D0ABD"/>
    <w:rsid w:val="005D18AD"/>
    <w:rsid w:val="005D26B4"/>
    <w:rsid w:val="005D3D4F"/>
    <w:rsid w:val="005D564E"/>
    <w:rsid w:val="005D705E"/>
    <w:rsid w:val="005E0538"/>
    <w:rsid w:val="005E1B97"/>
    <w:rsid w:val="005E4631"/>
    <w:rsid w:val="005E5873"/>
    <w:rsid w:val="005E642C"/>
    <w:rsid w:val="005E6780"/>
    <w:rsid w:val="005E6CBC"/>
    <w:rsid w:val="005E73C0"/>
    <w:rsid w:val="005E7CEC"/>
    <w:rsid w:val="005F2662"/>
    <w:rsid w:val="005F2706"/>
    <w:rsid w:val="005F43A4"/>
    <w:rsid w:val="005F6A8F"/>
    <w:rsid w:val="005F7A3F"/>
    <w:rsid w:val="00603DB9"/>
    <w:rsid w:val="00604863"/>
    <w:rsid w:val="00607669"/>
    <w:rsid w:val="00607AFD"/>
    <w:rsid w:val="0061043F"/>
    <w:rsid w:val="00610CD4"/>
    <w:rsid w:val="0061296B"/>
    <w:rsid w:val="00612F97"/>
    <w:rsid w:val="0061345D"/>
    <w:rsid w:val="00616802"/>
    <w:rsid w:val="0061681C"/>
    <w:rsid w:val="00617E12"/>
    <w:rsid w:val="00620B68"/>
    <w:rsid w:val="00621477"/>
    <w:rsid w:val="006224ED"/>
    <w:rsid w:val="00627ADD"/>
    <w:rsid w:val="0063158F"/>
    <w:rsid w:val="00631D6B"/>
    <w:rsid w:val="006322A3"/>
    <w:rsid w:val="006323F1"/>
    <w:rsid w:val="006330A1"/>
    <w:rsid w:val="00634210"/>
    <w:rsid w:val="0063479F"/>
    <w:rsid w:val="006348B2"/>
    <w:rsid w:val="00634BFC"/>
    <w:rsid w:val="006353F0"/>
    <w:rsid w:val="00636440"/>
    <w:rsid w:val="006364A1"/>
    <w:rsid w:val="0063666E"/>
    <w:rsid w:val="00636A6E"/>
    <w:rsid w:val="006371E1"/>
    <w:rsid w:val="00637BFD"/>
    <w:rsid w:val="006408C4"/>
    <w:rsid w:val="00640D20"/>
    <w:rsid w:val="00641C4E"/>
    <w:rsid w:val="00641C88"/>
    <w:rsid w:val="006471CC"/>
    <w:rsid w:val="0065079F"/>
    <w:rsid w:val="00651A50"/>
    <w:rsid w:val="006532C6"/>
    <w:rsid w:val="00653481"/>
    <w:rsid w:val="0065379F"/>
    <w:rsid w:val="00656801"/>
    <w:rsid w:val="0066074A"/>
    <w:rsid w:val="0066087E"/>
    <w:rsid w:val="00661697"/>
    <w:rsid w:val="00661C6B"/>
    <w:rsid w:val="00662448"/>
    <w:rsid w:val="00667708"/>
    <w:rsid w:val="00674E42"/>
    <w:rsid w:val="00676CC2"/>
    <w:rsid w:val="00680AA2"/>
    <w:rsid w:val="00682112"/>
    <w:rsid w:val="00686957"/>
    <w:rsid w:val="006872BA"/>
    <w:rsid w:val="00691648"/>
    <w:rsid w:val="006917D7"/>
    <w:rsid w:val="00694140"/>
    <w:rsid w:val="00694F44"/>
    <w:rsid w:val="00697899"/>
    <w:rsid w:val="00697E5D"/>
    <w:rsid w:val="006A50DA"/>
    <w:rsid w:val="006A7E5F"/>
    <w:rsid w:val="006B1835"/>
    <w:rsid w:val="006B1E9C"/>
    <w:rsid w:val="006B21EE"/>
    <w:rsid w:val="006B261B"/>
    <w:rsid w:val="006B2C90"/>
    <w:rsid w:val="006B3BFE"/>
    <w:rsid w:val="006B6DD0"/>
    <w:rsid w:val="006C1CA6"/>
    <w:rsid w:val="006C22AF"/>
    <w:rsid w:val="006C2A8E"/>
    <w:rsid w:val="006C2B5C"/>
    <w:rsid w:val="006C4BCB"/>
    <w:rsid w:val="006C63CA"/>
    <w:rsid w:val="006C7BB6"/>
    <w:rsid w:val="006C7EC7"/>
    <w:rsid w:val="006D0D8F"/>
    <w:rsid w:val="006D3C7D"/>
    <w:rsid w:val="006D5715"/>
    <w:rsid w:val="006D5D5F"/>
    <w:rsid w:val="006D7092"/>
    <w:rsid w:val="006E49C4"/>
    <w:rsid w:val="006E55D9"/>
    <w:rsid w:val="006E73CE"/>
    <w:rsid w:val="006E79C2"/>
    <w:rsid w:val="006F0104"/>
    <w:rsid w:val="006F306C"/>
    <w:rsid w:val="006F3A75"/>
    <w:rsid w:val="006F3E72"/>
    <w:rsid w:val="006F63A5"/>
    <w:rsid w:val="006F64D2"/>
    <w:rsid w:val="006F7D5F"/>
    <w:rsid w:val="0070142B"/>
    <w:rsid w:val="00702660"/>
    <w:rsid w:val="0070276E"/>
    <w:rsid w:val="00702F8F"/>
    <w:rsid w:val="00703370"/>
    <w:rsid w:val="007054CA"/>
    <w:rsid w:val="0070605B"/>
    <w:rsid w:val="00706EAE"/>
    <w:rsid w:val="00707060"/>
    <w:rsid w:val="007078D0"/>
    <w:rsid w:val="00710CBC"/>
    <w:rsid w:val="00711A36"/>
    <w:rsid w:val="00713631"/>
    <w:rsid w:val="007143ED"/>
    <w:rsid w:val="00714B41"/>
    <w:rsid w:val="0071529C"/>
    <w:rsid w:val="0071566A"/>
    <w:rsid w:val="007164BF"/>
    <w:rsid w:val="007172AD"/>
    <w:rsid w:val="00722B1B"/>
    <w:rsid w:val="00723A77"/>
    <w:rsid w:val="0072416F"/>
    <w:rsid w:val="00727C94"/>
    <w:rsid w:val="007309C0"/>
    <w:rsid w:val="007310CB"/>
    <w:rsid w:val="00731EAE"/>
    <w:rsid w:val="00732854"/>
    <w:rsid w:val="00733D35"/>
    <w:rsid w:val="00734823"/>
    <w:rsid w:val="00735033"/>
    <w:rsid w:val="00735328"/>
    <w:rsid w:val="0073685B"/>
    <w:rsid w:val="00736E52"/>
    <w:rsid w:val="00737B42"/>
    <w:rsid w:val="00741410"/>
    <w:rsid w:val="00746F32"/>
    <w:rsid w:val="007503E6"/>
    <w:rsid w:val="00752142"/>
    <w:rsid w:val="007523F9"/>
    <w:rsid w:val="00755D21"/>
    <w:rsid w:val="007561A2"/>
    <w:rsid w:val="0075668B"/>
    <w:rsid w:val="007573E8"/>
    <w:rsid w:val="00757B25"/>
    <w:rsid w:val="00760C4E"/>
    <w:rsid w:val="00761830"/>
    <w:rsid w:val="00762157"/>
    <w:rsid w:val="00763DEA"/>
    <w:rsid w:val="00763DFD"/>
    <w:rsid w:val="007646D7"/>
    <w:rsid w:val="00765B1A"/>
    <w:rsid w:val="00767D85"/>
    <w:rsid w:val="0077093E"/>
    <w:rsid w:val="00770BAC"/>
    <w:rsid w:val="00774BE7"/>
    <w:rsid w:val="00776FD5"/>
    <w:rsid w:val="007836ED"/>
    <w:rsid w:val="007843F2"/>
    <w:rsid w:val="007855B3"/>
    <w:rsid w:val="00790DBE"/>
    <w:rsid w:val="0079253A"/>
    <w:rsid w:val="0079690D"/>
    <w:rsid w:val="007A0A12"/>
    <w:rsid w:val="007A132D"/>
    <w:rsid w:val="007A6B8F"/>
    <w:rsid w:val="007B0C89"/>
    <w:rsid w:val="007B0D68"/>
    <w:rsid w:val="007B1533"/>
    <w:rsid w:val="007B251D"/>
    <w:rsid w:val="007B35B4"/>
    <w:rsid w:val="007B4F58"/>
    <w:rsid w:val="007B528D"/>
    <w:rsid w:val="007B6DBA"/>
    <w:rsid w:val="007B77D1"/>
    <w:rsid w:val="007B7DE2"/>
    <w:rsid w:val="007C05BF"/>
    <w:rsid w:val="007C1CD9"/>
    <w:rsid w:val="007C361D"/>
    <w:rsid w:val="007C3E56"/>
    <w:rsid w:val="007C4B84"/>
    <w:rsid w:val="007D004F"/>
    <w:rsid w:val="007D0B38"/>
    <w:rsid w:val="007D5440"/>
    <w:rsid w:val="007D606E"/>
    <w:rsid w:val="007D6260"/>
    <w:rsid w:val="007D7134"/>
    <w:rsid w:val="007E1420"/>
    <w:rsid w:val="007E2172"/>
    <w:rsid w:val="007E24D7"/>
    <w:rsid w:val="007E2D4D"/>
    <w:rsid w:val="007E6920"/>
    <w:rsid w:val="007E765C"/>
    <w:rsid w:val="007E7996"/>
    <w:rsid w:val="007E7DB8"/>
    <w:rsid w:val="007F1017"/>
    <w:rsid w:val="007F2064"/>
    <w:rsid w:val="007F4253"/>
    <w:rsid w:val="007F4A3F"/>
    <w:rsid w:val="007F4A61"/>
    <w:rsid w:val="007F51B3"/>
    <w:rsid w:val="007F61C2"/>
    <w:rsid w:val="0080218B"/>
    <w:rsid w:val="00803BD7"/>
    <w:rsid w:val="0080411C"/>
    <w:rsid w:val="00805142"/>
    <w:rsid w:val="00806288"/>
    <w:rsid w:val="00807A8B"/>
    <w:rsid w:val="00811383"/>
    <w:rsid w:val="008113CF"/>
    <w:rsid w:val="00812149"/>
    <w:rsid w:val="00812CAC"/>
    <w:rsid w:val="008166EF"/>
    <w:rsid w:val="00817582"/>
    <w:rsid w:val="00817AE6"/>
    <w:rsid w:val="008229C9"/>
    <w:rsid w:val="0082449D"/>
    <w:rsid w:val="00825751"/>
    <w:rsid w:val="008262DA"/>
    <w:rsid w:val="008264EB"/>
    <w:rsid w:val="008269E6"/>
    <w:rsid w:val="00827AA3"/>
    <w:rsid w:val="00831472"/>
    <w:rsid w:val="00833B05"/>
    <w:rsid w:val="00835743"/>
    <w:rsid w:val="008362B4"/>
    <w:rsid w:val="00837F06"/>
    <w:rsid w:val="00840CA2"/>
    <w:rsid w:val="0084239B"/>
    <w:rsid w:val="0084374F"/>
    <w:rsid w:val="008441B2"/>
    <w:rsid w:val="008446B5"/>
    <w:rsid w:val="0084559A"/>
    <w:rsid w:val="00847DF5"/>
    <w:rsid w:val="00847F67"/>
    <w:rsid w:val="008509D4"/>
    <w:rsid w:val="00850EE4"/>
    <w:rsid w:val="00852126"/>
    <w:rsid w:val="0085309D"/>
    <w:rsid w:val="00854F53"/>
    <w:rsid w:val="00856897"/>
    <w:rsid w:val="00856E9A"/>
    <w:rsid w:val="0086075D"/>
    <w:rsid w:val="00862502"/>
    <w:rsid w:val="008660D4"/>
    <w:rsid w:val="0086641E"/>
    <w:rsid w:val="00871FA9"/>
    <w:rsid w:val="008728E9"/>
    <w:rsid w:val="00875A16"/>
    <w:rsid w:val="00876D89"/>
    <w:rsid w:val="00877B35"/>
    <w:rsid w:val="0088243A"/>
    <w:rsid w:val="00882874"/>
    <w:rsid w:val="00882CE2"/>
    <w:rsid w:val="00883787"/>
    <w:rsid w:val="008853B0"/>
    <w:rsid w:val="00885C9F"/>
    <w:rsid w:val="0088632A"/>
    <w:rsid w:val="00886CD2"/>
    <w:rsid w:val="00887A49"/>
    <w:rsid w:val="0089248E"/>
    <w:rsid w:val="008927EC"/>
    <w:rsid w:val="00892A36"/>
    <w:rsid w:val="00893239"/>
    <w:rsid w:val="00894489"/>
    <w:rsid w:val="00895249"/>
    <w:rsid w:val="00895BC1"/>
    <w:rsid w:val="00895F15"/>
    <w:rsid w:val="008963A5"/>
    <w:rsid w:val="00896A1E"/>
    <w:rsid w:val="008A2D81"/>
    <w:rsid w:val="008A2FCB"/>
    <w:rsid w:val="008A3363"/>
    <w:rsid w:val="008A3371"/>
    <w:rsid w:val="008A3C3E"/>
    <w:rsid w:val="008A65BB"/>
    <w:rsid w:val="008A79DE"/>
    <w:rsid w:val="008B0189"/>
    <w:rsid w:val="008B1757"/>
    <w:rsid w:val="008B5CB2"/>
    <w:rsid w:val="008B6152"/>
    <w:rsid w:val="008B7D7E"/>
    <w:rsid w:val="008C1189"/>
    <w:rsid w:val="008C2FC1"/>
    <w:rsid w:val="008C4B9A"/>
    <w:rsid w:val="008C61E4"/>
    <w:rsid w:val="008C7ECB"/>
    <w:rsid w:val="008D1CB3"/>
    <w:rsid w:val="008D22AA"/>
    <w:rsid w:val="008D2414"/>
    <w:rsid w:val="008D250D"/>
    <w:rsid w:val="008D4755"/>
    <w:rsid w:val="008D4C3D"/>
    <w:rsid w:val="008E0D3C"/>
    <w:rsid w:val="008E1B9E"/>
    <w:rsid w:val="008E1CBC"/>
    <w:rsid w:val="008E55AB"/>
    <w:rsid w:val="008E5804"/>
    <w:rsid w:val="008E7259"/>
    <w:rsid w:val="008F0DD5"/>
    <w:rsid w:val="008F120A"/>
    <w:rsid w:val="008F27E0"/>
    <w:rsid w:val="008F48EB"/>
    <w:rsid w:val="008F4B1F"/>
    <w:rsid w:val="008F4F0B"/>
    <w:rsid w:val="008F5E18"/>
    <w:rsid w:val="008F6686"/>
    <w:rsid w:val="009046C4"/>
    <w:rsid w:val="009062A5"/>
    <w:rsid w:val="00911272"/>
    <w:rsid w:val="00912555"/>
    <w:rsid w:val="009135D6"/>
    <w:rsid w:val="00914371"/>
    <w:rsid w:val="00914C77"/>
    <w:rsid w:val="0091620D"/>
    <w:rsid w:val="0092369B"/>
    <w:rsid w:val="00923885"/>
    <w:rsid w:val="009240C2"/>
    <w:rsid w:val="00925017"/>
    <w:rsid w:val="0092518A"/>
    <w:rsid w:val="00925256"/>
    <w:rsid w:val="0093401C"/>
    <w:rsid w:val="00940B31"/>
    <w:rsid w:val="00942411"/>
    <w:rsid w:val="0094485A"/>
    <w:rsid w:val="00945DFA"/>
    <w:rsid w:val="009510A2"/>
    <w:rsid w:val="0095198E"/>
    <w:rsid w:val="00953257"/>
    <w:rsid w:val="00953AEA"/>
    <w:rsid w:val="00953D26"/>
    <w:rsid w:val="00954B09"/>
    <w:rsid w:val="009560C9"/>
    <w:rsid w:val="00956D9C"/>
    <w:rsid w:val="00961835"/>
    <w:rsid w:val="00962CB9"/>
    <w:rsid w:val="00963BC4"/>
    <w:rsid w:val="00964312"/>
    <w:rsid w:val="00964621"/>
    <w:rsid w:val="00965B8A"/>
    <w:rsid w:val="00967915"/>
    <w:rsid w:val="00971219"/>
    <w:rsid w:val="009717AC"/>
    <w:rsid w:val="009724BD"/>
    <w:rsid w:val="009749A4"/>
    <w:rsid w:val="00976995"/>
    <w:rsid w:val="00977491"/>
    <w:rsid w:val="00980353"/>
    <w:rsid w:val="00983A11"/>
    <w:rsid w:val="00983E57"/>
    <w:rsid w:val="00984BED"/>
    <w:rsid w:val="0098675D"/>
    <w:rsid w:val="00987569"/>
    <w:rsid w:val="00993757"/>
    <w:rsid w:val="00996B1A"/>
    <w:rsid w:val="00997125"/>
    <w:rsid w:val="00997CBE"/>
    <w:rsid w:val="009A16DE"/>
    <w:rsid w:val="009A66C5"/>
    <w:rsid w:val="009A7F10"/>
    <w:rsid w:val="009B3E26"/>
    <w:rsid w:val="009B53C6"/>
    <w:rsid w:val="009B723D"/>
    <w:rsid w:val="009C246F"/>
    <w:rsid w:val="009C4568"/>
    <w:rsid w:val="009C6B11"/>
    <w:rsid w:val="009C6CEA"/>
    <w:rsid w:val="009C76B4"/>
    <w:rsid w:val="009C7B85"/>
    <w:rsid w:val="009D238F"/>
    <w:rsid w:val="009D31FC"/>
    <w:rsid w:val="009D34E6"/>
    <w:rsid w:val="009D3652"/>
    <w:rsid w:val="009D5B91"/>
    <w:rsid w:val="009D6140"/>
    <w:rsid w:val="009D792E"/>
    <w:rsid w:val="009E0DFE"/>
    <w:rsid w:val="009E1E58"/>
    <w:rsid w:val="009E33A4"/>
    <w:rsid w:val="009E4696"/>
    <w:rsid w:val="009E4866"/>
    <w:rsid w:val="009E49DA"/>
    <w:rsid w:val="009E4C07"/>
    <w:rsid w:val="009E76B5"/>
    <w:rsid w:val="009E7C1E"/>
    <w:rsid w:val="009F263C"/>
    <w:rsid w:val="00A006F4"/>
    <w:rsid w:val="00A00E5E"/>
    <w:rsid w:val="00A01184"/>
    <w:rsid w:val="00A03D43"/>
    <w:rsid w:val="00A04380"/>
    <w:rsid w:val="00A047BC"/>
    <w:rsid w:val="00A05465"/>
    <w:rsid w:val="00A076D7"/>
    <w:rsid w:val="00A07D52"/>
    <w:rsid w:val="00A1003A"/>
    <w:rsid w:val="00A1016E"/>
    <w:rsid w:val="00A1058D"/>
    <w:rsid w:val="00A10A33"/>
    <w:rsid w:val="00A10CCF"/>
    <w:rsid w:val="00A11CD0"/>
    <w:rsid w:val="00A13948"/>
    <w:rsid w:val="00A13C97"/>
    <w:rsid w:val="00A1555B"/>
    <w:rsid w:val="00A155C5"/>
    <w:rsid w:val="00A16AD8"/>
    <w:rsid w:val="00A17D8B"/>
    <w:rsid w:val="00A21CF3"/>
    <w:rsid w:val="00A226DC"/>
    <w:rsid w:val="00A22C9E"/>
    <w:rsid w:val="00A23305"/>
    <w:rsid w:val="00A24BBE"/>
    <w:rsid w:val="00A2684A"/>
    <w:rsid w:val="00A27AEC"/>
    <w:rsid w:val="00A308E7"/>
    <w:rsid w:val="00A320DB"/>
    <w:rsid w:val="00A33424"/>
    <w:rsid w:val="00A33EF8"/>
    <w:rsid w:val="00A353CE"/>
    <w:rsid w:val="00A35D16"/>
    <w:rsid w:val="00A36059"/>
    <w:rsid w:val="00A36B3C"/>
    <w:rsid w:val="00A37BCD"/>
    <w:rsid w:val="00A37E6C"/>
    <w:rsid w:val="00A40A19"/>
    <w:rsid w:val="00A43C59"/>
    <w:rsid w:val="00A45749"/>
    <w:rsid w:val="00A50ECD"/>
    <w:rsid w:val="00A518F3"/>
    <w:rsid w:val="00A52729"/>
    <w:rsid w:val="00A53675"/>
    <w:rsid w:val="00A53F9C"/>
    <w:rsid w:val="00A5435E"/>
    <w:rsid w:val="00A54FDB"/>
    <w:rsid w:val="00A564D7"/>
    <w:rsid w:val="00A56B6A"/>
    <w:rsid w:val="00A578DC"/>
    <w:rsid w:val="00A61CAC"/>
    <w:rsid w:val="00A65CD1"/>
    <w:rsid w:val="00A66250"/>
    <w:rsid w:val="00A6725B"/>
    <w:rsid w:val="00A70605"/>
    <w:rsid w:val="00A70F1E"/>
    <w:rsid w:val="00A73134"/>
    <w:rsid w:val="00A7335E"/>
    <w:rsid w:val="00A74098"/>
    <w:rsid w:val="00A75A09"/>
    <w:rsid w:val="00A772C6"/>
    <w:rsid w:val="00A777B2"/>
    <w:rsid w:val="00A854B2"/>
    <w:rsid w:val="00A86E8B"/>
    <w:rsid w:val="00A87164"/>
    <w:rsid w:val="00A93072"/>
    <w:rsid w:val="00A9350D"/>
    <w:rsid w:val="00A93876"/>
    <w:rsid w:val="00A93953"/>
    <w:rsid w:val="00A959D8"/>
    <w:rsid w:val="00AA113D"/>
    <w:rsid w:val="00AA368F"/>
    <w:rsid w:val="00AA6C7D"/>
    <w:rsid w:val="00AA75A6"/>
    <w:rsid w:val="00AA7FD6"/>
    <w:rsid w:val="00AB01F5"/>
    <w:rsid w:val="00AB042A"/>
    <w:rsid w:val="00AB0858"/>
    <w:rsid w:val="00AB23DB"/>
    <w:rsid w:val="00AB2D34"/>
    <w:rsid w:val="00AB3430"/>
    <w:rsid w:val="00AB3A11"/>
    <w:rsid w:val="00AB4AD1"/>
    <w:rsid w:val="00AB7CFA"/>
    <w:rsid w:val="00AC0205"/>
    <w:rsid w:val="00AC41B1"/>
    <w:rsid w:val="00AC5B48"/>
    <w:rsid w:val="00AC625A"/>
    <w:rsid w:val="00AD05C0"/>
    <w:rsid w:val="00AD2E23"/>
    <w:rsid w:val="00AD5868"/>
    <w:rsid w:val="00AD6502"/>
    <w:rsid w:val="00AD76FF"/>
    <w:rsid w:val="00AE6D3B"/>
    <w:rsid w:val="00AF1315"/>
    <w:rsid w:val="00AF146F"/>
    <w:rsid w:val="00AF161F"/>
    <w:rsid w:val="00AF19BF"/>
    <w:rsid w:val="00AF2DC3"/>
    <w:rsid w:val="00AF3DF9"/>
    <w:rsid w:val="00AF45EB"/>
    <w:rsid w:val="00B033E5"/>
    <w:rsid w:val="00B03A63"/>
    <w:rsid w:val="00B044CD"/>
    <w:rsid w:val="00B04BBB"/>
    <w:rsid w:val="00B0555E"/>
    <w:rsid w:val="00B0706F"/>
    <w:rsid w:val="00B11AE7"/>
    <w:rsid w:val="00B11C25"/>
    <w:rsid w:val="00B128E3"/>
    <w:rsid w:val="00B15C37"/>
    <w:rsid w:val="00B17FE9"/>
    <w:rsid w:val="00B201A4"/>
    <w:rsid w:val="00B213A6"/>
    <w:rsid w:val="00B2362A"/>
    <w:rsid w:val="00B24DF6"/>
    <w:rsid w:val="00B2612B"/>
    <w:rsid w:val="00B32146"/>
    <w:rsid w:val="00B347AD"/>
    <w:rsid w:val="00B347F7"/>
    <w:rsid w:val="00B34FE2"/>
    <w:rsid w:val="00B357D8"/>
    <w:rsid w:val="00B37BFC"/>
    <w:rsid w:val="00B40358"/>
    <w:rsid w:val="00B41614"/>
    <w:rsid w:val="00B416F0"/>
    <w:rsid w:val="00B42851"/>
    <w:rsid w:val="00B42F80"/>
    <w:rsid w:val="00B4302D"/>
    <w:rsid w:val="00B435CB"/>
    <w:rsid w:val="00B4592C"/>
    <w:rsid w:val="00B45D4D"/>
    <w:rsid w:val="00B4790A"/>
    <w:rsid w:val="00B47970"/>
    <w:rsid w:val="00B47ACC"/>
    <w:rsid w:val="00B47F15"/>
    <w:rsid w:val="00B50DB8"/>
    <w:rsid w:val="00B5359E"/>
    <w:rsid w:val="00B53654"/>
    <w:rsid w:val="00B53905"/>
    <w:rsid w:val="00B54B5B"/>
    <w:rsid w:val="00B5562E"/>
    <w:rsid w:val="00B57000"/>
    <w:rsid w:val="00B60939"/>
    <w:rsid w:val="00B60AFD"/>
    <w:rsid w:val="00B611AC"/>
    <w:rsid w:val="00B613E1"/>
    <w:rsid w:val="00B62715"/>
    <w:rsid w:val="00B631C3"/>
    <w:rsid w:val="00B63FAF"/>
    <w:rsid w:val="00B659BE"/>
    <w:rsid w:val="00B66CF9"/>
    <w:rsid w:val="00B6798D"/>
    <w:rsid w:val="00B67B04"/>
    <w:rsid w:val="00B72D98"/>
    <w:rsid w:val="00B7329E"/>
    <w:rsid w:val="00B7589D"/>
    <w:rsid w:val="00B77F38"/>
    <w:rsid w:val="00B805E0"/>
    <w:rsid w:val="00B818A4"/>
    <w:rsid w:val="00B81A81"/>
    <w:rsid w:val="00B82414"/>
    <w:rsid w:val="00B827F6"/>
    <w:rsid w:val="00B84117"/>
    <w:rsid w:val="00B85AA2"/>
    <w:rsid w:val="00B85EF1"/>
    <w:rsid w:val="00B8649C"/>
    <w:rsid w:val="00B87F0A"/>
    <w:rsid w:val="00B90612"/>
    <w:rsid w:val="00B92CE8"/>
    <w:rsid w:val="00B92D0B"/>
    <w:rsid w:val="00B935A8"/>
    <w:rsid w:val="00B93CC5"/>
    <w:rsid w:val="00B94431"/>
    <w:rsid w:val="00B94560"/>
    <w:rsid w:val="00B94945"/>
    <w:rsid w:val="00B9607E"/>
    <w:rsid w:val="00B96209"/>
    <w:rsid w:val="00B966FE"/>
    <w:rsid w:val="00B976A7"/>
    <w:rsid w:val="00BA26EC"/>
    <w:rsid w:val="00BA322D"/>
    <w:rsid w:val="00BA3283"/>
    <w:rsid w:val="00BA3755"/>
    <w:rsid w:val="00BA6016"/>
    <w:rsid w:val="00BB0BDD"/>
    <w:rsid w:val="00BB21E9"/>
    <w:rsid w:val="00BB2A73"/>
    <w:rsid w:val="00BB2B44"/>
    <w:rsid w:val="00BB4ACC"/>
    <w:rsid w:val="00BB703E"/>
    <w:rsid w:val="00BB7405"/>
    <w:rsid w:val="00BB7510"/>
    <w:rsid w:val="00BC16BA"/>
    <w:rsid w:val="00BC2376"/>
    <w:rsid w:val="00BC3631"/>
    <w:rsid w:val="00BC36FE"/>
    <w:rsid w:val="00BC4FA1"/>
    <w:rsid w:val="00BC5F92"/>
    <w:rsid w:val="00BD1D45"/>
    <w:rsid w:val="00BD5280"/>
    <w:rsid w:val="00BD5BCC"/>
    <w:rsid w:val="00BD68A3"/>
    <w:rsid w:val="00BD6938"/>
    <w:rsid w:val="00BD6CF3"/>
    <w:rsid w:val="00BD7F92"/>
    <w:rsid w:val="00BE01F4"/>
    <w:rsid w:val="00BE07D0"/>
    <w:rsid w:val="00BE2180"/>
    <w:rsid w:val="00BE21F2"/>
    <w:rsid w:val="00BE34B2"/>
    <w:rsid w:val="00BE4275"/>
    <w:rsid w:val="00BE4958"/>
    <w:rsid w:val="00BE49D2"/>
    <w:rsid w:val="00BE5339"/>
    <w:rsid w:val="00BE6DC2"/>
    <w:rsid w:val="00BE6FBF"/>
    <w:rsid w:val="00BF0F95"/>
    <w:rsid w:val="00BF2433"/>
    <w:rsid w:val="00BF561C"/>
    <w:rsid w:val="00BF61C9"/>
    <w:rsid w:val="00BF6C94"/>
    <w:rsid w:val="00C00424"/>
    <w:rsid w:val="00C01E8D"/>
    <w:rsid w:val="00C02058"/>
    <w:rsid w:val="00C021C5"/>
    <w:rsid w:val="00C12C14"/>
    <w:rsid w:val="00C173DA"/>
    <w:rsid w:val="00C200AA"/>
    <w:rsid w:val="00C204DB"/>
    <w:rsid w:val="00C204DD"/>
    <w:rsid w:val="00C22B2E"/>
    <w:rsid w:val="00C237ED"/>
    <w:rsid w:val="00C24632"/>
    <w:rsid w:val="00C247D4"/>
    <w:rsid w:val="00C24D69"/>
    <w:rsid w:val="00C252E4"/>
    <w:rsid w:val="00C25418"/>
    <w:rsid w:val="00C256C6"/>
    <w:rsid w:val="00C25D9C"/>
    <w:rsid w:val="00C2634A"/>
    <w:rsid w:val="00C26AEC"/>
    <w:rsid w:val="00C2778B"/>
    <w:rsid w:val="00C30F50"/>
    <w:rsid w:val="00C31649"/>
    <w:rsid w:val="00C31A1E"/>
    <w:rsid w:val="00C31AA4"/>
    <w:rsid w:val="00C3219F"/>
    <w:rsid w:val="00C32742"/>
    <w:rsid w:val="00C335FD"/>
    <w:rsid w:val="00C342F7"/>
    <w:rsid w:val="00C35764"/>
    <w:rsid w:val="00C376C2"/>
    <w:rsid w:val="00C40385"/>
    <w:rsid w:val="00C435F2"/>
    <w:rsid w:val="00C471ED"/>
    <w:rsid w:val="00C475AA"/>
    <w:rsid w:val="00C50F42"/>
    <w:rsid w:val="00C51199"/>
    <w:rsid w:val="00C53295"/>
    <w:rsid w:val="00C63B89"/>
    <w:rsid w:val="00C65430"/>
    <w:rsid w:val="00C65576"/>
    <w:rsid w:val="00C65786"/>
    <w:rsid w:val="00C65870"/>
    <w:rsid w:val="00C66165"/>
    <w:rsid w:val="00C661E4"/>
    <w:rsid w:val="00C7151A"/>
    <w:rsid w:val="00C71F60"/>
    <w:rsid w:val="00C72241"/>
    <w:rsid w:val="00C750C8"/>
    <w:rsid w:val="00C7560F"/>
    <w:rsid w:val="00C75ACF"/>
    <w:rsid w:val="00C75D8C"/>
    <w:rsid w:val="00C76915"/>
    <w:rsid w:val="00C8029B"/>
    <w:rsid w:val="00C80A0E"/>
    <w:rsid w:val="00C8213F"/>
    <w:rsid w:val="00C843DF"/>
    <w:rsid w:val="00C85868"/>
    <w:rsid w:val="00C8741C"/>
    <w:rsid w:val="00C8797A"/>
    <w:rsid w:val="00C900B8"/>
    <w:rsid w:val="00C90C71"/>
    <w:rsid w:val="00C92A9B"/>
    <w:rsid w:val="00C92F1A"/>
    <w:rsid w:val="00C931CF"/>
    <w:rsid w:val="00C938CF"/>
    <w:rsid w:val="00C94EEA"/>
    <w:rsid w:val="00C9594C"/>
    <w:rsid w:val="00C9624D"/>
    <w:rsid w:val="00C969DA"/>
    <w:rsid w:val="00CA0726"/>
    <w:rsid w:val="00CA252B"/>
    <w:rsid w:val="00CA2C77"/>
    <w:rsid w:val="00CA444F"/>
    <w:rsid w:val="00CA4743"/>
    <w:rsid w:val="00CA5245"/>
    <w:rsid w:val="00CA71F4"/>
    <w:rsid w:val="00CA748A"/>
    <w:rsid w:val="00CA7B09"/>
    <w:rsid w:val="00CB0C17"/>
    <w:rsid w:val="00CB257E"/>
    <w:rsid w:val="00CB2F2A"/>
    <w:rsid w:val="00CB543C"/>
    <w:rsid w:val="00CB5B1A"/>
    <w:rsid w:val="00CB629A"/>
    <w:rsid w:val="00CB6B22"/>
    <w:rsid w:val="00CB7F5F"/>
    <w:rsid w:val="00CC158C"/>
    <w:rsid w:val="00CC1B39"/>
    <w:rsid w:val="00CD066D"/>
    <w:rsid w:val="00CD0E0A"/>
    <w:rsid w:val="00CD1631"/>
    <w:rsid w:val="00CD2B2A"/>
    <w:rsid w:val="00CD2D30"/>
    <w:rsid w:val="00CD2E2A"/>
    <w:rsid w:val="00CD46F0"/>
    <w:rsid w:val="00CD6ADC"/>
    <w:rsid w:val="00CD783E"/>
    <w:rsid w:val="00CE1A8C"/>
    <w:rsid w:val="00CE6180"/>
    <w:rsid w:val="00CE6274"/>
    <w:rsid w:val="00CF2B8D"/>
    <w:rsid w:val="00CF456B"/>
    <w:rsid w:val="00CF4EF7"/>
    <w:rsid w:val="00CF5367"/>
    <w:rsid w:val="00CF5A22"/>
    <w:rsid w:val="00CF6DF3"/>
    <w:rsid w:val="00D000D6"/>
    <w:rsid w:val="00D0262E"/>
    <w:rsid w:val="00D0530F"/>
    <w:rsid w:val="00D06082"/>
    <w:rsid w:val="00D110BD"/>
    <w:rsid w:val="00D13675"/>
    <w:rsid w:val="00D1383B"/>
    <w:rsid w:val="00D141E1"/>
    <w:rsid w:val="00D1524E"/>
    <w:rsid w:val="00D15EA6"/>
    <w:rsid w:val="00D16FAB"/>
    <w:rsid w:val="00D17D6C"/>
    <w:rsid w:val="00D207FF"/>
    <w:rsid w:val="00D2107A"/>
    <w:rsid w:val="00D210F8"/>
    <w:rsid w:val="00D21219"/>
    <w:rsid w:val="00D23725"/>
    <w:rsid w:val="00D23BB1"/>
    <w:rsid w:val="00D2567A"/>
    <w:rsid w:val="00D262C3"/>
    <w:rsid w:val="00D26FDC"/>
    <w:rsid w:val="00D27000"/>
    <w:rsid w:val="00D2754D"/>
    <w:rsid w:val="00D27A16"/>
    <w:rsid w:val="00D27B27"/>
    <w:rsid w:val="00D31905"/>
    <w:rsid w:val="00D31DDA"/>
    <w:rsid w:val="00D32E99"/>
    <w:rsid w:val="00D33BE9"/>
    <w:rsid w:val="00D357FF"/>
    <w:rsid w:val="00D424C7"/>
    <w:rsid w:val="00D43B2A"/>
    <w:rsid w:val="00D4413D"/>
    <w:rsid w:val="00D447E8"/>
    <w:rsid w:val="00D4614B"/>
    <w:rsid w:val="00D4704A"/>
    <w:rsid w:val="00D47575"/>
    <w:rsid w:val="00D516D5"/>
    <w:rsid w:val="00D51C09"/>
    <w:rsid w:val="00D52EA5"/>
    <w:rsid w:val="00D532C1"/>
    <w:rsid w:val="00D534A0"/>
    <w:rsid w:val="00D53C4F"/>
    <w:rsid w:val="00D6139F"/>
    <w:rsid w:val="00D636C3"/>
    <w:rsid w:val="00D64903"/>
    <w:rsid w:val="00D70F16"/>
    <w:rsid w:val="00D72AA9"/>
    <w:rsid w:val="00D7516C"/>
    <w:rsid w:val="00D758E0"/>
    <w:rsid w:val="00D76A44"/>
    <w:rsid w:val="00D778E0"/>
    <w:rsid w:val="00D80C5D"/>
    <w:rsid w:val="00D815EF"/>
    <w:rsid w:val="00D81C0A"/>
    <w:rsid w:val="00D82D38"/>
    <w:rsid w:val="00D8593E"/>
    <w:rsid w:val="00D91923"/>
    <w:rsid w:val="00D93753"/>
    <w:rsid w:val="00D94178"/>
    <w:rsid w:val="00D9785B"/>
    <w:rsid w:val="00D97907"/>
    <w:rsid w:val="00DA0723"/>
    <w:rsid w:val="00DA1147"/>
    <w:rsid w:val="00DA283C"/>
    <w:rsid w:val="00DA2F93"/>
    <w:rsid w:val="00DA3167"/>
    <w:rsid w:val="00DA35D1"/>
    <w:rsid w:val="00DA3F8B"/>
    <w:rsid w:val="00DA4DC3"/>
    <w:rsid w:val="00DA6E92"/>
    <w:rsid w:val="00DA77A5"/>
    <w:rsid w:val="00DB146B"/>
    <w:rsid w:val="00DB20E6"/>
    <w:rsid w:val="00DB3106"/>
    <w:rsid w:val="00DB484F"/>
    <w:rsid w:val="00DB49B6"/>
    <w:rsid w:val="00DC034B"/>
    <w:rsid w:val="00DC04F6"/>
    <w:rsid w:val="00DC3C57"/>
    <w:rsid w:val="00DC5501"/>
    <w:rsid w:val="00DC6B6B"/>
    <w:rsid w:val="00DD0145"/>
    <w:rsid w:val="00DD0D52"/>
    <w:rsid w:val="00DD273C"/>
    <w:rsid w:val="00DD3F28"/>
    <w:rsid w:val="00DD3FAB"/>
    <w:rsid w:val="00DD4537"/>
    <w:rsid w:val="00DD4E15"/>
    <w:rsid w:val="00DD6C7A"/>
    <w:rsid w:val="00DD7AD2"/>
    <w:rsid w:val="00DE29CF"/>
    <w:rsid w:val="00DE2DFE"/>
    <w:rsid w:val="00DE3138"/>
    <w:rsid w:val="00DE37F8"/>
    <w:rsid w:val="00DE4DEB"/>
    <w:rsid w:val="00DE4FCB"/>
    <w:rsid w:val="00DE5D29"/>
    <w:rsid w:val="00DE5E9F"/>
    <w:rsid w:val="00DE6743"/>
    <w:rsid w:val="00DE7832"/>
    <w:rsid w:val="00DF18FC"/>
    <w:rsid w:val="00DF3165"/>
    <w:rsid w:val="00DF5D2B"/>
    <w:rsid w:val="00DF60D9"/>
    <w:rsid w:val="00DF7984"/>
    <w:rsid w:val="00E005DD"/>
    <w:rsid w:val="00E00E8E"/>
    <w:rsid w:val="00E022F2"/>
    <w:rsid w:val="00E02636"/>
    <w:rsid w:val="00E03B87"/>
    <w:rsid w:val="00E05630"/>
    <w:rsid w:val="00E06DBB"/>
    <w:rsid w:val="00E10149"/>
    <w:rsid w:val="00E11E1D"/>
    <w:rsid w:val="00E12DAE"/>
    <w:rsid w:val="00E152FB"/>
    <w:rsid w:val="00E16372"/>
    <w:rsid w:val="00E170C2"/>
    <w:rsid w:val="00E201F8"/>
    <w:rsid w:val="00E20E4D"/>
    <w:rsid w:val="00E20ED6"/>
    <w:rsid w:val="00E21358"/>
    <w:rsid w:val="00E21C32"/>
    <w:rsid w:val="00E22122"/>
    <w:rsid w:val="00E2249B"/>
    <w:rsid w:val="00E22A0D"/>
    <w:rsid w:val="00E23E07"/>
    <w:rsid w:val="00E27113"/>
    <w:rsid w:val="00E2771E"/>
    <w:rsid w:val="00E3279B"/>
    <w:rsid w:val="00E3452B"/>
    <w:rsid w:val="00E34948"/>
    <w:rsid w:val="00E37569"/>
    <w:rsid w:val="00E41E30"/>
    <w:rsid w:val="00E42E4D"/>
    <w:rsid w:val="00E43D70"/>
    <w:rsid w:val="00E466F3"/>
    <w:rsid w:val="00E4728E"/>
    <w:rsid w:val="00E476FD"/>
    <w:rsid w:val="00E47B2C"/>
    <w:rsid w:val="00E50477"/>
    <w:rsid w:val="00E513D1"/>
    <w:rsid w:val="00E51560"/>
    <w:rsid w:val="00E52019"/>
    <w:rsid w:val="00E53585"/>
    <w:rsid w:val="00E53CA7"/>
    <w:rsid w:val="00E54347"/>
    <w:rsid w:val="00E544B6"/>
    <w:rsid w:val="00E54BAF"/>
    <w:rsid w:val="00E55424"/>
    <w:rsid w:val="00E55BAF"/>
    <w:rsid w:val="00E55BB5"/>
    <w:rsid w:val="00E64579"/>
    <w:rsid w:val="00E65420"/>
    <w:rsid w:val="00E655B8"/>
    <w:rsid w:val="00E65DB2"/>
    <w:rsid w:val="00E65E79"/>
    <w:rsid w:val="00E66078"/>
    <w:rsid w:val="00E6639C"/>
    <w:rsid w:val="00E66774"/>
    <w:rsid w:val="00E66BA2"/>
    <w:rsid w:val="00E67416"/>
    <w:rsid w:val="00E704B5"/>
    <w:rsid w:val="00E7105B"/>
    <w:rsid w:val="00E711E7"/>
    <w:rsid w:val="00E718B6"/>
    <w:rsid w:val="00E7214E"/>
    <w:rsid w:val="00E723BA"/>
    <w:rsid w:val="00E72E8B"/>
    <w:rsid w:val="00E73581"/>
    <w:rsid w:val="00E7428A"/>
    <w:rsid w:val="00E74FAF"/>
    <w:rsid w:val="00E82432"/>
    <w:rsid w:val="00E833F7"/>
    <w:rsid w:val="00E83BDF"/>
    <w:rsid w:val="00E845E0"/>
    <w:rsid w:val="00E87A1D"/>
    <w:rsid w:val="00E92133"/>
    <w:rsid w:val="00E926A5"/>
    <w:rsid w:val="00E92CF4"/>
    <w:rsid w:val="00E92F32"/>
    <w:rsid w:val="00E94728"/>
    <w:rsid w:val="00E9659E"/>
    <w:rsid w:val="00EA17C3"/>
    <w:rsid w:val="00EA2CAA"/>
    <w:rsid w:val="00EA3864"/>
    <w:rsid w:val="00EA3D80"/>
    <w:rsid w:val="00EA480E"/>
    <w:rsid w:val="00EA4AE8"/>
    <w:rsid w:val="00EB09DB"/>
    <w:rsid w:val="00EB0A2E"/>
    <w:rsid w:val="00EB0B4A"/>
    <w:rsid w:val="00EB15B6"/>
    <w:rsid w:val="00EB2CD8"/>
    <w:rsid w:val="00EB4916"/>
    <w:rsid w:val="00EC00C9"/>
    <w:rsid w:val="00EC2649"/>
    <w:rsid w:val="00ED216E"/>
    <w:rsid w:val="00ED2B43"/>
    <w:rsid w:val="00ED38AC"/>
    <w:rsid w:val="00ED56DF"/>
    <w:rsid w:val="00ED57EA"/>
    <w:rsid w:val="00ED6691"/>
    <w:rsid w:val="00ED7D2A"/>
    <w:rsid w:val="00EE0688"/>
    <w:rsid w:val="00EE07D3"/>
    <w:rsid w:val="00EE081D"/>
    <w:rsid w:val="00EE22AF"/>
    <w:rsid w:val="00EE5978"/>
    <w:rsid w:val="00EE70A1"/>
    <w:rsid w:val="00EE7DFD"/>
    <w:rsid w:val="00EF0171"/>
    <w:rsid w:val="00EF06EE"/>
    <w:rsid w:val="00EF097B"/>
    <w:rsid w:val="00EF14BD"/>
    <w:rsid w:val="00EF1B25"/>
    <w:rsid w:val="00EF1DAC"/>
    <w:rsid w:val="00EF229C"/>
    <w:rsid w:val="00EF2F44"/>
    <w:rsid w:val="00EF4747"/>
    <w:rsid w:val="00EF4BF8"/>
    <w:rsid w:val="00EF6004"/>
    <w:rsid w:val="00F02253"/>
    <w:rsid w:val="00F03C2E"/>
    <w:rsid w:val="00F04599"/>
    <w:rsid w:val="00F04A66"/>
    <w:rsid w:val="00F0516C"/>
    <w:rsid w:val="00F05A23"/>
    <w:rsid w:val="00F0609F"/>
    <w:rsid w:val="00F067A2"/>
    <w:rsid w:val="00F113DF"/>
    <w:rsid w:val="00F1263A"/>
    <w:rsid w:val="00F12ABD"/>
    <w:rsid w:val="00F13408"/>
    <w:rsid w:val="00F165B8"/>
    <w:rsid w:val="00F21565"/>
    <w:rsid w:val="00F244D4"/>
    <w:rsid w:val="00F24837"/>
    <w:rsid w:val="00F24B7C"/>
    <w:rsid w:val="00F2573A"/>
    <w:rsid w:val="00F2575F"/>
    <w:rsid w:val="00F27565"/>
    <w:rsid w:val="00F310D4"/>
    <w:rsid w:val="00F31D5A"/>
    <w:rsid w:val="00F33DE9"/>
    <w:rsid w:val="00F35179"/>
    <w:rsid w:val="00F3578B"/>
    <w:rsid w:val="00F3619A"/>
    <w:rsid w:val="00F37558"/>
    <w:rsid w:val="00F4036E"/>
    <w:rsid w:val="00F40A86"/>
    <w:rsid w:val="00F40AAA"/>
    <w:rsid w:val="00F40BA7"/>
    <w:rsid w:val="00F413D7"/>
    <w:rsid w:val="00F4193E"/>
    <w:rsid w:val="00F422D7"/>
    <w:rsid w:val="00F43334"/>
    <w:rsid w:val="00F46C1D"/>
    <w:rsid w:val="00F46CB6"/>
    <w:rsid w:val="00F47DE8"/>
    <w:rsid w:val="00F50E9B"/>
    <w:rsid w:val="00F518D7"/>
    <w:rsid w:val="00F533B6"/>
    <w:rsid w:val="00F53E9B"/>
    <w:rsid w:val="00F542C1"/>
    <w:rsid w:val="00F54E12"/>
    <w:rsid w:val="00F55E73"/>
    <w:rsid w:val="00F55EDA"/>
    <w:rsid w:val="00F57F2E"/>
    <w:rsid w:val="00F60092"/>
    <w:rsid w:val="00F61B39"/>
    <w:rsid w:val="00F62244"/>
    <w:rsid w:val="00F62875"/>
    <w:rsid w:val="00F630FC"/>
    <w:rsid w:val="00F64B15"/>
    <w:rsid w:val="00F64DBF"/>
    <w:rsid w:val="00F654B1"/>
    <w:rsid w:val="00F655F0"/>
    <w:rsid w:val="00F65F4B"/>
    <w:rsid w:val="00F6718F"/>
    <w:rsid w:val="00F70C9D"/>
    <w:rsid w:val="00F729C9"/>
    <w:rsid w:val="00F74CD9"/>
    <w:rsid w:val="00F750B3"/>
    <w:rsid w:val="00F76285"/>
    <w:rsid w:val="00F8025C"/>
    <w:rsid w:val="00F80A7B"/>
    <w:rsid w:val="00F80E5D"/>
    <w:rsid w:val="00F81FCF"/>
    <w:rsid w:val="00F83C58"/>
    <w:rsid w:val="00F84FBB"/>
    <w:rsid w:val="00F851CE"/>
    <w:rsid w:val="00F8644D"/>
    <w:rsid w:val="00F86B96"/>
    <w:rsid w:val="00F903B0"/>
    <w:rsid w:val="00F91219"/>
    <w:rsid w:val="00F91E70"/>
    <w:rsid w:val="00F92A1B"/>
    <w:rsid w:val="00F92C64"/>
    <w:rsid w:val="00F92CBC"/>
    <w:rsid w:val="00F95075"/>
    <w:rsid w:val="00F960AF"/>
    <w:rsid w:val="00F967BC"/>
    <w:rsid w:val="00F97A78"/>
    <w:rsid w:val="00FA0B20"/>
    <w:rsid w:val="00FA12D8"/>
    <w:rsid w:val="00FA17C4"/>
    <w:rsid w:val="00FA24E7"/>
    <w:rsid w:val="00FA5655"/>
    <w:rsid w:val="00FA565F"/>
    <w:rsid w:val="00FA59A7"/>
    <w:rsid w:val="00FA6C4A"/>
    <w:rsid w:val="00FA705D"/>
    <w:rsid w:val="00FB0472"/>
    <w:rsid w:val="00FB204C"/>
    <w:rsid w:val="00FB26C2"/>
    <w:rsid w:val="00FB2FCB"/>
    <w:rsid w:val="00FC0113"/>
    <w:rsid w:val="00FC0F19"/>
    <w:rsid w:val="00FC1074"/>
    <w:rsid w:val="00FC1884"/>
    <w:rsid w:val="00FC371D"/>
    <w:rsid w:val="00FC3B26"/>
    <w:rsid w:val="00FC3D47"/>
    <w:rsid w:val="00FC5F0B"/>
    <w:rsid w:val="00FC6945"/>
    <w:rsid w:val="00FC723F"/>
    <w:rsid w:val="00FD1D7F"/>
    <w:rsid w:val="00FD2100"/>
    <w:rsid w:val="00FD395E"/>
    <w:rsid w:val="00FD436C"/>
    <w:rsid w:val="00FD438F"/>
    <w:rsid w:val="00FD446D"/>
    <w:rsid w:val="00FD4DC4"/>
    <w:rsid w:val="00FD5C06"/>
    <w:rsid w:val="00FD6394"/>
    <w:rsid w:val="00FE0E6C"/>
    <w:rsid w:val="00FE0EE1"/>
    <w:rsid w:val="00FE10A1"/>
    <w:rsid w:val="00FE2A50"/>
    <w:rsid w:val="00FE3468"/>
    <w:rsid w:val="00FE3AAE"/>
    <w:rsid w:val="00FE70C3"/>
    <w:rsid w:val="00FF155F"/>
    <w:rsid w:val="00FF22CE"/>
    <w:rsid w:val="00FF287E"/>
    <w:rsid w:val="00FF3DCF"/>
    <w:rsid w:val="00FF492C"/>
    <w:rsid w:val="00FF4A21"/>
    <w:rsid w:val="00FF4C63"/>
    <w:rsid w:val="00FF5938"/>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00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828"/>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3C62C9"/>
    <w:pPr>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C62C9"/>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77F38"/>
    <w:pPr>
      <w:numPr>
        <w:numId w:val="3"/>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Heading0">
    <w:name w:val="Table Heading"/>
    <w:basedOn w:val="Normal"/>
    <w:qFormat/>
    <w:rsid w:val="00FF155F"/>
    <w:pPr>
      <w:keepNext/>
      <w:widowControl/>
      <w:spacing w:after="60"/>
      <w:jc w:val="left"/>
    </w:pPr>
    <w:rPr>
      <w:rFonts w:ascii="Arial Narrow" w:eastAsiaTheme="minorHAnsi" w:hAnsi="Arial Narrow" w:cstheme="minorBidi"/>
      <w:b/>
      <w:snapToGrid/>
      <w:sz w:val="20"/>
    </w:rPr>
  </w:style>
  <w:style w:type="paragraph" w:customStyle="1" w:styleId="TableText0">
    <w:name w:val="Table Text"/>
    <w:basedOn w:val="Normal"/>
    <w:link w:val="TableTextChar0"/>
    <w:qFormat/>
    <w:rsid w:val="00FF155F"/>
    <w:pPr>
      <w:widowControl/>
      <w:spacing w:before="40" w:after="40"/>
      <w:jc w:val="left"/>
    </w:pPr>
    <w:rPr>
      <w:rFonts w:asciiTheme="minorHAnsi" w:eastAsiaTheme="minorHAnsi" w:hAnsiTheme="minorHAnsi" w:cstheme="minorHAnsi"/>
      <w:snapToGrid/>
      <w:sz w:val="18"/>
      <w:szCs w:val="18"/>
    </w:rPr>
  </w:style>
  <w:style w:type="character" w:customStyle="1" w:styleId="TableTextChar0">
    <w:name w:val="Table Text Char"/>
    <w:link w:val="TableText0"/>
    <w:locked/>
    <w:rsid w:val="00FF155F"/>
    <w:rPr>
      <w:rFonts w:asciiTheme="minorHAnsi" w:eastAsiaTheme="minorHAnsi" w:hAnsiTheme="minorHAnsi" w:cstheme="minorHAnsi"/>
      <w:sz w:val="18"/>
      <w:szCs w:val="18"/>
      <w:lang w:eastAsia="en-US"/>
    </w:rPr>
  </w:style>
  <w:style w:type="paragraph" w:customStyle="1" w:styleId="V50Instructions">
    <w:name w:val="V5.0 Instructions"/>
    <w:basedOn w:val="Normal"/>
    <w:link w:val="V50InstructionsChar"/>
    <w:qFormat/>
    <w:rsid w:val="00E704B5"/>
    <w:pPr>
      <w:widowControl/>
      <w:spacing w:before="120" w:after="160"/>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E704B5"/>
    <w:rPr>
      <w:rFonts w:asciiTheme="minorHAnsi" w:eastAsiaTheme="minorHAnsi" w:hAnsiTheme="minorHAnsi" w:cstheme="minorBidi"/>
      <w:color w:val="4BACC6" w:themeColor="accent5"/>
      <w:sz w:val="24"/>
      <w:szCs w:val="22"/>
      <w:lang w:eastAsia="en-US"/>
    </w:rPr>
  </w:style>
  <w:style w:type="character" w:customStyle="1" w:styleId="StyleCalibri">
    <w:name w:val="Style Calibri"/>
    <w:unhideWhenUsed/>
    <w:locked/>
    <w:rsid w:val="008E1CBC"/>
    <w:rPr>
      <w:rFonts w:ascii="Calibri" w:hAnsi="Calibri"/>
      <w:sz w:val="24"/>
    </w:rPr>
  </w:style>
  <w:style w:type="table" w:customStyle="1" w:styleId="TableGrid1">
    <w:name w:val="Table Grid1"/>
    <w:basedOn w:val="TableNormal"/>
    <w:next w:val="TableGrid"/>
    <w:uiPriority w:val="59"/>
    <w:rsid w:val="008E1C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428DB"/>
    <w:pPr>
      <w:widowControl/>
      <w:spacing w:after="160" w:line="240" w:lineRule="exact"/>
      <w:jc w:val="left"/>
    </w:pPr>
    <w:rPr>
      <w:rFonts w:ascii="Verdana" w:eastAsia="MS Mincho" w:hAnsi="Verdana" w:cs="Verdana"/>
      <w:snapToGri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8889">
      <w:bodyDiv w:val="1"/>
      <w:marLeft w:val="0"/>
      <w:marRight w:val="0"/>
      <w:marTop w:val="0"/>
      <w:marBottom w:val="0"/>
      <w:divBdr>
        <w:top w:val="none" w:sz="0" w:space="0" w:color="auto"/>
        <w:left w:val="none" w:sz="0" w:space="0" w:color="auto"/>
        <w:bottom w:val="none" w:sz="0" w:space="0" w:color="auto"/>
        <w:right w:val="none" w:sz="0" w:space="0" w:color="auto"/>
      </w:divBdr>
    </w:div>
    <w:div w:id="249782168">
      <w:bodyDiv w:val="1"/>
      <w:marLeft w:val="0"/>
      <w:marRight w:val="0"/>
      <w:marTop w:val="0"/>
      <w:marBottom w:val="0"/>
      <w:divBdr>
        <w:top w:val="none" w:sz="0" w:space="0" w:color="auto"/>
        <w:left w:val="none" w:sz="0" w:space="0" w:color="auto"/>
        <w:bottom w:val="none" w:sz="0" w:space="0" w:color="auto"/>
        <w:right w:val="none" w:sz="0" w:space="0" w:color="auto"/>
      </w:divBdr>
    </w:div>
    <w:div w:id="1046442566">
      <w:bodyDiv w:val="1"/>
      <w:marLeft w:val="0"/>
      <w:marRight w:val="0"/>
      <w:marTop w:val="0"/>
      <w:marBottom w:val="0"/>
      <w:divBdr>
        <w:top w:val="none" w:sz="0" w:space="0" w:color="auto"/>
        <w:left w:val="none" w:sz="0" w:space="0" w:color="auto"/>
        <w:bottom w:val="none" w:sz="0" w:space="0" w:color="auto"/>
        <w:right w:val="none" w:sz="0" w:space="0" w:color="auto"/>
      </w:divBdr>
      <w:divsChild>
        <w:div w:id="1742825704">
          <w:marLeft w:val="547"/>
          <w:marRight w:val="0"/>
          <w:marTop w:val="0"/>
          <w:marBottom w:val="0"/>
          <w:divBdr>
            <w:top w:val="none" w:sz="0" w:space="0" w:color="auto"/>
            <w:left w:val="none" w:sz="0" w:space="0" w:color="auto"/>
            <w:bottom w:val="none" w:sz="0" w:space="0" w:color="auto"/>
            <w:right w:val="none" w:sz="0" w:space="0" w:color="auto"/>
          </w:divBdr>
        </w:div>
      </w:divsChild>
    </w:div>
    <w:div w:id="1774788653">
      <w:bodyDiv w:val="1"/>
      <w:marLeft w:val="0"/>
      <w:marRight w:val="0"/>
      <w:marTop w:val="0"/>
      <w:marBottom w:val="0"/>
      <w:divBdr>
        <w:top w:val="none" w:sz="0" w:space="0" w:color="auto"/>
        <w:left w:val="none" w:sz="0" w:space="0" w:color="auto"/>
        <w:bottom w:val="none" w:sz="0" w:space="0" w:color="auto"/>
        <w:right w:val="none" w:sz="0" w:space="0" w:color="auto"/>
      </w:divBdr>
    </w:div>
    <w:div w:id="208483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79052-B71A-473A-BA02-BFB3D416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10209</Words>
  <Characters>59647</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2019-06-24T02:38:00Z</dcterms:created>
  <dcterms:modified xsi:type="dcterms:W3CDTF">2019-07-01T01:38:00Z</dcterms:modified>
</cp:coreProperties>
</file>