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BB2FD5" w:rsidRDefault="00D95BDD" w:rsidP="00BB2FD5">
      <w:pPr>
        <w:pStyle w:val="Title"/>
        <w:spacing w:before="120" w:after="160"/>
        <w:ind w:left="720" w:hanging="720"/>
        <w:rPr>
          <w:rFonts w:asciiTheme="minorHAnsi" w:hAnsiTheme="minorHAnsi"/>
          <w:sz w:val="36"/>
          <w:szCs w:val="36"/>
        </w:rPr>
      </w:pPr>
      <w:r w:rsidRPr="00E67926">
        <w:rPr>
          <w:rFonts w:asciiTheme="minorHAnsi" w:hAnsiTheme="minorHAnsi"/>
          <w:sz w:val="36"/>
          <w:szCs w:val="36"/>
        </w:rPr>
        <w:t>6.13</w:t>
      </w:r>
      <w:r w:rsidR="006D6493" w:rsidRPr="00E67926">
        <w:rPr>
          <w:rFonts w:asciiTheme="minorHAnsi" w:hAnsiTheme="minorHAnsi"/>
          <w:sz w:val="36"/>
          <w:szCs w:val="36"/>
        </w:rPr>
        <w:tab/>
      </w:r>
      <w:r w:rsidR="0070738A" w:rsidRPr="00E67926">
        <w:rPr>
          <w:rFonts w:asciiTheme="minorHAnsi" w:hAnsiTheme="minorHAnsi"/>
          <w:sz w:val="36"/>
          <w:szCs w:val="36"/>
        </w:rPr>
        <w:t>LENALIDOMIDE</w:t>
      </w:r>
      <w:r w:rsidR="006D6493" w:rsidRPr="00E67926">
        <w:rPr>
          <w:rFonts w:asciiTheme="minorHAnsi" w:hAnsiTheme="minorHAnsi"/>
          <w:sz w:val="36"/>
          <w:szCs w:val="36"/>
        </w:rPr>
        <w:t xml:space="preserve"> </w:t>
      </w:r>
      <w:r w:rsidR="006D6493" w:rsidRPr="00E67926">
        <w:rPr>
          <w:rFonts w:asciiTheme="minorHAnsi" w:hAnsiTheme="minorHAnsi"/>
          <w:sz w:val="36"/>
          <w:szCs w:val="36"/>
        </w:rPr>
        <w:br/>
      </w:r>
      <w:r w:rsidR="006602C2">
        <w:rPr>
          <w:rFonts w:asciiTheme="minorHAnsi" w:hAnsiTheme="minorHAnsi"/>
          <w:sz w:val="36"/>
          <w:szCs w:val="36"/>
        </w:rPr>
        <w:t>Capsule</w:t>
      </w:r>
      <w:r w:rsidRPr="00E67926">
        <w:rPr>
          <w:rFonts w:asciiTheme="minorHAnsi" w:hAnsiTheme="minorHAnsi"/>
          <w:sz w:val="36"/>
          <w:szCs w:val="36"/>
        </w:rPr>
        <w:t xml:space="preserve"> 5 mg, 10 mg, 15 mg, 25 mg</w:t>
      </w:r>
      <w:r w:rsidR="006D6493" w:rsidRPr="00E67926">
        <w:rPr>
          <w:rFonts w:asciiTheme="minorHAnsi" w:hAnsiTheme="minorHAnsi"/>
          <w:sz w:val="36"/>
          <w:szCs w:val="36"/>
        </w:rPr>
        <w:t xml:space="preserve">, </w:t>
      </w:r>
      <w:r w:rsidR="006D6493" w:rsidRPr="00E67926">
        <w:rPr>
          <w:rFonts w:asciiTheme="minorHAnsi" w:hAnsiTheme="minorHAnsi"/>
          <w:sz w:val="36"/>
          <w:szCs w:val="36"/>
        </w:rPr>
        <w:br/>
      </w:r>
      <w:proofErr w:type="spellStart"/>
      <w:r w:rsidR="0070738A" w:rsidRPr="00E67926">
        <w:rPr>
          <w:rFonts w:asciiTheme="minorHAnsi" w:hAnsiTheme="minorHAnsi"/>
          <w:sz w:val="36"/>
          <w:szCs w:val="36"/>
        </w:rPr>
        <w:t>Revlimid</w:t>
      </w:r>
      <w:proofErr w:type="spellEnd"/>
      <w:r w:rsidR="006D6493" w:rsidRPr="00BB2FD5">
        <w:rPr>
          <w:rFonts w:asciiTheme="minorHAnsi" w:hAnsiTheme="minorHAnsi"/>
          <w:sz w:val="36"/>
          <w:szCs w:val="36"/>
        </w:rPr>
        <w:t>®</w:t>
      </w:r>
      <w:r w:rsidR="006D6493" w:rsidRPr="00E67926">
        <w:rPr>
          <w:rFonts w:asciiTheme="minorHAnsi" w:hAnsiTheme="minorHAnsi"/>
          <w:sz w:val="36"/>
          <w:szCs w:val="36"/>
        </w:rPr>
        <w:t xml:space="preserve">, </w:t>
      </w:r>
      <w:r w:rsidR="0070738A" w:rsidRPr="00E67926">
        <w:rPr>
          <w:rFonts w:asciiTheme="minorHAnsi" w:hAnsiTheme="minorHAnsi"/>
          <w:sz w:val="36"/>
          <w:szCs w:val="36"/>
        </w:rPr>
        <w:t>Celgene</w:t>
      </w:r>
      <w:r w:rsidR="006602C2">
        <w:rPr>
          <w:rFonts w:asciiTheme="minorHAnsi" w:hAnsiTheme="minorHAnsi"/>
          <w:sz w:val="36"/>
          <w:szCs w:val="36"/>
        </w:rPr>
        <w:t xml:space="preserve"> </w:t>
      </w:r>
      <w:r w:rsidR="006602C2" w:rsidRPr="006602C2">
        <w:rPr>
          <w:rFonts w:asciiTheme="minorHAnsi" w:hAnsiTheme="minorHAnsi"/>
          <w:sz w:val="36"/>
          <w:szCs w:val="36"/>
        </w:rPr>
        <w:t>Pty Limited</w:t>
      </w:r>
    </w:p>
    <w:p w:rsidR="008A50F1" w:rsidRPr="00E67926" w:rsidRDefault="00CE10C4" w:rsidP="00CC25CA">
      <w:pPr>
        <w:pStyle w:val="PBACHeading1"/>
        <w:spacing w:before="120" w:after="120"/>
        <w:ind w:left="709" w:hanging="709"/>
        <w:rPr>
          <w:rFonts w:asciiTheme="minorHAnsi" w:hAnsiTheme="minorHAnsi"/>
          <w:sz w:val="32"/>
          <w:szCs w:val="32"/>
        </w:rPr>
      </w:pPr>
      <w:r w:rsidRPr="00E67926">
        <w:rPr>
          <w:rFonts w:asciiTheme="minorHAnsi" w:hAnsiTheme="minorHAnsi"/>
          <w:sz w:val="32"/>
          <w:szCs w:val="32"/>
        </w:rPr>
        <w:t xml:space="preserve">Purpose of </w:t>
      </w:r>
      <w:r w:rsidR="0004240E" w:rsidRPr="00E67926">
        <w:rPr>
          <w:rFonts w:asciiTheme="minorHAnsi" w:hAnsiTheme="minorHAnsi"/>
          <w:sz w:val="32"/>
          <w:szCs w:val="32"/>
        </w:rPr>
        <w:t>Application</w:t>
      </w:r>
    </w:p>
    <w:p w:rsidR="006A12A5" w:rsidRPr="00E67926" w:rsidRDefault="00EF44A0" w:rsidP="00CC25CA">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The mi</w:t>
      </w:r>
      <w:r w:rsidR="00FF2801" w:rsidRPr="00E67926">
        <w:rPr>
          <w:rFonts w:asciiTheme="minorHAnsi" w:eastAsiaTheme="minorHAnsi" w:hAnsiTheme="minorHAnsi" w:cstheme="minorBidi"/>
          <w:snapToGrid/>
          <w:sz w:val="24"/>
          <w:szCs w:val="22"/>
        </w:rPr>
        <w:t>nor submission sought to</w:t>
      </w:r>
      <w:r w:rsidR="0070738A" w:rsidRPr="00E67926">
        <w:rPr>
          <w:rFonts w:asciiTheme="minorHAnsi" w:eastAsiaTheme="minorHAnsi" w:hAnsiTheme="minorHAnsi" w:cstheme="minorBidi"/>
          <w:snapToGrid/>
          <w:sz w:val="24"/>
          <w:szCs w:val="22"/>
        </w:rPr>
        <w:t xml:space="preserve"> </w:t>
      </w:r>
      <w:r w:rsidRPr="00E67926">
        <w:rPr>
          <w:rFonts w:asciiTheme="minorHAnsi" w:eastAsiaTheme="minorHAnsi" w:hAnsiTheme="minorHAnsi" w:cstheme="minorBidi"/>
          <w:snapToGrid/>
          <w:sz w:val="24"/>
          <w:szCs w:val="22"/>
        </w:rPr>
        <w:t>amend</w:t>
      </w:r>
      <w:r w:rsidR="0070738A" w:rsidRPr="00E67926">
        <w:rPr>
          <w:rFonts w:asciiTheme="minorHAnsi" w:eastAsiaTheme="minorHAnsi" w:hAnsiTheme="minorHAnsi" w:cstheme="minorBidi"/>
          <w:snapToGrid/>
          <w:sz w:val="24"/>
          <w:szCs w:val="22"/>
        </w:rPr>
        <w:t xml:space="preserve"> the restriction level of the existing PBS listings for </w:t>
      </w:r>
      <w:proofErr w:type="spellStart"/>
      <w:r w:rsidR="0070738A" w:rsidRPr="00E67926">
        <w:rPr>
          <w:rFonts w:asciiTheme="minorHAnsi" w:eastAsiaTheme="minorHAnsi" w:hAnsiTheme="minorHAnsi" w:cstheme="minorBidi"/>
          <w:snapToGrid/>
          <w:sz w:val="24"/>
          <w:szCs w:val="22"/>
        </w:rPr>
        <w:t>lenalidomide</w:t>
      </w:r>
      <w:proofErr w:type="spellEnd"/>
      <w:r w:rsidR="0070738A" w:rsidRPr="00E67926">
        <w:rPr>
          <w:rFonts w:asciiTheme="minorHAnsi" w:eastAsiaTheme="minorHAnsi" w:hAnsiTheme="minorHAnsi" w:cstheme="minorBidi"/>
          <w:snapToGrid/>
          <w:sz w:val="24"/>
          <w:szCs w:val="22"/>
        </w:rPr>
        <w:t xml:space="preserve"> for multiple myeloma from Authority Required (Written) to Authority Required (STREAMLINED).</w:t>
      </w:r>
    </w:p>
    <w:p w:rsidR="005144DD" w:rsidRPr="00E67926" w:rsidRDefault="0070738A" w:rsidP="00CC25CA">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The request applie</w:t>
      </w:r>
      <w:r w:rsidR="009136AD" w:rsidRPr="00E67926">
        <w:rPr>
          <w:rFonts w:asciiTheme="minorHAnsi" w:eastAsiaTheme="minorHAnsi" w:hAnsiTheme="minorHAnsi" w:cstheme="minorBidi"/>
          <w:snapToGrid/>
          <w:sz w:val="24"/>
          <w:szCs w:val="22"/>
        </w:rPr>
        <w:t>d</w:t>
      </w:r>
      <w:r w:rsidRPr="00E67926">
        <w:rPr>
          <w:rFonts w:asciiTheme="minorHAnsi" w:eastAsiaTheme="minorHAnsi" w:hAnsiTheme="minorHAnsi" w:cstheme="minorBidi"/>
          <w:snapToGrid/>
          <w:sz w:val="24"/>
          <w:szCs w:val="22"/>
        </w:rPr>
        <w:t xml:space="preserve"> to the</w:t>
      </w:r>
      <w:r w:rsidR="005144DD" w:rsidRPr="00E67926">
        <w:rPr>
          <w:rFonts w:asciiTheme="minorHAnsi" w:eastAsiaTheme="minorHAnsi" w:hAnsiTheme="minorHAnsi" w:cstheme="minorBidi"/>
          <w:snapToGrid/>
          <w:sz w:val="24"/>
          <w:szCs w:val="22"/>
        </w:rPr>
        <w:t>:</w:t>
      </w:r>
    </w:p>
    <w:p w:rsidR="005144DD" w:rsidRPr="00E67926" w:rsidRDefault="0070738A" w:rsidP="00CC25CA">
      <w:pPr>
        <w:pStyle w:val="ListParagraph"/>
        <w:widowControl/>
        <w:numPr>
          <w:ilvl w:val="1"/>
          <w:numId w:val="15"/>
        </w:numPr>
        <w:spacing w:before="120" w:after="120"/>
        <w:ind w:left="1077" w:hanging="357"/>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current PBS listings for the treatment of patients with</w:t>
      </w:r>
      <w:r w:rsidR="001870D3" w:rsidRPr="00E67926">
        <w:rPr>
          <w:rFonts w:asciiTheme="minorHAnsi" w:eastAsiaTheme="minorHAnsi" w:hAnsiTheme="minorHAnsi" w:cstheme="minorBidi"/>
          <w:snapToGrid/>
          <w:sz w:val="24"/>
          <w:szCs w:val="22"/>
        </w:rPr>
        <w:t>:</w:t>
      </w:r>
      <w:r w:rsidRPr="00E67926">
        <w:rPr>
          <w:rFonts w:asciiTheme="minorHAnsi" w:eastAsiaTheme="minorHAnsi" w:hAnsiTheme="minorHAnsi" w:cstheme="minorBidi"/>
          <w:snapToGrid/>
          <w:sz w:val="24"/>
          <w:szCs w:val="22"/>
        </w:rPr>
        <w:t xml:space="preserve"> </w:t>
      </w:r>
    </w:p>
    <w:p w:rsidR="005144DD" w:rsidRPr="00E67926" w:rsidRDefault="0070738A" w:rsidP="00CC25CA">
      <w:pPr>
        <w:pStyle w:val="ListParagraph"/>
        <w:widowControl/>
        <w:numPr>
          <w:ilvl w:val="1"/>
          <w:numId w:val="16"/>
        </w:numPr>
        <w:spacing w:before="120" w:after="120"/>
        <w:ind w:left="1434" w:hanging="357"/>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 xml:space="preserve">newly diagnosed symptomatic multiple myeloma </w:t>
      </w:r>
      <w:r w:rsidR="00DE0301" w:rsidRPr="00E67926">
        <w:rPr>
          <w:rFonts w:asciiTheme="minorHAnsi" w:eastAsiaTheme="minorHAnsi" w:hAnsiTheme="minorHAnsi" w:cstheme="minorBidi"/>
          <w:snapToGrid/>
          <w:sz w:val="24"/>
          <w:szCs w:val="22"/>
        </w:rPr>
        <w:t xml:space="preserve">(ND MM) </w:t>
      </w:r>
      <w:r w:rsidRPr="00E67926">
        <w:rPr>
          <w:rFonts w:asciiTheme="minorHAnsi" w:eastAsiaTheme="minorHAnsi" w:hAnsiTheme="minorHAnsi" w:cstheme="minorBidi"/>
          <w:snapToGrid/>
          <w:sz w:val="24"/>
          <w:szCs w:val="22"/>
        </w:rPr>
        <w:t>who are ineligible for stem cell transplant</w:t>
      </w:r>
      <w:r w:rsidR="001870D3" w:rsidRPr="00E67926">
        <w:rPr>
          <w:rFonts w:asciiTheme="minorHAnsi" w:eastAsiaTheme="minorHAnsi" w:hAnsiTheme="minorHAnsi" w:cstheme="minorBidi"/>
          <w:snapToGrid/>
          <w:sz w:val="24"/>
          <w:szCs w:val="22"/>
        </w:rPr>
        <w:t>;</w:t>
      </w:r>
      <w:r w:rsidRPr="00E67926">
        <w:rPr>
          <w:rFonts w:asciiTheme="minorHAnsi" w:eastAsiaTheme="minorHAnsi" w:hAnsiTheme="minorHAnsi" w:cstheme="minorBidi"/>
          <w:snapToGrid/>
          <w:sz w:val="24"/>
          <w:szCs w:val="22"/>
        </w:rPr>
        <w:t xml:space="preserve"> and </w:t>
      </w:r>
    </w:p>
    <w:p w:rsidR="0070738A" w:rsidRPr="00E67926" w:rsidRDefault="005144DD" w:rsidP="00CC25CA">
      <w:pPr>
        <w:pStyle w:val="ListParagraph"/>
        <w:widowControl/>
        <w:numPr>
          <w:ilvl w:val="1"/>
          <w:numId w:val="16"/>
        </w:numPr>
        <w:spacing w:before="120" w:after="120"/>
        <w:ind w:left="1434" w:hanging="357"/>
        <w:contextualSpacing w:val="0"/>
        <w:rPr>
          <w:rFonts w:asciiTheme="minorHAnsi" w:eastAsiaTheme="minorHAnsi" w:hAnsiTheme="minorHAnsi" w:cstheme="minorBidi"/>
          <w:snapToGrid/>
          <w:sz w:val="24"/>
          <w:szCs w:val="22"/>
        </w:rPr>
      </w:pPr>
      <w:proofErr w:type="gramStart"/>
      <w:r w:rsidRPr="00E67926">
        <w:rPr>
          <w:rFonts w:asciiTheme="minorHAnsi" w:eastAsiaTheme="minorHAnsi" w:hAnsiTheme="minorHAnsi" w:cstheme="minorBidi"/>
          <w:snapToGrid/>
          <w:sz w:val="24"/>
          <w:szCs w:val="22"/>
        </w:rPr>
        <w:t>relapsed</w:t>
      </w:r>
      <w:proofErr w:type="gramEnd"/>
      <w:r w:rsidRPr="00E67926">
        <w:rPr>
          <w:rFonts w:asciiTheme="minorHAnsi" w:eastAsiaTheme="minorHAnsi" w:hAnsiTheme="minorHAnsi" w:cstheme="minorBidi"/>
          <w:snapToGrid/>
          <w:sz w:val="24"/>
          <w:szCs w:val="22"/>
        </w:rPr>
        <w:t xml:space="preserve"> or refractory multiple myeloma</w:t>
      </w:r>
      <w:r w:rsidR="00DE0301" w:rsidRPr="00E67926">
        <w:rPr>
          <w:rFonts w:asciiTheme="minorHAnsi" w:eastAsiaTheme="minorHAnsi" w:hAnsiTheme="minorHAnsi" w:cstheme="minorBidi"/>
          <w:snapToGrid/>
          <w:sz w:val="24"/>
          <w:szCs w:val="22"/>
        </w:rPr>
        <w:t xml:space="preserve"> (RR MM)</w:t>
      </w:r>
      <w:r w:rsidRPr="00E67926">
        <w:rPr>
          <w:rFonts w:asciiTheme="minorHAnsi" w:eastAsiaTheme="minorHAnsi" w:hAnsiTheme="minorHAnsi" w:cstheme="minorBidi"/>
          <w:snapToGrid/>
          <w:sz w:val="24"/>
          <w:szCs w:val="22"/>
        </w:rPr>
        <w:t>.</w:t>
      </w:r>
    </w:p>
    <w:p w:rsidR="00B275EC" w:rsidRPr="00E67926" w:rsidRDefault="005144DD" w:rsidP="00CC25CA">
      <w:pPr>
        <w:pStyle w:val="ListParagraph"/>
        <w:widowControl/>
        <w:numPr>
          <w:ilvl w:val="1"/>
          <w:numId w:val="15"/>
        </w:numPr>
        <w:spacing w:before="120" w:after="120"/>
        <w:ind w:left="1077" w:hanging="357"/>
        <w:contextualSpacing w:val="0"/>
        <w:rPr>
          <w:rFonts w:asciiTheme="minorHAnsi" w:eastAsiaTheme="minorHAnsi" w:hAnsiTheme="minorHAnsi" w:cstheme="minorBidi"/>
          <w:snapToGrid/>
          <w:sz w:val="24"/>
          <w:szCs w:val="22"/>
        </w:rPr>
      </w:pPr>
      <w:proofErr w:type="gramStart"/>
      <w:r w:rsidRPr="00E67926">
        <w:rPr>
          <w:rFonts w:asciiTheme="minorHAnsi" w:eastAsiaTheme="minorHAnsi" w:hAnsiTheme="minorHAnsi" w:cstheme="minorBidi"/>
          <w:snapToGrid/>
          <w:sz w:val="24"/>
          <w:szCs w:val="22"/>
        </w:rPr>
        <w:t>proposed</w:t>
      </w:r>
      <w:proofErr w:type="gramEnd"/>
      <w:r w:rsidRPr="00E67926">
        <w:rPr>
          <w:rFonts w:asciiTheme="minorHAnsi" w:eastAsiaTheme="minorHAnsi" w:hAnsiTheme="minorHAnsi" w:cstheme="minorBidi"/>
          <w:snapToGrid/>
          <w:sz w:val="24"/>
          <w:szCs w:val="22"/>
        </w:rPr>
        <w:t xml:space="preserve"> PBS listing </w:t>
      </w:r>
      <w:r w:rsidR="001870D3" w:rsidRPr="00E67926">
        <w:rPr>
          <w:rFonts w:asciiTheme="minorHAnsi" w:eastAsiaTheme="minorHAnsi" w:hAnsiTheme="minorHAnsi" w:cstheme="minorBidi"/>
          <w:snapToGrid/>
          <w:sz w:val="24"/>
          <w:szCs w:val="22"/>
        </w:rPr>
        <w:t>for the maintenance treatment of patients who have undergone a stem cell transplant (considered as a major submission at the March 2019 PBAC submission – Item 7.07).</w:t>
      </w:r>
    </w:p>
    <w:p w:rsidR="00C603D4" w:rsidRPr="00E67926" w:rsidRDefault="00CE10C4" w:rsidP="00CC25CA">
      <w:pPr>
        <w:pStyle w:val="PBACHeading1"/>
        <w:spacing w:before="120" w:after="120"/>
        <w:ind w:left="709" w:hanging="709"/>
        <w:rPr>
          <w:rFonts w:asciiTheme="minorHAnsi" w:hAnsiTheme="minorHAnsi"/>
          <w:sz w:val="32"/>
          <w:szCs w:val="32"/>
        </w:rPr>
      </w:pPr>
      <w:r w:rsidRPr="00E67926">
        <w:rPr>
          <w:rFonts w:asciiTheme="minorHAnsi" w:hAnsiTheme="minorHAnsi"/>
          <w:sz w:val="32"/>
          <w:szCs w:val="32"/>
        </w:rPr>
        <w:t>Background</w:t>
      </w:r>
    </w:p>
    <w:p w:rsidR="00E27460" w:rsidRPr="00E67926" w:rsidRDefault="00E27460" w:rsidP="00CC25CA">
      <w:pPr>
        <w:pStyle w:val="Heading2"/>
        <w:keepLines/>
        <w:spacing w:before="120" w:after="120"/>
        <w:rPr>
          <w:rFonts w:asciiTheme="minorHAnsi" w:eastAsiaTheme="majorEastAsia" w:hAnsiTheme="minorHAnsi" w:cstheme="majorBidi"/>
          <w:sz w:val="28"/>
          <w:szCs w:val="28"/>
          <w:lang w:eastAsia="en-US"/>
        </w:rPr>
      </w:pPr>
      <w:bookmarkStart w:id="0" w:name="_Toc536003307"/>
      <w:r w:rsidRPr="00E67926">
        <w:rPr>
          <w:rFonts w:asciiTheme="minorHAnsi" w:eastAsiaTheme="majorEastAsia" w:hAnsiTheme="minorHAnsi" w:cstheme="majorBidi"/>
          <w:sz w:val="28"/>
          <w:szCs w:val="28"/>
          <w:lang w:eastAsia="en-US"/>
        </w:rPr>
        <w:t>Registration status</w:t>
      </w:r>
      <w:bookmarkEnd w:id="0"/>
    </w:p>
    <w:p w:rsidR="00E27460" w:rsidRPr="00E67926" w:rsidRDefault="00F53BD6" w:rsidP="00CC25C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 xml:space="preserve">At the time of the PBAC meeting, </w:t>
      </w:r>
      <w:proofErr w:type="spellStart"/>
      <w:r w:rsidRPr="00E67926">
        <w:rPr>
          <w:rFonts w:asciiTheme="minorHAnsi" w:eastAsiaTheme="minorHAnsi" w:hAnsiTheme="minorHAnsi" w:cstheme="minorBidi"/>
          <w:snapToGrid/>
          <w:sz w:val="24"/>
          <w:szCs w:val="22"/>
        </w:rPr>
        <w:t>l</w:t>
      </w:r>
      <w:r w:rsidR="00E27460" w:rsidRPr="00E67926">
        <w:rPr>
          <w:rFonts w:asciiTheme="minorHAnsi" w:eastAsiaTheme="minorHAnsi" w:hAnsiTheme="minorHAnsi" w:cstheme="minorBidi"/>
          <w:snapToGrid/>
          <w:sz w:val="24"/>
          <w:szCs w:val="22"/>
        </w:rPr>
        <w:t>enalidomide</w:t>
      </w:r>
      <w:proofErr w:type="spellEnd"/>
      <w:r w:rsidR="00E27460" w:rsidRPr="00E67926">
        <w:rPr>
          <w:rFonts w:asciiTheme="minorHAnsi" w:eastAsiaTheme="minorHAnsi" w:hAnsiTheme="minorHAnsi" w:cstheme="minorBidi"/>
          <w:snapToGrid/>
          <w:sz w:val="24"/>
          <w:szCs w:val="22"/>
        </w:rPr>
        <w:t xml:space="preserve"> </w:t>
      </w:r>
      <w:r w:rsidRPr="00E67926">
        <w:rPr>
          <w:rFonts w:asciiTheme="minorHAnsi" w:eastAsiaTheme="minorHAnsi" w:hAnsiTheme="minorHAnsi" w:cstheme="minorBidi"/>
          <w:snapToGrid/>
          <w:sz w:val="24"/>
          <w:szCs w:val="22"/>
        </w:rPr>
        <w:t>was</w:t>
      </w:r>
      <w:r w:rsidR="00E27460" w:rsidRPr="00E67926">
        <w:rPr>
          <w:rFonts w:asciiTheme="minorHAnsi" w:eastAsiaTheme="minorHAnsi" w:hAnsiTheme="minorHAnsi" w:cstheme="minorBidi"/>
          <w:snapToGrid/>
          <w:sz w:val="24"/>
          <w:szCs w:val="22"/>
        </w:rPr>
        <w:t xml:space="preserve"> </w:t>
      </w:r>
      <w:r w:rsidR="004A2337" w:rsidRPr="00E67926">
        <w:rPr>
          <w:rFonts w:asciiTheme="minorHAnsi" w:eastAsiaTheme="minorHAnsi" w:hAnsiTheme="minorHAnsi" w:cstheme="minorBidi"/>
          <w:snapToGrid/>
          <w:sz w:val="24"/>
          <w:szCs w:val="22"/>
        </w:rPr>
        <w:t xml:space="preserve">approved by the </w:t>
      </w:r>
      <w:r w:rsidR="00E27460" w:rsidRPr="00E67926">
        <w:rPr>
          <w:rFonts w:asciiTheme="minorHAnsi" w:eastAsiaTheme="minorHAnsi" w:hAnsiTheme="minorHAnsi" w:cstheme="minorBidi"/>
          <w:snapToGrid/>
          <w:sz w:val="24"/>
          <w:szCs w:val="22"/>
        </w:rPr>
        <w:t>TGA for</w:t>
      </w:r>
      <w:r w:rsidR="004A2337" w:rsidRPr="00E67926">
        <w:rPr>
          <w:rFonts w:asciiTheme="minorHAnsi" w:eastAsiaTheme="minorHAnsi" w:hAnsiTheme="minorHAnsi" w:cstheme="minorBidi"/>
          <w:snapToGrid/>
          <w:sz w:val="24"/>
          <w:szCs w:val="22"/>
        </w:rPr>
        <w:t xml:space="preserve"> the following multiple </w:t>
      </w:r>
      <w:r w:rsidR="0033677C" w:rsidRPr="00E67926">
        <w:rPr>
          <w:rFonts w:asciiTheme="minorHAnsi" w:eastAsiaTheme="minorHAnsi" w:hAnsiTheme="minorHAnsi" w:cstheme="minorBidi"/>
          <w:snapToGrid/>
          <w:sz w:val="24"/>
          <w:szCs w:val="22"/>
        </w:rPr>
        <w:t>m</w:t>
      </w:r>
      <w:r w:rsidR="004A2337" w:rsidRPr="00E67926">
        <w:rPr>
          <w:rFonts w:asciiTheme="minorHAnsi" w:eastAsiaTheme="minorHAnsi" w:hAnsiTheme="minorHAnsi" w:cstheme="minorBidi"/>
          <w:snapToGrid/>
          <w:sz w:val="24"/>
          <w:szCs w:val="22"/>
        </w:rPr>
        <w:t>yeloma indications</w:t>
      </w:r>
      <w:r w:rsidR="00E27460" w:rsidRPr="00E67926">
        <w:rPr>
          <w:rFonts w:asciiTheme="minorHAnsi" w:eastAsiaTheme="minorHAnsi" w:hAnsiTheme="minorHAnsi" w:cstheme="minorBidi"/>
          <w:snapToGrid/>
          <w:sz w:val="24"/>
          <w:szCs w:val="22"/>
        </w:rPr>
        <w:t>:</w:t>
      </w:r>
    </w:p>
    <w:p w:rsidR="00E27460" w:rsidRPr="00E67926" w:rsidRDefault="00E27460" w:rsidP="00CC25CA">
      <w:pPr>
        <w:pStyle w:val="ListParagraph"/>
        <w:widowControl/>
        <w:numPr>
          <w:ilvl w:val="1"/>
          <w:numId w:val="19"/>
        </w:numPr>
        <w:spacing w:before="120" w:after="120"/>
        <w:ind w:left="1134" w:hanging="294"/>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Treatment of patients with newly diagnosed multiple myeloma who are ineligible for a primary stem cell transplantation.</w:t>
      </w:r>
    </w:p>
    <w:p w:rsidR="00E27460" w:rsidRPr="00E67926" w:rsidRDefault="0033677C" w:rsidP="00CC25CA">
      <w:pPr>
        <w:pStyle w:val="ListParagraph"/>
        <w:widowControl/>
        <w:numPr>
          <w:ilvl w:val="1"/>
          <w:numId w:val="19"/>
        </w:numPr>
        <w:spacing w:before="120" w:after="120"/>
        <w:ind w:left="1134" w:hanging="294"/>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In combination with dexamethasone, for t</w:t>
      </w:r>
      <w:r w:rsidR="00E27460" w:rsidRPr="00E67926">
        <w:rPr>
          <w:rFonts w:asciiTheme="minorHAnsi" w:eastAsiaTheme="minorHAnsi" w:hAnsiTheme="minorHAnsi" w:cstheme="minorBidi"/>
          <w:snapToGrid/>
          <w:sz w:val="24"/>
          <w:szCs w:val="22"/>
        </w:rPr>
        <w:t>reatment of multiple myeloma patients whose disease has progressed after one therapy.</w:t>
      </w:r>
    </w:p>
    <w:p w:rsidR="00E27460" w:rsidRPr="00E67926" w:rsidRDefault="00A650B6" w:rsidP="00CC25CA">
      <w:pPr>
        <w:pStyle w:val="ListParagraph"/>
        <w:widowControl/>
        <w:numPr>
          <w:ilvl w:val="1"/>
          <w:numId w:val="19"/>
        </w:numPr>
        <w:spacing w:before="120" w:after="120"/>
        <w:ind w:left="1134" w:hanging="294"/>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Maintenance treatment of patients with newly diagnosed multiple myeloma who have undergone autologous stem cell transplantation</w:t>
      </w:r>
      <w:r w:rsidR="0033677C" w:rsidRPr="00E67926">
        <w:rPr>
          <w:rFonts w:asciiTheme="minorHAnsi" w:eastAsiaTheme="minorHAnsi" w:hAnsiTheme="minorHAnsi" w:cstheme="minorBidi"/>
          <w:snapToGrid/>
          <w:sz w:val="24"/>
          <w:szCs w:val="22"/>
        </w:rPr>
        <w:t>.</w:t>
      </w:r>
    </w:p>
    <w:p w:rsidR="00E27460" w:rsidRPr="00E67926" w:rsidRDefault="004A2337" w:rsidP="00CC25C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O</w:t>
      </w:r>
      <w:r w:rsidR="00E27460" w:rsidRPr="00E67926">
        <w:rPr>
          <w:rFonts w:asciiTheme="minorHAnsi" w:eastAsiaTheme="minorHAnsi" w:hAnsiTheme="minorHAnsi" w:cstheme="minorBidi"/>
          <w:snapToGrid/>
          <w:sz w:val="24"/>
          <w:szCs w:val="22"/>
        </w:rPr>
        <w:t xml:space="preserve">n the </w:t>
      </w:r>
      <w:r w:rsidR="00DA05D0">
        <w:rPr>
          <w:rFonts w:asciiTheme="minorHAnsi" w:eastAsiaTheme="minorHAnsi" w:hAnsiTheme="minorHAnsi" w:cstheme="minorBidi"/>
          <w:noProof/>
          <w:snapToGrid/>
          <w:color w:val="000000"/>
          <w:sz w:val="24"/>
          <w:szCs w:val="22"/>
          <w:highlight w:val="black"/>
        </w:rPr>
        <w:t>'''''''''' ''''' '''''''''''' '''''''''</w:t>
      </w:r>
      <w:r w:rsidR="00E27460" w:rsidRPr="00E67926">
        <w:rPr>
          <w:rFonts w:asciiTheme="minorHAnsi" w:eastAsiaTheme="minorHAnsi" w:hAnsiTheme="minorHAnsi" w:cstheme="minorBidi"/>
          <w:snapToGrid/>
          <w:sz w:val="24"/>
          <w:szCs w:val="22"/>
        </w:rPr>
        <w:t xml:space="preserve">, a new application was submitted to the TGA seeking </w:t>
      </w:r>
      <w:r w:rsidR="00EA12C8" w:rsidRPr="00E67926">
        <w:rPr>
          <w:rFonts w:asciiTheme="minorHAnsi" w:eastAsiaTheme="minorHAnsi" w:hAnsiTheme="minorHAnsi" w:cstheme="minorBidi"/>
          <w:snapToGrid/>
          <w:sz w:val="24"/>
          <w:szCs w:val="22"/>
        </w:rPr>
        <w:t xml:space="preserve">an </w:t>
      </w:r>
      <w:r w:rsidR="00DA05D0">
        <w:rPr>
          <w:rFonts w:asciiTheme="minorHAnsi" w:eastAsiaTheme="minorHAnsi" w:hAnsiTheme="minorHAnsi" w:cstheme="minorBidi"/>
          <w:noProof/>
          <w:snapToGrid/>
          <w:color w:val="000000"/>
          <w:sz w:val="24"/>
          <w:szCs w:val="22"/>
          <w:highlight w:val="black"/>
        </w:rPr>
        <w:t>'''''''''''''''''' ''''''''''''''''''' ''''' '''''''''''''''''''''''' ''' ''''''''''''''''''''''''' ''''''''' ''''''''''''''''''''' '''''''' ''''''''''''''''''''''''''''' '''''' '''''' '''''''''''''''''''' ''''' '''''''''' '''''''''''''''' '''''''''' '''''''''''''''''''' '''''''''''''''''' ''''''''''''''''' ''''''''''''''''''</w:t>
      </w:r>
      <w:r w:rsidRPr="00E67926">
        <w:rPr>
          <w:rFonts w:asciiTheme="minorHAnsi" w:eastAsiaTheme="minorHAnsi" w:hAnsiTheme="minorHAnsi" w:cstheme="minorBidi"/>
          <w:snapToGrid/>
          <w:sz w:val="24"/>
          <w:szCs w:val="22"/>
        </w:rPr>
        <w:t>.</w:t>
      </w:r>
    </w:p>
    <w:p w:rsidR="00E27460" w:rsidRPr="00071874" w:rsidRDefault="00E27460" w:rsidP="00CC25C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 xml:space="preserve">That application has also asked the TGA to consider whether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w:t>
      </w:r>
      <w:r w:rsidR="00DA05D0">
        <w:rPr>
          <w:rFonts w:asciiTheme="minorHAnsi" w:eastAsiaTheme="minorHAnsi" w:hAnsiTheme="minorHAnsi" w:cstheme="minorBidi"/>
          <w:noProof/>
          <w:snapToGrid/>
          <w:color w:val="000000"/>
          <w:sz w:val="24"/>
          <w:szCs w:val="22"/>
          <w:highlight w:val="black"/>
        </w:rPr>
        <w:t>''''''''' '''''''' ''''' ''''''''''''''''''''' '''''' ''' '''''''''''''' '''''''' '''''''''''''''' '''''''''''''''''' '''''' '''''''''''''''''''</w:t>
      </w:r>
      <w:r w:rsidRPr="00E67926">
        <w:rPr>
          <w:rFonts w:asciiTheme="minorHAnsi" w:eastAsiaTheme="minorHAnsi" w:hAnsiTheme="minorHAnsi" w:cstheme="minorBidi"/>
          <w:snapToGrid/>
          <w:sz w:val="24"/>
          <w:szCs w:val="22"/>
        </w:rPr>
        <w:t xml:space="preserve"> </w:t>
      </w:r>
      <w:r w:rsidRPr="00071874">
        <w:rPr>
          <w:rFonts w:asciiTheme="minorHAnsi" w:eastAsiaTheme="minorHAnsi" w:hAnsiTheme="minorHAnsi" w:cstheme="minorBidi"/>
          <w:snapToGrid/>
          <w:sz w:val="24"/>
          <w:szCs w:val="22"/>
        </w:rPr>
        <w:t xml:space="preserve">of </w:t>
      </w:r>
      <w:r w:rsidR="00B814E4" w:rsidRPr="00071874">
        <w:rPr>
          <w:rFonts w:asciiTheme="minorHAnsi" w:eastAsiaTheme="minorHAnsi" w:hAnsiTheme="minorHAnsi" w:cstheme="minorBidi"/>
          <w:snapToGrid/>
          <w:sz w:val="24"/>
          <w:szCs w:val="22"/>
        </w:rPr>
        <w:t>‘multiple myeloma’</w:t>
      </w:r>
      <w:r w:rsidRPr="00071874">
        <w:rPr>
          <w:rFonts w:asciiTheme="minorHAnsi" w:eastAsiaTheme="minorHAnsi" w:hAnsiTheme="minorHAnsi" w:cstheme="minorBidi"/>
          <w:snapToGrid/>
          <w:sz w:val="24"/>
          <w:szCs w:val="22"/>
        </w:rPr>
        <w:t>.</w:t>
      </w:r>
    </w:p>
    <w:p w:rsidR="004A2337" w:rsidRPr="00E67926" w:rsidRDefault="004A2337" w:rsidP="00CC25CA">
      <w:pPr>
        <w:pStyle w:val="Heading2"/>
        <w:keepLines/>
        <w:spacing w:before="120" w:after="120"/>
        <w:rPr>
          <w:rFonts w:asciiTheme="minorHAnsi" w:eastAsiaTheme="majorEastAsia" w:hAnsiTheme="minorHAnsi" w:cstheme="majorBidi"/>
          <w:sz w:val="28"/>
          <w:szCs w:val="28"/>
          <w:lang w:eastAsia="en-US"/>
        </w:rPr>
      </w:pPr>
      <w:bookmarkStart w:id="1" w:name="_Toc536003308"/>
      <w:r w:rsidRPr="00E67926">
        <w:rPr>
          <w:rFonts w:asciiTheme="minorHAnsi" w:eastAsiaTheme="majorEastAsia" w:hAnsiTheme="minorHAnsi" w:cstheme="majorBidi"/>
          <w:sz w:val="28"/>
          <w:szCs w:val="28"/>
          <w:lang w:eastAsia="en-US"/>
        </w:rPr>
        <w:lastRenderedPageBreak/>
        <w:t>Previous PBAC consideration</w:t>
      </w:r>
      <w:bookmarkEnd w:id="1"/>
      <w:r w:rsidR="008C49CF" w:rsidRPr="00E67926">
        <w:rPr>
          <w:rFonts w:asciiTheme="minorHAnsi" w:eastAsiaTheme="majorEastAsia" w:hAnsiTheme="minorHAnsi" w:cstheme="majorBidi"/>
          <w:sz w:val="28"/>
          <w:szCs w:val="28"/>
          <w:lang w:eastAsia="en-US"/>
        </w:rPr>
        <w:t>s</w:t>
      </w:r>
    </w:p>
    <w:p w:rsidR="00B1682A" w:rsidRPr="00E67926" w:rsidRDefault="00B1682A" w:rsidP="00CC25C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 xml:space="preserve">At the November 2008 PBAC meeting, </w:t>
      </w:r>
      <w:proofErr w:type="spellStart"/>
      <w:r w:rsidRPr="00E67926">
        <w:rPr>
          <w:rFonts w:asciiTheme="minorHAnsi" w:eastAsiaTheme="minorHAnsi" w:hAnsiTheme="minorHAnsi" w:cstheme="minorBidi"/>
          <w:snapToGrid/>
          <w:sz w:val="24"/>
          <w:szCs w:val="22"/>
        </w:rPr>
        <w:t>l</w:t>
      </w:r>
      <w:r w:rsidR="00902B89" w:rsidRPr="00E67926">
        <w:rPr>
          <w:rFonts w:asciiTheme="minorHAnsi" w:eastAsiaTheme="minorHAnsi" w:hAnsiTheme="minorHAnsi" w:cstheme="minorBidi"/>
          <w:snapToGrid/>
          <w:sz w:val="24"/>
          <w:szCs w:val="22"/>
        </w:rPr>
        <w:t>enalidomide</w:t>
      </w:r>
      <w:proofErr w:type="spellEnd"/>
      <w:r w:rsidR="00902B89" w:rsidRPr="00E67926">
        <w:rPr>
          <w:rFonts w:asciiTheme="minorHAnsi" w:eastAsiaTheme="minorHAnsi" w:hAnsiTheme="minorHAnsi" w:cstheme="minorBidi"/>
          <w:snapToGrid/>
          <w:sz w:val="24"/>
          <w:szCs w:val="22"/>
        </w:rPr>
        <w:t xml:space="preserve"> </w:t>
      </w:r>
      <w:proofErr w:type="gramStart"/>
      <w:r w:rsidR="00902B89" w:rsidRPr="00E67926">
        <w:rPr>
          <w:rFonts w:asciiTheme="minorHAnsi" w:eastAsiaTheme="minorHAnsi" w:hAnsiTheme="minorHAnsi" w:cstheme="minorBidi"/>
          <w:snapToGrid/>
          <w:sz w:val="24"/>
          <w:szCs w:val="22"/>
        </w:rPr>
        <w:t xml:space="preserve">was </w:t>
      </w:r>
      <w:r w:rsidRPr="00E67926">
        <w:rPr>
          <w:rFonts w:asciiTheme="minorHAnsi" w:eastAsiaTheme="minorHAnsi" w:hAnsiTheme="minorHAnsi" w:cstheme="minorBidi"/>
          <w:snapToGrid/>
          <w:sz w:val="24"/>
          <w:szCs w:val="22"/>
        </w:rPr>
        <w:t>recommended</w:t>
      </w:r>
      <w:proofErr w:type="gramEnd"/>
      <w:r w:rsidRPr="00E67926">
        <w:rPr>
          <w:rFonts w:asciiTheme="minorHAnsi" w:eastAsiaTheme="minorHAnsi" w:hAnsiTheme="minorHAnsi" w:cstheme="minorBidi"/>
          <w:snapToGrid/>
          <w:sz w:val="24"/>
          <w:szCs w:val="22"/>
        </w:rPr>
        <w:t xml:space="preserve"> for listing for the treatment of </w:t>
      </w:r>
      <w:r w:rsidR="00DE0301" w:rsidRPr="00E67926">
        <w:rPr>
          <w:rFonts w:asciiTheme="minorHAnsi" w:eastAsiaTheme="minorHAnsi" w:hAnsiTheme="minorHAnsi" w:cstheme="minorBidi"/>
          <w:snapToGrid/>
          <w:sz w:val="24"/>
          <w:szCs w:val="22"/>
        </w:rPr>
        <w:t>RR MM</w:t>
      </w:r>
      <w:r w:rsidRPr="00E67926">
        <w:rPr>
          <w:rFonts w:asciiTheme="minorHAnsi" w:eastAsiaTheme="minorHAnsi" w:hAnsiTheme="minorHAnsi" w:cstheme="minorBidi"/>
          <w:snapToGrid/>
          <w:sz w:val="24"/>
          <w:szCs w:val="22"/>
        </w:rPr>
        <w:t xml:space="preserve"> on basis of </w:t>
      </w:r>
      <w:r w:rsidR="00F53BD6" w:rsidRPr="00E67926">
        <w:rPr>
          <w:rFonts w:asciiTheme="minorHAnsi" w:eastAsiaTheme="minorHAnsi" w:hAnsiTheme="minorHAnsi" w:cstheme="minorBidi"/>
          <w:snapToGrid/>
          <w:sz w:val="24"/>
          <w:szCs w:val="22"/>
        </w:rPr>
        <w:t>cost-</w:t>
      </w:r>
      <w:r w:rsidR="005060A2" w:rsidRPr="00E67926">
        <w:rPr>
          <w:rFonts w:asciiTheme="minorHAnsi" w:eastAsiaTheme="minorHAnsi" w:hAnsiTheme="minorHAnsi" w:cstheme="minorBidi"/>
          <w:snapToGrid/>
          <w:sz w:val="24"/>
          <w:szCs w:val="22"/>
        </w:rPr>
        <w:t>minimisation</w:t>
      </w:r>
      <w:r w:rsidRPr="00E67926">
        <w:rPr>
          <w:rFonts w:asciiTheme="minorHAnsi" w:eastAsiaTheme="minorHAnsi" w:hAnsiTheme="minorHAnsi" w:cstheme="minorBidi"/>
          <w:snapToGrid/>
          <w:sz w:val="24"/>
          <w:szCs w:val="22"/>
        </w:rPr>
        <w:t xml:space="preserve"> with </w:t>
      </w:r>
      <w:proofErr w:type="spellStart"/>
      <w:r w:rsidRPr="00E67926">
        <w:rPr>
          <w:rFonts w:asciiTheme="minorHAnsi" w:eastAsiaTheme="minorHAnsi" w:hAnsiTheme="minorHAnsi" w:cstheme="minorBidi"/>
          <w:snapToGrid/>
          <w:sz w:val="24"/>
          <w:szCs w:val="22"/>
        </w:rPr>
        <w:t>bortezomib</w:t>
      </w:r>
      <w:proofErr w:type="spellEnd"/>
      <w:r w:rsidRPr="00E67926">
        <w:rPr>
          <w:rFonts w:asciiTheme="minorHAnsi" w:eastAsiaTheme="minorHAnsi" w:hAnsiTheme="minorHAnsi" w:cstheme="minorBidi"/>
          <w:snapToGrid/>
          <w:sz w:val="24"/>
          <w:szCs w:val="22"/>
        </w:rPr>
        <w:t xml:space="preserve">. The PBAC </w:t>
      </w:r>
      <w:r w:rsidR="008A0372" w:rsidRPr="00E67926">
        <w:rPr>
          <w:rFonts w:asciiTheme="minorHAnsi" w:eastAsiaTheme="minorHAnsi" w:hAnsiTheme="minorHAnsi" w:cstheme="minorBidi"/>
          <w:snapToGrid/>
          <w:sz w:val="24"/>
          <w:szCs w:val="22"/>
        </w:rPr>
        <w:t>advise</w:t>
      </w:r>
      <w:r w:rsidRPr="00E67926">
        <w:rPr>
          <w:rFonts w:asciiTheme="minorHAnsi" w:eastAsiaTheme="minorHAnsi" w:hAnsiTheme="minorHAnsi" w:cstheme="minorBidi"/>
          <w:snapToGrid/>
          <w:sz w:val="24"/>
          <w:szCs w:val="22"/>
        </w:rPr>
        <w:t xml:space="preserve">d that the listing of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should be administered by </w:t>
      </w:r>
      <w:r w:rsidR="008A0372" w:rsidRPr="00E67926">
        <w:rPr>
          <w:rFonts w:asciiTheme="minorHAnsi" w:eastAsiaTheme="minorHAnsi" w:hAnsiTheme="minorHAnsi" w:cstheme="minorBidi"/>
          <w:snapToGrid/>
          <w:sz w:val="24"/>
          <w:szCs w:val="22"/>
        </w:rPr>
        <w:t>written a</w:t>
      </w:r>
      <w:r w:rsidR="005B4727" w:rsidRPr="00E67926">
        <w:rPr>
          <w:rFonts w:asciiTheme="minorHAnsi" w:eastAsiaTheme="minorHAnsi" w:hAnsiTheme="minorHAnsi" w:cstheme="minorBidi"/>
          <w:snapToGrid/>
          <w:sz w:val="24"/>
          <w:szCs w:val="22"/>
        </w:rPr>
        <w:t>u</w:t>
      </w:r>
      <w:r w:rsidRPr="00E67926">
        <w:rPr>
          <w:rFonts w:asciiTheme="minorHAnsi" w:eastAsiaTheme="minorHAnsi" w:hAnsiTheme="minorHAnsi" w:cstheme="minorBidi"/>
          <w:snapToGrid/>
          <w:sz w:val="24"/>
          <w:szCs w:val="22"/>
        </w:rPr>
        <w:t xml:space="preserve">thority </w:t>
      </w:r>
      <w:r w:rsidR="005B4727" w:rsidRPr="00E67926">
        <w:rPr>
          <w:rFonts w:asciiTheme="minorHAnsi" w:eastAsiaTheme="minorHAnsi" w:hAnsiTheme="minorHAnsi" w:cstheme="minorBidi"/>
          <w:snapToGrid/>
          <w:sz w:val="24"/>
          <w:szCs w:val="22"/>
        </w:rPr>
        <w:t xml:space="preserve">applications in a </w:t>
      </w:r>
      <w:r w:rsidRPr="00E67926">
        <w:rPr>
          <w:rFonts w:asciiTheme="minorHAnsi" w:eastAsiaTheme="minorHAnsi" w:hAnsiTheme="minorHAnsi" w:cstheme="minorBidi"/>
          <w:snapToGrid/>
          <w:sz w:val="24"/>
          <w:szCs w:val="22"/>
        </w:rPr>
        <w:t xml:space="preserve">similar way to </w:t>
      </w:r>
      <w:proofErr w:type="spellStart"/>
      <w:r w:rsidRPr="00E67926">
        <w:rPr>
          <w:rFonts w:asciiTheme="minorHAnsi" w:eastAsiaTheme="minorHAnsi" w:hAnsiTheme="minorHAnsi" w:cstheme="minorBidi"/>
          <w:snapToGrid/>
          <w:sz w:val="24"/>
          <w:szCs w:val="22"/>
        </w:rPr>
        <w:t>bortezomib</w:t>
      </w:r>
      <w:proofErr w:type="spellEnd"/>
      <w:r w:rsidRPr="00E67926">
        <w:rPr>
          <w:rFonts w:asciiTheme="minorHAnsi" w:eastAsiaTheme="minorHAnsi" w:hAnsiTheme="minorHAnsi" w:cstheme="minorBidi"/>
          <w:snapToGrid/>
          <w:sz w:val="24"/>
          <w:szCs w:val="22"/>
        </w:rPr>
        <w:t xml:space="preserve"> (Section 12,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w:t>
      </w:r>
      <w:r w:rsidR="008A0372" w:rsidRPr="00E67926">
        <w:rPr>
          <w:rFonts w:asciiTheme="minorHAnsi" w:eastAsiaTheme="minorHAnsi" w:hAnsiTheme="minorHAnsi" w:cstheme="minorBidi"/>
          <w:snapToGrid/>
          <w:sz w:val="24"/>
          <w:szCs w:val="22"/>
        </w:rPr>
        <w:t>Public Summary Document</w:t>
      </w:r>
      <w:r w:rsidR="005B4727" w:rsidRPr="00E67926">
        <w:rPr>
          <w:rFonts w:asciiTheme="minorHAnsi" w:eastAsiaTheme="minorHAnsi" w:hAnsiTheme="minorHAnsi" w:cstheme="minorBidi"/>
          <w:snapToGrid/>
          <w:sz w:val="24"/>
          <w:szCs w:val="22"/>
        </w:rPr>
        <w:t xml:space="preserve"> </w:t>
      </w:r>
      <w:r w:rsidR="008A0372" w:rsidRPr="00E67926">
        <w:rPr>
          <w:rFonts w:asciiTheme="minorHAnsi" w:eastAsiaTheme="minorHAnsi" w:hAnsiTheme="minorHAnsi" w:cstheme="minorBidi"/>
          <w:snapToGrid/>
          <w:sz w:val="24"/>
          <w:szCs w:val="22"/>
        </w:rPr>
        <w:t>(PSD)</w:t>
      </w:r>
      <w:r w:rsidR="009136AD" w:rsidRPr="00E67926">
        <w:rPr>
          <w:rFonts w:asciiTheme="minorHAnsi" w:eastAsiaTheme="minorHAnsi" w:hAnsiTheme="minorHAnsi" w:cstheme="minorBidi"/>
          <w:snapToGrid/>
          <w:sz w:val="24"/>
          <w:szCs w:val="22"/>
        </w:rPr>
        <w:t xml:space="preserve">, </w:t>
      </w:r>
      <w:proofErr w:type="gramStart"/>
      <w:r w:rsidR="009136AD" w:rsidRPr="00E67926">
        <w:rPr>
          <w:rFonts w:asciiTheme="minorHAnsi" w:eastAsiaTheme="minorHAnsi" w:hAnsiTheme="minorHAnsi" w:cstheme="minorBidi"/>
          <w:snapToGrid/>
          <w:sz w:val="24"/>
          <w:szCs w:val="22"/>
        </w:rPr>
        <w:t>November</w:t>
      </w:r>
      <w:proofErr w:type="gramEnd"/>
      <w:r w:rsidR="009136AD" w:rsidRPr="00E67926">
        <w:rPr>
          <w:rFonts w:asciiTheme="minorHAnsi" w:eastAsiaTheme="minorHAnsi" w:hAnsiTheme="minorHAnsi" w:cstheme="minorBidi"/>
          <w:snapToGrid/>
          <w:sz w:val="24"/>
          <w:szCs w:val="22"/>
        </w:rPr>
        <w:t xml:space="preserve"> </w:t>
      </w:r>
      <w:r w:rsidRPr="00E67926">
        <w:rPr>
          <w:rFonts w:asciiTheme="minorHAnsi" w:eastAsiaTheme="minorHAnsi" w:hAnsiTheme="minorHAnsi" w:cstheme="minorBidi"/>
          <w:snapToGrid/>
          <w:sz w:val="24"/>
          <w:szCs w:val="22"/>
        </w:rPr>
        <w:t>2008).</w:t>
      </w:r>
    </w:p>
    <w:p w:rsidR="00902B89" w:rsidRPr="00E67926" w:rsidRDefault="00B1682A" w:rsidP="00CC25C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 xml:space="preserve">In March 2016, the PBAC recommended the listing of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for the treatment of patients with </w:t>
      </w:r>
      <w:r w:rsidR="00DE0301" w:rsidRPr="00E67926">
        <w:rPr>
          <w:rFonts w:asciiTheme="minorHAnsi" w:eastAsiaTheme="minorHAnsi" w:hAnsiTheme="minorHAnsi" w:cstheme="minorBidi"/>
          <w:snapToGrid/>
          <w:sz w:val="24"/>
          <w:szCs w:val="22"/>
        </w:rPr>
        <w:t>ND MM</w:t>
      </w:r>
      <w:r w:rsidRPr="00E67926">
        <w:rPr>
          <w:rFonts w:asciiTheme="minorHAnsi" w:eastAsiaTheme="minorHAnsi" w:hAnsiTheme="minorHAnsi" w:cstheme="minorBidi"/>
          <w:snapToGrid/>
          <w:sz w:val="24"/>
          <w:szCs w:val="22"/>
        </w:rPr>
        <w:t xml:space="preserve"> who were ineligible for stem cell transplant. The PBAC recommended that the restriction for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in combination with dexamethasone, </w:t>
      </w:r>
      <w:proofErr w:type="gramStart"/>
      <w:r w:rsidRPr="00E67926">
        <w:rPr>
          <w:rFonts w:asciiTheme="minorHAnsi" w:eastAsiaTheme="minorHAnsi" w:hAnsiTheme="minorHAnsi" w:cstheme="minorBidi"/>
          <w:snapToGrid/>
          <w:sz w:val="24"/>
          <w:szCs w:val="22"/>
        </w:rPr>
        <w:t>should be aligned</w:t>
      </w:r>
      <w:proofErr w:type="gramEnd"/>
      <w:r w:rsidRPr="00E67926">
        <w:rPr>
          <w:rFonts w:asciiTheme="minorHAnsi" w:eastAsiaTheme="minorHAnsi" w:hAnsiTheme="minorHAnsi" w:cstheme="minorBidi"/>
          <w:snapToGrid/>
          <w:sz w:val="24"/>
          <w:szCs w:val="22"/>
        </w:rPr>
        <w:t xml:space="preserve"> with that of </w:t>
      </w:r>
      <w:proofErr w:type="spellStart"/>
      <w:r w:rsidRPr="00E67926">
        <w:rPr>
          <w:rFonts w:asciiTheme="minorHAnsi" w:eastAsiaTheme="minorHAnsi" w:hAnsiTheme="minorHAnsi" w:cstheme="minorBidi"/>
          <w:snapToGrid/>
          <w:sz w:val="24"/>
          <w:szCs w:val="22"/>
        </w:rPr>
        <w:t>bortezomib</w:t>
      </w:r>
      <w:proofErr w:type="spellEnd"/>
      <w:r w:rsidR="005B4727" w:rsidRPr="00E67926">
        <w:rPr>
          <w:rFonts w:asciiTheme="minorHAnsi" w:eastAsiaTheme="minorHAnsi" w:hAnsiTheme="minorHAnsi" w:cstheme="minorBidi"/>
          <w:snapToGrid/>
          <w:sz w:val="24"/>
          <w:szCs w:val="22"/>
        </w:rPr>
        <w:t xml:space="preserve"> for first line therapy in the treatment of multiple myeloma in the transplant-ineligible population</w:t>
      </w:r>
      <w:r w:rsidRPr="00E67926">
        <w:rPr>
          <w:rFonts w:asciiTheme="minorHAnsi" w:eastAsiaTheme="minorHAnsi" w:hAnsiTheme="minorHAnsi" w:cstheme="minorBidi"/>
          <w:snapToGrid/>
          <w:sz w:val="24"/>
          <w:szCs w:val="22"/>
        </w:rPr>
        <w:t xml:space="preserve"> (paragraph 4.2,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w:t>
      </w:r>
      <w:r w:rsidR="009136AD" w:rsidRPr="00E67926">
        <w:rPr>
          <w:rFonts w:asciiTheme="minorHAnsi" w:eastAsiaTheme="minorHAnsi" w:hAnsiTheme="minorHAnsi" w:cstheme="minorBidi"/>
          <w:snapToGrid/>
          <w:sz w:val="24"/>
          <w:szCs w:val="22"/>
        </w:rPr>
        <w:t>PSD</w:t>
      </w:r>
      <w:r w:rsidRPr="00E67926">
        <w:rPr>
          <w:rFonts w:asciiTheme="minorHAnsi" w:eastAsiaTheme="minorHAnsi" w:hAnsiTheme="minorHAnsi" w:cstheme="minorBidi"/>
          <w:snapToGrid/>
          <w:sz w:val="24"/>
          <w:szCs w:val="22"/>
        </w:rPr>
        <w:t>, March 2016).</w:t>
      </w:r>
      <w:r w:rsidR="008A0372" w:rsidRPr="00E67926">
        <w:rPr>
          <w:rFonts w:asciiTheme="minorHAnsi" w:eastAsiaTheme="minorHAnsi" w:hAnsiTheme="minorHAnsi" w:cstheme="minorBidi"/>
          <w:snapToGrid/>
          <w:sz w:val="24"/>
          <w:szCs w:val="22"/>
        </w:rPr>
        <w:t xml:space="preserve"> </w:t>
      </w:r>
    </w:p>
    <w:p w:rsidR="00611DD3" w:rsidRPr="00E67926" w:rsidRDefault="00611DD3" w:rsidP="00CC25C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 xml:space="preserve">At the July 2017 PBAC meeting, the PBAC recommended the listing of </w:t>
      </w:r>
      <w:proofErr w:type="spellStart"/>
      <w:r w:rsidRPr="00E67926">
        <w:rPr>
          <w:rFonts w:asciiTheme="minorHAnsi" w:eastAsiaTheme="minorHAnsi" w:hAnsiTheme="minorHAnsi" w:cstheme="minorBidi"/>
          <w:snapToGrid/>
          <w:sz w:val="24"/>
          <w:szCs w:val="22"/>
        </w:rPr>
        <w:t>carfilzomib</w:t>
      </w:r>
      <w:proofErr w:type="spellEnd"/>
      <w:r w:rsidRPr="00E67926">
        <w:rPr>
          <w:rFonts w:asciiTheme="minorHAnsi" w:eastAsiaTheme="minorHAnsi" w:hAnsiTheme="minorHAnsi" w:cstheme="minorBidi"/>
          <w:snapToGrid/>
          <w:sz w:val="24"/>
          <w:szCs w:val="22"/>
        </w:rPr>
        <w:t xml:space="preserve"> for the treatment of relapsed or refractory multiple myeloma. The PBAC advised that a telephone authority, rather than a written authority, was </w:t>
      </w:r>
      <w:proofErr w:type="gramStart"/>
      <w:r w:rsidRPr="00E67926">
        <w:rPr>
          <w:rFonts w:asciiTheme="minorHAnsi" w:eastAsiaTheme="minorHAnsi" w:hAnsiTheme="minorHAnsi" w:cstheme="minorBidi"/>
          <w:snapToGrid/>
          <w:sz w:val="24"/>
          <w:szCs w:val="22"/>
        </w:rPr>
        <w:t>appropriate</w:t>
      </w:r>
      <w:proofErr w:type="gramEnd"/>
      <w:r w:rsidRPr="00E67926">
        <w:rPr>
          <w:rFonts w:asciiTheme="minorHAnsi" w:eastAsiaTheme="minorHAnsi" w:hAnsiTheme="minorHAnsi" w:cstheme="minorBidi"/>
          <w:snapToGrid/>
          <w:sz w:val="24"/>
          <w:szCs w:val="22"/>
        </w:rPr>
        <w:t xml:space="preserve"> as patients will have already demonstrated that they have multiple myeloma when they received first-line therapy (paragraph 7.10, </w:t>
      </w:r>
      <w:proofErr w:type="spellStart"/>
      <w:r w:rsidRPr="00E67926">
        <w:rPr>
          <w:rFonts w:asciiTheme="minorHAnsi" w:eastAsiaTheme="minorHAnsi" w:hAnsiTheme="minorHAnsi" w:cstheme="minorBidi"/>
          <w:snapToGrid/>
          <w:sz w:val="24"/>
          <w:szCs w:val="22"/>
        </w:rPr>
        <w:t>Carfilzomib</w:t>
      </w:r>
      <w:proofErr w:type="spellEnd"/>
      <w:r w:rsidRPr="00E67926">
        <w:rPr>
          <w:rFonts w:asciiTheme="minorHAnsi" w:eastAsiaTheme="minorHAnsi" w:hAnsiTheme="minorHAnsi" w:cstheme="minorBidi"/>
          <w:snapToGrid/>
          <w:sz w:val="24"/>
          <w:szCs w:val="22"/>
        </w:rPr>
        <w:t xml:space="preserve"> PSD, July 2017). </w:t>
      </w:r>
      <w:proofErr w:type="spellStart"/>
      <w:r w:rsidRPr="00E67926">
        <w:rPr>
          <w:rFonts w:asciiTheme="minorHAnsi" w:eastAsiaTheme="minorHAnsi" w:hAnsiTheme="minorHAnsi" w:cstheme="minorBidi"/>
          <w:snapToGrid/>
          <w:sz w:val="24"/>
          <w:szCs w:val="22"/>
        </w:rPr>
        <w:t>Carfilzomib</w:t>
      </w:r>
      <w:proofErr w:type="spellEnd"/>
      <w:r w:rsidRPr="00E67926">
        <w:rPr>
          <w:rFonts w:asciiTheme="minorHAnsi" w:eastAsiaTheme="minorHAnsi" w:hAnsiTheme="minorHAnsi" w:cstheme="minorBidi"/>
          <w:snapToGrid/>
          <w:sz w:val="24"/>
          <w:szCs w:val="22"/>
        </w:rPr>
        <w:t xml:space="preserve"> </w:t>
      </w:r>
      <w:proofErr w:type="gramStart"/>
      <w:r w:rsidRPr="00E67926">
        <w:rPr>
          <w:rFonts w:asciiTheme="minorHAnsi" w:eastAsiaTheme="minorHAnsi" w:hAnsiTheme="minorHAnsi" w:cstheme="minorBidi"/>
          <w:snapToGrid/>
          <w:sz w:val="24"/>
          <w:szCs w:val="22"/>
        </w:rPr>
        <w:t>is listed</w:t>
      </w:r>
      <w:proofErr w:type="gramEnd"/>
      <w:r w:rsidRPr="00E67926">
        <w:rPr>
          <w:rFonts w:asciiTheme="minorHAnsi" w:eastAsiaTheme="minorHAnsi" w:hAnsiTheme="minorHAnsi" w:cstheme="minorBidi"/>
          <w:snapToGrid/>
          <w:sz w:val="24"/>
          <w:szCs w:val="22"/>
        </w:rPr>
        <w:t xml:space="preserve"> at the same line of therapy as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w:t>
      </w:r>
    </w:p>
    <w:p w:rsidR="008A0372" w:rsidRPr="00E67926" w:rsidRDefault="00B1682A" w:rsidP="00CC25C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 xml:space="preserve">At the </w:t>
      </w:r>
      <w:r w:rsidR="008A0372" w:rsidRPr="00E67926">
        <w:rPr>
          <w:rFonts w:asciiTheme="minorHAnsi" w:eastAsiaTheme="minorHAnsi" w:hAnsiTheme="minorHAnsi" w:cstheme="minorBidi"/>
          <w:snapToGrid/>
          <w:sz w:val="24"/>
          <w:szCs w:val="22"/>
        </w:rPr>
        <w:t xml:space="preserve">March 2018 meeting, the PBAC </w:t>
      </w:r>
      <w:r w:rsidR="005B4727" w:rsidRPr="00E67926">
        <w:rPr>
          <w:rFonts w:asciiTheme="minorHAnsi" w:eastAsiaTheme="minorHAnsi" w:hAnsiTheme="minorHAnsi" w:cstheme="minorBidi"/>
          <w:snapToGrid/>
          <w:sz w:val="24"/>
          <w:szCs w:val="22"/>
        </w:rPr>
        <w:t xml:space="preserve">supported a proposal from the Department to streamline the current written Authorities for </w:t>
      </w:r>
      <w:proofErr w:type="spellStart"/>
      <w:r w:rsidR="005B4727" w:rsidRPr="00E67926">
        <w:rPr>
          <w:rFonts w:asciiTheme="minorHAnsi" w:eastAsiaTheme="minorHAnsi" w:hAnsiTheme="minorHAnsi" w:cstheme="minorBidi"/>
          <w:snapToGrid/>
          <w:sz w:val="24"/>
          <w:szCs w:val="22"/>
        </w:rPr>
        <w:t>bortezomib</w:t>
      </w:r>
      <w:proofErr w:type="spellEnd"/>
      <w:r w:rsidR="005B4727" w:rsidRPr="00E67926">
        <w:rPr>
          <w:rFonts w:asciiTheme="minorHAnsi" w:eastAsiaTheme="minorHAnsi" w:hAnsiTheme="minorHAnsi" w:cstheme="minorBidi"/>
          <w:snapToGrid/>
          <w:sz w:val="24"/>
          <w:szCs w:val="22"/>
        </w:rPr>
        <w:t xml:space="preserve"> for all its multiple myeloma PBS restrictions (March 2018 PBAC Outcomes – Other matters)</w:t>
      </w:r>
      <w:r w:rsidR="008A0372" w:rsidRPr="00E67926">
        <w:rPr>
          <w:rFonts w:asciiTheme="minorHAnsi" w:eastAsiaTheme="minorHAnsi" w:hAnsiTheme="minorHAnsi" w:cstheme="minorBidi"/>
          <w:snapToGrid/>
          <w:sz w:val="24"/>
          <w:szCs w:val="22"/>
        </w:rPr>
        <w:t xml:space="preserve">. </w:t>
      </w:r>
    </w:p>
    <w:p w:rsidR="0000122F" w:rsidRPr="00E67926" w:rsidRDefault="0000122F" w:rsidP="00CC25C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At the 23 May 2018 Multiple Myeloma Stakeholder meeting</w:t>
      </w:r>
      <w:r w:rsidR="00DC77E6" w:rsidRPr="00E67926">
        <w:rPr>
          <w:rFonts w:asciiTheme="minorHAnsi" w:eastAsiaTheme="minorHAnsi" w:hAnsiTheme="minorHAnsi" w:cstheme="minorBidi"/>
          <w:snapToGrid/>
          <w:sz w:val="24"/>
          <w:szCs w:val="22"/>
        </w:rPr>
        <w:t>,</w:t>
      </w:r>
      <w:r w:rsidRPr="00E67926">
        <w:rPr>
          <w:rFonts w:asciiTheme="minorHAnsi" w:eastAsiaTheme="minorHAnsi" w:hAnsiTheme="minorHAnsi" w:cstheme="minorBidi"/>
          <w:snapToGrid/>
          <w:sz w:val="24"/>
          <w:szCs w:val="22"/>
        </w:rPr>
        <w:t xml:space="preserve"> the key priorities identified included simplification of restrictions in the relapsed and refractory setting. It </w:t>
      </w:r>
      <w:proofErr w:type="gramStart"/>
      <w:r w:rsidRPr="00E67926">
        <w:rPr>
          <w:rFonts w:asciiTheme="minorHAnsi" w:eastAsiaTheme="minorHAnsi" w:hAnsiTheme="minorHAnsi" w:cstheme="minorBidi"/>
          <w:snapToGrid/>
          <w:sz w:val="24"/>
          <w:szCs w:val="22"/>
        </w:rPr>
        <w:t>was noted</w:t>
      </w:r>
      <w:proofErr w:type="gramEnd"/>
      <w:r w:rsidRPr="00E67926">
        <w:rPr>
          <w:rFonts w:asciiTheme="minorHAnsi" w:eastAsiaTheme="minorHAnsi" w:hAnsiTheme="minorHAnsi" w:cstheme="minorBidi"/>
          <w:snapToGrid/>
          <w:sz w:val="24"/>
          <w:szCs w:val="22"/>
        </w:rPr>
        <w:t xml:space="preserve"> that any requested changes would need to be considered in the context of the effective PBS prices.</w:t>
      </w:r>
      <w:r w:rsidR="00611DD3" w:rsidRPr="00E67926">
        <w:rPr>
          <w:rFonts w:asciiTheme="minorHAnsi" w:eastAsiaTheme="minorHAnsi" w:hAnsiTheme="minorHAnsi" w:cstheme="minorBidi"/>
          <w:snapToGrid/>
          <w:sz w:val="24"/>
          <w:szCs w:val="22"/>
        </w:rPr>
        <w:t xml:space="preserve"> </w:t>
      </w:r>
    </w:p>
    <w:p w:rsidR="00B275EC" w:rsidRPr="00E67926" w:rsidRDefault="00B275EC" w:rsidP="00CC25CA">
      <w:pPr>
        <w:pStyle w:val="ListParagraph"/>
        <w:widowControl/>
        <w:spacing w:before="120" w:after="120"/>
        <w:contextualSpacing w:val="0"/>
        <w:rPr>
          <w:rFonts w:asciiTheme="minorHAnsi" w:eastAsiaTheme="minorHAnsi" w:hAnsiTheme="minorHAnsi" w:cstheme="minorBidi"/>
          <w:i/>
          <w:snapToGrid/>
          <w:sz w:val="24"/>
          <w:szCs w:val="22"/>
        </w:rPr>
      </w:pPr>
      <w:r w:rsidRPr="00E67926">
        <w:rPr>
          <w:rFonts w:asciiTheme="minorHAnsi" w:eastAsiaTheme="minorHAnsi" w:hAnsiTheme="minorHAnsi" w:cstheme="minorBidi"/>
          <w:i/>
          <w:snapToGrid/>
          <w:sz w:val="24"/>
          <w:szCs w:val="22"/>
        </w:rPr>
        <w:t>For more detail on PBAC’s view, see Section 4 PBAC outcome.</w:t>
      </w:r>
    </w:p>
    <w:p w:rsidR="00D95BDD" w:rsidRPr="00E67926" w:rsidRDefault="00D95BDD" w:rsidP="00CC25CA">
      <w:pPr>
        <w:pStyle w:val="PBACHeading1"/>
        <w:spacing w:before="120" w:after="120"/>
        <w:ind w:left="709" w:hanging="709"/>
        <w:rPr>
          <w:rFonts w:asciiTheme="minorHAnsi" w:hAnsiTheme="minorHAnsi"/>
          <w:sz w:val="32"/>
          <w:szCs w:val="32"/>
        </w:rPr>
      </w:pPr>
      <w:r w:rsidRPr="00E67926">
        <w:rPr>
          <w:rFonts w:asciiTheme="minorHAnsi" w:hAnsiTheme="minorHAnsi"/>
          <w:sz w:val="32"/>
          <w:szCs w:val="32"/>
        </w:rPr>
        <w:t>Current situation and proposal</w:t>
      </w:r>
    </w:p>
    <w:p w:rsidR="00A74C27" w:rsidRPr="00E67926" w:rsidRDefault="00A74C27" w:rsidP="00CC25CA">
      <w:pPr>
        <w:pStyle w:val="Heading2"/>
        <w:spacing w:before="120" w:after="120"/>
        <w:rPr>
          <w:rFonts w:ascii="Calibri" w:hAnsi="Calibri" w:cs="Calibri"/>
          <w:snapToGrid w:val="0"/>
          <w:sz w:val="28"/>
          <w:szCs w:val="28"/>
        </w:rPr>
      </w:pPr>
      <w:r w:rsidRPr="00E67926">
        <w:rPr>
          <w:rFonts w:ascii="Calibri" w:hAnsi="Calibri" w:cs="Calibri"/>
          <w:snapToGrid w:val="0"/>
          <w:sz w:val="28"/>
          <w:szCs w:val="28"/>
        </w:rPr>
        <w:t>Sponsor hearing</w:t>
      </w:r>
    </w:p>
    <w:p w:rsidR="00A74C27" w:rsidRPr="00E67926" w:rsidRDefault="00A74C27" w:rsidP="00CC25CA">
      <w:pPr>
        <w:widowControl w:val="0"/>
        <w:numPr>
          <w:ilvl w:val="1"/>
          <w:numId w:val="5"/>
        </w:numPr>
        <w:spacing w:before="120" w:after="120"/>
        <w:jc w:val="both"/>
        <w:rPr>
          <w:rFonts w:asciiTheme="minorHAnsi" w:hAnsiTheme="minorHAnsi" w:cs="Arial"/>
          <w:bCs/>
          <w:snapToGrid w:val="0"/>
        </w:rPr>
      </w:pPr>
      <w:r w:rsidRPr="00E67926">
        <w:rPr>
          <w:rFonts w:asciiTheme="minorHAnsi" w:hAnsiTheme="minorHAnsi" w:cs="Arial"/>
          <w:bCs/>
          <w:snapToGrid w:val="0"/>
        </w:rPr>
        <w:t>There was no hearing for this item as it was a minor submission.</w:t>
      </w:r>
    </w:p>
    <w:p w:rsidR="00A74C27" w:rsidRPr="00E67926" w:rsidRDefault="00A74C27" w:rsidP="00CC25CA">
      <w:pPr>
        <w:pStyle w:val="Heading2"/>
        <w:spacing w:before="120" w:after="120"/>
        <w:rPr>
          <w:rFonts w:ascii="Calibri" w:hAnsi="Calibri" w:cs="Calibri"/>
          <w:snapToGrid w:val="0"/>
          <w:sz w:val="28"/>
          <w:szCs w:val="28"/>
        </w:rPr>
      </w:pPr>
      <w:r w:rsidRPr="00E67926">
        <w:rPr>
          <w:rFonts w:ascii="Calibri" w:hAnsi="Calibri" w:cs="Calibri"/>
          <w:snapToGrid w:val="0"/>
          <w:sz w:val="28"/>
          <w:szCs w:val="28"/>
        </w:rPr>
        <w:t>Consumer comments</w:t>
      </w:r>
    </w:p>
    <w:p w:rsidR="00A74C27" w:rsidRPr="00E67926" w:rsidRDefault="00A74C27" w:rsidP="00CC25CA">
      <w:pPr>
        <w:widowControl w:val="0"/>
        <w:numPr>
          <w:ilvl w:val="1"/>
          <w:numId w:val="5"/>
        </w:numPr>
        <w:spacing w:before="120" w:after="120"/>
        <w:jc w:val="both"/>
        <w:rPr>
          <w:rFonts w:asciiTheme="minorHAnsi" w:hAnsiTheme="minorHAnsi" w:cs="Arial"/>
          <w:bCs/>
          <w:snapToGrid w:val="0"/>
        </w:rPr>
      </w:pPr>
      <w:r w:rsidRPr="00E67926">
        <w:rPr>
          <w:rFonts w:asciiTheme="minorHAnsi" w:hAnsiTheme="minorHAnsi" w:cs="Arial"/>
          <w:bCs/>
          <w:snapToGrid w:val="0"/>
        </w:rPr>
        <w:t>The PBAC noted and welcomed the input from individuals (51), health care professionals (2) and organisations (3) via the Consumer Comments facility on the PBS website</w:t>
      </w:r>
      <w:r w:rsidR="00E67926">
        <w:rPr>
          <w:rFonts w:asciiTheme="minorHAnsi" w:hAnsiTheme="minorHAnsi" w:cs="Arial"/>
          <w:bCs/>
          <w:snapToGrid w:val="0"/>
        </w:rPr>
        <w:t xml:space="preserve">. </w:t>
      </w:r>
      <w:r w:rsidRPr="00E67926">
        <w:rPr>
          <w:rFonts w:asciiTheme="minorHAnsi" w:hAnsiTheme="minorHAnsi" w:cs="Arial"/>
          <w:bCs/>
          <w:snapToGrid w:val="0"/>
        </w:rPr>
        <w:t xml:space="preserve">The comments described a range of benefits of </w:t>
      </w:r>
      <w:r w:rsidR="00884902" w:rsidRPr="00E67926">
        <w:rPr>
          <w:rFonts w:asciiTheme="minorHAnsi" w:hAnsiTheme="minorHAnsi" w:cs="Arial"/>
          <w:bCs/>
          <w:snapToGrid w:val="0"/>
        </w:rPr>
        <w:t xml:space="preserve">streamlining the prescribing process of </w:t>
      </w:r>
      <w:proofErr w:type="spellStart"/>
      <w:r w:rsidR="00884902" w:rsidRPr="00E67926">
        <w:rPr>
          <w:rFonts w:asciiTheme="minorHAnsi" w:hAnsiTheme="minorHAnsi" w:cs="Arial"/>
          <w:bCs/>
          <w:snapToGrid w:val="0"/>
        </w:rPr>
        <w:t>lenalidomide</w:t>
      </w:r>
      <w:proofErr w:type="spellEnd"/>
      <w:r w:rsidRPr="00E67926">
        <w:rPr>
          <w:rFonts w:asciiTheme="minorHAnsi" w:hAnsiTheme="minorHAnsi" w:cs="Arial"/>
          <w:bCs/>
          <w:snapToGrid w:val="0"/>
        </w:rPr>
        <w:t xml:space="preserve"> including </w:t>
      </w:r>
      <w:r w:rsidR="00884902" w:rsidRPr="00E67926">
        <w:rPr>
          <w:rFonts w:asciiTheme="minorHAnsi" w:hAnsiTheme="minorHAnsi" w:cs="Arial"/>
          <w:bCs/>
          <w:snapToGrid w:val="0"/>
        </w:rPr>
        <w:t xml:space="preserve">improved and </w:t>
      </w:r>
      <w:r w:rsidR="00E67926" w:rsidRPr="00E67926">
        <w:rPr>
          <w:rFonts w:asciiTheme="minorHAnsi" w:hAnsiTheme="minorHAnsi" w:cs="Arial"/>
          <w:bCs/>
          <w:snapToGrid w:val="0"/>
        </w:rPr>
        <w:t>expedited</w:t>
      </w:r>
      <w:r w:rsidR="00884902" w:rsidRPr="00E67926">
        <w:rPr>
          <w:rFonts w:asciiTheme="minorHAnsi" w:hAnsiTheme="minorHAnsi" w:cs="Arial"/>
          <w:bCs/>
          <w:snapToGrid w:val="0"/>
        </w:rPr>
        <w:t xml:space="preserve"> access</w:t>
      </w:r>
      <w:r w:rsidR="00E67926">
        <w:rPr>
          <w:rFonts w:asciiTheme="minorHAnsi" w:hAnsiTheme="minorHAnsi" w:cs="Arial"/>
          <w:bCs/>
          <w:snapToGrid w:val="0"/>
        </w:rPr>
        <w:t xml:space="preserve">. </w:t>
      </w:r>
    </w:p>
    <w:p w:rsidR="00A74C27" w:rsidRPr="00E67926" w:rsidRDefault="00A74C27" w:rsidP="00CC25CA">
      <w:pPr>
        <w:widowControl w:val="0"/>
        <w:numPr>
          <w:ilvl w:val="1"/>
          <w:numId w:val="5"/>
        </w:numPr>
        <w:spacing w:before="120" w:after="120"/>
        <w:jc w:val="both"/>
        <w:rPr>
          <w:rFonts w:asciiTheme="minorHAnsi" w:hAnsiTheme="minorHAnsi" w:cs="Arial"/>
          <w:bCs/>
          <w:snapToGrid w:val="0"/>
        </w:rPr>
      </w:pPr>
      <w:r w:rsidRPr="00E67926">
        <w:rPr>
          <w:rFonts w:asciiTheme="minorHAnsi" w:hAnsiTheme="minorHAnsi" w:cs="Arial"/>
          <w:bCs/>
          <w:snapToGrid w:val="0"/>
        </w:rPr>
        <w:t xml:space="preserve">The PBAC noted the advice received from </w:t>
      </w:r>
      <w:r w:rsidR="00884902" w:rsidRPr="00E67926">
        <w:rPr>
          <w:rFonts w:asciiTheme="minorHAnsi" w:hAnsiTheme="minorHAnsi" w:cs="Arial"/>
          <w:bCs/>
          <w:snapToGrid w:val="0"/>
        </w:rPr>
        <w:t xml:space="preserve">the Leukaemia Foundation, Myeloma Australia, and the Medical and Scientific Advisory Group (MSAG) of Myeloma Australia </w:t>
      </w:r>
      <w:r w:rsidRPr="00E67926">
        <w:rPr>
          <w:rFonts w:asciiTheme="minorHAnsi" w:hAnsiTheme="minorHAnsi" w:cs="Arial"/>
          <w:bCs/>
          <w:snapToGrid w:val="0"/>
        </w:rPr>
        <w:t xml:space="preserve">clarifying the likely </w:t>
      </w:r>
      <w:r w:rsidR="00884902" w:rsidRPr="00E67926">
        <w:rPr>
          <w:rFonts w:asciiTheme="minorHAnsi" w:hAnsiTheme="minorHAnsi" w:cs="Arial"/>
          <w:bCs/>
          <w:snapToGrid w:val="0"/>
        </w:rPr>
        <w:t xml:space="preserve">improved access to </w:t>
      </w:r>
      <w:proofErr w:type="spellStart"/>
      <w:r w:rsidR="00884902" w:rsidRPr="00E67926">
        <w:rPr>
          <w:rFonts w:asciiTheme="minorHAnsi" w:hAnsiTheme="minorHAnsi" w:cs="Arial"/>
          <w:bCs/>
          <w:snapToGrid w:val="0"/>
        </w:rPr>
        <w:t>lenalidomide</w:t>
      </w:r>
      <w:proofErr w:type="spellEnd"/>
      <w:r w:rsidRPr="00E67926">
        <w:rPr>
          <w:rFonts w:asciiTheme="minorHAnsi" w:hAnsiTheme="minorHAnsi" w:cs="Arial"/>
          <w:bCs/>
          <w:snapToGrid w:val="0"/>
        </w:rPr>
        <w:t xml:space="preserve"> in clinical practice. The PBAC specifically noted the advice that the </w:t>
      </w:r>
      <w:r w:rsidR="00884902" w:rsidRPr="00E67926">
        <w:rPr>
          <w:rFonts w:asciiTheme="minorHAnsi" w:hAnsiTheme="minorHAnsi" w:cs="Arial"/>
          <w:bCs/>
          <w:snapToGrid w:val="0"/>
        </w:rPr>
        <w:t xml:space="preserve">streamlining of </w:t>
      </w:r>
      <w:proofErr w:type="spellStart"/>
      <w:r w:rsidR="00884902" w:rsidRPr="00E67926">
        <w:rPr>
          <w:rFonts w:asciiTheme="minorHAnsi" w:hAnsiTheme="minorHAnsi" w:cs="Arial"/>
          <w:bCs/>
          <w:snapToGrid w:val="0"/>
        </w:rPr>
        <w:t>lenalidomide</w:t>
      </w:r>
      <w:proofErr w:type="spellEnd"/>
      <w:r w:rsidR="00884902" w:rsidRPr="00E67926">
        <w:rPr>
          <w:rFonts w:asciiTheme="minorHAnsi" w:hAnsiTheme="minorHAnsi" w:cs="Arial"/>
          <w:bCs/>
          <w:snapToGrid w:val="0"/>
        </w:rPr>
        <w:t xml:space="preserve"> prescribing would reduce prescriber burden and stress and improve patient access.</w:t>
      </w:r>
    </w:p>
    <w:p w:rsidR="00CB6D0A" w:rsidRPr="00E67926" w:rsidRDefault="00CB6D0A" w:rsidP="00CC25CA">
      <w:pPr>
        <w:pStyle w:val="Heading2"/>
        <w:spacing w:before="120" w:after="120"/>
        <w:rPr>
          <w:rFonts w:ascii="Calibri" w:hAnsi="Calibri" w:cs="Calibri"/>
          <w:snapToGrid w:val="0"/>
          <w:sz w:val="28"/>
          <w:szCs w:val="28"/>
        </w:rPr>
      </w:pPr>
      <w:r w:rsidRPr="00E67926">
        <w:rPr>
          <w:rFonts w:ascii="Calibri" w:hAnsi="Calibri" w:cs="Calibri"/>
          <w:snapToGrid w:val="0"/>
          <w:sz w:val="28"/>
          <w:szCs w:val="28"/>
        </w:rPr>
        <w:lastRenderedPageBreak/>
        <w:t>Proposal</w:t>
      </w:r>
    </w:p>
    <w:p w:rsidR="0024723C" w:rsidRPr="00E67926" w:rsidRDefault="0024723C" w:rsidP="00CC25CA">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 xml:space="preserve">The table below provides a summary of the current authority requirements for </w:t>
      </w:r>
      <w:proofErr w:type="spellStart"/>
      <w:r w:rsidRPr="00E67926">
        <w:rPr>
          <w:rFonts w:asciiTheme="minorHAnsi" w:eastAsiaTheme="minorHAnsi" w:hAnsiTheme="minorHAnsi" w:cstheme="minorBidi"/>
          <w:snapToGrid/>
          <w:sz w:val="24"/>
          <w:szCs w:val="22"/>
        </w:rPr>
        <w:t>bortezomib</w:t>
      </w:r>
      <w:proofErr w:type="spellEnd"/>
      <w:r w:rsidRPr="00E67926">
        <w:rPr>
          <w:rFonts w:asciiTheme="minorHAnsi" w:eastAsiaTheme="minorHAnsi" w:hAnsiTheme="minorHAnsi" w:cstheme="minorBidi"/>
          <w:snapToGrid/>
          <w:sz w:val="24"/>
          <w:szCs w:val="22"/>
        </w:rPr>
        <w:t xml:space="preserve">, </w:t>
      </w:r>
      <w:proofErr w:type="spellStart"/>
      <w:r w:rsidRPr="00E67926">
        <w:rPr>
          <w:rFonts w:asciiTheme="minorHAnsi" w:eastAsiaTheme="minorHAnsi" w:hAnsiTheme="minorHAnsi" w:cstheme="minorBidi"/>
          <w:snapToGrid/>
          <w:sz w:val="24"/>
          <w:szCs w:val="22"/>
        </w:rPr>
        <w:t>carfilzomib</w:t>
      </w:r>
      <w:proofErr w:type="spellEnd"/>
      <w:r w:rsidRPr="00E67926">
        <w:rPr>
          <w:rFonts w:asciiTheme="minorHAnsi" w:eastAsiaTheme="minorHAnsi" w:hAnsiTheme="minorHAnsi" w:cstheme="minorBidi"/>
          <w:snapToGrid/>
          <w:sz w:val="24"/>
          <w:szCs w:val="22"/>
        </w:rPr>
        <w:t xml:space="preserve"> and </w:t>
      </w:r>
      <w:proofErr w:type="spellStart"/>
      <w:r w:rsidRPr="00E67926">
        <w:rPr>
          <w:rFonts w:asciiTheme="minorHAnsi" w:eastAsiaTheme="minorHAnsi" w:hAnsiTheme="minorHAnsi" w:cstheme="minorBidi"/>
          <w:snapToGrid/>
          <w:sz w:val="24"/>
          <w:szCs w:val="22"/>
        </w:rPr>
        <w:t>lenalidomide</w:t>
      </w:r>
      <w:proofErr w:type="spellEnd"/>
      <w:r w:rsidR="00CF27E6" w:rsidRPr="00E67926">
        <w:rPr>
          <w:rFonts w:asciiTheme="minorHAnsi" w:eastAsiaTheme="minorHAnsi" w:hAnsiTheme="minorHAnsi" w:cstheme="minorBidi"/>
          <w:snapToGrid/>
          <w:sz w:val="24"/>
          <w:szCs w:val="22"/>
        </w:rPr>
        <w:t xml:space="preserve"> in the treatment of multiple myeloma</w:t>
      </w:r>
      <w:r w:rsidRPr="00E67926">
        <w:rPr>
          <w:rFonts w:asciiTheme="minorHAnsi" w:eastAsiaTheme="minorHAnsi" w:hAnsiTheme="minorHAnsi" w:cstheme="minorBidi"/>
          <w:snapToGrid/>
          <w:sz w:val="24"/>
          <w:szCs w:val="22"/>
        </w:rPr>
        <w:t>.</w:t>
      </w:r>
    </w:p>
    <w:p w:rsidR="00403E0C" w:rsidRPr="00E67926" w:rsidRDefault="00CB1F58" w:rsidP="00CB1F58">
      <w:pPr>
        <w:keepNext/>
        <w:spacing w:before="120"/>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Table 1</w:t>
      </w:r>
      <w:r w:rsidR="0024723C" w:rsidRPr="00E67926">
        <w:rPr>
          <w:rFonts w:ascii="Arial Narrow" w:eastAsiaTheme="minorHAnsi" w:hAnsi="Arial Narrow" w:cstheme="minorBidi"/>
          <w:b/>
          <w:sz w:val="20"/>
          <w:szCs w:val="20"/>
        </w:rPr>
        <w:t xml:space="preserve">: Current authority requirements for </w:t>
      </w:r>
      <w:proofErr w:type="spellStart"/>
      <w:r w:rsidR="0024723C" w:rsidRPr="00E67926">
        <w:rPr>
          <w:rFonts w:ascii="Arial Narrow" w:eastAsiaTheme="minorHAnsi" w:hAnsi="Arial Narrow" w:cstheme="minorBidi"/>
          <w:b/>
          <w:sz w:val="20"/>
          <w:szCs w:val="20"/>
        </w:rPr>
        <w:t>bortezomib</w:t>
      </w:r>
      <w:proofErr w:type="spellEnd"/>
      <w:r w:rsidR="0024723C" w:rsidRPr="00E67926">
        <w:rPr>
          <w:rFonts w:ascii="Arial Narrow" w:eastAsiaTheme="minorHAnsi" w:hAnsi="Arial Narrow" w:cstheme="minorBidi"/>
          <w:b/>
          <w:sz w:val="20"/>
          <w:szCs w:val="20"/>
        </w:rPr>
        <w:t xml:space="preserve">, </w:t>
      </w:r>
      <w:proofErr w:type="spellStart"/>
      <w:r w:rsidR="0024723C" w:rsidRPr="00E67926">
        <w:rPr>
          <w:rFonts w:ascii="Arial Narrow" w:eastAsiaTheme="minorHAnsi" w:hAnsi="Arial Narrow" w:cstheme="minorBidi"/>
          <w:b/>
          <w:sz w:val="20"/>
          <w:szCs w:val="20"/>
        </w:rPr>
        <w:t>carfilzomib</w:t>
      </w:r>
      <w:proofErr w:type="spellEnd"/>
      <w:r w:rsidR="0024723C" w:rsidRPr="00E67926">
        <w:rPr>
          <w:rFonts w:ascii="Arial Narrow" w:eastAsiaTheme="minorHAnsi" w:hAnsi="Arial Narrow" w:cstheme="minorBidi"/>
          <w:b/>
          <w:sz w:val="20"/>
          <w:szCs w:val="20"/>
        </w:rPr>
        <w:t xml:space="preserve"> and </w:t>
      </w:r>
      <w:proofErr w:type="spellStart"/>
      <w:r w:rsidR="0024723C" w:rsidRPr="00E67926">
        <w:rPr>
          <w:rFonts w:ascii="Arial Narrow" w:eastAsiaTheme="minorHAnsi" w:hAnsi="Arial Narrow" w:cstheme="minorBidi"/>
          <w:b/>
          <w:sz w:val="20"/>
          <w:szCs w:val="20"/>
        </w:rPr>
        <w:t>lenalidomide</w:t>
      </w:r>
      <w:proofErr w:type="spellEnd"/>
    </w:p>
    <w:tbl>
      <w:tblPr>
        <w:tblStyle w:val="Submissionstandard"/>
        <w:tblW w:w="0" w:type="auto"/>
        <w:tblLook w:val="04A0" w:firstRow="1" w:lastRow="0" w:firstColumn="1" w:lastColumn="0" w:noHBand="0" w:noVBand="1"/>
        <w:tblCaption w:val="Table 1: Current authority requirements for bortezomib, carfilzomib and lenalidomide"/>
      </w:tblPr>
      <w:tblGrid>
        <w:gridCol w:w="1555"/>
        <w:gridCol w:w="1842"/>
        <w:gridCol w:w="1843"/>
        <w:gridCol w:w="1843"/>
        <w:gridCol w:w="1933"/>
      </w:tblGrid>
      <w:tr w:rsidR="00403E0C" w:rsidRPr="0004619E" w:rsidTr="0004619E">
        <w:trPr>
          <w:cnfStyle w:val="100000000000" w:firstRow="1" w:lastRow="0" w:firstColumn="0" w:lastColumn="0" w:oddVBand="0" w:evenVBand="0" w:oddHBand="0" w:evenHBand="0" w:firstRowFirstColumn="0" w:firstRowLastColumn="0" w:lastRowFirstColumn="0" w:lastRowLastColumn="0"/>
          <w:tblHeader/>
        </w:trPr>
        <w:tc>
          <w:tcPr>
            <w:tcW w:w="1555" w:type="dxa"/>
            <w:vMerge w:val="restart"/>
            <w:shd w:val="clear" w:color="auto" w:fill="auto"/>
          </w:tcPr>
          <w:p w:rsidR="00403E0C" w:rsidRPr="0004619E" w:rsidRDefault="00403E0C" w:rsidP="00CB1F58">
            <w:pPr>
              <w:keepNext/>
              <w:rPr>
                <w:rFonts w:ascii="Arial Narrow" w:hAnsi="Arial Narrow"/>
                <w:sz w:val="20"/>
                <w:szCs w:val="20"/>
              </w:rPr>
            </w:pPr>
          </w:p>
        </w:tc>
        <w:tc>
          <w:tcPr>
            <w:tcW w:w="3685" w:type="dxa"/>
            <w:gridSpan w:val="2"/>
            <w:shd w:val="clear" w:color="auto" w:fill="auto"/>
          </w:tcPr>
          <w:p w:rsidR="00403E0C" w:rsidRPr="0004619E" w:rsidRDefault="00403E0C" w:rsidP="00CB1F58">
            <w:pPr>
              <w:keepNext/>
              <w:jc w:val="center"/>
              <w:rPr>
                <w:rFonts w:ascii="Arial Narrow" w:hAnsi="Arial Narrow"/>
                <w:sz w:val="20"/>
                <w:szCs w:val="20"/>
              </w:rPr>
            </w:pPr>
            <w:r w:rsidRPr="0004619E">
              <w:rPr>
                <w:rFonts w:ascii="Arial Narrow" w:hAnsi="Arial Narrow"/>
                <w:sz w:val="20"/>
                <w:szCs w:val="20"/>
              </w:rPr>
              <w:t>Newly diagnosed MM</w:t>
            </w:r>
          </w:p>
        </w:tc>
        <w:tc>
          <w:tcPr>
            <w:tcW w:w="3776" w:type="dxa"/>
            <w:gridSpan w:val="2"/>
            <w:shd w:val="clear" w:color="auto" w:fill="auto"/>
          </w:tcPr>
          <w:p w:rsidR="00403E0C" w:rsidRPr="0004619E" w:rsidRDefault="00403E0C" w:rsidP="00CB1F58">
            <w:pPr>
              <w:keepNext/>
              <w:jc w:val="center"/>
              <w:rPr>
                <w:rFonts w:ascii="Arial Narrow" w:hAnsi="Arial Narrow"/>
                <w:sz w:val="20"/>
                <w:szCs w:val="20"/>
              </w:rPr>
            </w:pPr>
            <w:r w:rsidRPr="0004619E">
              <w:rPr>
                <w:rFonts w:ascii="Arial Narrow" w:hAnsi="Arial Narrow"/>
                <w:sz w:val="20"/>
                <w:szCs w:val="20"/>
              </w:rPr>
              <w:t>Relapsed or refractory MM</w:t>
            </w:r>
          </w:p>
        </w:tc>
      </w:tr>
      <w:tr w:rsidR="00403E0C" w:rsidRPr="0004619E" w:rsidTr="0004619E">
        <w:trPr>
          <w:cnfStyle w:val="100000000000" w:firstRow="1" w:lastRow="0" w:firstColumn="0" w:lastColumn="0" w:oddVBand="0" w:evenVBand="0" w:oddHBand="0" w:evenHBand="0" w:firstRowFirstColumn="0" w:firstRowLastColumn="0" w:lastRowFirstColumn="0" w:lastRowLastColumn="0"/>
          <w:tblHeader/>
        </w:trPr>
        <w:tc>
          <w:tcPr>
            <w:tcW w:w="1555" w:type="dxa"/>
            <w:vMerge/>
            <w:shd w:val="clear" w:color="auto" w:fill="auto"/>
          </w:tcPr>
          <w:p w:rsidR="00403E0C" w:rsidRPr="0004619E" w:rsidRDefault="00403E0C" w:rsidP="00CB1F58">
            <w:pPr>
              <w:keepNext/>
              <w:rPr>
                <w:rFonts w:ascii="Arial Narrow" w:hAnsi="Arial Narrow"/>
                <w:b w:val="0"/>
                <w:sz w:val="20"/>
                <w:szCs w:val="20"/>
              </w:rPr>
            </w:pPr>
          </w:p>
        </w:tc>
        <w:tc>
          <w:tcPr>
            <w:tcW w:w="1842" w:type="dxa"/>
            <w:shd w:val="clear" w:color="auto" w:fill="auto"/>
          </w:tcPr>
          <w:p w:rsidR="00403E0C" w:rsidRPr="0004619E" w:rsidRDefault="00403E0C" w:rsidP="00CB1F58">
            <w:pPr>
              <w:keepNext/>
              <w:jc w:val="center"/>
              <w:rPr>
                <w:rFonts w:ascii="Arial Narrow" w:hAnsi="Arial Narrow"/>
                <w:b w:val="0"/>
                <w:sz w:val="20"/>
                <w:szCs w:val="20"/>
              </w:rPr>
            </w:pPr>
            <w:r w:rsidRPr="0004619E">
              <w:rPr>
                <w:rFonts w:ascii="Arial Narrow" w:hAnsi="Arial Narrow"/>
                <w:sz w:val="20"/>
                <w:szCs w:val="20"/>
              </w:rPr>
              <w:t>Initial</w:t>
            </w:r>
          </w:p>
        </w:tc>
        <w:tc>
          <w:tcPr>
            <w:tcW w:w="1843" w:type="dxa"/>
            <w:shd w:val="clear" w:color="auto" w:fill="auto"/>
          </w:tcPr>
          <w:p w:rsidR="00403E0C" w:rsidRPr="0004619E" w:rsidRDefault="00403E0C" w:rsidP="00CB1F58">
            <w:pPr>
              <w:keepNext/>
              <w:jc w:val="center"/>
              <w:rPr>
                <w:rFonts w:ascii="Arial Narrow" w:hAnsi="Arial Narrow"/>
                <w:b w:val="0"/>
                <w:sz w:val="20"/>
                <w:szCs w:val="20"/>
              </w:rPr>
            </w:pPr>
            <w:r w:rsidRPr="0004619E">
              <w:rPr>
                <w:rFonts w:ascii="Arial Narrow" w:hAnsi="Arial Narrow"/>
                <w:sz w:val="20"/>
                <w:szCs w:val="20"/>
              </w:rPr>
              <w:t>Continuing</w:t>
            </w:r>
          </w:p>
        </w:tc>
        <w:tc>
          <w:tcPr>
            <w:tcW w:w="1843" w:type="dxa"/>
            <w:shd w:val="clear" w:color="auto" w:fill="auto"/>
          </w:tcPr>
          <w:p w:rsidR="00403E0C" w:rsidRPr="0004619E" w:rsidRDefault="00403E0C" w:rsidP="00CB1F58">
            <w:pPr>
              <w:keepNext/>
              <w:jc w:val="center"/>
              <w:rPr>
                <w:rFonts w:ascii="Arial Narrow" w:hAnsi="Arial Narrow"/>
                <w:b w:val="0"/>
                <w:sz w:val="20"/>
                <w:szCs w:val="20"/>
              </w:rPr>
            </w:pPr>
            <w:r w:rsidRPr="0004619E">
              <w:rPr>
                <w:rFonts w:ascii="Arial Narrow" w:hAnsi="Arial Narrow"/>
                <w:sz w:val="20"/>
                <w:szCs w:val="20"/>
              </w:rPr>
              <w:t>Initial</w:t>
            </w:r>
          </w:p>
        </w:tc>
        <w:tc>
          <w:tcPr>
            <w:tcW w:w="1933" w:type="dxa"/>
            <w:shd w:val="clear" w:color="auto" w:fill="auto"/>
          </w:tcPr>
          <w:p w:rsidR="00403E0C" w:rsidRPr="0004619E" w:rsidRDefault="00403E0C" w:rsidP="00CB1F58">
            <w:pPr>
              <w:keepNext/>
              <w:jc w:val="center"/>
              <w:rPr>
                <w:rFonts w:ascii="Arial Narrow" w:hAnsi="Arial Narrow"/>
                <w:b w:val="0"/>
                <w:sz w:val="20"/>
                <w:szCs w:val="20"/>
              </w:rPr>
            </w:pPr>
            <w:r w:rsidRPr="0004619E">
              <w:rPr>
                <w:rFonts w:ascii="Arial Narrow" w:hAnsi="Arial Narrow"/>
                <w:sz w:val="20"/>
                <w:szCs w:val="20"/>
              </w:rPr>
              <w:t>Continuing</w:t>
            </w:r>
          </w:p>
        </w:tc>
      </w:tr>
      <w:tr w:rsidR="00403E0C" w:rsidRPr="0004619E" w:rsidTr="0004619E">
        <w:trPr>
          <w:cnfStyle w:val="100000000000" w:firstRow="1" w:lastRow="0" w:firstColumn="0" w:lastColumn="0" w:oddVBand="0" w:evenVBand="0" w:oddHBand="0" w:evenHBand="0" w:firstRowFirstColumn="0" w:firstRowLastColumn="0" w:lastRowFirstColumn="0" w:lastRowLastColumn="0"/>
          <w:tblHeader/>
        </w:trPr>
        <w:tc>
          <w:tcPr>
            <w:tcW w:w="1555" w:type="dxa"/>
            <w:shd w:val="clear" w:color="auto" w:fill="auto"/>
          </w:tcPr>
          <w:p w:rsidR="00403E0C" w:rsidRPr="0004619E" w:rsidRDefault="00403E0C" w:rsidP="00CB1F58">
            <w:pPr>
              <w:keepNext/>
              <w:rPr>
                <w:rFonts w:ascii="Arial Narrow" w:hAnsi="Arial Narrow"/>
                <w:sz w:val="20"/>
                <w:szCs w:val="20"/>
              </w:rPr>
            </w:pPr>
            <w:proofErr w:type="spellStart"/>
            <w:r w:rsidRPr="0004619E">
              <w:rPr>
                <w:rFonts w:ascii="Arial Narrow" w:hAnsi="Arial Narrow"/>
                <w:sz w:val="20"/>
                <w:szCs w:val="20"/>
              </w:rPr>
              <w:t>Bortezomib</w:t>
            </w:r>
            <w:proofErr w:type="spellEnd"/>
          </w:p>
        </w:tc>
        <w:tc>
          <w:tcPr>
            <w:tcW w:w="1842"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(STREAMLINED)</w:t>
            </w:r>
          </w:p>
        </w:tc>
        <w:tc>
          <w:tcPr>
            <w:tcW w:w="184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(STREAMLINED)</w:t>
            </w:r>
          </w:p>
        </w:tc>
        <w:tc>
          <w:tcPr>
            <w:tcW w:w="184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(STREAMLINED)</w:t>
            </w:r>
          </w:p>
        </w:tc>
        <w:tc>
          <w:tcPr>
            <w:tcW w:w="193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(STREAMLINED)</w:t>
            </w:r>
          </w:p>
        </w:tc>
      </w:tr>
      <w:tr w:rsidR="00403E0C" w:rsidRPr="0004619E" w:rsidTr="0004619E">
        <w:trPr>
          <w:cnfStyle w:val="100000000000" w:firstRow="1" w:lastRow="0" w:firstColumn="0" w:lastColumn="0" w:oddVBand="0" w:evenVBand="0" w:oddHBand="0" w:evenHBand="0" w:firstRowFirstColumn="0" w:firstRowLastColumn="0" w:lastRowFirstColumn="0" w:lastRowLastColumn="0"/>
          <w:tblHeader/>
        </w:trPr>
        <w:tc>
          <w:tcPr>
            <w:tcW w:w="1555" w:type="dxa"/>
            <w:shd w:val="clear" w:color="auto" w:fill="auto"/>
          </w:tcPr>
          <w:p w:rsidR="00403E0C" w:rsidRPr="0004619E" w:rsidRDefault="00403E0C" w:rsidP="00CB1F58">
            <w:pPr>
              <w:keepNext/>
              <w:rPr>
                <w:rFonts w:ascii="Arial Narrow" w:hAnsi="Arial Narrow"/>
                <w:sz w:val="20"/>
                <w:szCs w:val="20"/>
              </w:rPr>
            </w:pPr>
            <w:proofErr w:type="spellStart"/>
            <w:r w:rsidRPr="0004619E">
              <w:rPr>
                <w:rFonts w:ascii="Arial Narrow" w:hAnsi="Arial Narrow"/>
                <w:sz w:val="20"/>
                <w:szCs w:val="20"/>
              </w:rPr>
              <w:t>Carfilzomib</w:t>
            </w:r>
            <w:proofErr w:type="spellEnd"/>
          </w:p>
        </w:tc>
        <w:tc>
          <w:tcPr>
            <w:tcW w:w="1842"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w:t>
            </w:r>
          </w:p>
        </w:tc>
        <w:tc>
          <w:tcPr>
            <w:tcW w:w="184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w:t>
            </w:r>
          </w:p>
        </w:tc>
        <w:tc>
          <w:tcPr>
            <w:tcW w:w="184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(Telephone)</w:t>
            </w:r>
          </w:p>
        </w:tc>
        <w:tc>
          <w:tcPr>
            <w:tcW w:w="193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(Telephone)</w:t>
            </w:r>
          </w:p>
        </w:tc>
      </w:tr>
      <w:tr w:rsidR="00403E0C" w:rsidRPr="0004619E" w:rsidTr="0004619E">
        <w:trPr>
          <w:cnfStyle w:val="100000000000" w:firstRow="1" w:lastRow="0" w:firstColumn="0" w:lastColumn="0" w:oddVBand="0" w:evenVBand="0" w:oddHBand="0" w:evenHBand="0" w:firstRowFirstColumn="0" w:firstRowLastColumn="0" w:lastRowFirstColumn="0" w:lastRowLastColumn="0"/>
          <w:tblHeader/>
        </w:trPr>
        <w:tc>
          <w:tcPr>
            <w:tcW w:w="1555" w:type="dxa"/>
            <w:shd w:val="clear" w:color="auto" w:fill="auto"/>
          </w:tcPr>
          <w:p w:rsidR="00403E0C" w:rsidRPr="0004619E" w:rsidRDefault="00403E0C" w:rsidP="00CB1F58">
            <w:pPr>
              <w:keepNext/>
              <w:rPr>
                <w:rFonts w:ascii="Arial Narrow" w:hAnsi="Arial Narrow"/>
                <w:sz w:val="20"/>
                <w:szCs w:val="20"/>
              </w:rPr>
            </w:pPr>
            <w:proofErr w:type="spellStart"/>
            <w:r w:rsidRPr="0004619E">
              <w:rPr>
                <w:rFonts w:ascii="Arial Narrow" w:hAnsi="Arial Narrow"/>
                <w:sz w:val="20"/>
                <w:szCs w:val="20"/>
              </w:rPr>
              <w:t>Lenalidomide</w:t>
            </w:r>
            <w:proofErr w:type="spellEnd"/>
            <w:r w:rsidRPr="0004619E">
              <w:rPr>
                <w:rFonts w:ascii="Arial Narrow" w:hAnsi="Arial Narrow"/>
                <w:sz w:val="20"/>
                <w:szCs w:val="20"/>
              </w:rPr>
              <w:t xml:space="preserve"> - current</w:t>
            </w:r>
          </w:p>
        </w:tc>
        <w:tc>
          <w:tcPr>
            <w:tcW w:w="1842"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(Written)</w:t>
            </w:r>
          </w:p>
        </w:tc>
        <w:tc>
          <w:tcPr>
            <w:tcW w:w="184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w:t>
            </w:r>
            <w:r w:rsidR="005060A2" w:rsidRPr="0004619E">
              <w:rPr>
                <w:rFonts w:ascii="Arial Narrow" w:hAnsi="Arial Narrow"/>
                <w:sz w:val="20"/>
                <w:szCs w:val="20"/>
              </w:rPr>
              <w:t>T</w:t>
            </w:r>
            <w:r w:rsidR="008C49CF" w:rsidRPr="0004619E">
              <w:rPr>
                <w:rFonts w:ascii="Arial Narrow" w:hAnsi="Arial Narrow"/>
                <w:sz w:val="20"/>
                <w:szCs w:val="20"/>
              </w:rPr>
              <w:t>elephone</w:t>
            </w:r>
            <w:r w:rsidRPr="0004619E">
              <w:rPr>
                <w:rFonts w:ascii="Arial Narrow" w:hAnsi="Arial Narrow"/>
                <w:sz w:val="20"/>
                <w:szCs w:val="20"/>
              </w:rPr>
              <w:t>)</w:t>
            </w:r>
          </w:p>
          <w:p w:rsidR="00403E0C" w:rsidRPr="0004619E" w:rsidRDefault="00403E0C" w:rsidP="00CB1F58">
            <w:pPr>
              <w:keepNext/>
              <w:rPr>
                <w:rFonts w:ascii="Arial Narrow" w:hAnsi="Arial Narrow"/>
                <w:sz w:val="20"/>
                <w:szCs w:val="20"/>
              </w:rPr>
            </w:pPr>
          </w:p>
        </w:tc>
        <w:tc>
          <w:tcPr>
            <w:tcW w:w="184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(Written)</w:t>
            </w:r>
          </w:p>
        </w:tc>
        <w:tc>
          <w:tcPr>
            <w:tcW w:w="193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w:t>
            </w:r>
            <w:r w:rsidR="005060A2" w:rsidRPr="0004619E">
              <w:rPr>
                <w:rFonts w:ascii="Arial Narrow" w:hAnsi="Arial Narrow"/>
                <w:sz w:val="20"/>
                <w:szCs w:val="20"/>
              </w:rPr>
              <w:t>T</w:t>
            </w:r>
            <w:r w:rsidR="008C49CF" w:rsidRPr="0004619E">
              <w:rPr>
                <w:rFonts w:ascii="Arial Narrow" w:hAnsi="Arial Narrow"/>
                <w:sz w:val="20"/>
                <w:szCs w:val="20"/>
              </w:rPr>
              <w:t>elephone</w:t>
            </w:r>
            <w:r w:rsidRPr="0004619E">
              <w:rPr>
                <w:rFonts w:ascii="Arial Narrow" w:hAnsi="Arial Narrow"/>
                <w:sz w:val="20"/>
                <w:szCs w:val="20"/>
              </w:rPr>
              <w:t>)</w:t>
            </w:r>
          </w:p>
          <w:p w:rsidR="00403E0C" w:rsidRPr="0004619E" w:rsidRDefault="00403E0C" w:rsidP="00CB1F58">
            <w:pPr>
              <w:keepNext/>
              <w:rPr>
                <w:rFonts w:ascii="Arial Narrow" w:hAnsi="Arial Narrow"/>
                <w:sz w:val="20"/>
                <w:szCs w:val="20"/>
              </w:rPr>
            </w:pPr>
          </w:p>
        </w:tc>
      </w:tr>
      <w:tr w:rsidR="00403E0C" w:rsidRPr="0004619E" w:rsidTr="0004619E">
        <w:trPr>
          <w:cnfStyle w:val="100000000000" w:firstRow="1" w:lastRow="0" w:firstColumn="0" w:lastColumn="0" w:oddVBand="0" w:evenVBand="0" w:oddHBand="0" w:evenHBand="0" w:firstRowFirstColumn="0" w:firstRowLastColumn="0" w:lastRowFirstColumn="0" w:lastRowLastColumn="0"/>
          <w:tblHeader/>
        </w:trPr>
        <w:tc>
          <w:tcPr>
            <w:tcW w:w="1555" w:type="dxa"/>
            <w:shd w:val="clear" w:color="auto" w:fill="auto"/>
          </w:tcPr>
          <w:p w:rsidR="00403E0C" w:rsidRPr="0004619E" w:rsidRDefault="00403E0C" w:rsidP="00CB1F58">
            <w:pPr>
              <w:keepNext/>
              <w:rPr>
                <w:rFonts w:ascii="Arial Narrow" w:hAnsi="Arial Narrow"/>
                <w:sz w:val="20"/>
                <w:szCs w:val="20"/>
              </w:rPr>
            </w:pPr>
            <w:proofErr w:type="spellStart"/>
            <w:r w:rsidRPr="0004619E">
              <w:rPr>
                <w:rFonts w:ascii="Arial Narrow" w:hAnsi="Arial Narrow"/>
                <w:sz w:val="20"/>
                <w:szCs w:val="20"/>
              </w:rPr>
              <w:t>Lenalidomide</w:t>
            </w:r>
            <w:proofErr w:type="spellEnd"/>
            <w:r w:rsidRPr="0004619E">
              <w:rPr>
                <w:rFonts w:ascii="Arial Narrow" w:hAnsi="Arial Narrow"/>
                <w:sz w:val="20"/>
                <w:szCs w:val="20"/>
              </w:rPr>
              <w:t xml:space="preserve"> - proposed</w:t>
            </w:r>
          </w:p>
        </w:tc>
        <w:tc>
          <w:tcPr>
            <w:tcW w:w="1842"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(STREAMLINED)</w:t>
            </w:r>
          </w:p>
        </w:tc>
        <w:tc>
          <w:tcPr>
            <w:tcW w:w="184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(STREAMLINED)</w:t>
            </w:r>
          </w:p>
        </w:tc>
        <w:tc>
          <w:tcPr>
            <w:tcW w:w="184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(STREAMLINED)</w:t>
            </w:r>
          </w:p>
        </w:tc>
        <w:tc>
          <w:tcPr>
            <w:tcW w:w="1933" w:type="dxa"/>
            <w:shd w:val="clear" w:color="auto" w:fill="auto"/>
          </w:tcPr>
          <w:p w:rsidR="00403E0C" w:rsidRPr="0004619E" w:rsidRDefault="00403E0C" w:rsidP="00CB1F58">
            <w:pPr>
              <w:keepNext/>
              <w:rPr>
                <w:rFonts w:ascii="Arial Narrow" w:hAnsi="Arial Narrow"/>
                <w:sz w:val="20"/>
                <w:szCs w:val="20"/>
              </w:rPr>
            </w:pPr>
            <w:r w:rsidRPr="0004619E">
              <w:rPr>
                <w:rFonts w:ascii="Arial Narrow" w:hAnsi="Arial Narrow"/>
                <w:sz w:val="20"/>
                <w:szCs w:val="20"/>
              </w:rPr>
              <w:t>Authority Required  (STREAMLINED)</w:t>
            </w:r>
          </w:p>
        </w:tc>
      </w:tr>
    </w:tbl>
    <w:p w:rsidR="0024723C" w:rsidRPr="00E67926" w:rsidRDefault="0024723C" w:rsidP="0024723C">
      <w:pPr>
        <w:rPr>
          <w:rFonts w:ascii="Arial Narrow" w:eastAsiaTheme="minorHAnsi" w:hAnsi="Arial Narrow" w:cstheme="minorBidi"/>
          <w:sz w:val="18"/>
          <w:szCs w:val="18"/>
        </w:rPr>
      </w:pPr>
      <w:r w:rsidRPr="00E67926">
        <w:rPr>
          <w:rFonts w:ascii="Arial Narrow" w:eastAsiaTheme="minorHAnsi" w:hAnsi="Arial Narrow" w:cstheme="minorBidi"/>
          <w:sz w:val="18"/>
          <w:szCs w:val="18"/>
        </w:rPr>
        <w:t>MM = multiple myeloma</w:t>
      </w:r>
    </w:p>
    <w:p w:rsidR="00D95BDD" w:rsidRPr="00E67926" w:rsidRDefault="0024723C" w:rsidP="00D95BDD">
      <w:pPr>
        <w:rPr>
          <w:rFonts w:ascii="Arial Narrow" w:eastAsiaTheme="minorHAnsi" w:hAnsi="Arial Narrow" w:cstheme="minorBidi"/>
          <w:sz w:val="18"/>
          <w:szCs w:val="18"/>
        </w:rPr>
      </w:pPr>
      <w:r w:rsidRPr="00E67926">
        <w:rPr>
          <w:rFonts w:ascii="Arial Narrow" w:eastAsiaTheme="minorHAnsi" w:hAnsi="Arial Narrow" w:cstheme="minorBidi"/>
          <w:sz w:val="18"/>
          <w:szCs w:val="18"/>
        </w:rPr>
        <w:t>Source: Table 2, p10 of the submission</w:t>
      </w:r>
    </w:p>
    <w:p w:rsidR="00627CF6" w:rsidRPr="00E67926" w:rsidRDefault="000F3B50" w:rsidP="00377007">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 xml:space="preserve">No changes to the treatment criteria </w:t>
      </w:r>
      <w:r w:rsidR="0024723C" w:rsidRPr="00E67926">
        <w:rPr>
          <w:rFonts w:asciiTheme="minorHAnsi" w:eastAsiaTheme="minorHAnsi" w:hAnsiTheme="minorHAnsi" w:cstheme="minorBidi"/>
          <w:snapToGrid/>
          <w:sz w:val="24"/>
          <w:szCs w:val="22"/>
        </w:rPr>
        <w:t>wer</w:t>
      </w:r>
      <w:r w:rsidRPr="00E67926">
        <w:rPr>
          <w:rFonts w:asciiTheme="minorHAnsi" w:eastAsiaTheme="minorHAnsi" w:hAnsiTheme="minorHAnsi" w:cstheme="minorBidi"/>
          <w:snapToGrid/>
          <w:sz w:val="24"/>
          <w:szCs w:val="22"/>
        </w:rPr>
        <w:t xml:space="preserve">e proposed. The minor submission </w:t>
      </w:r>
      <w:r w:rsidR="00D95BDD" w:rsidRPr="00E67926">
        <w:rPr>
          <w:rFonts w:asciiTheme="minorHAnsi" w:eastAsiaTheme="minorHAnsi" w:hAnsiTheme="minorHAnsi" w:cstheme="minorBidi"/>
          <w:snapToGrid/>
          <w:sz w:val="24"/>
          <w:szCs w:val="22"/>
        </w:rPr>
        <w:t xml:space="preserve">solely </w:t>
      </w:r>
      <w:r w:rsidRPr="00E67926">
        <w:rPr>
          <w:rFonts w:asciiTheme="minorHAnsi" w:eastAsiaTheme="minorHAnsi" w:hAnsiTheme="minorHAnsi" w:cstheme="minorBidi"/>
          <w:snapToGrid/>
          <w:sz w:val="24"/>
          <w:szCs w:val="22"/>
        </w:rPr>
        <w:t>request</w:t>
      </w:r>
      <w:r w:rsidR="0024723C" w:rsidRPr="00E67926">
        <w:rPr>
          <w:rFonts w:asciiTheme="minorHAnsi" w:eastAsiaTheme="minorHAnsi" w:hAnsiTheme="minorHAnsi" w:cstheme="minorBidi"/>
          <w:snapToGrid/>
          <w:sz w:val="24"/>
          <w:szCs w:val="22"/>
        </w:rPr>
        <w:t>ed</w:t>
      </w:r>
      <w:r w:rsidRPr="00E67926">
        <w:rPr>
          <w:rFonts w:asciiTheme="minorHAnsi" w:eastAsiaTheme="minorHAnsi" w:hAnsiTheme="minorHAnsi" w:cstheme="minorBidi"/>
          <w:snapToGrid/>
          <w:sz w:val="24"/>
          <w:szCs w:val="22"/>
        </w:rPr>
        <w:t xml:space="preserve"> that the authority levels of the PBS listings for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for multiple myeloma </w:t>
      </w:r>
      <w:r w:rsidR="00EA12C8" w:rsidRPr="00E67926">
        <w:rPr>
          <w:rFonts w:asciiTheme="minorHAnsi" w:eastAsiaTheme="minorHAnsi" w:hAnsiTheme="minorHAnsi" w:cstheme="minorBidi"/>
          <w:snapToGrid/>
          <w:sz w:val="24"/>
          <w:szCs w:val="22"/>
        </w:rPr>
        <w:t xml:space="preserve">be </w:t>
      </w:r>
      <w:r w:rsidRPr="00E67926">
        <w:rPr>
          <w:rFonts w:asciiTheme="minorHAnsi" w:eastAsiaTheme="minorHAnsi" w:hAnsiTheme="minorHAnsi" w:cstheme="minorBidi"/>
          <w:snapToGrid/>
          <w:sz w:val="24"/>
          <w:szCs w:val="22"/>
        </w:rPr>
        <w:t>amended from written</w:t>
      </w:r>
      <w:r w:rsidR="00627CF6" w:rsidRPr="00E67926">
        <w:rPr>
          <w:rFonts w:asciiTheme="minorHAnsi" w:eastAsiaTheme="minorHAnsi" w:hAnsiTheme="minorHAnsi" w:cstheme="minorBidi"/>
          <w:snapToGrid/>
          <w:sz w:val="24"/>
          <w:szCs w:val="22"/>
        </w:rPr>
        <w:t xml:space="preserve"> </w:t>
      </w:r>
      <w:r w:rsidR="001F658F" w:rsidRPr="00E67926">
        <w:rPr>
          <w:rFonts w:asciiTheme="minorHAnsi" w:eastAsiaTheme="minorHAnsi" w:hAnsiTheme="minorHAnsi" w:cstheme="minorBidi"/>
          <w:snapToGrid/>
          <w:sz w:val="24"/>
          <w:szCs w:val="22"/>
        </w:rPr>
        <w:t xml:space="preserve">(for initial and continuing) </w:t>
      </w:r>
      <w:r w:rsidR="00627CF6" w:rsidRPr="00E67926">
        <w:rPr>
          <w:rFonts w:asciiTheme="minorHAnsi" w:eastAsiaTheme="minorHAnsi" w:hAnsiTheme="minorHAnsi" w:cstheme="minorBidi"/>
          <w:snapToGrid/>
          <w:sz w:val="24"/>
          <w:szCs w:val="22"/>
        </w:rPr>
        <w:t xml:space="preserve">or telephone </w:t>
      </w:r>
      <w:r w:rsidR="001F658F" w:rsidRPr="00E67926">
        <w:rPr>
          <w:rFonts w:asciiTheme="minorHAnsi" w:eastAsiaTheme="minorHAnsi" w:hAnsiTheme="minorHAnsi" w:cstheme="minorBidi"/>
          <w:snapToGrid/>
          <w:sz w:val="24"/>
          <w:szCs w:val="22"/>
        </w:rPr>
        <w:t xml:space="preserve">(for continuing) </w:t>
      </w:r>
      <w:r w:rsidR="00627CF6" w:rsidRPr="00E67926">
        <w:rPr>
          <w:rFonts w:asciiTheme="minorHAnsi" w:eastAsiaTheme="minorHAnsi" w:hAnsiTheme="minorHAnsi" w:cstheme="minorBidi"/>
          <w:snapToGrid/>
          <w:sz w:val="24"/>
          <w:szCs w:val="22"/>
        </w:rPr>
        <w:t>to Authority Required (STREAMLINED).</w:t>
      </w:r>
    </w:p>
    <w:p w:rsidR="00D95BDD" w:rsidRPr="00E67926" w:rsidRDefault="0024723C" w:rsidP="00377007">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The submission stated that the Authority Required (Written) process resulted in administrative burden and delays in treatment</w:t>
      </w:r>
      <w:r w:rsidR="001F658F" w:rsidRPr="00E67926">
        <w:rPr>
          <w:rFonts w:asciiTheme="minorHAnsi" w:eastAsiaTheme="minorHAnsi" w:hAnsiTheme="minorHAnsi" w:cstheme="minorBidi"/>
          <w:snapToGrid/>
          <w:sz w:val="24"/>
          <w:szCs w:val="22"/>
        </w:rPr>
        <w:t xml:space="preserve">, creating a significant level of differentiation from </w:t>
      </w:r>
      <w:proofErr w:type="spellStart"/>
      <w:r w:rsidR="001F658F" w:rsidRPr="00E67926">
        <w:rPr>
          <w:rFonts w:asciiTheme="minorHAnsi" w:eastAsiaTheme="minorHAnsi" w:hAnsiTheme="minorHAnsi" w:cstheme="minorBidi"/>
          <w:snapToGrid/>
          <w:sz w:val="24"/>
          <w:szCs w:val="22"/>
        </w:rPr>
        <w:t>bortezomib</w:t>
      </w:r>
      <w:proofErr w:type="spellEnd"/>
      <w:r w:rsidR="001F658F" w:rsidRPr="00E67926">
        <w:rPr>
          <w:rFonts w:asciiTheme="minorHAnsi" w:eastAsiaTheme="minorHAnsi" w:hAnsiTheme="minorHAnsi" w:cstheme="minorBidi"/>
          <w:snapToGrid/>
          <w:sz w:val="24"/>
          <w:szCs w:val="22"/>
        </w:rPr>
        <w:t>, an otherwise comparable treatment.</w:t>
      </w:r>
    </w:p>
    <w:p w:rsidR="005A3173" w:rsidRPr="00E67926" w:rsidRDefault="005A3173" w:rsidP="00377007">
      <w:pPr>
        <w:pStyle w:val="Heading2"/>
        <w:keepLines/>
        <w:spacing w:before="120" w:after="120"/>
        <w:rPr>
          <w:rFonts w:asciiTheme="minorHAnsi" w:eastAsiaTheme="majorEastAsia" w:hAnsiTheme="minorHAnsi" w:cstheme="majorBidi"/>
          <w:sz w:val="28"/>
          <w:szCs w:val="28"/>
          <w:lang w:eastAsia="en-US"/>
        </w:rPr>
      </w:pPr>
      <w:r w:rsidRPr="00E67926">
        <w:rPr>
          <w:rFonts w:asciiTheme="minorHAnsi" w:eastAsiaTheme="majorEastAsia" w:hAnsiTheme="minorHAnsi" w:cstheme="majorBidi"/>
          <w:sz w:val="28"/>
          <w:szCs w:val="28"/>
          <w:lang w:eastAsia="en-US"/>
        </w:rPr>
        <w:t>Estimated PBS usage &amp; financial implications</w:t>
      </w:r>
    </w:p>
    <w:p w:rsidR="00CF27E6" w:rsidRPr="00E67926" w:rsidRDefault="00CF27E6" w:rsidP="00377007">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E67926">
        <w:rPr>
          <w:rFonts w:asciiTheme="minorHAnsi" w:eastAsiaTheme="minorHAnsi" w:hAnsiTheme="minorHAnsi" w:cstheme="minorBidi"/>
          <w:snapToGrid/>
          <w:sz w:val="24"/>
          <w:szCs w:val="22"/>
        </w:rPr>
        <w:t xml:space="preserve">The </w:t>
      </w:r>
      <w:r w:rsidR="00A86F64" w:rsidRPr="00E67926">
        <w:rPr>
          <w:rFonts w:asciiTheme="minorHAnsi" w:eastAsiaTheme="minorHAnsi" w:hAnsiTheme="minorHAnsi" w:cstheme="minorBidi"/>
          <w:snapToGrid/>
          <w:sz w:val="24"/>
          <w:szCs w:val="22"/>
        </w:rPr>
        <w:t>sponsor recognised that the proposed change to Authority Required (STREAMLINED) may result in some usage beyond the intended PBS population.</w:t>
      </w:r>
    </w:p>
    <w:p w:rsidR="00A86F64" w:rsidRPr="00E67926" w:rsidRDefault="00CF27E6" w:rsidP="00377007">
      <w:pPr>
        <w:pStyle w:val="ListParagraph"/>
        <w:widowControl/>
        <w:numPr>
          <w:ilvl w:val="1"/>
          <w:numId w:val="14"/>
        </w:numPr>
        <w:spacing w:before="120" w:after="120"/>
        <w:contextualSpacing w:val="0"/>
        <w:rPr>
          <w:rFonts w:asciiTheme="minorHAnsi" w:eastAsiaTheme="minorHAnsi" w:hAnsiTheme="minorHAnsi" w:cstheme="minorBidi"/>
          <w:snapToGrid/>
          <w:color w:val="FF00FF"/>
          <w:sz w:val="24"/>
          <w:szCs w:val="22"/>
        </w:rPr>
      </w:pPr>
      <w:r w:rsidRPr="00E67926">
        <w:rPr>
          <w:rFonts w:asciiTheme="minorHAnsi" w:eastAsiaTheme="minorHAnsi" w:hAnsiTheme="minorHAnsi" w:cstheme="minorBidi"/>
          <w:snapToGrid/>
          <w:sz w:val="24"/>
          <w:szCs w:val="22"/>
        </w:rPr>
        <w:t xml:space="preserve">To </w:t>
      </w:r>
      <w:r w:rsidR="00A86F64" w:rsidRPr="00E67926">
        <w:rPr>
          <w:rFonts w:asciiTheme="minorHAnsi" w:eastAsiaTheme="minorHAnsi" w:hAnsiTheme="minorHAnsi" w:cstheme="minorBidi"/>
          <w:snapToGrid/>
          <w:sz w:val="24"/>
          <w:szCs w:val="22"/>
        </w:rPr>
        <w:t xml:space="preserve">mitigate the risk, </w:t>
      </w:r>
      <w:r w:rsidRPr="00E67926">
        <w:rPr>
          <w:rFonts w:asciiTheme="minorHAnsi" w:eastAsiaTheme="minorHAnsi" w:hAnsiTheme="minorHAnsi" w:cstheme="minorBidi"/>
          <w:snapToGrid/>
          <w:sz w:val="24"/>
          <w:szCs w:val="22"/>
        </w:rPr>
        <w:t xml:space="preserve">the sponsor offered a </w:t>
      </w:r>
      <w:r w:rsidR="00DA05D0">
        <w:rPr>
          <w:rFonts w:asciiTheme="minorHAnsi" w:eastAsiaTheme="minorHAnsi" w:hAnsiTheme="minorHAnsi" w:cstheme="minorBidi"/>
          <w:noProof/>
          <w:snapToGrid/>
          <w:color w:val="000000"/>
          <w:sz w:val="24"/>
          <w:szCs w:val="22"/>
          <w:highlight w:val="black"/>
        </w:rPr>
        <w:t>'''</w:t>
      </w:r>
      <w:r w:rsidRPr="00E67926">
        <w:rPr>
          <w:rFonts w:asciiTheme="minorHAnsi" w:eastAsiaTheme="minorHAnsi" w:hAnsiTheme="minorHAnsi" w:cstheme="minorBidi"/>
          <w:snapToGrid/>
          <w:sz w:val="24"/>
          <w:szCs w:val="22"/>
        </w:rPr>
        <w:t xml:space="preserve">% discount on the </w:t>
      </w:r>
      <w:r w:rsidR="005103C5" w:rsidRPr="00E67926">
        <w:rPr>
          <w:rFonts w:asciiTheme="minorHAnsi" w:eastAsiaTheme="minorHAnsi" w:hAnsiTheme="minorHAnsi" w:cstheme="minorBidi"/>
          <w:snapToGrid/>
          <w:sz w:val="24"/>
          <w:szCs w:val="22"/>
        </w:rPr>
        <w:t xml:space="preserve">expected </w:t>
      </w:r>
      <w:r w:rsidRPr="00E67926">
        <w:rPr>
          <w:rFonts w:asciiTheme="minorHAnsi" w:eastAsiaTheme="minorHAnsi" w:hAnsiTheme="minorHAnsi" w:cstheme="minorBidi"/>
          <w:snapToGrid/>
          <w:sz w:val="24"/>
          <w:szCs w:val="22"/>
        </w:rPr>
        <w:t xml:space="preserve">total expenditure of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in </w:t>
      </w:r>
      <w:r w:rsidR="00DE0301" w:rsidRPr="00E67926">
        <w:rPr>
          <w:rFonts w:asciiTheme="minorHAnsi" w:eastAsiaTheme="minorHAnsi" w:hAnsiTheme="minorHAnsi" w:cstheme="minorBidi"/>
          <w:snapToGrid/>
          <w:sz w:val="24"/>
          <w:szCs w:val="22"/>
        </w:rPr>
        <w:t>ND MM</w:t>
      </w:r>
      <w:r w:rsidRPr="00E67926">
        <w:rPr>
          <w:rFonts w:asciiTheme="minorHAnsi" w:eastAsiaTheme="minorHAnsi" w:hAnsiTheme="minorHAnsi" w:cstheme="minorBidi"/>
          <w:snapToGrid/>
          <w:sz w:val="24"/>
          <w:szCs w:val="22"/>
        </w:rPr>
        <w:t xml:space="preserve"> patients who are ineligible for st</w:t>
      </w:r>
      <w:r w:rsidR="00E60C41" w:rsidRPr="00E67926">
        <w:rPr>
          <w:rFonts w:asciiTheme="minorHAnsi" w:eastAsiaTheme="minorHAnsi" w:hAnsiTheme="minorHAnsi" w:cstheme="minorBidi"/>
          <w:snapToGrid/>
          <w:sz w:val="24"/>
          <w:szCs w:val="22"/>
        </w:rPr>
        <w:t>em cell transplant. This equated</w:t>
      </w:r>
      <w:r w:rsidRPr="00E67926">
        <w:rPr>
          <w:rFonts w:asciiTheme="minorHAnsi" w:eastAsiaTheme="minorHAnsi" w:hAnsiTheme="minorHAnsi" w:cstheme="minorBidi"/>
          <w:snapToGrid/>
          <w:sz w:val="24"/>
          <w:szCs w:val="22"/>
        </w:rPr>
        <w:t xml:space="preserve"> to a </w:t>
      </w:r>
      <w:r w:rsidR="00DA05D0">
        <w:rPr>
          <w:rFonts w:asciiTheme="minorHAnsi" w:eastAsiaTheme="minorHAnsi" w:hAnsiTheme="minorHAnsi" w:cstheme="minorBidi"/>
          <w:noProof/>
          <w:snapToGrid/>
          <w:color w:val="000000"/>
          <w:sz w:val="24"/>
          <w:szCs w:val="22"/>
          <w:highlight w:val="black"/>
        </w:rPr>
        <w:t>''''''</w:t>
      </w:r>
      <w:r w:rsidRPr="00E67926">
        <w:rPr>
          <w:rFonts w:asciiTheme="minorHAnsi" w:eastAsiaTheme="minorHAnsi" w:hAnsiTheme="minorHAnsi" w:cstheme="minorBidi"/>
          <w:snapToGrid/>
          <w:sz w:val="24"/>
          <w:szCs w:val="22"/>
        </w:rPr>
        <w:t xml:space="preserve">% discount on the estimated total expenditure for </w:t>
      </w:r>
      <w:proofErr w:type="spellStart"/>
      <w:r w:rsidRPr="00E67926">
        <w:rPr>
          <w:rFonts w:asciiTheme="minorHAnsi" w:eastAsiaTheme="minorHAnsi" w:hAnsiTheme="minorHAnsi" w:cstheme="minorBidi"/>
          <w:snapToGrid/>
          <w:sz w:val="24"/>
          <w:szCs w:val="22"/>
        </w:rPr>
        <w:t>lenalidom</w:t>
      </w:r>
      <w:r w:rsidR="00106444" w:rsidRPr="00E67926">
        <w:rPr>
          <w:rFonts w:asciiTheme="minorHAnsi" w:eastAsiaTheme="minorHAnsi" w:hAnsiTheme="minorHAnsi" w:cstheme="minorBidi"/>
          <w:snapToGrid/>
          <w:sz w:val="24"/>
          <w:szCs w:val="22"/>
        </w:rPr>
        <w:t>ide</w:t>
      </w:r>
      <w:proofErr w:type="spellEnd"/>
      <w:r w:rsidR="00106444" w:rsidRPr="00E67926">
        <w:rPr>
          <w:rFonts w:asciiTheme="minorHAnsi" w:eastAsiaTheme="minorHAnsi" w:hAnsiTheme="minorHAnsi" w:cstheme="minorBidi"/>
          <w:snapToGrid/>
          <w:sz w:val="24"/>
          <w:szCs w:val="22"/>
        </w:rPr>
        <w:t xml:space="preserve"> in 2019, increasing to a </w:t>
      </w:r>
      <w:r w:rsidR="00DA05D0">
        <w:rPr>
          <w:rFonts w:asciiTheme="minorHAnsi" w:eastAsiaTheme="minorHAnsi" w:hAnsiTheme="minorHAnsi" w:cstheme="minorBidi"/>
          <w:noProof/>
          <w:snapToGrid/>
          <w:color w:val="000000"/>
          <w:sz w:val="24"/>
          <w:szCs w:val="22"/>
          <w:highlight w:val="black"/>
        </w:rPr>
        <w:t>'''''''</w:t>
      </w:r>
      <w:r w:rsidRPr="00E67926">
        <w:rPr>
          <w:rFonts w:asciiTheme="minorHAnsi" w:eastAsiaTheme="minorHAnsi" w:hAnsiTheme="minorHAnsi" w:cstheme="minorBidi"/>
          <w:snapToGrid/>
          <w:sz w:val="24"/>
          <w:szCs w:val="22"/>
        </w:rPr>
        <w:t xml:space="preserve">% discount in 2022, </w:t>
      </w:r>
      <w:r w:rsidR="00E67926" w:rsidRPr="00E67926">
        <w:rPr>
          <w:rFonts w:asciiTheme="minorHAnsi" w:eastAsiaTheme="minorHAnsi" w:hAnsiTheme="minorHAnsi" w:cstheme="minorBidi"/>
          <w:snapToGrid/>
          <w:sz w:val="24"/>
          <w:szCs w:val="22"/>
        </w:rPr>
        <w:t>because</w:t>
      </w:r>
      <w:r w:rsidRPr="00E67926">
        <w:rPr>
          <w:rFonts w:asciiTheme="minorHAnsi" w:eastAsiaTheme="minorHAnsi" w:hAnsiTheme="minorHAnsi" w:cstheme="minorBidi"/>
          <w:snapToGrid/>
          <w:sz w:val="24"/>
          <w:szCs w:val="22"/>
        </w:rPr>
        <w:t xml:space="preserve"> of the expected shift in market dynamics from relapsed to front-line utilisation. </w:t>
      </w:r>
    </w:p>
    <w:p w:rsidR="00563DB8" w:rsidRPr="00E67926" w:rsidRDefault="005060A2" w:rsidP="00377007">
      <w:pPr>
        <w:pStyle w:val="ListParagraph"/>
        <w:widowControl/>
        <w:numPr>
          <w:ilvl w:val="1"/>
          <w:numId w:val="14"/>
        </w:numPr>
        <w:spacing w:before="120" w:after="120"/>
        <w:contextualSpacing w:val="0"/>
        <w:rPr>
          <w:rFonts w:asciiTheme="minorHAnsi" w:eastAsiaTheme="minorHAnsi" w:hAnsiTheme="minorHAnsi" w:cstheme="minorBidi"/>
          <w:snapToGrid/>
          <w:color w:val="FF00FF"/>
          <w:sz w:val="24"/>
          <w:szCs w:val="22"/>
        </w:rPr>
      </w:pPr>
      <w:r w:rsidRPr="00E67926">
        <w:rPr>
          <w:rFonts w:asciiTheme="minorHAnsi" w:eastAsiaTheme="minorHAnsi" w:hAnsiTheme="minorHAnsi" w:cstheme="minorBidi"/>
          <w:snapToGrid/>
          <w:sz w:val="24"/>
          <w:szCs w:val="22"/>
        </w:rPr>
        <w:t>W</w:t>
      </w:r>
      <w:r w:rsidR="00563DB8" w:rsidRPr="00E67926">
        <w:rPr>
          <w:rFonts w:asciiTheme="minorHAnsi" w:eastAsiaTheme="minorHAnsi" w:hAnsiTheme="minorHAnsi" w:cstheme="minorBidi"/>
          <w:snapToGrid/>
          <w:sz w:val="24"/>
          <w:szCs w:val="22"/>
        </w:rPr>
        <w:t xml:space="preserve">hen compared with the actual utilisation of </w:t>
      </w:r>
      <w:proofErr w:type="spellStart"/>
      <w:r w:rsidR="00563DB8" w:rsidRPr="00E67926">
        <w:rPr>
          <w:rFonts w:asciiTheme="minorHAnsi" w:eastAsiaTheme="minorHAnsi" w:hAnsiTheme="minorHAnsi" w:cstheme="minorBidi"/>
          <w:snapToGrid/>
          <w:sz w:val="24"/>
          <w:szCs w:val="22"/>
        </w:rPr>
        <w:t>lenalidomide</w:t>
      </w:r>
      <w:proofErr w:type="spellEnd"/>
      <w:r w:rsidR="00563DB8" w:rsidRPr="00E67926">
        <w:rPr>
          <w:rFonts w:asciiTheme="minorHAnsi" w:eastAsiaTheme="minorHAnsi" w:hAnsiTheme="minorHAnsi" w:cstheme="minorBidi"/>
          <w:snapToGrid/>
          <w:sz w:val="24"/>
          <w:szCs w:val="22"/>
        </w:rPr>
        <w:t xml:space="preserve"> in ND MM patients in 2017-2018 (see Table 4), the total expenditure estimates provided </w:t>
      </w:r>
      <w:r w:rsidR="00EA12C8" w:rsidRPr="00E67926">
        <w:rPr>
          <w:rFonts w:asciiTheme="minorHAnsi" w:eastAsiaTheme="minorHAnsi" w:hAnsiTheme="minorHAnsi" w:cstheme="minorBidi"/>
          <w:snapToGrid/>
          <w:sz w:val="24"/>
          <w:szCs w:val="22"/>
        </w:rPr>
        <w:t xml:space="preserve">in the submission </w:t>
      </w:r>
      <w:r w:rsidR="00563DB8" w:rsidRPr="00E67926">
        <w:rPr>
          <w:rFonts w:asciiTheme="minorHAnsi" w:eastAsiaTheme="minorHAnsi" w:hAnsiTheme="minorHAnsi" w:cstheme="minorBidi"/>
          <w:snapToGrid/>
          <w:sz w:val="24"/>
          <w:szCs w:val="22"/>
        </w:rPr>
        <w:t xml:space="preserve">appear overestimated. </w:t>
      </w:r>
    </w:p>
    <w:p w:rsidR="005E3A96" w:rsidRPr="00E67926" w:rsidRDefault="00CB1F58" w:rsidP="00CB1F58">
      <w:pPr>
        <w:keepNext/>
        <w:rPr>
          <w:rFonts w:ascii="Arial Narrow" w:eastAsiaTheme="minorHAnsi" w:hAnsi="Arial Narrow" w:cstheme="minorBidi"/>
          <w:b/>
          <w:sz w:val="20"/>
          <w:szCs w:val="20"/>
        </w:rPr>
      </w:pPr>
      <w:r w:rsidRPr="00E67926">
        <w:rPr>
          <w:rFonts w:ascii="Arial Narrow" w:eastAsiaTheme="minorHAnsi" w:hAnsi="Arial Narrow" w:cstheme="minorBidi"/>
          <w:b/>
          <w:sz w:val="20"/>
          <w:szCs w:val="20"/>
        </w:rPr>
        <w:lastRenderedPageBreak/>
        <w:t>Table 2</w:t>
      </w:r>
      <w:r w:rsidR="005E3A96" w:rsidRPr="00E67926">
        <w:rPr>
          <w:rFonts w:ascii="Arial Narrow" w:eastAsiaTheme="minorHAnsi" w:hAnsi="Arial Narrow" w:cstheme="minorBidi"/>
          <w:b/>
          <w:sz w:val="20"/>
          <w:szCs w:val="20"/>
        </w:rPr>
        <w:t xml:space="preserve">: Estimated saving to the PBS/RPBS </w:t>
      </w:r>
    </w:p>
    <w:tbl>
      <w:tblPr>
        <w:tblStyle w:val="TableGrid"/>
        <w:tblW w:w="0" w:type="auto"/>
        <w:tblLook w:val="04A0" w:firstRow="1" w:lastRow="0" w:firstColumn="1" w:lastColumn="0" w:noHBand="0" w:noVBand="1"/>
        <w:tblCaption w:val="Table 2: Estimated saving to the PBS/RPBS "/>
      </w:tblPr>
      <w:tblGrid>
        <w:gridCol w:w="2263"/>
        <w:gridCol w:w="1701"/>
        <w:gridCol w:w="1701"/>
        <w:gridCol w:w="1701"/>
        <w:gridCol w:w="1650"/>
      </w:tblGrid>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b/>
                <w:sz w:val="20"/>
                <w:szCs w:val="20"/>
              </w:rPr>
            </w:pPr>
          </w:p>
        </w:tc>
        <w:tc>
          <w:tcPr>
            <w:tcW w:w="1701" w:type="dxa"/>
            <w:vAlign w:val="center"/>
          </w:tcPr>
          <w:p w:rsidR="00A86F64" w:rsidRPr="00E67926" w:rsidRDefault="00A86F64" w:rsidP="006602C2">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2019</w:t>
            </w:r>
          </w:p>
        </w:tc>
        <w:tc>
          <w:tcPr>
            <w:tcW w:w="1701" w:type="dxa"/>
            <w:vAlign w:val="center"/>
          </w:tcPr>
          <w:p w:rsidR="00A86F64" w:rsidRPr="00E67926" w:rsidRDefault="00A86F64" w:rsidP="006602C2">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2020</w:t>
            </w:r>
          </w:p>
        </w:tc>
        <w:tc>
          <w:tcPr>
            <w:tcW w:w="1701" w:type="dxa"/>
            <w:vAlign w:val="center"/>
          </w:tcPr>
          <w:p w:rsidR="00A86F64" w:rsidRPr="00E67926" w:rsidRDefault="00A86F64" w:rsidP="006602C2">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2021</w:t>
            </w:r>
          </w:p>
        </w:tc>
        <w:tc>
          <w:tcPr>
            <w:tcW w:w="1650" w:type="dxa"/>
            <w:vAlign w:val="center"/>
          </w:tcPr>
          <w:p w:rsidR="00A86F64" w:rsidRPr="00E67926" w:rsidRDefault="00A86F64" w:rsidP="006602C2">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2022</w:t>
            </w:r>
          </w:p>
        </w:tc>
      </w:tr>
      <w:tr w:rsidR="00A86F64" w:rsidRPr="00E67926" w:rsidTr="0004619E">
        <w:trPr>
          <w:tblHeader/>
        </w:trPr>
        <w:tc>
          <w:tcPr>
            <w:tcW w:w="9016" w:type="dxa"/>
            <w:gridSpan w:val="5"/>
            <w:vAlign w:val="center"/>
          </w:tcPr>
          <w:p w:rsidR="00A86F64" w:rsidRPr="00E67926" w:rsidRDefault="00A86F64" w:rsidP="006602C2">
            <w:pPr>
              <w:keepNext/>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Volume (21 capsule packs)</w:t>
            </w:r>
          </w:p>
        </w:tc>
      </w:tr>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NDMM TNE</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650"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RRMM</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650"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Total</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650"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A86F64" w:rsidRPr="00E67926" w:rsidTr="0004619E">
        <w:trPr>
          <w:tblHeader/>
        </w:trPr>
        <w:tc>
          <w:tcPr>
            <w:tcW w:w="9016" w:type="dxa"/>
            <w:gridSpan w:val="5"/>
            <w:vAlign w:val="center"/>
          </w:tcPr>
          <w:p w:rsidR="00A86F64" w:rsidRPr="00E67926" w:rsidRDefault="00A86F64" w:rsidP="006602C2">
            <w:pPr>
              <w:keepNext/>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Estimated total expenditure, without proposed discount - AEMP</w:t>
            </w:r>
          </w:p>
        </w:tc>
      </w:tr>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NDMM TNE</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650"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RRMM</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650"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Total</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650"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A86F64" w:rsidRPr="00E67926" w:rsidTr="0004619E">
        <w:trPr>
          <w:tblHeader/>
        </w:trPr>
        <w:tc>
          <w:tcPr>
            <w:tcW w:w="9016" w:type="dxa"/>
            <w:gridSpan w:val="5"/>
            <w:vAlign w:val="center"/>
          </w:tcPr>
          <w:p w:rsidR="00A86F64" w:rsidRPr="00E67926" w:rsidRDefault="00A86F64" w:rsidP="006602C2">
            <w:pPr>
              <w:keepNext/>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 xml:space="preserve">Estimated total expenditure, with </w:t>
            </w:r>
            <w:r w:rsidRPr="00071874">
              <w:rPr>
                <w:rFonts w:ascii="Arial Narrow" w:eastAsiaTheme="minorHAnsi" w:hAnsi="Arial Narrow" w:cstheme="minorBidi"/>
                <w:b/>
                <w:sz w:val="20"/>
                <w:szCs w:val="20"/>
              </w:rPr>
              <w:t xml:space="preserve">proposed </w:t>
            </w:r>
            <w:r w:rsidR="00DA05D0">
              <w:rPr>
                <w:rFonts w:ascii="Arial Narrow" w:eastAsiaTheme="minorHAnsi" w:hAnsi="Arial Narrow" w:cstheme="minorBidi"/>
                <w:b/>
                <w:noProof/>
                <w:color w:val="000000"/>
                <w:sz w:val="20"/>
                <w:szCs w:val="20"/>
                <w:highlight w:val="black"/>
              </w:rPr>
              <w:t>'''</w:t>
            </w:r>
            <w:r w:rsidRPr="00071874">
              <w:rPr>
                <w:rFonts w:ascii="Arial Narrow" w:eastAsiaTheme="minorHAnsi" w:hAnsi="Arial Narrow" w:cstheme="minorBidi"/>
                <w:b/>
                <w:sz w:val="20"/>
                <w:szCs w:val="20"/>
              </w:rPr>
              <w:t>%</w:t>
            </w:r>
            <w:r w:rsidRPr="00E67926">
              <w:rPr>
                <w:rFonts w:ascii="Arial Narrow" w:eastAsiaTheme="minorHAnsi" w:hAnsi="Arial Narrow" w:cstheme="minorBidi"/>
                <w:b/>
                <w:sz w:val="20"/>
                <w:szCs w:val="20"/>
              </w:rPr>
              <w:t xml:space="preserve"> NDMM TNE discount </w:t>
            </w:r>
            <w:r w:rsidR="005E3A96" w:rsidRPr="00E67926">
              <w:rPr>
                <w:rFonts w:ascii="Arial Narrow" w:eastAsiaTheme="minorHAnsi" w:hAnsi="Arial Narrow" w:cstheme="minorBidi"/>
                <w:b/>
                <w:sz w:val="20"/>
                <w:szCs w:val="20"/>
              </w:rPr>
              <w:t>–</w:t>
            </w:r>
            <w:r w:rsidRPr="00E67926">
              <w:rPr>
                <w:rFonts w:ascii="Arial Narrow" w:eastAsiaTheme="minorHAnsi" w:hAnsi="Arial Narrow" w:cstheme="minorBidi"/>
                <w:b/>
                <w:sz w:val="20"/>
                <w:szCs w:val="20"/>
              </w:rPr>
              <w:t xml:space="preserve"> AEMP</w:t>
            </w:r>
          </w:p>
        </w:tc>
      </w:tr>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NDMM TNE</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650"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RRMM</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650"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Total</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650"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Total saving</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650"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A86F64" w:rsidRPr="00E67926" w:rsidTr="0004619E">
        <w:trPr>
          <w:tblHeader/>
        </w:trPr>
        <w:tc>
          <w:tcPr>
            <w:tcW w:w="2263" w:type="dxa"/>
          </w:tcPr>
          <w:p w:rsidR="00A86F64" w:rsidRPr="00E67926" w:rsidRDefault="00A86F64"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 xml:space="preserve">Average </w:t>
            </w:r>
            <w:r w:rsidR="00CB1F58" w:rsidRPr="00E67926">
              <w:rPr>
                <w:rFonts w:ascii="Arial Narrow" w:eastAsiaTheme="minorHAnsi" w:hAnsi="Arial Narrow" w:cstheme="minorBidi"/>
                <w:sz w:val="20"/>
                <w:szCs w:val="20"/>
              </w:rPr>
              <w:t xml:space="preserve">total </w:t>
            </w:r>
            <w:r w:rsidRPr="00E67926">
              <w:rPr>
                <w:rFonts w:ascii="Arial Narrow" w:eastAsiaTheme="minorHAnsi" w:hAnsi="Arial Narrow" w:cstheme="minorBidi"/>
                <w:sz w:val="20"/>
                <w:szCs w:val="20"/>
              </w:rPr>
              <w:t>discount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701"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650" w:type="dxa"/>
            <w:vAlign w:val="center"/>
          </w:tcPr>
          <w:p w:rsidR="00A86F64"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bl>
    <w:p w:rsidR="00A86F64" w:rsidRPr="00E67926" w:rsidRDefault="005E3A96" w:rsidP="005E3A96">
      <w:pPr>
        <w:rPr>
          <w:rFonts w:ascii="Arial Narrow" w:eastAsiaTheme="minorHAnsi" w:hAnsi="Arial Narrow" w:cstheme="minorBidi"/>
          <w:sz w:val="18"/>
          <w:szCs w:val="18"/>
        </w:rPr>
      </w:pPr>
      <w:r w:rsidRPr="00E67926">
        <w:rPr>
          <w:rFonts w:ascii="Arial Narrow" w:eastAsiaTheme="minorHAnsi" w:hAnsi="Arial Narrow" w:cstheme="minorBidi"/>
          <w:sz w:val="18"/>
          <w:szCs w:val="18"/>
        </w:rPr>
        <w:t>AEMP = approved ex-manufacturer price; NDMM TNE = newly diagnosed multiple myeloma, transplant not eligible; RRMM = relapsed or refractory multiple myeloma</w:t>
      </w:r>
    </w:p>
    <w:p w:rsidR="005E3A96" w:rsidRPr="00E67926" w:rsidRDefault="005E3A96" w:rsidP="005E3A96">
      <w:pPr>
        <w:rPr>
          <w:rFonts w:ascii="Arial Narrow" w:eastAsiaTheme="minorHAnsi" w:hAnsi="Arial Narrow" w:cstheme="minorBidi"/>
          <w:sz w:val="18"/>
          <w:szCs w:val="18"/>
        </w:rPr>
      </w:pPr>
      <w:r w:rsidRPr="00E67926">
        <w:rPr>
          <w:rFonts w:ascii="Arial Narrow" w:eastAsiaTheme="minorHAnsi" w:hAnsi="Arial Narrow" w:cstheme="minorBidi"/>
          <w:sz w:val="18"/>
          <w:szCs w:val="18"/>
        </w:rPr>
        <w:t>Source: Table 3, p13 of the submission</w:t>
      </w:r>
    </w:p>
    <w:p w:rsidR="00CF27E6" w:rsidRPr="00E67926" w:rsidRDefault="00CF27E6" w:rsidP="00377007">
      <w:pPr>
        <w:pStyle w:val="ListParagraph"/>
        <w:widowControl/>
        <w:numPr>
          <w:ilvl w:val="1"/>
          <w:numId w:val="14"/>
        </w:numPr>
        <w:spacing w:before="120" w:after="120"/>
        <w:contextualSpacing w:val="0"/>
        <w:rPr>
          <w:rFonts w:asciiTheme="minorHAnsi" w:eastAsiaTheme="minorHAnsi" w:hAnsiTheme="minorHAnsi" w:cstheme="minorBidi"/>
          <w:snapToGrid/>
          <w:color w:val="FF00FF"/>
          <w:sz w:val="24"/>
          <w:szCs w:val="22"/>
        </w:rPr>
      </w:pPr>
      <w:r w:rsidRPr="00E67926">
        <w:rPr>
          <w:rFonts w:asciiTheme="minorHAnsi" w:eastAsiaTheme="minorHAnsi" w:hAnsiTheme="minorHAnsi" w:cstheme="minorBidi"/>
          <w:snapToGrid/>
          <w:sz w:val="24"/>
          <w:szCs w:val="22"/>
        </w:rPr>
        <w:t>The minor submission estimated that th</w:t>
      </w:r>
      <w:r w:rsidR="00106444" w:rsidRPr="00E67926">
        <w:rPr>
          <w:rFonts w:asciiTheme="minorHAnsi" w:eastAsiaTheme="minorHAnsi" w:hAnsiTheme="minorHAnsi" w:cstheme="minorBidi"/>
          <w:snapToGrid/>
          <w:sz w:val="24"/>
          <w:szCs w:val="22"/>
        </w:rPr>
        <w:t xml:space="preserve">e </w:t>
      </w:r>
      <w:r w:rsidR="00DA05D0">
        <w:rPr>
          <w:rFonts w:asciiTheme="minorHAnsi" w:eastAsiaTheme="minorHAnsi" w:hAnsiTheme="minorHAnsi" w:cstheme="minorBidi"/>
          <w:noProof/>
          <w:snapToGrid/>
          <w:color w:val="000000"/>
          <w:sz w:val="24"/>
          <w:szCs w:val="22"/>
          <w:highlight w:val="black"/>
        </w:rPr>
        <w:t>'''</w:t>
      </w:r>
      <w:r w:rsidR="00106444" w:rsidRPr="00E67926">
        <w:rPr>
          <w:rFonts w:asciiTheme="minorHAnsi" w:eastAsiaTheme="minorHAnsi" w:hAnsiTheme="minorHAnsi" w:cstheme="minorBidi"/>
          <w:snapToGrid/>
          <w:sz w:val="24"/>
          <w:szCs w:val="22"/>
        </w:rPr>
        <w:t xml:space="preserve">% discount offered in </w:t>
      </w:r>
      <w:r w:rsidR="00DE0301" w:rsidRPr="00E67926">
        <w:rPr>
          <w:rFonts w:asciiTheme="minorHAnsi" w:eastAsiaTheme="minorHAnsi" w:hAnsiTheme="minorHAnsi" w:cstheme="minorBidi"/>
          <w:snapToGrid/>
          <w:sz w:val="24"/>
          <w:szCs w:val="22"/>
        </w:rPr>
        <w:t>ND MM</w:t>
      </w:r>
      <w:r w:rsidR="00106444" w:rsidRPr="00E67926">
        <w:rPr>
          <w:rFonts w:asciiTheme="minorHAnsi" w:eastAsiaTheme="minorHAnsi" w:hAnsiTheme="minorHAnsi" w:cstheme="minorBidi"/>
          <w:snapToGrid/>
          <w:sz w:val="24"/>
          <w:szCs w:val="22"/>
        </w:rPr>
        <w:t xml:space="preserve"> patients who are ineligible for stem cell transplant</w:t>
      </w:r>
      <w:r w:rsidRPr="00E67926">
        <w:rPr>
          <w:rFonts w:asciiTheme="minorHAnsi" w:eastAsiaTheme="minorHAnsi" w:hAnsiTheme="minorHAnsi" w:cstheme="minorBidi"/>
          <w:snapToGrid/>
          <w:sz w:val="24"/>
          <w:szCs w:val="22"/>
        </w:rPr>
        <w:t xml:space="preserve"> will result in a </w:t>
      </w:r>
      <w:r w:rsidR="008A2CBD">
        <w:rPr>
          <w:rFonts w:asciiTheme="minorHAnsi" w:eastAsiaTheme="minorHAnsi" w:hAnsiTheme="minorHAnsi" w:cstheme="minorBidi"/>
          <w:snapToGrid/>
          <w:sz w:val="24"/>
          <w:szCs w:val="22"/>
        </w:rPr>
        <w:t xml:space="preserve">less than $10 </w:t>
      </w:r>
      <w:r w:rsidRPr="00E67926">
        <w:rPr>
          <w:rFonts w:asciiTheme="minorHAnsi" w:eastAsiaTheme="minorHAnsi" w:hAnsiTheme="minorHAnsi" w:cstheme="minorBidi"/>
          <w:snapToGrid/>
          <w:sz w:val="24"/>
          <w:szCs w:val="22"/>
        </w:rPr>
        <w:t>million saving to the PBS/RPBS over the next four years.</w:t>
      </w:r>
      <w:r w:rsidR="000606C8" w:rsidRPr="00E67926">
        <w:rPr>
          <w:rFonts w:asciiTheme="minorHAnsi" w:eastAsiaTheme="minorHAnsi" w:hAnsiTheme="minorHAnsi" w:cstheme="minorBidi"/>
          <w:snapToGrid/>
          <w:sz w:val="24"/>
          <w:szCs w:val="22"/>
        </w:rPr>
        <w:t xml:space="preserve"> </w:t>
      </w:r>
      <w:r w:rsidR="0033677C" w:rsidRPr="00E67926">
        <w:rPr>
          <w:rFonts w:asciiTheme="minorHAnsi" w:eastAsiaTheme="minorHAnsi" w:hAnsiTheme="minorHAnsi" w:cstheme="minorBidi"/>
          <w:snapToGrid/>
          <w:sz w:val="24"/>
          <w:szCs w:val="22"/>
        </w:rPr>
        <w:t>The submission did not provide assumptions for the projected estimates used to determine the</w:t>
      </w:r>
      <w:r w:rsidR="000606C8" w:rsidRPr="00E67926">
        <w:rPr>
          <w:rFonts w:asciiTheme="minorHAnsi" w:eastAsiaTheme="minorHAnsi" w:hAnsiTheme="minorHAnsi" w:cstheme="minorBidi"/>
          <w:snapToGrid/>
          <w:sz w:val="24"/>
          <w:szCs w:val="22"/>
        </w:rPr>
        <w:t xml:space="preserve"> </w:t>
      </w:r>
      <w:r w:rsidR="008A2CBD">
        <w:rPr>
          <w:rFonts w:asciiTheme="minorHAnsi" w:eastAsiaTheme="minorHAnsi" w:hAnsiTheme="minorHAnsi" w:cstheme="minorBidi"/>
          <w:snapToGrid/>
          <w:sz w:val="24"/>
          <w:szCs w:val="22"/>
        </w:rPr>
        <w:t xml:space="preserve">less than $10 </w:t>
      </w:r>
      <w:r w:rsidR="0033677C" w:rsidRPr="00E67926">
        <w:rPr>
          <w:rFonts w:asciiTheme="minorHAnsi" w:eastAsiaTheme="minorHAnsi" w:hAnsiTheme="minorHAnsi" w:cstheme="minorBidi"/>
          <w:snapToGrid/>
          <w:sz w:val="24"/>
          <w:szCs w:val="22"/>
        </w:rPr>
        <w:t>million in savings.</w:t>
      </w:r>
      <w:r w:rsidR="000606C8" w:rsidRPr="00E67926">
        <w:rPr>
          <w:rFonts w:asciiTheme="minorHAnsi" w:eastAsiaTheme="minorHAnsi" w:hAnsiTheme="minorHAnsi" w:cstheme="minorBidi"/>
          <w:snapToGrid/>
          <w:sz w:val="24"/>
          <w:szCs w:val="22"/>
        </w:rPr>
        <w:t xml:space="preserve"> </w:t>
      </w:r>
    </w:p>
    <w:p w:rsidR="00106444" w:rsidRPr="00E67926" w:rsidRDefault="00106444" w:rsidP="00377007">
      <w:pPr>
        <w:pStyle w:val="ListParagraph"/>
        <w:widowControl/>
        <w:numPr>
          <w:ilvl w:val="1"/>
          <w:numId w:val="14"/>
        </w:numPr>
        <w:spacing w:before="120" w:after="120"/>
        <w:contextualSpacing w:val="0"/>
        <w:rPr>
          <w:rFonts w:asciiTheme="minorHAnsi" w:eastAsiaTheme="minorHAnsi" w:hAnsiTheme="minorHAnsi" w:cstheme="minorBidi"/>
          <w:snapToGrid/>
          <w:color w:val="FF00FF"/>
          <w:sz w:val="24"/>
          <w:szCs w:val="22"/>
        </w:rPr>
      </w:pPr>
      <w:r w:rsidRPr="00E67926">
        <w:rPr>
          <w:rFonts w:asciiTheme="minorHAnsi" w:eastAsiaTheme="minorHAnsi" w:hAnsiTheme="minorHAnsi" w:cstheme="minorBidi"/>
          <w:snapToGrid/>
          <w:sz w:val="24"/>
          <w:szCs w:val="22"/>
        </w:rPr>
        <w:t>T</w:t>
      </w:r>
      <w:r w:rsidR="002B2CBD" w:rsidRPr="00E67926">
        <w:rPr>
          <w:rFonts w:asciiTheme="minorHAnsi" w:eastAsiaTheme="minorHAnsi" w:hAnsiTheme="minorHAnsi" w:cstheme="minorBidi"/>
          <w:snapToGrid/>
          <w:sz w:val="24"/>
          <w:szCs w:val="22"/>
        </w:rPr>
        <w:t xml:space="preserve">o realise a </w:t>
      </w:r>
      <w:r w:rsidR="00DA05D0">
        <w:rPr>
          <w:rFonts w:asciiTheme="minorHAnsi" w:eastAsiaTheme="minorHAnsi" w:hAnsiTheme="minorHAnsi" w:cstheme="minorBidi"/>
          <w:noProof/>
          <w:snapToGrid/>
          <w:color w:val="000000"/>
          <w:sz w:val="24"/>
          <w:szCs w:val="22"/>
          <w:highlight w:val="black"/>
        </w:rPr>
        <w:t>'''</w:t>
      </w:r>
      <w:r w:rsidR="002B2CBD" w:rsidRPr="00E67926">
        <w:rPr>
          <w:rFonts w:asciiTheme="minorHAnsi" w:eastAsiaTheme="minorHAnsi" w:hAnsiTheme="minorHAnsi" w:cstheme="minorBidi"/>
          <w:snapToGrid/>
          <w:sz w:val="24"/>
          <w:szCs w:val="22"/>
        </w:rPr>
        <w:t xml:space="preserve">% discount on expected total expenditure in </w:t>
      </w:r>
      <w:r w:rsidR="00563DB8" w:rsidRPr="00E67926">
        <w:rPr>
          <w:rFonts w:asciiTheme="minorHAnsi" w:eastAsiaTheme="minorHAnsi" w:hAnsiTheme="minorHAnsi" w:cstheme="minorBidi"/>
          <w:snapToGrid/>
          <w:sz w:val="24"/>
          <w:szCs w:val="22"/>
        </w:rPr>
        <w:t>ND MM</w:t>
      </w:r>
      <w:r w:rsidR="002B2CBD" w:rsidRPr="00E67926">
        <w:rPr>
          <w:rFonts w:asciiTheme="minorHAnsi" w:eastAsiaTheme="minorHAnsi" w:hAnsiTheme="minorHAnsi" w:cstheme="minorBidi"/>
          <w:snapToGrid/>
          <w:sz w:val="24"/>
          <w:szCs w:val="22"/>
        </w:rPr>
        <w:t xml:space="preserve"> patients, the submission determined that a </w:t>
      </w:r>
      <w:r w:rsidR="00DA05D0">
        <w:rPr>
          <w:rFonts w:asciiTheme="minorHAnsi" w:eastAsiaTheme="minorHAnsi" w:hAnsiTheme="minorHAnsi" w:cstheme="minorBidi"/>
          <w:noProof/>
          <w:snapToGrid/>
          <w:color w:val="000000"/>
          <w:sz w:val="24"/>
          <w:szCs w:val="22"/>
          <w:highlight w:val="black"/>
        </w:rPr>
        <w:t>''''''''</w:t>
      </w:r>
      <w:r w:rsidRPr="00E67926">
        <w:rPr>
          <w:rFonts w:asciiTheme="minorHAnsi" w:eastAsiaTheme="minorHAnsi" w:hAnsiTheme="minorHAnsi" w:cstheme="minorBidi"/>
          <w:snapToGrid/>
          <w:sz w:val="24"/>
          <w:szCs w:val="22"/>
        </w:rPr>
        <w:t xml:space="preserve">% increase to the rebates provided </w:t>
      </w:r>
      <w:r w:rsidR="000472F0" w:rsidRPr="00E67926">
        <w:rPr>
          <w:rFonts w:asciiTheme="minorHAnsi" w:eastAsiaTheme="minorHAnsi" w:hAnsiTheme="minorHAnsi" w:cstheme="minorBidi"/>
          <w:snapToGrid/>
          <w:sz w:val="24"/>
          <w:szCs w:val="22"/>
        </w:rPr>
        <w:t xml:space="preserve">to achieve the effective price </w:t>
      </w:r>
      <w:r w:rsidR="007E0810" w:rsidRPr="00E67926">
        <w:rPr>
          <w:rFonts w:asciiTheme="minorHAnsi" w:eastAsiaTheme="minorHAnsi" w:hAnsiTheme="minorHAnsi" w:cstheme="minorBidi"/>
          <w:snapToGrid/>
          <w:sz w:val="24"/>
          <w:szCs w:val="22"/>
        </w:rPr>
        <w:t>under the current Risk Sharing</w:t>
      </w:r>
      <w:r w:rsidRPr="00E67926">
        <w:rPr>
          <w:rFonts w:asciiTheme="minorHAnsi" w:eastAsiaTheme="minorHAnsi" w:hAnsiTheme="minorHAnsi" w:cstheme="minorBidi"/>
          <w:snapToGrid/>
          <w:sz w:val="24"/>
          <w:szCs w:val="22"/>
        </w:rPr>
        <w:t xml:space="preserve"> Arrangement (RSA) for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for </w:t>
      </w:r>
      <w:r w:rsidR="00563DB8" w:rsidRPr="00E67926">
        <w:rPr>
          <w:rFonts w:asciiTheme="minorHAnsi" w:eastAsiaTheme="minorHAnsi" w:hAnsiTheme="minorHAnsi" w:cstheme="minorBidi"/>
          <w:snapToGrid/>
          <w:sz w:val="24"/>
          <w:szCs w:val="22"/>
        </w:rPr>
        <w:t>ND MM</w:t>
      </w:r>
      <w:r w:rsidRPr="00E67926">
        <w:rPr>
          <w:rFonts w:asciiTheme="minorHAnsi" w:eastAsiaTheme="minorHAnsi" w:hAnsiTheme="minorHAnsi" w:cstheme="minorBidi"/>
          <w:snapToGrid/>
          <w:sz w:val="24"/>
          <w:szCs w:val="22"/>
        </w:rPr>
        <w:t xml:space="preserve"> in patients who are ineligible for stem cell transplant</w:t>
      </w:r>
      <w:r w:rsidR="002B2CBD" w:rsidRPr="00E67926">
        <w:rPr>
          <w:rFonts w:asciiTheme="minorHAnsi" w:eastAsiaTheme="minorHAnsi" w:hAnsiTheme="minorHAnsi" w:cstheme="minorBidi"/>
          <w:snapToGrid/>
          <w:sz w:val="24"/>
          <w:szCs w:val="22"/>
        </w:rPr>
        <w:t xml:space="preserve"> would be required</w:t>
      </w:r>
      <w:r w:rsidRPr="00E67926">
        <w:rPr>
          <w:rFonts w:asciiTheme="minorHAnsi" w:eastAsiaTheme="minorHAnsi" w:hAnsiTheme="minorHAnsi" w:cstheme="minorBidi"/>
          <w:snapToGrid/>
          <w:sz w:val="24"/>
          <w:szCs w:val="22"/>
        </w:rPr>
        <w:t xml:space="preserve">. The submission did not propose a renegotiation of the current Deed of Agreement for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in this population beyond adjustment of the rebate percentages</w:t>
      </w:r>
      <w:r w:rsidRPr="00E67926">
        <w:rPr>
          <w:rFonts w:asciiTheme="minorHAnsi" w:eastAsiaTheme="minorHAnsi" w:hAnsiTheme="minorHAnsi" w:cstheme="minorBidi"/>
          <w:i/>
          <w:snapToGrid/>
          <w:sz w:val="24"/>
          <w:szCs w:val="22"/>
        </w:rPr>
        <w:t>.</w:t>
      </w:r>
      <w:r w:rsidR="000606C8" w:rsidRPr="00E67926">
        <w:rPr>
          <w:rFonts w:asciiTheme="minorHAnsi" w:eastAsiaTheme="minorHAnsi" w:hAnsiTheme="minorHAnsi" w:cstheme="minorBidi"/>
          <w:i/>
          <w:snapToGrid/>
          <w:sz w:val="24"/>
          <w:szCs w:val="22"/>
        </w:rPr>
        <w:t xml:space="preserve"> </w:t>
      </w:r>
      <w:r w:rsidR="0033677C" w:rsidRPr="00E67926">
        <w:rPr>
          <w:rFonts w:asciiTheme="minorHAnsi" w:eastAsiaTheme="minorHAnsi" w:hAnsiTheme="minorHAnsi" w:cstheme="minorBidi"/>
          <w:snapToGrid/>
          <w:sz w:val="24"/>
          <w:szCs w:val="22"/>
        </w:rPr>
        <w:t>T</w:t>
      </w:r>
      <w:r w:rsidR="000606C8" w:rsidRPr="00E67926">
        <w:rPr>
          <w:rFonts w:asciiTheme="minorHAnsi" w:eastAsiaTheme="minorHAnsi" w:hAnsiTheme="minorHAnsi" w:cstheme="minorBidi"/>
          <w:snapToGrid/>
          <w:sz w:val="24"/>
          <w:szCs w:val="22"/>
        </w:rPr>
        <w:t xml:space="preserve">he </w:t>
      </w:r>
      <w:r w:rsidR="00DA05D0">
        <w:rPr>
          <w:rFonts w:asciiTheme="minorHAnsi" w:eastAsiaTheme="minorHAnsi" w:hAnsiTheme="minorHAnsi" w:cstheme="minorBidi"/>
          <w:noProof/>
          <w:snapToGrid/>
          <w:color w:val="000000"/>
          <w:sz w:val="24"/>
          <w:szCs w:val="22"/>
          <w:highlight w:val="black"/>
        </w:rPr>
        <w:t>''''''''</w:t>
      </w:r>
      <w:r w:rsidR="000606C8" w:rsidRPr="00E67926">
        <w:rPr>
          <w:rFonts w:asciiTheme="minorHAnsi" w:eastAsiaTheme="minorHAnsi" w:hAnsiTheme="minorHAnsi" w:cstheme="minorBidi"/>
          <w:snapToGrid/>
          <w:sz w:val="24"/>
          <w:szCs w:val="22"/>
        </w:rPr>
        <w:t xml:space="preserve">% </w:t>
      </w:r>
      <w:r w:rsidR="000472F0" w:rsidRPr="00E67926">
        <w:rPr>
          <w:rFonts w:asciiTheme="minorHAnsi" w:eastAsiaTheme="minorHAnsi" w:hAnsiTheme="minorHAnsi" w:cstheme="minorBidi"/>
          <w:snapToGrid/>
          <w:sz w:val="24"/>
          <w:szCs w:val="22"/>
        </w:rPr>
        <w:t xml:space="preserve">increase in the current </w:t>
      </w:r>
      <w:r w:rsidR="000606C8" w:rsidRPr="00E67926">
        <w:rPr>
          <w:rFonts w:asciiTheme="minorHAnsi" w:eastAsiaTheme="minorHAnsi" w:hAnsiTheme="minorHAnsi" w:cstheme="minorBidi"/>
          <w:snapToGrid/>
          <w:sz w:val="24"/>
          <w:szCs w:val="22"/>
        </w:rPr>
        <w:t xml:space="preserve">rebate </w:t>
      </w:r>
      <w:r w:rsidR="0033677C" w:rsidRPr="00E67926">
        <w:rPr>
          <w:rFonts w:asciiTheme="minorHAnsi" w:eastAsiaTheme="minorHAnsi" w:hAnsiTheme="minorHAnsi" w:cstheme="minorBidi"/>
          <w:snapToGrid/>
          <w:sz w:val="24"/>
          <w:szCs w:val="22"/>
        </w:rPr>
        <w:t>was calculated on uncertain estimates</w:t>
      </w:r>
      <w:r w:rsidR="000472F0" w:rsidRPr="00E67926">
        <w:rPr>
          <w:rFonts w:asciiTheme="minorHAnsi" w:eastAsiaTheme="minorHAnsi" w:hAnsiTheme="minorHAnsi" w:cstheme="minorBidi"/>
          <w:snapToGrid/>
          <w:sz w:val="24"/>
          <w:szCs w:val="22"/>
        </w:rPr>
        <w:t>;</w:t>
      </w:r>
      <w:r w:rsidR="0033677C" w:rsidRPr="00E67926">
        <w:rPr>
          <w:rFonts w:asciiTheme="minorHAnsi" w:eastAsiaTheme="minorHAnsi" w:hAnsiTheme="minorHAnsi" w:cstheme="minorBidi"/>
          <w:snapToGrid/>
          <w:sz w:val="24"/>
          <w:szCs w:val="22"/>
        </w:rPr>
        <w:t xml:space="preserve"> it </w:t>
      </w:r>
      <w:r w:rsidR="008C49CF" w:rsidRPr="00E67926">
        <w:rPr>
          <w:rFonts w:asciiTheme="minorHAnsi" w:eastAsiaTheme="minorHAnsi" w:hAnsiTheme="minorHAnsi" w:cstheme="minorBidi"/>
          <w:snapToGrid/>
          <w:sz w:val="24"/>
          <w:szCs w:val="22"/>
        </w:rPr>
        <w:t>wa</w:t>
      </w:r>
      <w:r w:rsidR="0033677C" w:rsidRPr="00E67926">
        <w:rPr>
          <w:rFonts w:asciiTheme="minorHAnsi" w:eastAsiaTheme="minorHAnsi" w:hAnsiTheme="minorHAnsi" w:cstheme="minorBidi"/>
          <w:snapToGrid/>
          <w:sz w:val="24"/>
          <w:szCs w:val="22"/>
        </w:rPr>
        <w:t xml:space="preserve">s uncertain whether </w:t>
      </w:r>
      <w:r w:rsidR="000472F0" w:rsidRPr="00E67926">
        <w:rPr>
          <w:rFonts w:asciiTheme="minorHAnsi" w:eastAsiaTheme="minorHAnsi" w:hAnsiTheme="minorHAnsi" w:cstheme="minorBidi"/>
          <w:snapToGrid/>
          <w:sz w:val="24"/>
          <w:szCs w:val="22"/>
        </w:rPr>
        <w:t xml:space="preserve">the </w:t>
      </w:r>
      <w:r w:rsidR="00DA05D0">
        <w:rPr>
          <w:rFonts w:asciiTheme="minorHAnsi" w:eastAsiaTheme="minorHAnsi" w:hAnsiTheme="minorHAnsi" w:cstheme="minorBidi"/>
          <w:noProof/>
          <w:snapToGrid/>
          <w:color w:val="000000"/>
          <w:sz w:val="24"/>
          <w:szCs w:val="22"/>
          <w:highlight w:val="black"/>
        </w:rPr>
        <w:t>'''''''''</w:t>
      </w:r>
      <w:r w:rsidR="000472F0" w:rsidRPr="00E67926">
        <w:rPr>
          <w:rFonts w:asciiTheme="minorHAnsi" w:eastAsiaTheme="minorHAnsi" w:hAnsiTheme="minorHAnsi" w:cstheme="minorBidi"/>
          <w:snapToGrid/>
          <w:sz w:val="24"/>
          <w:szCs w:val="22"/>
        </w:rPr>
        <w:t xml:space="preserve">% rebate </w:t>
      </w:r>
      <w:r w:rsidR="000606C8" w:rsidRPr="00E67926">
        <w:rPr>
          <w:rFonts w:asciiTheme="minorHAnsi" w:eastAsiaTheme="minorHAnsi" w:hAnsiTheme="minorHAnsi" w:cstheme="minorBidi"/>
          <w:snapToGrid/>
          <w:sz w:val="24"/>
          <w:szCs w:val="22"/>
        </w:rPr>
        <w:t>w</w:t>
      </w:r>
      <w:r w:rsidR="008C49CF" w:rsidRPr="00E67926">
        <w:rPr>
          <w:rFonts w:asciiTheme="minorHAnsi" w:eastAsiaTheme="minorHAnsi" w:hAnsiTheme="minorHAnsi" w:cstheme="minorBidi"/>
          <w:snapToGrid/>
          <w:sz w:val="24"/>
          <w:szCs w:val="22"/>
        </w:rPr>
        <w:t>ould</w:t>
      </w:r>
      <w:r w:rsidR="000606C8" w:rsidRPr="00E67926">
        <w:rPr>
          <w:rFonts w:asciiTheme="minorHAnsi" w:eastAsiaTheme="minorHAnsi" w:hAnsiTheme="minorHAnsi" w:cstheme="minorBidi"/>
          <w:snapToGrid/>
          <w:sz w:val="24"/>
          <w:szCs w:val="22"/>
        </w:rPr>
        <w:t xml:space="preserve"> achieve a</w:t>
      </w:r>
      <w:r w:rsidR="00DE0301" w:rsidRPr="00E67926">
        <w:rPr>
          <w:rFonts w:asciiTheme="minorHAnsi" w:eastAsiaTheme="minorHAnsi" w:hAnsiTheme="minorHAnsi" w:cstheme="minorBidi"/>
          <w:snapToGrid/>
          <w:sz w:val="24"/>
          <w:szCs w:val="22"/>
        </w:rPr>
        <w:t>n actual</w:t>
      </w:r>
      <w:r w:rsidR="000606C8" w:rsidRPr="00E67926">
        <w:rPr>
          <w:rFonts w:asciiTheme="minorHAnsi" w:eastAsiaTheme="minorHAnsi" w:hAnsiTheme="minorHAnsi" w:cstheme="minorBidi"/>
          <w:snapToGrid/>
          <w:sz w:val="24"/>
          <w:szCs w:val="22"/>
        </w:rPr>
        <w:t xml:space="preserve"> </w:t>
      </w:r>
      <w:proofErr w:type="gramStart"/>
      <w:r w:rsidR="00DA05D0">
        <w:rPr>
          <w:rFonts w:asciiTheme="minorHAnsi" w:eastAsiaTheme="minorHAnsi" w:hAnsiTheme="minorHAnsi" w:cstheme="minorBidi"/>
          <w:noProof/>
          <w:snapToGrid/>
          <w:color w:val="000000"/>
          <w:sz w:val="24"/>
          <w:szCs w:val="22"/>
          <w:highlight w:val="black"/>
        </w:rPr>
        <w:t>'''</w:t>
      </w:r>
      <w:r w:rsidR="000606C8" w:rsidRPr="00E67926">
        <w:rPr>
          <w:rFonts w:asciiTheme="minorHAnsi" w:eastAsiaTheme="minorHAnsi" w:hAnsiTheme="minorHAnsi" w:cstheme="minorBidi"/>
          <w:snapToGrid/>
          <w:sz w:val="24"/>
          <w:szCs w:val="22"/>
        </w:rPr>
        <w:t>%</w:t>
      </w:r>
      <w:proofErr w:type="gramEnd"/>
      <w:r w:rsidR="000606C8" w:rsidRPr="00E67926">
        <w:rPr>
          <w:rFonts w:asciiTheme="minorHAnsi" w:eastAsiaTheme="minorHAnsi" w:hAnsiTheme="minorHAnsi" w:cstheme="minorBidi"/>
          <w:snapToGrid/>
          <w:sz w:val="24"/>
          <w:szCs w:val="22"/>
        </w:rPr>
        <w:t xml:space="preserve"> reduction in expenditure for ND</w:t>
      </w:r>
      <w:r w:rsidR="00563DB8" w:rsidRPr="00E67926">
        <w:rPr>
          <w:rFonts w:asciiTheme="minorHAnsi" w:eastAsiaTheme="minorHAnsi" w:hAnsiTheme="minorHAnsi" w:cstheme="minorBidi"/>
          <w:snapToGrid/>
          <w:sz w:val="24"/>
          <w:szCs w:val="22"/>
        </w:rPr>
        <w:t xml:space="preserve"> </w:t>
      </w:r>
      <w:r w:rsidR="000606C8" w:rsidRPr="00E67926">
        <w:rPr>
          <w:rFonts w:asciiTheme="minorHAnsi" w:eastAsiaTheme="minorHAnsi" w:hAnsiTheme="minorHAnsi" w:cstheme="minorBidi"/>
          <w:snapToGrid/>
          <w:sz w:val="24"/>
          <w:szCs w:val="22"/>
        </w:rPr>
        <w:t>MM</w:t>
      </w:r>
      <w:r w:rsidR="000472F0" w:rsidRPr="00E67926">
        <w:rPr>
          <w:rFonts w:asciiTheme="minorHAnsi" w:eastAsiaTheme="minorHAnsi" w:hAnsiTheme="minorHAnsi" w:cstheme="minorBidi"/>
          <w:snapToGrid/>
          <w:sz w:val="24"/>
          <w:szCs w:val="22"/>
        </w:rPr>
        <w:t>.</w:t>
      </w:r>
    </w:p>
    <w:p w:rsidR="00833E5F" w:rsidRPr="00E67926" w:rsidRDefault="00CB1F58" w:rsidP="00CB1F58">
      <w:pPr>
        <w:keepNext/>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Table 3</w:t>
      </w:r>
      <w:r w:rsidR="00833E5F" w:rsidRPr="00E67926">
        <w:rPr>
          <w:rFonts w:ascii="Arial Narrow" w:eastAsiaTheme="minorHAnsi" w:hAnsi="Arial Narrow" w:cstheme="minorBidi"/>
          <w:b/>
          <w:sz w:val="20"/>
          <w:szCs w:val="20"/>
        </w:rPr>
        <w:t xml:space="preserve">: Current and proposed effective AEMP prices for </w:t>
      </w:r>
      <w:proofErr w:type="spellStart"/>
      <w:r w:rsidR="00833E5F" w:rsidRPr="00E67926">
        <w:rPr>
          <w:rFonts w:ascii="Arial Narrow" w:eastAsiaTheme="minorHAnsi" w:hAnsi="Arial Narrow" w:cstheme="minorBidi"/>
          <w:b/>
          <w:sz w:val="20"/>
          <w:szCs w:val="20"/>
        </w:rPr>
        <w:t>lenalidomide</w:t>
      </w:r>
      <w:proofErr w:type="spellEnd"/>
    </w:p>
    <w:tbl>
      <w:tblPr>
        <w:tblStyle w:val="TableGrid"/>
        <w:tblW w:w="0" w:type="auto"/>
        <w:tblLook w:val="04A0" w:firstRow="1" w:lastRow="0" w:firstColumn="1" w:lastColumn="0" w:noHBand="0" w:noVBand="1"/>
        <w:tblCaption w:val="Table 3: Current and proposed effective AEMP prices for lenalidomide"/>
      </w:tblPr>
      <w:tblGrid>
        <w:gridCol w:w="1413"/>
        <w:gridCol w:w="1276"/>
        <w:gridCol w:w="1701"/>
        <w:gridCol w:w="1275"/>
        <w:gridCol w:w="1985"/>
        <w:gridCol w:w="1366"/>
      </w:tblGrid>
      <w:tr w:rsidR="002B2CBD" w:rsidRPr="00E67926" w:rsidTr="0004619E">
        <w:trPr>
          <w:tblHeader/>
        </w:trPr>
        <w:tc>
          <w:tcPr>
            <w:tcW w:w="1413" w:type="dxa"/>
            <w:tcMar>
              <w:left w:w="28" w:type="dxa"/>
              <w:right w:w="28" w:type="dxa"/>
            </w:tcMar>
          </w:tcPr>
          <w:p w:rsidR="002B2CBD" w:rsidRPr="00E67926" w:rsidRDefault="002B2CBD" w:rsidP="00CB1F58">
            <w:pPr>
              <w:keepNext/>
              <w:rPr>
                <w:rFonts w:ascii="Arial Narrow" w:eastAsiaTheme="minorHAnsi" w:hAnsi="Arial Narrow" w:cstheme="minorBidi"/>
                <w:b/>
                <w:sz w:val="20"/>
                <w:szCs w:val="20"/>
              </w:rPr>
            </w:pPr>
            <w:proofErr w:type="spellStart"/>
            <w:r w:rsidRPr="00E67926">
              <w:rPr>
                <w:rFonts w:ascii="Arial Narrow" w:eastAsiaTheme="minorHAnsi" w:hAnsi="Arial Narrow" w:cstheme="minorBidi"/>
                <w:b/>
                <w:sz w:val="20"/>
                <w:szCs w:val="20"/>
              </w:rPr>
              <w:t>Lenalidomide</w:t>
            </w:r>
            <w:proofErr w:type="spellEnd"/>
            <w:r w:rsidRPr="00E67926">
              <w:rPr>
                <w:rFonts w:ascii="Arial Narrow" w:eastAsiaTheme="minorHAnsi" w:hAnsi="Arial Narrow" w:cstheme="minorBidi"/>
                <w:b/>
                <w:sz w:val="20"/>
                <w:szCs w:val="20"/>
              </w:rPr>
              <w:t xml:space="preserve"> strength</w:t>
            </w:r>
          </w:p>
        </w:tc>
        <w:tc>
          <w:tcPr>
            <w:tcW w:w="1276" w:type="dxa"/>
            <w:tcMar>
              <w:left w:w="28" w:type="dxa"/>
              <w:right w:w="28" w:type="dxa"/>
            </w:tcMar>
          </w:tcPr>
          <w:p w:rsidR="002B2CBD" w:rsidRPr="00E67926" w:rsidRDefault="002B2CBD" w:rsidP="00CB1F58">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 xml:space="preserve">Current </w:t>
            </w:r>
            <w:r w:rsidRPr="00E67926">
              <w:rPr>
                <w:rFonts w:ascii="Arial Narrow" w:eastAsiaTheme="minorHAnsi" w:hAnsi="Arial Narrow" w:cstheme="minorBidi"/>
                <w:b/>
                <w:sz w:val="20"/>
                <w:szCs w:val="20"/>
              </w:rPr>
              <w:br/>
              <w:t>public DPMQ</w:t>
            </w:r>
          </w:p>
        </w:tc>
        <w:tc>
          <w:tcPr>
            <w:tcW w:w="1701" w:type="dxa"/>
            <w:tcMar>
              <w:left w:w="28" w:type="dxa"/>
              <w:right w:w="28" w:type="dxa"/>
            </w:tcMar>
          </w:tcPr>
          <w:p w:rsidR="002B2CBD" w:rsidRPr="00E67926" w:rsidRDefault="002B2CBD" w:rsidP="00CB1F58">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Current rebate</w:t>
            </w:r>
          </w:p>
        </w:tc>
        <w:tc>
          <w:tcPr>
            <w:tcW w:w="1275" w:type="dxa"/>
            <w:tcMar>
              <w:left w:w="28" w:type="dxa"/>
              <w:right w:w="28" w:type="dxa"/>
            </w:tcMar>
            <w:vAlign w:val="center"/>
          </w:tcPr>
          <w:p w:rsidR="002B2CBD" w:rsidRPr="00E67926" w:rsidRDefault="002B2CBD" w:rsidP="006602C2">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Current effective AEMP</w:t>
            </w:r>
          </w:p>
        </w:tc>
        <w:tc>
          <w:tcPr>
            <w:tcW w:w="1985" w:type="dxa"/>
            <w:tcMar>
              <w:left w:w="28" w:type="dxa"/>
              <w:right w:w="28" w:type="dxa"/>
            </w:tcMar>
            <w:vAlign w:val="center"/>
          </w:tcPr>
          <w:p w:rsidR="002B2CBD" w:rsidRPr="00E67926" w:rsidRDefault="002B2CBD" w:rsidP="006602C2">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Proposed rebate</w:t>
            </w:r>
          </w:p>
          <w:p w:rsidR="002B2CBD" w:rsidRPr="00E67926" w:rsidRDefault="002B2CBD" w:rsidP="006602C2">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 xml:space="preserve">(Current rebate + </w:t>
            </w:r>
            <w:r w:rsidR="00DA05D0">
              <w:rPr>
                <w:rFonts w:ascii="Arial Narrow" w:eastAsiaTheme="minorHAnsi" w:hAnsi="Arial Narrow" w:cstheme="minorBidi"/>
                <w:b/>
                <w:noProof/>
                <w:color w:val="000000"/>
                <w:sz w:val="20"/>
                <w:szCs w:val="20"/>
                <w:highlight w:val="black"/>
              </w:rPr>
              <w:t>'''''''''</w:t>
            </w:r>
            <w:r w:rsidRPr="00E67926">
              <w:rPr>
                <w:rFonts w:ascii="Arial Narrow" w:eastAsiaTheme="minorHAnsi" w:hAnsi="Arial Narrow" w:cstheme="minorBidi"/>
                <w:b/>
                <w:sz w:val="20"/>
                <w:szCs w:val="20"/>
              </w:rPr>
              <w:t>%)</w:t>
            </w:r>
          </w:p>
        </w:tc>
        <w:tc>
          <w:tcPr>
            <w:tcW w:w="1366" w:type="dxa"/>
            <w:tcMar>
              <w:left w:w="28" w:type="dxa"/>
              <w:right w:w="28" w:type="dxa"/>
            </w:tcMar>
            <w:vAlign w:val="center"/>
          </w:tcPr>
          <w:p w:rsidR="002B2CBD" w:rsidRPr="00E67926" w:rsidRDefault="002B2CBD" w:rsidP="006602C2">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Proposed effective AEMP</w:t>
            </w:r>
          </w:p>
        </w:tc>
      </w:tr>
      <w:tr w:rsidR="002B2CBD" w:rsidRPr="00E67926" w:rsidTr="0004619E">
        <w:trPr>
          <w:tblHeader/>
        </w:trPr>
        <w:tc>
          <w:tcPr>
            <w:tcW w:w="1413" w:type="dxa"/>
            <w:tcMar>
              <w:left w:w="28" w:type="dxa"/>
              <w:right w:w="28" w:type="dxa"/>
            </w:tcMar>
          </w:tcPr>
          <w:p w:rsidR="002B2CBD" w:rsidRPr="00E67926" w:rsidRDefault="002B2CBD"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5 mg</w:t>
            </w:r>
          </w:p>
        </w:tc>
        <w:tc>
          <w:tcPr>
            <w:tcW w:w="1276" w:type="dxa"/>
            <w:tcMar>
              <w:left w:w="28" w:type="dxa"/>
              <w:right w:w="28" w:type="dxa"/>
            </w:tcMar>
          </w:tcPr>
          <w:p w:rsidR="002B2CBD" w:rsidRPr="00E67926" w:rsidRDefault="002B2CBD" w:rsidP="00CB1F58">
            <w:pPr>
              <w:keepNext/>
              <w:jc w:val="right"/>
              <w:rPr>
                <w:rFonts w:ascii="Arial Narrow" w:eastAsiaTheme="minorHAnsi" w:hAnsi="Arial Narrow" w:cstheme="minorBidi"/>
                <w:sz w:val="20"/>
                <w:szCs w:val="20"/>
              </w:rPr>
            </w:pPr>
            <w:r w:rsidRPr="00E67926">
              <w:rPr>
                <w:rFonts w:ascii="Arial Narrow" w:eastAsiaTheme="minorHAnsi" w:hAnsi="Arial Narrow" w:cstheme="minorBidi"/>
                <w:sz w:val="20"/>
                <w:szCs w:val="20"/>
              </w:rPr>
              <w:t>$5,122.76</w:t>
            </w:r>
          </w:p>
        </w:tc>
        <w:tc>
          <w:tcPr>
            <w:tcW w:w="1701" w:type="dxa"/>
            <w:tcMar>
              <w:left w:w="28" w:type="dxa"/>
              <w:right w:w="28" w:type="dxa"/>
            </w:tcMar>
          </w:tcPr>
          <w:p w:rsidR="002B2CBD" w:rsidRPr="00DA05D0" w:rsidRDefault="00DA05D0" w:rsidP="00CB1F58">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275"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985"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366"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2B2CBD" w:rsidRPr="00E67926" w:rsidTr="0004619E">
        <w:trPr>
          <w:tblHeader/>
        </w:trPr>
        <w:tc>
          <w:tcPr>
            <w:tcW w:w="1413" w:type="dxa"/>
            <w:tcMar>
              <w:left w:w="28" w:type="dxa"/>
              <w:right w:w="28" w:type="dxa"/>
            </w:tcMar>
          </w:tcPr>
          <w:p w:rsidR="002B2CBD" w:rsidRPr="00E67926" w:rsidRDefault="002B2CBD"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10 mg</w:t>
            </w:r>
          </w:p>
        </w:tc>
        <w:tc>
          <w:tcPr>
            <w:tcW w:w="1276" w:type="dxa"/>
            <w:tcMar>
              <w:left w:w="28" w:type="dxa"/>
              <w:right w:w="28" w:type="dxa"/>
            </w:tcMar>
          </w:tcPr>
          <w:p w:rsidR="002B2CBD" w:rsidRPr="00E67926" w:rsidRDefault="002B2CBD" w:rsidP="00CB1F58">
            <w:pPr>
              <w:keepNext/>
              <w:jc w:val="right"/>
              <w:rPr>
                <w:rFonts w:ascii="Arial Narrow" w:eastAsiaTheme="minorHAnsi" w:hAnsi="Arial Narrow" w:cstheme="minorBidi"/>
                <w:sz w:val="20"/>
                <w:szCs w:val="20"/>
              </w:rPr>
            </w:pPr>
            <w:r w:rsidRPr="00E67926">
              <w:rPr>
                <w:rFonts w:ascii="Arial Narrow" w:eastAsiaTheme="minorHAnsi" w:hAnsi="Arial Narrow" w:cstheme="minorBidi"/>
                <w:sz w:val="20"/>
                <w:szCs w:val="20"/>
              </w:rPr>
              <w:t>$5,361.16</w:t>
            </w:r>
          </w:p>
        </w:tc>
        <w:tc>
          <w:tcPr>
            <w:tcW w:w="1701" w:type="dxa"/>
            <w:tcMar>
              <w:left w:w="28" w:type="dxa"/>
              <w:right w:w="28" w:type="dxa"/>
            </w:tcMar>
          </w:tcPr>
          <w:p w:rsidR="002B2CBD" w:rsidRPr="00DA05D0" w:rsidRDefault="00DA05D0" w:rsidP="00CB1F58">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275"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985"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366"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2B2CBD" w:rsidRPr="00E67926" w:rsidTr="0004619E">
        <w:trPr>
          <w:trHeight w:val="77"/>
          <w:tblHeader/>
        </w:trPr>
        <w:tc>
          <w:tcPr>
            <w:tcW w:w="1413" w:type="dxa"/>
            <w:tcMar>
              <w:left w:w="28" w:type="dxa"/>
              <w:right w:w="28" w:type="dxa"/>
            </w:tcMar>
          </w:tcPr>
          <w:p w:rsidR="002B2CBD" w:rsidRPr="00E67926" w:rsidRDefault="002B2CBD"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15 mg</w:t>
            </w:r>
          </w:p>
        </w:tc>
        <w:tc>
          <w:tcPr>
            <w:tcW w:w="1276" w:type="dxa"/>
            <w:tcMar>
              <w:left w:w="28" w:type="dxa"/>
              <w:right w:w="28" w:type="dxa"/>
            </w:tcMar>
          </w:tcPr>
          <w:p w:rsidR="002B2CBD" w:rsidRPr="00E67926" w:rsidRDefault="002B2CBD" w:rsidP="00CB1F58">
            <w:pPr>
              <w:keepNext/>
              <w:jc w:val="right"/>
              <w:rPr>
                <w:rFonts w:ascii="Arial Narrow" w:eastAsiaTheme="minorHAnsi" w:hAnsi="Arial Narrow" w:cstheme="minorBidi"/>
                <w:sz w:val="20"/>
                <w:szCs w:val="20"/>
              </w:rPr>
            </w:pPr>
            <w:r w:rsidRPr="00E67926">
              <w:rPr>
                <w:rFonts w:ascii="Arial Narrow" w:eastAsiaTheme="minorHAnsi" w:hAnsi="Arial Narrow" w:cstheme="minorBidi"/>
                <w:sz w:val="20"/>
                <w:szCs w:val="20"/>
              </w:rPr>
              <w:t>$6,252.53</w:t>
            </w:r>
          </w:p>
        </w:tc>
        <w:tc>
          <w:tcPr>
            <w:tcW w:w="1701" w:type="dxa"/>
            <w:tcMar>
              <w:left w:w="28" w:type="dxa"/>
              <w:right w:w="28" w:type="dxa"/>
            </w:tcMar>
          </w:tcPr>
          <w:p w:rsidR="002B2CBD" w:rsidRPr="00DA05D0" w:rsidRDefault="00DA05D0" w:rsidP="00CB1F58">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275"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985"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366"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r w:rsidR="002B2CBD" w:rsidRPr="00E67926" w:rsidTr="0004619E">
        <w:trPr>
          <w:tblHeader/>
        </w:trPr>
        <w:tc>
          <w:tcPr>
            <w:tcW w:w="1413" w:type="dxa"/>
            <w:tcMar>
              <w:left w:w="28" w:type="dxa"/>
              <w:right w:w="28" w:type="dxa"/>
            </w:tcMar>
          </w:tcPr>
          <w:p w:rsidR="002B2CBD" w:rsidRPr="00E67926" w:rsidRDefault="002B2CBD"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25 mg</w:t>
            </w:r>
          </w:p>
        </w:tc>
        <w:tc>
          <w:tcPr>
            <w:tcW w:w="1276" w:type="dxa"/>
            <w:tcMar>
              <w:left w:w="28" w:type="dxa"/>
              <w:right w:w="28" w:type="dxa"/>
            </w:tcMar>
          </w:tcPr>
          <w:p w:rsidR="002B2CBD" w:rsidRPr="00E67926" w:rsidRDefault="002B2CBD" w:rsidP="00CB1F58">
            <w:pPr>
              <w:keepNext/>
              <w:jc w:val="right"/>
              <w:rPr>
                <w:rFonts w:ascii="Arial Narrow" w:eastAsiaTheme="minorHAnsi" w:hAnsi="Arial Narrow" w:cstheme="minorBidi"/>
                <w:sz w:val="20"/>
                <w:szCs w:val="20"/>
              </w:rPr>
            </w:pPr>
            <w:r w:rsidRPr="00E67926">
              <w:rPr>
                <w:rFonts w:ascii="Arial Narrow" w:eastAsiaTheme="minorHAnsi" w:hAnsi="Arial Narrow" w:cstheme="minorBidi"/>
                <w:sz w:val="20"/>
                <w:szCs w:val="20"/>
              </w:rPr>
              <w:t>$6,587.49</w:t>
            </w:r>
          </w:p>
        </w:tc>
        <w:tc>
          <w:tcPr>
            <w:tcW w:w="1701" w:type="dxa"/>
            <w:tcMar>
              <w:left w:w="28" w:type="dxa"/>
              <w:right w:w="28" w:type="dxa"/>
            </w:tcMar>
          </w:tcPr>
          <w:p w:rsidR="002B2CBD" w:rsidRPr="00DA05D0" w:rsidRDefault="00DA05D0" w:rsidP="00CB1F58">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275"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985"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c>
          <w:tcPr>
            <w:tcW w:w="1366" w:type="dxa"/>
            <w:tcMar>
              <w:left w:w="28" w:type="dxa"/>
              <w:right w:w="28" w:type="dxa"/>
            </w:tcMar>
            <w:vAlign w:val="center"/>
          </w:tcPr>
          <w:p w:rsidR="002B2CBD" w:rsidRPr="00DA05D0" w:rsidRDefault="00DA05D0" w:rsidP="006602C2">
            <w:pPr>
              <w:keepNext/>
              <w:jc w:val="center"/>
              <w:rPr>
                <w:rFonts w:ascii="Arial Narrow" w:eastAsiaTheme="minorHAnsi" w:hAnsi="Arial Narrow" w:cstheme="minorBidi"/>
                <w:sz w:val="20"/>
                <w:szCs w:val="20"/>
                <w:highlight w:val="black"/>
              </w:rPr>
            </w:pPr>
            <w:r>
              <w:rPr>
                <w:rFonts w:ascii="Arial Narrow" w:eastAsiaTheme="minorHAnsi" w:hAnsi="Arial Narrow" w:cstheme="minorBidi"/>
                <w:noProof/>
                <w:color w:val="000000"/>
                <w:sz w:val="20"/>
                <w:szCs w:val="20"/>
                <w:highlight w:val="black"/>
              </w:rPr>
              <w:t>'''''''''''''''''''''''</w:t>
            </w:r>
          </w:p>
        </w:tc>
      </w:tr>
    </w:tbl>
    <w:p w:rsidR="005103C5" w:rsidRPr="00E67926" w:rsidRDefault="002B2CBD" w:rsidP="002B2CBD">
      <w:pPr>
        <w:rPr>
          <w:rFonts w:ascii="Arial Narrow" w:eastAsiaTheme="minorHAnsi" w:hAnsi="Arial Narrow" w:cstheme="minorBidi"/>
          <w:sz w:val="18"/>
          <w:szCs w:val="18"/>
        </w:rPr>
      </w:pPr>
      <w:r w:rsidRPr="00E67926">
        <w:rPr>
          <w:rFonts w:ascii="Arial Narrow" w:eastAsiaTheme="minorHAnsi" w:hAnsi="Arial Narrow" w:cstheme="minorBidi"/>
          <w:sz w:val="18"/>
          <w:szCs w:val="18"/>
        </w:rPr>
        <w:t>AEMP = approved ex-manufacturer price; DPMQ = dispensed price for maximum quantity</w:t>
      </w:r>
    </w:p>
    <w:p w:rsidR="00833E5F" w:rsidRPr="00E67926" w:rsidRDefault="00833E5F" w:rsidP="002B2CBD">
      <w:pPr>
        <w:rPr>
          <w:rFonts w:ascii="Arial Narrow" w:eastAsiaTheme="minorHAnsi" w:hAnsi="Arial Narrow" w:cstheme="minorBidi"/>
          <w:sz w:val="18"/>
          <w:szCs w:val="18"/>
        </w:rPr>
      </w:pPr>
      <w:r w:rsidRPr="00E67926">
        <w:rPr>
          <w:rFonts w:ascii="Arial Narrow" w:eastAsiaTheme="minorHAnsi" w:hAnsi="Arial Narrow" w:cstheme="minorBidi"/>
          <w:sz w:val="18"/>
          <w:szCs w:val="18"/>
        </w:rPr>
        <w:t xml:space="preserve">Source: </w:t>
      </w:r>
      <w:proofErr w:type="spellStart"/>
      <w:r w:rsidRPr="00E67926">
        <w:rPr>
          <w:rFonts w:ascii="Arial Narrow" w:eastAsiaTheme="minorHAnsi" w:hAnsi="Arial Narrow" w:cstheme="minorBidi"/>
          <w:sz w:val="18"/>
          <w:szCs w:val="18"/>
        </w:rPr>
        <w:t>Lenalidomide</w:t>
      </w:r>
      <w:proofErr w:type="spellEnd"/>
      <w:r w:rsidRPr="00E67926">
        <w:rPr>
          <w:rFonts w:ascii="Arial Narrow" w:eastAsiaTheme="minorHAnsi" w:hAnsi="Arial Narrow" w:cstheme="minorBidi"/>
          <w:sz w:val="18"/>
          <w:szCs w:val="18"/>
        </w:rPr>
        <w:t xml:space="preserve"> – Budget Impact Model </w:t>
      </w:r>
      <w:r w:rsidR="00E60C41" w:rsidRPr="00E67926">
        <w:rPr>
          <w:rFonts w:ascii="Arial Narrow" w:eastAsiaTheme="minorHAnsi" w:hAnsi="Arial Narrow" w:cstheme="minorBidi"/>
          <w:sz w:val="18"/>
          <w:szCs w:val="18"/>
        </w:rPr>
        <w:t>–</w:t>
      </w:r>
      <w:r w:rsidRPr="00E67926">
        <w:rPr>
          <w:rFonts w:ascii="Arial Narrow" w:eastAsiaTheme="minorHAnsi" w:hAnsi="Arial Narrow" w:cstheme="minorBidi"/>
          <w:sz w:val="18"/>
          <w:szCs w:val="18"/>
        </w:rPr>
        <w:t xml:space="preserve"> Excel</w:t>
      </w:r>
    </w:p>
    <w:p w:rsidR="00106444" w:rsidRPr="00E67926" w:rsidRDefault="005060A2" w:rsidP="00377007">
      <w:pPr>
        <w:pStyle w:val="ListParagraph"/>
        <w:widowControl/>
        <w:numPr>
          <w:ilvl w:val="1"/>
          <w:numId w:val="14"/>
        </w:numPr>
        <w:spacing w:before="120" w:after="120"/>
        <w:contextualSpacing w:val="0"/>
        <w:rPr>
          <w:rFonts w:asciiTheme="minorHAnsi" w:eastAsiaTheme="minorHAnsi" w:hAnsiTheme="minorHAnsi" w:cstheme="minorBidi"/>
          <w:snapToGrid/>
          <w:color w:val="FF00FF"/>
          <w:sz w:val="24"/>
          <w:szCs w:val="22"/>
        </w:rPr>
      </w:pPr>
      <w:r w:rsidRPr="00E67926">
        <w:rPr>
          <w:rFonts w:asciiTheme="minorHAnsi" w:eastAsiaTheme="minorHAnsi" w:hAnsiTheme="minorHAnsi" w:cstheme="minorBidi"/>
          <w:snapToGrid/>
          <w:sz w:val="24"/>
          <w:szCs w:val="22"/>
        </w:rPr>
        <w:t>U</w:t>
      </w:r>
      <w:r w:rsidR="001E4E72" w:rsidRPr="00E67926">
        <w:rPr>
          <w:rFonts w:asciiTheme="minorHAnsi" w:eastAsiaTheme="minorHAnsi" w:hAnsiTheme="minorHAnsi" w:cstheme="minorBidi"/>
          <w:snapToGrid/>
          <w:sz w:val="24"/>
          <w:szCs w:val="22"/>
        </w:rPr>
        <w:t xml:space="preserve">tilisation of </w:t>
      </w:r>
      <w:proofErr w:type="spellStart"/>
      <w:r w:rsidR="001E4E72" w:rsidRPr="00E67926">
        <w:rPr>
          <w:rFonts w:asciiTheme="minorHAnsi" w:eastAsiaTheme="minorHAnsi" w:hAnsiTheme="minorHAnsi" w:cstheme="minorBidi"/>
          <w:snapToGrid/>
          <w:sz w:val="24"/>
          <w:szCs w:val="22"/>
        </w:rPr>
        <w:t>lenalidomide</w:t>
      </w:r>
      <w:proofErr w:type="spellEnd"/>
      <w:r w:rsidR="001E4E72" w:rsidRPr="00E67926">
        <w:rPr>
          <w:rFonts w:asciiTheme="minorHAnsi" w:eastAsiaTheme="minorHAnsi" w:hAnsiTheme="minorHAnsi" w:cstheme="minorBidi"/>
          <w:snapToGrid/>
          <w:sz w:val="24"/>
          <w:szCs w:val="22"/>
        </w:rPr>
        <w:t xml:space="preserve"> in the </w:t>
      </w:r>
      <w:r w:rsidR="00563DB8" w:rsidRPr="00E67926">
        <w:rPr>
          <w:rFonts w:asciiTheme="minorHAnsi" w:eastAsiaTheme="minorHAnsi" w:hAnsiTheme="minorHAnsi" w:cstheme="minorBidi"/>
          <w:snapToGrid/>
          <w:sz w:val="24"/>
          <w:szCs w:val="22"/>
        </w:rPr>
        <w:t>ND MM</w:t>
      </w:r>
      <w:r w:rsidR="001E4E72" w:rsidRPr="00E67926">
        <w:rPr>
          <w:rFonts w:asciiTheme="minorHAnsi" w:eastAsiaTheme="minorHAnsi" w:hAnsiTheme="minorHAnsi" w:cstheme="minorBidi"/>
          <w:snapToGrid/>
          <w:sz w:val="24"/>
          <w:szCs w:val="22"/>
        </w:rPr>
        <w:t xml:space="preserve"> population has been below that estimated in the November 2015 and March 2016 PBAC submissions – see table below.</w:t>
      </w:r>
      <w:r w:rsidR="00FD4B55" w:rsidRPr="00E67926">
        <w:rPr>
          <w:rFonts w:asciiTheme="minorHAnsi" w:eastAsiaTheme="minorHAnsi" w:hAnsiTheme="minorHAnsi" w:cstheme="minorBidi"/>
          <w:snapToGrid/>
          <w:sz w:val="24"/>
          <w:szCs w:val="22"/>
        </w:rPr>
        <w:t xml:space="preserve"> Should there be an increase in use with the streamlining of the PBS </w:t>
      </w:r>
      <w:r w:rsidR="00E67926" w:rsidRPr="00E67926">
        <w:rPr>
          <w:rFonts w:asciiTheme="minorHAnsi" w:eastAsiaTheme="minorHAnsi" w:hAnsiTheme="minorHAnsi" w:cstheme="minorBidi"/>
          <w:snapToGrid/>
          <w:sz w:val="24"/>
          <w:szCs w:val="22"/>
        </w:rPr>
        <w:t>indications;</w:t>
      </w:r>
      <w:r w:rsidR="00FD4B55" w:rsidRPr="00E67926">
        <w:rPr>
          <w:rFonts w:asciiTheme="minorHAnsi" w:eastAsiaTheme="minorHAnsi" w:hAnsiTheme="minorHAnsi" w:cstheme="minorBidi"/>
          <w:snapToGrid/>
          <w:sz w:val="24"/>
          <w:szCs w:val="22"/>
        </w:rPr>
        <w:t xml:space="preserve"> the use in ND</w:t>
      </w:r>
      <w:r w:rsidR="00AA2F06" w:rsidRPr="00E67926">
        <w:rPr>
          <w:rFonts w:asciiTheme="minorHAnsi" w:eastAsiaTheme="minorHAnsi" w:hAnsiTheme="minorHAnsi" w:cstheme="minorBidi"/>
          <w:snapToGrid/>
          <w:sz w:val="24"/>
          <w:szCs w:val="22"/>
        </w:rPr>
        <w:t xml:space="preserve"> </w:t>
      </w:r>
      <w:r w:rsidR="00FD4B55" w:rsidRPr="00E67926">
        <w:rPr>
          <w:rFonts w:asciiTheme="minorHAnsi" w:eastAsiaTheme="minorHAnsi" w:hAnsiTheme="minorHAnsi" w:cstheme="minorBidi"/>
          <w:snapToGrid/>
          <w:sz w:val="24"/>
          <w:szCs w:val="22"/>
        </w:rPr>
        <w:t>MM is likely to remain under the current RSA caps.</w:t>
      </w:r>
    </w:p>
    <w:p w:rsidR="001E4E72" w:rsidRPr="00E67926" w:rsidRDefault="00CB1F58" w:rsidP="00CB1F58">
      <w:pPr>
        <w:keepNext/>
        <w:rPr>
          <w:rFonts w:ascii="Arial Narrow" w:eastAsiaTheme="minorHAnsi" w:hAnsi="Arial Narrow" w:cstheme="minorBidi"/>
          <w:b/>
          <w:sz w:val="20"/>
          <w:szCs w:val="20"/>
        </w:rPr>
      </w:pPr>
      <w:r w:rsidRPr="00E67926">
        <w:rPr>
          <w:rFonts w:ascii="Arial Narrow" w:eastAsiaTheme="minorHAnsi" w:hAnsi="Arial Narrow" w:cstheme="minorBidi"/>
          <w:b/>
          <w:sz w:val="20"/>
          <w:szCs w:val="20"/>
        </w:rPr>
        <w:lastRenderedPageBreak/>
        <w:t>Table 4</w:t>
      </w:r>
      <w:r w:rsidR="001E4E72" w:rsidRPr="00E67926">
        <w:rPr>
          <w:rFonts w:ascii="Arial Narrow" w:eastAsiaTheme="minorHAnsi" w:hAnsi="Arial Narrow" w:cstheme="minorBidi"/>
          <w:b/>
          <w:sz w:val="20"/>
          <w:szCs w:val="20"/>
        </w:rPr>
        <w:t xml:space="preserve">: Proportion of </w:t>
      </w:r>
      <w:proofErr w:type="spellStart"/>
      <w:r w:rsidR="001E4E72" w:rsidRPr="00E67926">
        <w:rPr>
          <w:rFonts w:ascii="Arial Narrow" w:eastAsiaTheme="minorHAnsi" w:hAnsi="Arial Narrow" w:cstheme="minorBidi"/>
          <w:b/>
          <w:sz w:val="20"/>
          <w:szCs w:val="20"/>
        </w:rPr>
        <w:t>lenalidomide</w:t>
      </w:r>
      <w:proofErr w:type="spellEnd"/>
      <w:r w:rsidR="001E4E72" w:rsidRPr="00E67926">
        <w:rPr>
          <w:rFonts w:ascii="Arial Narrow" w:eastAsiaTheme="minorHAnsi" w:hAnsi="Arial Narrow" w:cstheme="minorBidi"/>
          <w:b/>
          <w:sz w:val="20"/>
          <w:szCs w:val="20"/>
        </w:rPr>
        <w:t xml:space="preserve"> NDMM TNE subsidisation cap </w:t>
      </w:r>
      <w:proofErr w:type="spellStart"/>
      <w:r w:rsidR="001E4E72" w:rsidRPr="00E67926">
        <w:rPr>
          <w:rFonts w:ascii="Arial Narrow" w:eastAsiaTheme="minorHAnsi" w:hAnsi="Arial Narrow" w:cstheme="minorBidi"/>
          <w:b/>
          <w:sz w:val="20"/>
          <w:szCs w:val="20"/>
        </w:rPr>
        <w:t>reached</w:t>
      </w:r>
      <w:r w:rsidR="001E4E72" w:rsidRPr="00E67926">
        <w:rPr>
          <w:rFonts w:ascii="Arial Narrow" w:eastAsiaTheme="minorHAnsi" w:hAnsi="Arial Narrow" w:cstheme="minorBidi"/>
          <w:b/>
          <w:sz w:val="20"/>
          <w:szCs w:val="20"/>
          <w:vertAlign w:val="superscript"/>
        </w:rPr>
        <w:t>a</w:t>
      </w:r>
      <w:proofErr w:type="spellEnd"/>
    </w:p>
    <w:tbl>
      <w:tblPr>
        <w:tblStyle w:val="TableGrid"/>
        <w:tblW w:w="0" w:type="auto"/>
        <w:tblLook w:val="04A0" w:firstRow="1" w:lastRow="0" w:firstColumn="1" w:lastColumn="0" w:noHBand="0" w:noVBand="1"/>
        <w:tblCaption w:val="Table 4: Proportion of lenalidomide NDMM TNE subsidisation cap reacheda"/>
      </w:tblPr>
      <w:tblGrid>
        <w:gridCol w:w="3005"/>
        <w:gridCol w:w="3005"/>
        <w:gridCol w:w="3006"/>
      </w:tblGrid>
      <w:tr w:rsidR="001E4E72" w:rsidRPr="00E67926" w:rsidTr="0004619E">
        <w:trPr>
          <w:tblHeader/>
        </w:trPr>
        <w:tc>
          <w:tcPr>
            <w:tcW w:w="3005" w:type="dxa"/>
          </w:tcPr>
          <w:p w:rsidR="001E4E72" w:rsidRPr="00E67926" w:rsidRDefault="001E4E72" w:rsidP="00CB1F58">
            <w:pPr>
              <w:keepNext/>
              <w:rPr>
                <w:rFonts w:ascii="Arial Narrow" w:eastAsiaTheme="minorHAnsi" w:hAnsi="Arial Narrow" w:cstheme="minorBidi"/>
                <w:sz w:val="20"/>
                <w:szCs w:val="20"/>
              </w:rPr>
            </w:pPr>
            <w:bookmarkStart w:id="2" w:name="_GoBack"/>
          </w:p>
        </w:tc>
        <w:tc>
          <w:tcPr>
            <w:tcW w:w="3005" w:type="dxa"/>
          </w:tcPr>
          <w:p w:rsidR="001E4E72" w:rsidRPr="00E67926" w:rsidRDefault="001E4E72" w:rsidP="00CB1F58">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Deed, Year 1</w:t>
            </w:r>
          </w:p>
          <w:p w:rsidR="001E4E72" w:rsidRPr="00E67926" w:rsidRDefault="001E4E72" w:rsidP="00CB1F58">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Feb 2017-Jan 2018</w:t>
            </w:r>
          </w:p>
        </w:tc>
        <w:tc>
          <w:tcPr>
            <w:tcW w:w="3006" w:type="dxa"/>
          </w:tcPr>
          <w:p w:rsidR="001E4E72" w:rsidRPr="00E67926" w:rsidRDefault="001E4E72" w:rsidP="00CB1F58">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Deed, Year 2</w:t>
            </w:r>
          </w:p>
          <w:p w:rsidR="001E4E72" w:rsidRPr="00E67926" w:rsidRDefault="001E4E72" w:rsidP="00CB1F58">
            <w:pPr>
              <w:keepNext/>
              <w:jc w:val="center"/>
              <w:rPr>
                <w:rFonts w:ascii="Arial Narrow" w:eastAsiaTheme="minorHAnsi" w:hAnsi="Arial Narrow" w:cstheme="minorBidi"/>
                <w:b/>
                <w:sz w:val="20"/>
                <w:szCs w:val="20"/>
              </w:rPr>
            </w:pPr>
            <w:r w:rsidRPr="00E67926">
              <w:rPr>
                <w:rFonts w:ascii="Arial Narrow" w:eastAsiaTheme="minorHAnsi" w:hAnsi="Arial Narrow" w:cstheme="minorBidi"/>
                <w:b/>
                <w:sz w:val="20"/>
                <w:szCs w:val="20"/>
              </w:rPr>
              <w:t>Feb 2018-Jan 2019</w:t>
            </w:r>
          </w:p>
        </w:tc>
      </w:tr>
      <w:tr w:rsidR="001E4E72" w:rsidRPr="00E67926" w:rsidTr="0004619E">
        <w:trPr>
          <w:tblHeader/>
        </w:trPr>
        <w:tc>
          <w:tcPr>
            <w:tcW w:w="3005" w:type="dxa"/>
          </w:tcPr>
          <w:p w:rsidR="001E4E72" w:rsidRPr="00E67926" w:rsidRDefault="001E4E72"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Subsidisation cap</w:t>
            </w:r>
          </w:p>
        </w:tc>
        <w:tc>
          <w:tcPr>
            <w:tcW w:w="3005" w:type="dxa"/>
          </w:tcPr>
          <w:p w:rsidR="001E4E72" w:rsidRPr="00E67926" w:rsidRDefault="001E4E72" w:rsidP="00CB1F58">
            <w:pPr>
              <w:keepNext/>
              <w:jc w:val="center"/>
              <w:rPr>
                <w:rFonts w:ascii="Arial Narrow" w:eastAsiaTheme="minorHAnsi" w:hAnsi="Arial Narrow" w:cstheme="minorBidi"/>
                <w:sz w:val="20"/>
                <w:szCs w:val="20"/>
              </w:rPr>
            </w:pPr>
            <w:r w:rsidRPr="00E67926">
              <w:rPr>
                <w:rFonts w:ascii="Arial Narrow" w:eastAsiaTheme="minorHAnsi" w:hAnsi="Arial Narrow" w:cstheme="minorBidi"/>
                <w:sz w:val="20"/>
                <w:szCs w:val="20"/>
              </w:rPr>
              <w:t>$</w:t>
            </w:r>
            <w:r w:rsidR="00DA05D0">
              <w:rPr>
                <w:rFonts w:ascii="Arial Narrow" w:eastAsiaTheme="minorHAnsi" w:hAnsi="Arial Narrow" w:cstheme="minorBidi"/>
                <w:noProof/>
                <w:color w:val="000000"/>
                <w:sz w:val="20"/>
                <w:szCs w:val="20"/>
                <w:highlight w:val="black"/>
              </w:rPr>
              <w:t>''''''''''</w:t>
            </w:r>
            <w:r w:rsidRPr="00E67926">
              <w:rPr>
                <w:rFonts w:ascii="Arial Narrow" w:eastAsiaTheme="minorHAnsi" w:hAnsi="Arial Narrow" w:cstheme="minorBidi"/>
                <w:sz w:val="20"/>
                <w:szCs w:val="20"/>
              </w:rPr>
              <w:t xml:space="preserve"> million</w:t>
            </w:r>
          </w:p>
        </w:tc>
        <w:tc>
          <w:tcPr>
            <w:tcW w:w="3006" w:type="dxa"/>
          </w:tcPr>
          <w:p w:rsidR="001E4E72" w:rsidRPr="00E67926" w:rsidRDefault="001E4E72" w:rsidP="00CB1F58">
            <w:pPr>
              <w:keepNext/>
              <w:jc w:val="center"/>
              <w:rPr>
                <w:rFonts w:ascii="Arial Narrow" w:eastAsiaTheme="minorHAnsi" w:hAnsi="Arial Narrow" w:cstheme="minorBidi"/>
                <w:sz w:val="20"/>
                <w:szCs w:val="20"/>
              </w:rPr>
            </w:pPr>
            <w:r w:rsidRPr="00E67926">
              <w:rPr>
                <w:rFonts w:ascii="Arial Narrow" w:eastAsiaTheme="minorHAnsi" w:hAnsi="Arial Narrow" w:cstheme="minorBidi"/>
                <w:sz w:val="20"/>
                <w:szCs w:val="20"/>
              </w:rPr>
              <w:t>$</w:t>
            </w:r>
            <w:r w:rsidR="00DA05D0">
              <w:rPr>
                <w:rFonts w:ascii="Arial Narrow" w:eastAsiaTheme="minorHAnsi" w:hAnsi="Arial Narrow" w:cstheme="minorBidi"/>
                <w:noProof/>
                <w:color w:val="000000"/>
                <w:sz w:val="20"/>
                <w:szCs w:val="20"/>
                <w:highlight w:val="black"/>
              </w:rPr>
              <w:t>'''''''''''</w:t>
            </w:r>
            <w:r w:rsidRPr="00E67926">
              <w:rPr>
                <w:rFonts w:ascii="Arial Narrow" w:eastAsiaTheme="minorHAnsi" w:hAnsi="Arial Narrow" w:cstheme="minorBidi"/>
                <w:sz w:val="20"/>
                <w:szCs w:val="20"/>
              </w:rPr>
              <w:t xml:space="preserve"> million</w:t>
            </w:r>
          </w:p>
        </w:tc>
      </w:tr>
      <w:tr w:rsidR="001E4E72" w:rsidRPr="00E67926" w:rsidTr="0004619E">
        <w:trPr>
          <w:tblHeader/>
        </w:trPr>
        <w:tc>
          <w:tcPr>
            <w:tcW w:w="3005" w:type="dxa"/>
          </w:tcPr>
          <w:p w:rsidR="001E4E72" w:rsidRPr="00E67926" w:rsidRDefault="001E4E72"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 xml:space="preserve">Commonwealth </w:t>
            </w:r>
            <w:proofErr w:type="spellStart"/>
            <w:r w:rsidRPr="00E67926">
              <w:rPr>
                <w:rFonts w:ascii="Arial Narrow" w:eastAsiaTheme="minorHAnsi" w:hAnsi="Arial Narrow" w:cstheme="minorBidi"/>
                <w:sz w:val="20"/>
                <w:szCs w:val="20"/>
              </w:rPr>
              <w:t>payment</w:t>
            </w:r>
            <w:r w:rsidRPr="00E67926">
              <w:rPr>
                <w:rFonts w:ascii="Arial Narrow" w:eastAsiaTheme="minorHAnsi" w:hAnsi="Arial Narrow" w:cstheme="minorBidi"/>
                <w:sz w:val="20"/>
                <w:szCs w:val="20"/>
                <w:vertAlign w:val="superscript"/>
              </w:rPr>
              <w:t>b</w:t>
            </w:r>
            <w:proofErr w:type="spellEnd"/>
          </w:p>
        </w:tc>
        <w:tc>
          <w:tcPr>
            <w:tcW w:w="3005" w:type="dxa"/>
          </w:tcPr>
          <w:p w:rsidR="001E4E72" w:rsidRPr="00E67926" w:rsidRDefault="001E4E72" w:rsidP="00CB1F58">
            <w:pPr>
              <w:keepNext/>
              <w:jc w:val="center"/>
              <w:rPr>
                <w:rFonts w:ascii="Arial Narrow" w:eastAsiaTheme="minorHAnsi" w:hAnsi="Arial Narrow" w:cstheme="minorBidi"/>
                <w:sz w:val="20"/>
                <w:szCs w:val="20"/>
              </w:rPr>
            </w:pPr>
            <w:r w:rsidRPr="00E67926">
              <w:rPr>
                <w:rFonts w:ascii="Arial Narrow" w:eastAsiaTheme="minorHAnsi" w:hAnsi="Arial Narrow" w:cstheme="minorBidi"/>
                <w:sz w:val="20"/>
                <w:szCs w:val="20"/>
              </w:rPr>
              <w:t>$</w:t>
            </w:r>
            <w:r w:rsidR="00DA05D0">
              <w:rPr>
                <w:rFonts w:ascii="Arial Narrow" w:eastAsiaTheme="minorHAnsi" w:hAnsi="Arial Narrow" w:cstheme="minorBidi"/>
                <w:noProof/>
                <w:color w:val="000000"/>
                <w:sz w:val="20"/>
                <w:szCs w:val="20"/>
                <w:highlight w:val="black"/>
              </w:rPr>
              <w:t>'''''''''</w:t>
            </w:r>
            <w:r w:rsidRPr="00E67926">
              <w:rPr>
                <w:rFonts w:ascii="Arial Narrow" w:eastAsiaTheme="minorHAnsi" w:hAnsi="Arial Narrow" w:cstheme="minorBidi"/>
                <w:sz w:val="20"/>
                <w:szCs w:val="20"/>
              </w:rPr>
              <w:t xml:space="preserve"> million</w:t>
            </w:r>
          </w:p>
        </w:tc>
        <w:tc>
          <w:tcPr>
            <w:tcW w:w="3006" w:type="dxa"/>
          </w:tcPr>
          <w:p w:rsidR="001E4E72" w:rsidRPr="00E67926" w:rsidRDefault="001E4E72" w:rsidP="00CB1F58">
            <w:pPr>
              <w:keepNext/>
              <w:jc w:val="center"/>
              <w:rPr>
                <w:rFonts w:ascii="Arial Narrow" w:eastAsiaTheme="minorHAnsi" w:hAnsi="Arial Narrow" w:cstheme="minorBidi"/>
                <w:sz w:val="20"/>
                <w:szCs w:val="20"/>
              </w:rPr>
            </w:pPr>
            <w:r w:rsidRPr="00E67926">
              <w:rPr>
                <w:rFonts w:ascii="Arial Narrow" w:eastAsiaTheme="minorHAnsi" w:hAnsi="Arial Narrow" w:cstheme="minorBidi"/>
                <w:sz w:val="20"/>
                <w:szCs w:val="20"/>
              </w:rPr>
              <w:t>$</w:t>
            </w:r>
            <w:r w:rsidR="00DA05D0">
              <w:rPr>
                <w:rFonts w:ascii="Arial Narrow" w:eastAsiaTheme="minorHAnsi" w:hAnsi="Arial Narrow" w:cstheme="minorBidi"/>
                <w:noProof/>
                <w:color w:val="000000"/>
                <w:sz w:val="20"/>
                <w:szCs w:val="20"/>
                <w:highlight w:val="black"/>
              </w:rPr>
              <w:t>'''''''''''</w:t>
            </w:r>
            <w:r w:rsidRPr="00E67926">
              <w:rPr>
                <w:rFonts w:ascii="Arial Narrow" w:eastAsiaTheme="minorHAnsi" w:hAnsi="Arial Narrow" w:cstheme="minorBidi"/>
                <w:sz w:val="20"/>
                <w:szCs w:val="20"/>
              </w:rPr>
              <w:t xml:space="preserve"> </w:t>
            </w:r>
            <w:proofErr w:type="spellStart"/>
            <w:r w:rsidRPr="00E67926">
              <w:rPr>
                <w:rFonts w:ascii="Arial Narrow" w:eastAsiaTheme="minorHAnsi" w:hAnsi="Arial Narrow" w:cstheme="minorBidi"/>
                <w:sz w:val="20"/>
                <w:szCs w:val="20"/>
              </w:rPr>
              <w:t>million</w:t>
            </w:r>
            <w:r w:rsidRPr="00E67926">
              <w:rPr>
                <w:rFonts w:ascii="Arial Narrow" w:eastAsiaTheme="minorHAnsi" w:hAnsi="Arial Narrow" w:cstheme="minorBidi"/>
                <w:sz w:val="20"/>
                <w:szCs w:val="20"/>
                <w:vertAlign w:val="superscript"/>
              </w:rPr>
              <w:t>c</w:t>
            </w:r>
            <w:proofErr w:type="spellEnd"/>
          </w:p>
        </w:tc>
      </w:tr>
      <w:tr w:rsidR="001E4E72" w:rsidRPr="00E67926" w:rsidTr="0004619E">
        <w:trPr>
          <w:tblHeader/>
        </w:trPr>
        <w:tc>
          <w:tcPr>
            <w:tcW w:w="3005" w:type="dxa"/>
          </w:tcPr>
          <w:p w:rsidR="001E4E72" w:rsidRPr="00E67926" w:rsidRDefault="001E4E72" w:rsidP="00CB1F58">
            <w:pPr>
              <w:keepNext/>
              <w:rPr>
                <w:rFonts w:ascii="Arial Narrow" w:eastAsiaTheme="minorHAnsi" w:hAnsi="Arial Narrow" w:cstheme="minorBidi"/>
                <w:sz w:val="20"/>
                <w:szCs w:val="20"/>
              </w:rPr>
            </w:pPr>
            <w:r w:rsidRPr="00E67926">
              <w:rPr>
                <w:rFonts w:ascii="Arial Narrow" w:eastAsiaTheme="minorHAnsi" w:hAnsi="Arial Narrow" w:cstheme="minorBidi"/>
                <w:sz w:val="20"/>
                <w:szCs w:val="20"/>
              </w:rPr>
              <w:t>Proportion of cap reached</w:t>
            </w:r>
          </w:p>
        </w:tc>
        <w:tc>
          <w:tcPr>
            <w:tcW w:w="3005" w:type="dxa"/>
          </w:tcPr>
          <w:p w:rsidR="001E4E72" w:rsidRPr="00E67926" w:rsidRDefault="00DA05D0" w:rsidP="00CB1F58">
            <w:pPr>
              <w:keepNext/>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1E4E72" w:rsidRPr="00E67926">
              <w:rPr>
                <w:rFonts w:ascii="Arial Narrow" w:eastAsiaTheme="minorHAnsi" w:hAnsi="Arial Narrow" w:cstheme="minorBidi"/>
                <w:sz w:val="20"/>
                <w:szCs w:val="20"/>
              </w:rPr>
              <w:t>%</w:t>
            </w:r>
          </w:p>
        </w:tc>
        <w:tc>
          <w:tcPr>
            <w:tcW w:w="3006" w:type="dxa"/>
          </w:tcPr>
          <w:p w:rsidR="001E4E72" w:rsidRPr="00E67926" w:rsidRDefault="00DA05D0" w:rsidP="00CB1F58">
            <w:pPr>
              <w:keepNext/>
              <w:jc w:val="center"/>
              <w:rPr>
                <w:rFonts w:ascii="Arial Narrow" w:eastAsiaTheme="minorHAnsi" w:hAnsi="Arial Narrow" w:cstheme="minorBidi"/>
                <w:sz w:val="20"/>
                <w:szCs w:val="20"/>
              </w:rPr>
            </w:pPr>
            <w:r>
              <w:rPr>
                <w:rFonts w:ascii="Arial Narrow" w:eastAsiaTheme="minorHAnsi" w:hAnsi="Arial Narrow" w:cstheme="minorBidi"/>
                <w:noProof/>
                <w:color w:val="000000"/>
                <w:sz w:val="20"/>
                <w:szCs w:val="20"/>
                <w:highlight w:val="black"/>
              </w:rPr>
              <w:t>''''''''''</w:t>
            </w:r>
            <w:r w:rsidR="001E4E72" w:rsidRPr="00E67926">
              <w:rPr>
                <w:rFonts w:ascii="Arial Narrow" w:eastAsiaTheme="minorHAnsi" w:hAnsi="Arial Narrow" w:cstheme="minorBidi"/>
                <w:sz w:val="20"/>
                <w:szCs w:val="20"/>
              </w:rPr>
              <w:t>%</w:t>
            </w:r>
            <w:r w:rsidR="001E4E72" w:rsidRPr="00E67926">
              <w:rPr>
                <w:rFonts w:ascii="Arial Narrow" w:eastAsiaTheme="minorHAnsi" w:hAnsi="Arial Narrow" w:cstheme="minorBidi"/>
                <w:sz w:val="20"/>
                <w:szCs w:val="20"/>
                <w:vertAlign w:val="superscript"/>
              </w:rPr>
              <w:t>c</w:t>
            </w:r>
          </w:p>
        </w:tc>
      </w:tr>
    </w:tbl>
    <w:bookmarkEnd w:id="2"/>
    <w:p w:rsidR="001E4E72" w:rsidRPr="00E67926" w:rsidRDefault="001E4E72" w:rsidP="001E4E72">
      <w:pPr>
        <w:rPr>
          <w:rFonts w:ascii="Arial Narrow" w:eastAsiaTheme="minorHAnsi" w:hAnsi="Arial Narrow" w:cstheme="minorBidi"/>
          <w:sz w:val="18"/>
          <w:szCs w:val="18"/>
        </w:rPr>
      </w:pPr>
      <w:r w:rsidRPr="00E67926">
        <w:rPr>
          <w:rFonts w:ascii="Arial Narrow" w:eastAsiaTheme="minorHAnsi" w:hAnsi="Arial Narrow" w:cstheme="minorBidi"/>
          <w:sz w:val="18"/>
          <w:szCs w:val="18"/>
        </w:rPr>
        <w:t>NDMM TNE = newly diagnosed multiple myeloma, transplant not eligible</w:t>
      </w:r>
    </w:p>
    <w:p w:rsidR="001E4E72" w:rsidRPr="00E67926" w:rsidRDefault="001E4E72" w:rsidP="001E4E72">
      <w:pPr>
        <w:rPr>
          <w:rFonts w:ascii="Arial Narrow" w:eastAsiaTheme="minorHAnsi" w:hAnsi="Arial Narrow" w:cstheme="minorBidi"/>
          <w:sz w:val="18"/>
          <w:szCs w:val="18"/>
        </w:rPr>
      </w:pPr>
      <w:r w:rsidRPr="00E67926">
        <w:rPr>
          <w:rFonts w:ascii="Arial Narrow" w:eastAsiaTheme="minorHAnsi" w:hAnsi="Arial Narrow" w:cstheme="minorBidi"/>
          <w:sz w:val="18"/>
          <w:szCs w:val="18"/>
        </w:rPr>
        <w:t>Source: Table 4, p14 of the submission</w:t>
      </w:r>
    </w:p>
    <w:p w:rsidR="001E4E72" w:rsidRPr="00E67926" w:rsidRDefault="001E4E72" w:rsidP="001E4E72">
      <w:pPr>
        <w:rPr>
          <w:rFonts w:ascii="Arial Narrow" w:eastAsiaTheme="minorHAnsi" w:hAnsi="Arial Narrow" w:cstheme="minorBidi"/>
          <w:sz w:val="18"/>
          <w:szCs w:val="18"/>
        </w:rPr>
      </w:pPr>
      <w:proofErr w:type="gramStart"/>
      <w:r w:rsidRPr="00E67926">
        <w:rPr>
          <w:rFonts w:ascii="Arial Narrow" w:eastAsiaTheme="minorHAnsi" w:hAnsi="Arial Narrow" w:cstheme="minorBidi"/>
          <w:sz w:val="18"/>
          <w:szCs w:val="18"/>
          <w:vertAlign w:val="superscript"/>
        </w:rPr>
        <w:t>a</w:t>
      </w:r>
      <w:proofErr w:type="gramEnd"/>
      <w:r w:rsidRPr="00E67926">
        <w:rPr>
          <w:rFonts w:ascii="Arial Narrow" w:eastAsiaTheme="minorHAnsi" w:hAnsi="Arial Narrow" w:cstheme="minorBidi"/>
          <w:sz w:val="18"/>
          <w:szCs w:val="18"/>
          <w:vertAlign w:val="superscript"/>
        </w:rPr>
        <w:t xml:space="preserve"> </w:t>
      </w:r>
      <w:r w:rsidRPr="00E67926">
        <w:rPr>
          <w:rFonts w:ascii="Arial Narrow" w:eastAsiaTheme="minorHAnsi" w:hAnsi="Arial Narrow" w:cstheme="minorBidi"/>
          <w:sz w:val="18"/>
          <w:szCs w:val="18"/>
        </w:rPr>
        <w:t>PBS items 11029L, 11036W, 11063G, 11062F, 11042E, 11041D, 11055W</w:t>
      </w:r>
    </w:p>
    <w:p w:rsidR="001E4E72" w:rsidRPr="00E67926" w:rsidRDefault="001E4E72" w:rsidP="001E4E72">
      <w:pPr>
        <w:rPr>
          <w:rFonts w:ascii="Arial Narrow" w:eastAsiaTheme="minorHAnsi" w:hAnsi="Arial Narrow" w:cstheme="minorBidi"/>
          <w:sz w:val="18"/>
          <w:szCs w:val="18"/>
        </w:rPr>
      </w:pPr>
      <w:proofErr w:type="gramStart"/>
      <w:r w:rsidRPr="00E67926">
        <w:rPr>
          <w:rFonts w:ascii="Arial Narrow" w:eastAsiaTheme="minorHAnsi" w:hAnsi="Arial Narrow" w:cstheme="minorBidi"/>
          <w:sz w:val="18"/>
          <w:szCs w:val="18"/>
          <w:vertAlign w:val="superscript"/>
        </w:rPr>
        <w:t>b</w:t>
      </w:r>
      <w:proofErr w:type="gramEnd"/>
      <w:r w:rsidRPr="00E67926">
        <w:rPr>
          <w:rFonts w:ascii="Arial Narrow" w:eastAsiaTheme="minorHAnsi" w:hAnsi="Arial Narrow" w:cstheme="minorBidi"/>
          <w:sz w:val="18"/>
          <w:szCs w:val="18"/>
          <w:vertAlign w:val="superscript"/>
        </w:rPr>
        <w:t xml:space="preserve"> </w:t>
      </w:r>
      <w:r w:rsidRPr="00E67926">
        <w:rPr>
          <w:rFonts w:ascii="Arial Narrow" w:eastAsiaTheme="minorHAnsi" w:hAnsi="Arial Narrow" w:cstheme="minorBidi"/>
          <w:sz w:val="18"/>
          <w:szCs w:val="18"/>
        </w:rPr>
        <w:t>Expenditure figures based on the effective price</w:t>
      </w:r>
    </w:p>
    <w:p w:rsidR="001E4E72" w:rsidRPr="00E67926" w:rsidRDefault="001E4E72" w:rsidP="001E4E72">
      <w:pPr>
        <w:rPr>
          <w:rFonts w:ascii="Arial Narrow" w:eastAsiaTheme="minorHAnsi" w:hAnsi="Arial Narrow" w:cstheme="minorBidi"/>
          <w:sz w:val="18"/>
          <w:szCs w:val="18"/>
        </w:rPr>
      </w:pPr>
      <w:proofErr w:type="gramStart"/>
      <w:r w:rsidRPr="00E67926">
        <w:rPr>
          <w:rFonts w:ascii="Arial Narrow" w:eastAsiaTheme="minorHAnsi" w:hAnsi="Arial Narrow" w:cstheme="minorBidi"/>
          <w:sz w:val="18"/>
          <w:szCs w:val="18"/>
          <w:vertAlign w:val="superscript"/>
        </w:rPr>
        <w:t>c</w:t>
      </w:r>
      <w:proofErr w:type="gramEnd"/>
      <w:r w:rsidRPr="00E67926">
        <w:rPr>
          <w:rFonts w:ascii="Arial Narrow" w:eastAsiaTheme="minorHAnsi" w:hAnsi="Arial Narrow" w:cstheme="minorBidi"/>
          <w:sz w:val="18"/>
          <w:szCs w:val="18"/>
        </w:rPr>
        <w:t xml:space="preserve"> Figures from February 18 to October 18 </w:t>
      </w:r>
    </w:p>
    <w:p w:rsidR="00DC77E6" w:rsidRPr="00E67926" w:rsidRDefault="00DC77E6" w:rsidP="00377007">
      <w:pPr>
        <w:pStyle w:val="Heading2"/>
        <w:keepLines/>
        <w:spacing w:before="120" w:after="120"/>
        <w:rPr>
          <w:rFonts w:asciiTheme="minorHAnsi" w:eastAsiaTheme="majorEastAsia" w:hAnsiTheme="minorHAnsi" w:cstheme="majorBidi"/>
          <w:sz w:val="28"/>
          <w:szCs w:val="28"/>
          <w:lang w:eastAsia="en-US"/>
        </w:rPr>
      </w:pPr>
      <w:r w:rsidRPr="00E67926">
        <w:rPr>
          <w:rFonts w:asciiTheme="minorHAnsi" w:eastAsiaTheme="majorEastAsia" w:hAnsiTheme="minorHAnsi" w:cstheme="majorBidi"/>
          <w:sz w:val="28"/>
          <w:szCs w:val="28"/>
          <w:lang w:eastAsia="en-US"/>
        </w:rPr>
        <w:t>Quality use of medicines</w:t>
      </w:r>
      <w:r w:rsidRPr="00E67926">
        <w:rPr>
          <w:rFonts w:asciiTheme="minorHAnsi" w:eastAsiaTheme="majorEastAsia" w:hAnsiTheme="minorHAnsi" w:cstheme="majorBidi"/>
          <w:sz w:val="28"/>
          <w:szCs w:val="28"/>
          <w:lang w:eastAsia="en-US"/>
        </w:rPr>
        <w:tab/>
      </w:r>
    </w:p>
    <w:p w:rsidR="00BB7EC3" w:rsidRPr="00E67926" w:rsidRDefault="00DC77E6" w:rsidP="00377007">
      <w:pPr>
        <w:pStyle w:val="ListParagraph"/>
        <w:widowControl/>
        <w:numPr>
          <w:ilvl w:val="1"/>
          <w:numId w:val="14"/>
        </w:numPr>
        <w:spacing w:before="120" w:after="120"/>
        <w:contextualSpacing w:val="0"/>
        <w:rPr>
          <w:rFonts w:asciiTheme="minorHAnsi" w:eastAsiaTheme="minorHAnsi" w:hAnsiTheme="minorHAnsi" w:cstheme="minorBidi"/>
          <w:snapToGrid/>
          <w:color w:val="FF00FF"/>
          <w:sz w:val="24"/>
          <w:szCs w:val="22"/>
        </w:rPr>
      </w:pPr>
      <w:r w:rsidRPr="00E67926">
        <w:rPr>
          <w:rFonts w:asciiTheme="minorHAnsi" w:eastAsiaTheme="minorHAnsi" w:hAnsiTheme="minorHAnsi" w:cstheme="minorBidi"/>
          <w:snapToGrid/>
          <w:sz w:val="24"/>
          <w:szCs w:val="22"/>
        </w:rPr>
        <w:t xml:space="preserve">The submission claimed that the Authority Required (Written) process resulted in a significant impediment to providing patient care and unnecessarily delayed initiation of multiple myeloma treatment. The submission was concerned that the different level of authority between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and </w:t>
      </w:r>
      <w:proofErr w:type="spellStart"/>
      <w:r w:rsidRPr="00E67926">
        <w:rPr>
          <w:rFonts w:asciiTheme="minorHAnsi" w:eastAsiaTheme="minorHAnsi" w:hAnsiTheme="minorHAnsi" w:cstheme="minorBidi"/>
          <w:snapToGrid/>
          <w:sz w:val="24"/>
          <w:szCs w:val="22"/>
        </w:rPr>
        <w:t>bortezomib</w:t>
      </w:r>
      <w:proofErr w:type="spellEnd"/>
      <w:r w:rsidRPr="00E67926">
        <w:rPr>
          <w:rFonts w:asciiTheme="minorHAnsi" w:eastAsiaTheme="minorHAnsi" w:hAnsiTheme="minorHAnsi" w:cstheme="minorBidi"/>
          <w:snapToGrid/>
          <w:sz w:val="24"/>
          <w:szCs w:val="22"/>
        </w:rPr>
        <w:t xml:space="preserve"> was unethical and unfairly discriminated patients for whom </w:t>
      </w:r>
      <w:proofErr w:type="spellStart"/>
      <w:r w:rsidRPr="00E67926">
        <w:rPr>
          <w:rFonts w:asciiTheme="minorHAnsi" w:eastAsiaTheme="minorHAnsi" w:hAnsiTheme="minorHAnsi" w:cstheme="minorBidi"/>
          <w:snapToGrid/>
          <w:sz w:val="24"/>
          <w:szCs w:val="22"/>
        </w:rPr>
        <w:t>lenalidomide</w:t>
      </w:r>
      <w:proofErr w:type="spellEnd"/>
      <w:r w:rsidRPr="00E67926">
        <w:rPr>
          <w:rFonts w:asciiTheme="minorHAnsi" w:eastAsiaTheme="minorHAnsi" w:hAnsiTheme="minorHAnsi" w:cstheme="minorBidi"/>
          <w:snapToGrid/>
          <w:sz w:val="24"/>
          <w:szCs w:val="22"/>
        </w:rPr>
        <w:t xml:space="preserve"> </w:t>
      </w:r>
      <w:proofErr w:type="gramStart"/>
      <w:r w:rsidRPr="00E67926">
        <w:rPr>
          <w:rFonts w:asciiTheme="minorHAnsi" w:eastAsiaTheme="minorHAnsi" w:hAnsiTheme="minorHAnsi" w:cstheme="minorBidi"/>
          <w:snapToGrid/>
          <w:sz w:val="24"/>
          <w:szCs w:val="22"/>
        </w:rPr>
        <w:t>was deemed</w:t>
      </w:r>
      <w:proofErr w:type="gramEnd"/>
      <w:r w:rsidRPr="00E67926">
        <w:rPr>
          <w:rFonts w:asciiTheme="minorHAnsi" w:eastAsiaTheme="minorHAnsi" w:hAnsiTheme="minorHAnsi" w:cstheme="minorBidi"/>
          <w:snapToGrid/>
          <w:sz w:val="24"/>
          <w:szCs w:val="22"/>
        </w:rPr>
        <w:t xml:space="preserve"> </w:t>
      </w:r>
      <w:r w:rsidR="00E67926" w:rsidRPr="00E67926">
        <w:rPr>
          <w:rFonts w:asciiTheme="minorHAnsi" w:eastAsiaTheme="minorHAnsi" w:hAnsiTheme="minorHAnsi" w:cstheme="minorBidi"/>
          <w:snapToGrid/>
          <w:sz w:val="24"/>
          <w:szCs w:val="22"/>
        </w:rPr>
        <w:t>the</w:t>
      </w:r>
      <w:r w:rsidRPr="00E67926">
        <w:rPr>
          <w:rFonts w:asciiTheme="minorHAnsi" w:eastAsiaTheme="minorHAnsi" w:hAnsiTheme="minorHAnsi" w:cstheme="minorBidi"/>
          <w:snapToGrid/>
          <w:sz w:val="24"/>
          <w:szCs w:val="22"/>
        </w:rPr>
        <w:t xml:space="preserve"> more clinically appropriate treatment as they faced a delay in the commencement of treatment.</w:t>
      </w:r>
    </w:p>
    <w:p w:rsidR="00B275EC" w:rsidRPr="00E67926" w:rsidRDefault="00B275EC" w:rsidP="00377007">
      <w:pPr>
        <w:pStyle w:val="ListParagraph"/>
        <w:widowControl/>
        <w:spacing w:before="120" w:after="120"/>
        <w:contextualSpacing w:val="0"/>
        <w:rPr>
          <w:rFonts w:asciiTheme="minorHAnsi" w:eastAsiaTheme="minorHAnsi" w:hAnsiTheme="minorHAnsi" w:cstheme="minorBidi"/>
          <w:i/>
          <w:snapToGrid/>
          <w:sz w:val="24"/>
          <w:szCs w:val="22"/>
        </w:rPr>
      </w:pPr>
      <w:r w:rsidRPr="00E67926">
        <w:rPr>
          <w:rFonts w:asciiTheme="minorHAnsi" w:eastAsiaTheme="minorHAnsi" w:hAnsiTheme="minorHAnsi" w:cstheme="minorBidi"/>
          <w:i/>
          <w:snapToGrid/>
          <w:sz w:val="24"/>
          <w:szCs w:val="22"/>
        </w:rPr>
        <w:t>For more detail on PBAC’s view, see Section 4 PBAC outcome.</w:t>
      </w:r>
    </w:p>
    <w:p w:rsidR="00A74C27" w:rsidRPr="00E67926" w:rsidRDefault="00A74C27" w:rsidP="00377007">
      <w:pPr>
        <w:pStyle w:val="PBACHeading1"/>
        <w:spacing w:before="120" w:after="120"/>
        <w:rPr>
          <w:rFonts w:ascii="Calibri" w:hAnsi="Calibri" w:cs="Calibri"/>
          <w:sz w:val="32"/>
          <w:szCs w:val="32"/>
        </w:rPr>
      </w:pPr>
      <w:r w:rsidRPr="00E67926">
        <w:rPr>
          <w:rFonts w:ascii="Calibri" w:hAnsi="Calibri" w:cs="Calibri"/>
          <w:sz w:val="32"/>
          <w:szCs w:val="32"/>
        </w:rPr>
        <w:t>PBAC Outcome</w:t>
      </w:r>
    </w:p>
    <w:p w:rsidR="00CB6D0A" w:rsidRPr="00026B44" w:rsidRDefault="00821A26" w:rsidP="00377007">
      <w:pPr>
        <w:widowControl w:val="0"/>
        <w:numPr>
          <w:ilvl w:val="1"/>
          <w:numId w:val="5"/>
        </w:numPr>
        <w:spacing w:before="120" w:after="120"/>
        <w:jc w:val="both"/>
        <w:rPr>
          <w:rFonts w:asciiTheme="minorHAnsi" w:hAnsiTheme="minorHAnsi" w:cs="Arial"/>
          <w:bCs/>
          <w:snapToGrid w:val="0"/>
        </w:rPr>
      </w:pPr>
      <w:r w:rsidRPr="00026B44">
        <w:rPr>
          <w:rFonts w:asciiTheme="minorHAnsi" w:hAnsiTheme="minorHAnsi" w:cs="Arial"/>
          <w:bCs/>
          <w:snapToGrid w:val="0"/>
        </w:rPr>
        <w:t xml:space="preserve">The PBAC decided not to recommend a change to the restriction level of the existing PBS listings for </w:t>
      </w:r>
      <w:proofErr w:type="spellStart"/>
      <w:r w:rsidRPr="00026B44">
        <w:rPr>
          <w:rFonts w:asciiTheme="minorHAnsi" w:hAnsiTheme="minorHAnsi" w:cs="Arial"/>
          <w:bCs/>
          <w:snapToGrid w:val="0"/>
        </w:rPr>
        <w:t>lenalidomide</w:t>
      </w:r>
      <w:proofErr w:type="spellEnd"/>
      <w:r w:rsidRPr="00026B44">
        <w:rPr>
          <w:rFonts w:asciiTheme="minorHAnsi" w:hAnsiTheme="minorHAnsi" w:cs="Arial"/>
          <w:bCs/>
          <w:snapToGrid w:val="0"/>
        </w:rPr>
        <w:t xml:space="preserve"> for multiple myeloma from Authority Required (Written) to Authority Required (STREAMLINED). </w:t>
      </w:r>
      <w:proofErr w:type="spellStart"/>
      <w:r w:rsidR="00C77ABD" w:rsidRPr="00026B44">
        <w:rPr>
          <w:rFonts w:asciiTheme="minorHAnsi" w:hAnsiTheme="minorHAnsi" w:cs="Arial"/>
          <w:bCs/>
          <w:snapToGrid w:val="0"/>
        </w:rPr>
        <w:t>Lenalidomide</w:t>
      </w:r>
      <w:proofErr w:type="spellEnd"/>
      <w:r w:rsidR="00C77ABD" w:rsidRPr="00026B44">
        <w:rPr>
          <w:rFonts w:asciiTheme="minorHAnsi" w:hAnsiTheme="minorHAnsi" w:cs="Arial"/>
          <w:bCs/>
          <w:snapToGrid w:val="0"/>
        </w:rPr>
        <w:t xml:space="preserve"> is currently PBS listed for the treatment of patients with newly diagnosed multiple myeloma (ND MM) who are ineligible for a stem cell transplant and relapsed or refractory multiple myeloma (RR MM)</w:t>
      </w:r>
      <w:r w:rsidR="00B85E43" w:rsidRPr="00026B44">
        <w:rPr>
          <w:rFonts w:asciiTheme="minorHAnsi" w:hAnsiTheme="minorHAnsi" w:cs="Arial"/>
          <w:bCs/>
          <w:snapToGrid w:val="0"/>
        </w:rPr>
        <w:t>.</w:t>
      </w:r>
    </w:p>
    <w:p w:rsidR="0082024F" w:rsidRPr="00026B44" w:rsidRDefault="0082024F" w:rsidP="00377007">
      <w:pPr>
        <w:widowControl w:val="0"/>
        <w:numPr>
          <w:ilvl w:val="1"/>
          <w:numId w:val="5"/>
        </w:numPr>
        <w:spacing w:before="120" w:after="120"/>
        <w:jc w:val="both"/>
        <w:rPr>
          <w:rFonts w:asciiTheme="minorHAnsi" w:hAnsiTheme="minorHAnsi" w:cs="Arial"/>
          <w:bCs/>
          <w:snapToGrid w:val="0"/>
        </w:rPr>
      </w:pPr>
      <w:r w:rsidRPr="00026B44">
        <w:rPr>
          <w:rFonts w:asciiTheme="minorHAnsi" w:hAnsiTheme="minorHAnsi" w:cs="Arial"/>
          <w:bCs/>
          <w:snapToGrid w:val="0"/>
        </w:rPr>
        <w:t xml:space="preserve">The PBAC noted that the Sponsor requested a change to the listings of </w:t>
      </w:r>
      <w:proofErr w:type="spellStart"/>
      <w:r w:rsidRPr="00026B44">
        <w:rPr>
          <w:rFonts w:asciiTheme="minorHAnsi" w:hAnsiTheme="minorHAnsi" w:cs="Arial"/>
          <w:bCs/>
          <w:snapToGrid w:val="0"/>
        </w:rPr>
        <w:t>lenalidomide</w:t>
      </w:r>
      <w:proofErr w:type="spellEnd"/>
      <w:r w:rsidRPr="00026B44">
        <w:rPr>
          <w:rFonts w:asciiTheme="minorHAnsi" w:hAnsiTheme="minorHAnsi" w:cs="Arial"/>
          <w:bCs/>
          <w:snapToGrid w:val="0"/>
        </w:rPr>
        <w:t xml:space="preserve"> so that the authority process </w:t>
      </w:r>
      <w:proofErr w:type="gramStart"/>
      <w:r w:rsidRPr="00026B44">
        <w:rPr>
          <w:rFonts w:asciiTheme="minorHAnsi" w:hAnsiTheme="minorHAnsi" w:cs="Arial"/>
          <w:bCs/>
          <w:snapToGrid w:val="0"/>
        </w:rPr>
        <w:t>was aligned</w:t>
      </w:r>
      <w:proofErr w:type="gramEnd"/>
      <w:r w:rsidRPr="00026B44">
        <w:rPr>
          <w:rFonts w:asciiTheme="minorHAnsi" w:hAnsiTheme="minorHAnsi" w:cs="Arial"/>
          <w:bCs/>
          <w:snapToGrid w:val="0"/>
        </w:rPr>
        <w:t xml:space="preserve"> with that for </w:t>
      </w:r>
      <w:proofErr w:type="spellStart"/>
      <w:r w:rsidRPr="00026B44">
        <w:rPr>
          <w:rFonts w:asciiTheme="minorHAnsi" w:hAnsiTheme="minorHAnsi" w:cs="Arial"/>
          <w:bCs/>
          <w:snapToGrid w:val="0"/>
        </w:rPr>
        <w:t>bortezomib</w:t>
      </w:r>
      <w:proofErr w:type="spellEnd"/>
      <w:r w:rsidRPr="00026B44">
        <w:rPr>
          <w:rFonts w:asciiTheme="minorHAnsi" w:hAnsiTheme="minorHAnsi" w:cs="Arial"/>
          <w:bCs/>
          <w:snapToGrid w:val="0"/>
        </w:rPr>
        <w:t xml:space="preserve">. The </w:t>
      </w:r>
      <w:r w:rsidR="00BD2E96" w:rsidRPr="00026B44">
        <w:rPr>
          <w:rFonts w:asciiTheme="minorHAnsi" w:hAnsiTheme="minorHAnsi" w:cs="Arial"/>
          <w:bCs/>
          <w:snapToGrid w:val="0"/>
        </w:rPr>
        <w:t xml:space="preserve">PBAC noted </w:t>
      </w:r>
      <w:r w:rsidRPr="00026B44">
        <w:rPr>
          <w:rFonts w:asciiTheme="minorHAnsi" w:hAnsiTheme="minorHAnsi" w:cs="Arial"/>
          <w:bCs/>
          <w:snapToGrid w:val="0"/>
        </w:rPr>
        <w:t xml:space="preserve">that the differing levels of authority </w:t>
      </w:r>
      <w:r w:rsidR="00BD2E96" w:rsidRPr="00026B44">
        <w:rPr>
          <w:rFonts w:asciiTheme="minorHAnsi" w:hAnsiTheme="minorHAnsi" w:cs="Arial"/>
          <w:bCs/>
          <w:snapToGrid w:val="0"/>
        </w:rPr>
        <w:t xml:space="preserve">could potentially </w:t>
      </w:r>
      <w:r w:rsidRPr="00026B44">
        <w:rPr>
          <w:rFonts w:asciiTheme="minorHAnsi" w:hAnsiTheme="minorHAnsi" w:cs="Arial"/>
          <w:bCs/>
          <w:snapToGrid w:val="0"/>
        </w:rPr>
        <w:t xml:space="preserve">delay treatment in those patients prescribed </w:t>
      </w:r>
      <w:proofErr w:type="spellStart"/>
      <w:r w:rsidRPr="00026B44">
        <w:rPr>
          <w:rFonts w:asciiTheme="minorHAnsi" w:hAnsiTheme="minorHAnsi" w:cs="Arial"/>
          <w:bCs/>
          <w:snapToGrid w:val="0"/>
        </w:rPr>
        <w:t>lenalidomide</w:t>
      </w:r>
      <w:proofErr w:type="spellEnd"/>
      <w:r w:rsidRPr="00026B44">
        <w:rPr>
          <w:rFonts w:asciiTheme="minorHAnsi" w:hAnsiTheme="minorHAnsi" w:cs="Arial"/>
          <w:bCs/>
          <w:snapToGrid w:val="0"/>
        </w:rPr>
        <w:t>.</w:t>
      </w:r>
    </w:p>
    <w:p w:rsidR="0082024F" w:rsidRPr="00026B44" w:rsidRDefault="00991B43" w:rsidP="00377007">
      <w:pPr>
        <w:widowControl w:val="0"/>
        <w:numPr>
          <w:ilvl w:val="1"/>
          <w:numId w:val="5"/>
        </w:numPr>
        <w:spacing w:before="120" w:after="120"/>
        <w:jc w:val="both"/>
        <w:rPr>
          <w:rFonts w:asciiTheme="minorHAnsi" w:hAnsiTheme="minorHAnsi" w:cs="Arial"/>
          <w:bCs/>
          <w:snapToGrid w:val="0"/>
        </w:rPr>
      </w:pPr>
      <w:r w:rsidRPr="00026B44">
        <w:rPr>
          <w:rFonts w:asciiTheme="minorHAnsi" w:hAnsiTheme="minorHAnsi" w:cs="Arial"/>
          <w:bCs/>
          <w:snapToGrid w:val="0"/>
        </w:rPr>
        <w:t xml:space="preserve">The PBAC recalled that at the May 2018 Multiple Myeloma Stakeholder meeting one of the key priorities included simplification of restrictions in the relapsed and refractory setting, noting that any changes would need to </w:t>
      </w:r>
      <w:proofErr w:type="gramStart"/>
      <w:r w:rsidRPr="00026B44">
        <w:rPr>
          <w:rFonts w:asciiTheme="minorHAnsi" w:hAnsiTheme="minorHAnsi" w:cs="Arial"/>
          <w:bCs/>
          <w:snapToGrid w:val="0"/>
        </w:rPr>
        <w:t>be considered</w:t>
      </w:r>
      <w:proofErr w:type="gramEnd"/>
      <w:r w:rsidRPr="00026B44">
        <w:rPr>
          <w:rFonts w:asciiTheme="minorHAnsi" w:hAnsiTheme="minorHAnsi" w:cs="Arial"/>
          <w:bCs/>
          <w:snapToGrid w:val="0"/>
        </w:rPr>
        <w:t xml:space="preserve"> in context of the effective PBS prices. </w:t>
      </w:r>
      <w:r w:rsidR="0082024F" w:rsidRPr="00026B44">
        <w:rPr>
          <w:rFonts w:asciiTheme="minorHAnsi" w:hAnsiTheme="minorHAnsi" w:cs="Arial"/>
          <w:bCs/>
          <w:snapToGrid w:val="0"/>
        </w:rPr>
        <w:t xml:space="preserve">The PBAC noted that the Sponsor </w:t>
      </w:r>
      <w:r w:rsidRPr="00026B44">
        <w:rPr>
          <w:rFonts w:asciiTheme="minorHAnsi" w:hAnsiTheme="minorHAnsi" w:cs="Arial"/>
          <w:bCs/>
          <w:snapToGrid w:val="0"/>
        </w:rPr>
        <w:t xml:space="preserve">offered a </w:t>
      </w:r>
      <w:r w:rsidR="00DA05D0">
        <w:rPr>
          <w:rFonts w:asciiTheme="minorHAnsi" w:hAnsiTheme="minorHAnsi" w:cs="Arial"/>
          <w:bCs/>
          <w:noProof/>
          <w:snapToGrid w:val="0"/>
          <w:color w:val="000000"/>
          <w:highlight w:val="black"/>
        </w:rPr>
        <w:t>'''</w:t>
      </w:r>
      <w:r w:rsidRPr="00026B44">
        <w:rPr>
          <w:rFonts w:asciiTheme="minorHAnsi" w:hAnsiTheme="minorHAnsi" w:cs="Arial"/>
          <w:bCs/>
          <w:snapToGrid w:val="0"/>
        </w:rPr>
        <w:t xml:space="preserve">% discount on the expected total expenditure of </w:t>
      </w:r>
      <w:proofErr w:type="spellStart"/>
      <w:r w:rsidRPr="00026B44">
        <w:rPr>
          <w:rFonts w:asciiTheme="minorHAnsi" w:hAnsiTheme="minorHAnsi" w:cs="Arial"/>
          <w:bCs/>
          <w:snapToGrid w:val="0"/>
        </w:rPr>
        <w:t>lenalidomide</w:t>
      </w:r>
      <w:proofErr w:type="spellEnd"/>
      <w:r w:rsidRPr="00026B44">
        <w:rPr>
          <w:rFonts w:asciiTheme="minorHAnsi" w:hAnsiTheme="minorHAnsi" w:cs="Arial"/>
          <w:bCs/>
          <w:snapToGrid w:val="0"/>
        </w:rPr>
        <w:t xml:space="preserve"> in </w:t>
      </w:r>
      <w:r w:rsidR="00C77ABD" w:rsidRPr="00026B44">
        <w:rPr>
          <w:rFonts w:asciiTheme="minorHAnsi" w:hAnsiTheme="minorHAnsi" w:cs="Arial"/>
          <w:bCs/>
          <w:snapToGrid w:val="0"/>
        </w:rPr>
        <w:t>ND MM</w:t>
      </w:r>
      <w:r w:rsidRPr="00026B44">
        <w:rPr>
          <w:rFonts w:asciiTheme="minorHAnsi" w:hAnsiTheme="minorHAnsi" w:cs="Arial"/>
          <w:bCs/>
          <w:snapToGrid w:val="0"/>
        </w:rPr>
        <w:t xml:space="preserve"> patients who are ineligible for stem cell transplant</w:t>
      </w:r>
      <w:r w:rsidR="00C77ABD" w:rsidRPr="00026B44">
        <w:rPr>
          <w:rFonts w:asciiTheme="minorHAnsi" w:hAnsiTheme="minorHAnsi" w:cs="Arial"/>
          <w:bCs/>
          <w:snapToGrid w:val="0"/>
        </w:rPr>
        <w:t xml:space="preserve"> to mitigate the risk that a change in authority level might result in some use beyond the intended PBS population. This </w:t>
      </w:r>
      <w:r w:rsidRPr="00026B44">
        <w:rPr>
          <w:rFonts w:asciiTheme="minorHAnsi" w:hAnsiTheme="minorHAnsi" w:cs="Arial"/>
          <w:bCs/>
          <w:snapToGrid w:val="0"/>
        </w:rPr>
        <w:t xml:space="preserve">equated to a </w:t>
      </w:r>
      <w:proofErr w:type="gramStart"/>
      <w:r w:rsidR="00DA05D0">
        <w:rPr>
          <w:rFonts w:asciiTheme="minorHAnsi" w:hAnsiTheme="minorHAnsi" w:cs="Arial"/>
          <w:bCs/>
          <w:noProof/>
          <w:snapToGrid w:val="0"/>
          <w:color w:val="000000"/>
          <w:highlight w:val="black"/>
        </w:rPr>
        <w:t>''''''''</w:t>
      </w:r>
      <w:r w:rsidRPr="00026B44">
        <w:rPr>
          <w:rFonts w:asciiTheme="minorHAnsi" w:hAnsiTheme="minorHAnsi" w:cs="Arial"/>
          <w:bCs/>
          <w:snapToGrid w:val="0"/>
        </w:rPr>
        <w:t>%</w:t>
      </w:r>
      <w:proofErr w:type="gramEnd"/>
      <w:r w:rsidRPr="00026B44">
        <w:rPr>
          <w:rFonts w:asciiTheme="minorHAnsi" w:hAnsiTheme="minorHAnsi" w:cs="Arial"/>
          <w:bCs/>
          <w:snapToGrid w:val="0"/>
        </w:rPr>
        <w:t xml:space="preserve"> increase to the rebates</w:t>
      </w:r>
      <w:r w:rsidR="00C77ABD" w:rsidRPr="00026B44">
        <w:rPr>
          <w:rFonts w:asciiTheme="minorHAnsi" w:hAnsiTheme="minorHAnsi" w:cs="Arial"/>
          <w:bCs/>
          <w:snapToGrid w:val="0"/>
        </w:rPr>
        <w:t xml:space="preserve"> provided to achieve the effective price under the current Risk Sharing Arrangement (RSA). </w:t>
      </w:r>
      <w:r w:rsidRPr="00026B44">
        <w:rPr>
          <w:rFonts w:asciiTheme="minorHAnsi" w:hAnsiTheme="minorHAnsi" w:cs="Arial"/>
          <w:bCs/>
          <w:snapToGrid w:val="0"/>
        </w:rPr>
        <w:t xml:space="preserve">The PBAC </w:t>
      </w:r>
      <w:r w:rsidR="00C77ABD" w:rsidRPr="00026B44">
        <w:rPr>
          <w:rFonts w:asciiTheme="minorHAnsi" w:hAnsiTheme="minorHAnsi" w:cs="Arial"/>
          <w:bCs/>
          <w:snapToGrid w:val="0"/>
        </w:rPr>
        <w:t xml:space="preserve">noted that the </w:t>
      </w:r>
      <w:proofErr w:type="gramStart"/>
      <w:r w:rsidR="00DA05D0">
        <w:rPr>
          <w:rFonts w:asciiTheme="minorHAnsi" w:hAnsiTheme="minorHAnsi" w:cs="Arial"/>
          <w:bCs/>
          <w:noProof/>
          <w:snapToGrid w:val="0"/>
          <w:color w:val="000000"/>
          <w:highlight w:val="black"/>
        </w:rPr>
        <w:t>'''</w:t>
      </w:r>
      <w:r w:rsidR="00C77ABD" w:rsidRPr="00026B44">
        <w:rPr>
          <w:rFonts w:asciiTheme="minorHAnsi" w:hAnsiTheme="minorHAnsi" w:cs="Arial"/>
          <w:bCs/>
          <w:snapToGrid w:val="0"/>
        </w:rPr>
        <w:t>%</w:t>
      </w:r>
      <w:proofErr w:type="gramEnd"/>
      <w:r w:rsidR="00C77ABD" w:rsidRPr="00026B44">
        <w:rPr>
          <w:rFonts w:asciiTheme="minorHAnsi" w:hAnsiTheme="minorHAnsi" w:cs="Arial"/>
          <w:bCs/>
          <w:snapToGrid w:val="0"/>
        </w:rPr>
        <w:t xml:space="preserve"> discount was based on utilisation estimates which, when compared to actual expenditure, appeared to have been overestimated. The PBAC considered that it was unlikely that the </w:t>
      </w:r>
      <w:r w:rsidR="00DA05D0">
        <w:rPr>
          <w:rFonts w:asciiTheme="minorHAnsi" w:hAnsiTheme="minorHAnsi" w:cs="Arial"/>
          <w:bCs/>
          <w:noProof/>
          <w:snapToGrid w:val="0"/>
          <w:color w:val="000000"/>
          <w:highlight w:val="black"/>
        </w:rPr>
        <w:t>''''''''</w:t>
      </w:r>
      <w:r w:rsidR="00C77ABD" w:rsidRPr="00026B44">
        <w:rPr>
          <w:rFonts w:asciiTheme="minorHAnsi" w:hAnsiTheme="minorHAnsi" w:cs="Arial"/>
          <w:bCs/>
          <w:snapToGrid w:val="0"/>
        </w:rPr>
        <w:t xml:space="preserve">% rebate would achieve an actual </w:t>
      </w:r>
      <w:r w:rsidR="00DA05D0">
        <w:rPr>
          <w:rFonts w:asciiTheme="minorHAnsi" w:hAnsiTheme="minorHAnsi" w:cs="Arial"/>
          <w:bCs/>
          <w:noProof/>
          <w:snapToGrid w:val="0"/>
          <w:color w:val="000000"/>
          <w:highlight w:val="black"/>
        </w:rPr>
        <w:t>'''</w:t>
      </w:r>
      <w:r w:rsidR="00C77ABD" w:rsidRPr="00026B44">
        <w:rPr>
          <w:rFonts w:asciiTheme="minorHAnsi" w:hAnsiTheme="minorHAnsi" w:cs="Arial"/>
          <w:bCs/>
          <w:snapToGrid w:val="0"/>
        </w:rPr>
        <w:t xml:space="preserve">% reduction in expenditure. </w:t>
      </w:r>
    </w:p>
    <w:p w:rsidR="008C49CF" w:rsidRPr="00026B44" w:rsidRDefault="008C49CF" w:rsidP="00377007">
      <w:pPr>
        <w:widowControl w:val="0"/>
        <w:numPr>
          <w:ilvl w:val="1"/>
          <w:numId w:val="5"/>
        </w:numPr>
        <w:spacing w:before="120" w:after="120"/>
        <w:jc w:val="both"/>
        <w:rPr>
          <w:rFonts w:asciiTheme="minorHAnsi" w:hAnsiTheme="minorHAnsi" w:cs="Arial"/>
          <w:bCs/>
          <w:snapToGrid w:val="0"/>
        </w:rPr>
      </w:pPr>
      <w:r w:rsidRPr="00026B44">
        <w:rPr>
          <w:rFonts w:asciiTheme="minorHAnsi" w:hAnsiTheme="minorHAnsi" w:cs="Arial"/>
          <w:bCs/>
          <w:snapToGrid w:val="0"/>
        </w:rPr>
        <w:t xml:space="preserve">The PBAC considered that </w:t>
      </w:r>
      <w:r w:rsidR="005060A2" w:rsidRPr="00026B44">
        <w:rPr>
          <w:rFonts w:asciiTheme="minorHAnsi" w:hAnsiTheme="minorHAnsi" w:cs="Arial"/>
          <w:bCs/>
          <w:snapToGrid w:val="0"/>
        </w:rPr>
        <w:t xml:space="preserve">the proposed </w:t>
      </w:r>
      <w:r w:rsidR="001E43B6" w:rsidRPr="00026B44">
        <w:rPr>
          <w:rFonts w:asciiTheme="minorHAnsi" w:hAnsiTheme="minorHAnsi" w:cs="Arial"/>
          <w:bCs/>
          <w:snapToGrid w:val="0"/>
        </w:rPr>
        <w:t xml:space="preserve">increase to the rebate for ND MM </w:t>
      </w:r>
      <w:r w:rsidR="005060A2" w:rsidRPr="00026B44">
        <w:rPr>
          <w:rFonts w:asciiTheme="minorHAnsi" w:hAnsiTheme="minorHAnsi" w:cs="Arial"/>
          <w:bCs/>
          <w:snapToGrid w:val="0"/>
        </w:rPr>
        <w:t xml:space="preserve">did </w:t>
      </w:r>
      <w:r w:rsidR="001E43B6" w:rsidRPr="00026B44">
        <w:rPr>
          <w:rFonts w:asciiTheme="minorHAnsi" w:hAnsiTheme="minorHAnsi" w:cs="Arial"/>
          <w:bCs/>
          <w:snapToGrid w:val="0"/>
        </w:rPr>
        <w:t xml:space="preserve">not </w:t>
      </w:r>
      <w:r w:rsidR="005060A2" w:rsidRPr="00026B44">
        <w:rPr>
          <w:rFonts w:asciiTheme="minorHAnsi" w:hAnsiTheme="minorHAnsi" w:cs="Arial"/>
          <w:bCs/>
          <w:snapToGrid w:val="0"/>
        </w:rPr>
        <w:lastRenderedPageBreak/>
        <w:t xml:space="preserve">sufficiently address the risk of use outside the current PBS indications with a relaxing of the authority level for prescribing. </w:t>
      </w:r>
      <w:r w:rsidR="008D696E" w:rsidRPr="00026B44">
        <w:rPr>
          <w:rFonts w:asciiTheme="minorHAnsi" w:hAnsiTheme="minorHAnsi" w:cs="Arial"/>
          <w:bCs/>
          <w:snapToGrid w:val="0"/>
        </w:rPr>
        <w:t>The</w:t>
      </w:r>
      <w:r w:rsidR="005060A2" w:rsidRPr="00026B44">
        <w:rPr>
          <w:rFonts w:asciiTheme="minorHAnsi" w:hAnsiTheme="minorHAnsi" w:cs="Arial"/>
          <w:bCs/>
          <w:snapToGrid w:val="0"/>
        </w:rPr>
        <w:t xml:space="preserve"> PBAC </w:t>
      </w:r>
      <w:r w:rsidR="001E43B6" w:rsidRPr="00026B44">
        <w:rPr>
          <w:rFonts w:asciiTheme="minorHAnsi" w:hAnsiTheme="minorHAnsi" w:cs="Arial"/>
          <w:bCs/>
          <w:snapToGrid w:val="0"/>
        </w:rPr>
        <w:t xml:space="preserve">considered </w:t>
      </w:r>
      <w:r w:rsidRPr="00026B44">
        <w:rPr>
          <w:rFonts w:asciiTheme="minorHAnsi" w:hAnsiTheme="minorHAnsi" w:cs="Arial"/>
          <w:bCs/>
          <w:snapToGrid w:val="0"/>
        </w:rPr>
        <w:t xml:space="preserve">any </w:t>
      </w:r>
      <w:r w:rsidR="001E43B6" w:rsidRPr="00026B44">
        <w:rPr>
          <w:rFonts w:asciiTheme="minorHAnsi" w:hAnsiTheme="minorHAnsi" w:cs="Arial"/>
          <w:bCs/>
          <w:snapToGrid w:val="0"/>
        </w:rPr>
        <w:t xml:space="preserve">future </w:t>
      </w:r>
      <w:r w:rsidRPr="00026B44">
        <w:rPr>
          <w:rFonts w:asciiTheme="minorHAnsi" w:hAnsiTheme="minorHAnsi" w:cs="Arial"/>
          <w:bCs/>
          <w:snapToGrid w:val="0"/>
        </w:rPr>
        <w:t xml:space="preserve">proposed price reduction </w:t>
      </w:r>
      <w:proofErr w:type="gramStart"/>
      <w:r w:rsidRPr="00026B44">
        <w:rPr>
          <w:rFonts w:asciiTheme="minorHAnsi" w:hAnsiTheme="minorHAnsi" w:cs="Arial"/>
          <w:bCs/>
          <w:snapToGrid w:val="0"/>
        </w:rPr>
        <w:t>should be based</w:t>
      </w:r>
      <w:proofErr w:type="gramEnd"/>
      <w:r w:rsidRPr="00026B44">
        <w:rPr>
          <w:rFonts w:asciiTheme="minorHAnsi" w:hAnsiTheme="minorHAnsi" w:cs="Arial"/>
          <w:bCs/>
          <w:snapToGrid w:val="0"/>
        </w:rPr>
        <w:t xml:space="preserve"> on actual expenditure</w:t>
      </w:r>
      <w:r w:rsidR="001E43B6" w:rsidRPr="00026B44">
        <w:rPr>
          <w:rFonts w:asciiTheme="minorHAnsi" w:hAnsiTheme="minorHAnsi" w:cs="Arial"/>
          <w:bCs/>
          <w:snapToGrid w:val="0"/>
        </w:rPr>
        <w:t xml:space="preserve"> and consider combined caps across indications</w:t>
      </w:r>
      <w:r w:rsidRPr="00026B44">
        <w:rPr>
          <w:rFonts w:asciiTheme="minorHAnsi" w:hAnsiTheme="minorHAnsi" w:cs="Arial"/>
          <w:bCs/>
          <w:snapToGrid w:val="0"/>
        </w:rPr>
        <w:t>.</w:t>
      </w:r>
    </w:p>
    <w:p w:rsidR="0082024F" w:rsidRPr="00026B44" w:rsidRDefault="0082024F" w:rsidP="00377007">
      <w:pPr>
        <w:widowControl w:val="0"/>
        <w:numPr>
          <w:ilvl w:val="1"/>
          <w:numId w:val="5"/>
        </w:numPr>
        <w:spacing w:before="120" w:after="120"/>
        <w:jc w:val="both"/>
        <w:rPr>
          <w:rFonts w:asciiTheme="minorHAnsi" w:hAnsiTheme="minorHAnsi" w:cs="Arial"/>
          <w:bCs/>
          <w:snapToGrid w:val="0"/>
        </w:rPr>
      </w:pPr>
      <w:r w:rsidRPr="00026B44">
        <w:rPr>
          <w:rFonts w:asciiTheme="minorHAnsi" w:hAnsiTheme="minorHAnsi" w:cs="Arial"/>
          <w:bCs/>
          <w:snapToGrid w:val="0"/>
        </w:rPr>
        <w:t>The PBAC noted that this submission is not eligible for an Independent Review as it was a request to modify an existing listing.</w:t>
      </w:r>
    </w:p>
    <w:p w:rsidR="00A74C27" w:rsidRPr="00026B44" w:rsidRDefault="00A74C27" w:rsidP="00377007">
      <w:pPr>
        <w:spacing w:before="120" w:after="120"/>
        <w:jc w:val="both"/>
        <w:rPr>
          <w:rFonts w:asciiTheme="minorHAnsi" w:hAnsiTheme="minorHAnsi" w:cs="Arial"/>
          <w:b/>
          <w:bCs/>
          <w:snapToGrid w:val="0"/>
        </w:rPr>
      </w:pPr>
      <w:r w:rsidRPr="00026B44">
        <w:rPr>
          <w:rFonts w:asciiTheme="minorHAnsi" w:hAnsiTheme="minorHAnsi" w:cs="Arial"/>
          <w:b/>
          <w:bCs/>
          <w:snapToGrid w:val="0"/>
        </w:rPr>
        <w:t>Outcome:</w:t>
      </w:r>
    </w:p>
    <w:p w:rsidR="00A74C27" w:rsidRPr="00026B44" w:rsidRDefault="00A74C27" w:rsidP="00377007">
      <w:pPr>
        <w:spacing w:before="120" w:after="120"/>
        <w:jc w:val="both"/>
        <w:rPr>
          <w:rFonts w:asciiTheme="minorHAnsi" w:hAnsiTheme="minorHAnsi" w:cs="Arial"/>
          <w:bCs/>
          <w:snapToGrid w:val="0"/>
        </w:rPr>
      </w:pPr>
      <w:r w:rsidRPr="00026B44">
        <w:rPr>
          <w:rFonts w:asciiTheme="minorHAnsi" w:hAnsiTheme="minorHAnsi" w:cs="Arial"/>
          <w:bCs/>
          <w:snapToGrid w:val="0"/>
        </w:rPr>
        <w:t xml:space="preserve">Rejected </w:t>
      </w:r>
    </w:p>
    <w:p w:rsidR="006E3A06" w:rsidRPr="00C07617" w:rsidRDefault="006E3A06" w:rsidP="00377007">
      <w:pPr>
        <w:pStyle w:val="PBACHeading1"/>
        <w:spacing w:before="120" w:after="120"/>
        <w:rPr>
          <w:rFonts w:asciiTheme="minorHAnsi" w:hAnsiTheme="minorHAnsi"/>
          <w:b w:val="0"/>
          <w:sz w:val="32"/>
        </w:rPr>
      </w:pPr>
      <w:r w:rsidRPr="00C07617">
        <w:rPr>
          <w:rFonts w:asciiTheme="minorHAnsi" w:hAnsiTheme="minorHAnsi"/>
          <w:sz w:val="32"/>
        </w:rPr>
        <w:t>Context for Decision</w:t>
      </w:r>
    </w:p>
    <w:p w:rsidR="006E3A06" w:rsidRPr="00C07617" w:rsidRDefault="006E3A06" w:rsidP="00377007">
      <w:pPr>
        <w:spacing w:before="120" w:after="120"/>
        <w:ind w:left="709"/>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E3A06" w:rsidRPr="00C07617" w:rsidRDefault="006E3A06" w:rsidP="00377007">
      <w:pPr>
        <w:pStyle w:val="PBACHeading1"/>
        <w:spacing w:before="120" w:after="120"/>
        <w:rPr>
          <w:rFonts w:asciiTheme="minorHAnsi" w:hAnsiTheme="minorHAnsi"/>
          <w:b w:val="0"/>
          <w:sz w:val="32"/>
        </w:rPr>
      </w:pPr>
      <w:r>
        <w:rPr>
          <w:rFonts w:asciiTheme="minorHAnsi" w:hAnsiTheme="minorHAnsi"/>
          <w:sz w:val="32"/>
        </w:rPr>
        <w:t>Sponsor’s Comment</w:t>
      </w:r>
    </w:p>
    <w:p w:rsidR="00A74C27" w:rsidRPr="0012494B" w:rsidRDefault="00CA0BA0" w:rsidP="00377007">
      <w:pPr>
        <w:spacing w:before="120" w:after="120"/>
        <w:ind w:left="709"/>
        <w:jc w:val="both"/>
        <w:rPr>
          <w:rFonts w:asciiTheme="minorHAnsi" w:hAnsiTheme="minorHAnsi" w:cs="Arial"/>
          <w:bCs/>
        </w:rPr>
      </w:pPr>
      <w:r w:rsidRPr="00327F4A">
        <w:rPr>
          <w:rFonts w:asciiTheme="minorHAnsi" w:hAnsiTheme="minorHAnsi" w:cs="Arial"/>
          <w:bCs/>
        </w:rPr>
        <w:t>Celgene is committed to working with the PBAC to secure equitable access to Multiple Myeloma treatments for patients and physicians.</w:t>
      </w:r>
    </w:p>
    <w:sectPr w:rsidR="00A74C27" w:rsidRPr="0012494B"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5D0" w:rsidRDefault="00DA05D0">
      <w:r>
        <w:separator/>
      </w:r>
    </w:p>
    <w:p w:rsidR="00DA05D0" w:rsidRDefault="00DA05D0"/>
  </w:endnote>
  <w:endnote w:type="continuationSeparator" w:id="0">
    <w:p w:rsidR="00DA05D0" w:rsidRDefault="00DA05D0">
      <w:r>
        <w:continuationSeparator/>
      </w:r>
    </w:p>
    <w:p w:rsidR="00DA05D0" w:rsidRDefault="00DA0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BatangChe">
    <w:altName w:val="@Malgun Gothic Semilight"/>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4723C" w:rsidTr="005A3173">
      <w:trPr>
        <w:trHeight w:val="151"/>
      </w:trPr>
      <w:tc>
        <w:tcPr>
          <w:tcW w:w="2250" w:type="pct"/>
          <w:tcBorders>
            <w:top w:val="nil"/>
            <w:left w:val="nil"/>
            <w:bottom w:val="single" w:sz="4" w:space="0" w:color="4F81BD"/>
            <w:right w:val="nil"/>
          </w:tcBorders>
        </w:tcPr>
        <w:p w:rsidR="0024723C" w:rsidRPr="005A3173" w:rsidRDefault="0024723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4723C" w:rsidRPr="005A3173" w:rsidRDefault="0024723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4723C" w:rsidRPr="005A3173" w:rsidRDefault="0024723C" w:rsidP="005A3173">
          <w:pPr>
            <w:pStyle w:val="Header"/>
            <w:spacing w:line="276" w:lineRule="auto"/>
            <w:rPr>
              <w:rFonts w:ascii="Calibri" w:eastAsia="MS Gothic" w:hAnsi="Calibri"/>
              <w:b/>
              <w:bCs/>
              <w:color w:val="4F81BD"/>
            </w:rPr>
          </w:pPr>
        </w:p>
      </w:tc>
    </w:tr>
    <w:tr w:rsidR="0024723C" w:rsidTr="005A3173">
      <w:trPr>
        <w:trHeight w:val="150"/>
      </w:trPr>
      <w:tc>
        <w:tcPr>
          <w:tcW w:w="2250" w:type="pct"/>
          <w:tcBorders>
            <w:top w:val="single" w:sz="4" w:space="0" w:color="4F81BD"/>
            <w:left w:val="nil"/>
            <w:bottom w:val="nil"/>
            <w:right w:val="nil"/>
          </w:tcBorders>
        </w:tcPr>
        <w:p w:rsidR="0024723C" w:rsidRPr="005A3173" w:rsidRDefault="0024723C" w:rsidP="005A3173">
          <w:pPr>
            <w:pStyle w:val="Header"/>
            <w:spacing w:line="276" w:lineRule="auto"/>
            <w:rPr>
              <w:rFonts w:ascii="Calibri" w:eastAsia="MS Gothic" w:hAnsi="Calibri"/>
              <w:b/>
              <w:bCs/>
              <w:color w:val="4F81BD"/>
            </w:rPr>
          </w:pPr>
        </w:p>
      </w:tc>
      <w:tc>
        <w:tcPr>
          <w:tcW w:w="0" w:type="auto"/>
          <w:vMerge/>
          <w:vAlign w:val="center"/>
          <w:hideMark/>
        </w:tcPr>
        <w:p w:rsidR="0024723C" w:rsidRPr="005A3173" w:rsidRDefault="0024723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4723C" w:rsidRPr="005A3173" w:rsidRDefault="0024723C" w:rsidP="005A3173">
          <w:pPr>
            <w:pStyle w:val="Header"/>
            <w:spacing w:line="276" w:lineRule="auto"/>
            <w:rPr>
              <w:rFonts w:ascii="Calibri" w:eastAsia="MS Gothic" w:hAnsi="Calibri"/>
              <w:b/>
              <w:bCs/>
              <w:color w:val="4F81BD"/>
            </w:rPr>
          </w:pPr>
        </w:p>
      </w:tc>
    </w:tr>
  </w:tbl>
  <w:p w:rsidR="0024723C" w:rsidRDefault="0024723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723C" w:rsidRDefault="0024723C">
    <w:pPr>
      <w:pStyle w:val="Footer"/>
    </w:pPr>
  </w:p>
  <w:p w:rsidR="0024723C" w:rsidRDefault="0024723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93990932"/>
      <w:docPartObj>
        <w:docPartGallery w:val="Page Numbers (Bottom of Page)"/>
        <w:docPartUnique/>
      </w:docPartObj>
    </w:sdtPr>
    <w:sdtEndPr>
      <w:rPr>
        <w:noProof/>
      </w:rPr>
    </w:sdtEndPr>
    <w:sdtContent>
      <w:p w:rsidR="0024723C" w:rsidRPr="006602C2" w:rsidRDefault="00B275EC" w:rsidP="006602C2">
        <w:pPr>
          <w:pStyle w:val="Footer"/>
          <w:jc w:val="center"/>
          <w:rPr>
            <w:b/>
          </w:rPr>
        </w:pPr>
        <w:r w:rsidRPr="006602C2">
          <w:rPr>
            <w:rFonts w:ascii="Calibri" w:hAnsi="Calibri" w:cs="Calibri"/>
            <w:b/>
          </w:rPr>
          <w:fldChar w:fldCharType="begin"/>
        </w:r>
        <w:r w:rsidRPr="006602C2">
          <w:rPr>
            <w:rFonts w:ascii="Calibri" w:hAnsi="Calibri" w:cs="Calibri"/>
            <w:b/>
          </w:rPr>
          <w:instrText xml:space="preserve"> PAGE   \* MERGEFORMAT </w:instrText>
        </w:r>
        <w:r w:rsidRPr="006602C2">
          <w:rPr>
            <w:rFonts w:ascii="Calibri" w:hAnsi="Calibri" w:cs="Calibri"/>
            <w:b/>
          </w:rPr>
          <w:fldChar w:fldCharType="separate"/>
        </w:r>
        <w:r w:rsidR="0004619E">
          <w:rPr>
            <w:rFonts w:ascii="Calibri" w:hAnsi="Calibri" w:cs="Calibri"/>
            <w:b/>
            <w:noProof/>
          </w:rPr>
          <w:t>6</w:t>
        </w:r>
        <w:r w:rsidRPr="006602C2">
          <w:rPr>
            <w:rFonts w:ascii="Calibri" w:hAnsi="Calibri" w:cs="Calibr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24723C" w:rsidTr="005A3173">
      <w:trPr>
        <w:trHeight w:val="151"/>
      </w:trPr>
      <w:tc>
        <w:tcPr>
          <w:tcW w:w="2250" w:type="pct"/>
          <w:tcBorders>
            <w:top w:val="nil"/>
            <w:left w:val="nil"/>
            <w:bottom w:val="single" w:sz="4" w:space="0" w:color="4F81BD"/>
            <w:right w:val="nil"/>
          </w:tcBorders>
        </w:tcPr>
        <w:p w:rsidR="0024723C" w:rsidRPr="005A3173" w:rsidRDefault="0024723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4723C" w:rsidRPr="005A3173" w:rsidRDefault="0024723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4723C" w:rsidRPr="005A3173" w:rsidRDefault="0024723C" w:rsidP="005A3173">
          <w:pPr>
            <w:pStyle w:val="Header"/>
            <w:spacing w:line="276" w:lineRule="auto"/>
            <w:rPr>
              <w:rFonts w:ascii="Calibri" w:eastAsia="MS Gothic" w:hAnsi="Calibri"/>
              <w:b/>
              <w:bCs/>
              <w:color w:val="4F81BD"/>
            </w:rPr>
          </w:pPr>
        </w:p>
      </w:tc>
    </w:tr>
    <w:tr w:rsidR="0024723C" w:rsidTr="005A3173">
      <w:trPr>
        <w:trHeight w:val="150"/>
      </w:trPr>
      <w:tc>
        <w:tcPr>
          <w:tcW w:w="2250" w:type="pct"/>
          <w:tcBorders>
            <w:top w:val="single" w:sz="4" w:space="0" w:color="4F81BD"/>
            <w:left w:val="nil"/>
            <w:bottom w:val="nil"/>
            <w:right w:val="nil"/>
          </w:tcBorders>
        </w:tcPr>
        <w:p w:rsidR="0024723C" w:rsidRPr="005A3173" w:rsidRDefault="0024723C" w:rsidP="005A3173">
          <w:pPr>
            <w:pStyle w:val="Header"/>
            <w:spacing w:line="276" w:lineRule="auto"/>
            <w:rPr>
              <w:rFonts w:ascii="Calibri" w:eastAsia="MS Gothic" w:hAnsi="Calibri"/>
              <w:b/>
              <w:bCs/>
              <w:color w:val="4F81BD"/>
            </w:rPr>
          </w:pPr>
        </w:p>
      </w:tc>
      <w:tc>
        <w:tcPr>
          <w:tcW w:w="0" w:type="auto"/>
          <w:vMerge/>
          <w:vAlign w:val="center"/>
          <w:hideMark/>
        </w:tcPr>
        <w:p w:rsidR="0024723C" w:rsidRPr="005A3173" w:rsidRDefault="0024723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4723C" w:rsidRPr="005A3173" w:rsidRDefault="0024723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4723C" w:rsidTr="005A3173">
      <w:trPr>
        <w:trHeight w:val="151"/>
      </w:trPr>
      <w:tc>
        <w:tcPr>
          <w:tcW w:w="2250" w:type="pct"/>
          <w:tcBorders>
            <w:top w:val="nil"/>
            <w:left w:val="nil"/>
            <w:bottom w:val="single" w:sz="4" w:space="0" w:color="4F81BD"/>
            <w:right w:val="nil"/>
          </w:tcBorders>
        </w:tcPr>
        <w:p w:rsidR="0024723C" w:rsidRPr="005A3173" w:rsidRDefault="0024723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4723C" w:rsidRPr="005A3173" w:rsidRDefault="0024723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4723C" w:rsidRPr="005A3173" w:rsidRDefault="0024723C" w:rsidP="005A3173">
          <w:pPr>
            <w:pStyle w:val="Header"/>
            <w:spacing w:line="276" w:lineRule="auto"/>
            <w:rPr>
              <w:rFonts w:ascii="Calibri" w:eastAsia="MS Gothic" w:hAnsi="Calibri"/>
              <w:b/>
              <w:bCs/>
              <w:color w:val="4F81BD"/>
            </w:rPr>
          </w:pPr>
        </w:p>
      </w:tc>
    </w:tr>
    <w:tr w:rsidR="0024723C" w:rsidTr="005A3173">
      <w:trPr>
        <w:trHeight w:val="150"/>
      </w:trPr>
      <w:tc>
        <w:tcPr>
          <w:tcW w:w="2250" w:type="pct"/>
          <w:tcBorders>
            <w:top w:val="single" w:sz="4" w:space="0" w:color="4F81BD"/>
            <w:left w:val="nil"/>
            <w:bottom w:val="nil"/>
            <w:right w:val="nil"/>
          </w:tcBorders>
        </w:tcPr>
        <w:p w:rsidR="0024723C" w:rsidRPr="005A3173" w:rsidRDefault="0024723C" w:rsidP="005A3173">
          <w:pPr>
            <w:pStyle w:val="Header"/>
            <w:spacing w:line="276" w:lineRule="auto"/>
            <w:rPr>
              <w:rFonts w:ascii="Calibri" w:eastAsia="MS Gothic" w:hAnsi="Calibri"/>
              <w:b/>
              <w:bCs/>
              <w:color w:val="4F81BD"/>
            </w:rPr>
          </w:pPr>
        </w:p>
      </w:tc>
      <w:tc>
        <w:tcPr>
          <w:tcW w:w="0" w:type="auto"/>
          <w:vMerge/>
          <w:vAlign w:val="center"/>
          <w:hideMark/>
        </w:tcPr>
        <w:p w:rsidR="0024723C" w:rsidRPr="005A3173" w:rsidRDefault="0024723C" w:rsidP="005A3173">
          <w:pPr>
            <w:rPr>
              <w:rFonts w:ascii="Calibri" w:hAnsi="Calibri"/>
              <w:color w:val="365F91"/>
              <w:sz w:val="22"/>
              <w:szCs w:val="22"/>
            </w:rPr>
          </w:pPr>
        </w:p>
      </w:tc>
      <w:tc>
        <w:tcPr>
          <w:tcW w:w="2250" w:type="pct"/>
          <w:tcBorders>
            <w:top w:val="single" w:sz="4" w:space="0" w:color="4F81BD"/>
            <w:left w:val="nil"/>
            <w:bottom w:val="nil"/>
            <w:right w:val="nil"/>
          </w:tcBorders>
        </w:tcPr>
        <w:p w:rsidR="0024723C" w:rsidRPr="005A3173" w:rsidRDefault="0024723C" w:rsidP="005A3173">
          <w:pPr>
            <w:pStyle w:val="Header"/>
            <w:spacing w:line="276" w:lineRule="auto"/>
            <w:rPr>
              <w:rFonts w:ascii="Calibri" w:eastAsia="MS Gothic" w:hAnsi="Calibri"/>
              <w:b/>
              <w:bCs/>
              <w:color w:val="4F81BD"/>
            </w:rPr>
          </w:pPr>
        </w:p>
      </w:tc>
    </w:tr>
  </w:tbl>
  <w:p w:rsidR="0024723C" w:rsidRPr="007C0F57" w:rsidRDefault="0024723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4723C" w:rsidRPr="007C0F57" w:rsidRDefault="0024723C" w:rsidP="007C0F57">
    <w:pPr>
      <w:pStyle w:val="Footer"/>
      <w:jc w:val="center"/>
      <w:rPr>
        <w:b/>
        <w:i/>
        <w:sz w:val="20"/>
        <w:szCs w:val="20"/>
      </w:rPr>
    </w:pPr>
    <w:r w:rsidRPr="007C0F57">
      <w:rPr>
        <w:b/>
        <w:i/>
        <w:sz w:val="20"/>
        <w:szCs w:val="20"/>
      </w:rPr>
      <w:t>Commercial-in-Confidence</w:t>
    </w:r>
  </w:p>
  <w:p w:rsidR="0024723C" w:rsidRDefault="002472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5D0" w:rsidRDefault="00DA05D0">
      <w:r>
        <w:separator/>
      </w:r>
    </w:p>
    <w:p w:rsidR="00DA05D0" w:rsidRDefault="00DA05D0"/>
  </w:footnote>
  <w:footnote w:type="continuationSeparator" w:id="0">
    <w:p w:rsidR="00DA05D0" w:rsidRDefault="00DA05D0">
      <w:r>
        <w:continuationSeparator/>
      </w:r>
    </w:p>
    <w:p w:rsidR="00DA05D0" w:rsidRDefault="00DA05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4723C" w:rsidRPr="008E0D90" w:rsidTr="00A06225">
      <w:trPr>
        <w:trHeight w:val="151"/>
      </w:trPr>
      <w:tc>
        <w:tcPr>
          <w:tcW w:w="2389" w:type="pct"/>
          <w:tcBorders>
            <w:top w:val="nil"/>
            <w:left w:val="nil"/>
            <w:bottom w:val="single" w:sz="4" w:space="0" w:color="4F81BD"/>
            <w:right w:val="nil"/>
          </w:tcBorders>
        </w:tcPr>
        <w:p w:rsidR="0024723C" w:rsidRPr="00A06225" w:rsidRDefault="0024723C">
          <w:pPr>
            <w:pStyle w:val="Header"/>
            <w:spacing w:line="276" w:lineRule="auto"/>
            <w:rPr>
              <w:rFonts w:ascii="Cambria" w:eastAsia="MS Gothic" w:hAnsi="Cambria"/>
              <w:b/>
              <w:bCs/>
              <w:color w:val="4F81BD"/>
            </w:rPr>
          </w:pPr>
        </w:p>
      </w:tc>
      <w:tc>
        <w:tcPr>
          <w:tcW w:w="333" w:type="pct"/>
          <w:vMerge w:val="restart"/>
          <w:noWrap/>
          <w:vAlign w:val="center"/>
          <w:hideMark/>
        </w:tcPr>
        <w:p w:rsidR="0024723C" w:rsidRPr="00A06225" w:rsidRDefault="0024723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4723C" w:rsidRPr="00A06225" w:rsidRDefault="0024723C">
          <w:pPr>
            <w:pStyle w:val="Header"/>
            <w:spacing w:line="276" w:lineRule="auto"/>
            <w:rPr>
              <w:rFonts w:ascii="Cambria" w:eastAsia="MS Gothic" w:hAnsi="Cambria"/>
              <w:b/>
              <w:bCs/>
              <w:color w:val="4F81BD"/>
            </w:rPr>
          </w:pPr>
        </w:p>
      </w:tc>
    </w:tr>
    <w:tr w:rsidR="0024723C" w:rsidRPr="008E0D90" w:rsidTr="00A06225">
      <w:trPr>
        <w:trHeight w:val="150"/>
      </w:trPr>
      <w:tc>
        <w:tcPr>
          <w:tcW w:w="2389" w:type="pct"/>
          <w:tcBorders>
            <w:top w:val="single" w:sz="4" w:space="0" w:color="4F81BD"/>
            <w:left w:val="nil"/>
            <w:bottom w:val="nil"/>
            <w:right w:val="nil"/>
          </w:tcBorders>
        </w:tcPr>
        <w:p w:rsidR="0024723C" w:rsidRPr="00A06225" w:rsidRDefault="0024723C">
          <w:pPr>
            <w:pStyle w:val="Header"/>
            <w:spacing w:line="276" w:lineRule="auto"/>
            <w:rPr>
              <w:rFonts w:ascii="Cambria" w:eastAsia="MS Gothic" w:hAnsi="Cambria"/>
              <w:b/>
              <w:bCs/>
              <w:color w:val="4F81BD"/>
            </w:rPr>
          </w:pPr>
        </w:p>
      </w:tc>
      <w:tc>
        <w:tcPr>
          <w:tcW w:w="0" w:type="auto"/>
          <w:vMerge/>
          <w:vAlign w:val="center"/>
          <w:hideMark/>
        </w:tcPr>
        <w:p w:rsidR="0024723C" w:rsidRPr="00A06225" w:rsidRDefault="0024723C">
          <w:pPr>
            <w:rPr>
              <w:rFonts w:ascii="Cambria" w:hAnsi="Cambria"/>
              <w:color w:val="4F81BD"/>
              <w:sz w:val="22"/>
              <w:szCs w:val="22"/>
            </w:rPr>
          </w:pPr>
        </w:p>
      </w:tc>
      <w:tc>
        <w:tcPr>
          <w:tcW w:w="2278" w:type="pct"/>
          <w:tcBorders>
            <w:top w:val="single" w:sz="4" w:space="0" w:color="4F81BD"/>
            <w:left w:val="nil"/>
            <w:bottom w:val="nil"/>
            <w:right w:val="nil"/>
          </w:tcBorders>
        </w:tcPr>
        <w:p w:rsidR="0024723C" w:rsidRPr="00A06225" w:rsidRDefault="0024723C">
          <w:pPr>
            <w:pStyle w:val="Header"/>
            <w:spacing w:line="276" w:lineRule="auto"/>
            <w:rPr>
              <w:rFonts w:ascii="Cambria" w:eastAsia="MS Gothic" w:hAnsi="Cambria"/>
              <w:b/>
              <w:bCs/>
              <w:color w:val="4F81BD"/>
            </w:rPr>
          </w:pPr>
        </w:p>
      </w:tc>
    </w:tr>
  </w:tbl>
  <w:p w:rsidR="0024723C" w:rsidRDefault="0024723C">
    <w:pPr>
      <w:pStyle w:val="Header"/>
    </w:pPr>
  </w:p>
  <w:p w:rsidR="0024723C" w:rsidRDefault="002472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5EC" w:rsidRPr="00B275EC" w:rsidRDefault="006E3A06" w:rsidP="006E3A06">
    <w:pPr>
      <w:pStyle w:val="Header"/>
      <w:jc w:val="center"/>
      <w:rPr>
        <w:rFonts w:asciiTheme="minorHAnsi" w:hAnsiTheme="minorHAnsi" w:cs="Arial"/>
        <w:i/>
        <w:noProof/>
      </w:rPr>
    </w:pPr>
    <w:r>
      <w:rPr>
        <w:rFonts w:asciiTheme="minorHAnsi" w:hAnsiTheme="minorHAnsi" w:cs="Arial"/>
        <w:i/>
        <w:noProof/>
      </w:rPr>
      <w:t>Public Summary Document</w:t>
    </w:r>
    <w:r w:rsidR="00B275EC" w:rsidRPr="00B275EC">
      <w:rPr>
        <w:rFonts w:asciiTheme="minorHAnsi" w:hAnsiTheme="minorHAnsi" w:cs="Arial"/>
        <w:i/>
        <w:noProof/>
      </w:rPr>
      <w:t xml:space="preserve"> – March 2019 PBAC Meeting</w:t>
    </w:r>
  </w:p>
  <w:p w:rsidR="0024723C" w:rsidRDefault="0024723C"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3731E5"/>
    <w:multiLevelType w:val="hybridMultilevel"/>
    <w:tmpl w:val="D6F6334A"/>
    <w:lvl w:ilvl="0" w:tplc="67D6F626">
      <w:numFmt w:val="bullet"/>
      <w:lvlText w:val="-"/>
      <w:lvlJc w:val="left"/>
      <w:pPr>
        <w:ind w:left="405" w:hanging="360"/>
      </w:pPr>
      <w:rPr>
        <w:rFonts w:ascii="Calibri" w:eastAsiaTheme="minorHAnsi" w:hAnsi="Calibri" w:cstheme="minorHAns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A1A80"/>
    <w:multiLevelType w:val="multilevel"/>
    <w:tmpl w:val="9592750C"/>
    <w:lvl w:ilvl="0">
      <w:start w:val="1"/>
      <w:numFmt w:val="decimal"/>
      <w:lvlText w:val="%1"/>
      <w:lvlJc w:val="left"/>
      <w:pPr>
        <w:ind w:left="720" w:hanging="720"/>
      </w:pPr>
      <w:rPr>
        <w:rFonts w:hint="default"/>
        <w:b/>
      </w:rPr>
    </w:lvl>
    <w:lvl w:ilvl="1">
      <w:start w:val="4"/>
      <w:numFmt w:val="bullet"/>
      <w:lvlText w:val="-"/>
      <w:lvlJc w:val="left"/>
      <w:pPr>
        <w:ind w:left="720" w:hanging="720"/>
      </w:pPr>
      <w:rPr>
        <w:rFonts w:ascii="Calibri" w:eastAsia="Times New Roman" w:hAnsi="Calibri" w:cs="Calibri"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44F7201"/>
    <w:multiLevelType w:val="multilevel"/>
    <w:tmpl w:val="A3C415A8"/>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1460E2"/>
    <w:multiLevelType w:val="hybridMultilevel"/>
    <w:tmpl w:val="1F58E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BE6757"/>
    <w:multiLevelType w:val="multilevel"/>
    <w:tmpl w:val="7F927CD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84D033C"/>
    <w:multiLevelType w:val="multilevel"/>
    <w:tmpl w:val="8A4852DC"/>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6"/>
  </w:num>
  <w:num w:numId="5">
    <w:abstractNumId w:val="23"/>
  </w:num>
  <w:num w:numId="6">
    <w:abstractNumId w:val="8"/>
  </w:num>
  <w:num w:numId="7">
    <w:abstractNumId w:val="15"/>
  </w:num>
  <w:num w:numId="8">
    <w:abstractNumId w:val="5"/>
  </w:num>
  <w:num w:numId="9">
    <w:abstractNumId w:val="14"/>
  </w:num>
  <w:num w:numId="10">
    <w:abstractNumId w:val="13"/>
  </w:num>
  <w:num w:numId="11">
    <w:abstractNumId w:val="12"/>
  </w:num>
  <w:num w:numId="12">
    <w:abstractNumId w:val="1"/>
  </w:num>
  <w:num w:numId="13">
    <w:abstractNumId w:val="0"/>
  </w:num>
  <w:num w:numId="14">
    <w:abstractNumId w:val="23"/>
  </w:num>
  <w:num w:numId="15">
    <w:abstractNumId w:val="22"/>
  </w:num>
  <w:num w:numId="16">
    <w:abstractNumId w:val="20"/>
  </w:num>
  <w:num w:numId="17">
    <w:abstractNumId w:val="21"/>
  </w:num>
  <w:num w:numId="18">
    <w:abstractNumId w:val="4"/>
  </w:num>
  <w:num w:numId="19">
    <w:abstractNumId w:val="10"/>
  </w:num>
  <w:num w:numId="20">
    <w:abstractNumId w:val="17"/>
  </w:num>
  <w:num w:numId="21">
    <w:abstractNumId w:val="18"/>
  </w:num>
  <w:num w:numId="22">
    <w:abstractNumId w:val="6"/>
  </w:num>
  <w:num w:numId="23">
    <w:abstractNumId w:val="2"/>
  </w:num>
  <w:num w:numId="24">
    <w:abstractNumId w:val="11"/>
  </w:num>
  <w:num w:numId="25">
    <w:abstractNumId w:val="19"/>
  </w:num>
  <w:num w:numId="26">
    <w:abstractNumId w:val="23"/>
  </w:num>
  <w:num w:numId="2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122F"/>
    <w:rsid w:val="000025AD"/>
    <w:rsid w:val="0000335D"/>
    <w:rsid w:val="0002464A"/>
    <w:rsid w:val="00026B44"/>
    <w:rsid w:val="0003106B"/>
    <w:rsid w:val="00033DE1"/>
    <w:rsid w:val="000421A1"/>
    <w:rsid w:val="0004240E"/>
    <w:rsid w:val="00045E26"/>
    <w:rsid w:val="0004619E"/>
    <w:rsid w:val="00046C46"/>
    <w:rsid w:val="000472F0"/>
    <w:rsid w:val="000514B5"/>
    <w:rsid w:val="000606C8"/>
    <w:rsid w:val="00060E64"/>
    <w:rsid w:val="00066755"/>
    <w:rsid w:val="00071874"/>
    <w:rsid w:val="00075EDE"/>
    <w:rsid w:val="00077143"/>
    <w:rsid w:val="00082169"/>
    <w:rsid w:val="000969AD"/>
    <w:rsid w:val="000B558D"/>
    <w:rsid w:val="000C6996"/>
    <w:rsid w:val="000D23BA"/>
    <w:rsid w:val="000E681E"/>
    <w:rsid w:val="000F0003"/>
    <w:rsid w:val="000F3B50"/>
    <w:rsid w:val="000F4E6A"/>
    <w:rsid w:val="000F533A"/>
    <w:rsid w:val="00104227"/>
    <w:rsid w:val="00106444"/>
    <w:rsid w:val="00107F5E"/>
    <w:rsid w:val="001107BF"/>
    <w:rsid w:val="0011727C"/>
    <w:rsid w:val="001235F9"/>
    <w:rsid w:val="0012417C"/>
    <w:rsid w:val="0012494B"/>
    <w:rsid w:val="00141E53"/>
    <w:rsid w:val="00142395"/>
    <w:rsid w:val="00142714"/>
    <w:rsid w:val="001452ED"/>
    <w:rsid w:val="00146F88"/>
    <w:rsid w:val="00152626"/>
    <w:rsid w:val="00163329"/>
    <w:rsid w:val="00164623"/>
    <w:rsid w:val="00165B64"/>
    <w:rsid w:val="00180713"/>
    <w:rsid w:val="001830CE"/>
    <w:rsid w:val="0018643B"/>
    <w:rsid w:val="001870D3"/>
    <w:rsid w:val="00196307"/>
    <w:rsid w:val="001A33EA"/>
    <w:rsid w:val="001B017F"/>
    <w:rsid w:val="001B112B"/>
    <w:rsid w:val="001B2BBC"/>
    <w:rsid w:val="001B5129"/>
    <w:rsid w:val="001C1195"/>
    <w:rsid w:val="001E1BC5"/>
    <w:rsid w:val="001E43B6"/>
    <w:rsid w:val="001E4E72"/>
    <w:rsid w:val="001F1850"/>
    <w:rsid w:val="001F658F"/>
    <w:rsid w:val="00203FAC"/>
    <w:rsid w:val="00205EC6"/>
    <w:rsid w:val="00213CFB"/>
    <w:rsid w:val="00217BE1"/>
    <w:rsid w:val="0024723C"/>
    <w:rsid w:val="002503B4"/>
    <w:rsid w:val="002704C5"/>
    <w:rsid w:val="002706A4"/>
    <w:rsid w:val="00271BA1"/>
    <w:rsid w:val="002762FA"/>
    <w:rsid w:val="00277505"/>
    <w:rsid w:val="0029458F"/>
    <w:rsid w:val="002A104C"/>
    <w:rsid w:val="002A4960"/>
    <w:rsid w:val="002B1AE6"/>
    <w:rsid w:val="002B2AD1"/>
    <w:rsid w:val="002B2CBD"/>
    <w:rsid w:val="002B2DE8"/>
    <w:rsid w:val="002B30F8"/>
    <w:rsid w:val="002B5596"/>
    <w:rsid w:val="002C212F"/>
    <w:rsid w:val="002D4543"/>
    <w:rsid w:val="002E3153"/>
    <w:rsid w:val="002E72CA"/>
    <w:rsid w:val="002F600D"/>
    <w:rsid w:val="00300AD6"/>
    <w:rsid w:val="00317C6C"/>
    <w:rsid w:val="003230BD"/>
    <w:rsid w:val="00326E79"/>
    <w:rsid w:val="0033518A"/>
    <w:rsid w:val="0033677C"/>
    <w:rsid w:val="003367EF"/>
    <w:rsid w:val="00341AE4"/>
    <w:rsid w:val="00377007"/>
    <w:rsid w:val="003872CF"/>
    <w:rsid w:val="0038755C"/>
    <w:rsid w:val="0039782C"/>
    <w:rsid w:val="003A3F7A"/>
    <w:rsid w:val="003A5B4A"/>
    <w:rsid w:val="003B08C5"/>
    <w:rsid w:val="003B23C5"/>
    <w:rsid w:val="003B2A75"/>
    <w:rsid w:val="003B6124"/>
    <w:rsid w:val="003C0776"/>
    <w:rsid w:val="003C2FB5"/>
    <w:rsid w:val="003D4AC4"/>
    <w:rsid w:val="003D63B7"/>
    <w:rsid w:val="003E468B"/>
    <w:rsid w:val="003F3228"/>
    <w:rsid w:val="003F5C8C"/>
    <w:rsid w:val="00403E0C"/>
    <w:rsid w:val="0041729A"/>
    <w:rsid w:val="00417F84"/>
    <w:rsid w:val="004252EC"/>
    <w:rsid w:val="004465BD"/>
    <w:rsid w:val="00466ADA"/>
    <w:rsid w:val="00476245"/>
    <w:rsid w:val="00483035"/>
    <w:rsid w:val="004857ED"/>
    <w:rsid w:val="00485940"/>
    <w:rsid w:val="004A2337"/>
    <w:rsid w:val="004A2484"/>
    <w:rsid w:val="004A5A85"/>
    <w:rsid w:val="004A71D1"/>
    <w:rsid w:val="004B5640"/>
    <w:rsid w:val="004C1BD7"/>
    <w:rsid w:val="004C31FE"/>
    <w:rsid w:val="004C691D"/>
    <w:rsid w:val="004C6C07"/>
    <w:rsid w:val="004E07F3"/>
    <w:rsid w:val="004E1D7B"/>
    <w:rsid w:val="004E692D"/>
    <w:rsid w:val="00501554"/>
    <w:rsid w:val="005060A2"/>
    <w:rsid w:val="005103C5"/>
    <w:rsid w:val="005116CC"/>
    <w:rsid w:val="005144DD"/>
    <w:rsid w:val="00514CD7"/>
    <w:rsid w:val="005319B2"/>
    <w:rsid w:val="00532402"/>
    <w:rsid w:val="00532B43"/>
    <w:rsid w:val="00532C74"/>
    <w:rsid w:val="00534E2E"/>
    <w:rsid w:val="00544552"/>
    <w:rsid w:val="00563DB8"/>
    <w:rsid w:val="00565DCD"/>
    <w:rsid w:val="00577C4D"/>
    <w:rsid w:val="00581932"/>
    <w:rsid w:val="00582083"/>
    <w:rsid w:val="00582EAE"/>
    <w:rsid w:val="005922D4"/>
    <w:rsid w:val="005963BB"/>
    <w:rsid w:val="005A3173"/>
    <w:rsid w:val="005A3223"/>
    <w:rsid w:val="005A3DA3"/>
    <w:rsid w:val="005A52C4"/>
    <w:rsid w:val="005B4727"/>
    <w:rsid w:val="005B7768"/>
    <w:rsid w:val="005D03AB"/>
    <w:rsid w:val="005D5017"/>
    <w:rsid w:val="005E1333"/>
    <w:rsid w:val="005E3A96"/>
    <w:rsid w:val="00601A91"/>
    <w:rsid w:val="00602BA3"/>
    <w:rsid w:val="00606EED"/>
    <w:rsid w:val="00611DD3"/>
    <w:rsid w:val="00612E34"/>
    <w:rsid w:val="00614159"/>
    <w:rsid w:val="00617C00"/>
    <w:rsid w:val="00620766"/>
    <w:rsid w:val="006263BF"/>
    <w:rsid w:val="0062748A"/>
    <w:rsid w:val="00627CF6"/>
    <w:rsid w:val="00630A2C"/>
    <w:rsid w:val="0063682E"/>
    <w:rsid w:val="006436CD"/>
    <w:rsid w:val="00651169"/>
    <w:rsid w:val="00653D69"/>
    <w:rsid w:val="006602C2"/>
    <w:rsid w:val="006670BE"/>
    <w:rsid w:val="00670A76"/>
    <w:rsid w:val="006711AA"/>
    <w:rsid w:val="00672B57"/>
    <w:rsid w:val="00675622"/>
    <w:rsid w:val="0067747D"/>
    <w:rsid w:val="006906DB"/>
    <w:rsid w:val="00691E6C"/>
    <w:rsid w:val="00696129"/>
    <w:rsid w:val="00697CF2"/>
    <w:rsid w:val="006A12A5"/>
    <w:rsid w:val="006B0D94"/>
    <w:rsid w:val="006B485D"/>
    <w:rsid w:val="006C708E"/>
    <w:rsid w:val="006D14E7"/>
    <w:rsid w:val="006D6493"/>
    <w:rsid w:val="006D6EC7"/>
    <w:rsid w:val="006E1BCD"/>
    <w:rsid w:val="006E3A06"/>
    <w:rsid w:val="006F2DCC"/>
    <w:rsid w:val="006F5125"/>
    <w:rsid w:val="00702B6F"/>
    <w:rsid w:val="0070738A"/>
    <w:rsid w:val="0071340B"/>
    <w:rsid w:val="007174BB"/>
    <w:rsid w:val="0072025D"/>
    <w:rsid w:val="007353D3"/>
    <w:rsid w:val="007554A0"/>
    <w:rsid w:val="0076420C"/>
    <w:rsid w:val="007753C2"/>
    <w:rsid w:val="00777D41"/>
    <w:rsid w:val="007838B8"/>
    <w:rsid w:val="00794460"/>
    <w:rsid w:val="007C0F57"/>
    <w:rsid w:val="007C40B6"/>
    <w:rsid w:val="007C729F"/>
    <w:rsid w:val="007E0810"/>
    <w:rsid w:val="007E1D28"/>
    <w:rsid w:val="007F2641"/>
    <w:rsid w:val="007F7C36"/>
    <w:rsid w:val="00806796"/>
    <w:rsid w:val="008151D6"/>
    <w:rsid w:val="0082024F"/>
    <w:rsid w:val="00821A26"/>
    <w:rsid w:val="00826F6D"/>
    <w:rsid w:val="008306F3"/>
    <w:rsid w:val="00833E5F"/>
    <w:rsid w:val="00854BB9"/>
    <w:rsid w:val="00856DDD"/>
    <w:rsid w:val="00863E68"/>
    <w:rsid w:val="00882085"/>
    <w:rsid w:val="00883188"/>
    <w:rsid w:val="00884902"/>
    <w:rsid w:val="00897D58"/>
    <w:rsid w:val="00897F22"/>
    <w:rsid w:val="008A0372"/>
    <w:rsid w:val="008A1956"/>
    <w:rsid w:val="008A2CBD"/>
    <w:rsid w:val="008A4937"/>
    <w:rsid w:val="008A50F1"/>
    <w:rsid w:val="008C49CF"/>
    <w:rsid w:val="008D1B5C"/>
    <w:rsid w:val="008D3C82"/>
    <w:rsid w:val="008D447E"/>
    <w:rsid w:val="008D696E"/>
    <w:rsid w:val="008D7A41"/>
    <w:rsid w:val="008E3680"/>
    <w:rsid w:val="008E5870"/>
    <w:rsid w:val="008F1434"/>
    <w:rsid w:val="008F7355"/>
    <w:rsid w:val="00902B89"/>
    <w:rsid w:val="009067B7"/>
    <w:rsid w:val="009136AD"/>
    <w:rsid w:val="00930937"/>
    <w:rsid w:val="00933E6C"/>
    <w:rsid w:val="00937958"/>
    <w:rsid w:val="00942160"/>
    <w:rsid w:val="0095146F"/>
    <w:rsid w:val="009602C5"/>
    <w:rsid w:val="00962223"/>
    <w:rsid w:val="00964054"/>
    <w:rsid w:val="00966D0D"/>
    <w:rsid w:val="00974C21"/>
    <w:rsid w:val="009821C4"/>
    <w:rsid w:val="00991B43"/>
    <w:rsid w:val="009B0F67"/>
    <w:rsid w:val="009C703C"/>
    <w:rsid w:val="009D3CAA"/>
    <w:rsid w:val="009E40E1"/>
    <w:rsid w:val="009F4E46"/>
    <w:rsid w:val="009F5B65"/>
    <w:rsid w:val="009F5F2E"/>
    <w:rsid w:val="00A06225"/>
    <w:rsid w:val="00A128E6"/>
    <w:rsid w:val="00A34E6C"/>
    <w:rsid w:val="00A37C8D"/>
    <w:rsid w:val="00A5273B"/>
    <w:rsid w:val="00A53A9D"/>
    <w:rsid w:val="00A55FEE"/>
    <w:rsid w:val="00A62C1A"/>
    <w:rsid w:val="00A6426D"/>
    <w:rsid w:val="00A650B6"/>
    <w:rsid w:val="00A665C1"/>
    <w:rsid w:val="00A70622"/>
    <w:rsid w:val="00A70977"/>
    <w:rsid w:val="00A74C27"/>
    <w:rsid w:val="00A77613"/>
    <w:rsid w:val="00A8390C"/>
    <w:rsid w:val="00A86F64"/>
    <w:rsid w:val="00A928BD"/>
    <w:rsid w:val="00AA2F06"/>
    <w:rsid w:val="00AA4D1C"/>
    <w:rsid w:val="00AC193C"/>
    <w:rsid w:val="00AC1F30"/>
    <w:rsid w:val="00AC5206"/>
    <w:rsid w:val="00AE11A5"/>
    <w:rsid w:val="00AE13E2"/>
    <w:rsid w:val="00AE22D3"/>
    <w:rsid w:val="00AE7F9B"/>
    <w:rsid w:val="00AF62DF"/>
    <w:rsid w:val="00AF68CC"/>
    <w:rsid w:val="00B1059E"/>
    <w:rsid w:val="00B1682A"/>
    <w:rsid w:val="00B176C8"/>
    <w:rsid w:val="00B205AA"/>
    <w:rsid w:val="00B22E84"/>
    <w:rsid w:val="00B25F75"/>
    <w:rsid w:val="00B26B3F"/>
    <w:rsid w:val="00B275EC"/>
    <w:rsid w:val="00B43E90"/>
    <w:rsid w:val="00B467DC"/>
    <w:rsid w:val="00B56118"/>
    <w:rsid w:val="00B6773F"/>
    <w:rsid w:val="00B801BA"/>
    <w:rsid w:val="00B814E4"/>
    <w:rsid w:val="00B84D5C"/>
    <w:rsid w:val="00B85E43"/>
    <w:rsid w:val="00BB2FD5"/>
    <w:rsid w:val="00BB69F5"/>
    <w:rsid w:val="00BB7EC3"/>
    <w:rsid w:val="00BC3B1A"/>
    <w:rsid w:val="00BC4B9A"/>
    <w:rsid w:val="00BC714B"/>
    <w:rsid w:val="00BD2E96"/>
    <w:rsid w:val="00BD784C"/>
    <w:rsid w:val="00BF4CB6"/>
    <w:rsid w:val="00C00DA7"/>
    <w:rsid w:val="00C12768"/>
    <w:rsid w:val="00C27B58"/>
    <w:rsid w:val="00C35996"/>
    <w:rsid w:val="00C4747E"/>
    <w:rsid w:val="00C5342C"/>
    <w:rsid w:val="00C603D4"/>
    <w:rsid w:val="00C6256A"/>
    <w:rsid w:val="00C750A6"/>
    <w:rsid w:val="00C77891"/>
    <w:rsid w:val="00C77ABD"/>
    <w:rsid w:val="00C91449"/>
    <w:rsid w:val="00C92D10"/>
    <w:rsid w:val="00CA0BA0"/>
    <w:rsid w:val="00CB1F58"/>
    <w:rsid w:val="00CB6D0A"/>
    <w:rsid w:val="00CC25CA"/>
    <w:rsid w:val="00CC51FD"/>
    <w:rsid w:val="00CE10C4"/>
    <w:rsid w:val="00CE27B5"/>
    <w:rsid w:val="00CF27E6"/>
    <w:rsid w:val="00CF6BE3"/>
    <w:rsid w:val="00D0321E"/>
    <w:rsid w:val="00D1455A"/>
    <w:rsid w:val="00D31150"/>
    <w:rsid w:val="00D3138B"/>
    <w:rsid w:val="00D3280C"/>
    <w:rsid w:val="00D3406A"/>
    <w:rsid w:val="00D4572C"/>
    <w:rsid w:val="00D469B2"/>
    <w:rsid w:val="00D741EB"/>
    <w:rsid w:val="00D83605"/>
    <w:rsid w:val="00D84934"/>
    <w:rsid w:val="00D91271"/>
    <w:rsid w:val="00D919F5"/>
    <w:rsid w:val="00D94F03"/>
    <w:rsid w:val="00D95BDD"/>
    <w:rsid w:val="00DA05D0"/>
    <w:rsid w:val="00DA2CB5"/>
    <w:rsid w:val="00DA4BAC"/>
    <w:rsid w:val="00DC77E6"/>
    <w:rsid w:val="00DD6B2A"/>
    <w:rsid w:val="00DE0301"/>
    <w:rsid w:val="00DE6D27"/>
    <w:rsid w:val="00DF217D"/>
    <w:rsid w:val="00DF26A7"/>
    <w:rsid w:val="00E141E4"/>
    <w:rsid w:val="00E15627"/>
    <w:rsid w:val="00E164B3"/>
    <w:rsid w:val="00E16910"/>
    <w:rsid w:val="00E27460"/>
    <w:rsid w:val="00E42BDB"/>
    <w:rsid w:val="00E57EEB"/>
    <w:rsid w:val="00E60C41"/>
    <w:rsid w:val="00E62D94"/>
    <w:rsid w:val="00E65E54"/>
    <w:rsid w:val="00E66B99"/>
    <w:rsid w:val="00E67926"/>
    <w:rsid w:val="00E80155"/>
    <w:rsid w:val="00E81F28"/>
    <w:rsid w:val="00E848C0"/>
    <w:rsid w:val="00E91B96"/>
    <w:rsid w:val="00E941A1"/>
    <w:rsid w:val="00E95CE3"/>
    <w:rsid w:val="00EA12C8"/>
    <w:rsid w:val="00EA2825"/>
    <w:rsid w:val="00EB0B63"/>
    <w:rsid w:val="00EB1936"/>
    <w:rsid w:val="00EB5088"/>
    <w:rsid w:val="00ED1644"/>
    <w:rsid w:val="00ED2593"/>
    <w:rsid w:val="00ED7D9C"/>
    <w:rsid w:val="00EF44A0"/>
    <w:rsid w:val="00EF4FED"/>
    <w:rsid w:val="00F050BD"/>
    <w:rsid w:val="00F05657"/>
    <w:rsid w:val="00F25578"/>
    <w:rsid w:val="00F258E5"/>
    <w:rsid w:val="00F300BC"/>
    <w:rsid w:val="00F31FFF"/>
    <w:rsid w:val="00F3334E"/>
    <w:rsid w:val="00F36CCB"/>
    <w:rsid w:val="00F374E5"/>
    <w:rsid w:val="00F43AF2"/>
    <w:rsid w:val="00F5007E"/>
    <w:rsid w:val="00F50EC4"/>
    <w:rsid w:val="00F53BD6"/>
    <w:rsid w:val="00F550CF"/>
    <w:rsid w:val="00F57A6D"/>
    <w:rsid w:val="00F638CC"/>
    <w:rsid w:val="00F64CC1"/>
    <w:rsid w:val="00F72317"/>
    <w:rsid w:val="00F80475"/>
    <w:rsid w:val="00F8247A"/>
    <w:rsid w:val="00F9629A"/>
    <w:rsid w:val="00F97EFC"/>
    <w:rsid w:val="00FA5883"/>
    <w:rsid w:val="00FA6055"/>
    <w:rsid w:val="00FB322F"/>
    <w:rsid w:val="00FB442F"/>
    <w:rsid w:val="00FC1929"/>
    <w:rsid w:val="00FC5B46"/>
    <w:rsid w:val="00FD4B55"/>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E4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1"/>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1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table" w:customStyle="1" w:styleId="Submissionstandard">
    <w:name w:val="Submission standard"/>
    <w:qFormat/>
    <w:rsid w:val="00403E0C"/>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BatangChe" w:hAnsi="@BatangChe" w:cs="Times New Roman"/>
        <w:b/>
        <w:sz w:val="20"/>
      </w:rPr>
      <w:tblPr/>
      <w:tcPr>
        <w:shd w:val="clear" w:color="auto" w:fill="BFBF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35F9-2AE4-4836-B7ED-E70D50A0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12459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2019-06-24T01:36:00Z</dcterms:created>
  <dcterms:modified xsi:type="dcterms:W3CDTF">2019-07-05T04:41:00Z</dcterms:modified>
</cp:coreProperties>
</file>