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544" w:rsidRPr="00385E60" w:rsidRDefault="000F3184" w:rsidP="00385E60">
      <w:pPr>
        <w:pStyle w:val="Title"/>
      </w:pPr>
      <w:r w:rsidRPr="00385E60">
        <w:t>5.11</w:t>
      </w:r>
      <w:r w:rsidR="006D6493" w:rsidRPr="00385E60">
        <w:tab/>
      </w:r>
      <w:r w:rsidR="007D6544" w:rsidRPr="00385E60">
        <w:t>MORPHINE</w:t>
      </w:r>
      <w:r w:rsidR="006D6493" w:rsidRPr="00385E60">
        <w:t xml:space="preserve"> </w:t>
      </w:r>
    </w:p>
    <w:p w:rsidR="007D6544" w:rsidRPr="00385E60" w:rsidRDefault="007D6544" w:rsidP="00DA5C40">
      <w:pPr>
        <w:pStyle w:val="Title"/>
        <w:ind w:firstLine="0"/>
      </w:pPr>
      <w:r w:rsidRPr="00385E60">
        <w:t xml:space="preserve">Capsule containing morphine </w:t>
      </w:r>
      <w:proofErr w:type="spellStart"/>
      <w:r w:rsidRPr="00385E60">
        <w:t>sulfate</w:t>
      </w:r>
      <w:proofErr w:type="spellEnd"/>
      <w:r w:rsidRPr="00385E60">
        <w:t xml:space="preserve"> pentahydrate 10</w:t>
      </w:r>
      <w:r w:rsidR="000F3184" w:rsidRPr="00385E60">
        <w:t> </w:t>
      </w:r>
      <w:r w:rsidRPr="00385E60">
        <w:t>mg (modified release)</w:t>
      </w:r>
      <w:r w:rsidR="005D66F5" w:rsidRPr="00385E60">
        <w:t>,</w:t>
      </w:r>
    </w:p>
    <w:p w:rsidR="006D6493" w:rsidRPr="00385E60" w:rsidRDefault="007D6544" w:rsidP="00DA5C40">
      <w:pPr>
        <w:pStyle w:val="Title"/>
        <w:ind w:hanging="11"/>
      </w:pPr>
      <w:r w:rsidRPr="00385E60">
        <w:t xml:space="preserve">Capsule containing morphine </w:t>
      </w:r>
      <w:proofErr w:type="spellStart"/>
      <w:r w:rsidRPr="00385E60">
        <w:t>sulfate</w:t>
      </w:r>
      <w:proofErr w:type="spellEnd"/>
      <w:r w:rsidRPr="00385E60">
        <w:t xml:space="preserve"> pentahydrate 20</w:t>
      </w:r>
      <w:r w:rsidR="000F3184" w:rsidRPr="00385E60">
        <w:t> </w:t>
      </w:r>
      <w:r w:rsidRPr="00385E60">
        <w:t>mg (modified release)</w:t>
      </w:r>
      <w:proofErr w:type="gramStart"/>
      <w:r w:rsidR="005D66F5" w:rsidRPr="00385E60">
        <w:t>,</w:t>
      </w:r>
      <w:proofErr w:type="gramEnd"/>
      <w:r w:rsidR="006D6493" w:rsidRPr="00385E60">
        <w:br/>
      </w:r>
      <w:proofErr w:type="spellStart"/>
      <w:r w:rsidRPr="00385E60">
        <w:t>Kapanol</w:t>
      </w:r>
      <w:proofErr w:type="spellEnd"/>
      <w:r w:rsidR="006D6493" w:rsidRPr="00385E60">
        <w:t xml:space="preserve">®, </w:t>
      </w:r>
      <w:r w:rsidRPr="00385E60">
        <w:t>Mayne Pharma International Pty Ltd</w:t>
      </w:r>
    </w:p>
    <w:p w:rsidR="008A50F1" w:rsidRPr="00D37E3F" w:rsidRDefault="00CE10C4" w:rsidP="00DA5C40">
      <w:pPr>
        <w:pStyle w:val="PBACHeading1"/>
        <w:spacing w:before="240" w:after="120"/>
        <w:ind w:left="709" w:hanging="709"/>
        <w:rPr>
          <w:rFonts w:asciiTheme="minorHAnsi" w:hAnsiTheme="minorHAnsi"/>
          <w:sz w:val="32"/>
          <w:szCs w:val="32"/>
        </w:rPr>
      </w:pPr>
      <w:r w:rsidRPr="00D37E3F">
        <w:rPr>
          <w:rFonts w:asciiTheme="minorHAnsi" w:hAnsiTheme="minorHAnsi"/>
          <w:sz w:val="32"/>
          <w:szCs w:val="32"/>
        </w:rPr>
        <w:t xml:space="preserve">Purpose of </w:t>
      </w:r>
      <w:r w:rsidR="0004240E" w:rsidRPr="00D37E3F">
        <w:rPr>
          <w:rFonts w:asciiTheme="minorHAnsi" w:hAnsiTheme="minorHAnsi"/>
          <w:sz w:val="32"/>
          <w:szCs w:val="32"/>
        </w:rPr>
        <w:t>Application</w:t>
      </w:r>
    </w:p>
    <w:p w:rsidR="00984D83" w:rsidRPr="00D37E3F" w:rsidRDefault="00EF44A0" w:rsidP="00E57863">
      <w:pPr>
        <w:pStyle w:val="ListParagraph"/>
        <w:widowControl/>
        <w:numPr>
          <w:ilvl w:val="1"/>
          <w:numId w:val="14"/>
        </w:numPr>
        <w:spacing w:after="120"/>
        <w:contextualSpacing w:val="0"/>
        <w:rPr>
          <w:rFonts w:asciiTheme="minorHAnsi" w:hAnsiTheme="minorHAnsi"/>
          <w:b/>
          <w:sz w:val="32"/>
          <w:szCs w:val="32"/>
        </w:rPr>
      </w:pPr>
      <w:r w:rsidRPr="00D37E3F">
        <w:rPr>
          <w:rFonts w:asciiTheme="minorHAnsi" w:eastAsiaTheme="minorHAnsi" w:hAnsiTheme="minorHAnsi" w:cstheme="minorBidi"/>
          <w:snapToGrid/>
          <w:sz w:val="24"/>
          <w:szCs w:val="22"/>
        </w:rPr>
        <w:t>The mi</w:t>
      </w:r>
      <w:r w:rsidR="00FF2801" w:rsidRPr="00D37E3F">
        <w:rPr>
          <w:rFonts w:asciiTheme="minorHAnsi" w:eastAsiaTheme="minorHAnsi" w:hAnsiTheme="minorHAnsi" w:cstheme="minorBidi"/>
          <w:snapToGrid/>
          <w:sz w:val="24"/>
          <w:szCs w:val="22"/>
        </w:rPr>
        <w:t xml:space="preserve">nor submission </w:t>
      </w:r>
      <w:r w:rsidR="00381DCE" w:rsidRPr="00D37E3F">
        <w:rPr>
          <w:rFonts w:asciiTheme="minorHAnsi" w:eastAsiaTheme="minorHAnsi" w:hAnsiTheme="minorHAnsi" w:cstheme="minorBidi"/>
          <w:snapToGrid/>
          <w:sz w:val="24"/>
          <w:szCs w:val="22"/>
        </w:rPr>
        <w:t>requested</w:t>
      </w:r>
      <w:r w:rsidR="006372E7" w:rsidRPr="00D37E3F">
        <w:rPr>
          <w:rFonts w:asciiTheme="minorHAnsi" w:eastAsiaTheme="minorHAnsi" w:hAnsiTheme="minorHAnsi" w:cstheme="minorBidi"/>
          <w:snapToGrid/>
          <w:sz w:val="24"/>
          <w:szCs w:val="22"/>
        </w:rPr>
        <w:t xml:space="preserve"> an extension to</w:t>
      </w:r>
      <w:r w:rsidR="00381DCE" w:rsidRPr="00D37E3F">
        <w:rPr>
          <w:rFonts w:asciiTheme="minorHAnsi" w:eastAsiaTheme="minorHAnsi" w:hAnsiTheme="minorHAnsi" w:cstheme="minorBidi"/>
          <w:snapToGrid/>
          <w:sz w:val="24"/>
          <w:szCs w:val="22"/>
        </w:rPr>
        <w:t xml:space="preserve"> the listing of two strengths of morphine (as morphine </w:t>
      </w:r>
      <w:proofErr w:type="spellStart"/>
      <w:r w:rsidR="00381DCE" w:rsidRPr="00D37E3F">
        <w:rPr>
          <w:rFonts w:asciiTheme="minorHAnsi" w:eastAsiaTheme="minorHAnsi" w:hAnsiTheme="minorHAnsi" w:cstheme="minorBidi"/>
          <w:snapToGrid/>
          <w:sz w:val="24"/>
          <w:szCs w:val="22"/>
        </w:rPr>
        <w:t>sulfate</w:t>
      </w:r>
      <w:proofErr w:type="spellEnd"/>
      <w:r w:rsidR="00381DCE" w:rsidRPr="00D37E3F">
        <w:rPr>
          <w:rFonts w:asciiTheme="minorHAnsi" w:eastAsiaTheme="minorHAnsi" w:hAnsiTheme="minorHAnsi" w:cstheme="minorBidi"/>
          <w:snapToGrid/>
          <w:sz w:val="24"/>
          <w:szCs w:val="22"/>
        </w:rPr>
        <w:t>) for the treatment of chronic breathlessness for patients receiving palliative care.</w:t>
      </w:r>
    </w:p>
    <w:p w:rsidR="006A12A5" w:rsidRPr="00D37E3F" w:rsidRDefault="006A12A5" w:rsidP="00E57863">
      <w:pPr>
        <w:pStyle w:val="PBACHeading1"/>
        <w:spacing w:before="240" w:after="120"/>
        <w:ind w:left="709" w:hanging="709"/>
        <w:rPr>
          <w:rFonts w:asciiTheme="minorHAnsi" w:hAnsiTheme="minorHAnsi"/>
          <w:sz w:val="32"/>
          <w:szCs w:val="32"/>
        </w:rPr>
      </w:pPr>
      <w:r w:rsidRPr="00D37E3F">
        <w:rPr>
          <w:rFonts w:asciiTheme="minorHAnsi" w:hAnsiTheme="minorHAnsi"/>
          <w:sz w:val="32"/>
          <w:szCs w:val="32"/>
        </w:rPr>
        <w:t>Requested listing</w:t>
      </w:r>
    </w:p>
    <w:p w:rsidR="00EC589B" w:rsidRPr="00D37E3F" w:rsidRDefault="003B4C7E" w:rsidP="00E578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D37E3F">
        <w:rPr>
          <w:rFonts w:asciiTheme="minorHAnsi" w:eastAsiaTheme="minorHAnsi" w:hAnsiTheme="minorHAnsi" w:cstheme="minorBidi"/>
          <w:snapToGrid/>
          <w:sz w:val="24"/>
          <w:szCs w:val="22"/>
        </w:rPr>
        <w:t>The submission requested a restricted benefit listing for chronic breathlessness on the Palliative Care schedule of the PBS.</w:t>
      </w:r>
      <w:r w:rsidR="00A8636C" w:rsidRPr="00D37E3F">
        <w:rPr>
          <w:rFonts w:asciiTheme="minorHAnsi" w:eastAsiaTheme="minorHAnsi" w:hAnsiTheme="minorHAnsi" w:cstheme="minorBidi"/>
          <w:snapToGrid/>
          <w:sz w:val="24"/>
          <w:szCs w:val="22"/>
        </w:rPr>
        <w:t xml:space="preserve"> The </w:t>
      </w:r>
      <w:r w:rsidR="00BD296D" w:rsidRPr="00D37E3F">
        <w:rPr>
          <w:rFonts w:asciiTheme="minorHAnsi" w:eastAsiaTheme="minorHAnsi" w:hAnsiTheme="minorHAnsi" w:cstheme="minorBidi"/>
          <w:snapToGrid/>
          <w:sz w:val="24"/>
          <w:szCs w:val="22"/>
        </w:rPr>
        <w:t>submission proposed a</w:t>
      </w:r>
      <w:r w:rsidR="00A8636C" w:rsidRPr="00D37E3F">
        <w:rPr>
          <w:rFonts w:asciiTheme="minorHAnsi" w:eastAsiaTheme="minorHAnsi" w:hAnsiTheme="minorHAnsi" w:cstheme="minorBidi"/>
          <w:snapToGrid/>
          <w:sz w:val="24"/>
          <w:szCs w:val="22"/>
        </w:rPr>
        <w:t xml:space="preserve"> restriction</w:t>
      </w:r>
      <w:r w:rsidR="00BD296D" w:rsidRPr="00D37E3F">
        <w:rPr>
          <w:rFonts w:asciiTheme="minorHAnsi" w:eastAsiaTheme="minorHAnsi" w:hAnsiTheme="minorHAnsi" w:cstheme="minorBidi"/>
          <w:snapToGrid/>
          <w:sz w:val="24"/>
          <w:szCs w:val="22"/>
        </w:rPr>
        <w:t xml:space="preserve"> that</w:t>
      </w:r>
      <w:r w:rsidR="00A8636C" w:rsidRPr="00D37E3F">
        <w:rPr>
          <w:rFonts w:asciiTheme="minorHAnsi" w:eastAsiaTheme="minorHAnsi" w:hAnsiTheme="minorHAnsi" w:cstheme="minorBidi"/>
          <w:snapToGrid/>
          <w:sz w:val="24"/>
          <w:szCs w:val="22"/>
        </w:rPr>
        <w:t xml:space="preserve"> is consistent with the TGA registration and </w:t>
      </w:r>
      <w:r w:rsidR="00046DEC" w:rsidRPr="00D37E3F">
        <w:rPr>
          <w:rFonts w:asciiTheme="minorHAnsi" w:eastAsiaTheme="minorHAnsi" w:hAnsiTheme="minorHAnsi" w:cstheme="minorBidi"/>
          <w:snapToGrid/>
          <w:sz w:val="24"/>
          <w:szCs w:val="22"/>
        </w:rPr>
        <w:t xml:space="preserve">product information. </w:t>
      </w:r>
      <w:r w:rsidR="00BD296D" w:rsidRPr="00D37E3F">
        <w:rPr>
          <w:rFonts w:asciiTheme="minorHAnsi" w:eastAsiaTheme="minorHAnsi" w:hAnsiTheme="minorHAnsi" w:cstheme="minorBidi"/>
          <w:snapToGrid/>
          <w:sz w:val="24"/>
          <w:szCs w:val="22"/>
        </w:rPr>
        <w:t xml:space="preserve">The </w:t>
      </w:r>
      <w:r w:rsidR="00046DEC" w:rsidRPr="00D37E3F">
        <w:rPr>
          <w:rFonts w:asciiTheme="minorHAnsi" w:eastAsiaTheme="minorHAnsi" w:hAnsiTheme="minorHAnsi" w:cstheme="minorBidi"/>
          <w:snapToGrid/>
          <w:sz w:val="24"/>
          <w:szCs w:val="22"/>
        </w:rPr>
        <w:t xml:space="preserve">restriction presented </w:t>
      </w:r>
      <w:r w:rsidR="00EC589B" w:rsidRPr="00D37E3F">
        <w:rPr>
          <w:rFonts w:asciiTheme="minorHAnsi" w:eastAsiaTheme="minorHAnsi" w:hAnsiTheme="minorHAnsi" w:cstheme="minorBidi"/>
          <w:snapToGrid/>
          <w:sz w:val="24"/>
          <w:szCs w:val="22"/>
        </w:rPr>
        <w:t>below</w:t>
      </w:r>
      <w:r w:rsidR="00046DEC" w:rsidRPr="00D37E3F">
        <w:rPr>
          <w:rFonts w:asciiTheme="minorHAnsi" w:eastAsiaTheme="minorHAnsi" w:hAnsiTheme="minorHAnsi" w:cstheme="minorBidi"/>
          <w:snapToGrid/>
          <w:sz w:val="24"/>
          <w:szCs w:val="22"/>
        </w:rPr>
        <w:t xml:space="preserve"> replaces the version included in the submission</w:t>
      </w:r>
      <w:r w:rsidR="00072FFF" w:rsidRPr="00D37E3F">
        <w:rPr>
          <w:rFonts w:asciiTheme="minorHAnsi" w:eastAsiaTheme="minorHAnsi" w:hAnsiTheme="minorHAnsi" w:cstheme="minorBidi"/>
          <w:snapToGrid/>
          <w:sz w:val="24"/>
          <w:szCs w:val="22"/>
        </w:rPr>
        <w:t>, and</w:t>
      </w:r>
      <w:r w:rsidR="00046DEC" w:rsidRPr="00D37E3F">
        <w:rPr>
          <w:rFonts w:asciiTheme="minorHAnsi" w:eastAsiaTheme="minorHAnsi" w:hAnsiTheme="minorHAnsi" w:cstheme="minorBidi"/>
          <w:snapToGrid/>
          <w:sz w:val="24"/>
          <w:szCs w:val="22"/>
        </w:rPr>
        <w:t xml:space="preserve"> has been proposed by the Secretariat </w:t>
      </w:r>
      <w:r w:rsidR="00072FFF" w:rsidRPr="00D37E3F">
        <w:rPr>
          <w:rFonts w:asciiTheme="minorHAnsi" w:eastAsiaTheme="minorHAnsi" w:hAnsiTheme="minorHAnsi" w:cstheme="minorBidi"/>
          <w:snapToGrid/>
          <w:sz w:val="24"/>
          <w:szCs w:val="22"/>
        </w:rPr>
        <w:t>to</w:t>
      </w:r>
      <w:r w:rsidR="00DA5C40">
        <w:rPr>
          <w:rFonts w:asciiTheme="minorHAnsi" w:eastAsiaTheme="minorHAnsi" w:hAnsiTheme="minorHAnsi" w:cstheme="minorBidi"/>
          <w:snapToGrid/>
          <w:sz w:val="24"/>
          <w:szCs w:val="22"/>
        </w:rPr>
        <w:t xml:space="preserve"> </w:t>
      </w:r>
      <w:r w:rsidR="00AF1E5D">
        <w:rPr>
          <w:rFonts w:asciiTheme="minorHAnsi" w:eastAsiaTheme="minorHAnsi" w:hAnsiTheme="minorHAnsi" w:cstheme="minorBidi"/>
          <w:snapToGrid/>
          <w:sz w:val="24"/>
          <w:szCs w:val="22"/>
        </w:rPr>
        <w:t>align more closely</w:t>
      </w:r>
      <w:r w:rsidR="00046DEC" w:rsidRPr="00D37E3F">
        <w:rPr>
          <w:rFonts w:asciiTheme="minorHAnsi" w:eastAsiaTheme="minorHAnsi" w:hAnsiTheme="minorHAnsi" w:cstheme="minorBidi"/>
          <w:snapToGrid/>
          <w:sz w:val="24"/>
          <w:szCs w:val="22"/>
        </w:rPr>
        <w:t xml:space="preserve"> </w:t>
      </w:r>
      <w:r w:rsidR="00A8636C" w:rsidRPr="00D37E3F">
        <w:rPr>
          <w:rFonts w:asciiTheme="minorHAnsi" w:eastAsiaTheme="minorHAnsi" w:hAnsiTheme="minorHAnsi" w:cstheme="minorBidi"/>
          <w:snapToGrid/>
          <w:sz w:val="24"/>
          <w:szCs w:val="22"/>
        </w:rPr>
        <w:t xml:space="preserve">with the general restrictions for opioids available on the Palliative Care schedule. </w:t>
      </w:r>
    </w:p>
    <w:tbl>
      <w:tblPr>
        <w:tblW w:w="5000" w:type="pct"/>
        <w:tblLook w:val="0000" w:firstRow="0" w:lastRow="0" w:firstColumn="0" w:lastColumn="0" w:noHBand="0" w:noVBand="0"/>
      </w:tblPr>
      <w:tblGrid>
        <w:gridCol w:w="1952"/>
        <w:gridCol w:w="1379"/>
        <w:gridCol w:w="747"/>
        <w:gridCol w:w="899"/>
        <w:gridCol w:w="1634"/>
        <w:gridCol w:w="834"/>
        <w:gridCol w:w="700"/>
        <w:gridCol w:w="868"/>
        <w:gridCol w:w="13"/>
      </w:tblGrid>
      <w:tr w:rsidR="00EC589B" w:rsidRPr="00D37E3F" w:rsidTr="00310FEC">
        <w:trPr>
          <w:cantSplit/>
          <w:trHeight w:val="465"/>
        </w:trPr>
        <w:tc>
          <w:tcPr>
            <w:tcW w:w="1845" w:type="pct"/>
            <w:gridSpan w:val="2"/>
            <w:tcBorders>
              <w:bottom w:val="single" w:sz="4" w:space="0" w:color="auto"/>
            </w:tcBorders>
          </w:tcPr>
          <w:p w:rsidR="00EC589B" w:rsidRPr="00D37E3F" w:rsidRDefault="00EC589B" w:rsidP="006709DE">
            <w:pPr>
              <w:keepNext/>
              <w:spacing w:before="40" w:after="40"/>
              <w:jc w:val="both"/>
              <w:rPr>
                <w:rFonts w:ascii="Arial Narrow" w:hAnsi="Arial Narrow" w:cs="Arial"/>
                <w:b/>
                <w:sz w:val="20"/>
                <w:szCs w:val="20"/>
              </w:rPr>
            </w:pPr>
            <w:r w:rsidRPr="00D37E3F">
              <w:rPr>
                <w:rFonts w:ascii="Arial Narrow" w:hAnsi="Arial Narrow" w:cs="Arial"/>
                <w:b/>
                <w:sz w:val="20"/>
                <w:szCs w:val="20"/>
              </w:rPr>
              <w:t>Name, Restriction,</w:t>
            </w:r>
          </w:p>
          <w:p w:rsidR="00EC589B" w:rsidRPr="00D37E3F" w:rsidRDefault="00EC589B" w:rsidP="006709DE">
            <w:pPr>
              <w:keepNext/>
              <w:spacing w:before="40" w:after="40"/>
              <w:jc w:val="both"/>
              <w:rPr>
                <w:rFonts w:ascii="Arial Narrow" w:hAnsi="Arial Narrow" w:cs="Arial"/>
                <w:b/>
                <w:sz w:val="20"/>
                <w:szCs w:val="20"/>
              </w:rPr>
            </w:pPr>
            <w:r w:rsidRPr="00D37E3F">
              <w:rPr>
                <w:rFonts w:ascii="Arial Narrow" w:hAnsi="Arial Narrow" w:cs="Arial"/>
                <w:b/>
                <w:sz w:val="20"/>
                <w:szCs w:val="20"/>
              </w:rPr>
              <w:t>Manner of administration and form</w:t>
            </w:r>
          </w:p>
        </w:tc>
        <w:tc>
          <w:tcPr>
            <w:tcW w:w="414" w:type="pct"/>
            <w:tcBorders>
              <w:bottom w:val="single" w:sz="4" w:space="0" w:color="auto"/>
            </w:tcBorders>
          </w:tcPr>
          <w:p w:rsidR="00EC589B" w:rsidRPr="00D37E3F" w:rsidRDefault="00EC589B" w:rsidP="006709DE">
            <w:pPr>
              <w:keepNext/>
              <w:spacing w:before="40" w:after="40"/>
              <w:jc w:val="both"/>
              <w:rPr>
                <w:rFonts w:ascii="Arial Narrow" w:hAnsi="Arial Narrow" w:cs="Arial"/>
                <w:b/>
                <w:sz w:val="20"/>
                <w:szCs w:val="20"/>
              </w:rPr>
            </w:pPr>
            <w:r w:rsidRPr="00D37E3F">
              <w:rPr>
                <w:rFonts w:ascii="Arial Narrow" w:hAnsi="Arial Narrow" w:cs="Arial"/>
                <w:b/>
                <w:sz w:val="20"/>
                <w:szCs w:val="20"/>
              </w:rPr>
              <w:t>Max.</w:t>
            </w:r>
          </w:p>
          <w:p w:rsidR="00EC589B" w:rsidRPr="00D37E3F" w:rsidRDefault="00EC589B" w:rsidP="006709DE">
            <w:pPr>
              <w:keepNext/>
              <w:spacing w:before="40" w:after="40"/>
              <w:jc w:val="both"/>
              <w:rPr>
                <w:rFonts w:ascii="Arial Narrow" w:hAnsi="Arial Narrow" w:cs="Arial"/>
                <w:b/>
                <w:sz w:val="20"/>
                <w:szCs w:val="20"/>
              </w:rPr>
            </w:pPr>
            <w:proofErr w:type="spellStart"/>
            <w:r w:rsidRPr="00D37E3F">
              <w:rPr>
                <w:rFonts w:ascii="Arial Narrow" w:hAnsi="Arial Narrow" w:cs="Arial"/>
                <w:b/>
                <w:sz w:val="20"/>
                <w:szCs w:val="20"/>
              </w:rPr>
              <w:t>Qty</w:t>
            </w:r>
            <w:proofErr w:type="spellEnd"/>
          </w:p>
        </w:tc>
        <w:tc>
          <w:tcPr>
            <w:tcW w:w="498" w:type="pct"/>
            <w:tcBorders>
              <w:bottom w:val="single" w:sz="4" w:space="0" w:color="auto"/>
            </w:tcBorders>
          </w:tcPr>
          <w:p w:rsidR="00EC589B" w:rsidRPr="00D37E3F" w:rsidRDefault="00EC589B" w:rsidP="006709DE">
            <w:pPr>
              <w:keepNext/>
              <w:spacing w:before="40" w:after="40"/>
              <w:jc w:val="both"/>
              <w:rPr>
                <w:rFonts w:ascii="Arial Narrow" w:hAnsi="Arial Narrow" w:cs="Arial"/>
                <w:b/>
                <w:sz w:val="20"/>
                <w:szCs w:val="20"/>
              </w:rPr>
            </w:pPr>
            <w:r w:rsidRPr="00D37E3F">
              <w:rPr>
                <w:rFonts w:ascii="Arial Narrow" w:hAnsi="Arial Narrow" w:cs="Arial"/>
                <w:b/>
                <w:sz w:val="20"/>
                <w:szCs w:val="20"/>
              </w:rPr>
              <w:t>№.of</w:t>
            </w:r>
          </w:p>
          <w:p w:rsidR="00EC589B" w:rsidRPr="00D37E3F" w:rsidRDefault="00EC589B" w:rsidP="006709DE">
            <w:pPr>
              <w:keepNext/>
              <w:spacing w:before="40" w:after="40"/>
              <w:jc w:val="both"/>
              <w:rPr>
                <w:rFonts w:ascii="Arial Narrow" w:hAnsi="Arial Narrow" w:cs="Arial"/>
                <w:b/>
                <w:sz w:val="20"/>
                <w:szCs w:val="20"/>
              </w:rPr>
            </w:pPr>
            <w:proofErr w:type="spellStart"/>
            <w:r w:rsidRPr="00D37E3F">
              <w:rPr>
                <w:rFonts w:ascii="Arial Narrow" w:hAnsi="Arial Narrow" w:cs="Arial"/>
                <w:b/>
                <w:sz w:val="20"/>
                <w:szCs w:val="20"/>
              </w:rPr>
              <w:t>Rpts</w:t>
            </w:r>
            <w:proofErr w:type="spellEnd"/>
          </w:p>
        </w:tc>
        <w:tc>
          <w:tcPr>
            <w:tcW w:w="905" w:type="pct"/>
            <w:tcBorders>
              <w:bottom w:val="single" w:sz="4" w:space="0" w:color="auto"/>
            </w:tcBorders>
          </w:tcPr>
          <w:p w:rsidR="00EC589B" w:rsidRPr="00D37E3F" w:rsidRDefault="00EC589B" w:rsidP="006709DE">
            <w:pPr>
              <w:keepNext/>
              <w:spacing w:before="40" w:after="40"/>
              <w:jc w:val="both"/>
              <w:rPr>
                <w:rFonts w:ascii="Arial Narrow" w:hAnsi="Arial Narrow" w:cs="Arial"/>
                <w:b/>
                <w:sz w:val="20"/>
                <w:szCs w:val="20"/>
              </w:rPr>
            </w:pPr>
            <w:r w:rsidRPr="00D37E3F">
              <w:rPr>
                <w:rFonts w:ascii="Arial Narrow" w:hAnsi="Arial Narrow" w:cs="Arial"/>
                <w:b/>
                <w:sz w:val="20"/>
                <w:szCs w:val="20"/>
              </w:rPr>
              <w:t xml:space="preserve">Dispensed Price for Max. </w:t>
            </w:r>
            <w:proofErr w:type="spellStart"/>
            <w:r w:rsidRPr="00D37E3F">
              <w:rPr>
                <w:rFonts w:ascii="Arial Narrow" w:hAnsi="Arial Narrow" w:cs="Arial"/>
                <w:b/>
                <w:sz w:val="20"/>
                <w:szCs w:val="20"/>
              </w:rPr>
              <w:t>Qty</w:t>
            </w:r>
            <w:proofErr w:type="spellEnd"/>
          </w:p>
        </w:tc>
        <w:tc>
          <w:tcPr>
            <w:tcW w:w="1337" w:type="pct"/>
            <w:gridSpan w:val="4"/>
            <w:tcBorders>
              <w:bottom w:val="single" w:sz="4" w:space="0" w:color="auto"/>
            </w:tcBorders>
          </w:tcPr>
          <w:p w:rsidR="00EC589B" w:rsidRPr="00954069" w:rsidRDefault="00EC589B" w:rsidP="006709DE">
            <w:pPr>
              <w:keepNext/>
              <w:spacing w:before="40" w:after="40"/>
              <w:jc w:val="both"/>
              <w:rPr>
                <w:rFonts w:ascii="Arial Narrow" w:hAnsi="Arial Narrow" w:cs="Arial"/>
                <w:b/>
                <w:sz w:val="20"/>
                <w:szCs w:val="20"/>
              </w:rPr>
            </w:pPr>
            <w:r w:rsidRPr="00D37E3F">
              <w:rPr>
                <w:rFonts w:ascii="Arial Narrow" w:hAnsi="Arial Narrow" w:cs="Arial"/>
                <w:b/>
                <w:sz w:val="20"/>
                <w:szCs w:val="20"/>
              </w:rPr>
              <w:t>Proprietary Name and Manufacturer</w:t>
            </w:r>
          </w:p>
        </w:tc>
      </w:tr>
      <w:tr w:rsidR="00EC589B" w:rsidRPr="00D37E3F" w:rsidTr="00310FEC">
        <w:trPr>
          <w:cantSplit/>
          <w:trHeight w:val="567"/>
        </w:trPr>
        <w:tc>
          <w:tcPr>
            <w:tcW w:w="1845" w:type="pct"/>
            <w:gridSpan w:val="2"/>
          </w:tcPr>
          <w:p w:rsidR="00EC589B" w:rsidRPr="00D37E3F" w:rsidRDefault="00EC589B" w:rsidP="006709DE">
            <w:pPr>
              <w:keepNext/>
              <w:spacing w:before="40" w:after="40"/>
              <w:jc w:val="both"/>
              <w:rPr>
                <w:rFonts w:ascii="Arial Narrow" w:hAnsi="Arial Narrow" w:cs="Arial"/>
                <w:sz w:val="20"/>
                <w:szCs w:val="20"/>
              </w:rPr>
            </w:pPr>
            <w:r w:rsidRPr="00D37E3F">
              <w:rPr>
                <w:rFonts w:ascii="Arial Narrow" w:hAnsi="Arial Narrow" w:cs="Arial"/>
                <w:smallCaps/>
                <w:sz w:val="20"/>
                <w:szCs w:val="20"/>
              </w:rPr>
              <w:t>MORPHINE</w:t>
            </w:r>
          </w:p>
          <w:p w:rsidR="00EC589B" w:rsidRPr="00D37E3F" w:rsidRDefault="00EC589B" w:rsidP="006709DE">
            <w:pPr>
              <w:keepNext/>
              <w:spacing w:before="40" w:after="40"/>
              <w:jc w:val="both"/>
              <w:rPr>
                <w:rFonts w:ascii="Arial Narrow" w:hAnsi="Arial Narrow" w:cs="Arial"/>
                <w:sz w:val="20"/>
                <w:szCs w:val="20"/>
              </w:rPr>
            </w:pPr>
            <w:r w:rsidRPr="00D37E3F">
              <w:rPr>
                <w:rFonts w:ascii="Arial Narrow" w:hAnsi="Arial Narrow" w:cs="Arial"/>
                <w:sz w:val="20"/>
                <w:szCs w:val="20"/>
              </w:rPr>
              <w:t xml:space="preserve">Capsule containing morphine </w:t>
            </w:r>
            <w:proofErr w:type="spellStart"/>
            <w:r w:rsidRPr="00D37E3F">
              <w:rPr>
                <w:rFonts w:ascii="Arial Narrow" w:hAnsi="Arial Narrow" w:cs="Arial"/>
                <w:sz w:val="20"/>
                <w:szCs w:val="20"/>
              </w:rPr>
              <w:t>sulfate</w:t>
            </w:r>
            <w:proofErr w:type="spellEnd"/>
            <w:r w:rsidRPr="00D37E3F">
              <w:rPr>
                <w:rFonts w:ascii="Arial Narrow" w:hAnsi="Arial Narrow" w:cs="Arial"/>
                <w:sz w:val="20"/>
                <w:szCs w:val="20"/>
              </w:rPr>
              <w:t xml:space="preserve"> pentahydrate 10 mg (modified release), 28</w:t>
            </w:r>
          </w:p>
          <w:p w:rsidR="00EC589B" w:rsidRPr="00D37E3F" w:rsidRDefault="00EC589B" w:rsidP="006709DE">
            <w:pPr>
              <w:keepNext/>
              <w:spacing w:before="40" w:after="40"/>
              <w:jc w:val="both"/>
              <w:rPr>
                <w:rFonts w:ascii="Arial Narrow" w:hAnsi="Arial Narrow" w:cs="Arial"/>
                <w:sz w:val="20"/>
                <w:szCs w:val="20"/>
              </w:rPr>
            </w:pPr>
            <w:r w:rsidRPr="00D37E3F">
              <w:rPr>
                <w:rFonts w:ascii="Arial Narrow" w:hAnsi="Arial Narrow" w:cs="Arial"/>
                <w:sz w:val="20"/>
                <w:szCs w:val="20"/>
              </w:rPr>
              <w:t xml:space="preserve">Capsule containing morphine </w:t>
            </w:r>
            <w:proofErr w:type="spellStart"/>
            <w:r w:rsidRPr="00D37E3F">
              <w:rPr>
                <w:rFonts w:ascii="Arial Narrow" w:hAnsi="Arial Narrow" w:cs="Arial"/>
                <w:sz w:val="20"/>
                <w:szCs w:val="20"/>
              </w:rPr>
              <w:t>sulfate</w:t>
            </w:r>
            <w:proofErr w:type="spellEnd"/>
            <w:r w:rsidRPr="00D37E3F">
              <w:rPr>
                <w:rFonts w:ascii="Arial Narrow" w:hAnsi="Arial Narrow" w:cs="Arial"/>
                <w:sz w:val="20"/>
                <w:szCs w:val="20"/>
              </w:rPr>
              <w:t xml:space="preserve"> pentahydrate 20 mg (modified release), 28</w:t>
            </w:r>
          </w:p>
        </w:tc>
        <w:tc>
          <w:tcPr>
            <w:tcW w:w="414" w:type="pct"/>
          </w:tcPr>
          <w:p w:rsidR="00EC589B" w:rsidRPr="00D37E3F" w:rsidRDefault="00EC589B" w:rsidP="006709DE">
            <w:pPr>
              <w:keepNext/>
              <w:spacing w:before="40" w:after="40"/>
              <w:jc w:val="both"/>
              <w:rPr>
                <w:rFonts w:ascii="Arial Narrow" w:hAnsi="Arial Narrow" w:cs="Arial"/>
                <w:sz w:val="20"/>
                <w:szCs w:val="20"/>
              </w:rPr>
            </w:pPr>
          </w:p>
          <w:p w:rsidR="00EC589B" w:rsidRPr="00D37E3F" w:rsidRDefault="00EC589B" w:rsidP="006709DE">
            <w:pPr>
              <w:keepNext/>
              <w:spacing w:before="40" w:after="40"/>
              <w:jc w:val="both"/>
              <w:rPr>
                <w:rFonts w:ascii="Arial Narrow" w:hAnsi="Arial Narrow" w:cs="Arial"/>
                <w:sz w:val="20"/>
                <w:szCs w:val="20"/>
              </w:rPr>
            </w:pPr>
            <w:r w:rsidRPr="00D37E3F">
              <w:rPr>
                <w:rFonts w:ascii="Arial Narrow" w:hAnsi="Arial Narrow" w:cs="Arial"/>
                <w:sz w:val="20"/>
                <w:szCs w:val="20"/>
              </w:rPr>
              <w:t>1</w:t>
            </w:r>
          </w:p>
          <w:p w:rsidR="00EC589B" w:rsidRPr="00D37E3F" w:rsidRDefault="00EC589B" w:rsidP="006709DE">
            <w:pPr>
              <w:keepNext/>
              <w:spacing w:before="40" w:after="40"/>
              <w:jc w:val="both"/>
              <w:rPr>
                <w:rFonts w:ascii="Arial Narrow" w:hAnsi="Arial Narrow" w:cs="Arial"/>
                <w:sz w:val="20"/>
                <w:szCs w:val="20"/>
              </w:rPr>
            </w:pPr>
          </w:p>
          <w:p w:rsidR="00EC589B" w:rsidRPr="00D37E3F" w:rsidRDefault="00EC589B" w:rsidP="006709DE">
            <w:pPr>
              <w:keepNext/>
              <w:spacing w:before="40" w:after="40"/>
              <w:jc w:val="both"/>
              <w:rPr>
                <w:rFonts w:ascii="Arial Narrow" w:hAnsi="Arial Narrow" w:cs="Arial"/>
                <w:sz w:val="20"/>
                <w:szCs w:val="20"/>
              </w:rPr>
            </w:pPr>
            <w:r w:rsidRPr="00D37E3F">
              <w:rPr>
                <w:rFonts w:ascii="Arial Narrow" w:hAnsi="Arial Narrow" w:cs="Arial"/>
                <w:sz w:val="20"/>
                <w:szCs w:val="20"/>
              </w:rPr>
              <w:t>1</w:t>
            </w:r>
          </w:p>
        </w:tc>
        <w:tc>
          <w:tcPr>
            <w:tcW w:w="498" w:type="pct"/>
          </w:tcPr>
          <w:p w:rsidR="00EC589B" w:rsidRPr="00D37E3F" w:rsidRDefault="00EC589B" w:rsidP="006709DE">
            <w:pPr>
              <w:keepNext/>
              <w:spacing w:before="40" w:after="40"/>
              <w:jc w:val="both"/>
              <w:rPr>
                <w:rFonts w:ascii="Arial Narrow" w:hAnsi="Arial Narrow" w:cs="Arial"/>
                <w:sz w:val="20"/>
                <w:szCs w:val="20"/>
              </w:rPr>
            </w:pPr>
          </w:p>
          <w:p w:rsidR="00EC589B" w:rsidRPr="00D37E3F" w:rsidRDefault="00EC589B" w:rsidP="006709DE">
            <w:pPr>
              <w:keepNext/>
              <w:spacing w:before="40" w:after="40"/>
              <w:jc w:val="both"/>
              <w:rPr>
                <w:rFonts w:ascii="Arial Narrow" w:hAnsi="Arial Narrow" w:cs="Arial"/>
                <w:sz w:val="20"/>
                <w:szCs w:val="20"/>
              </w:rPr>
            </w:pPr>
            <w:r w:rsidRPr="00D37E3F">
              <w:rPr>
                <w:rFonts w:ascii="Arial Narrow" w:hAnsi="Arial Narrow" w:cs="Arial"/>
                <w:sz w:val="20"/>
                <w:szCs w:val="20"/>
              </w:rPr>
              <w:t>0</w:t>
            </w:r>
          </w:p>
          <w:p w:rsidR="00EC589B" w:rsidRPr="00D37E3F" w:rsidRDefault="00EC589B" w:rsidP="006709DE">
            <w:pPr>
              <w:keepNext/>
              <w:spacing w:before="40" w:after="40"/>
              <w:jc w:val="both"/>
              <w:rPr>
                <w:rFonts w:ascii="Arial Narrow" w:hAnsi="Arial Narrow" w:cs="Arial"/>
                <w:sz w:val="20"/>
                <w:szCs w:val="20"/>
              </w:rPr>
            </w:pPr>
          </w:p>
          <w:p w:rsidR="00EC589B" w:rsidRPr="00D37E3F" w:rsidRDefault="00EC589B" w:rsidP="006709DE">
            <w:pPr>
              <w:keepNext/>
              <w:spacing w:before="40" w:after="40"/>
              <w:jc w:val="both"/>
              <w:rPr>
                <w:rFonts w:ascii="Arial Narrow" w:hAnsi="Arial Narrow" w:cs="Arial"/>
                <w:sz w:val="20"/>
                <w:szCs w:val="20"/>
              </w:rPr>
            </w:pPr>
            <w:r w:rsidRPr="00D37E3F">
              <w:rPr>
                <w:rFonts w:ascii="Arial Narrow" w:hAnsi="Arial Narrow" w:cs="Arial"/>
                <w:sz w:val="20"/>
                <w:szCs w:val="20"/>
              </w:rPr>
              <w:t>0</w:t>
            </w:r>
          </w:p>
        </w:tc>
        <w:tc>
          <w:tcPr>
            <w:tcW w:w="905" w:type="pct"/>
          </w:tcPr>
          <w:p w:rsidR="00EC589B" w:rsidRPr="00D37E3F" w:rsidRDefault="00EC589B" w:rsidP="006709DE">
            <w:pPr>
              <w:keepNext/>
              <w:spacing w:before="40" w:after="40"/>
              <w:jc w:val="both"/>
              <w:rPr>
                <w:rFonts w:ascii="Arial Narrow" w:hAnsi="Arial Narrow" w:cs="Arial"/>
                <w:sz w:val="20"/>
                <w:szCs w:val="20"/>
              </w:rPr>
            </w:pPr>
          </w:p>
          <w:p w:rsidR="00EC589B" w:rsidRPr="00D37E3F" w:rsidRDefault="00EC589B" w:rsidP="006709DE">
            <w:pPr>
              <w:keepNext/>
              <w:spacing w:before="40" w:after="40"/>
              <w:jc w:val="both"/>
              <w:rPr>
                <w:rFonts w:ascii="Arial Narrow" w:hAnsi="Arial Narrow" w:cs="Arial"/>
                <w:sz w:val="20"/>
                <w:szCs w:val="20"/>
              </w:rPr>
            </w:pPr>
            <w:r w:rsidRPr="00D37E3F">
              <w:rPr>
                <w:rFonts w:ascii="Arial Narrow" w:hAnsi="Arial Narrow" w:cs="Arial"/>
                <w:sz w:val="20"/>
                <w:szCs w:val="20"/>
              </w:rPr>
              <w:t>$23.88</w:t>
            </w:r>
          </w:p>
          <w:p w:rsidR="00EC589B" w:rsidRPr="00D37E3F" w:rsidRDefault="00EC589B" w:rsidP="006709DE">
            <w:pPr>
              <w:keepNext/>
              <w:spacing w:before="40" w:after="40"/>
              <w:jc w:val="both"/>
              <w:rPr>
                <w:rFonts w:ascii="Arial Narrow" w:hAnsi="Arial Narrow" w:cs="Arial"/>
                <w:sz w:val="20"/>
                <w:szCs w:val="20"/>
              </w:rPr>
            </w:pPr>
          </w:p>
          <w:p w:rsidR="00EC589B" w:rsidRPr="00D37E3F" w:rsidRDefault="00EC589B" w:rsidP="00931D46">
            <w:pPr>
              <w:keepNext/>
              <w:spacing w:before="40" w:after="40"/>
              <w:jc w:val="both"/>
              <w:rPr>
                <w:rFonts w:ascii="Arial Narrow" w:hAnsi="Arial Narrow" w:cs="Arial"/>
                <w:sz w:val="20"/>
                <w:szCs w:val="20"/>
              </w:rPr>
            </w:pPr>
            <w:r w:rsidRPr="00D37E3F">
              <w:rPr>
                <w:rFonts w:ascii="Arial Narrow" w:hAnsi="Arial Narrow" w:cs="Arial"/>
                <w:sz w:val="20"/>
                <w:szCs w:val="20"/>
              </w:rPr>
              <w:t>$28.</w:t>
            </w:r>
            <w:r w:rsidR="00931D46">
              <w:rPr>
                <w:rFonts w:ascii="Arial Narrow" w:hAnsi="Arial Narrow" w:cs="Arial"/>
                <w:sz w:val="20"/>
                <w:szCs w:val="20"/>
              </w:rPr>
              <w:t>21</w:t>
            </w:r>
          </w:p>
        </w:tc>
        <w:tc>
          <w:tcPr>
            <w:tcW w:w="462" w:type="pct"/>
          </w:tcPr>
          <w:p w:rsidR="00EC589B" w:rsidRPr="00D37E3F" w:rsidRDefault="00EC589B" w:rsidP="006709DE">
            <w:pPr>
              <w:keepNext/>
              <w:spacing w:before="40" w:after="40"/>
              <w:jc w:val="both"/>
              <w:rPr>
                <w:rFonts w:ascii="Arial Narrow" w:hAnsi="Arial Narrow" w:cs="Arial"/>
                <w:sz w:val="20"/>
                <w:szCs w:val="20"/>
              </w:rPr>
            </w:pPr>
          </w:p>
          <w:p w:rsidR="00EC589B" w:rsidRPr="00D37E3F" w:rsidRDefault="00EC589B" w:rsidP="006709DE">
            <w:pPr>
              <w:keepNext/>
              <w:spacing w:before="40" w:after="40"/>
              <w:jc w:val="both"/>
              <w:rPr>
                <w:rFonts w:ascii="Arial Narrow" w:hAnsi="Arial Narrow" w:cs="Arial"/>
                <w:sz w:val="20"/>
                <w:szCs w:val="20"/>
              </w:rPr>
            </w:pPr>
            <w:proofErr w:type="spellStart"/>
            <w:r w:rsidRPr="00D37E3F">
              <w:rPr>
                <w:rFonts w:ascii="Arial Narrow" w:hAnsi="Arial Narrow" w:cs="Arial"/>
                <w:sz w:val="20"/>
                <w:szCs w:val="20"/>
              </w:rPr>
              <w:t>Kapanol</w:t>
            </w:r>
            <w:proofErr w:type="spellEnd"/>
          </w:p>
        </w:tc>
        <w:tc>
          <w:tcPr>
            <w:tcW w:w="875" w:type="pct"/>
            <w:gridSpan w:val="3"/>
          </w:tcPr>
          <w:p w:rsidR="00EC589B" w:rsidRPr="00D37E3F" w:rsidRDefault="00EC589B" w:rsidP="006709DE">
            <w:pPr>
              <w:keepNext/>
              <w:spacing w:before="40" w:after="40"/>
              <w:jc w:val="both"/>
              <w:rPr>
                <w:rFonts w:ascii="Arial Narrow" w:hAnsi="Arial Narrow" w:cs="Arial"/>
                <w:sz w:val="20"/>
                <w:szCs w:val="20"/>
              </w:rPr>
            </w:pPr>
          </w:p>
          <w:p w:rsidR="00EC589B" w:rsidRPr="00D37E3F" w:rsidRDefault="00EC589B" w:rsidP="006709DE">
            <w:pPr>
              <w:keepNext/>
              <w:spacing w:before="40" w:after="40"/>
              <w:jc w:val="both"/>
              <w:rPr>
                <w:rFonts w:ascii="Arial Narrow" w:hAnsi="Arial Narrow" w:cs="Arial"/>
                <w:sz w:val="20"/>
                <w:szCs w:val="20"/>
              </w:rPr>
            </w:pPr>
            <w:r w:rsidRPr="00D37E3F">
              <w:rPr>
                <w:rFonts w:ascii="Arial Narrow" w:hAnsi="Arial Narrow" w:cs="Arial"/>
                <w:sz w:val="20"/>
                <w:szCs w:val="20"/>
              </w:rPr>
              <w:t>Mayne Pharma International Pty Ltd</w:t>
            </w:r>
          </w:p>
        </w:tc>
      </w:tr>
      <w:tr w:rsidR="00EC589B" w:rsidRPr="00D37E3F" w:rsidTr="00310FEC">
        <w:trPr>
          <w:gridAfter w:val="2"/>
          <w:wAfter w:w="488" w:type="pct"/>
          <w:cantSplit/>
          <w:trHeight w:val="360"/>
        </w:trPr>
        <w:tc>
          <w:tcPr>
            <w:tcW w:w="4512" w:type="pct"/>
            <w:gridSpan w:val="7"/>
            <w:tcBorders>
              <w:bottom w:val="single" w:sz="4" w:space="0" w:color="auto"/>
            </w:tcBorders>
          </w:tcPr>
          <w:p w:rsidR="00EC589B" w:rsidRPr="00D37E3F" w:rsidRDefault="00EC589B" w:rsidP="006709DE">
            <w:pPr>
              <w:spacing w:before="40" w:after="40"/>
              <w:jc w:val="both"/>
              <w:rPr>
                <w:rFonts w:ascii="Arial Narrow" w:hAnsi="Arial Narrow" w:cs="Arial"/>
                <w:sz w:val="20"/>
                <w:szCs w:val="20"/>
              </w:rPr>
            </w:pPr>
          </w:p>
        </w:tc>
      </w:tr>
      <w:tr w:rsidR="00EC589B" w:rsidRPr="00D37E3F" w:rsidTr="00310FEC">
        <w:trPr>
          <w:gridAfter w:val="1"/>
          <w:wAfter w:w="6" w:type="pct"/>
          <w:cantSplit/>
          <w:trHeight w:val="360"/>
        </w:trPr>
        <w:tc>
          <w:tcPr>
            <w:tcW w:w="1081" w:type="pct"/>
            <w:tcBorders>
              <w:top w:val="single" w:sz="4" w:space="0" w:color="auto"/>
              <w:left w:val="single" w:sz="4" w:space="0" w:color="auto"/>
              <w:bottom w:val="single" w:sz="4" w:space="0" w:color="auto"/>
              <w:right w:val="single" w:sz="4" w:space="0" w:color="auto"/>
            </w:tcBorders>
          </w:tcPr>
          <w:p w:rsidR="00EC589B" w:rsidRPr="00D37E3F" w:rsidRDefault="00EC589B" w:rsidP="006709DE">
            <w:pPr>
              <w:spacing w:before="40" w:after="40"/>
              <w:jc w:val="both"/>
              <w:rPr>
                <w:rFonts w:ascii="Arial Narrow" w:hAnsi="Arial Narrow" w:cs="Arial"/>
                <w:b/>
                <w:sz w:val="20"/>
                <w:szCs w:val="20"/>
              </w:rPr>
            </w:pPr>
            <w:r w:rsidRPr="00D37E3F">
              <w:rPr>
                <w:rFonts w:ascii="Arial Narrow" w:hAnsi="Arial Narrow" w:cs="Arial"/>
                <w:b/>
                <w:sz w:val="20"/>
                <w:szCs w:val="20"/>
              </w:rPr>
              <w:t xml:space="preserve">Category / </w:t>
            </w:r>
          </w:p>
          <w:p w:rsidR="00EC589B" w:rsidRPr="00D37E3F" w:rsidRDefault="00EC589B" w:rsidP="006709DE">
            <w:pPr>
              <w:spacing w:before="40" w:after="40"/>
              <w:jc w:val="both"/>
              <w:rPr>
                <w:rFonts w:ascii="Arial Narrow" w:hAnsi="Arial Narrow" w:cs="Arial"/>
                <w:b/>
                <w:sz w:val="20"/>
                <w:szCs w:val="20"/>
              </w:rPr>
            </w:pPr>
            <w:r w:rsidRPr="00D37E3F">
              <w:rPr>
                <w:rFonts w:ascii="Arial Narrow" w:hAnsi="Arial Narrow" w:cs="Arial"/>
                <w:b/>
                <w:sz w:val="20"/>
                <w:szCs w:val="20"/>
              </w:rPr>
              <w:t>Program</w:t>
            </w:r>
          </w:p>
        </w:tc>
        <w:tc>
          <w:tcPr>
            <w:tcW w:w="3912" w:type="pct"/>
            <w:gridSpan w:val="7"/>
            <w:tcBorders>
              <w:top w:val="single" w:sz="4" w:space="0" w:color="auto"/>
              <w:left w:val="single" w:sz="4" w:space="0" w:color="auto"/>
              <w:bottom w:val="single" w:sz="4" w:space="0" w:color="auto"/>
              <w:right w:val="single" w:sz="4" w:space="0" w:color="auto"/>
            </w:tcBorders>
          </w:tcPr>
          <w:p w:rsidR="00EC589B" w:rsidRPr="00D37E3F" w:rsidRDefault="00EC589B" w:rsidP="006709DE">
            <w:pPr>
              <w:spacing w:before="40" w:after="40"/>
              <w:rPr>
                <w:rFonts w:ascii="Arial Narrow" w:hAnsi="Arial Narrow" w:cs="Arial"/>
                <w:sz w:val="20"/>
                <w:szCs w:val="20"/>
              </w:rPr>
            </w:pPr>
            <w:r w:rsidRPr="00D37E3F">
              <w:rPr>
                <w:rFonts w:ascii="Arial Narrow" w:hAnsi="Arial Narrow" w:cs="Arial"/>
                <w:sz w:val="20"/>
                <w:szCs w:val="20"/>
              </w:rPr>
              <w:t>GENERAL – General Schedule Palliative Care (Code PL)</w:t>
            </w:r>
          </w:p>
          <w:p w:rsidR="00EC589B" w:rsidRPr="00D37E3F" w:rsidRDefault="00EC589B" w:rsidP="006709DE">
            <w:pPr>
              <w:spacing w:before="40" w:after="40"/>
              <w:rPr>
                <w:rFonts w:ascii="Arial Narrow" w:hAnsi="Arial Narrow" w:cs="Arial"/>
                <w:sz w:val="20"/>
                <w:szCs w:val="20"/>
              </w:rPr>
            </w:pPr>
          </w:p>
        </w:tc>
      </w:tr>
      <w:tr w:rsidR="00EC589B" w:rsidRPr="00D37E3F" w:rsidTr="00310FEC">
        <w:trPr>
          <w:gridAfter w:val="1"/>
          <w:wAfter w:w="6" w:type="pct"/>
          <w:cantSplit/>
          <w:trHeight w:val="360"/>
        </w:trPr>
        <w:tc>
          <w:tcPr>
            <w:tcW w:w="1081" w:type="pct"/>
            <w:tcBorders>
              <w:top w:val="single" w:sz="4" w:space="0" w:color="auto"/>
              <w:left w:val="single" w:sz="4" w:space="0" w:color="auto"/>
              <w:bottom w:val="single" w:sz="4" w:space="0" w:color="auto"/>
              <w:right w:val="single" w:sz="4" w:space="0" w:color="auto"/>
            </w:tcBorders>
          </w:tcPr>
          <w:p w:rsidR="00EC589B" w:rsidRPr="00D37E3F" w:rsidRDefault="00EC589B" w:rsidP="006709DE">
            <w:pPr>
              <w:spacing w:before="40" w:after="40"/>
              <w:jc w:val="both"/>
              <w:rPr>
                <w:rFonts w:ascii="Arial Narrow" w:hAnsi="Arial Narrow" w:cs="Arial"/>
                <w:b/>
                <w:sz w:val="20"/>
                <w:szCs w:val="20"/>
              </w:rPr>
            </w:pPr>
            <w:r w:rsidRPr="00D37E3F">
              <w:rPr>
                <w:rFonts w:ascii="Arial Narrow" w:hAnsi="Arial Narrow" w:cs="Arial"/>
                <w:b/>
                <w:sz w:val="20"/>
                <w:szCs w:val="20"/>
              </w:rPr>
              <w:t>Prescriber type:</w:t>
            </w:r>
          </w:p>
        </w:tc>
        <w:tc>
          <w:tcPr>
            <w:tcW w:w="3912" w:type="pct"/>
            <w:gridSpan w:val="7"/>
            <w:tcBorders>
              <w:top w:val="single" w:sz="4" w:space="0" w:color="auto"/>
              <w:left w:val="single" w:sz="4" w:space="0" w:color="auto"/>
              <w:bottom w:val="single" w:sz="4" w:space="0" w:color="auto"/>
              <w:right w:val="single" w:sz="4" w:space="0" w:color="auto"/>
            </w:tcBorders>
          </w:tcPr>
          <w:p w:rsidR="00EC589B" w:rsidRPr="00D37E3F" w:rsidRDefault="00EC589B" w:rsidP="006709DE">
            <w:pPr>
              <w:spacing w:before="40" w:after="40"/>
              <w:rPr>
                <w:rFonts w:ascii="Arial Narrow" w:hAnsi="Arial Narrow" w:cs="Arial"/>
                <w:sz w:val="20"/>
                <w:szCs w:val="20"/>
              </w:rPr>
            </w:pPr>
            <w:r w:rsidRPr="00954069">
              <w:rPr>
                <w:rFonts w:ascii="Arial Narrow" w:hAnsi="Arial Narrow" w:cs="Arial"/>
                <w:sz w:val="20"/>
                <w:szCs w:val="20"/>
              </w:rPr>
              <w:fldChar w:fldCharType="begin">
                <w:ffData>
                  <w:name w:val=""/>
                  <w:enabled/>
                  <w:calcOnExit w:val="0"/>
                  <w:checkBox>
                    <w:sizeAuto/>
                    <w:default w:val="1"/>
                  </w:checkBox>
                </w:ffData>
              </w:fldChar>
            </w:r>
            <w:r w:rsidRPr="00D37E3F">
              <w:rPr>
                <w:rFonts w:ascii="Arial Narrow" w:hAnsi="Arial Narrow" w:cs="Arial"/>
                <w:sz w:val="20"/>
                <w:szCs w:val="20"/>
              </w:rPr>
              <w:instrText xml:space="preserve"> FORMCHECKBOX </w:instrText>
            </w:r>
            <w:r w:rsidR="00310FEC">
              <w:rPr>
                <w:rFonts w:ascii="Arial Narrow" w:hAnsi="Arial Narrow" w:cs="Arial"/>
                <w:sz w:val="20"/>
                <w:szCs w:val="20"/>
              </w:rPr>
            </w:r>
            <w:r w:rsidR="00310FEC">
              <w:rPr>
                <w:rFonts w:ascii="Arial Narrow" w:hAnsi="Arial Narrow" w:cs="Arial"/>
                <w:sz w:val="20"/>
                <w:szCs w:val="20"/>
              </w:rPr>
              <w:fldChar w:fldCharType="separate"/>
            </w:r>
            <w:r w:rsidRPr="00954069">
              <w:rPr>
                <w:rFonts w:ascii="Arial Narrow" w:hAnsi="Arial Narrow" w:cs="Arial"/>
                <w:sz w:val="20"/>
                <w:szCs w:val="20"/>
              </w:rPr>
              <w:fldChar w:fldCharType="end"/>
            </w:r>
            <w:r w:rsidRPr="00D37E3F">
              <w:rPr>
                <w:rFonts w:ascii="Arial Narrow" w:hAnsi="Arial Narrow" w:cs="Arial"/>
                <w:sz w:val="20"/>
                <w:szCs w:val="20"/>
              </w:rPr>
              <w:t xml:space="preserve">Medical Practitioners  </w:t>
            </w:r>
            <w:r w:rsidRPr="00954069">
              <w:rPr>
                <w:rFonts w:ascii="Arial Narrow" w:hAnsi="Arial Narrow" w:cs="Arial"/>
                <w:sz w:val="20"/>
                <w:szCs w:val="20"/>
              </w:rPr>
              <w:fldChar w:fldCharType="begin">
                <w:ffData>
                  <w:name w:val="Check3"/>
                  <w:enabled/>
                  <w:calcOnExit w:val="0"/>
                  <w:checkBox>
                    <w:sizeAuto/>
                    <w:default w:val="1"/>
                  </w:checkBox>
                </w:ffData>
              </w:fldChar>
            </w:r>
            <w:r w:rsidRPr="00D37E3F">
              <w:rPr>
                <w:rFonts w:ascii="Arial Narrow" w:hAnsi="Arial Narrow" w:cs="Arial"/>
                <w:sz w:val="20"/>
                <w:szCs w:val="20"/>
              </w:rPr>
              <w:instrText xml:space="preserve"> </w:instrText>
            </w:r>
            <w:bookmarkStart w:id="0" w:name="Check3"/>
            <w:r w:rsidRPr="00D37E3F">
              <w:rPr>
                <w:rFonts w:ascii="Arial Narrow" w:hAnsi="Arial Narrow" w:cs="Arial"/>
                <w:sz w:val="20"/>
                <w:szCs w:val="20"/>
              </w:rPr>
              <w:instrText xml:space="preserve">FORMCHECKBOX </w:instrText>
            </w:r>
            <w:r w:rsidR="00310FEC">
              <w:rPr>
                <w:rFonts w:ascii="Arial Narrow" w:hAnsi="Arial Narrow" w:cs="Arial"/>
                <w:sz w:val="20"/>
                <w:szCs w:val="20"/>
              </w:rPr>
            </w:r>
            <w:r w:rsidR="00310FEC">
              <w:rPr>
                <w:rFonts w:ascii="Arial Narrow" w:hAnsi="Arial Narrow" w:cs="Arial"/>
                <w:sz w:val="20"/>
                <w:szCs w:val="20"/>
              </w:rPr>
              <w:fldChar w:fldCharType="separate"/>
            </w:r>
            <w:r w:rsidRPr="00954069">
              <w:rPr>
                <w:rFonts w:ascii="Arial Narrow" w:hAnsi="Arial Narrow" w:cs="Arial"/>
                <w:sz w:val="20"/>
                <w:szCs w:val="20"/>
              </w:rPr>
              <w:fldChar w:fldCharType="end"/>
            </w:r>
            <w:bookmarkEnd w:id="0"/>
            <w:r w:rsidRPr="00D37E3F">
              <w:rPr>
                <w:rFonts w:ascii="Arial Narrow" w:hAnsi="Arial Narrow" w:cs="Arial"/>
                <w:sz w:val="20"/>
                <w:szCs w:val="20"/>
              </w:rPr>
              <w:t xml:space="preserve">Nurse practitioners  </w:t>
            </w:r>
          </w:p>
        </w:tc>
      </w:tr>
      <w:tr w:rsidR="00EC589B" w:rsidRPr="00D37E3F" w:rsidTr="00310FEC">
        <w:trPr>
          <w:gridAfter w:val="1"/>
          <w:wAfter w:w="6" w:type="pct"/>
          <w:cantSplit/>
          <w:trHeight w:val="360"/>
        </w:trPr>
        <w:tc>
          <w:tcPr>
            <w:tcW w:w="1081" w:type="pct"/>
            <w:tcBorders>
              <w:top w:val="single" w:sz="4" w:space="0" w:color="auto"/>
              <w:left w:val="single" w:sz="4" w:space="0" w:color="auto"/>
              <w:bottom w:val="single" w:sz="4" w:space="0" w:color="auto"/>
              <w:right w:val="single" w:sz="4" w:space="0" w:color="auto"/>
            </w:tcBorders>
          </w:tcPr>
          <w:p w:rsidR="00EC589B" w:rsidRPr="00D37E3F" w:rsidRDefault="00EC589B" w:rsidP="006709DE">
            <w:pPr>
              <w:spacing w:before="40" w:after="40"/>
              <w:jc w:val="both"/>
              <w:rPr>
                <w:rFonts w:ascii="Arial Narrow" w:hAnsi="Arial Narrow" w:cs="Arial"/>
                <w:b/>
                <w:sz w:val="20"/>
                <w:szCs w:val="20"/>
              </w:rPr>
            </w:pPr>
            <w:r w:rsidRPr="00D37E3F">
              <w:rPr>
                <w:rFonts w:ascii="Arial Narrow" w:hAnsi="Arial Narrow" w:cs="Arial"/>
                <w:b/>
                <w:sz w:val="20"/>
                <w:szCs w:val="20"/>
              </w:rPr>
              <w:t>Episodicity:</w:t>
            </w:r>
          </w:p>
        </w:tc>
        <w:tc>
          <w:tcPr>
            <w:tcW w:w="3912" w:type="pct"/>
            <w:gridSpan w:val="7"/>
            <w:tcBorders>
              <w:top w:val="single" w:sz="4" w:space="0" w:color="auto"/>
              <w:left w:val="single" w:sz="4" w:space="0" w:color="auto"/>
              <w:bottom w:val="single" w:sz="4" w:space="0" w:color="auto"/>
              <w:right w:val="single" w:sz="4" w:space="0" w:color="auto"/>
            </w:tcBorders>
          </w:tcPr>
          <w:p w:rsidR="00EC589B" w:rsidRPr="00D37E3F" w:rsidRDefault="00EC589B" w:rsidP="006709DE">
            <w:pPr>
              <w:spacing w:before="40" w:after="40"/>
              <w:rPr>
                <w:rFonts w:ascii="Arial Narrow" w:hAnsi="Arial Narrow" w:cs="Arial"/>
                <w:sz w:val="20"/>
                <w:szCs w:val="20"/>
              </w:rPr>
            </w:pPr>
            <w:r w:rsidRPr="00D37E3F">
              <w:rPr>
                <w:rFonts w:ascii="Arial Narrow" w:hAnsi="Arial Narrow" w:cs="Arial"/>
                <w:sz w:val="20"/>
                <w:szCs w:val="20"/>
              </w:rPr>
              <w:t>Chronic</w:t>
            </w:r>
          </w:p>
        </w:tc>
      </w:tr>
      <w:tr w:rsidR="00EC589B" w:rsidRPr="00D37E3F" w:rsidTr="00310FEC">
        <w:trPr>
          <w:gridAfter w:val="1"/>
          <w:wAfter w:w="6" w:type="pct"/>
          <w:cantSplit/>
          <w:trHeight w:val="360"/>
        </w:trPr>
        <w:tc>
          <w:tcPr>
            <w:tcW w:w="1081" w:type="pct"/>
            <w:tcBorders>
              <w:top w:val="single" w:sz="4" w:space="0" w:color="auto"/>
              <w:left w:val="single" w:sz="4" w:space="0" w:color="auto"/>
              <w:bottom w:val="single" w:sz="4" w:space="0" w:color="auto"/>
              <w:right w:val="single" w:sz="4" w:space="0" w:color="auto"/>
            </w:tcBorders>
          </w:tcPr>
          <w:p w:rsidR="00EC589B" w:rsidRPr="00D37E3F" w:rsidRDefault="00EC589B" w:rsidP="006709DE">
            <w:pPr>
              <w:spacing w:before="40" w:after="40"/>
              <w:jc w:val="both"/>
              <w:rPr>
                <w:rFonts w:ascii="Arial Narrow" w:hAnsi="Arial Narrow" w:cs="Arial"/>
                <w:b/>
                <w:sz w:val="20"/>
                <w:szCs w:val="20"/>
              </w:rPr>
            </w:pPr>
            <w:r w:rsidRPr="00D37E3F">
              <w:rPr>
                <w:rFonts w:ascii="Arial Narrow" w:hAnsi="Arial Narrow" w:cs="Arial"/>
                <w:b/>
                <w:sz w:val="20"/>
                <w:szCs w:val="20"/>
              </w:rPr>
              <w:t>Condition:</w:t>
            </w:r>
          </w:p>
        </w:tc>
        <w:tc>
          <w:tcPr>
            <w:tcW w:w="3912" w:type="pct"/>
            <w:gridSpan w:val="7"/>
            <w:tcBorders>
              <w:top w:val="single" w:sz="4" w:space="0" w:color="auto"/>
              <w:left w:val="single" w:sz="4" w:space="0" w:color="auto"/>
              <w:bottom w:val="single" w:sz="4" w:space="0" w:color="auto"/>
              <w:right w:val="single" w:sz="4" w:space="0" w:color="auto"/>
            </w:tcBorders>
          </w:tcPr>
          <w:p w:rsidR="00EC589B" w:rsidRPr="00D37E3F" w:rsidRDefault="00EC589B" w:rsidP="006709DE">
            <w:pPr>
              <w:spacing w:before="40" w:after="40"/>
              <w:rPr>
                <w:rFonts w:ascii="Arial Narrow" w:hAnsi="Arial Narrow" w:cs="Arial"/>
                <w:sz w:val="20"/>
                <w:szCs w:val="20"/>
              </w:rPr>
            </w:pPr>
            <w:r w:rsidRPr="00D37E3F">
              <w:rPr>
                <w:rFonts w:ascii="Arial Narrow" w:hAnsi="Arial Narrow" w:cs="Arial"/>
                <w:sz w:val="20"/>
                <w:szCs w:val="20"/>
              </w:rPr>
              <w:t>Breathlessness</w:t>
            </w:r>
          </w:p>
        </w:tc>
      </w:tr>
      <w:tr w:rsidR="00EC589B" w:rsidRPr="00D37E3F" w:rsidTr="00310FEC">
        <w:trPr>
          <w:gridAfter w:val="1"/>
          <w:wAfter w:w="6" w:type="pct"/>
          <w:cantSplit/>
          <w:trHeight w:val="360"/>
        </w:trPr>
        <w:tc>
          <w:tcPr>
            <w:tcW w:w="1081" w:type="pct"/>
            <w:tcBorders>
              <w:top w:val="single" w:sz="4" w:space="0" w:color="auto"/>
              <w:left w:val="single" w:sz="4" w:space="0" w:color="auto"/>
              <w:bottom w:val="single" w:sz="4" w:space="0" w:color="auto"/>
              <w:right w:val="single" w:sz="4" w:space="0" w:color="auto"/>
            </w:tcBorders>
          </w:tcPr>
          <w:p w:rsidR="00EC589B" w:rsidRPr="00D37E3F" w:rsidRDefault="00EC589B" w:rsidP="006709DE">
            <w:pPr>
              <w:spacing w:before="40" w:after="40"/>
              <w:jc w:val="both"/>
              <w:rPr>
                <w:rFonts w:ascii="Arial Narrow" w:hAnsi="Arial Narrow" w:cs="Arial"/>
                <w:b/>
                <w:sz w:val="20"/>
                <w:szCs w:val="20"/>
              </w:rPr>
            </w:pPr>
            <w:r w:rsidRPr="00D37E3F">
              <w:rPr>
                <w:rFonts w:ascii="Arial Narrow" w:hAnsi="Arial Narrow" w:cs="Arial"/>
                <w:b/>
                <w:sz w:val="20"/>
                <w:szCs w:val="20"/>
              </w:rPr>
              <w:t>PBS Indication:</w:t>
            </w:r>
          </w:p>
        </w:tc>
        <w:tc>
          <w:tcPr>
            <w:tcW w:w="3912" w:type="pct"/>
            <w:gridSpan w:val="7"/>
            <w:tcBorders>
              <w:top w:val="single" w:sz="4" w:space="0" w:color="auto"/>
              <w:left w:val="single" w:sz="4" w:space="0" w:color="auto"/>
              <w:bottom w:val="single" w:sz="4" w:space="0" w:color="auto"/>
              <w:right w:val="single" w:sz="4" w:space="0" w:color="auto"/>
            </w:tcBorders>
          </w:tcPr>
          <w:p w:rsidR="00EC589B" w:rsidRPr="00D37E3F" w:rsidRDefault="00EC589B" w:rsidP="005D66F5">
            <w:pPr>
              <w:rPr>
                <w:rFonts w:ascii="Arial Narrow" w:hAnsi="Arial Narrow" w:cs="Arial"/>
                <w:sz w:val="20"/>
                <w:szCs w:val="20"/>
              </w:rPr>
            </w:pPr>
            <w:r w:rsidRPr="00D37E3F">
              <w:rPr>
                <w:rFonts w:ascii="Arial Narrow" w:hAnsi="Arial Narrow" w:cs="Arial"/>
                <w:sz w:val="20"/>
                <w:szCs w:val="20"/>
              </w:rPr>
              <w:t>Chronic breathlessness</w:t>
            </w:r>
          </w:p>
        </w:tc>
      </w:tr>
      <w:tr w:rsidR="00EC589B" w:rsidRPr="00D37E3F" w:rsidTr="00310FEC">
        <w:trPr>
          <w:gridAfter w:val="1"/>
          <w:wAfter w:w="6" w:type="pct"/>
          <w:cantSplit/>
          <w:trHeight w:val="360"/>
        </w:trPr>
        <w:tc>
          <w:tcPr>
            <w:tcW w:w="1081" w:type="pct"/>
            <w:tcBorders>
              <w:top w:val="single" w:sz="4" w:space="0" w:color="auto"/>
              <w:left w:val="single" w:sz="4" w:space="0" w:color="auto"/>
              <w:bottom w:val="single" w:sz="4" w:space="0" w:color="auto"/>
              <w:right w:val="single" w:sz="4" w:space="0" w:color="auto"/>
            </w:tcBorders>
          </w:tcPr>
          <w:p w:rsidR="00EC589B" w:rsidRPr="005D66F5" w:rsidRDefault="00EC589B" w:rsidP="005D66F5">
            <w:pPr>
              <w:spacing w:before="40" w:after="40"/>
              <w:jc w:val="both"/>
              <w:rPr>
                <w:rFonts w:ascii="Arial Narrow" w:hAnsi="Arial Narrow" w:cs="Arial"/>
                <w:b/>
                <w:sz w:val="20"/>
                <w:szCs w:val="20"/>
              </w:rPr>
            </w:pPr>
            <w:r w:rsidRPr="00D37E3F">
              <w:rPr>
                <w:rFonts w:ascii="Arial Narrow" w:hAnsi="Arial Narrow" w:cs="Arial"/>
                <w:b/>
                <w:sz w:val="20"/>
                <w:szCs w:val="20"/>
              </w:rPr>
              <w:t>Restriction Level / Method:</w:t>
            </w:r>
          </w:p>
        </w:tc>
        <w:tc>
          <w:tcPr>
            <w:tcW w:w="3912" w:type="pct"/>
            <w:gridSpan w:val="7"/>
            <w:tcBorders>
              <w:top w:val="single" w:sz="4" w:space="0" w:color="auto"/>
              <w:left w:val="single" w:sz="4" w:space="0" w:color="auto"/>
              <w:bottom w:val="single" w:sz="4" w:space="0" w:color="auto"/>
              <w:right w:val="single" w:sz="4" w:space="0" w:color="auto"/>
            </w:tcBorders>
          </w:tcPr>
          <w:p w:rsidR="00EC589B" w:rsidRPr="00D37E3F" w:rsidRDefault="00EC589B" w:rsidP="006709DE">
            <w:pPr>
              <w:spacing w:before="40" w:after="40"/>
              <w:rPr>
                <w:rFonts w:ascii="Arial Narrow" w:hAnsi="Arial Narrow" w:cs="Arial"/>
                <w:sz w:val="20"/>
                <w:szCs w:val="20"/>
              </w:rPr>
            </w:pPr>
            <w:r w:rsidRPr="00954069">
              <w:rPr>
                <w:rFonts w:ascii="Arial Narrow" w:hAnsi="Arial Narrow" w:cs="Arial"/>
                <w:sz w:val="20"/>
                <w:szCs w:val="20"/>
              </w:rPr>
              <w:fldChar w:fldCharType="begin">
                <w:ffData>
                  <w:name w:val="Check1"/>
                  <w:enabled/>
                  <w:calcOnExit w:val="0"/>
                  <w:checkBox>
                    <w:sizeAuto/>
                    <w:default w:val="1"/>
                  </w:checkBox>
                </w:ffData>
              </w:fldChar>
            </w:r>
            <w:r w:rsidRPr="00D37E3F">
              <w:rPr>
                <w:rFonts w:ascii="Arial Narrow" w:hAnsi="Arial Narrow" w:cs="Arial"/>
                <w:sz w:val="20"/>
                <w:szCs w:val="20"/>
              </w:rPr>
              <w:instrText xml:space="preserve"> </w:instrText>
            </w:r>
            <w:bookmarkStart w:id="1" w:name="Check1"/>
            <w:r w:rsidRPr="00D37E3F">
              <w:rPr>
                <w:rFonts w:ascii="Arial Narrow" w:hAnsi="Arial Narrow" w:cs="Arial"/>
                <w:sz w:val="20"/>
                <w:szCs w:val="20"/>
              </w:rPr>
              <w:instrText xml:space="preserve">FORMCHECKBOX </w:instrText>
            </w:r>
            <w:r w:rsidR="00310FEC">
              <w:rPr>
                <w:rFonts w:ascii="Arial Narrow" w:hAnsi="Arial Narrow" w:cs="Arial"/>
                <w:sz w:val="20"/>
                <w:szCs w:val="20"/>
              </w:rPr>
            </w:r>
            <w:r w:rsidR="00310FEC">
              <w:rPr>
                <w:rFonts w:ascii="Arial Narrow" w:hAnsi="Arial Narrow" w:cs="Arial"/>
                <w:sz w:val="20"/>
                <w:szCs w:val="20"/>
              </w:rPr>
              <w:fldChar w:fldCharType="separate"/>
            </w:r>
            <w:r w:rsidRPr="00954069">
              <w:rPr>
                <w:rFonts w:ascii="Arial Narrow" w:hAnsi="Arial Narrow" w:cs="Arial"/>
                <w:sz w:val="20"/>
                <w:szCs w:val="20"/>
              </w:rPr>
              <w:fldChar w:fldCharType="end"/>
            </w:r>
            <w:bookmarkEnd w:id="1"/>
            <w:r w:rsidRPr="00D37E3F">
              <w:rPr>
                <w:rFonts w:ascii="Arial Narrow" w:hAnsi="Arial Narrow" w:cs="Arial"/>
                <w:sz w:val="20"/>
                <w:szCs w:val="20"/>
              </w:rPr>
              <w:t>Restricted benefit</w:t>
            </w:r>
          </w:p>
          <w:p w:rsidR="00EC589B" w:rsidRPr="00D37E3F" w:rsidRDefault="00EC589B" w:rsidP="006709DE">
            <w:pPr>
              <w:spacing w:before="40" w:after="40"/>
              <w:rPr>
                <w:rFonts w:ascii="Arial Narrow" w:hAnsi="Arial Narrow" w:cs="Arial"/>
                <w:sz w:val="20"/>
                <w:szCs w:val="20"/>
              </w:rPr>
            </w:pPr>
          </w:p>
        </w:tc>
      </w:tr>
      <w:tr w:rsidR="00EC589B" w:rsidRPr="00D37E3F" w:rsidTr="00310FEC">
        <w:trPr>
          <w:gridAfter w:val="1"/>
          <w:wAfter w:w="6" w:type="pct"/>
          <w:cantSplit/>
          <w:trHeight w:val="360"/>
        </w:trPr>
        <w:tc>
          <w:tcPr>
            <w:tcW w:w="1081" w:type="pct"/>
            <w:tcBorders>
              <w:top w:val="single" w:sz="4" w:space="0" w:color="auto"/>
              <w:left w:val="single" w:sz="4" w:space="0" w:color="auto"/>
              <w:bottom w:val="single" w:sz="4" w:space="0" w:color="auto"/>
              <w:right w:val="single" w:sz="4" w:space="0" w:color="auto"/>
            </w:tcBorders>
          </w:tcPr>
          <w:p w:rsidR="00EC589B" w:rsidRPr="005D66F5" w:rsidRDefault="00EC589B" w:rsidP="006709DE">
            <w:pPr>
              <w:spacing w:before="40" w:after="40"/>
              <w:jc w:val="both"/>
              <w:rPr>
                <w:rFonts w:ascii="Arial Narrow" w:hAnsi="Arial Narrow" w:cs="Arial"/>
                <w:b/>
                <w:sz w:val="20"/>
                <w:szCs w:val="20"/>
              </w:rPr>
            </w:pPr>
            <w:r w:rsidRPr="00D37E3F">
              <w:rPr>
                <w:rFonts w:ascii="Arial Narrow" w:hAnsi="Arial Narrow" w:cs="Arial"/>
                <w:b/>
                <w:sz w:val="20"/>
                <w:szCs w:val="20"/>
              </w:rPr>
              <w:t>Clinical criteria:</w:t>
            </w:r>
          </w:p>
        </w:tc>
        <w:tc>
          <w:tcPr>
            <w:tcW w:w="3912" w:type="pct"/>
            <w:gridSpan w:val="7"/>
            <w:tcBorders>
              <w:top w:val="single" w:sz="4" w:space="0" w:color="auto"/>
              <w:left w:val="single" w:sz="4" w:space="0" w:color="auto"/>
              <w:bottom w:val="single" w:sz="4" w:space="0" w:color="auto"/>
              <w:right w:val="single" w:sz="4" w:space="0" w:color="auto"/>
            </w:tcBorders>
          </w:tcPr>
          <w:p w:rsidR="00EC589B" w:rsidRPr="00D37E3F" w:rsidRDefault="00EC589B" w:rsidP="006709DE">
            <w:pPr>
              <w:spacing w:before="40" w:after="40"/>
              <w:rPr>
                <w:rFonts w:ascii="Arial Narrow" w:hAnsi="Arial Narrow" w:cs="Arial"/>
                <w:sz w:val="20"/>
                <w:szCs w:val="20"/>
              </w:rPr>
            </w:pPr>
            <w:r w:rsidRPr="00D37E3F">
              <w:rPr>
                <w:rFonts w:ascii="Arial Narrow" w:hAnsi="Arial Narrow" w:cs="Arial"/>
                <w:sz w:val="20"/>
                <w:szCs w:val="20"/>
              </w:rPr>
              <w:t>Patient must be receiving palliative care</w:t>
            </w:r>
          </w:p>
        </w:tc>
      </w:tr>
      <w:tr w:rsidR="00EC589B" w:rsidRPr="00D37E3F" w:rsidTr="00310FEC">
        <w:trPr>
          <w:gridAfter w:val="1"/>
          <w:wAfter w:w="6" w:type="pct"/>
          <w:cantSplit/>
          <w:trHeight w:val="360"/>
        </w:trPr>
        <w:tc>
          <w:tcPr>
            <w:tcW w:w="1081" w:type="pct"/>
            <w:tcBorders>
              <w:top w:val="single" w:sz="4" w:space="0" w:color="auto"/>
              <w:left w:val="single" w:sz="4" w:space="0" w:color="auto"/>
              <w:bottom w:val="single" w:sz="4" w:space="0" w:color="auto"/>
              <w:right w:val="single" w:sz="4" w:space="0" w:color="auto"/>
            </w:tcBorders>
          </w:tcPr>
          <w:p w:rsidR="00EC589B" w:rsidRPr="00D37E3F" w:rsidRDefault="00EC589B" w:rsidP="006709DE">
            <w:pPr>
              <w:spacing w:before="40" w:after="40"/>
              <w:jc w:val="both"/>
              <w:rPr>
                <w:rFonts w:ascii="Arial Narrow" w:hAnsi="Arial Narrow" w:cs="Arial"/>
                <w:b/>
                <w:sz w:val="20"/>
                <w:szCs w:val="20"/>
              </w:rPr>
            </w:pPr>
            <w:r w:rsidRPr="00D37E3F">
              <w:rPr>
                <w:rFonts w:ascii="Arial Narrow" w:hAnsi="Arial Narrow" w:cs="Arial"/>
                <w:b/>
                <w:sz w:val="20"/>
                <w:szCs w:val="20"/>
              </w:rPr>
              <w:lastRenderedPageBreak/>
              <w:t>Administrative Advice</w:t>
            </w:r>
          </w:p>
          <w:p w:rsidR="00EC589B" w:rsidRPr="00D37E3F" w:rsidRDefault="00EC589B" w:rsidP="006709DE">
            <w:pPr>
              <w:spacing w:before="40" w:after="40"/>
              <w:jc w:val="both"/>
              <w:rPr>
                <w:rFonts w:ascii="Arial Narrow" w:hAnsi="Arial Narrow" w:cs="Arial"/>
                <w:i/>
                <w:sz w:val="20"/>
                <w:szCs w:val="20"/>
              </w:rPr>
            </w:pPr>
          </w:p>
        </w:tc>
        <w:tc>
          <w:tcPr>
            <w:tcW w:w="3912" w:type="pct"/>
            <w:gridSpan w:val="7"/>
            <w:tcBorders>
              <w:top w:val="single" w:sz="4" w:space="0" w:color="auto"/>
              <w:left w:val="single" w:sz="4" w:space="0" w:color="auto"/>
              <w:bottom w:val="single" w:sz="4" w:space="0" w:color="auto"/>
              <w:right w:val="single" w:sz="4" w:space="0" w:color="auto"/>
            </w:tcBorders>
          </w:tcPr>
          <w:p w:rsidR="00EC589B" w:rsidRPr="00D37E3F" w:rsidRDefault="00EC589B" w:rsidP="006709DE">
            <w:pPr>
              <w:spacing w:before="40" w:after="40"/>
              <w:rPr>
                <w:rFonts w:ascii="Arial Narrow" w:hAnsi="Arial Narrow" w:cs="Arial"/>
                <w:sz w:val="20"/>
                <w:szCs w:val="20"/>
              </w:rPr>
            </w:pPr>
            <w:r w:rsidRPr="00D37E3F">
              <w:rPr>
                <w:rFonts w:ascii="Arial Narrow" w:hAnsi="Arial Narrow" w:cs="Arial"/>
                <w:sz w:val="20"/>
                <w:szCs w:val="20"/>
              </w:rPr>
              <w:t>Treatment should be initiated by a specialist knowledgeable in the use of potent opioids for the management of chronic breathlessness.</w:t>
            </w:r>
          </w:p>
          <w:p w:rsidR="00EC589B" w:rsidRPr="00D37E3F" w:rsidRDefault="00EC589B" w:rsidP="006709DE">
            <w:pPr>
              <w:spacing w:before="40" w:after="40"/>
              <w:rPr>
                <w:rFonts w:ascii="Arial Narrow" w:hAnsi="Arial Narrow" w:cs="Arial"/>
                <w:sz w:val="20"/>
                <w:szCs w:val="20"/>
              </w:rPr>
            </w:pPr>
          </w:p>
          <w:p w:rsidR="00EC589B" w:rsidRPr="00D37E3F" w:rsidRDefault="00EC589B" w:rsidP="006709DE">
            <w:pPr>
              <w:spacing w:before="40" w:after="40"/>
              <w:rPr>
                <w:rFonts w:ascii="Arial Narrow" w:hAnsi="Arial Narrow" w:cs="Arial"/>
                <w:sz w:val="20"/>
                <w:szCs w:val="20"/>
              </w:rPr>
            </w:pPr>
            <w:r w:rsidRPr="00D37E3F">
              <w:rPr>
                <w:rFonts w:ascii="Arial Narrow" w:hAnsi="Arial Narrow" w:cs="Arial"/>
                <w:sz w:val="20"/>
                <w:szCs w:val="20"/>
              </w:rPr>
              <w:t>Applications for an increased maximum quantity to provide for 1 month’s supply of this drug will be authorised.</w:t>
            </w:r>
          </w:p>
          <w:p w:rsidR="00EC589B" w:rsidRPr="00D37E3F" w:rsidRDefault="00EC589B" w:rsidP="006709DE">
            <w:pPr>
              <w:spacing w:before="40" w:after="40"/>
              <w:rPr>
                <w:rFonts w:ascii="Arial Narrow" w:hAnsi="Arial Narrow" w:cs="Arial"/>
                <w:sz w:val="20"/>
                <w:szCs w:val="20"/>
              </w:rPr>
            </w:pPr>
          </w:p>
          <w:p w:rsidR="00EC589B" w:rsidRPr="00D37E3F" w:rsidRDefault="00EC589B" w:rsidP="006709DE">
            <w:pPr>
              <w:spacing w:before="40" w:after="40"/>
              <w:rPr>
                <w:rFonts w:ascii="Arial Narrow" w:hAnsi="Arial Narrow" w:cs="Arial"/>
                <w:sz w:val="20"/>
                <w:szCs w:val="20"/>
              </w:rPr>
            </w:pPr>
            <w:r w:rsidRPr="00D37E3F">
              <w:rPr>
                <w:rFonts w:ascii="Arial Narrow" w:hAnsi="Arial Narrow" w:cs="Arial"/>
                <w:sz w:val="20"/>
                <w:szCs w:val="20"/>
              </w:rPr>
              <w:t>Where consultation with a palliative care specialist or service has occurred, applications for increased repeats for up to 3 months' supply may be authorised.</w:t>
            </w:r>
          </w:p>
          <w:p w:rsidR="00EC589B" w:rsidRPr="00D37E3F" w:rsidRDefault="00EC589B" w:rsidP="006709DE">
            <w:pPr>
              <w:spacing w:before="40" w:after="40"/>
              <w:rPr>
                <w:rFonts w:ascii="Arial Narrow" w:hAnsi="Arial Narrow" w:cs="Arial"/>
                <w:sz w:val="20"/>
                <w:szCs w:val="20"/>
              </w:rPr>
            </w:pPr>
          </w:p>
          <w:p w:rsidR="00EC589B" w:rsidRPr="00D37E3F" w:rsidRDefault="00EC589B" w:rsidP="006709DE">
            <w:pPr>
              <w:spacing w:before="40" w:after="40"/>
              <w:rPr>
                <w:rFonts w:ascii="Arial Narrow" w:hAnsi="Arial Narrow" w:cs="Arial"/>
                <w:sz w:val="20"/>
                <w:szCs w:val="20"/>
              </w:rPr>
            </w:pPr>
            <w:r w:rsidRPr="00D37E3F">
              <w:rPr>
                <w:rFonts w:ascii="Arial Narrow" w:hAnsi="Arial Narrow" w:cs="Arial"/>
                <w:sz w:val="20"/>
                <w:szCs w:val="20"/>
              </w:rPr>
              <w:t xml:space="preserve">Shared Care Model: </w:t>
            </w:r>
          </w:p>
          <w:p w:rsidR="00EC589B" w:rsidRPr="00D37E3F" w:rsidRDefault="00EC589B" w:rsidP="006709DE">
            <w:pPr>
              <w:spacing w:before="40" w:after="40"/>
              <w:rPr>
                <w:rFonts w:ascii="Arial Narrow" w:hAnsi="Arial Narrow" w:cs="Arial"/>
                <w:sz w:val="20"/>
                <w:szCs w:val="20"/>
              </w:rPr>
            </w:pPr>
          </w:p>
          <w:p w:rsidR="00EC589B" w:rsidRPr="00D37E3F" w:rsidRDefault="00EC589B" w:rsidP="006709DE">
            <w:pPr>
              <w:spacing w:before="40" w:after="40"/>
              <w:rPr>
                <w:rFonts w:ascii="Arial Narrow" w:hAnsi="Arial Narrow" w:cs="Arial"/>
                <w:sz w:val="20"/>
                <w:szCs w:val="20"/>
              </w:rPr>
            </w:pPr>
            <w:r w:rsidRPr="00D37E3F">
              <w:rPr>
                <w:rFonts w:ascii="Arial Narrow" w:hAnsi="Arial Narrow" w:cs="Arial"/>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EC589B" w:rsidRPr="00D37E3F" w:rsidTr="00310FEC">
        <w:trPr>
          <w:gridAfter w:val="1"/>
          <w:wAfter w:w="6" w:type="pct"/>
          <w:cantSplit/>
          <w:trHeight w:val="360"/>
        </w:trPr>
        <w:tc>
          <w:tcPr>
            <w:tcW w:w="1081" w:type="pct"/>
            <w:tcBorders>
              <w:top w:val="single" w:sz="4" w:space="0" w:color="auto"/>
              <w:left w:val="single" w:sz="4" w:space="0" w:color="auto"/>
              <w:bottom w:val="single" w:sz="4" w:space="0" w:color="auto"/>
              <w:right w:val="single" w:sz="4" w:space="0" w:color="auto"/>
            </w:tcBorders>
          </w:tcPr>
          <w:p w:rsidR="00EC589B" w:rsidRPr="00D37E3F" w:rsidRDefault="00EC589B" w:rsidP="006709DE">
            <w:pPr>
              <w:spacing w:before="40" w:after="40"/>
              <w:jc w:val="both"/>
              <w:rPr>
                <w:rFonts w:ascii="Arial Narrow" w:hAnsi="Arial Narrow" w:cs="Arial"/>
                <w:b/>
                <w:sz w:val="20"/>
                <w:szCs w:val="20"/>
              </w:rPr>
            </w:pPr>
            <w:r w:rsidRPr="00D37E3F">
              <w:rPr>
                <w:rFonts w:ascii="Arial Narrow" w:hAnsi="Arial Narrow" w:cs="Arial"/>
                <w:b/>
                <w:sz w:val="20"/>
                <w:szCs w:val="20"/>
              </w:rPr>
              <w:t>Cautions</w:t>
            </w:r>
          </w:p>
          <w:p w:rsidR="00EC589B" w:rsidRPr="00D37E3F" w:rsidRDefault="00EC589B" w:rsidP="006709DE">
            <w:pPr>
              <w:spacing w:before="40" w:after="40"/>
              <w:jc w:val="both"/>
              <w:rPr>
                <w:rFonts w:ascii="Arial Narrow" w:hAnsi="Arial Narrow" w:cs="Arial"/>
                <w:i/>
                <w:sz w:val="20"/>
                <w:szCs w:val="20"/>
              </w:rPr>
            </w:pPr>
          </w:p>
        </w:tc>
        <w:tc>
          <w:tcPr>
            <w:tcW w:w="3912" w:type="pct"/>
            <w:gridSpan w:val="7"/>
            <w:tcBorders>
              <w:top w:val="single" w:sz="4" w:space="0" w:color="auto"/>
              <w:left w:val="single" w:sz="4" w:space="0" w:color="auto"/>
              <w:bottom w:val="single" w:sz="4" w:space="0" w:color="auto"/>
              <w:right w:val="single" w:sz="4" w:space="0" w:color="auto"/>
            </w:tcBorders>
          </w:tcPr>
          <w:p w:rsidR="00EC589B" w:rsidRPr="00D37E3F" w:rsidRDefault="00EC589B" w:rsidP="006709DE">
            <w:pPr>
              <w:spacing w:before="40" w:after="40"/>
              <w:rPr>
                <w:rFonts w:ascii="Arial Narrow" w:hAnsi="Arial Narrow" w:cs="Arial"/>
                <w:sz w:val="20"/>
                <w:szCs w:val="20"/>
              </w:rPr>
            </w:pPr>
            <w:r w:rsidRPr="00D37E3F">
              <w:rPr>
                <w:rFonts w:ascii="Arial Narrow" w:hAnsi="Arial Narrow" w:cs="Arial"/>
                <w:sz w:val="20"/>
                <w:szCs w:val="20"/>
              </w:rPr>
              <w:t>The risk of drug dependence is high.</w:t>
            </w:r>
          </w:p>
          <w:p w:rsidR="00EC589B" w:rsidRPr="00D37E3F" w:rsidRDefault="00EC589B" w:rsidP="006709DE">
            <w:pPr>
              <w:spacing w:before="40" w:after="40"/>
              <w:rPr>
                <w:rFonts w:ascii="Arial Narrow" w:hAnsi="Arial Narrow" w:cs="Arial"/>
                <w:sz w:val="20"/>
                <w:szCs w:val="20"/>
              </w:rPr>
            </w:pPr>
          </w:p>
          <w:p w:rsidR="00EC589B" w:rsidRPr="00D37E3F" w:rsidRDefault="00EC589B" w:rsidP="006709DE">
            <w:pPr>
              <w:spacing w:before="40" w:after="40"/>
              <w:rPr>
                <w:rFonts w:ascii="Arial Narrow" w:hAnsi="Arial Narrow" w:cs="Arial"/>
                <w:sz w:val="20"/>
                <w:szCs w:val="20"/>
              </w:rPr>
            </w:pPr>
            <w:r w:rsidRPr="00D37E3F">
              <w:rPr>
                <w:rFonts w:ascii="Arial Narrow" w:hAnsi="Arial Narrow" w:cs="Arial"/>
                <w:sz w:val="20"/>
                <w:szCs w:val="20"/>
              </w:rPr>
              <w:t xml:space="preserve">Morphine </w:t>
            </w:r>
            <w:proofErr w:type="spellStart"/>
            <w:r w:rsidRPr="00D37E3F">
              <w:rPr>
                <w:rFonts w:ascii="Arial Narrow" w:hAnsi="Arial Narrow" w:cs="Arial"/>
                <w:sz w:val="20"/>
                <w:szCs w:val="20"/>
              </w:rPr>
              <w:t>sulfate</w:t>
            </w:r>
            <w:proofErr w:type="spellEnd"/>
            <w:r w:rsidRPr="00D37E3F">
              <w:rPr>
                <w:rFonts w:ascii="Arial Narrow" w:hAnsi="Arial Narrow" w:cs="Arial"/>
                <w:sz w:val="20"/>
                <w:szCs w:val="20"/>
              </w:rPr>
              <w:t xml:space="preserve"> pentahydrate 10 and 20 mg modified release capsules must not be co-prescribed with immediate release oral morphine, when it has been prescribed for the reduction of chronic breathlessness.</w:t>
            </w:r>
          </w:p>
        </w:tc>
      </w:tr>
    </w:tbl>
    <w:p w:rsidR="00B32D75" w:rsidRPr="00D37E3F" w:rsidRDefault="00B32D75" w:rsidP="009629B3">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D37E3F">
        <w:rPr>
          <w:rFonts w:asciiTheme="minorHAnsi" w:eastAsiaTheme="minorHAnsi" w:hAnsiTheme="minorHAnsi" w:cstheme="minorBidi"/>
          <w:snapToGrid/>
          <w:sz w:val="24"/>
          <w:szCs w:val="22"/>
        </w:rPr>
        <w:t xml:space="preserve">Morphine (as morphine </w:t>
      </w:r>
      <w:proofErr w:type="spellStart"/>
      <w:r w:rsidRPr="00D37E3F">
        <w:rPr>
          <w:rFonts w:asciiTheme="minorHAnsi" w:eastAsiaTheme="minorHAnsi" w:hAnsiTheme="minorHAnsi" w:cstheme="minorBidi"/>
          <w:snapToGrid/>
          <w:sz w:val="24"/>
          <w:szCs w:val="22"/>
        </w:rPr>
        <w:t>sulfate</w:t>
      </w:r>
      <w:proofErr w:type="spellEnd"/>
      <w:r w:rsidRPr="00D37E3F">
        <w:rPr>
          <w:rFonts w:asciiTheme="minorHAnsi" w:eastAsiaTheme="minorHAnsi" w:hAnsiTheme="minorHAnsi" w:cstheme="minorBidi"/>
          <w:snapToGrid/>
          <w:sz w:val="24"/>
          <w:szCs w:val="22"/>
        </w:rPr>
        <w:t xml:space="preserve"> pentahydrate) </w:t>
      </w:r>
      <w:r w:rsidR="0098207F" w:rsidRPr="00D37E3F">
        <w:rPr>
          <w:rFonts w:asciiTheme="minorHAnsi" w:eastAsiaTheme="minorHAnsi" w:hAnsiTheme="minorHAnsi" w:cstheme="minorBidi"/>
          <w:snapToGrid/>
          <w:sz w:val="24"/>
          <w:szCs w:val="22"/>
        </w:rPr>
        <w:t xml:space="preserve">immediate release </w:t>
      </w:r>
      <w:r w:rsidRPr="00D37E3F">
        <w:rPr>
          <w:rFonts w:asciiTheme="minorHAnsi" w:eastAsiaTheme="minorHAnsi" w:hAnsiTheme="minorHAnsi" w:cstheme="minorBidi"/>
          <w:snapToGrid/>
          <w:sz w:val="24"/>
          <w:szCs w:val="22"/>
        </w:rPr>
        <w:t xml:space="preserve">tablets </w:t>
      </w:r>
      <w:r w:rsidR="0098207F" w:rsidRPr="00D37E3F">
        <w:rPr>
          <w:rFonts w:asciiTheme="minorHAnsi" w:eastAsiaTheme="minorHAnsi" w:hAnsiTheme="minorHAnsi" w:cstheme="minorBidi"/>
          <w:snapToGrid/>
          <w:sz w:val="24"/>
          <w:szCs w:val="22"/>
        </w:rPr>
        <w:t>(</w:t>
      </w:r>
      <w:proofErr w:type="spellStart"/>
      <w:r w:rsidR="0098207F" w:rsidRPr="00D37E3F">
        <w:rPr>
          <w:rFonts w:asciiTheme="minorHAnsi" w:eastAsiaTheme="minorHAnsi" w:hAnsiTheme="minorHAnsi" w:cstheme="minorBidi"/>
          <w:snapToGrid/>
          <w:sz w:val="24"/>
          <w:szCs w:val="22"/>
        </w:rPr>
        <w:t>Sevredol</w:t>
      </w:r>
      <w:proofErr w:type="spellEnd"/>
      <w:r w:rsidR="0098207F" w:rsidRPr="00D37E3F">
        <w:rPr>
          <w:rFonts w:asciiTheme="minorHAnsi" w:eastAsiaTheme="minorHAnsi" w:hAnsiTheme="minorHAnsi" w:cstheme="minorBidi"/>
          <w:snapToGrid/>
          <w:sz w:val="24"/>
          <w:szCs w:val="22"/>
        </w:rPr>
        <w:t xml:space="preserve">®) </w:t>
      </w:r>
      <w:r w:rsidR="00775438" w:rsidRPr="00D37E3F">
        <w:rPr>
          <w:rFonts w:asciiTheme="minorHAnsi" w:eastAsiaTheme="minorHAnsi" w:hAnsiTheme="minorHAnsi" w:cstheme="minorBidi"/>
          <w:snapToGrid/>
          <w:sz w:val="24"/>
          <w:szCs w:val="22"/>
        </w:rPr>
        <w:t>quantity 20</w:t>
      </w:r>
      <w:r w:rsidR="0098207F" w:rsidRPr="00D37E3F">
        <w:rPr>
          <w:rFonts w:asciiTheme="minorHAnsi" w:eastAsiaTheme="minorHAnsi" w:hAnsiTheme="minorHAnsi" w:cstheme="minorBidi"/>
          <w:snapToGrid/>
          <w:sz w:val="24"/>
          <w:szCs w:val="22"/>
        </w:rPr>
        <w:t xml:space="preserve"> with 2 repeats </w:t>
      </w:r>
      <w:r w:rsidRPr="00D37E3F">
        <w:rPr>
          <w:rFonts w:asciiTheme="minorHAnsi" w:eastAsiaTheme="minorHAnsi" w:hAnsiTheme="minorHAnsi" w:cstheme="minorBidi"/>
          <w:snapToGrid/>
          <w:sz w:val="24"/>
          <w:szCs w:val="22"/>
        </w:rPr>
        <w:t xml:space="preserve">are available on the </w:t>
      </w:r>
      <w:r w:rsidR="008425B4" w:rsidRPr="00D37E3F">
        <w:rPr>
          <w:rFonts w:asciiTheme="minorHAnsi" w:eastAsiaTheme="minorHAnsi" w:hAnsiTheme="minorHAnsi" w:cstheme="minorBidi"/>
          <w:snapToGrid/>
          <w:sz w:val="24"/>
          <w:szCs w:val="22"/>
        </w:rPr>
        <w:t xml:space="preserve">Palliative Care schedule of </w:t>
      </w:r>
      <w:r w:rsidRPr="00D37E3F">
        <w:rPr>
          <w:rFonts w:asciiTheme="minorHAnsi" w:eastAsiaTheme="minorHAnsi" w:hAnsiTheme="minorHAnsi" w:cstheme="minorBidi"/>
          <w:snapToGrid/>
          <w:sz w:val="24"/>
          <w:szCs w:val="22"/>
        </w:rPr>
        <w:t>the PBS</w:t>
      </w:r>
      <w:r w:rsidR="008425B4" w:rsidRPr="00D37E3F">
        <w:rPr>
          <w:rFonts w:asciiTheme="minorHAnsi" w:eastAsiaTheme="minorHAnsi" w:hAnsiTheme="minorHAnsi" w:cstheme="minorBidi"/>
          <w:snapToGrid/>
          <w:sz w:val="24"/>
          <w:szCs w:val="22"/>
        </w:rPr>
        <w:t xml:space="preserve"> (via Telephone Authority)</w:t>
      </w:r>
      <w:r w:rsidRPr="00D37E3F">
        <w:rPr>
          <w:rFonts w:asciiTheme="minorHAnsi" w:eastAsiaTheme="minorHAnsi" w:hAnsiTheme="minorHAnsi" w:cstheme="minorBidi"/>
          <w:snapToGrid/>
          <w:sz w:val="24"/>
          <w:szCs w:val="22"/>
        </w:rPr>
        <w:t xml:space="preserve"> </w:t>
      </w:r>
      <w:r w:rsidR="00AD1E7F" w:rsidRPr="00D37E3F">
        <w:rPr>
          <w:rFonts w:asciiTheme="minorHAnsi" w:eastAsiaTheme="minorHAnsi" w:hAnsiTheme="minorHAnsi" w:cstheme="minorBidi"/>
          <w:snapToGrid/>
          <w:sz w:val="24"/>
          <w:szCs w:val="22"/>
        </w:rPr>
        <w:t>for pain management.</w:t>
      </w:r>
      <w:r w:rsidR="0098207F" w:rsidRPr="00D37E3F">
        <w:rPr>
          <w:rFonts w:asciiTheme="minorHAnsi" w:eastAsiaTheme="minorHAnsi" w:hAnsiTheme="minorHAnsi" w:cstheme="minorBidi"/>
          <w:snapToGrid/>
          <w:sz w:val="24"/>
          <w:szCs w:val="22"/>
        </w:rPr>
        <w:t xml:space="preserve"> Oral modified released formulations of morphine </w:t>
      </w:r>
      <w:proofErr w:type="spellStart"/>
      <w:r w:rsidR="0098207F" w:rsidRPr="00D37E3F">
        <w:rPr>
          <w:rFonts w:asciiTheme="minorHAnsi" w:eastAsiaTheme="minorHAnsi" w:hAnsiTheme="minorHAnsi" w:cstheme="minorBidi"/>
          <w:snapToGrid/>
          <w:sz w:val="24"/>
          <w:szCs w:val="22"/>
        </w:rPr>
        <w:t>sulfate</w:t>
      </w:r>
      <w:proofErr w:type="spellEnd"/>
      <w:r w:rsidR="0098207F" w:rsidRPr="00D37E3F">
        <w:rPr>
          <w:rFonts w:asciiTheme="minorHAnsi" w:eastAsiaTheme="minorHAnsi" w:hAnsiTheme="minorHAnsi" w:cstheme="minorBidi"/>
          <w:snapToGrid/>
          <w:sz w:val="24"/>
          <w:szCs w:val="22"/>
        </w:rPr>
        <w:t xml:space="preserve"> pentahydrate are available as restricted benefit with no repeats on the general schedule.</w:t>
      </w:r>
    </w:p>
    <w:p w:rsidR="00C603D4" w:rsidRPr="00D37E3F" w:rsidRDefault="00CE10C4" w:rsidP="00E57863">
      <w:pPr>
        <w:pStyle w:val="PBACHeading1"/>
        <w:spacing w:before="240" w:after="120"/>
        <w:ind w:left="709" w:hanging="709"/>
        <w:rPr>
          <w:rFonts w:asciiTheme="minorHAnsi" w:hAnsiTheme="minorHAnsi"/>
          <w:sz w:val="32"/>
          <w:szCs w:val="32"/>
        </w:rPr>
      </w:pPr>
      <w:r w:rsidRPr="00D37E3F">
        <w:rPr>
          <w:rFonts w:asciiTheme="minorHAnsi" w:hAnsiTheme="minorHAnsi"/>
          <w:sz w:val="32"/>
          <w:szCs w:val="32"/>
        </w:rPr>
        <w:t>Background</w:t>
      </w:r>
    </w:p>
    <w:p w:rsidR="00515B4C" w:rsidRPr="00D37E3F" w:rsidRDefault="003B4C7E" w:rsidP="00E57863">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D37E3F">
        <w:rPr>
          <w:rFonts w:asciiTheme="minorHAnsi" w:eastAsiaTheme="minorHAnsi" w:hAnsiTheme="minorHAnsi" w:cstheme="minorBidi"/>
          <w:snapToGrid/>
          <w:sz w:val="24"/>
          <w:szCs w:val="22"/>
        </w:rPr>
        <w:t>Morphine</w:t>
      </w:r>
      <w:r w:rsidR="00476245" w:rsidRPr="00D37E3F">
        <w:rPr>
          <w:rFonts w:asciiTheme="minorHAnsi" w:eastAsiaTheme="minorHAnsi" w:hAnsiTheme="minorHAnsi" w:cstheme="minorBidi"/>
          <w:snapToGrid/>
          <w:sz w:val="24"/>
          <w:szCs w:val="22"/>
        </w:rPr>
        <w:t xml:space="preserve"> </w:t>
      </w:r>
      <w:r w:rsidR="00BF49E8" w:rsidRPr="00D37E3F">
        <w:rPr>
          <w:rFonts w:asciiTheme="minorHAnsi" w:eastAsiaTheme="minorHAnsi" w:hAnsiTheme="minorHAnsi" w:cstheme="minorBidi"/>
          <w:snapToGrid/>
          <w:sz w:val="24"/>
          <w:szCs w:val="22"/>
        </w:rPr>
        <w:t>modified</w:t>
      </w:r>
      <w:r w:rsidR="00381DCE" w:rsidRPr="00D37E3F">
        <w:rPr>
          <w:rFonts w:asciiTheme="minorHAnsi" w:eastAsiaTheme="minorHAnsi" w:hAnsiTheme="minorHAnsi" w:cstheme="minorBidi"/>
          <w:snapToGrid/>
          <w:sz w:val="24"/>
          <w:szCs w:val="22"/>
        </w:rPr>
        <w:t xml:space="preserve"> release capsules (</w:t>
      </w:r>
      <w:proofErr w:type="spellStart"/>
      <w:r w:rsidR="00381DCE" w:rsidRPr="00D37E3F">
        <w:rPr>
          <w:rFonts w:asciiTheme="minorHAnsi" w:eastAsiaTheme="minorHAnsi" w:hAnsiTheme="minorHAnsi" w:cstheme="minorBidi"/>
          <w:snapToGrid/>
          <w:sz w:val="24"/>
          <w:szCs w:val="22"/>
        </w:rPr>
        <w:t>Kapanol</w:t>
      </w:r>
      <w:proofErr w:type="spellEnd"/>
      <w:r w:rsidR="00381DCE" w:rsidRPr="00D37E3F">
        <w:rPr>
          <w:rFonts w:asciiTheme="minorHAnsi" w:eastAsiaTheme="minorHAnsi" w:hAnsiTheme="minorHAnsi" w:cstheme="minorBidi"/>
          <w:snapToGrid/>
          <w:sz w:val="24"/>
          <w:szCs w:val="22"/>
        </w:rPr>
        <w:t>®)</w:t>
      </w:r>
      <w:r w:rsidR="00B32D75" w:rsidRPr="00D37E3F">
        <w:rPr>
          <w:rFonts w:asciiTheme="minorHAnsi" w:eastAsiaTheme="minorHAnsi" w:hAnsiTheme="minorHAnsi" w:cstheme="minorBidi"/>
          <w:snapToGrid/>
          <w:sz w:val="24"/>
          <w:szCs w:val="22"/>
        </w:rPr>
        <w:t xml:space="preserve"> are</w:t>
      </w:r>
      <w:r w:rsidR="00476245" w:rsidRPr="00D37E3F">
        <w:rPr>
          <w:rFonts w:asciiTheme="minorHAnsi" w:eastAsiaTheme="minorHAnsi" w:hAnsiTheme="minorHAnsi" w:cstheme="minorBidi"/>
          <w:snapToGrid/>
          <w:sz w:val="24"/>
          <w:szCs w:val="22"/>
        </w:rPr>
        <w:t xml:space="preserve"> registered </w:t>
      </w:r>
      <w:r w:rsidR="00381DCE" w:rsidRPr="00D37E3F">
        <w:rPr>
          <w:rFonts w:asciiTheme="minorHAnsi" w:eastAsiaTheme="minorHAnsi" w:hAnsiTheme="minorHAnsi" w:cstheme="minorBidi"/>
          <w:snapToGrid/>
          <w:sz w:val="24"/>
          <w:szCs w:val="22"/>
        </w:rPr>
        <w:t xml:space="preserve">with the TGA </w:t>
      </w:r>
      <w:r w:rsidR="00515B4C" w:rsidRPr="00D37E3F">
        <w:rPr>
          <w:rFonts w:asciiTheme="minorHAnsi" w:eastAsiaTheme="minorHAnsi" w:hAnsiTheme="minorHAnsi" w:cstheme="minorBidi"/>
          <w:snapToGrid/>
          <w:sz w:val="24"/>
          <w:szCs w:val="22"/>
        </w:rPr>
        <w:t xml:space="preserve">for the following indications: </w:t>
      </w:r>
    </w:p>
    <w:p w:rsidR="00515B4C" w:rsidRPr="00D37E3F" w:rsidRDefault="00515B4C" w:rsidP="00E57863">
      <w:pPr>
        <w:pStyle w:val="ListParagraph"/>
        <w:widowControl/>
        <w:spacing w:before="120" w:after="120"/>
        <w:contextualSpacing w:val="0"/>
        <w:rPr>
          <w:rFonts w:asciiTheme="minorHAnsi" w:eastAsiaTheme="minorHAnsi" w:hAnsiTheme="minorHAnsi" w:cstheme="minorBidi"/>
          <w:snapToGrid/>
          <w:sz w:val="24"/>
          <w:szCs w:val="22"/>
        </w:rPr>
      </w:pPr>
      <w:r w:rsidRPr="00D37E3F">
        <w:rPr>
          <w:rFonts w:asciiTheme="minorHAnsi" w:eastAsiaTheme="minorHAnsi" w:hAnsiTheme="minorHAnsi" w:cstheme="minorBidi"/>
          <w:snapToGrid/>
          <w:sz w:val="24"/>
          <w:szCs w:val="22"/>
        </w:rPr>
        <w:t>(</w:t>
      </w:r>
      <w:proofErr w:type="spellStart"/>
      <w:r w:rsidRPr="00D37E3F">
        <w:rPr>
          <w:rFonts w:asciiTheme="minorHAnsi" w:eastAsiaTheme="minorHAnsi" w:hAnsiTheme="minorHAnsi" w:cstheme="minorBidi"/>
          <w:snapToGrid/>
          <w:sz w:val="24"/>
          <w:szCs w:val="22"/>
        </w:rPr>
        <w:t>i</w:t>
      </w:r>
      <w:proofErr w:type="spellEnd"/>
      <w:r w:rsidRPr="00D37E3F">
        <w:rPr>
          <w:rFonts w:asciiTheme="minorHAnsi" w:eastAsiaTheme="minorHAnsi" w:hAnsiTheme="minorHAnsi" w:cstheme="minorBidi"/>
          <w:snapToGrid/>
          <w:sz w:val="24"/>
          <w:szCs w:val="22"/>
        </w:rPr>
        <w:t>) relief of chronic pain unresponsive to non-narcotic analgesia;</w:t>
      </w:r>
    </w:p>
    <w:p w:rsidR="00515B4C" w:rsidRPr="00D37E3F" w:rsidRDefault="00515B4C" w:rsidP="00E57863">
      <w:pPr>
        <w:pStyle w:val="ListParagraph"/>
        <w:widowControl/>
        <w:spacing w:before="120" w:after="120"/>
        <w:contextualSpacing w:val="0"/>
        <w:rPr>
          <w:rFonts w:asciiTheme="minorHAnsi" w:eastAsiaTheme="minorHAnsi" w:hAnsiTheme="minorHAnsi" w:cstheme="minorBidi"/>
          <w:snapToGrid/>
          <w:sz w:val="24"/>
          <w:szCs w:val="22"/>
        </w:rPr>
      </w:pPr>
      <w:r w:rsidRPr="00D37E3F">
        <w:rPr>
          <w:rFonts w:asciiTheme="minorHAnsi" w:eastAsiaTheme="minorHAnsi" w:hAnsiTheme="minorHAnsi" w:cstheme="minorBidi"/>
          <w:snapToGrid/>
          <w:sz w:val="24"/>
          <w:szCs w:val="22"/>
        </w:rPr>
        <w:t xml:space="preserve">(ii) </w:t>
      </w:r>
      <w:r w:rsidR="00A4630E" w:rsidRPr="00D37E3F">
        <w:rPr>
          <w:rFonts w:asciiTheme="minorHAnsi" w:eastAsiaTheme="minorHAnsi" w:hAnsiTheme="minorHAnsi" w:cstheme="minorBidi"/>
          <w:snapToGrid/>
          <w:sz w:val="24"/>
          <w:szCs w:val="22"/>
        </w:rPr>
        <w:t xml:space="preserve">symptomatic reduction of </w:t>
      </w:r>
      <w:r w:rsidRPr="00D37E3F">
        <w:rPr>
          <w:rFonts w:asciiTheme="minorHAnsi" w:eastAsiaTheme="minorHAnsi" w:hAnsiTheme="minorHAnsi" w:cstheme="minorBidi"/>
          <w:snapToGrid/>
          <w:sz w:val="24"/>
          <w:szCs w:val="22"/>
        </w:rPr>
        <w:t>chronic breathlessness</w:t>
      </w:r>
      <w:r w:rsidR="00A4630E" w:rsidRPr="00D37E3F">
        <w:rPr>
          <w:rFonts w:asciiTheme="minorHAnsi" w:eastAsiaTheme="minorHAnsi" w:hAnsiTheme="minorHAnsi" w:cstheme="minorBidi"/>
          <w:snapToGrid/>
          <w:sz w:val="24"/>
          <w:szCs w:val="22"/>
        </w:rPr>
        <w:t xml:space="preserve"> for patients in palliative care with distressing breathlessness due to severe chronic obstructive pulmonary disease</w:t>
      </w:r>
      <w:r w:rsidR="00DA765D" w:rsidRPr="00D37E3F">
        <w:rPr>
          <w:rFonts w:asciiTheme="minorHAnsi" w:eastAsiaTheme="minorHAnsi" w:hAnsiTheme="minorHAnsi" w:cstheme="minorBidi"/>
          <w:snapToGrid/>
          <w:sz w:val="24"/>
          <w:szCs w:val="22"/>
        </w:rPr>
        <w:t xml:space="preserve"> (COPD)</w:t>
      </w:r>
      <w:r w:rsidR="00A4630E" w:rsidRPr="00D37E3F">
        <w:rPr>
          <w:rFonts w:asciiTheme="minorHAnsi" w:eastAsiaTheme="minorHAnsi" w:hAnsiTheme="minorHAnsi" w:cstheme="minorBidi"/>
          <w:snapToGrid/>
          <w:sz w:val="24"/>
          <w:szCs w:val="22"/>
        </w:rPr>
        <w:t>, cardiac failure, malignancy or other cause.</w:t>
      </w:r>
    </w:p>
    <w:p w:rsidR="006A12A5" w:rsidRPr="00D37E3F" w:rsidRDefault="00B32D75" w:rsidP="00E57863">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D37E3F">
        <w:rPr>
          <w:rFonts w:asciiTheme="minorHAnsi" w:eastAsiaTheme="minorHAnsi" w:hAnsiTheme="minorHAnsi" w:cstheme="minorBidi"/>
          <w:snapToGrid/>
          <w:sz w:val="24"/>
          <w:szCs w:val="22"/>
        </w:rPr>
        <w:t>The PBAC ha</w:t>
      </w:r>
      <w:r w:rsidR="00D25213" w:rsidRPr="00D37E3F">
        <w:rPr>
          <w:rFonts w:asciiTheme="minorHAnsi" w:eastAsiaTheme="minorHAnsi" w:hAnsiTheme="minorHAnsi" w:cstheme="minorBidi"/>
          <w:snapToGrid/>
          <w:sz w:val="24"/>
          <w:szCs w:val="22"/>
        </w:rPr>
        <w:t>s</w:t>
      </w:r>
      <w:r w:rsidRPr="00D37E3F">
        <w:rPr>
          <w:rFonts w:asciiTheme="minorHAnsi" w:eastAsiaTheme="minorHAnsi" w:hAnsiTheme="minorHAnsi" w:cstheme="minorBidi"/>
          <w:snapToGrid/>
          <w:sz w:val="24"/>
          <w:szCs w:val="22"/>
        </w:rPr>
        <w:t xml:space="preserve"> not p</w:t>
      </w:r>
      <w:r w:rsidR="006A12A5" w:rsidRPr="00D37E3F">
        <w:rPr>
          <w:rFonts w:asciiTheme="minorHAnsi" w:eastAsiaTheme="minorHAnsi" w:hAnsiTheme="minorHAnsi" w:cstheme="minorBidi"/>
          <w:snapToGrid/>
          <w:sz w:val="24"/>
          <w:szCs w:val="22"/>
        </w:rPr>
        <w:t>reviously</w:t>
      </w:r>
      <w:r w:rsidRPr="00D37E3F">
        <w:rPr>
          <w:rFonts w:asciiTheme="minorHAnsi" w:eastAsiaTheme="minorHAnsi" w:hAnsiTheme="minorHAnsi" w:cstheme="minorBidi"/>
          <w:snapToGrid/>
          <w:sz w:val="24"/>
          <w:szCs w:val="22"/>
        </w:rPr>
        <w:t xml:space="preserve"> considered morphine for chronic breathlessness</w:t>
      </w:r>
      <w:r w:rsidR="00DE40DF" w:rsidRPr="00D37E3F">
        <w:rPr>
          <w:rFonts w:asciiTheme="minorHAnsi" w:eastAsiaTheme="minorHAnsi" w:hAnsiTheme="minorHAnsi" w:cstheme="minorBidi"/>
          <w:snapToGrid/>
          <w:sz w:val="24"/>
          <w:szCs w:val="22"/>
        </w:rPr>
        <w:t>.</w:t>
      </w:r>
    </w:p>
    <w:p w:rsidR="00DE40DF" w:rsidRPr="00D37E3F" w:rsidRDefault="00DE40DF" w:rsidP="00E57863">
      <w:pPr>
        <w:pStyle w:val="ListParagraph"/>
        <w:widowControl/>
        <w:spacing w:after="120"/>
        <w:contextualSpacing w:val="0"/>
        <w:rPr>
          <w:rFonts w:asciiTheme="minorHAnsi" w:eastAsiaTheme="minorHAnsi" w:hAnsiTheme="minorHAnsi" w:cstheme="minorBidi"/>
          <w:i/>
          <w:snapToGrid/>
          <w:sz w:val="24"/>
          <w:szCs w:val="22"/>
        </w:rPr>
      </w:pPr>
      <w:r w:rsidRPr="00D37E3F">
        <w:rPr>
          <w:rFonts w:asciiTheme="minorHAnsi" w:eastAsiaTheme="minorHAnsi" w:hAnsiTheme="minorHAnsi" w:cstheme="minorBidi"/>
          <w:i/>
          <w:snapToGrid/>
          <w:sz w:val="24"/>
          <w:szCs w:val="22"/>
        </w:rPr>
        <w:t xml:space="preserve">For more detail on PBAC’s view, see section </w:t>
      </w:r>
      <w:r w:rsidR="00AB58AF" w:rsidRPr="00D37E3F">
        <w:rPr>
          <w:rFonts w:asciiTheme="minorHAnsi" w:eastAsiaTheme="minorHAnsi" w:hAnsiTheme="minorHAnsi" w:cstheme="minorBidi"/>
          <w:i/>
          <w:snapToGrid/>
          <w:sz w:val="24"/>
          <w:szCs w:val="22"/>
        </w:rPr>
        <w:t>6</w:t>
      </w:r>
      <w:r w:rsidRPr="00D37E3F">
        <w:rPr>
          <w:rFonts w:asciiTheme="minorHAnsi" w:eastAsiaTheme="minorHAnsi" w:hAnsiTheme="minorHAnsi" w:cstheme="minorBidi"/>
          <w:i/>
          <w:snapToGrid/>
          <w:sz w:val="24"/>
          <w:szCs w:val="22"/>
        </w:rPr>
        <w:t xml:space="preserve"> PBAC outcome.</w:t>
      </w:r>
    </w:p>
    <w:p w:rsidR="00CE10C4" w:rsidRPr="00D37E3F" w:rsidRDefault="006436CD" w:rsidP="00E57863">
      <w:pPr>
        <w:pStyle w:val="PBACHeading1"/>
        <w:spacing w:before="240" w:after="120"/>
        <w:ind w:left="709" w:hanging="709"/>
        <w:rPr>
          <w:rFonts w:asciiTheme="minorHAnsi" w:hAnsiTheme="minorHAnsi"/>
          <w:sz w:val="32"/>
          <w:szCs w:val="32"/>
        </w:rPr>
      </w:pPr>
      <w:r w:rsidRPr="00D37E3F">
        <w:rPr>
          <w:rFonts w:asciiTheme="minorHAnsi" w:hAnsiTheme="minorHAnsi"/>
          <w:sz w:val="32"/>
          <w:szCs w:val="32"/>
        </w:rPr>
        <w:t xml:space="preserve">Population and disease </w:t>
      </w:r>
    </w:p>
    <w:p w:rsidR="00C23195" w:rsidRPr="00D37E3F" w:rsidRDefault="00C23195" w:rsidP="00E57863">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D37E3F">
        <w:rPr>
          <w:rFonts w:asciiTheme="minorHAnsi" w:eastAsiaTheme="minorHAnsi" w:hAnsiTheme="minorHAnsi" w:cstheme="minorBidi"/>
          <w:snapToGrid/>
          <w:sz w:val="24"/>
          <w:szCs w:val="22"/>
        </w:rPr>
        <w:t>Breathlessness</w:t>
      </w:r>
      <w:r w:rsidR="00632949" w:rsidRPr="00D37E3F">
        <w:rPr>
          <w:rFonts w:asciiTheme="minorHAnsi" w:eastAsiaTheme="minorHAnsi" w:hAnsiTheme="minorHAnsi" w:cstheme="minorBidi"/>
          <w:snapToGrid/>
          <w:sz w:val="24"/>
          <w:szCs w:val="22"/>
        </w:rPr>
        <w:t xml:space="preserve"> (dyspnoea)</w:t>
      </w:r>
      <w:r w:rsidRPr="00D37E3F">
        <w:rPr>
          <w:rFonts w:asciiTheme="minorHAnsi" w:eastAsiaTheme="minorHAnsi" w:hAnsiTheme="minorHAnsi" w:cstheme="minorBidi"/>
          <w:snapToGrid/>
          <w:sz w:val="24"/>
          <w:szCs w:val="22"/>
        </w:rPr>
        <w:t xml:space="preserve"> is a common and disabling </w:t>
      </w:r>
      <w:r w:rsidR="00D37E3F" w:rsidRPr="00D37E3F">
        <w:rPr>
          <w:rFonts w:asciiTheme="minorHAnsi" w:eastAsiaTheme="minorHAnsi" w:hAnsiTheme="minorHAnsi" w:cstheme="minorBidi"/>
          <w:snapToGrid/>
          <w:sz w:val="24"/>
          <w:szCs w:val="22"/>
        </w:rPr>
        <w:t>symptom that</w:t>
      </w:r>
      <w:r w:rsidRPr="00D37E3F">
        <w:rPr>
          <w:rFonts w:asciiTheme="minorHAnsi" w:eastAsiaTheme="minorHAnsi" w:hAnsiTheme="minorHAnsi" w:cstheme="minorBidi"/>
          <w:snapToGrid/>
          <w:sz w:val="24"/>
          <w:szCs w:val="22"/>
        </w:rPr>
        <w:t xml:space="preserve"> affects many people with advanced cardiorespiratory disease, such as severe </w:t>
      </w:r>
      <w:r w:rsidR="00D25213" w:rsidRPr="00D37E3F">
        <w:rPr>
          <w:rFonts w:asciiTheme="minorHAnsi" w:eastAsiaTheme="minorHAnsi" w:hAnsiTheme="minorHAnsi" w:cstheme="minorBidi"/>
          <w:snapToGrid/>
          <w:sz w:val="24"/>
          <w:szCs w:val="22"/>
        </w:rPr>
        <w:t>c</w:t>
      </w:r>
      <w:r w:rsidRPr="00D37E3F">
        <w:rPr>
          <w:rFonts w:asciiTheme="minorHAnsi" w:eastAsiaTheme="minorHAnsi" w:hAnsiTheme="minorHAnsi" w:cstheme="minorBidi"/>
          <w:snapToGrid/>
          <w:sz w:val="24"/>
          <w:szCs w:val="22"/>
        </w:rPr>
        <w:t xml:space="preserve">hronic </w:t>
      </w:r>
      <w:r w:rsidR="00D25213" w:rsidRPr="00D37E3F">
        <w:rPr>
          <w:rFonts w:asciiTheme="minorHAnsi" w:eastAsiaTheme="minorHAnsi" w:hAnsiTheme="minorHAnsi" w:cstheme="minorBidi"/>
          <w:snapToGrid/>
          <w:sz w:val="24"/>
          <w:szCs w:val="22"/>
        </w:rPr>
        <w:t>o</w:t>
      </w:r>
      <w:r w:rsidRPr="00D37E3F">
        <w:rPr>
          <w:rFonts w:asciiTheme="minorHAnsi" w:eastAsiaTheme="minorHAnsi" w:hAnsiTheme="minorHAnsi" w:cstheme="minorBidi"/>
          <w:snapToGrid/>
          <w:sz w:val="24"/>
          <w:szCs w:val="22"/>
        </w:rPr>
        <w:t xml:space="preserve">bstructive </w:t>
      </w:r>
      <w:r w:rsidR="00D25213" w:rsidRPr="00D37E3F">
        <w:rPr>
          <w:rFonts w:asciiTheme="minorHAnsi" w:eastAsiaTheme="minorHAnsi" w:hAnsiTheme="minorHAnsi" w:cstheme="minorBidi"/>
          <w:snapToGrid/>
          <w:sz w:val="24"/>
          <w:szCs w:val="22"/>
        </w:rPr>
        <w:t>p</w:t>
      </w:r>
      <w:r w:rsidRPr="00D37E3F">
        <w:rPr>
          <w:rFonts w:asciiTheme="minorHAnsi" w:eastAsiaTheme="minorHAnsi" w:hAnsiTheme="minorHAnsi" w:cstheme="minorBidi"/>
          <w:snapToGrid/>
          <w:sz w:val="24"/>
          <w:szCs w:val="22"/>
        </w:rPr>
        <w:t xml:space="preserve">ulmonary </w:t>
      </w:r>
      <w:r w:rsidR="00D25213" w:rsidRPr="00D37E3F">
        <w:rPr>
          <w:rFonts w:asciiTheme="minorHAnsi" w:eastAsiaTheme="minorHAnsi" w:hAnsiTheme="minorHAnsi" w:cstheme="minorBidi"/>
          <w:snapToGrid/>
          <w:sz w:val="24"/>
          <w:szCs w:val="22"/>
        </w:rPr>
        <w:t>d</w:t>
      </w:r>
      <w:r w:rsidRPr="00D37E3F">
        <w:rPr>
          <w:rFonts w:asciiTheme="minorHAnsi" w:eastAsiaTheme="minorHAnsi" w:hAnsiTheme="minorHAnsi" w:cstheme="minorBidi"/>
          <w:snapToGrid/>
          <w:sz w:val="24"/>
          <w:szCs w:val="22"/>
        </w:rPr>
        <w:t>isease</w:t>
      </w:r>
      <w:r w:rsidR="00FD6604" w:rsidRPr="00D37E3F">
        <w:rPr>
          <w:rFonts w:asciiTheme="minorHAnsi" w:eastAsiaTheme="minorHAnsi" w:hAnsiTheme="minorHAnsi" w:cstheme="minorBidi"/>
          <w:snapToGrid/>
          <w:sz w:val="24"/>
          <w:szCs w:val="22"/>
        </w:rPr>
        <w:t xml:space="preserve"> (COPD)</w:t>
      </w:r>
      <w:r w:rsidRPr="00D37E3F">
        <w:rPr>
          <w:rFonts w:asciiTheme="minorHAnsi" w:eastAsiaTheme="minorHAnsi" w:hAnsiTheme="minorHAnsi" w:cstheme="minorBidi"/>
          <w:snapToGrid/>
          <w:sz w:val="24"/>
          <w:szCs w:val="22"/>
        </w:rPr>
        <w:t>, chronic heart failure</w:t>
      </w:r>
      <w:r w:rsidR="00C1085D" w:rsidRPr="00D37E3F">
        <w:rPr>
          <w:rFonts w:asciiTheme="minorHAnsi" w:eastAsiaTheme="minorHAnsi" w:hAnsiTheme="minorHAnsi" w:cstheme="minorBidi"/>
          <w:snapToGrid/>
          <w:sz w:val="24"/>
          <w:szCs w:val="22"/>
        </w:rPr>
        <w:t>,</w:t>
      </w:r>
      <w:r w:rsidRPr="00D37E3F">
        <w:rPr>
          <w:rFonts w:asciiTheme="minorHAnsi" w:eastAsiaTheme="minorHAnsi" w:hAnsiTheme="minorHAnsi" w:cstheme="minorBidi"/>
          <w:snapToGrid/>
          <w:sz w:val="24"/>
          <w:szCs w:val="22"/>
        </w:rPr>
        <w:t xml:space="preserve"> interstitial lung disease, renal </w:t>
      </w:r>
      <w:r w:rsidRPr="00D37E3F">
        <w:rPr>
          <w:rFonts w:asciiTheme="minorHAnsi" w:eastAsiaTheme="minorHAnsi" w:hAnsiTheme="minorHAnsi" w:cstheme="minorBidi"/>
          <w:snapToGrid/>
          <w:sz w:val="24"/>
          <w:szCs w:val="22"/>
        </w:rPr>
        <w:lastRenderedPageBreak/>
        <w:t>disease and cancer. Symptomatic treatment is often required in addition to treating the underlying disease</w:t>
      </w:r>
      <w:r w:rsidR="009250C4" w:rsidRPr="00D37E3F">
        <w:rPr>
          <w:rStyle w:val="FootnoteReference"/>
          <w:rFonts w:asciiTheme="minorHAnsi" w:eastAsiaTheme="minorHAnsi" w:hAnsiTheme="minorHAnsi" w:cstheme="minorBidi"/>
          <w:snapToGrid/>
          <w:sz w:val="24"/>
          <w:szCs w:val="22"/>
        </w:rPr>
        <w:footnoteReference w:id="1"/>
      </w:r>
      <w:r w:rsidRPr="00D37E3F">
        <w:rPr>
          <w:rFonts w:asciiTheme="minorHAnsi" w:eastAsiaTheme="minorHAnsi" w:hAnsiTheme="minorHAnsi" w:cstheme="minorBidi"/>
          <w:snapToGrid/>
          <w:sz w:val="24"/>
          <w:szCs w:val="22"/>
        </w:rPr>
        <w:t xml:space="preserve">. </w:t>
      </w:r>
    </w:p>
    <w:p w:rsidR="00CD49CE" w:rsidRPr="00D37E3F" w:rsidRDefault="00CD49CE" w:rsidP="00E57863">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D37E3F">
        <w:rPr>
          <w:rFonts w:asciiTheme="minorHAnsi" w:eastAsiaTheme="minorHAnsi" w:hAnsiTheme="minorHAnsi" w:cstheme="minorBidi"/>
          <w:snapToGrid/>
          <w:sz w:val="24"/>
          <w:szCs w:val="22"/>
        </w:rPr>
        <w:t>There are many different reasons for breathlessness being associated with advanced chronic conditions and cancer. Irrespective of the cause</w:t>
      </w:r>
      <w:r w:rsidR="00C1085D" w:rsidRPr="00D37E3F">
        <w:rPr>
          <w:rFonts w:asciiTheme="minorHAnsi" w:eastAsiaTheme="minorHAnsi" w:hAnsiTheme="minorHAnsi" w:cstheme="minorBidi"/>
          <w:snapToGrid/>
          <w:sz w:val="24"/>
          <w:szCs w:val="22"/>
        </w:rPr>
        <w:t>,</w:t>
      </w:r>
      <w:r w:rsidRPr="00D37E3F">
        <w:rPr>
          <w:rFonts w:asciiTheme="minorHAnsi" w:eastAsiaTheme="minorHAnsi" w:hAnsiTheme="minorHAnsi" w:cstheme="minorBidi"/>
          <w:snapToGrid/>
          <w:sz w:val="24"/>
          <w:szCs w:val="22"/>
        </w:rPr>
        <w:t xml:space="preserve"> breathlessness is a disabling and distressing condition for patients at the end stages of their illness and for their carers. Patients and carers report the symptoms are as concerning as delirium, nausea and pain</w:t>
      </w:r>
      <w:r w:rsidRPr="00D37E3F">
        <w:rPr>
          <w:rStyle w:val="FootnoteReference"/>
          <w:rFonts w:asciiTheme="minorHAnsi" w:eastAsiaTheme="minorHAnsi" w:hAnsiTheme="minorHAnsi" w:cstheme="minorBidi"/>
          <w:snapToGrid/>
          <w:sz w:val="24"/>
          <w:szCs w:val="22"/>
        </w:rPr>
        <w:footnoteReference w:id="2"/>
      </w:r>
      <w:r w:rsidRPr="00D37E3F">
        <w:rPr>
          <w:rFonts w:asciiTheme="minorHAnsi" w:eastAsiaTheme="minorHAnsi" w:hAnsiTheme="minorHAnsi" w:cstheme="minorBidi"/>
          <w:snapToGrid/>
          <w:sz w:val="24"/>
          <w:szCs w:val="22"/>
        </w:rPr>
        <w:t xml:space="preserve">. </w:t>
      </w:r>
    </w:p>
    <w:p w:rsidR="00DE40DF" w:rsidRPr="00D37E3F" w:rsidRDefault="00DA765D" w:rsidP="00E57863">
      <w:pPr>
        <w:pStyle w:val="ListParagraph"/>
        <w:widowControl/>
        <w:numPr>
          <w:ilvl w:val="1"/>
          <w:numId w:val="14"/>
        </w:numPr>
        <w:spacing w:before="120" w:after="120"/>
        <w:contextualSpacing w:val="0"/>
        <w:rPr>
          <w:rFonts w:asciiTheme="minorHAnsi" w:eastAsiaTheme="minorHAnsi" w:hAnsiTheme="minorHAnsi" w:cstheme="minorBidi"/>
          <w:i/>
          <w:snapToGrid/>
          <w:sz w:val="24"/>
          <w:szCs w:val="22"/>
        </w:rPr>
      </w:pPr>
      <w:r w:rsidRPr="00D37E3F">
        <w:rPr>
          <w:rFonts w:asciiTheme="minorHAnsi" w:eastAsiaTheme="minorHAnsi" w:hAnsiTheme="minorHAnsi" w:cstheme="minorBidi"/>
          <w:snapToGrid/>
          <w:sz w:val="24"/>
          <w:szCs w:val="22"/>
        </w:rPr>
        <w:t xml:space="preserve">The </w:t>
      </w:r>
      <w:r w:rsidR="003E64ED" w:rsidRPr="00D37E3F">
        <w:rPr>
          <w:rFonts w:asciiTheme="minorHAnsi" w:eastAsiaTheme="minorHAnsi" w:hAnsiTheme="minorHAnsi" w:cstheme="minorBidi"/>
          <w:snapToGrid/>
          <w:sz w:val="24"/>
          <w:szCs w:val="22"/>
        </w:rPr>
        <w:t>prevalence</w:t>
      </w:r>
      <w:r w:rsidRPr="00D37E3F">
        <w:rPr>
          <w:rFonts w:asciiTheme="minorHAnsi" w:eastAsiaTheme="minorHAnsi" w:hAnsiTheme="minorHAnsi" w:cstheme="minorBidi"/>
          <w:snapToGrid/>
          <w:sz w:val="24"/>
          <w:szCs w:val="22"/>
        </w:rPr>
        <w:t xml:space="preserve"> of chronic </w:t>
      </w:r>
      <w:r w:rsidR="003E64ED" w:rsidRPr="00D37E3F">
        <w:rPr>
          <w:rFonts w:asciiTheme="minorHAnsi" w:eastAsiaTheme="minorHAnsi" w:hAnsiTheme="minorHAnsi" w:cstheme="minorBidi"/>
          <w:snapToGrid/>
          <w:sz w:val="24"/>
          <w:szCs w:val="22"/>
        </w:rPr>
        <w:t>breathlessness</w:t>
      </w:r>
      <w:r w:rsidRPr="00D37E3F">
        <w:rPr>
          <w:rFonts w:asciiTheme="minorHAnsi" w:eastAsiaTheme="minorHAnsi" w:hAnsiTheme="minorHAnsi" w:cstheme="minorBidi"/>
          <w:snapToGrid/>
          <w:sz w:val="24"/>
          <w:szCs w:val="22"/>
        </w:rPr>
        <w:t xml:space="preserve"> </w:t>
      </w:r>
      <w:r w:rsidR="00B668DB" w:rsidRPr="00D37E3F">
        <w:rPr>
          <w:rFonts w:asciiTheme="minorHAnsi" w:eastAsiaTheme="minorHAnsi" w:hAnsiTheme="minorHAnsi" w:cstheme="minorBidi"/>
          <w:snapToGrid/>
          <w:sz w:val="24"/>
          <w:szCs w:val="22"/>
        </w:rPr>
        <w:t xml:space="preserve">was </w:t>
      </w:r>
      <w:r w:rsidR="003E64ED" w:rsidRPr="00D37E3F">
        <w:rPr>
          <w:rFonts w:asciiTheme="minorHAnsi" w:eastAsiaTheme="minorHAnsi" w:hAnsiTheme="minorHAnsi" w:cstheme="minorBidi"/>
          <w:snapToGrid/>
          <w:sz w:val="24"/>
          <w:szCs w:val="22"/>
        </w:rPr>
        <w:t xml:space="preserve">reported to be high </w:t>
      </w:r>
      <w:r w:rsidR="000F26B6" w:rsidRPr="00D37E3F">
        <w:rPr>
          <w:rFonts w:asciiTheme="minorHAnsi" w:eastAsiaTheme="minorHAnsi" w:hAnsiTheme="minorHAnsi" w:cstheme="minorBidi"/>
          <w:snapToGrid/>
          <w:sz w:val="24"/>
          <w:szCs w:val="22"/>
        </w:rPr>
        <w:t xml:space="preserve">when patients are in </w:t>
      </w:r>
      <w:r w:rsidR="003E64ED" w:rsidRPr="00D37E3F">
        <w:rPr>
          <w:rFonts w:asciiTheme="minorHAnsi" w:eastAsiaTheme="minorHAnsi" w:hAnsiTheme="minorHAnsi" w:cstheme="minorBidi"/>
          <w:snapToGrid/>
          <w:sz w:val="24"/>
          <w:szCs w:val="22"/>
        </w:rPr>
        <w:t xml:space="preserve">advanced </w:t>
      </w:r>
      <w:r w:rsidR="000F26B6" w:rsidRPr="00D37E3F">
        <w:rPr>
          <w:rFonts w:asciiTheme="minorHAnsi" w:eastAsiaTheme="minorHAnsi" w:hAnsiTheme="minorHAnsi" w:cstheme="minorBidi"/>
          <w:snapToGrid/>
          <w:sz w:val="24"/>
          <w:szCs w:val="22"/>
        </w:rPr>
        <w:t xml:space="preserve">stages </w:t>
      </w:r>
      <w:r w:rsidR="00B91169" w:rsidRPr="00D37E3F">
        <w:rPr>
          <w:rFonts w:asciiTheme="minorHAnsi" w:eastAsiaTheme="minorHAnsi" w:hAnsiTheme="minorHAnsi" w:cstheme="minorBidi"/>
          <w:snapToGrid/>
          <w:sz w:val="24"/>
          <w:szCs w:val="22"/>
        </w:rPr>
        <w:t xml:space="preserve">of disease </w:t>
      </w:r>
      <w:r w:rsidR="000F26B6" w:rsidRPr="00D37E3F">
        <w:rPr>
          <w:rFonts w:asciiTheme="minorHAnsi" w:eastAsiaTheme="minorHAnsi" w:hAnsiTheme="minorHAnsi" w:cstheme="minorBidi"/>
          <w:snapToGrid/>
          <w:sz w:val="24"/>
          <w:szCs w:val="22"/>
        </w:rPr>
        <w:t>or in</w:t>
      </w:r>
      <w:r w:rsidR="003E64ED" w:rsidRPr="00D37E3F">
        <w:rPr>
          <w:rFonts w:asciiTheme="minorHAnsi" w:eastAsiaTheme="minorHAnsi" w:hAnsiTheme="minorHAnsi" w:cstheme="minorBidi"/>
          <w:snapToGrid/>
          <w:sz w:val="24"/>
          <w:szCs w:val="22"/>
        </w:rPr>
        <w:t xml:space="preserve"> terminal disease. The condition intensifies as the underlying disease progresses </w:t>
      </w:r>
      <w:r w:rsidR="00876E95" w:rsidRPr="00D37E3F">
        <w:rPr>
          <w:rFonts w:asciiTheme="minorHAnsi" w:eastAsiaTheme="minorHAnsi" w:hAnsiTheme="minorHAnsi" w:cstheme="minorBidi"/>
          <w:snapToGrid/>
          <w:sz w:val="24"/>
          <w:szCs w:val="22"/>
        </w:rPr>
        <w:t>and its</w:t>
      </w:r>
      <w:r w:rsidR="003E64ED" w:rsidRPr="00D37E3F">
        <w:rPr>
          <w:rFonts w:asciiTheme="minorHAnsi" w:eastAsiaTheme="minorHAnsi" w:hAnsiTheme="minorHAnsi" w:cstheme="minorBidi"/>
          <w:snapToGrid/>
          <w:sz w:val="24"/>
          <w:szCs w:val="22"/>
        </w:rPr>
        <w:t xml:space="preserve"> prevalence increases from 50 to 65% during the last months of life</w:t>
      </w:r>
      <w:r w:rsidR="003E64ED" w:rsidRPr="00D37E3F">
        <w:rPr>
          <w:rStyle w:val="FootnoteReference"/>
          <w:rFonts w:asciiTheme="minorHAnsi" w:eastAsiaTheme="minorHAnsi" w:hAnsiTheme="minorHAnsi" w:cstheme="minorBidi"/>
          <w:snapToGrid/>
          <w:sz w:val="24"/>
          <w:szCs w:val="22"/>
        </w:rPr>
        <w:footnoteReference w:id="3"/>
      </w:r>
      <w:r w:rsidR="003E64ED" w:rsidRPr="00D37E3F">
        <w:rPr>
          <w:rStyle w:val="FootnoteReference"/>
          <w:rFonts w:asciiTheme="minorHAnsi" w:eastAsiaTheme="minorHAnsi" w:hAnsiTheme="minorHAnsi" w:cstheme="minorBidi"/>
          <w:snapToGrid/>
          <w:sz w:val="24"/>
          <w:szCs w:val="22"/>
        </w:rPr>
        <w:footnoteReference w:id="4"/>
      </w:r>
      <w:r w:rsidR="003E64ED" w:rsidRPr="00D37E3F">
        <w:rPr>
          <w:rFonts w:asciiTheme="minorHAnsi" w:eastAsiaTheme="minorHAnsi" w:hAnsiTheme="minorHAnsi" w:cstheme="minorBidi"/>
          <w:snapToGrid/>
          <w:sz w:val="24"/>
          <w:szCs w:val="22"/>
        </w:rPr>
        <w:t>.</w:t>
      </w:r>
      <w:r w:rsidR="00B91169" w:rsidRPr="00D37E3F">
        <w:rPr>
          <w:rFonts w:asciiTheme="minorHAnsi" w:eastAsiaTheme="minorHAnsi" w:hAnsiTheme="minorHAnsi" w:cstheme="minorBidi"/>
          <w:snapToGrid/>
          <w:sz w:val="24"/>
          <w:szCs w:val="22"/>
        </w:rPr>
        <w:t xml:space="preserve"> </w:t>
      </w:r>
    </w:p>
    <w:p w:rsidR="00A4139D" w:rsidRPr="00D37E3F" w:rsidRDefault="008D7A41" w:rsidP="00DA5C40">
      <w:pPr>
        <w:pStyle w:val="PBACHeading1"/>
        <w:spacing w:before="240" w:after="120"/>
        <w:ind w:left="709" w:hanging="709"/>
        <w:rPr>
          <w:rFonts w:asciiTheme="minorHAnsi" w:hAnsiTheme="minorHAnsi"/>
          <w:sz w:val="32"/>
          <w:szCs w:val="32"/>
        </w:rPr>
      </w:pPr>
      <w:r w:rsidRPr="00D37E3F">
        <w:rPr>
          <w:rFonts w:asciiTheme="minorHAnsi" w:hAnsiTheme="minorHAnsi"/>
          <w:sz w:val="32"/>
          <w:szCs w:val="32"/>
        </w:rPr>
        <w:t>C</w:t>
      </w:r>
      <w:r w:rsidR="00D84934" w:rsidRPr="00D37E3F">
        <w:rPr>
          <w:rFonts w:asciiTheme="minorHAnsi" w:hAnsiTheme="minorHAnsi"/>
          <w:sz w:val="32"/>
          <w:szCs w:val="32"/>
        </w:rPr>
        <w:t>onsideration of the evidence</w:t>
      </w:r>
    </w:p>
    <w:p w:rsidR="00DF0496" w:rsidRPr="00D37E3F" w:rsidRDefault="00DF0496" w:rsidP="00E57863">
      <w:pPr>
        <w:spacing w:before="240" w:after="120"/>
        <w:jc w:val="both"/>
        <w:outlineLvl w:val="1"/>
        <w:rPr>
          <w:rFonts w:asciiTheme="minorHAnsi" w:hAnsiTheme="minorHAnsi" w:cs="Arial"/>
          <w:b/>
          <w:bCs/>
          <w:i/>
          <w:snapToGrid w:val="0"/>
          <w:sz w:val="28"/>
          <w:szCs w:val="28"/>
        </w:rPr>
      </w:pPr>
      <w:r w:rsidRPr="00D37E3F">
        <w:rPr>
          <w:rFonts w:asciiTheme="minorHAnsi" w:hAnsiTheme="minorHAnsi" w:cs="Arial"/>
          <w:b/>
          <w:bCs/>
          <w:i/>
          <w:snapToGrid w:val="0"/>
          <w:sz w:val="28"/>
          <w:szCs w:val="28"/>
        </w:rPr>
        <w:t>Sponsor hearing</w:t>
      </w:r>
    </w:p>
    <w:p w:rsidR="00DF0496" w:rsidRPr="00D37E3F" w:rsidRDefault="00DF0496" w:rsidP="00E57863">
      <w:pPr>
        <w:numPr>
          <w:ilvl w:val="1"/>
          <w:numId w:val="5"/>
        </w:numPr>
        <w:spacing w:after="120"/>
        <w:jc w:val="both"/>
        <w:rPr>
          <w:rFonts w:asciiTheme="minorHAnsi" w:hAnsiTheme="minorHAnsi" w:cs="Arial"/>
          <w:bCs/>
          <w:snapToGrid w:val="0"/>
        </w:rPr>
      </w:pPr>
      <w:r w:rsidRPr="00D37E3F">
        <w:rPr>
          <w:rFonts w:asciiTheme="minorHAnsi" w:hAnsiTheme="minorHAnsi" w:cs="Arial"/>
          <w:bCs/>
          <w:snapToGrid w:val="0"/>
        </w:rPr>
        <w:t xml:space="preserve"> There was no hearing for this item as it was a minor submission.</w:t>
      </w:r>
    </w:p>
    <w:p w:rsidR="00DF0496" w:rsidRPr="00D37E3F" w:rsidRDefault="00DF0496" w:rsidP="00E57863">
      <w:pPr>
        <w:spacing w:before="240" w:after="120"/>
        <w:jc w:val="both"/>
        <w:outlineLvl w:val="1"/>
        <w:rPr>
          <w:rFonts w:asciiTheme="minorHAnsi" w:hAnsiTheme="minorHAnsi" w:cs="Arial"/>
          <w:b/>
          <w:bCs/>
          <w:i/>
          <w:snapToGrid w:val="0"/>
          <w:sz w:val="28"/>
          <w:szCs w:val="28"/>
        </w:rPr>
      </w:pPr>
      <w:r w:rsidRPr="00D37E3F">
        <w:rPr>
          <w:rFonts w:asciiTheme="minorHAnsi" w:hAnsiTheme="minorHAnsi" w:cs="Arial"/>
          <w:b/>
          <w:bCs/>
          <w:i/>
          <w:snapToGrid w:val="0"/>
          <w:sz w:val="28"/>
          <w:szCs w:val="28"/>
        </w:rPr>
        <w:t>Consumer comments</w:t>
      </w:r>
    </w:p>
    <w:p w:rsidR="00DF0496" w:rsidRPr="00D37E3F" w:rsidRDefault="00DF0496" w:rsidP="00E57863">
      <w:pPr>
        <w:numPr>
          <w:ilvl w:val="1"/>
          <w:numId w:val="5"/>
        </w:numPr>
        <w:spacing w:after="120"/>
        <w:jc w:val="both"/>
        <w:rPr>
          <w:rFonts w:asciiTheme="minorHAnsi" w:hAnsiTheme="minorHAnsi" w:cs="Arial"/>
          <w:bCs/>
          <w:snapToGrid w:val="0"/>
        </w:rPr>
      </w:pPr>
      <w:r w:rsidRPr="00D37E3F">
        <w:rPr>
          <w:rFonts w:asciiTheme="minorHAnsi" w:hAnsiTheme="minorHAnsi" w:cs="Arial"/>
          <w:bCs/>
          <w:snapToGrid w:val="0"/>
        </w:rPr>
        <w:t>The PBAC noted that no consumer comments were received for this item.</w:t>
      </w:r>
    </w:p>
    <w:p w:rsidR="00752DD0" w:rsidRPr="00D37E3F" w:rsidRDefault="00752DD0" w:rsidP="00E57863">
      <w:pPr>
        <w:widowControl w:val="0"/>
        <w:spacing w:after="120"/>
        <w:jc w:val="both"/>
        <w:outlineLvl w:val="1"/>
        <w:rPr>
          <w:rFonts w:ascii="Calibri" w:hAnsi="Calibri" w:cs="Arial"/>
          <w:b/>
          <w:i/>
          <w:snapToGrid w:val="0"/>
          <w:sz w:val="28"/>
          <w:szCs w:val="22"/>
          <w:lang w:eastAsia="en-US"/>
        </w:rPr>
      </w:pPr>
      <w:bookmarkStart w:id="2" w:name="_Toc532242980"/>
      <w:bookmarkStart w:id="3" w:name="_Toc532243182"/>
      <w:bookmarkStart w:id="4" w:name="_Toc535854572"/>
      <w:r w:rsidRPr="00D37E3F">
        <w:rPr>
          <w:rFonts w:ascii="Calibri" w:hAnsi="Calibri" w:cs="Arial"/>
          <w:b/>
          <w:i/>
          <w:snapToGrid w:val="0"/>
          <w:sz w:val="28"/>
          <w:szCs w:val="22"/>
          <w:lang w:eastAsia="en-US"/>
        </w:rPr>
        <w:t xml:space="preserve">Clinical </w:t>
      </w:r>
      <w:bookmarkEnd w:id="2"/>
      <w:bookmarkEnd w:id="3"/>
      <w:bookmarkEnd w:id="4"/>
      <w:r w:rsidRPr="00D37E3F">
        <w:rPr>
          <w:rFonts w:ascii="Calibri" w:hAnsi="Calibri" w:cs="Arial"/>
          <w:b/>
          <w:i/>
          <w:snapToGrid w:val="0"/>
          <w:sz w:val="28"/>
          <w:szCs w:val="22"/>
          <w:lang w:eastAsia="en-US"/>
        </w:rPr>
        <w:t>evidence</w:t>
      </w:r>
    </w:p>
    <w:p w:rsidR="002204B2" w:rsidRDefault="00555EA5" w:rsidP="00E57863">
      <w:pPr>
        <w:pStyle w:val="ListParagraph"/>
        <w:spacing w:after="120"/>
        <w:rPr>
          <w:rFonts w:asciiTheme="minorHAnsi" w:hAnsiTheme="minorHAnsi" w:cstheme="minorHAnsi"/>
          <w:sz w:val="24"/>
          <w:szCs w:val="24"/>
        </w:rPr>
      </w:pPr>
      <w:r w:rsidRPr="00D37E3F">
        <w:rPr>
          <w:rFonts w:asciiTheme="minorHAnsi" w:hAnsiTheme="minorHAnsi" w:cstheme="minorHAnsi"/>
          <w:sz w:val="24"/>
          <w:szCs w:val="24"/>
        </w:rPr>
        <w:t xml:space="preserve">The minor submission outlined the clinical evidence considered by the </w:t>
      </w:r>
      <w:r w:rsidR="00A418E3" w:rsidRPr="00D37E3F">
        <w:rPr>
          <w:rFonts w:asciiTheme="minorHAnsi" w:hAnsiTheme="minorHAnsi" w:cstheme="minorHAnsi"/>
          <w:sz w:val="24"/>
          <w:szCs w:val="24"/>
        </w:rPr>
        <w:t>TGA</w:t>
      </w:r>
      <w:r w:rsidR="008D46B3" w:rsidRPr="00D37E3F">
        <w:rPr>
          <w:rFonts w:asciiTheme="minorHAnsi" w:hAnsiTheme="minorHAnsi" w:cstheme="minorHAnsi"/>
          <w:sz w:val="24"/>
          <w:szCs w:val="24"/>
        </w:rPr>
        <w:t>.</w:t>
      </w:r>
      <w:bookmarkStart w:id="5" w:name="_Toc503212786"/>
      <w:bookmarkStart w:id="6" w:name="_Toc512339656"/>
    </w:p>
    <w:p w:rsidR="002204B2" w:rsidRDefault="002204B2">
      <w:pPr>
        <w:rPr>
          <w:rFonts w:asciiTheme="minorHAnsi" w:hAnsiTheme="minorHAnsi" w:cstheme="minorHAnsi"/>
          <w:snapToGrid w:val="0"/>
          <w:lang w:eastAsia="en-US"/>
        </w:rPr>
      </w:pPr>
      <w:r>
        <w:rPr>
          <w:rFonts w:asciiTheme="minorHAnsi" w:hAnsiTheme="minorHAnsi" w:cstheme="minorHAnsi"/>
        </w:rPr>
        <w:br w:type="page"/>
      </w:r>
    </w:p>
    <w:p w:rsidR="00752DD0" w:rsidRPr="00DA5C40" w:rsidRDefault="00752DD0" w:rsidP="00DA5C40">
      <w:pPr>
        <w:rPr>
          <w:rFonts w:ascii="Arial Narrow" w:hAnsi="Arial Narrow"/>
          <w:b/>
          <w:bCs/>
          <w:sz w:val="20"/>
          <w:szCs w:val="16"/>
        </w:rPr>
      </w:pPr>
      <w:r w:rsidRPr="00DA5C40">
        <w:rPr>
          <w:rFonts w:ascii="Arial Narrow" w:hAnsi="Arial Narrow"/>
          <w:b/>
          <w:bCs/>
          <w:sz w:val="20"/>
          <w:szCs w:val="16"/>
        </w:rPr>
        <w:lastRenderedPageBreak/>
        <w:t>Table 1: Trials and associated reports presented in the submission</w:t>
      </w:r>
      <w:bookmarkEnd w:id="5"/>
      <w:bookmarkEnd w:id="6"/>
    </w:p>
    <w:tbl>
      <w:tblPr>
        <w:tblStyle w:val="TableGrid"/>
        <w:tblW w:w="5000" w:type="pct"/>
        <w:tblLook w:val="04A0" w:firstRow="1" w:lastRow="0" w:firstColumn="1" w:lastColumn="0" w:noHBand="0" w:noVBand="1"/>
        <w:tblCaption w:val="Table 1: Trials and associated reports presented in the submission"/>
      </w:tblPr>
      <w:tblGrid>
        <w:gridCol w:w="2126"/>
        <w:gridCol w:w="4102"/>
        <w:gridCol w:w="2788"/>
      </w:tblGrid>
      <w:tr w:rsidR="009C2083" w:rsidRPr="00D37E3F" w:rsidTr="00DA5C40">
        <w:trPr>
          <w:tblHeader/>
        </w:trPr>
        <w:tc>
          <w:tcPr>
            <w:tcW w:w="1179" w:type="pct"/>
          </w:tcPr>
          <w:p w:rsidR="009C2083" w:rsidRPr="00D37E3F" w:rsidRDefault="009C2083" w:rsidP="009C2083">
            <w:pPr>
              <w:rPr>
                <w:rFonts w:ascii="Arial Narrow" w:hAnsi="Arial Narrow" w:cstheme="minorHAnsi"/>
                <w:b/>
                <w:sz w:val="20"/>
                <w:szCs w:val="20"/>
              </w:rPr>
            </w:pPr>
            <w:r w:rsidRPr="00D37E3F">
              <w:rPr>
                <w:rFonts w:ascii="Arial Narrow" w:hAnsi="Arial Narrow" w:cstheme="minorHAnsi"/>
                <w:b/>
                <w:sz w:val="20"/>
                <w:szCs w:val="20"/>
              </w:rPr>
              <w:t>Trial ID</w:t>
            </w:r>
          </w:p>
        </w:tc>
        <w:tc>
          <w:tcPr>
            <w:tcW w:w="2275" w:type="pct"/>
          </w:tcPr>
          <w:p w:rsidR="009C2083" w:rsidRPr="00D37E3F" w:rsidRDefault="009C2083" w:rsidP="009C2083">
            <w:pPr>
              <w:rPr>
                <w:rFonts w:ascii="Arial Narrow" w:hAnsi="Arial Narrow" w:cstheme="minorHAnsi"/>
                <w:b/>
                <w:sz w:val="20"/>
                <w:szCs w:val="20"/>
              </w:rPr>
            </w:pPr>
            <w:r w:rsidRPr="00D37E3F">
              <w:rPr>
                <w:rFonts w:ascii="Arial Narrow" w:hAnsi="Arial Narrow" w:cstheme="minorHAnsi"/>
                <w:b/>
                <w:sz w:val="20"/>
                <w:szCs w:val="20"/>
              </w:rPr>
              <w:t>Protocol/publication</w:t>
            </w:r>
          </w:p>
        </w:tc>
        <w:tc>
          <w:tcPr>
            <w:tcW w:w="1546" w:type="pct"/>
          </w:tcPr>
          <w:p w:rsidR="009C2083" w:rsidRPr="00D37E3F" w:rsidRDefault="009C2083" w:rsidP="009C2083">
            <w:pPr>
              <w:rPr>
                <w:rFonts w:ascii="Arial Narrow" w:hAnsi="Arial Narrow" w:cstheme="minorHAnsi"/>
                <w:b/>
                <w:sz w:val="20"/>
                <w:szCs w:val="20"/>
              </w:rPr>
            </w:pPr>
            <w:r w:rsidRPr="00D37E3F">
              <w:rPr>
                <w:rFonts w:ascii="Arial Narrow" w:hAnsi="Arial Narrow" w:cstheme="minorHAnsi"/>
                <w:b/>
                <w:sz w:val="20"/>
                <w:szCs w:val="20"/>
              </w:rPr>
              <w:t>Citation</w:t>
            </w:r>
          </w:p>
        </w:tc>
      </w:tr>
      <w:tr w:rsidR="009C2083" w:rsidRPr="00D37E3F" w:rsidTr="00DA5C40">
        <w:tc>
          <w:tcPr>
            <w:tcW w:w="1179" w:type="pct"/>
          </w:tcPr>
          <w:p w:rsidR="009C2083" w:rsidRPr="00D37E3F" w:rsidRDefault="009C2083" w:rsidP="009C2083">
            <w:pPr>
              <w:rPr>
                <w:rFonts w:ascii="Arial Narrow" w:hAnsi="Arial Narrow" w:cstheme="minorHAnsi"/>
                <w:sz w:val="20"/>
                <w:szCs w:val="20"/>
              </w:rPr>
            </w:pPr>
            <w:r w:rsidRPr="00D37E3F">
              <w:rPr>
                <w:rFonts w:ascii="Arial Narrow" w:hAnsi="Arial Narrow" w:cstheme="minorHAnsi"/>
                <w:sz w:val="20"/>
                <w:szCs w:val="20"/>
              </w:rPr>
              <w:t>MOP Study</w:t>
            </w:r>
          </w:p>
          <w:p w:rsidR="009C2083" w:rsidRPr="00D37E3F" w:rsidRDefault="009C2083" w:rsidP="009C2083">
            <w:pPr>
              <w:rPr>
                <w:rFonts w:ascii="Arial Narrow" w:hAnsi="Arial Narrow" w:cstheme="minorHAnsi"/>
                <w:sz w:val="20"/>
                <w:szCs w:val="20"/>
              </w:rPr>
            </w:pPr>
            <w:r w:rsidRPr="00D37E3F">
              <w:rPr>
                <w:rFonts w:ascii="Arial Narrow" w:hAnsi="Arial Narrow" w:cstheme="minorHAnsi"/>
                <w:sz w:val="20"/>
                <w:szCs w:val="20"/>
              </w:rPr>
              <w:t>(Pivotal study)</w:t>
            </w:r>
          </w:p>
        </w:tc>
        <w:tc>
          <w:tcPr>
            <w:tcW w:w="2275" w:type="pct"/>
          </w:tcPr>
          <w:p w:rsidR="009C2083" w:rsidRPr="00D37E3F" w:rsidRDefault="009250C4" w:rsidP="009C2083">
            <w:pPr>
              <w:rPr>
                <w:rFonts w:ascii="Arial Narrow" w:hAnsi="Arial Narrow" w:cstheme="minorHAnsi"/>
                <w:sz w:val="20"/>
                <w:szCs w:val="20"/>
              </w:rPr>
            </w:pPr>
            <w:r w:rsidRPr="00D37E3F">
              <w:rPr>
                <w:rFonts w:ascii="Arial Narrow" w:hAnsi="Arial Narrow" w:cstheme="minorHAnsi"/>
                <w:sz w:val="20"/>
                <w:szCs w:val="20"/>
              </w:rPr>
              <w:t>Phase III, multi-site randomised double-blind parallel arm fixed dose controlled trial</w:t>
            </w:r>
            <w:r w:rsidR="00632949" w:rsidRPr="00D37E3F">
              <w:rPr>
                <w:rFonts w:ascii="Arial Narrow" w:hAnsi="Arial Narrow" w:cstheme="minorHAnsi"/>
                <w:sz w:val="20"/>
                <w:szCs w:val="20"/>
              </w:rPr>
              <w:t xml:space="preserve"> of 286 subjects</w:t>
            </w:r>
            <w:r w:rsidRPr="00D37E3F">
              <w:rPr>
                <w:rFonts w:ascii="Arial Narrow" w:hAnsi="Arial Narrow" w:cstheme="minorHAnsi"/>
                <w:sz w:val="20"/>
                <w:szCs w:val="20"/>
              </w:rPr>
              <w:t xml:space="preserve"> comparing</w:t>
            </w:r>
            <w:r w:rsidR="00632949" w:rsidRPr="00D37E3F">
              <w:rPr>
                <w:rFonts w:ascii="Arial Narrow" w:hAnsi="Arial Narrow" w:cstheme="minorHAnsi"/>
                <w:sz w:val="20"/>
                <w:szCs w:val="20"/>
              </w:rPr>
              <w:t xml:space="preserve"> safety and efficacy of</w:t>
            </w:r>
            <w:r w:rsidRPr="00D37E3F">
              <w:rPr>
                <w:rFonts w:ascii="Arial Narrow" w:hAnsi="Arial Narrow" w:cstheme="minorHAnsi"/>
                <w:sz w:val="20"/>
                <w:szCs w:val="20"/>
              </w:rPr>
              <w:t xml:space="preserve"> </w:t>
            </w:r>
            <w:r w:rsidR="00632949" w:rsidRPr="00D37E3F">
              <w:rPr>
                <w:rFonts w:ascii="Arial Narrow" w:hAnsi="Arial Narrow" w:cstheme="minorHAnsi"/>
                <w:sz w:val="20"/>
                <w:szCs w:val="20"/>
              </w:rPr>
              <w:t>modified release morphine 20</w:t>
            </w:r>
            <w:r w:rsidR="00F90CE9" w:rsidRPr="00D37E3F">
              <w:rPr>
                <w:rFonts w:ascii="Arial Narrow" w:hAnsi="Arial Narrow" w:cstheme="minorHAnsi"/>
                <w:sz w:val="20"/>
                <w:szCs w:val="20"/>
              </w:rPr>
              <w:t xml:space="preserve"> </w:t>
            </w:r>
            <w:r w:rsidR="00632949" w:rsidRPr="00D37E3F">
              <w:rPr>
                <w:rFonts w:ascii="Arial Narrow" w:hAnsi="Arial Narrow" w:cstheme="minorHAnsi"/>
                <w:sz w:val="20"/>
                <w:szCs w:val="20"/>
              </w:rPr>
              <w:t>mg daily to placebo to relieve symptoms of dyspnoea, improve function, quality of life in adults with breathlessness of 2 or higher on modified Medical Research Council Dyspnoea Scale</w:t>
            </w:r>
          </w:p>
        </w:tc>
        <w:tc>
          <w:tcPr>
            <w:tcW w:w="1546" w:type="pct"/>
          </w:tcPr>
          <w:p w:rsidR="009840BF" w:rsidRPr="00D37E3F" w:rsidRDefault="009840BF" w:rsidP="009C2083">
            <w:pPr>
              <w:rPr>
                <w:rFonts w:ascii="Arial Narrow" w:hAnsi="Arial Narrow" w:cstheme="minorHAnsi"/>
                <w:sz w:val="20"/>
                <w:szCs w:val="20"/>
              </w:rPr>
            </w:pPr>
            <w:r w:rsidRPr="00D37E3F">
              <w:rPr>
                <w:rFonts w:ascii="Arial Narrow" w:hAnsi="Arial Narrow" w:cstheme="minorHAnsi"/>
                <w:sz w:val="20"/>
                <w:szCs w:val="20"/>
              </w:rPr>
              <w:t>Clinical Study Report</w:t>
            </w:r>
          </w:p>
          <w:p w:rsidR="009C2083" w:rsidRPr="00D37E3F" w:rsidRDefault="009840BF" w:rsidP="009C2083">
            <w:pPr>
              <w:rPr>
                <w:rFonts w:ascii="Arial Narrow" w:hAnsi="Arial Narrow" w:cstheme="minorHAnsi"/>
                <w:sz w:val="20"/>
                <w:szCs w:val="20"/>
              </w:rPr>
            </w:pPr>
            <w:r w:rsidRPr="00D37E3F">
              <w:rPr>
                <w:rFonts w:ascii="Arial Narrow" w:hAnsi="Arial Narrow" w:cstheme="minorHAnsi"/>
                <w:sz w:val="20"/>
                <w:szCs w:val="20"/>
              </w:rPr>
              <w:t>unpublished</w:t>
            </w:r>
          </w:p>
        </w:tc>
      </w:tr>
      <w:tr w:rsidR="009C2083" w:rsidRPr="00D37E3F" w:rsidTr="00DA5C40">
        <w:trPr>
          <w:trHeight w:val="70"/>
        </w:trPr>
        <w:tc>
          <w:tcPr>
            <w:tcW w:w="1179" w:type="pct"/>
          </w:tcPr>
          <w:p w:rsidR="009C2083" w:rsidRPr="00D37E3F" w:rsidRDefault="009840BF" w:rsidP="009C2083">
            <w:pPr>
              <w:rPr>
                <w:rFonts w:ascii="Arial Narrow" w:hAnsi="Arial Narrow" w:cstheme="minorHAnsi"/>
                <w:sz w:val="20"/>
                <w:szCs w:val="20"/>
              </w:rPr>
            </w:pPr>
            <w:r w:rsidRPr="00D37E3F">
              <w:rPr>
                <w:rFonts w:ascii="Arial Narrow" w:hAnsi="Arial Narrow" w:cstheme="minorHAnsi"/>
                <w:sz w:val="20"/>
                <w:szCs w:val="20"/>
              </w:rPr>
              <w:t>Cochrane Review</w:t>
            </w:r>
          </w:p>
          <w:p w:rsidR="009840BF" w:rsidRPr="00D37E3F" w:rsidRDefault="009840BF" w:rsidP="009C2083">
            <w:pPr>
              <w:rPr>
                <w:rFonts w:ascii="Arial Narrow" w:hAnsi="Arial Narrow" w:cstheme="minorHAnsi"/>
                <w:sz w:val="20"/>
                <w:szCs w:val="20"/>
              </w:rPr>
            </w:pPr>
            <w:r w:rsidRPr="00D37E3F">
              <w:rPr>
                <w:rFonts w:ascii="Arial Narrow" w:hAnsi="Arial Narrow" w:cstheme="minorHAnsi"/>
                <w:sz w:val="20"/>
                <w:szCs w:val="20"/>
              </w:rPr>
              <w:t>2016</w:t>
            </w:r>
          </w:p>
        </w:tc>
        <w:tc>
          <w:tcPr>
            <w:tcW w:w="2275" w:type="pct"/>
          </w:tcPr>
          <w:p w:rsidR="009C2083" w:rsidRPr="00D37E3F" w:rsidRDefault="00632949" w:rsidP="009C2083">
            <w:pPr>
              <w:rPr>
                <w:rFonts w:ascii="Arial Narrow" w:hAnsi="Arial Narrow" w:cstheme="minorHAnsi"/>
                <w:sz w:val="20"/>
                <w:szCs w:val="20"/>
              </w:rPr>
            </w:pPr>
            <w:r w:rsidRPr="00D37E3F">
              <w:rPr>
                <w:rFonts w:ascii="Arial Narrow" w:hAnsi="Arial Narrow" w:cstheme="minorHAnsi"/>
                <w:sz w:val="20"/>
                <w:szCs w:val="20"/>
              </w:rPr>
              <w:t>Meta-analysis of randomised controlled double-blind trials comparing the use of any opioid drug to placebo or any other intervention for relief of breathlessness (primary outcome). Pre</w:t>
            </w:r>
            <w:r w:rsidR="002268E5" w:rsidRPr="00D37E3F">
              <w:rPr>
                <w:rFonts w:ascii="Arial Narrow" w:hAnsi="Arial Narrow" w:cstheme="minorHAnsi"/>
                <w:sz w:val="20"/>
                <w:szCs w:val="20"/>
              </w:rPr>
              <w:t>-</w:t>
            </w:r>
            <w:r w:rsidRPr="00D37E3F">
              <w:rPr>
                <w:rFonts w:ascii="Arial Narrow" w:hAnsi="Arial Narrow" w:cstheme="minorHAnsi"/>
                <w:sz w:val="20"/>
                <w:szCs w:val="20"/>
              </w:rPr>
              <w:t>specified subgroup analyses planned</w:t>
            </w:r>
            <w:r w:rsidR="00F82099" w:rsidRPr="00D37E3F">
              <w:rPr>
                <w:rFonts w:ascii="Arial Narrow" w:hAnsi="Arial Narrow" w:cstheme="minorHAnsi"/>
                <w:sz w:val="20"/>
                <w:szCs w:val="20"/>
              </w:rPr>
              <w:t xml:space="preserve">: route of administration, dose, type of opioid and cause of breathlessness. </w:t>
            </w:r>
          </w:p>
        </w:tc>
        <w:tc>
          <w:tcPr>
            <w:tcW w:w="1546" w:type="pct"/>
          </w:tcPr>
          <w:p w:rsidR="009C2083" w:rsidRPr="00D37E3F" w:rsidRDefault="009C2083" w:rsidP="009C2083">
            <w:pPr>
              <w:rPr>
                <w:rFonts w:ascii="Arial Narrow" w:hAnsi="Arial Narrow" w:cstheme="minorHAnsi"/>
                <w:sz w:val="20"/>
                <w:szCs w:val="20"/>
              </w:rPr>
            </w:pPr>
            <w:r w:rsidRPr="00D37E3F">
              <w:rPr>
                <w:rFonts w:ascii="Arial Narrow" w:hAnsi="Arial Narrow" w:cstheme="minorHAnsi"/>
                <w:sz w:val="20"/>
                <w:szCs w:val="20"/>
              </w:rPr>
              <w:t>Barnes H et al</w:t>
            </w:r>
            <w:r w:rsidR="009840BF" w:rsidRPr="00D37E3F">
              <w:rPr>
                <w:rFonts w:ascii="Arial Narrow" w:hAnsi="Arial Narrow" w:cstheme="minorHAnsi"/>
                <w:sz w:val="20"/>
                <w:szCs w:val="20"/>
              </w:rPr>
              <w:t>.</w:t>
            </w:r>
            <w:r w:rsidRPr="00D37E3F">
              <w:rPr>
                <w:rFonts w:ascii="Arial Narrow" w:hAnsi="Arial Narrow" w:cstheme="minorHAnsi"/>
                <w:sz w:val="20"/>
                <w:szCs w:val="20"/>
              </w:rPr>
              <w:t xml:space="preserve"> Opioids for the palliation of refractory breathlessness in adults with advanced disease and terminal </w:t>
            </w:r>
            <w:r w:rsidR="009840BF" w:rsidRPr="00D37E3F">
              <w:rPr>
                <w:rFonts w:ascii="Arial Narrow" w:hAnsi="Arial Narrow" w:cstheme="minorHAnsi"/>
                <w:sz w:val="20"/>
                <w:szCs w:val="20"/>
              </w:rPr>
              <w:t xml:space="preserve">illness. </w:t>
            </w:r>
            <w:r w:rsidR="009840BF" w:rsidRPr="00D37E3F">
              <w:rPr>
                <w:rFonts w:ascii="Arial Narrow" w:hAnsi="Arial Narrow" w:cstheme="minorHAnsi"/>
                <w:i/>
                <w:sz w:val="20"/>
                <w:szCs w:val="20"/>
              </w:rPr>
              <w:t>Cochrane Database of Systematic Reviews</w:t>
            </w:r>
            <w:r w:rsidRPr="00D37E3F">
              <w:rPr>
                <w:rFonts w:ascii="Arial Narrow" w:hAnsi="Arial Narrow" w:cstheme="minorHAnsi"/>
                <w:sz w:val="20"/>
                <w:szCs w:val="20"/>
              </w:rPr>
              <w:t xml:space="preserve"> 2016</w:t>
            </w:r>
            <w:r w:rsidR="009840BF" w:rsidRPr="00D37E3F">
              <w:rPr>
                <w:rFonts w:ascii="Arial Narrow" w:hAnsi="Arial Narrow" w:cstheme="minorHAnsi"/>
                <w:sz w:val="20"/>
                <w:szCs w:val="20"/>
              </w:rPr>
              <w:t>, Issue 3. Art No CD011008</w:t>
            </w:r>
            <w:r w:rsidRPr="00D37E3F">
              <w:rPr>
                <w:rFonts w:ascii="Arial Narrow" w:hAnsi="Arial Narrow" w:cstheme="minorHAnsi"/>
                <w:sz w:val="20"/>
                <w:szCs w:val="20"/>
              </w:rPr>
              <w:t xml:space="preserve"> </w:t>
            </w:r>
          </w:p>
        </w:tc>
      </w:tr>
      <w:tr w:rsidR="009C2083" w:rsidRPr="00D37E3F" w:rsidTr="00DA5C40">
        <w:trPr>
          <w:trHeight w:val="70"/>
        </w:trPr>
        <w:tc>
          <w:tcPr>
            <w:tcW w:w="1179" w:type="pct"/>
          </w:tcPr>
          <w:p w:rsidR="009C2083" w:rsidRPr="00D37E3F" w:rsidRDefault="009840BF" w:rsidP="009C2083">
            <w:pPr>
              <w:rPr>
                <w:rFonts w:ascii="Arial Narrow" w:hAnsi="Arial Narrow" w:cstheme="minorHAnsi"/>
                <w:sz w:val="20"/>
                <w:szCs w:val="20"/>
              </w:rPr>
            </w:pPr>
            <w:proofErr w:type="spellStart"/>
            <w:r w:rsidRPr="00D37E3F">
              <w:rPr>
                <w:rFonts w:ascii="Arial Narrow" w:hAnsi="Arial Narrow" w:cstheme="minorHAnsi"/>
                <w:sz w:val="20"/>
                <w:szCs w:val="20"/>
              </w:rPr>
              <w:t>Ekstr</w:t>
            </w:r>
            <w:r w:rsidR="00C23195" w:rsidRPr="00D37E3F">
              <w:rPr>
                <w:rFonts w:ascii="Arial Narrow" w:hAnsi="Arial Narrow" w:cstheme="minorHAnsi"/>
                <w:sz w:val="20"/>
                <w:szCs w:val="20"/>
              </w:rPr>
              <w:t>ő</w:t>
            </w:r>
            <w:r w:rsidRPr="00D37E3F">
              <w:rPr>
                <w:rFonts w:ascii="Arial Narrow" w:hAnsi="Arial Narrow" w:cstheme="minorHAnsi"/>
                <w:sz w:val="20"/>
                <w:szCs w:val="20"/>
              </w:rPr>
              <w:t>m</w:t>
            </w:r>
            <w:proofErr w:type="spellEnd"/>
            <w:r w:rsidRPr="00D37E3F">
              <w:rPr>
                <w:rFonts w:ascii="Arial Narrow" w:hAnsi="Arial Narrow" w:cstheme="minorHAnsi"/>
                <w:sz w:val="20"/>
                <w:szCs w:val="20"/>
              </w:rPr>
              <w:t xml:space="preserve"> M et al Research lette</w:t>
            </w:r>
            <w:r w:rsidR="00C23195" w:rsidRPr="00D37E3F">
              <w:rPr>
                <w:rFonts w:ascii="Arial Narrow" w:hAnsi="Arial Narrow" w:cstheme="minorHAnsi"/>
                <w:sz w:val="20"/>
                <w:szCs w:val="20"/>
              </w:rPr>
              <w:t>r</w:t>
            </w:r>
            <w:r w:rsidRPr="00D37E3F">
              <w:rPr>
                <w:rFonts w:ascii="Arial Narrow" w:hAnsi="Arial Narrow" w:cstheme="minorHAnsi"/>
                <w:sz w:val="20"/>
                <w:szCs w:val="20"/>
              </w:rPr>
              <w:t>(supporting)</w:t>
            </w:r>
          </w:p>
          <w:p w:rsidR="00C23195" w:rsidRPr="00D37E3F" w:rsidRDefault="00C23195" w:rsidP="009C2083">
            <w:pPr>
              <w:rPr>
                <w:rFonts w:ascii="Arial Narrow" w:hAnsi="Arial Narrow" w:cstheme="minorHAnsi"/>
                <w:sz w:val="20"/>
                <w:szCs w:val="20"/>
              </w:rPr>
            </w:pPr>
            <w:r w:rsidRPr="00D37E3F">
              <w:rPr>
                <w:rFonts w:ascii="Arial Narrow" w:hAnsi="Arial Narrow" w:cstheme="minorHAnsi"/>
                <w:sz w:val="20"/>
                <w:szCs w:val="20"/>
              </w:rPr>
              <w:t>Thoraxjnl-2016-209868.R1</w:t>
            </w:r>
          </w:p>
        </w:tc>
        <w:tc>
          <w:tcPr>
            <w:tcW w:w="2275" w:type="pct"/>
          </w:tcPr>
          <w:p w:rsidR="009C2083" w:rsidRPr="00D37E3F" w:rsidRDefault="00F82099" w:rsidP="009C2083">
            <w:pPr>
              <w:rPr>
                <w:rFonts w:ascii="Arial Narrow" w:hAnsi="Arial Narrow" w:cstheme="minorHAnsi"/>
                <w:sz w:val="20"/>
                <w:szCs w:val="20"/>
              </w:rPr>
            </w:pPr>
            <w:r w:rsidRPr="00D37E3F">
              <w:rPr>
                <w:rFonts w:ascii="Arial Narrow" w:hAnsi="Arial Narrow" w:cstheme="minorHAnsi"/>
                <w:sz w:val="20"/>
                <w:szCs w:val="20"/>
              </w:rPr>
              <w:t>Meta-analysis of published studies to evaluate efficacy of systemic opioids for chronic breathlessness.</w:t>
            </w:r>
          </w:p>
          <w:p w:rsidR="00F82099" w:rsidRPr="00D37E3F" w:rsidRDefault="00F82099" w:rsidP="009C2083">
            <w:pPr>
              <w:rPr>
                <w:rFonts w:ascii="Arial Narrow" w:hAnsi="Arial Narrow" w:cstheme="minorHAnsi"/>
                <w:sz w:val="20"/>
                <w:szCs w:val="20"/>
              </w:rPr>
            </w:pPr>
            <w:r w:rsidRPr="00D37E3F">
              <w:rPr>
                <w:rFonts w:ascii="Arial Narrow" w:hAnsi="Arial Narrow" w:cstheme="minorHAnsi"/>
                <w:sz w:val="20"/>
                <w:szCs w:val="20"/>
              </w:rPr>
              <w:t>Review of reasons for conflicting finding from earlier studies.</w:t>
            </w:r>
          </w:p>
        </w:tc>
        <w:tc>
          <w:tcPr>
            <w:tcW w:w="1546" w:type="pct"/>
          </w:tcPr>
          <w:p w:rsidR="009C2083" w:rsidRPr="00D37E3F" w:rsidRDefault="00F82099" w:rsidP="009C2083">
            <w:pPr>
              <w:rPr>
                <w:rFonts w:ascii="Arial Narrow" w:hAnsi="Arial Narrow" w:cstheme="minorHAnsi"/>
                <w:sz w:val="20"/>
                <w:szCs w:val="20"/>
              </w:rPr>
            </w:pPr>
            <w:proofErr w:type="spellStart"/>
            <w:r w:rsidRPr="00D37E3F">
              <w:rPr>
                <w:rFonts w:ascii="Arial Narrow" w:hAnsi="Arial Narrow" w:cstheme="minorHAnsi"/>
                <w:sz w:val="20"/>
                <w:szCs w:val="20"/>
              </w:rPr>
              <w:t>Ekstrom</w:t>
            </w:r>
            <w:proofErr w:type="spellEnd"/>
            <w:r w:rsidRPr="00D37E3F">
              <w:rPr>
                <w:rFonts w:ascii="Arial Narrow" w:hAnsi="Arial Narrow" w:cstheme="minorHAnsi"/>
                <w:sz w:val="20"/>
                <w:szCs w:val="20"/>
              </w:rPr>
              <w:t xml:space="preserve"> et al One</w:t>
            </w:r>
            <w:r w:rsidR="009840BF" w:rsidRPr="00D37E3F">
              <w:rPr>
                <w:rFonts w:ascii="Arial Narrow" w:hAnsi="Arial Narrow" w:cstheme="minorHAnsi"/>
                <w:sz w:val="20"/>
                <w:szCs w:val="20"/>
              </w:rPr>
              <w:t xml:space="preserve"> evidence base; three stories: do opioids relieve chronic breathlessness?</w:t>
            </w:r>
          </w:p>
          <w:p w:rsidR="009840BF" w:rsidRPr="00D37E3F" w:rsidRDefault="009840BF" w:rsidP="009C2083">
            <w:pPr>
              <w:rPr>
                <w:rFonts w:ascii="Arial Narrow" w:hAnsi="Arial Narrow" w:cstheme="minorHAnsi"/>
                <w:sz w:val="20"/>
                <w:szCs w:val="20"/>
              </w:rPr>
            </w:pPr>
            <w:r w:rsidRPr="00D37E3F">
              <w:rPr>
                <w:rFonts w:ascii="Arial Narrow" w:hAnsi="Arial Narrow" w:cstheme="minorHAnsi"/>
                <w:sz w:val="20"/>
                <w:szCs w:val="20"/>
              </w:rPr>
              <w:t>Thora</w:t>
            </w:r>
            <w:r w:rsidR="00C23195" w:rsidRPr="00D37E3F">
              <w:rPr>
                <w:rFonts w:ascii="Arial Narrow" w:hAnsi="Arial Narrow" w:cstheme="minorHAnsi"/>
                <w:sz w:val="20"/>
                <w:szCs w:val="20"/>
              </w:rPr>
              <w:t>x (in press)</w:t>
            </w:r>
          </w:p>
        </w:tc>
      </w:tr>
    </w:tbl>
    <w:p w:rsidR="00206DE1" w:rsidRPr="00D37E3F" w:rsidRDefault="00E25FE1" w:rsidP="00E57863">
      <w:pPr>
        <w:pStyle w:val="ListParagraph"/>
        <w:numPr>
          <w:ilvl w:val="1"/>
          <w:numId w:val="14"/>
        </w:numPr>
        <w:spacing w:before="120" w:after="120"/>
        <w:rPr>
          <w:rFonts w:asciiTheme="minorHAnsi" w:eastAsiaTheme="minorHAnsi" w:hAnsiTheme="minorHAnsi" w:cstheme="minorBidi"/>
          <w:snapToGrid/>
          <w:sz w:val="24"/>
          <w:szCs w:val="22"/>
        </w:rPr>
      </w:pPr>
      <w:r w:rsidRPr="00D37E3F">
        <w:rPr>
          <w:rFonts w:asciiTheme="minorHAnsi" w:eastAsiaTheme="minorHAnsi" w:hAnsiTheme="minorHAnsi" w:cstheme="minorBidi"/>
          <w:snapToGrid/>
          <w:sz w:val="24"/>
          <w:szCs w:val="22"/>
        </w:rPr>
        <w:t>As this was a minor submission, no evaluation of the clinical data was undertaken. The following describe</w:t>
      </w:r>
      <w:r w:rsidR="00024BC7" w:rsidRPr="00D37E3F">
        <w:rPr>
          <w:rFonts w:asciiTheme="minorHAnsi" w:eastAsiaTheme="minorHAnsi" w:hAnsiTheme="minorHAnsi" w:cstheme="minorBidi"/>
          <w:snapToGrid/>
          <w:sz w:val="24"/>
          <w:szCs w:val="22"/>
        </w:rPr>
        <w:t>s</w:t>
      </w:r>
      <w:r w:rsidRPr="00D37E3F">
        <w:rPr>
          <w:rFonts w:asciiTheme="minorHAnsi" w:eastAsiaTheme="minorHAnsi" w:hAnsiTheme="minorHAnsi" w:cstheme="minorBidi"/>
          <w:snapToGrid/>
          <w:sz w:val="24"/>
          <w:szCs w:val="22"/>
        </w:rPr>
        <w:t xml:space="preserve"> the studies and present</w:t>
      </w:r>
      <w:r w:rsidR="00024BC7" w:rsidRPr="00D37E3F">
        <w:rPr>
          <w:rFonts w:asciiTheme="minorHAnsi" w:eastAsiaTheme="minorHAnsi" w:hAnsiTheme="minorHAnsi" w:cstheme="minorBidi"/>
          <w:snapToGrid/>
          <w:sz w:val="24"/>
          <w:szCs w:val="22"/>
        </w:rPr>
        <w:t>s</w:t>
      </w:r>
      <w:r w:rsidRPr="00D37E3F">
        <w:rPr>
          <w:rFonts w:asciiTheme="minorHAnsi" w:eastAsiaTheme="minorHAnsi" w:hAnsiTheme="minorHAnsi" w:cstheme="minorBidi"/>
          <w:snapToGrid/>
          <w:sz w:val="24"/>
          <w:szCs w:val="22"/>
        </w:rPr>
        <w:t xml:space="preserve"> relevant results.</w:t>
      </w:r>
    </w:p>
    <w:p w:rsidR="00206DE1" w:rsidRPr="00D37E3F" w:rsidRDefault="00206DE1" w:rsidP="00E57863">
      <w:pPr>
        <w:pStyle w:val="Heading2"/>
        <w:keepLines/>
        <w:spacing w:before="240" w:after="120"/>
        <w:rPr>
          <w:rFonts w:asciiTheme="minorHAnsi" w:eastAsiaTheme="majorEastAsia" w:hAnsiTheme="minorHAnsi" w:cstheme="majorBidi"/>
          <w:sz w:val="28"/>
          <w:szCs w:val="28"/>
        </w:rPr>
      </w:pPr>
      <w:r w:rsidRPr="00D37E3F">
        <w:rPr>
          <w:rFonts w:asciiTheme="minorHAnsi" w:eastAsiaTheme="majorEastAsia" w:hAnsiTheme="minorHAnsi" w:cstheme="majorBidi"/>
          <w:sz w:val="28"/>
          <w:szCs w:val="28"/>
          <w:lang w:eastAsia="en-US"/>
        </w:rPr>
        <w:t>MOP Study</w:t>
      </w:r>
    </w:p>
    <w:p w:rsidR="002268E5" w:rsidRPr="00D37E3F" w:rsidRDefault="002268E5" w:rsidP="00E57863">
      <w:pPr>
        <w:pStyle w:val="ListParagraph"/>
        <w:numPr>
          <w:ilvl w:val="1"/>
          <w:numId w:val="14"/>
        </w:numPr>
        <w:spacing w:after="120"/>
        <w:rPr>
          <w:rFonts w:asciiTheme="minorHAnsi" w:hAnsiTheme="minorHAnsi"/>
          <w:sz w:val="24"/>
          <w:szCs w:val="24"/>
        </w:rPr>
      </w:pPr>
      <w:r w:rsidRPr="00D37E3F">
        <w:rPr>
          <w:rFonts w:asciiTheme="minorHAnsi" w:hAnsiTheme="minorHAnsi"/>
          <w:sz w:val="24"/>
          <w:szCs w:val="24"/>
        </w:rPr>
        <w:t xml:space="preserve">The </w:t>
      </w:r>
      <w:r w:rsidR="00D37E3F" w:rsidRPr="00D37E3F">
        <w:rPr>
          <w:rFonts w:asciiTheme="minorHAnsi" w:hAnsiTheme="minorHAnsi"/>
          <w:sz w:val="24"/>
          <w:szCs w:val="24"/>
        </w:rPr>
        <w:t>Palliative Care Clinical Studies Collaborative (</w:t>
      </w:r>
      <w:proofErr w:type="spellStart"/>
      <w:r w:rsidR="00D37E3F" w:rsidRPr="00D37E3F">
        <w:rPr>
          <w:rFonts w:asciiTheme="minorHAnsi" w:hAnsiTheme="minorHAnsi"/>
          <w:sz w:val="24"/>
          <w:szCs w:val="24"/>
        </w:rPr>
        <w:t>PaCCSC</w:t>
      </w:r>
      <w:proofErr w:type="spellEnd"/>
      <w:r w:rsidR="00D37E3F" w:rsidRPr="00D37E3F">
        <w:rPr>
          <w:rFonts w:asciiTheme="minorHAnsi" w:hAnsiTheme="minorHAnsi"/>
          <w:sz w:val="24"/>
          <w:szCs w:val="24"/>
        </w:rPr>
        <w:t>) in 15 Australian sites conducted the MOP study</w:t>
      </w:r>
      <w:r w:rsidRPr="00D37E3F">
        <w:rPr>
          <w:rFonts w:asciiTheme="minorHAnsi" w:hAnsiTheme="minorHAnsi"/>
          <w:sz w:val="24"/>
          <w:szCs w:val="24"/>
        </w:rPr>
        <w:t xml:space="preserve">. The primary objective of the study was to compare the efficacy </w:t>
      </w:r>
      <w:r w:rsidR="00F90CE9" w:rsidRPr="00D37E3F">
        <w:rPr>
          <w:rFonts w:asciiTheme="minorHAnsi" w:hAnsiTheme="minorHAnsi"/>
          <w:sz w:val="24"/>
          <w:szCs w:val="24"/>
        </w:rPr>
        <w:t xml:space="preserve">of sustained release morphine compared to placebo </w:t>
      </w:r>
      <w:r w:rsidRPr="00D37E3F">
        <w:rPr>
          <w:rFonts w:asciiTheme="minorHAnsi" w:hAnsiTheme="minorHAnsi"/>
          <w:sz w:val="24"/>
          <w:szCs w:val="24"/>
        </w:rPr>
        <w:t>for relieving the sensation of dyspnoea, level of function, safety and quality of life. The study randomised 286 patients</w:t>
      </w:r>
      <w:r w:rsidR="00F90CE9" w:rsidRPr="00D37E3F">
        <w:rPr>
          <w:rFonts w:asciiTheme="minorHAnsi" w:hAnsiTheme="minorHAnsi"/>
          <w:sz w:val="24"/>
          <w:szCs w:val="24"/>
        </w:rPr>
        <w:t>,</w:t>
      </w:r>
      <w:r w:rsidRPr="00D37E3F">
        <w:rPr>
          <w:rFonts w:asciiTheme="minorHAnsi" w:hAnsiTheme="minorHAnsi"/>
          <w:sz w:val="24"/>
          <w:szCs w:val="24"/>
        </w:rPr>
        <w:t xml:space="preserve"> with 141 assigned to morphine and 141 to placebo. </w:t>
      </w:r>
      <w:r w:rsidR="007F2ABD" w:rsidRPr="00D37E3F">
        <w:rPr>
          <w:rFonts w:asciiTheme="minorHAnsi" w:hAnsiTheme="minorHAnsi"/>
          <w:sz w:val="24"/>
          <w:szCs w:val="24"/>
        </w:rPr>
        <w:t>Patients with level 2 or higher modified Medical Research Council Dyspnoea Scale</w:t>
      </w:r>
      <w:r w:rsidR="000349D8" w:rsidRPr="00D37E3F">
        <w:rPr>
          <w:rFonts w:asciiTheme="minorHAnsi" w:hAnsiTheme="minorHAnsi"/>
          <w:sz w:val="24"/>
          <w:szCs w:val="24"/>
        </w:rPr>
        <w:t xml:space="preserve"> (</w:t>
      </w:r>
      <w:proofErr w:type="spellStart"/>
      <w:r w:rsidR="000349D8" w:rsidRPr="00D37E3F">
        <w:rPr>
          <w:rFonts w:asciiTheme="minorHAnsi" w:hAnsiTheme="minorHAnsi"/>
          <w:sz w:val="24"/>
          <w:szCs w:val="24"/>
        </w:rPr>
        <w:t>mMRC</w:t>
      </w:r>
      <w:proofErr w:type="spellEnd"/>
      <w:r w:rsidR="000349D8" w:rsidRPr="00D37E3F">
        <w:rPr>
          <w:rFonts w:asciiTheme="minorHAnsi" w:hAnsiTheme="minorHAnsi"/>
          <w:sz w:val="24"/>
          <w:szCs w:val="24"/>
        </w:rPr>
        <w:t>)</w:t>
      </w:r>
      <w:r w:rsidR="007F2ABD" w:rsidRPr="00D37E3F">
        <w:rPr>
          <w:rFonts w:asciiTheme="minorHAnsi" w:hAnsiTheme="minorHAnsi"/>
          <w:sz w:val="24"/>
          <w:szCs w:val="24"/>
        </w:rPr>
        <w:t xml:space="preserve"> score in spite of optimal treatment of the underlying cause of this dyspnoea were enrolled. Patients received either 20</w:t>
      </w:r>
      <w:r w:rsidR="00F90CE9" w:rsidRPr="00D37E3F">
        <w:rPr>
          <w:rFonts w:asciiTheme="minorHAnsi" w:hAnsiTheme="minorHAnsi"/>
          <w:sz w:val="24"/>
          <w:szCs w:val="24"/>
        </w:rPr>
        <w:t xml:space="preserve"> </w:t>
      </w:r>
      <w:r w:rsidR="007F2ABD" w:rsidRPr="00D37E3F">
        <w:rPr>
          <w:rFonts w:asciiTheme="minorHAnsi" w:hAnsiTheme="minorHAnsi"/>
          <w:sz w:val="24"/>
          <w:szCs w:val="24"/>
        </w:rPr>
        <w:t>mg morphine (</w:t>
      </w:r>
      <w:proofErr w:type="spellStart"/>
      <w:r w:rsidR="007F2ABD" w:rsidRPr="00D37E3F">
        <w:rPr>
          <w:rFonts w:asciiTheme="minorHAnsi" w:hAnsiTheme="minorHAnsi"/>
          <w:sz w:val="24"/>
          <w:szCs w:val="24"/>
        </w:rPr>
        <w:t>Kapanol</w:t>
      </w:r>
      <w:proofErr w:type="spellEnd"/>
      <w:r w:rsidR="007F2ABD" w:rsidRPr="00D37E3F">
        <w:rPr>
          <w:rFonts w:asciiTheme="minorHAnsi" w:hAnsiTheme="minorHAnsi"/>
          <w:sz w:val="24"/>
          <w:szCs w:val="24"/>
        </w:rPr>
        <w:t xml:space="preserve"> brand) capsule plus laxative tablets or placebo capsule and placebo tablets for 7 days. Scores </w:t>
      </w:r>
      <w:r w:rsidR="000349D8" w:rsidRPr="00D37E3F">
        <w:rPr>
          <w:rFonts w:asciiTheme="minorHAnsi" w:hAnsiTheme="minorHAnsi"/>
          <w:sz w:val="24"/>
          <w:szCs w:val="24"/>
        </w:rPr>
        <w:t xml:space="preserve">to record a number of measures of breathlessness </w:t>
      </w:r>
      <w:r w:rsidR="007F2ABD" w:rsidRPr="00D37E3F">
        <w:rPr>
          <w:rFonts w:asciiTheme="minorHAnsi" w:hAnsiTheme="minorHAnsi"/>
          <w:sz w:val="24"/>
          <w:szCs w:val="24"/>
        </w:rPr>
        <w:t>were recorded morning and night at baseline and on days 5-7. Primary analysis was a t-score comparing the within subject change between groups measured as the average of morning and evening scores for days 5-7 minus baseline.</w:t>
      </w:r>
    </w:p>
    <w:p w:rsidR="00C1085D" w:rsidRPr="00D37E3F" w:rsidRDefault="000349D8" w:rsidP="00E57863">
      <w:pPr>
        <w:pStyle w:val="ListParagraph"/>
        <w:numPr>
          <w:ilvl w:val="1"/>
          <w:numId w:val="14"/>
        </w:numPr>
        <w:spacing w:after="120"/>
        <w:rPr>
          <w:rFonts w:asciiTheme="minorHAnsi" w:hAnsiTheme="minorHAnsi"/>
          <w:sz w:val="24"/>
          <w:szCs w:val="24"/>
        </w:rPr>
      </w:pPr>
      <w:r w:rsidRPr="00D37E3F">
        <w:rPr>
          <w:rFonts w:asciiTheme="minorHAnsi" w:hAnsiTheme="minorHAnsi"/>
          <w:sz w:val="24"/>
          <w:szCs w:val="24"/>
        </w:rPr>
        <w:t xml:space="preserve">Efficacy results for all patients showed no statistically significant difference in primary endpoint of </w:t>
      </w:r>
      <w:r w:rsidR="000F26B6" w:rsidRPr="00D37E3F">
        <w:rPr>
          <w:rFonts w:asciiTheme="minorHAnsi" w:hAnsiTheme="minorHAnsi"/>
          <w:sz w:val="24"/>
          <w:szCs w:val="24"/>
        </w:rPr>
        <w:t>breathlessness (VAS Now</w:t>
      </w:r>
      <w:r w:rsidRPr="00D37E3F">
        <w:rPr>
          <w:rFonts w:asciiTheme="minorHAnsi" w:hAnsiTheme="minorHAnsi"/>
          <w:sz w:val="24"/>
          <w:szCs w:val="24"/>
        </w:rPr>
        <w:t xml:space="preserve"> Intensity Breathlessness) between baseline and days 5-7 between groups. </w:t>
      </w:r>
      <w:r w:rsidR="00A60A55" w:rsidRPr="00D37E3F">
        <w:rPr>
          <w:rFonts w:asciiTheme="minorHAnsi" w:hAnsiTheme="minorHAnsi"/>
          <w:sz w:val="24"/>
          <w:szCs w:val="24"/>
        </w:rPr>
        <w:t xml:space="preserve">Another measure of breathlessness (VAS Worst Intensity Breathlessness) showed a trend toward statistical significance </w:t>
      </w:r>
      <w:r w:rsidR="000F26B6" w:rsidRPr="00D37E3F">
        <w:rPr>
          <w:rFonts w:asciiTheme="minorHAnsi" w:hAnsiTheme="minorHAnsi"/>
          <w:sz w:val="24"/>
          <w:szCs w:val="24"/>
        </w:rPr>
        <w:t>(Least Squares</w:t>
      </w:r>
      <w:r w:rsidR="00A60A55" w:rsidRPr="00D37E3F">
        <w:rPr>
          <w:rFonts w:asciiTheme="minorHAnsi" w:hAnsiTheme="minorHAnsi"/>
          <w:sz w:val="24"/>
          <w:szCs w:val="24"/>
        </w:rPr>
        <w:t xml:space="preserve"> mean difference morphine minus placebo = </w:t>
      </w:r>
      <w:r w:rsidR="00A60A55" w:rsidRPr="00FA09B8">
        <w:rPr>
          <w:rFonts w:asciiTheme="minorHAnsi" w:hAnsiTheme="minorHAnsi"/>
          <w:sz w:val="24"/>
          <w:szCs w:val="24"/>
        </w:rPr>
        <w:t>-4.88</w:t>
      </w:r>
      <w:r w:rsidR="00A60A55" w:rsidRPr="00D37E3F">
        <w:rPr>
          <w:rFonts w:asciiTheme="minorHAnsi" w:hAnsiTheme="minorHAnsi"/>
          <w:sz w:val="24"/>
          <w:szCs w:val="24"/>
        </w:rPr>
        <w:t xml:space="preserve">, 95%CI </w:t>
      </w:r>
      <w:r w:rsidR="00A60A55" w:rsidRPr="00FA09B8">
        <w:rPr>
          <w:rFonts w:asciiTheme="minorHAnsi" w:hAnsiTheme="minorHAnsi"/>
          <w:sz w:val="24"/>
          <w:szCs w:val="24"/>
        </w:rPr>
        <w:t>-10.73</w:t>
      </w:r>
      <w:r w:rsidR="00A60A55" w:rsidRPr="00D37E3F">
        <w:rPr>
          <w:rFonts w:asciiTheme="minorHAnsi" w:hAnsiTheme="minorHAnsi"/>
          <w:sz w:val="24"/>
          <w:szCs w:val="24"/>
        </w:rPr>
        <w:t xml:space="preserve">, </w:t>
      </w:r>
      <w:r w:rsidR="00A60A55" w:rsidRPr="00FA09B8">
        <w:rPr>
          <w:rFonts w:asciiTheme="minorHAnsi" w:hAnsiTheme="minorHAnsi"/>
          <w:sz w:val="24"/>
          <w:szCs w:val="24"/>
        </w:rPr>
        <w:t>0.98</w:t>
      </w:r>
      <w:r w:rsidR="00A60A55" w:rsidRPr="00D37E3F">
        <w:rPr>
          <w:rFonts w:asciiTheme="minorHAnsi" w:hAnsiTheme="minorHAnsi"/>
          <w:sz w:val="24"/>
          <w:szCs w:val="24"/>
        </w:rPr>
        <w:t>, p=</w:t>
      </w:r>
      <w:r w:rsidR="00A60A55" w:rsidRPr="00FA09B8">
        <w:rPr>
          <w:rFonts w:asciiTheme="minorHAnsi" w:hAnsiTheme="minorHAnsi"/>
          <w:sz w:val="24"/>
          <w:szCs w:val="24"/>
        </w:rPr>
        <w:t>0.105</w:t>
      </w:r>
      <w:r w:rsidR="00A60A55" w:rsidRPr="00D37E3F">
        <w:rPr>
          <w:rFonts w:asciiTheme="minorHAnsi" w:hAnsiTheme="minorHAnsi"/>
          <w:sz w:val="24"/>
          <w:szCs w:val="24"/>
        </w:rPr>
        <w:t xml:space="preserve">). </w:t>
      </w:r>
      <w:r w:rsidRPr="00D37E3F">
        <w:rPr>
          <w:rFonts w:asciiTheme="minorHAnsi" w:hAnsiTheme="minorHAnsi"/>
          <w:sz w:val="24"/>
          <w:szCs w:val="24"/>
        </w:rPr>
        <w:t xml:space="preserve">The placebo group received significantly more rescue medication and this may have masked </w:t>
      </w:r>
      <w:r w:rsidR="00F90CE9" w:rsidRPr="00D37E3F">
        <w:rPr>
          <w:rFonts w:asciiTheme="minorHAnsi" w:hAnsiTheme="minorHAnsi"/>
          <w:sz w:val="24"/>
          <w:szCs w:val="24"/>
        </w:rPr>
        <w:t xml:space="preserve">the </w:t>
      </w:r>
      <w:r w:rsidRPr="00D37E3F">
        <w:rPr>
          <w:rFonts w:asciiTheme="minorHAnsi" w:hAnsiTheme="minorHAnsi"/>
          <w:sz w:val="24"/>
          <w:szCs w:val="24"/>
        </w:rPr>
        <w:t xml:space="preserve">effect of </w:t>
      </w:r>
      <w:r w:rsidR="00F90CE9" w:rsidRPr="00D37E3F">
        <w:rPr>
          <w:rFonts w:asciiTheme="minorHAnsi" w:hAnsiTheme="minorHAnsi"/>
          <w:sz w:val="24"/>
          <w:szCs w:val="24"/>
        </w:rPr>
        <w:t xml:space="preserve">morphine </w:t>
      </w:r>
      <w:r w:rsidRPr="00D37E3F">
        <w:rPr>
          <w:rFonts w:asciiTheme="minorHAnsi" w:hAnsiTheme="minorHAnsi"/>
          <w:sz w:val="24"/>
          <w:szCs w:val="24"/>
        </w:rPr>
        <w:t xml:space="preserve">in reducing </w:t>
      </w:r>
      <w:r w:rsidR="00F90CE9" w:rsidRPr="00D37E3F">
        <w:rPr>
          <w:rFonts w:asciiTheme="minorHAnsi" w:hAnsiTheme="minorHAnsi"/>
          <w:sz w:val="24"/>
          <w:szCs w:val="24"/>
        </w:rPr>
        <w:t xml:space="preserve">the </w:t>
      </w:r>
      <w:r w:rsidRPr="00D37E3F">
        <w:rPr>
          <w:rFonts w:asciiTheme="minorHAnsi" w:hAnsiTheme="minorHAnsi"/>
          <w:sz w:val="24"/>
          <w:szCs w:val="24"/>
        </w:rPr>
        <w:t>symptoms of breathlessness.</w:t>
      </w:r>
    </w:p>
    <w:p w:rsidR="00C1085D" w:rsidRPr="00D37E3F" w:rsidRDefault="00C1085D" w:rsidP="00AC57BE">
      <w:pPr>
        <w:spacing w:after="120"/>
        <w:rPr>
          <w:rFonts w:asciiTheme="minorHAnsi" w:hAnsiTheme="minorHAnsi"/>
        </w:rPr>
      </w:pPr>
    </w:p>
    <w:p w:rsidR="000349D8" w:rsidRPr="00D37E3F" w:rsidRDefault="00FD6604" w:rsidP="00E57863">
      <w:pPr>
        <w:pStyle w:val="ListParagraph"/>
        <w:numPr>
          <w:ilvl w:val="1"/>
          <w:numId w:val="14"/>
        </w:numPr>
        <w:spacing w:after="120"/>
        <w:rPr>
          <w:rFonts w:asciiTheme="minorHAnsi" w:hAnsiTheme="minorHAnsi"/>
          <w:sz w:val="24"/>
          <w:szCs w:val="24"/>
        </w:rPr>
      </w:pPr>
      <w:r w:rsidRPr="00D37E3F">
        <w:rPr>
          <w:rFonts w:asciiTheme="minorHAnsi" w:hAnsiTheme="minorHAnsi"/>
          <w:sz w:val="24"/>
          <w:szCs w:val="24"/>
        </w:rPr>
        <w:lastRenderedPageBreak/>
        <w:t>T</w:t>
      </w:r>
      <w:r w:rsidR="000349D8" w:rsidRPr="00D37E3F">
        <w:rPr>
          <w:rFonts w:asciiTheme="minorHAnsi" w:hAnsiTheme="minorHAnsi"/>
          <w:sz w:val="24"/>
          <w:szCs w:val="24"/>
        </w:rPr>
        <w:t xml:space="preserve">he subgroup of </w:t>
      </w:r>
      <w:proofErr w:type="spellStart"/>
      <w:r w:rsidR="00A60A55" w:rsidRPr="00D37E3F">
        <w:rPr>
          <w:rFonts w:asciiTheme="minorHAnsi" w:hAnsiTheme="minorHAnsi"/>
          <w:sz w:val="24"/>
          <w:szCs w:val="24"/>
        </w:rPr>
        <w:t>mMRC</w:t>
      </w:r>
      <w:proofErr w:type="spellEnd"/>
      <w:r w:rsidR="00A60A55" w:rsidRPr="00D37E3F">
        <w:rPr>
          <w:rFonts w:asciiTheme="minorHAnsi" w:hAnsiTheme="minorHAnsi"/>
          <w:sz w:val="24"/>
          <w:szCs w:val="24"/>
        </w:rPr>
        <w:t xml:space="preserve"> &gt;3</w:t>
      </w:r>
      <w:r w:rsidRPr="00D37E3F">
        <w:rPr>
          <w:rFonts w:asciiTheme="minorHAnsi" w:hAnsiTheme="minorHAnsi"/>
          <w:sz w:val="24"/>
          <w:szCs w:val="24"/>
        </w:rPr>
        <w:t xml:space="preserve"> </w:t>
      </w:r>
      <w:r w:rsidR="00A60A55" w:rsidRPr="00D37E3F">
        <w:rPr>
          <w:rFonts w:asciiTheme="minorHAnsi" w:hAnsiTheme="minorHAnsi"/>
          <w:sz w:val="24"/>
          <w:szCs w:val="24"/>
        </w:rPr>
        <w:t xml:space="preserve">or 4 </w:t>
      </w:r>
      <w:r w:rsidRPr="00D37E3F">
        <w:rPr>
          <w:rFonts w:asciiTheme="minorHAnsi" w:hAnsiTheme="minorHAnsi"/>
          <w:sz w:val="24"/>
          <w:szCs w:val="24"/>
        </w:rPr>
        <w:t xml:space="preserve">and patients with COPD </w:t>
      </w:r>
      <w:r w:rsidR="00A60A55" w:rsidRPr="00D37E3F">
        <w:rPr>
          <w:rFonts w:asciiTheme="minorHAnsi" w:hAnsiTheme="minorHAnsi"/>
          <w:sz w:val="24"/>
          <w:szCs w:val="24"/>
        </w:rPr>
        <w:t>experienced statistically greater improvement.</w:t>
      </w:r>
    </w:p>
    <w:p w:rsidR="009C58AE" w:rsidRPr="00D37E3F" w:rsidRDefault="000F26B6" w:rsidP="00E57863">
      <w:pPr>
        <w:pStyle w:val="ListParagraph"/>
        <w:numPr>
          <w:ilvl w:val="1"/>
          <w:numId w:val="14"/>
        </w:numPr>
        <w:spacing w:after="120"/>
        <w:rPr>
          <w:sz w:val="24"/>
          <w:szCs w:val="24"/>
        </w:rPr>
      </w:pPr>
      <w:r w:rsidRPr="00D37E3F">
        <w:rPr>
          <w:rFonts w:asciiTheme="minorHAnsi" w:hAnsiTheme="minorHAnsi" w:cstheme="minorHAnsi"/>
          <w:sz w:val="24"/>
          <w:szCs w:val="24"/>
        </w:rPr>
        <w:t xml:space="preserve">Safety was assessed in the MOP study. The safety results were similar </w:t>
      </w:r>
      <w:r w:rsidR="00FD6604" w:rsidRPr="00D37E3F">
        <w:rPr>
          <w:rFonts w:asciiTheme="minorHAnsi" w:hAnsiTheme="minorHAnsi" w:cstheme="minorHAnsi"/>
          <w:sz w:val="24"/>
          <w:szCs w:val="24"/>
        </w:rPr>
        <w:t xml:space="preserve">in the morphine and placebo groups </w:t>
      </w:r>
      <w:r w:rsidRPr="00D37E3F">
        <w:rPr>
          <w:rFonts w:asciiTheme="minorHAnsi" w:hAnsiTheme="minorHAnsi" w:cstheme="minorHAnsi"/>
          <w:sz w:val="24"/>
          <w:szCs w:val="24"/>
        </w:rPr>
        <w:t>in terms of duration of survival, pu</w:t>
      </w:r>
      <w:r w:rsidR="00BF49E8" w:rsidRPr="00D37E3F">
        <w:rPr>
          <w:rFonts w:asciiTheme="minorHAnsi" w:hAnsiTheme="minorHAnsi" w:cstheme="minorHAnsi"/>
          <w:sz w:val="24"/>
          <w:szCs w:val="24"/>
        </w:rPr>
        <w:t>l</w:t>
      </w:r>
      <w:r w:rsidRPr="00D37E3F">
        <w:rPr>
          <w:rFonts w:asciiTheme="minorHAnsi" w:hAnsiTheme="minorHAnsi" w:cstheme="minorHAnsi"/>
          <w:sz w:val="24"/>
          <w:szCs w:val="24"/>
        </w:rPr>
        <w:t>se oximetry and general adverse events. The morphine group experienced statistically</w:t>
      </w:r>
      <w:r w:rsidR="00BF49E8" w:rsidRPr="00D37E3F">
        <w:rPr>
          <w:rFonts w:asciiTheme="minorHAnsi" w:hAnsiTheme="minorHAnsi" w:cstheme="minorHAnsi"/>
          <w:sz w:val="24"/>
          <w:szCs w:val="24"/>
        </w:rPr>
        <w:t xml:space="preserve"> significantly more severe cons</w:t>
      </w:r>
      <w:r w:rsidRPr="00D37E3F">
        <w:rPr>
          <w:rFonts w:asciiTheme="minorHAnsi" w:hAnsiTheme="minorHAnsi" w:cstheme="minorHAnsi"/>
          <w:sz w:val="24"/>
          <w:szCs w:val="24"/>
        </w:rPr>
        <w:t>t</w:t>
      </w:r>
      <w:r w:rsidR="00BF49E8" w:rsidRPr="00D37E3F">
        <w:rPr>
          <w:rFonts w:asciiTheme="minorHAnsi" w:hAnsiTheme="minorHAnsi" w:cstheme="minorHAnsi"/>
          <w:sz w:val="24"/>
          <w:szCs w:val="24"/>
        </w:rPr>
        <w:t>ipation and vomi</w:t>
      </w:r>
      <w:r w:rsidRPr="00D37E3F">
        <w:rPr>
          <w:rFonts w:asciiTheme="minorHAnsi" w:hAnsiTheme="minorHAnsi" w:cstheme="minorHAnsi"/>
          <w:sz w:val="24"/>
          <w:szCs w:val="24"/>
        </w:rPr>
        <w:t>t</w:t>
      </w:r>
      <w:r w:rsidR="00BF49E8" w:rsidRPr="00D37E3F">
        <w:rPr>
          <w:rFonts w:asciiTheme="minorHAnsi" w:hAnsiTheme="minorHAnsi" w:cstheme="minorHAnsi"/>
          <w:sz w:val="24"/>
          <w:szCs w:val="24"/>
        </w:rPr>
        <w:t>ing that th</w:t>
      </w:r>
      <w:r w:rsidRPr="00D37E3F">
        <w:rPr>
          <w:rFonts w:asciiTheme="minorHAnsi" w:hAnsiTheme="minorHAnsi" w:cstheme="minorHAnsi"/>
          <w:sz w:val="24"/>
          <w:szCs w:val="24"/>
        </w:rPr>
        <w:t>e placebo group.</w:t>
      </w:r>
    </w:p>
    <w:p w:rsidR="009C58AE" w:rsidRPr="00D37E3F" w:rsidRDefault="00206DE1" w:rsidP="00E57863">
      <w:pPr>
        <w:pStyle w:val="Heading2"/>
        <w:keepLines/>
        <w:spacing w:after="120"/>
        <w:rPr>
          <w:rFonts w:asciiTheme="minorHAnsi" w:eastAsiaTheme="majorEastAsia" w:hAnsiTheme="minorHAnsi" w:cstheme="majorBidi"/>
          <w:sz w:val="28"/>
          <w:szCs w:val="28"/>
          <w:lang w:eastAsia="en-US"/>
        </w:rPr>
      </w:pPr>
      <w:r w:rsidRPr="00D37E3F">
        <w:rPr>
          <w:rFonts w:asciiTheme="minorHAnsi" w:eastAsiaTheme="majorEastAsia" w:hAnsiTheme="minorHAnsi" w:cstheme="majorBidi"/>
          <w:sz w:val="28"/>
          <w:szCs w:val="28"/>
          <w:lang w:eastAsia="en-US"/>
        </w:rPr>
        <w:t>Cochrane Review</w:t>
      </w:r>
    </w:p>
    <w:p w:rsidR="003C4018" w:rsidRPr="00D37E3F" w:rsidRDefault="00E9193D" w:rsidP="00E57863">
      <w:pPr>
        <w:pStyle w:val="ListParagraph"/>
        <w:numPr>
          <w:ilvl w:val="1"/>
          <w:numId w:val="14"/>
        </w:numPr>
        <w:spacing w:after="120"/>
        <w:rPr>
          <w:sz w:val="24"/>
          <w:szCs w:val="24"/>
        </w:rPr>
      </w:pPr>
      <w:r w:rsidRPr="00D37E3F">
        <w:rPr>
          <w:rFonts w:asciiTheme="minorHAnsi" w:hAnsiTheme="minorHAnsi" w:cstheme="minorHAnsi"/>
          <w:sz w:val="24"/>
          <w:szCs w:val="24"/>
        </w:rPr>
        <w:t xml:space="preserve">The Cochrane Review </w:t>
      </w:r>
      <w:r w:rsidR="00BF49E8" w:rsidRPr="00D37E3F">
        <w:rPr>
          <w:rFonts w:asciiTheme="minorHAnsi" w:hAnsiTheme="minorHAnsi" w:cstheme="minorHAnsi"/>
          <w:sz w:val="24"/>
          <w:szCs w:val="24"/>
        </w:rPr>
        <w:t xml:space="preserve">aimed to determine the difference in effectiveness of opioid drugs in relieving the symptoms of breathlessness in patients with advanced disease. The primary outcome was subjective measures of breathlessness and any randomised controlled trial for any opioid or mode of administration was accepted. </w:t>
      </w:r>
      <w:r w:rsidR="001B1835" w:rsidRPr="00D37E3F">
        <w:rPr>
          <w:rFonts w:asciiTheme="minorHAnsi" w:hAnsiTheme="minorHAnsi" w:cstheme="minorHAnsi"/>
          <w:sz w:val="24"/>
          <w:szCs w:val="24"/>
        </w:rPr>
        <w:t>Eighteen studies, 276 participants, provided data for the primary outcome</w:t>
      </w:r>
      <w:r w:rsidR="00206DE1" w:rsidRPr="00D37E3F">
        <w:rPr>
          <w:rFonts w:asciiTheme="minorHAnsi" w:hAnsiTheme="minorHAnsi" w:cstheme="minorHAnsi"/>
          <w:sz w:val="24"/>
          <w:szCs w:val="24"/>
        </w:rPr>
        <w:t xml:space="preserve"> a</w:t>
      </w:r>
      <w:r w:rsidR="001B1835" w:rsidRPr="00D37E3F">
        <w:rPr>
          <w:rFonts w:asciiTheme="minorHAnsi" w:hAnsiTheme="minorHAnsi" w:cstheme="minorHAnsi"/>
          <w:sz w:val="24"/>
          <w:szCs w:val="24"/>
        </w:rPr>
        <w:t xml:space="preserve">nd were included in a meta-analysis. </w:t>
      </w:r>
      <w:r w:rsidR="00FA42F6" w:rsidRPr="00D37E3F">
        <w:rPr>
          <w:rFonts w:asciiTheme="minorHAnsi" w:hAnsiTheme="minorHAnsi" w:cstheme="minorHAnsi"/>
          <w:sz w:val="24"/>
          <w:szCs w:val="24"/>
        </w:rPr>
        <w:t>The meta-analysis (fixed-tre</w:t>
      </w:r>
      <w:r w:rsidR="00466D10" w:rsidRPr="00D37E3F">
        <w:rPr>
          <w:rFonts w:asciiTheme="minorHAnsi" w:hAnsiTheme="minorHAnsi" w:cstheme="minorHAnsi"/>
          <w:sz w:val="24"/>
          <w:szCs w:val="24"/>
        </w:rPr>
        <w:t>a</w:t>
      </w:r>
      <w:r w:rsidR="00FA42F6" w:rsidRPr="00D37E3F">
        <w:rPr>
          <w:rFonts w:asciiTheme="minorHAnsi" w:hAnsiTheme="minorHAnsi" w:cstheme="minorHAnsi"/>
          <w:sz w:val="24"/>
          <w:szCs w:val="24"/>
        </w:rPr>
        <w:t>tment effects) demonstrated a small treatment effect for breathlessness. In the 7 studies reporting change from baseline</w:t>
      </w:r>
      <w:r w:rsidR="00206DE1" w:rsidRPr="00D37E3F">
        <w:rPr>
          <w:rFonts w:asciiTheme="minorHAnsi" w:hAnsiTheme="minorHAnsi" w:cstheme="minorHAnsi"/>
          <w:sz w:val="24"/>
          <w:szCs w:val="24"/>
        </w:rPr>
        <w:t>,</w:t>
      </w:r>
      <w:r w:rsidR="00FA42F6" w:rsidRPr="00D37E3F">
        <w:rPr>
          <w:rFonts w:asciiTheme="minorHAnsi" w:hAnsiTheme="minorHAnsi" w:cstheme="minorHAnsi"/>
          <w:sz w:val="24"/>
          <w:szCs w:val="24"/>
        </w:rPr>
        <w:t xml:space="preserve"> the outcome was calculated by the Cochrane authors as standard mean difference (</w:t>
      </w:r>
      <w:r w:rsidR="003C4018" w:rsidRPr="00D37E3F">
        <w:rPr>
          <w:rFonts w:asciiTheme="minorHAnsi" w:hAnsiTheme="minorHAnsi" w:cstheme="minorHAnsi"/>
          <w:sz w:val="24"/>
          <w:szCs w:val="24"/>
        </w:rPr>
        <w:t xml:space="preserve">SMD = </w:t>
      </w:r>
      <w:r w:rsidR="00FA42F6" w:rsidRPr="00D37E3F">
        <w:rPr>
          <w:rFonts w:asciiTheme="minorHAnsi" w:hAnsiTheme="minorHAnsi" w:cstheme="minorHAnsi"/>
          <w:sz w:val="24"/>
          <w:szCs w:val="24"/>
        </w:rPr>
        <w:t>-0.09, 95% CI -0.36, 0.19, p=0.54)</w:t>
      </w:r>
      <w:r w:rsidR="00AA2CE1" w:rsidRPr="00D37E3F">
        <w:rPr>
          <w:rFonts w:asciiTheme="minorHAnsi" w:hAnsiTheme="minorHAnsi" w:cstheme="minorHAnsi"/>
          <w:sz w:val="24"/>
          <w:szCs w:val="24"/>
        </w:rPr>
        <w:t xml:space="preserve"> favouring opiates</w:t>
      </w:r>
      <w:r w:rsidR="00FA42F6" w:rsidRPr="00D37E3F">
        <w:rPr>
          <w:rFonts w:asciiTheme="minorHAnsi" w:hAnsiTheme="minorHAnsi" w:cstheme="minorHAnsi"/>
          <w:sz w:val="24"/>
          <w:szCs w:val="24"/>
        </w:rPr>
        <w:t>. The authors acknowledged difficulty in combining scores from different studies and that this contributed to error in the analysis. The heterogeneity was high, I</w:t>
      </w:r>
      <w:r w:rsidR="00FA42F6" w:rsidRPr="00D37E3F">
        <w:rPr>
          <w:rFonts w:asciiTheme="minorHAnsi" w:hAnsiTheme="minorHAnsi" w:cstheme="minorHAnsi"/>
          <w:sz w:val="24"/>
          <w:szCs w:val="24"/>
          <w:vertAlign w:val="superscript"/>
        </w:rPr>
        <w:t>2</w:t>
      </w:r>
      <w:r w:rsidR="00FA42F6" w:rsidRPr="00D37E3F">
        <w:rPr>
          <w:rFonts w:asciiTheme="minorHAnsi" w:hAnsiTheme="minorHAnsi" w:cstheme="minorHAnsi"/>
          <w:sz w:val="24"/>
          <w:szCs w:val="24"/>
        </w:rPr>
        <w:t xml:space="preserve">=75%. The quality of evidence was considered low (Cochrane risk of bias assessment tool). </w:t>
      </w:r>
      <w:r w:rsidR="003C4018" w:rsidRPr="00D37E3F">
        <w:rPr>
          <w:rFonts w:asciiTheme="minorHAnsi" w:hAnsiTheme="minorHAnsi" w:cstheme="minorHAnsi"/>
          <w:sz w:val="24"/>
          <w:szCs w:val="24"/>
        </w:rPr>
        <w:t>The studies had very small sample sizes, variable durations of therapy and different types of opiate product</w:t>
      </w:r>
      <w:r w:rsidR="00206DE1" w:rsidRPr="00D37E3F">
        <w:rPr>
          <w:rFonts w:asciiTheme="minorHAnsi" w:hAnsiTheme="minorHAnsi" w:cstheme="minorHAnsi"/>
          <w:sz w:val="24"/>
          <w:szCs w:val="24"/>
        </w:rPr>
        <w:t>.</w:t>
      </w:r>
      <w:r w:rsidR="003C4018" w:rsidRPr="00D37E3F">
        <w:rPr>
          <w:rFonts w:asciiTheme="minorHAnsi" w:hAnsiTheme="minorHAnsi" w:cstheme="minorHAnsi"/>
          <w:sz w:val="24"/>
          <w:szCs w:val="24"/>
        </w:rPr>
        <w:t xml:space="preserve"> </w:t>
      </w:r>
      <w:r w:rsidR="00206DE1" w:rsidRPr="00D37E3F">
        <w:rPr>
          <w:rFonts w:asciiTheme="minorHAnsi" w:hAnsiTheme="minorHAnsi" w:cstheme="minorHAnsi"/>
          <w:sz w:val="24"/>
          <w:szCs w:val="24"/>
        </w:rPr>
        <w:t>I</w:t>
      </w:r>
      <w:r w:rsidR="003C4018" w:rsidRPr="00D37E3F">
        <w:rPr>
          <w:rFonts w:asciiTheme="minorHAnsi" w:hAnsiTheme="minorHAnsi" w:cstheme="minorHAnsi"/>
          <w:sz w:val="24"/>
          <w:szCs w:val="24"/>
        </w:rPr>
        <w:t>nformation was difficult to extract for the risk of bias assessment for many studies.</w:t>
      </w:r>
    </w:p>
    <w:p w:rsidR="003C4018" w:rsidRPr="00D37E3F" w:rsidRDefault="003C4018" w:rsidP="00E57863">
      <w:pPr>
        <w:pStyle w:val="ListParagraph"/>
        <w:numPr>
          <w:ilvl w:val="1"/>
          <w:numId w:val="14"/>
        </w:numPr>
        <w:spacing w:after="120"/>
        <w:rPr>
          <w:sz w:val="24"/>
          <w:szCs w:val="24"/>
        </w:rPr>
      </w:pPr>
      <w:r w:rsidRPr="00D37E3F">
        <w:rPr>
          <w:rFonts w:asciiTheme="minorHAnsi" w:hAnsiTheme="minorHAnsi" w:cstheme="minorHAnsi"/>
          <w:sz w:val="24"/>
          <w:szCs w:val="24"/>
        </w:rPr>
        <w:t>Pre-specified subgroup analyses were undertaken for type of opioid, condition, mode of administration, dose and comparisons with other interventions.</w:t>
      </w:r>
      <w:r w:rsidR="00AC48A3" w:rsidRPr="00D37E3F">
        <w:rPr>
          <w:rFonts w:asciiTheme="minorHAnsi" w:hAnsiTheme="minorHAnsi" w:cstheme="minorHAnsi"/>
          <w:sz w:val="24"/>
          <w:szCs w:val="24"/>
        </w:rPr>
        <w:t xml:space="preserve"> Results relevant to the submission to list morphine on the PBS are listed below</w:t>
      </w:r>
      <w:r w:rsidR="008F140A" w:rsidRPr="00D37E3F">
        <w:rPr>
          <w:rFonts w:asciiTheme="minorHAnsi" w:hAnsiTheme="minorHAnsi" w:cstheme="minorHAnsi"/>
          <w:sz w:val="24"/>
          <w:szCs w:val="24"/>
        </w:rPr>
        <w:t>:</w:t>
      </w:r>
    </w:p>
    <w:p w:rsidR="003C4018" w:rsidRPr="00D37E3F" w:rsidRDefault="003C4018" w:rsidP="00E57863">
      <w:pPr>
        <w:pStyle w:val="ListParagraph"/>
        <w:numPr>
          <w:ilvl w:val="0"/>
          <w:numId w:val="21"/>
        </w:numPr>
        <w:spacing w:after="120"/>
        <w:rPr>
          <w:rFonts w:asciiTheme="minorHAnsi" w:hAnsiTheme="minorHAnsi" w:cstheme="minorHAnsi"/>
          <w:sz w:val="24"/>
          <w:szCs w:val="24"/>
        </w:rPr>
      </w:pPr>
      <w:r w:rsidRPr="00D37E3F">
        <w:rPr>
          <w:rFonts w:asciiTheme="minorHAnsi" w:hAnsiTheme="minorHAnsi" w:cstheme="minorHAnsi"/>
          <w:sz w:val="24"/>
          <w:szCs w:val="24"/>
        </w:rPr>
        <w:t>Morphine showed a strong</w:t>
      </w:r>
      <w:r w:rsidR="00AA2CE1" w:rsidRPr="00D37E3F">
        <w:rPr>
          <w:rFonts w:asciiTheme="minorHAnsi" w:hAnsiTheme="minorHAnsi" w:cstheme="minorHAnsi"/>
          <w:sz w:val="24"/>
          <w:szCs w:val="24"/>
        </w:rPr>
        <w:t>er</w:t>
      </w:r>
      <w:r w:rsidRPr="00D37E3F">
        <w:rPr>
          <w:rFonts w:asciiTheme="minorHAnsi" w:hAnsiTheme="minorHAnsi" w:cstheme="minorHAnsi"/>
          <w:sz w:val="24"/>
          <w:szCs w:val="24"/>
        </w:rPr>
        <w:t xml:space="preserve"> treatment effect</w:t>
      </w:r>
      <w:r w:rsidR="00466D10" w:rsidRPr="00D37E3F">
        <w:rPr>
          <w:rFonts w:asciiTheme="minorHAnsi" w:hAnsiTheme="minorHAnsi" w:cstheme="minorHAnsi"/>
          <w:sz w:val="24"/>
          <w:szCs w:val="24"/>
        </w:rPr>
        <w:t xml:space="preserve"> than other opioids</w:t>
      </w:r>
      <w:r w:rsidRPr="00D37E3F">
        <w:rPr>
          <w:rFonts w:asciiTheme="minorHAnsi" w:hAnsiTheme="minorHAnsi" w:cstheme="minorHAnsi"/>
          <w:sz w:val="24"/>
          <w:szCs w:val="24"/>
        </w:rPr>
        <w:t>: 5 studies, 77 participants, SMD = -0.18, 95% CI -0.51, 0.15, p=0.28)</w:t>
      </w:r>
      <w:r w:rsidR="00AC48A3" w:rsidRPr="00D37E3F">
        <w:rPr>
          <w:rFonts w:asciiTheme="minorHAnsi" w:hAnsiTheme="minorHAnsi" w:cstheme="minorHAnsi"/>
          <w:sz w:val="24"/>
          <w:szCs w:val="24"/>
        </w:rPr>
        <w:t>. I</w:t>
      </w:r>
      <w:r w:rsidR="00AC48A3" w:rsidRPr="00D37E3F">
        <w:rPr>
          <w:rFonts w:asciiTheme="minorHAnsi" w:hAnsiTheme="minorHAnsi" w:cstheme="minorHAnsi"/>
          <w:sz w:val="24"/>
          <w:szCs w:val="24"/>
          <w:vertAlign w:val="superscript"/>
        </w:rPr>
        <w:t>2</w:t>
      </w:r>
      <w:r w:rsidR="00AC48A3" w:rsidRPr="00D37E3F">
        <w:rPr>
          <w:rFonts w:asciiTheme="minorHAnsi" w:hAnsiTheme="minorHAnsi" w:cstheme="minorHAnsi"/>
          <w:sz w:val="24"/>
          <w:szCs w:val="24"/>
        </w:rPr>
        <w:t>=81%</w:t>
      </w:r>
      <w:r w:rsidR="00AA2CE1" w:rsidRPr="00D37E3F">
        <w:rPr>
          <w:rFonts w:asciiTheme="minorHAnsi" w:hAnsiTheme="minorHAnsi" w:cstheme="minorHAnsi"/>
          <w:sz w:val="24"/>
          <w:szCs w:val="24"/>
        </w:rPr>
        <w:t>.</w:t>
      </w:r>
    </w:p>
    <w:p w:rsidR="00AC48A3" w:rsidRPr="00D37E3F" w:rsidRDefault="00AC48A3" w:rsidP="00E57863">
      <w:pPr>
        <w:pStyle w:val="ListParagraph"/>
        <w:numPr>
          <w:ilvl w:val="0"/>
          <w:numId w:val="21"/>
        </w:numPr>
        <w:spacing w:after="120"/>
        <w:rPr>
          <w:rFonts w:asciiTheme="minorHAnsi" w:hAnsiTheme="minorHAnsi" w:cstheme="minorHAnsi"/>
          <w:sz w:val="24"/>
          <w:szCs w:val="24"/>
        </w:rPr>
      </w:pPr>
      <w:r w:rsidRPr="00D37E3F">
        <w:rPr>
          <w:rFonts w:asciiTheme="minorHAnsi" w:hAnsiTheme="minorHAnsi" w:cstheme="minorHAnsi"/>
          <w:sz w:val="24"/>
          <w:szCs w:val="24"/>
        </w:rPr>
        <w:t xml:space="preserve">The </w:t>
      </w:r>
      <w:r w:rsidR="00466D10" w:rsidRPr="00D37E3F">
        <w:rPr>
          <w:rFonts w:asciiTheme="minorHAnsi" w:hAnsiTheme="minorHAnsi" w:cstheme="minorHAnsi"/>
          <w:sz w:val="24"/>
          <w:szCs w:val="24"/>
        </w:rPr>
        <w:t>opioid</w:t>
      </w:r>
      <w:r w:rsidRPr="00D37E3F">
        <w:rPr>
          <w:rFonts w:asciiTheme="minorHAnsi" w:hAnsiTheme="minorHAnsi" w:cstheme="minorHAnsi"/>
          <w:sz w:val="24"/>
          <w:szCs w:val="24"/>
        </w:rPr>
        <w:t xml:space="preserve"> dose in most studies was equivalent to 20 – 30</w:t>
      </w:r>
      <w:r w:rsidR="004D7017" w:rsidRPr="00D37E3F">
        <w:rPr>
          <w:rFonts w:asciiTheme="minorHAnsi" w:hAnsiTheme="minorHAnsi" w:cstheme="minorHAnsi"/>
          <w:sz w:val="24"/>
          <w:szCs w:val="24"/>
        </w:rPr>
        <w:t xml:space="preserve"> </w:t>
      </w:r>
      <w:r w:rsidRPr="00D37E3F">
        <w:rPr>
          <w:rFonts w:asciiTheme="minorHAnsi" w:hAnsiTheme="minorHAnsi" w:cstheme="minorHAnsi"/>
          <w:sz w:val="24"/>
          <w:szCs w:val="24"/>
        </w:rPr>
        <w:t>mg of morphine.</w:t>
      </w:r>
    </w:p>
    <w:p w:rsidR="00AA2CE1" w:rsidRPr="00D37E3F" w:rsidRDefault="00AA2CE1" w:rsidP="00E57863">
      <w:pPr>
        <w:pStyle w:val="ListParagraph"/>
        <w:numPr>
          <w:ilvl w:val="0"/>
          <w:numId w:val="21"/>
        </w:numPr>
        <w:spacing w:after="120"/>
        <w:rPr>
          <w:rFonts w:asciiTheme="minorHAnsi" w:hAnsiTheme="minorHAnsi" w:cstheme="minorHAnsi"/>
          <w:sz w:val="24"/>
          <w:szCs w:val="24"/>
        </w:rPr>
      </w:pPr>
      <w:r w:rsidRPr="00D37E3F">
        <w:rPr>
          <w:rFonts w:asciiTheme="minorHAnsi" w:hAnsiTheme="minorHAnsi" w:cstheme="minorHAnsi"/>
          <w:sz w:val="24"/>
          <w:szCs w:val="24"/>
        </w:rPr>
        <w:t>There was i</w:t>
      </w:r>
      <w:r w:rsidR="00466D10" w:rsidRPr="00D37E3F">
        <w:rPr>
          <w:rFonts w:asciiTheme="minorHAnsi" w:hAnsiTheme="minorHAnsi" w:cstheme="minorHAnsi"/>
          <w:sz w:val="24"/>
          <w:szCs w:val="24"/>
        </w:rPr>
        <w:t xml:space="preserve">nsufficient data to show </w:t>
      </w:r>
      <w:r w:rsidR="009B6B20" w:rsidRPr="00D37E3F">
        <w:rPr>
          <w:rFonts w:asciiTheme="minorHAnsi" w:hAnsiTheme="minorHAnsi" w:cstheme="minorHAnsi"/>
          <w:sz w:val="24"/>
          <w:szCs w:val="24"/>
        </w:rPr>
        <w:t xml:space="preserve">whether </w:t>
      </w:r>
      <w:r w:rsidR="00466D10" w:rsidRPr="00D37E3F">
        <w:rPr>
          <w:rFonts w:asciiTheme="minorHAnsi" w:hAnsiTheme="minorHAnsi" w:cstheme="minorHAnsi"/>
          <w:sz w:val="24"/>
          <w:szCs w:val="24"/>
        </w:rPr>
        <w:t>opioid</w:t>
      </w:r>
      <w:r w:rsidR="009B6B20" w:rsidRPr="00D37E3F">
        <w:rPr>
          <w:rFonts w:asciiTheme="minorHAnsi" w:hAnsiTheme="minorHAnsi" w:cstheme="minorHAnsi"/>
          <w:sz w:val="24"/>
          <w:szCs w:val="24"/>
        </w:rPr>
        <w:t>s</w:t>
      </w:r>
      <w:r w:rsidRPr="00D37E3F">
        <w:rPr>
          <w:rFonts w:asciiTheme="minorHAnsi" w:hAnsiTheme="minorHAnsi" w:cstheme="minorHAnsi"/>
          <w:sz w:val="24"/>
          <w:szCs w:val="24"/>
        </w:rPr>
        <w:t xml:space="preserve"> were more beneficial in any specific condition (COPD, heart failure, cancer-related breathlessness, interstitial lung disease). </w:t>
      </w:r>
    </w:p>
    <w:p w:rsidR="00AC48A3" w:rsidRPr="00D37E3F" w:rsidRDefault="00AA2CE1" w:rsidP="00E57863">
      <w:pPr>
        <w:pStyle w:val="ListParagraph"/>
        <w:numPr>
          <w:ilvl w:val="1"/>
          <w:numId w:val="14"/>
        </w:numPr>
        <w:spacing w:after="120"/>
        <w:rPr>
          <w:rFonts w:asciiTheme="minorHAnsi" w:hAnsiTheme="minorHAnsi" w:cstheme="minorHAnsi"/>
          <w:sz w:val="24"/>
          <w:szCs w:val="24"/>
        </w:rPr>
      </w:pPr>
      <w:r w:rsidRPr="00D37E3F">
        <w:rPr>
          <w:rFonts w:asciiTheme="minorHAnsi" w:hAnsiTheme="minorHAnsi" w:cstheme="minorHAnsi"/>
          <w:sz w:val="24"/>
          <w:szCs w:val="24"/>
        </w:rPr>
        <w:t>The Cochrane Review concluded there is low quality evidence showing benefit for the use of oral opioids for the relief of breathlessness in adults with advanced disease and terminal illness. The</w:t>
      </w:r>
      <w:r w:rsidR="009B6B20" w:rsidRPr="00D37E3F">
        <w:rPr>
          <w:rFonts w:asciiTheme="minorHAnsi" w:hAnsiTheme="minorHAnsi" w:cstheme="minorHAnsi"/>
          <w:sz w:val="24"/>
          <w:szCs w:val="24"/>
        </w:rPr>
        <w:t>re appeared to be a small</w:t>
      </w:r>
      <w:r w:rsidRPr="00D37E3F">
        <w:rPr>
          <w:rFonts w:asciiTheme="minorHAnsi" w:hAnsiTheme="minorHAnsi" w:cstheme="minorHAnsi"/>
          <w:sz w:val="24"/>
          <w:szCs w:val="24"/>
        </w:rPr>
        <w:t xml:space="preserve"> treatment </w:t>
      </w:r>
      <w:r w:rsidR="00876E95" w:rsidRPr="00D37E3F">
        <w:rPr>
          <w:rFonts w:asciiTheme="minorHAnsi" w:hAnsiTheme="minorHAnsi" w:cstheme="minorHAnsi"/>
          <w:sz w:val="24"/>
          <w:szCs w:val="24"/>
        </w:rPr>
        <w:t>effect but</w:t>
      </w:r>
      <w:r w:rsidRPr="00D37E3F">
        <w:rPr>
          <w:rFonts w:asciiTheme="minorHAnsi" w:hAnsiTheme="minorHAnsi" w:cstheme="minorHAnsi"/>
          <w:sz w:val="24"/>
          <w:szCs w:val="24"/>
        </w:rPr>
        <w:t xml:space="preserve"> the meta-analysis was constrained by difficulty in pooling the treatment effect owing to the variety of measurement scores for breathlessness.</w:t>
      </w:r>
    </w:p>
    <w:p w:rsidR="009B6B20" w:rsidRPr="00D37E3F" w:rsidRDefault="009B6B20" w:rsidP="00E57863">
      <w:pPr>
        <w:pStyle w:val="Heading2"/>
        <w:keepLines/>
        <w:spacing w:after="120"/>
        <w:rPr>
          <w:rFonts w:asciiTheme="minorHAnsi" w:eastAsiaTheme="majorEastAsia" w:hAnsiTheme="minorHAnsi" w:cstheme="majorBidi"/>
          <w:sz w:val="28"/>
          <w:szCs w:val="28"/>
        </w:rPr>
      </w:pPr>
      <w:proofErr w:type="spellStart"/>
      <w:r w:rsidRPr="00D37E3F">
        <w:rPr>
          <w:rFonts w:asciiTheme="minorHAnsi" w:eastAsiaTheme="majorEastAsia" w:hAnsiTheme="minorHAnsi" w:cstheme="majorBidi"/>
          <w:sz w:val="28"/>
          <w:szCs w:val="28"/>
          <w:lang w:eastAsia="en-US"/>
        </w:rPr>
        <w:t>Ekstrőm</w:t>
      </w:r>
      <w:proofErr w:type="spellEnd"/>
      <w:r w:rsidRPr="00D37E3F">
        <w:rPr>
          <w:rFonts w:asciiTheme="minorHAnsi" w:eastAsiaTheme="majorEastAsia" w:hAnsiTheme="minorHAnsi" w:cstheme="majorBidi"/>
          <w:sz w:val="28"/>
          <w:szCs w:val="28"/>
          <w:lang w:eastAsia="en-US"/>
        </w:rPr>
        <w:t xml:space="preserve"> M et al</w:t>
      </w:r>
    </w:p>
    <w:p w:rsidR="00AA2CE1" w:rsidRPr="00D37E3F" w:rsidRDefault="00AA2CE1" w:rsidP="00E57863">
      <w:pPr>
        <w:pStyle w:val="ListParagraph"/>
        <w:numPr>
          <w:ilvl w:val="1"/>
          <w:numId w:val="14"/>
        </w:numPr>
        <w:spacing w:after="120"/>
        <w:rPr>
          <w:rFonts w:asciiTheme="minorHAnsi" w:eastAsiaTheme="minorHAnsi" w:hAnsiTheme="minorHAnsi" w:cstheme="minorBidi"/>
          <w:snapToGrid/>
          <w:sz w:val="24"/>
          <w:szCs w:val="22"/>
        </w:rPr>
      </w:pPr>
      <w:proofErr w:type="spellStart"/>
      <w:r w:rsidRPr="00D37E3F">
        <w:rPr>
          <w:rFonts w:asciiTheme="minorHAnsi" w:eastAsiaTheme="minorHAnsi" w:hAnsiTheme="minorHAnsi" w:cstheme="minorBidi"/>
          <w:snapToGrid/>
          <w:sz w:val="24"/>
          <w:szCs w:val="22"/>
        </w:rPr>
        <w:t>Ekstr</w:t>
      </w:r>
      <w:r w:rsidR="009B6B20" w:rsidRPr="00D37E3F">
        <w:rPr>
          <w:rFonts w:asciiTheme="minorHAnsi" w:eastAsiaTheme="minorHAnsi" w:hAnsiTheme="minorHAnsi" w:cstheme="minorHAnsi"/>
          <w:snapToGrid/>
          <w:sz w:val="24"/>
          <w:szCs w:val="22"/>
        </w:rPr>
        <w:t>ő</w:t>
      </w:r>
      <w:r w:rsidRPr="00D37E3F">
        <w:rPr>
          <w:rFonts w:asciiTheme="minorHAnsi" w:eastAsiaTheme="minorHAnsi" w:hAnsiTheme="minorHAnsi" w:cstheme="minorBidi"/>
          <w:snapToGrid/>
          <w:sz w:val="24"/>
          <w:szCs w:val="22"/>
        </w:rPr>
        <w:t>m</w:t>
      </w:r>
      <w:proofErr w:type="spellEnd"/>
      <w:r w:rsidRPr="00D37E3F">
        <w:rPr>
          <w:rFonts w:asciiTheme="minorHAnsi" w:eastAsiaTheme="minorHAnsi" w:hAnsiTheme="minorHAnsi" w:cstheme="minorBidi"/>
          <w:snapToGrid/>
          <w:sz w:val="24"/>
          <w:szCs w:val="22"/>
        </w:rPr>
        <w:t xml:space="preserve"> et</w:t>
      </w:r>
      <w:r w:rsidR="00466D10" w:rsidRPr="00D37E3F">
        <w:rPr>
          <w:rFonts w:asciiTheme="minorHAnsi" w:eastAsiaTheme="minorHAnsi" w:hAnsiTheme="minorHAnsi" w:cstheme="minorBidi"/>
          <w:snapToGrid/>
          <w:sz w:val="24"/>
          <w:szCs w:val="22"/>
        </w:rPr>
        <w:t>.</w:t>
      </w:r>
      <w:r w:rsidRPr="00D37E3F">
        <w:rPr>
          <w:rFonts w:asciiTheme="minorHAnsi" w:eastAsiaTheme="minorHAnsi" w:hAnsiTheme="minorHAnsi" w:cstheme="minorBidi"/>
          <w:snapToGrid/>
          <w:sz w:val="24"/>
          <w:szCs w:val="22"/>
        </w:rPr>
        <w:t xml:space="preserve"> al</w:t>
      </w:r>
      <w:r w:rsidR="008462C2" w:rsidRPr="00D37E3F">
        <w:rPr>
          <w:rFonts w:asciiTheme="minorHAnsi" w:eastAsiaTheme="minorHAnsi" w:hAnsiTheme="minorHAnsi" w:cstheme="minorBidi"/>
          <w:snapToGrid/>
          <w:sz w:val="24"/>
          <w:szCs w:val="22"/>
        </w:rPr>
        <w:t>. (</w:t>
      </w:r>
      <w:r w:rsidR="00466D10" w:rsidRPr="00D37E3F">
        <w:rPr>
          <w:rFonts w:asciiTheme="minorHAnsi" w:eastAsiaTheme="minorHAnsi" w:hAnsiTheme="minorHAnsi" w:cstheme="minorBidi"/>
          <w:snapToGrid/>
          <w:sz w:val="24"/>
          <w:szCs w:val="22"/>
        </w:rPr>
        <w:t>2016)</w:t>
      </w:r>
      <w:r w:rsidRPr="00D37E3F">
        <w:rPr>
          <w:rFonts w:asciiTheme="minorHAnsi" w:eastAsiaTheme="minorHAnsi" w:hAnsiTheme="minorHAnsi" w:cstheme="minorBidi"/>
          <w:snapToGrid/>
          <w:sz w:val="24"/>
          <w:szCs w:val="22"/>
        </w:rPr>
        <w:t xml:space="preserve"> re-analysed the meta-analysis from the Cochrane Revi</w:t>
      </w:r>
      <w:r w:rsidR="00466D10" w:rsidRPr="00D37E3F">
        <w:rPr>
          <w:rFonts w:asciiTheme="minorHAnsi" w:eastAsiaTheme="minorHAnsi" w:hAnsiTheme="minorHAnsi" w:cstheme="minorBidi"/>
          <w:snapToGrid/>
          <w:sz w:val="24"/>
          <w:szCs w:val="22"/>
        </w:rPr>
        <w:t xml:space="preserve">ew using a random effects model </w:t>
      </w:r>
      <w:r w:rsidRPr="00D37E3F">
        <w:rPr>
          <w:rFonts w:asciiTheme="minorHAnsi" w:eastAsiaTheme="minorHAnsi" w:hAnsiTheme="minorHAnsi" w:cstheme="minorBidi"/>
          <w:snapToGrid/>
          <w:sz w:val="24"/>
          <w:szCs w:val="22"/>
        </w:rPr>
        <w:t xml:space="preserve">and accounting for matched data of </w:t>
      </w:r>
      <w:r w:rsidR="00D37E3F" w:rsidRPr="00D37E3F">
        <w:rPr>
          <w:rFonts w:asciiTheme="minorHAnsi" w:eastAsiaTheme="minorHAnsi" w:hAnsiTheme="minorHAnsi" w:cstheme="minorBidi"/>
          <w:snapToGrid/>
          <w:sz w:val="24"/>
          <w:szCs w:val="22"/>
        </w:rPr>
        <w:t>crossover</w:t>
      </w:r>
      <w:r w:rsidRPr="00D37E3F">
        <w:rPr>
          <w:rFonts w:asciiTheme="minorHAnsi" w:eastAsiaTheme="minorHAnsi" w:hAnsiTheme="minorHAnsi" w:cstheme="minorBidi"/>
          <w:snapToGrid/>
          <w:sz w:val="24"/>
          <w:szCs w:val="22"/>
        </w:rPr>
        <w:t xml:space="preserve"> trials</w:t>
      </w:r>
      <w:r w:rsidR="00466D10" w:rsidRPr="00D37E3F">
        <w:rPr>
          <w:rFonts w:asciiTheme="minorHAnsi" w:eastAsiaTheme="minorHAnsi" w:hAnsiTheme="minorHAnsi" w:cstheme="minorBidi"/>
          <w:snapToGrid/>
          <w:sz w:val="24"/>
          <w:szCs w:val="22"/>
        </w:rPr>
        <w:t xml:space="preserve"> in eleven studies</w:t>
      </w:r>
      <w:r w:rsidRPr="00D37E3F">
        <w:rPr>
          <w:rFonts w:asciiTheme="minorHAnsi" w:eastAsiaTheme="minorHAnsi" w:hAnsiTheme="minorHAnsi" w:cstheme="minorBidi"/>
          <w:snapToGrid/>
          <w:sz w:val="24"/>
          <w:szCs w:val="22"/>
        </w:rPr>
        <w:t xml:space="preserve">. In the pooled analysis </w:t>
      </w:r>
      <w:r w:rsidR="00466D10" w:rsidRPr="00D37E3F">
        <w:rPr>
          <w:rFonts w:asciiTheme="minorHAnsi" w:eastAsiaTheme="minorHAnsi" w:hAnsiTheme="minorHAnsi" w:cstheme="minorBidi"/>
          <w:snapToGrid/>
          <w:sz w:val="24"/>
          <w:szCs w:val="22"/>
        </w:rPr>
        <w:t xml:space="preserve">of systemic opioids compared to placebo for the </w:t>
      </w:r>
      <w:r w:rsidR="00466D10" w:rsidRPr="00D37E3F">
        <w:rPr>
          <w:rFonts w:asciiTheme="minorHAnsi" w:eastAsiaTheme="minorHAnsi" w:hAnsiTheme="minorHAnsi" w:cstheme="minorBidi"/>
          <w:snapToGrid/>
          <w:sz w:val="24"/>
          <w:szCs w:val="22"/>
        </w:rPr>
        <w:lastRenderedPageBreak/>
        <w:t>outcome of reduction of breathlessness in twelve studies</w:t>
      </w:r>
      <w:r w:rsidRPr="00D37E3F">
        <w:rPr>
          <w:rFonts w:asciiTheme="minorHAnsi" w:eastAsiaTheme="minorHAnsi" w:hAnsiTheme="minorHAnsi" w:cstheme="minorBidi"/>
          <w:snapToGrid/>
          <w:sz w:val="24"/>
          <w:szCs w:val="22"/>
        </w:rPr>
        <w:t xml:space="preserve">, systemic opioids </w:t>
      </w:r>
      <w:r w:rsidR="00466D10" w:rsidRPr="00D37E3F">
        <w:rPr>
          <w:rFonts w:asciiTheme="minorHAnsi" w:eastAsiaTheme="minorHAnsi" w:hAnsiTheme="minorHAnsi" w:cstheme="minorBidi"/>
          <w:snapToGrid/>
          <w:sz w:val="24"/>
          <w:szCs w:val="22"/>
        </w:rPr>
        <w:t>reduced breathlessness</w:t>
      </w:r>
      <w:r w:rsidR="008F140A" w:rsidRPr="00D37E3F">
        <w:rPr>
          <w:rFonts w:asciiTheme="minorHAnsi" w:eastAsiaTheme="minorHAnsi" w:hAnsiTheme="minorHAnsi" w:cstheme="minorBidi"/>
          <w:snapToGrid/>
          <w:sz w:val="24"/>
          <w:szCs w:val="22"/>
        </w:rPr>
        <w:t xml:space="preserve"> demonstrating a</w:t>
      </w:r>
      <w:r w:rsidR="00466D10" w:rsidRPr="00D37E3F">
        <w:rPr>
          <w:rFonts w:asciiTheme="minorHAnsi" w:eastAsiaTheme="minorHAnsi" w:hAnsiTheme="minorHAnsi" w:cstheme="minorBidi"/>
          <w:snapToGrid/>
          <w:sz w:val="24"/>
          <w:szCs w:val="22"/>
        </w:rPr>
        <w:t xml:space="preserve"> SMD= -0.32 (95% CI, 0.18, 0.47; p&lt;0.001) I</w:t>
      </w:r>
      <w:r w:rsidR="00466D10" w:rsidRPr="00D37E3F">
        <w:rPr>
          <w:rFonts w:asciiTheme="minorHAnsi" w:eastAsiaTheme="minorHAnsi" w:hAnsiTheme="minorHAnsi" w:cstheme="minorBidi"/>
          <w:snapToGrid/>
          <w:sz w:val="24"/>
          <w:szCs w:val="22"/>
          <w:vertAlign w:val="superscript"/>
        </w:rPr>
        <w:t>2</w:t>
      </w:r>
      <w:r w:rsidR="00466D10" w:rsidRPr="00D37E3F">
        <w:rPr>
          <w:rFonts w:asciiTheme="minorHAnsi" w:eastAsiaTheme="minorHAnsi" w:hAnsiTheme="minorHAnsi" w:cstheme="minorBidi"/>
          <w:snapToGrid/>
          <w:sz w:val="24"/>
          <w:szCs w:val="22"/>
        </w:rPr>
        <w:t xml:space="preserve"> = 44.8%. The authors argue</w:t>
      </w:r>
      <w:r w:rsidR="003C5C9E" w:rsidRPr="00D37E3F">
        <w:rPr>
          <w:rFonts w:asciiTheme="minorHAnsi" w:eastAsiaTheme="minorHAnsi" w:hAnsiTheme="minorHAnsi" w:cstheme="minorBidi"/>
          <w:snapToGrid/>
          <w:sz w:val="24"/>
          <w:szCs w:val="22"/>
        </w:rPr>
        <w:t>d</w:t>
      </w:r>
      <w:r w:rsidR="00466D10" w:rsidRPr="00D37E3F">
        <w:rPr>
          <w:rFonts w:asciiTheme="minorHAnsi" w:eastAsiaTheme="minorHAnsi" w:hAnsiTheme="minorHAnsi" w:cstheme="minorBidi"/>
          <w:snapToGrid/>
          <w:sz w:val="24"/>
          <w:szCs w:val="22"/>
        </w:rPr>
        <w:t xml:space="preserve"> this </w:t>
      </w:r>
      <w:r w:rsidR="003C5C9E" w:rsidRPr="00D37E3F">
        <w:rPr>
          <w:rFonts w:asciiTheme="minorHAnsi" w:eastAsiaTheme="minorHAnsi" w:hAnsiTheme="minorHAnsi" w:cstheme="minorBidi"/>
          <w:snapToGrid/>
          <w:sz w:val="24"/>
          <w:szCs w:val="22"/>
        </w:rPr>
        <w:t>wa</w:t>
      </w:r>
      <w:r w:rsidR="00466D10" w:rsidRPr="00D37E3F">
        <w:rPr>
          <w:rFonts w:asciiTheme="minorHAnsi" w:eastAsiaTheme="minorHAnsi" w:hAnsiTheme="minorHAnsi" w:cstheme="minorBidi"/>
          <w:snapToGrid/>
          <w:sz w:val="24"/>
          <w:szCs w:val="22"/>
        </w:rPr>
        <w:t>s a clinically meaningful reduction of 0.8 points on a 0-10 numerical rating scale. The authors also argue</w:t>
      </w:r>
      <w:r w:rsidR="003C5C9E" w:rsidRPr="00D37E3F">
        <w:rPr>
          <w:rFonts w:asciiTheme="minorHAnsi" w:eastAsiaTheme="minorHAnsi" w:hAnsiTheme="minorHAnsi" w:cstheme="minorBidi"/>
          <w:snapToGrid/>
          <w:sz w:val="24"/>
          <w:szCs w:val="22"/>
        </w:rPr>
        <w:t>d</w:t>
      </w:r>
      <w:r w:rsidR="00466D10" w:rsidRPr="00D37E3F">
        <w:rPr>
          <w:rFonts w:asciiTheme="minorHAnsi" w:eastAsiaTheme="minorHAnsi" w:hAnsiTheme="minorHAnsi" w:cstheme="minorBidi"/>
          <w:snapToGrid/>
          <w:sz w:val="24"/>
          <w:szCs w:val="22"/>
        </w:rPr>
        <w:t xml:space="preserve"> that </w:t>
      </w:r>
      <w:r w:rsidR="003C5C9E" w:rsidRPr="00D37E3F">
        <w:rPr>
          <w:rFonts w:asciiTheme="minorHAnsi" w:eastAsiaTheme="minorHAnsi" w:hAnsiTheme="minorHAnsi" w:cstheme="minorBidi"/>
          <w:snapToGrid/>
          <w:sz w:val="24"/>
          <w:szCs w:val="22"/>
        </w:rPr>
        <w:t xml:space="preserve">the </w:t>
      </w:r>
      <w:r w:rsidR="00466D10" w:rsidRPr="00D37E3F">
        <w:rPr>
          <w:rFonts w:asciiTheme="minorHAnsi" w:eastAsiaTheme="minorHAnsi" w:hAnsiTheme="minorHAnsi" w:cstheme="minorBidi"/>
          <w:snapToGrid/>
          <w:sz w:val="24"/>
          <w:szCs w:val="22"/>
        </w:rPr>
        <w:t>small sample size</w:t>
      </w:r>
      <w:r w:rsidR="00894614" w:rsidRPr="00D37E3F">
        <w:rPr>
          <w:rFonts w:asciiTheme="minorHAnsi" w:eastAsiaTheme="minorHAnsi" w:hAnsiTheme="minorHAnsi" w:cstheme="minorBidi"/>
          <w:snapToGrid/>
          <w:sz w:val="24"/>
          <w:szCs w:val="22"/>
        </w:rPr>
        <w:t xml:space="preserve"> of </w:t>
      </w:r>
      <w:r w:rsidR="003C5C9E" w:rsidRPr="00D37E3F">
        <w:rPr>
          <w:rFonts w:asciiTheme="minorHAnsi" w:eastAsiaTheme="minorHAnsi" w:hAnsiTheme="minorHAnsi" w:cstheme="minorBidi"/>
          <w:snapToGrid/>
          <w:sz w:val="24"/>
          <w:szCs w:val="22"/>
        </w:rPr>
        <w:t xml:space="preserve">the </w:t>
      </w:r>
      <w:r w:rsidR="00894614" w:rsidRPr="00D37E3F">
        <w:rPr>
          <w:rFonts w:asciiTheme="minorHAnsi" w:eastAsiaTheme="minorHAnsi" w:hAnsiTheme="minorHAnsi" w:cstheme="minorBidi"/>
          <w:snapToGrid/>
          <w:sz w:val="24"/>
          <w:szCs w:val="22"/>
        </w:rPr>
        <w:t>studies</w:t>
      </w:r>
      <w:r w:rsidR="00466D10" w:rsidRPr="00D37E3F">
        <w:rPr>
          <w:rFonts w:asciiTheme="minorHAnsi" w:eastAsiaTheme="minorHAnsi" w:hAnsiTheme="minorHAnsi" w:cstheme="minorBidi"/>
          <w:snapToGrid/>
          <w:sz w:val="24"/>
          <w:szCs w:val="22"/>
        </w:rPr>
        <w:t xml:space="preserve"> had </w:t>
      </w:r>
      <w:r w:rsidR="00894614" w:rsidRPr="00D37E3F">
        <w:rPr>
          <w:rFonts w:asciiTheme="minorHAnsi" w:eastAsiaTheme="minorHAnsi" w:hAnsiTheme="minorHAnsi" w:cstheme="minorBidi"/>
          <w:snapToGrid/>
          <w:sz w:val="24"/>
          <w:szCs w:val="22"/>
        </w:rPr>
        <w:t>too large an effect on determining the risk of bias without</w:t>
      </w:r>
      <w:r w:rsidR="00E25FE1" w:rsidRPr="00D37E3F">
        <w:rPr>
          <w:rFonts w:asciiTheme="minorHAnsi" w:eastAsiaTheme="minorHAnsi" w:hAnsiTheme="minorHAnsi" w:cstheme="minorBidi"/>
          <w:snapToGrid/>
          <w:sz w:val="24"/>
          <w:szCs w:val="22"/>
        </w:rPr>
        <w:t xml:space="preserve"> sound methodological</w:t>
      </w:r>
      <w:r w:rsidR="00894614" w:rsidRPr="00D37E3F">
        <w:rPr>
          <w:rFonts w:asciiTheme="minorHAnsi" w:eastAsiaTheme="minorHAnsi" w:hAnsiTheme="minorHAnsi" w:cstheme="minorBidi"/>
          <w:snapToGrid/>
          <w:sz w:val="24"/>
          <w:szCs w:val="22"/>
        </w:rPr>
        <w:t xml:space="preserve"> justification</w:t>
      </w:r>
      <w:r w:rsidR="003C5C9E" w:rsidRPr="00D37E3F">
        <w:rPr>
          <w:rFonts w:asciiTheme="minorHAnsi" w:eastAsiaTheme="minorHAnsi" w:hAnsiTheme="minorHAnsi" w:cstheme="minorBidi"/>
          <w:snapToGrid/>
          <w:sz w:val="24"/>
          <w:szCs w:val="22"/>
        </w:rPr>
        <w:t>,</w:t>
      </w:r>
      <w:r w:rsidR="00894614" w:rsidRPr="00D37E3F">
        <w:rPr>
          <w:rFonts w:asciiTheme="minorHAnsi" w:eastAsiaTheme="minorHAnsi" w:hAnsiTheme="minorHAnsi" w:cstheme="minorBidi"/>
          <w:snapToGrid/>
          <w:sz w:val="24"/>
          <w:szCs w:val="22"/>
        </w:rPr>
        <w:t xml:space="preserve"> and </w:t>
      </w:r>
      <w:r w:rsidR="003C5C9E" w:rsidRPr="00D37E3F">
        <w:rPr>
          <w:rFonts w:asciiTheme="minorHAnsi" w:eastAsiaTheme="minorHAnsi" w:hAnsiTheme="minorHAnsi" w:cstheme="minorBidi"/>
          <w:snapToGrid/>
          <w:sz w:val="24"/>
          <w:szCs w:val="22"/>
        </w:rPr>
        <w:t xml:space="preserve">that the </w:t>
      </w:r>
      <w:r w:rsidR="00894614" w:rsidRPr="00D37E3F">
        <w:rPr>
          <w:rFonts w:asciiTheme="minorHAnsi" w:eastAsiaTheme="minorHAnsi" w:hAnsiTheme="minorHAnsi" w:cstheme="minorBidi"/>
          <w:snapToGrid/>
          <w:sz w:val="24"/>
          <w:szCs w:val="22"/>
        </w:rPr>
        <w:t xml:space="preserve">quality of evidence </w:t>
      </w:r>
      <w:r w:rsidR="00E25FE1" w:rsidRPr="00D37E3F">
        <w:rPr>
          <w:rFonts w:asciiTheme="minorHAnsi" w:eastAsiaTheme="minorHAnsi" w:hAnsiTheme="minorHAnsi" w:cstheme="minorBidi"/>
          <w:snapToGrid/>
          <w:sz w:val="24"/>
          <w:szCs w:val="22"/>
        </w:rPr>
        <w:t xml:space="preserve">for a meta-analysis of these studies </w:t>
      </w:r>
      <w:r w:rsidR="00894614" w:rsidRPr="00D37E3F">
        <w:rPr>
          <w:rFonts w:asciiTheme="minorHAnsi" w:eastAsiaTheme="minorHAnsi" w:hAnsiTheme="minorHAnsi" w:cstheme="minorBidi"/>
          <w:snapToGrid/>
          <w:sz w:val="24"/>
          <w:szCs w:val="22"/>
        </w:rPr>
        <w:t>should be classified as moderate.</w:t>
      </w:r>
    </w:p>
    <w:p w:rsidR="00C522EA" w:rsidRPr="00D37E3F" w:rsidRDefault="00C522EA" w:rsidP="00E57863">
      <w:pPr>
        <w:pStyle w:val="Heading2"/>
        <w:keepLines/>
        <w:spacing w:after="120"/>
        <w:rPr>
          <w:rFonts w:asciiTheme="minorHAnsi" w:eastAsiaTheme="majorEastAsia" w:hAnsiTheme="minorHAnsi" w:cstheme="majorBidi"/>
          <w:sz w:val="28"/>
          <w:szCs w:val="28"/>
          <w:lang w:eastAsia="en-US"/>
        </w:rPr>
      </w:pPr>
      <w:r w:rsidRPr="00D37E3F">
        <w:rPr>
          <w:rFonts w:asciiTheme="minorHAnsi" w:eastAsiaTheme="majorEastAsia" w:hAnsiTheme="minorHAnsi" w:cstheme="majorBidi"/>
          <w:sz w:val="28"/>
          <w:szCs w:val="28"/>
          <w:lang w:eastAsia="en-US"/>
        </w:rPr>
        <w:t xml:space="preserve">Comparative harms </w:t>
      </w:r>
    </w:p>
    <w:p w:rsidR="0032456C" w:rsidRPr="00D37E3F" w:rsidRDefault="0032456C" w:rsidP="00E57863">
      <w:pPr>
        <w:pStyle w:val="ListParagraph"/>
        <w:numPr>
          <w:ilvl w:val="1"/>
          <w:numId w:val="14"/>
        </w:numPr>
        <w:spacing w:after="120"/>
        <w:rPr>
          <w:rFonts w:asciiTheme="minorHAnsi" w:eastAsiaTheme="minorHAnsi" w:hAnsiTheme="minorHAnsi" w:cstheme="minorBidi"/>
          <w:snapToGrid/>
          <w:sz w:val="24"/>
          <w:szCs w:val="22"/>
        </w:rPr>
      </w:pPr>
      <w:r w:rsidRPr="00D37E3F">
        <w:rPr>
          <w:rFonts w:asciiTheme="minorHAnsi" w:eastAsiaTheme="minorHAnsi" w:hAnsiTheme="minorHAnsi" w:cstheme="minorBidi"/>
          <w:snapToGrid/>
          <w:sz w:val="24"/>
          <w:szCs w:val="22"/>
        </w:rPr>
        <w:t xml:space="preserve">In terms of clinical safety, </w:t>
      </w:r>
      <w:r w:rsidR="003C5C9E" w:rsidRPr="00D37E3F">
        <w:rPr>
          <w:rFonts w:asciiTheme="minorHAnsi" w:eastAsiaTheme="minorHAnsi" w:hAnsiTheme="minorHAnsi" w:cstheme="minorBidi"/>
          <w:snapToGrid/>
          <w:sz w:val="24"/>
          <w:szCs w:val="22"/>
        </w:rPr>
        <w:t xml:space="preserve">a </w:t>
      </w:r>
      <w:r w:rsidRPr="00D37E3F">
        <w:rPr>
          <w:rFonts w:asciiTheme="minorHAnsi" w:eastAsiaTheme="minorHAnsi" w:hAnsiTheme="minorHAnsi" w:cstheme="minorBidi"/>
          <w:snapToGrid/>
          <w:sz w:val="24"/>
          <w:szCs w:val="22"/>
        </w:rPr>
        <w:t xml:space="preserve">systematic review and meta‐analysis </w:t>
      </w:r>
      <w:r w:rsidR="003C5C9E" w:rsidRPr="00D37E3F">
        <w:rPr>
          <w:rFonts w:asciiTheme="minorHAnsi" w:eastAsiaTheme="minorHAnsi" w:hAnsiTheme="minorHAnsi" w:cstheme="minorBidi"/>
          <w:snapToGrid/>
          <w:sz w:val="24"/>
          <w:szCs w:val="22"/>
        </w:rPr>
        <w:t>of</w:t>
      </w:r>
      <w:r w:rsidRPr="00D37E3F">
        <w:rPr>
          <w:rFonts w:asciiTheme="minorHAnsi" w:eastAsiaTheme="minorHAnsi" w:hAnsiTheme="minorHAnsi" w:cstheme="minorBidi"/>
          <w:snapToGrid/>
          <w:sz w:val="24"/>
          <w:szCs w:val="22"/>
        </w:rPr>
        <w:t xml:space="preserve"> </w:t>
      </w:r>
      <w:r w:rsidR="003C5C9E" w:rsidRPr="00D37E3F">
        <w:rPr>
          <w:rFonts w:asciiTheme="minorHAnsi" w:eastAsiaTheme="minorHAnsi" w:hAnsiTheme="minorHAnsi" w:cstheme="minorBidi"/>
          <w:snapToGrid/>
          <w:sz w:val="24"/>
          <w:szCs w:val="22"/>
        </w:rPr>
        <w:t xml:space="preserve">the </w:t>
      </w:r>
      <w:r w:rsidRPr="00D37E3F">
        <w:rPr>
          <w:rFonts w:asciiTheme="minorHAnsi" w:eastAsiaTheme="minorHAnsi" w:hAnsiTheme="minorHAnsi" w:cstheme="minorBidi"/>
          <w:snapToGrid/>
          <w:sz w:val="24"/>
          <w:szCs w:val="22"/>
        </w:rPr>
        <w:t>clinical studies of opioids for breathlessness found no evidence of clinically relevant respiratory adverse effects including changes in blood gases or respiratory depression</w:t>
      </w:r>
      <w:r w:rsidRPr="00D37E3F">
        <w:rPr>
          <w:rStyle w:val="FootnoteReference"/>
          <w:rFonts w:asciiTheme="minorHAnsi" w:eastAsiaTheme="minorHAnsi" w:hAnsiTheme="minorHAnsi" w:cstheme="minorBidi"/>
          <w:snapToGrid/>
          <w:sz w:val="24"/>
          <w:szCs w:val="22"/>
        </w:rPr>
        <w:footnoteReference w:id="5"/>
      </w:r>
      <w:r w:rsidRPr="00D37E3F">
        <w:rPr>
          <w:rFonts w:asciiTheme="minorHAnsi" w:eastAsiaTheme="minorHAnsi" w:hAnsiTheme="minorHAnsi" w:cstheme="minorBidi"/>
          <w:snapToGrid/>
          <w:sz w:val="24"/>
          <w:szCs w:val="22"/>
        </w:rPr>
        <w:t>.</w:t>
      </w:r>
    </w:p>
    <w:p w:rsidR="005A3173" w:rsidRPr="00D37E3F" w:rsidRDefault="005A3173" w:rsidP="00E57863">
      <w:pPr>
        <w:pStyle w:val="Heading2"/>
        <w:keepLines/>
        <w:spacing w:after="120"/>
        <w:rPr>
          <w:rFonts w:asciiTheme="minorHAnsi" w:eastAsiaTheme="majorEastAsia" w:hAnsiTheme="minorHAnsi" w:cstheme="majorBidi"/>
          <w:sz w:val="28"/>
          <w:szCs w:val="28"/>
          <w:lang w:eastAsia="en-US"/>
        </w:rPr>
      </w:pPr>
      <w:r w:rsidRPr="00D37E3F">
        <w:rPr>
          <w:rFonts w:asciiTheme="minorHAnsi" w:eastAsiaTheme="majorEastAsia" w:hAnsiTheme="minorHAnsi" w:cstheme="majorBidi"/>
          <w:sz w:val="28"/>
          <w:szCs w:val="28"/>
          <w:lang w:eastAsia="en-US"/>
        </w:rPr>
        <w:t>Economic analysis</w:t>
      </w:r>
    </w:p>
    <w:p w:rsidR="00A028BB" w:rsidRPr="00D37E3F" w:rsidRDefault="00FF2801" w:rsidP="00E578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D37E3F">
        <w:rPr>
          <w:rFonts w:asciiTheme="minorHAnsi" w:hAnsiTheme="minorHAnsi"/>
          <w:sz w:val="24"/>
          <w:szCs w:val="24"/>
        </w:rPr>
        <w:t>As a minor submission, there wa</w:t>
      </w:r>
      <w:r w:rsidR="009B0F67" w:rsidRPr="00D37E3F">
        <w:rPr>
          <w:rFonts w:asciiTheme="minorHAnsi" w:hAnsiTheme="minorHAnsi"/>
          <w:sz w:val="24"/>
          <w:szCs w:val="24"/>
        </w:rPr>
        <w:t>s no economic comparison presented</w:t>
      </w:r>
      <w:r w:rsidR="0032456C" w:rsidRPr="00D37E3F">
        <w:rPr>
          <w:rFonts w:asciiTheme="minorHAnsi" w:hAnsiTheme="minorHAnsi"/>
          <w:sz w:val="24"/>
          <w:szCs w:val="24"/>
        </w:rPr>
        <w:t>.</w:t>
      </w:r>
      <w:r w:rsidR="00E25FE1" w:rsidRPr="00D37E3F">
        <w:rPr>
          <w:rFonts w:asciiTheme="minorHAnsi" w:hAnsiTheme="minorHAnsi"/>
          <w:sz w:val="24"/>
          <w:szCs w:val="24"/>
        </w:rPr>
        <w:t xml:space="preserve"> </w:t>
      </w:r>
    </w:p>
    <w:p w:rsidR="009B0F67" w:rsidRPr="00D37E3F" w:rsidRDefault="00A028BB" w:rsidP="00E57863">
      <w:pPr>
        <w:pStyle w:val="ListParagraph"/>
        <w:widowControl/>
        <w:numPr>
          <w:ilvl w:val="1"/>
          <w:numId w:val="14"/>
        </w:numPr>
        <w:spacing w:after="120"/>
        <w:contextualSpacing w:val="0"/>
        <w:rPr>
          <w:rFonts w:asciiTheme="minorHAnsi" w:eastAsiaTheme="minorHAnsi" w:hAnsiTheme="minorHAnsi" w:cstheme="minorBidi"/>
          <w:snapToGrid/>
          <w:color w:val="FF00FF"/>
          <w:sz w:val="24"/>
          <w:szCs w:val="22"/>
        </w:rPr>
      </w:pPr>
      <w:r w:rsidRPr="00D37E3F">
        <w:rPr>
          <w:rFonts w:asciiTheme="minorHAnsi" w:eastAsiaTheme="minorHAnsi" w:hAnsiTheme="minorHAnsi" w:cstheme="minorBidi"/>
          <w:snapToGrid/>
          <w:sz w:val="24"/>
          <w:szCs w:val="22"/>
        </w:rPr>
        <w:t xml:space="preserve">The sponsor proposed an ex-manufacturer price (AEMP) of $8.82 for a 28 pack of 10 mg capsules, and $12.84 for a 28 pack of 20 mg capsules. The PBAC noted this is unchanged from the AEMP currently applicable to </w:t>
      </w:r>
      <w:proofErr w:type="spellStart"/>
      <w:r w:rsidRPr="00D37E3F">
        <w:rPr>
          <w:rFonts w:asciiTheme="minorHAnsi" w:eastAsiaTheme="minorHAnsi" w:hAnsiTheme="minorHAnsi" w:cstheme="minorBidi"/>
          <w:snapToGrid/>
          <w:sz w:val="24"/>
          <w:szCs w:val="22"/>
        </w:rPr>
        <w:t>Kapanol</w:t>
      </w:r>
      <w:proofErr w:type="spellEnd"/>
      <w:r w:rsidRPr="00D37E3F">
        <w:rPr>
          <w:rFonts w:asciiTheme="minorHAnsi" w:eastAsiaTheme="minorHAnsi" w:hAnsiTheme="minorHAnsi" w:cstheme="minorBidi"/>
          <w:snapToGrid/>
          <w:sz w:val="24"/>
          <w:szCs w:val="22"/>
        </w:rPr>
        <w:t xml:space="preserve"> 10 mg and 20 mg capsules listed on the PBS for chronic pain.</w:t>
      </w:r>
    </w:p>
    <w:p w:rsidR="003C2FB5" w:rsidRPr="00D37E3F" w:rsidRDefault="00A55FEE" w:rsidP="00E57863">
      <w:pPr>
        <w:pStyle w:val="Heading2"/>
        <w:keepLines/>
        <w:spacing w:after="120"/>
        <w:rPr>
          <w:rFonts w:asciiTheme="minorHAnsi" w:eastAsiaTheme="majorEastAsia" w:hAnsiTheme="minorHAnsi" w:cstheme="majorBidi"/>
          <w:sz w:val="28"/>
          <w:szCs w:val="28"/>
          <w:lang w:eastAsia="en-US"/>
        </w:rPr>
      </w:pPr>
      <w:r w:rsidRPr="00D37E3F">
        <w:rPr>
          <w:rFonts w:asciiTheme="minorHAnsi" w:eastAsiaTheme="majorEastAsia" w:hAnsiTheme="minorHAnsi" w:cstheme="majorBidi"/>
          <w:sz w:val="28"/>
          <w:szCs w:val="28"/>
          <w:lang w:eastAsia="en-US"/>
        </w:rPr>
        <w:t>Dru</w:t>
      </w:r>
      <w:r w:rsidR="003453AB" w:rsidRPr="00D37E3F">
        <w:rPr>
          <w:rFonts w:asciiTheme="minorHAnsi" w:eastAsiaTheme="majorEastAsia" w:hAnsiTheme="minorHAnsi" w:cstheme="majorBidi"/>
          <w:sz w:val="28"/>
          <w:szCs w:val="28"/>
          <w:lang w:eastAsia="en-US"/>
        </w:rPr>
        <w:t>g cost/patient: $</w:t>
      </w:r>
      <w:r w:rsidR="00406B58">
        <w:rPr>
          <w:rFonts w:asciiTheme="minorHAnsi" w:eastAsiaTheme="majorEastAsia" w:hAnsiTheme="minorHAnsi" w:cstheme="majorBidi"/>
          <w:noProof/>
          <w:color w:val="000000"/>
          <w:sz w:val="28"/>
          <w:szCs w:val="28"/>
          <w:highlight w:val="black"/>
          <w:lang w:eastAsia="en-US"/>
        </w:rPr>
        <w:t>''''''''''''</w:t>
      </w:r>
      <w:r w:rsidRPr="00D37E3F">
        <w:rPr>
          <w:rFonts w:asciiTheme="minorHAnsi" w:eastAsiaTheme="majorEastAsia" w:hAnsiTheme="minorHAnsi" w:cstheme="majorBidi"/>
          <w:sz w:val="28"/>
          <w:szCs w:val="28"/>
          <w:lang w:eastAsia="en-US"/>
        </w:rPr>
        <w:t>.</w:t>
      </w:r>
    </w:p>
    <w:p w:rsidR="00A55FEE" w:rsidRPr="00D37E3F" w:rsidRDefault="00AF0310" w:rsidP="00E578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D37E3F">
        <w:rPr>
          <w:rFonts w:asciiTheme="minorHAnsi" w:eastAsiaTheme="minorHAnsi" w:hAnsiTheme="minorHAnsi" w:cstheme="minorBidi"/>
          <w:snapToGrid/>
          <w:sz w:val="24"/>
          <w:szCs w:val="22"/>
        </w:rPr>
        <w:t xml:space="preserve">The </w:t>
      </w:r>
      <w:r w:rsidR="00762427" w:rsidRPr="00D37E3F">
        <w:rPr>
          <w:rFonts w:asciiTheme="minorHAnsi" w:eastAsiaTheme="minorHAnsi" w:hAnsiTheme="minorHAnsi" w:cstheme="minorBidi"/>
          <w:snapToGrid/>
          <w:sz w:val="24"/>
          <w:szCs w:val="22"/>
        </w:rPr>
        <w:t xml:space="preserve">drug cost per patient per course </w:t>
      </w:r>
      <w:r w:rsidRPr="00D37E3F">
        <w:rPr>
          <w:rFonts w:asciiTheme="minorHAnsi" w:eastAsiaTheme="minorHAnsi" w:hAnsiTheme="minorHAnsi" w:cstheme="minorBidi"/>
          <w:snapToGrid/>
          <w:sz w:val="24"/>
          <w:szCs w:val="22"/>
        </w:rPr>
        <w:t xml:space="preserve">was </w:t>
      </w:r>
      <w:r w:rsidR="00762427" w:rsidRPr="00D37E3F">
        <w:rPr>
          <w:rFonts w:asciiTheme="minorHAnsi" w:eastAsiaTheme="minorHAnsi" w:hAnsiTheme="minorHAnsi" w:cstheme="minorBidi"/>
          <w:snapToGrid/>
          <w:sz w:val="24"/>
          <w:szCs w:val="22"/>
        </w:rPr>
        <w:t>$</w:t>
      </w:r>
      <w:r w:rsidR="00406B58">
        <w:rPr>
          <w:rFonts w:asciiTheme="minorHAnsi" w:eastAsiaTheme="minorHAnsi" w:hAnsiTheme="minorHAnsi" w:cstheme="minorBidi"/>
          <w:noProof/>
          <w:snapToGrid/>
          <w:color w:val="000000"/>
          <w:sz w:val="24"/>
          <w:szCs w:val="22"/>
          <w:highlight w:val="black"/>
        </w:rPr>
        <w:t>'''''''''''''</w:t>
      </w:r>
      <w:r w:rsidR="003453AB" w:rsidRPr="00D37E3F">
        <w:rPr>
          <w:rFonts w:asciiTheme="minorHAnsi" w:eastAsiaTheme="minorHAnsi" w:hAnsiTheme="minorHAnsi" w:cstheme="minorBidi"/>
          <w:snapToGrid/>
          <w:sz w:val="24"/>
          <w:szCs w:val="22"/>
        </w:rPr>
        <w:t xml:space="preserve"> (20</w:t>
      </w:r>
      <w:r w:rsidRPr="00D37E3F">
        <w:rPr>
          <w:rFonts w:asciiTheme="minorHAnsi" w:eastAsiaTheme="minorHAnsi" w:hAnsiTheme="minorHAnsi" w:cstheme="minorBidi"/>
          <w:snapToGrid/>
          <w:sz w:val="24"/>
          <w:szCs w:val="22"/>
        </w:rPr>
        <w:t xml:space="preserve"> </w:t>
      </w:r>
      <w:r w:rsidR="003453AB" w:rsidRPr="00D37E3F">
        <w:rPr>
          <w:rFonts w:asciiTheme="minorHAnsi" w:eastAsiaTheme="minorHAnsi" w:hAnsiTheme="minorHAnsi" w:cstheme="minorBidi"/>
          <w:snapToGrid/>
          <w:sz w:val="24"/>
          <w:szCs w:val="22"/>
        </w:rPr>
        <w:t>mg daily for 6 months</w:t>
      </w:r>
      <w:r w:rsidR="00094233" w:rsidRPr="00D37E3F">
        <w:rPr>
          <w:rFonts w:asciiTheme="minorHAnsi" w:eastAsiaTheme="minorHAnsi" w:hAnsiTheme="minorHAnsi" w:cstheme="minorBidi"/>
          <w:snapToGrid/>
          <w:sz w:val="24"/>
          <w:szCs w:val="22"/>
        </w:rPr>
        <w:t>)</w:t>
      </w:r>
      <w:r w:rsidR="00C93FCC" w:rsidRPr="00D37E3F">
        <w:rPr>
          <w:rFonts w:asciiTheme="minorHAnsi" w:eastAsiaTheme="minorHAnsi" w:hAnsiTheme="minorHAnsi" w:cstheme="minorBidi"/>
          <w:snapToGrid/>
          <w:sz w:val="24"/>
          <w:szCs w:val="22"/>
        </w:rPr>
        <w:t>.</w:t>
      </w:r>
      <w:r w:rsidR="00094233" w:rsidRPr="00D37E3F">
        <w:rPr>
          <w:rFonts w:asciiTheme="minorHAnsi" w:eastAsiaTheme="minorHAnsi" w:hAnsiTheme="minorHAnsi" w:cstheme="minorBidi"/>
          <w:snapToGrid/>
          <w:sz w:val="24"/>
          <w:szCs w:val="22"/>
        </w:rPr>
        <w:t xml:space="preserve"> Average duration of t</w:t>
      </w:r>
      <w:r w:rsidR="003453AB" w:rsidRPr="00D37E3F">
        <w:rPr>
          <w:rFonts w:asciiTheme="minorHAnsi" w:eastAsiaTheme="minorHAnsi" w:hAnsiTheme="minorHAnsi" w:cstheme="minorBidi"/>
          <w:snapToGrid/>
          <w:sz w:val="24"/>
          <w:szCs w:val="22"/>
        </w:rPr>
        <w:t>reatment for a responding patient is 6 months</w:t>
      </w:r>
      <w:r w:rsidR="00C93FCC" w:rsidRPr="00D37E3F">
        <w:rPr>
          <w:rFonts w:asciiTheme="minorHAnsi" w:eastAsiaTheme="minorHAnsi" w:hAnsiTheme="minorHAnsi" w:cstheme="minorBidi"/>
          <w:snapToGrid/>
          <w:sz w:val="24"/>
          <w:szCs w:val="22"/>
        </w:rPr>
        <w:t>.</w:t>
      </w:r>
    </w:p>
    <w:p w:rsidR="005A3173" w:rsidRPr="00D37E3F" w:rsidRDefault="005A3173" w:rsidP="00E57863">
      <w:pPr>
        <w:pStyle w:val="Heading2"/>
        <w:keepLines/>
        <w:spacing w:after="120"/>
        <w:rPr>
          <w:rFonts w:asciiTheme="minorHAnsi" w:eastAsiaTheme="majorEastAsia" w:hAnsiTheme="minorHAnsi" w:cstheme="majorBidi"/>
          <w:sz w:val="28"/>
          <w:szCs w:val="28"/>
          <w:lang w:eastAsia="en-US"/>
        </w:rPr>
      </w:pPr>
      <w:r w:rsidRPr="00D37E3F">
        <w:rPr>
          <w:rFonts w:asciiTheme="minorHAnsi" w:eastAsiaTheme="majorEastAsia" w:hAnsiTheme="minorHAnsi" w:cstheme="majorBidi"/>
          <w:sz w:val="28"/>
          <w:szCs w:val="28"/>
          <w:lang w:eastAsia="en-US"/>
        </w:rPr>
        <w:t>Estimated PBS usage &amp; financial implications</w:t>
      </w:r>
    </w:p>
    <w:p w:rsidR="00481395" w:rsidRPr="00D37E3F" w:rsidRDefault="00481395" w:rsidP="00E57863">
      <w:pPr>
        <w:pStyle w:val="ListParagraph"/>
        <w:numPr>
          <w:ilvl w:val="1"/>
          <w:numId w:val="14"/>
        </w:numPr>
        <w:spacing w:after="120"/>
        <w:rPr>
          <w:rFonts w:asciiTheme="minorHAnsi" w:eastAsiaTheme="minorHAnsi" w:hAnsiTheme="minorHAnsi" w:cstheme="minorBidi"/>
          <w:snapToGrid/>
          <w:sz w:val="24"/>
          <w:szCs w:val="22"/>
        </w:rPr>
      </w:pPr>
      <w:r w:rsidRPr="00D37E3F">
        <w:rPr>
          <w:rFonts w:asciiTheme="minorHAnsi" w:eastAsiaTheme="minorHAnsi" w:hAnsiTheme="minorHAnsi" w:cstheme="minorBidi"/>
          <w:snapToGrid/>
          <w:sz w:val="24"/>
          <w:szCs w:val="22"/>
        </w:rPr>
        <w:t xml:space="preserve">The </w:t>
      </w:r>
      <w:r w:rsidR="003453AB" w:rsidRPr="00D37E3F">
        <w:rPr>
          <w:rFonts w:asciiTheme="minorHAnsi" w:eastAsiaTheme="minorHAnsi" w:hAnsiTheme="minorHAnsi" w:cstheme="minorBidi"/>
          <w:snapToGrid/>
          <w:sz w:val="24"/>
          <w:szCs w:val="22"/>
        </w:rPr>
        <w:t>sponsor</w:t>
      </w:r>
      <w:r w:rsidRPr="00D37E3F">
        <w:rPr>
          <w:rFonts w:asciiTheme="minorHAnsi" w:eastAsiaTheme="minorHAnsi" w:hAnsiTheme="minorHAnsi" w:cstheme="minorBidi"/>
          <w:snapToGrid/>
          <w:sz w:val="24"/>
          <w:szCs w:val="22"/>
        </w:rPr>
        <w:t xml:space="preserve"> estimated a net cost</w:t>
      </w:r>
      <w:r w:rsidR="003453AB" w:rsidRPr="00D37E3F">
        <w:rPr>
          <w:rFonts w:asciiTheme="minorHAnsi" w:eastAsiaTheme="minorHAnsi" w:hAnsiTheme="minorHAnsi" w:cstheme="minorBidi"/>
          <w:snapToGrid/>
          <w:sz w:val="24"/>
          <w:szCs w:val="22"/>
        </w:rPr>
        <w:t xml:space="preserve"> to the PBS of </w:t>
      </w:r>
      <w:r w:rsidR="00904BAB">
        <w:rPr>
          <w:rFonts w:asciiTheme="minorHAnsi" w:eastAsiaTheme="minorHAnsi" w:hAnsiTheme="minorHAnsi" w:cstheme="minorBidi"/>
          <w:snapToGrid/>
          <w:sz w:val="24"/>
          <w:szCs w:val="22"/>
        </w:rPr>
        <w:t>less than $10 million</w:t>
      </w:r>
      <w:r w:rsidRPr="00D37E3F">
        <w:rPr>
          <w:rFonts w:asciiTheme="minorHAnsi" w:eastAsiaTheme="minorHAnsi" w:hAnsiTheme="minorHAnsi" w:cstheme="minorBidi"/>
          <w:snapToGrid/>
          <w:sz w:val="24"/>
          <w:szCs w:val="22"/>
        </w:rPr>
        <w:t xml:space="preserve"> in Year 6 of </w:t>
      </w:r>
      <w:r w:rsidR="00482DFC" w:rsidRPr="00D37E3F">
        <w:rPr>
          <w:rFonts w:asciiTheme="minorHAnsi" w:eastAsiaTheme="minorHAnsi" w:hAnsiTheme="minorHAnsi" w:cstheme="minorBidi"/>
          <w:snapToGrid/>
          <w:sz w:val="24"/>
          <w:szCs w:val="22"/>
        </w:rPr>
        <w:t>listing with a total net cost to the PBS/RPBS of</w:t>
      </w:r>
      <w:r w:rsidR="00904BAB">
        <w:rPr>
          <w:rFonts w:asciiTheme="minorHAnsi" w:eastAsiaTheme="minorHAnsi" w:hAnsiTheme="minorHAnsi" w:cstheme="minorBidi"/>
          <w:snapToGrid/>
          <w:sz w:val="24"/>
          <w:szCs w:val="22"/>
        </w:rPr>
        <w:t xml:space="preserve"> less than $10 million</w:t>
      </w:r>
      <w:r w:rsidRPr="00D37E3F">
        <w:rPr>
          <w:rFonts w:asciiTheme="minorHAnsi" w:eastAsiaTheme="minorHAnsi" w:hAnsiTheme="minorHAnsi" w:cstheme="minorBidi"/>
          <w:snapToGrid/>
          <w:sz w:val="24"/>
          <w:szCs w:val="22"/>
        </w:rPr>
        <w:t xml:space="preserve"> over the first 6 years in listing. This is summarised in the table below.</w:t>
      </w:r>
      <w:r w:rsidR="008557A6" w:rsidRPr="00D37E3F">
        <w:rPr>
          <w:rFonts w:asciiTheme="minorHAnsi" w:eastAsiaTheme="minorHAnsi" w:hAnsiTheme="minorHAnsi" w:cstheme="minorBidi"/>
          <w:snapToGrid/>
          <w:sz w:val="24"/>
          <w:szCs w:val="22"/>
        </w:rPr>
        <w:t xml:space="preserve"> This was </w:t>
      </w:r>
      <w:r w:rsidR="00FE543E" w:rsidRPr="00D37E3F">
        <w:rPr>
          <w:rFonts w:asciiTheme="minorHAnsi" w:eastAsiaTheme="minorHAnsi" w:hAnsiTheme="minorHAnsi" w:cstheme="minorBidi"/>
          <w:snapToGrid/>
          <w:sz w:val="24"/>
          <w:szCs w:val="22"/>
        </w:rPr>
        <w:t xml:space="preserve">based on the assumption that the </w:t>
      </w:r>
      <w:r w:rsidR="00DD4447" w:rsidRPr="00D37E3F">
        <w:rPr>
          <w:rFonts w:asciiTheme="minorHAnsi" w:eastAsiaTheme="minorHAnsi" w:hAnsiTheme="minorHAnsi" w:cstheme="minorBidi"/>
          <w:snapToGrid/>
          <w:sz w:val="24"/>
          <w:szCs w:val="22"/>
        </w:rPr>
        <w:t>additional indication would result in a 15% increase in prescriptions in the first year with no further market growth during subsequent years.</w:t>
      </w:r>
    </w:p>
    <w:p w:rsidR="00481395" w:rsidRPr="00D37E3F" w:rsidRDefault="00FE543E" w:rsidP="00E578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D37E3F">
        <w:rPr>
          <w:rFonts w:asciiTheme="minorHAnsi" w:eastAsiaTheme="minorHAnsi" w:hAnsiTheme="minorHAnsi" w:cstheme="minorBidi"/>
          <w:snapToGrid/>
          <w:sz w:val="24"/>
          <w:szCs w:val="22"/>
        </w:rPr>
        <w:t xml:space="preserve">The submission </w:t>
      </w:r>
      <w:r w:rsidR="00DD4447" w:rsidRPr="00D37E3F">
        <w:rPr>
          <w:rFonts w:asciiTheme="minorHAnsi" w:eastAsiaTheme="minorHAnsi" w:hAnsiTheme="minorHAnsi" w:cstheme="minorBidi"/>
          <w:snapToGrid/>
          <w:sz w:val="24"/>
          <w:szCs w:val="22"/>
        </w:rPr>
        <w:t xml:space="preserve">stated </w:t>
      </w:r>
      <w:r w:rsidR="00AB58AF" w:rsidRPr="00D37E3F">
        <w:rPr>
          <w:rFonts w:asciiTheme="minorHAnsi" w:eastAsiaTheme="minorHAnsi" w:hAnsiTheme="minorHAnsi" w:cstheme="minorBidi"/>
          <w:snapToGrid/>
          <w:sz w:val="24"/>
          <w:szCs w:val="22"/>
        </w:rPr>
        <w:t xml:space="preserve">that </w:t>
      </w:r>
      <w:r w:rsidR="00DD4447" w:rsidRPr="00D37E3F">
        <w:rPr>
          <w:rFonts w:asciiTheme="minorHAnsi" w:eastAsiaTheme="minorHAnsi" w:hAnsiTheme="minorHAnsi" w:cstheme="minorBidi"/>
          <w:snapToGrid/>
          <w:sz w:val="24"/>
          <w:szCs w:val="22"/>
        </w:rPr>
        <w:t xml:space="preserve">assumption </w:t>
      </w:r>
      <w:r w:rsidR="00F45D73" w:rsidRPr="00D37E3F">
        <w:rPr>
          <w:rFonts w:asciiTheme="minorHAnsi" w:eastAsiaTheme="minorHAnsi" w:hAnsiTheme="minorHAnsi" w:cstheme="minorBidi"/>
          <w:snapToGrid/>
          <w:sz w:val="24"/>
          <w:szCs w:val="22"/>
        </w:rPr>
        <w:t xml:space="preserve">was </w:t>
      </w:r>
      <w:r w:rsidR="00DD4447" w:rsidRPr="00D37E3F">
        <w:rPr>
          <w:rFonts w:asciiTheme="minorHAnsi" w:eastAsiaTheme="minorHAnsi" w:hAnsiTheme="minorHAnsi" w:cstheme="minorBidi"/>
          <w:snapToGrid/>
          <w:sz w:val="24"/>
          <w:szCs w:val="22"/>
        </w:rPr>
        <w:t xml:space="preserve">based on discussions with </w:t>
      </w:r>
      <w:r w:rsidR="00584A88" w:rsidRPr="00D37E3F">
        <w:rPr>
          <w:rFonts w:asciiTheme="minorHAnsi" w:eastAsiaTheme="minorHAnsi" w:hAnsiTheme="minorHAnsi" w:cstheme="minorBidi"/>
          <w:snapToGrid/>
          <w:sz w:val="24"/>
          <w:szCs w:val="22"/>
        </w:rPr>
        <w:t>‘</w:t>
      </w:r>
      <w:r w:rsidR="00DD4447" w:rsidRPr="00D37E3F">
        <w:rPr>
          <w:rFonts w:asciiTheme="minorHAnsi" w:eastAsiaTheme="minorHAnsi" w:hAnsiTheme="minorHAnsi" w:cstheme="minorBidi"/>
          <w:snapToGrid/>
          <w:sz w:val="24"/>
          <w:szCs w:val="22"/>
        </w:rPr>
        <w:t>key opinion leaders</w:t>
      </w:r>
      <w:r w:rsidR="00584A88" w:rsidRPr="00D37E3F">
        <w:rPr>
          <w:rFonts w:asciiTheme="minorHAnsi" w:eastAsiaTheme="minorHAnsi" w:hAnsiTheme="minorHAnsi" w:cstheme="minorBidi"/>
          <w:snapToGrid/>
          <w:sz w:val="24"/>
          <w:szCs w:val="22"/>
        </w:rPr>
        <w:t>’</w:t>
      </w:r>
      <w:r w:rsidR="00DD4447" w:rsidRPr="00D37E3F">
        <w:rPr>
          <w:rFonts w:asciiTheme="minorHAnsi" w:eastAsiaTheme="minorHAnsi" w:hAnsiTheme="minorHAnsi" w:cstheme="minorBidi"/>
          <w:snapToGrid/>
          <w:sz w:val="24"/>
          <w:szCs w:val="22"/>
        </w:rPr>
        <w:t xml:space="preserve"> in Australia about the use of morphine </w:t>
      </w:r>
      <w:proofErr w:type="spellStart"/>
      <w:r w:rsidR="00DD4447" w:rsidRPr="00D37E3F">
        <w:rPr>
          <w:rFonts w:asciiTheme="minorHAnsi" w:eastAsiaTheme="minorHAnsi" w:hAnsiTheme="minorHAnsi" w:cstheme="minorBidi"/>
          <w:snapToGrid/>
          <w:sz w:val="24"/>
          <w:szCs w:val="22"/>
        </w:rPr>
        <w:t>sulfate</w:t>
      </w:r>
      <w:proofErr w:type="spellEnd"/>
      <w:r w:rsidR="00DD4447" w:rsidRPr="00D37E3F">
        <w:rPr>
          <w:rFonts w:asciiTheme="minorHAnsi" w:eastAsiaTheme="minorHAnsi" w:hAnsiTheme="minorHAnsi" w:cstheme="minorBidi"/>
          <w:snapToGrid/>
          <w:sz w:val="24"/>
          <w:szCs w:val="22"/>
        </w:rPr>
        <w:t xml:space="preserve"> in the palliative care setting, but </w:t>
      </w:r>
      <w:r w:rsidRPr="00D37E3F">
        <w:rPr>
          <w:rFonts w:asciiTheme="minorHAnsi" w:eastAsiaTheme="minorHAnsi" w:hAnsiTheme="minorHAnsi" w:cstheme="minorBidi"/>
          <w:snapToGrid/>
          <w:sz w:val="24"/>
          <w:szCs w:val="22"/>
        </w:rPr>
        <w:t xml:space="preserve">did not provide </w:t>
      </w:r>
      <w:r w:rsidR="00DD4447" w:rsidRPr="00D37E3F">
        <w:rPr>
          <w:rFonts w:asciiTheme="minorHAnsi" w:eastAsiaTheme="minorHAnsi" w:hAnsiTheme="minorHAnsi" w:cstheme="minorBidi"/>
          <w:snapToGrid/>
          <w:sz w:val="24"/>
          <w:szCs w:val="22"/>
        </w:rPr>
        <w:t xml:space="preserve">any further </w:t>
      </w:r>
      <w:r w:rsidRPr="00D37E3F">
        <w:rPr>
          <w:rFonts w:asciiTheme="minorHAnsi" w:eastAsiaTheme="minorHAnsi" w:hAnsiTheme="minorHAnsi" w:cstheme="minorBidi"/>
          <w:snapToGrid/>
          <w:sz w:val="24"/>
          <w:szCs w:val="22"/>
        </w:rPr>
        <w:t>justification.</w:t>
      </w:r>
    </w:p>
    <w:p w:rsidR="007D2969" w:rsidRPr="00D37E3F" w:rsidRDefault="00DA5C40" w:rsidP="00906AA4">
      <w:pPr>
        <w:keepNext/>
        <w:rPr>
          <w:rFonts w:ascii="Arial Narrow" w:eastAsiaTheme="minorHAnsi" w:hAnsi="Arial Narrow" w:cstheme="minorBidi"/>
          <w:b/>
          <w:sz w:val="20"/>
          <w:szCs w:val="20"/>
        </w:rPr>
      </w:pPr>
      <w:r>
        <w:rPr>
          <w:rFonts w:ascii="Arial Narrow" w:eastAsiaTheme="minorHAnsi" w:hAnsi="Arial Narrow" w:cstheme="minorBidi"/>
          <w:b/>
          <w:sz w:val="20"/>
          <w:szCs w:val="20"/>
        </w:rPr>
        <w:lastRenderedPageBreak/>
        <w:t>Table 2</w:t>
      </w:r>
      <w:r w:rsidR="007D2969" w:rsidRPr="00D37E3F">
        <w:rPr>
          <w:rFonts w:ascii="Arial Narrow" w:eastAsiaTheme="minorHAnsi" w:hAnsi="Arial Narrow" w:cstheme="minorBidi"/>
          <w:b/>
          <w:sz w:val="20"/>
          <w:szCs w:val="20"/>
        </w:rPr>
        <w:t>: PBS use and financial implications estimated by the sponsor</w:t>
      </w:r>
    </w:p>
    <w:tbl>
      <w:tblPr>
        <w:tblStyle w:val="TableGrid"/>
        <w:tblW w:w="5000" w:type="pct"/>
        <w:tblLook w:val="04A0" w:firstRow="1" w:lastRow="0" w:firstColumn="1" w:lastColumn="0" w:noHBand="0" w:noVBand="1"/>
        <w:tblCaption w:val="Table 2: PBS use and financial implications estimated by the sponsor"/>
      </w:tblPr>
      <w:tblGrid>
        <w:gridCol w:w="2936"/>
        <w:gridCol w:w="1128"/>
        <w:gridCol w:w="991"/>
        <w:gridCol w:w="1000"/>
        <w:gridCol w:w="992"/>
        <w:gridCol w:w="1001"/>
        <w:gridCol w:w="968"/>
      </w:tblGrid>
      <w:tr w:rsidR="007D2969" w:rsidRPr="00D37E3F" w:rsidTr="00310FEC">
        <w:trPr>
          <w:tblHeader/>
        </w:trPr>
        <w:tc>
          <w:tcPr>
            <w:tcW w:w="1629" w:type="pct"/>
          </w:tcPr>
          <w:p w:rsidR="007D2969" w:rsidRPr="00D37E3F" w:rsidRDefault="007D2969" w:rsidP="00906AA4">
            <w:pPr>
              <w:keepNext/>
              <w:spacing w:after="120"/>
              <w:rPr>
                <w:rFonts w:ascii="Arial Narrow" w:eastAsiaTheme="minorHAnsi" w:hAnsi="Arial Narrow" w:cstheme="minorBidi"/>
                <w:sz w:val="20"/>
                <w:szCs w:val="20"/>
              </w:rPr>
            </w:pPr>
          </w:p>
        </w:tc>
        <w:tc>
          <w:tcPr>
            <w:tcW w:w="626" w:type="pct"/>
          </w:tcPr>
          <w:p w:rsidR="007D2969" w:rsidRPr="00D37E3F" w:rsidRDefault="007D2969" w:rsidP="00906AA4">
            <w:pPr>
              <w:keepNext/>
              <w:spacing w:after="120"/>
              <w:jc w:val="center"/>
              <w:rPr>
                <w:rFonts w:ascii="Arial Narrow" w:eastAsiaTheme="minorHAnsi" w:hAnsi="Arial Narrow" w:cstheme="minorBidi"/>
                <w:b/>
                <w:sz w:val="20"/>
                <w:szCs w:val="20"/>
              </w:rPr>
            </w:pPr>
            <w:r w:rsidRPr="00D37E3F">
              <w:rPr>
                <w:rFonts w:ascii="Arial Narrow" w:eastAsiaTheme="minorHAnsi" w:hAnsi="Arial Narrow" w:cstheme="minorBidi"/>
                <w:b/>
                <w:sz w:val="20"/>
                <w:szCs w:val="20"/>
              </w:rPr>
              <w:t>2019</w:t>
            </w:r>
          </w:p>
        </w:tc>
        <w:tc>
          <w:tcPr>
            <w:tcW w:w="550" w:type="pct"/>
          </w:tcPr>
          <w:p w:rsidR="007D2969" w:rsidRPr="00D37E3F" w:rsidRDefault="007D2969" w:rsidP="00906AA4">
            <w:pPr>
              <w:keepNext/>
              <w:spacing w:after="120"/>
              <w:jc w:val="center"/>
              <w:rPr>
                <w:rFonts w:ascii="Arial Narrow" w:eastAsiaTheme="minorHAnsi" w:hAnsi="Arial Narrow" w:cstheme="minorBidi"/>
                <w:b/>
                <w:sz w:val="20"/>
                <w:szCs w:val="20"/>
              </w:rPr>
            </w:pPr>
            <w:r w:rsidRPr="00D37E3F">
              <w:rPr>
                <w:rFonts w:ascii="Arial Narrow" w:eastAsiaTheme="minorHAnsi" w:hAnsi="Arial Narrow" w:cstheme="minorBidi"/>
                <w:b/>
                <w:sz w:val="20"/>
                <w:szCs w:val="20"/>
              </w:rPr>
              <w:t>2020</w:t>
            </w:r>
          </w:p>
        </w:tc>
        <w:tc>
          <w:tcPr>
            <w:tcW w:w="555" w:type="pct"/>
          </w:tcPr>
          <w:p w:rsidR="007D2969" w:rsidRPr="00D37E3F" w:rsidRDefault="007D2969" w:rsidP="00906AA4">
            <w:pPr>
              <w:keepNext/>
              <w:spacing w:after="120"/>
              <w:jc w:val="center"/>
              <w:rPr>
                <w:rFonts w:ascii="Arial Narrow" w:eastAsiaTheme="minorHAnsi" w:hAnsi="Arial Narrow" w:cstheme="minorBidi"/>
                <w:b/>
                <w:sz w:val="20"/>
                <w:szCs w:val="20"/>
              </w:rPr>
            </w:pPr>
            <w:r w:rsidRPr="00D37E3F">
              <w:rPr>
                <w:rFonts w:ascii="Arial Narrow" w:eastAsiaTheme="minorHAnsi" w:hAnsi="Arial Narrow" w:cstheme="minorBidi"/>
                <w:b/>
                <w:sz w:val="20"/>
                <w:szCs w:val="20"/>
              </w:rPr>
              <w:t>2021</w:t>
            </w:r>
          </w:p>
        </w:tc>
        <w:tc>
          <w:tcPr>
            <w:tcW w:w="550" w:type="pct"/>
          </w:tcPr>
          <w:p w:rsidR="007D2969" w:rsidRPr="00D37E3F" w:rsidRDefault="007D2969" w:rsidP="00906AA4">
            <w:pPr>
              <w:keepNext/>
              <w:spacing w:after="120"/>
              <w:jc w:val="center"/>
              <w:rPr>
                <w:rFonts w:ascii="Arial Narrow" w:eastAsiaTheme="minorHAnsi" w:hAnsi="Arial Narrow" w:cstheme="minorBidi"/>
                <w:b/>
                <w:sz w:val="20"/>
                <w:szCs w:val="20"/>
              </w:rPr>
            </w:pPr>
            <w:r w:rsidRPr="00D37E3F">
              <w:rPr>
                <w:rFonts w:ascii="Arial Narrow" w:eastAsiaTheme="minorHAnsi" w:hAnsi="Arial Narrow" w:cstheme="minorBidi"/>
                <w:b/>
                <w:sz w:val="20"/>
                <w:szCs w:val="20"/>
              </w:rPr>
              <w:t>2022</w:t>
            </w:r>
          </w:p>
        </w:tc>
        <w:tc>
          <w:tcPr>
            <w:tcW w:w="555" w:type="pct"/>
          </w:tcPr>
          <w:p w:rsidR="007D2969" w:rsidRPr="00D37E3F" w:rsidRDefault="007D2969" w:rsidP="00906AA4">
            <w:pPr>
              <w:keepNext/>
              <w:spacing w:after="120"/>
              <w:jc w:val="center"/>
              <w:rPr>
                <w:rFonts w:ascii="Arial Narrow" w:eastAsiaTheme="minorHAnsi" w:hAnsi="Arial Narrow" w:cstheme="minorBidi"/>
                <w:b/>
                <w:sz w:val="20"/>
                <w:szCs w:val="20"/>
              </w:rPr>
            </w:pPr>
            <w:r w:rsidRPr="00D37E3F">
              <w:rPr>
                <w:rFonts w:ascii="Arial Narrow" w:eastAsiaTheme="minorHAnsi" w:hAnsi="Arial Narrow" w:cstheme="minorBidi"/>
                <w:b/>
                <w:sz w:val="20"/>
                <w:szCs w:val="20"/>
              </w:rPr>
              <w:t>2023</w:t>
            </w:r>
          </w:p>
        </w:tc>
        <w:tc>
          <w:tcPr>
            <w:tcW w:w="537" w:type="pct"/>
          </w:tcPr>
          <w:p w:rsidR="007D2969" w:rsidRPr="00D37E3F" w:rsidRDefault="007D2969" w:rsidP="00906AA4">
            <w:pPr>
              <w:keepNext/>
              <w:spacing w:after="120"/>
              <w:jc w:val="center"/>
              <w:rPr>
                <w:rFonts w:ascii="Arial Narrow" w:eastAsiaTheme="minorHAnsi" w:hAnsi="Arial Narrow" w:cstheme="minorBidi"/>
                <w:b/>
                <w:sz w:val="20"/>
                <w:szCs w:val="20"/>
              </w:rPr>
            </w:pPr>
            <w:r w:rsidRPr="00D37E3F">
              <w:rPr>
                <w:rFonts w:ascii="Arial Narrow" w:eastAsiaTheme="minorHAnsi" w:hAnsi="Arial Narrow" w:cstheme="minorBidi"/>
                <w:b/>
                <w:sz w:val="20"/>
                <w:szCs w:val="20"/>
              </w:rPr>
              <w:t>2024</w:t>
            </w:r>
          </w:p>
        </w:tc>
      </w:tr>
      <w:tr w:rsidR="00F14AA0" w:rsidRPr="00D37E3F" w:rsidTr="00310FEC">
        <w:tc>
          <w:tcPr>
            <w:tcW w:w="1629" w:type="pct"/>
          </w:tcPr>
          <w:p w:rsidR="00F14AA0" w:rsidRPr="00D37E3F" w:rsidRDefault="00F14AA0" w:rsidP="00906AA4">
            <w:pPr>
              <w:keepNext/>
              <w:spacing w:after="120"/>
              <w:rPr>
                <w:rFonts w:ascii="Arial Narrow" w:eastAsiaTheme="minorHAnsi" w:hAnsi="Arial Narrow" w:cstheme="minorBidi"/>
                <w:b/>
                <w:sz w:val="20"/>
                <w:szCs w:val="20"/>
              </w:rPr>
            </w:pPr>
            <w:r w:rsidRPr="00D37E3F">
              <w:rPr>
                <w:rFonts w:ascii="Arial Narrow" w:eastAsiaTheme="minorHAnsi" w:hAnsi="Arial Narrow" w:cstheme="minorBidi"/>
                <w:b/>
                <w:sz w:val="20"/>
                <w:szCs w:val="20"/>
              </w:rPr>
              <w:t xml:space="preserve">Prescriptions </w:t>
            </w:r>
            <w:proofErr w:type="spellStart"/>
            <w:r w:rsidRPr="00D37E3F">
              <w:rPr>
                <w:rFonts w:ascii="Arial Narrow" w:eastAsiaTheme="minorHAnsi" w:hAnsi="Arial Narrow" w:cstheme="minorBidi"/>
                <w:b/>
                <w:sz w:val="20"/>
                <w:szCs w:val="20"/>
              </w:rPr>
              <w:t>Kapanol</w:t>
            </w:r>
            <w:proofErr w:type="spellEnd"/>
            <w:r w:rsidRPr="00D37E3F">
              <w:rPr>
                <w:rFonts w:ascii="Arial Narrow" w:eastAsiaTheme="minorHAnsi" w:hAnsi="Arial Narrow" w:cstheme="minorBidi"/>
                <w:b/>
                <w:sz w:val="20"/>
                <w:szCs w:val="20"/>
              </w:rPr>
              <w:t xml:space="preserve"> 10 mg</w:t>
            </w:r>
          </w:p>
        </w:tc>
        <w:tc>
          <w:tcPr>
            <w:tcW w:w="626" w:type="pct"/>
          </w:tcPr>
          <w:p w:rsidR="00F14AA0" w:rsidRPr="00406B58" w:rsidRDefault="00406B58" w:rsidP="00906AA4">
            <w:pPr>
              <w:keepNext/>
              <w:spacing w:after="120"/>
              <w:jc w:val="center"/>
              <w:rPr>
                <w:rFonts w:ascii="Arial Narrow" w:eastAsiaTheme="minorHAnsi" w:hAnsi="Arial Narrow" w:cstheme="minorBidi"/>
                <w:sz w:val="20"/>
                <w:szCs w:val="20"/>
                <w:highlight w:val="black"/>
              </w:rPr>
            </w:pPr>
            <w:r>
              <w:rPr>
                <w:rFonts w:ascii="Arial Narrow" w:hAnsi="Arial Narrow" w:cs="Calibri"/>
                <w:bCs/>
                <w:noProof/>
                <w:color w:val="000000"/>
                <w:sz w:val="20"/>
                <w:szCs w:val="20"/>
                <w:highlight w:val="black"/>
                <w:lang w:eastAsia="zh-CN"/>
              </w:rPr>
              <w:t>''''''''''''''''</w:t>
            </w:r>
          </w:p>
        </w:tc>
        <w:tc>
          <w:tcPr>
            <w:tcW w:w="550" w:type="pct"/>
          </w:tcPr>
          <w:p w:rsidR="00F14AA0" w:rsidRPr="00406B58" w:rsidRDefault="00406B58" w:rsidP="00906AA4">
            <w:pPr>
              <w:keepNext/>
              <w:spacing w:after="120"/>
              <w:jc w:val="center"/>
              <w:rPr>
                <w:rFonts w:ascii="Arial Narrow" w:eastAsiaTheme="minorHAnsi" w:hAnsi="Arial Narrow" w:cstheme="minorBidi"/>
                <w:sz w:val="20"/>
                <w:szCs w:val="20"/>
                <w:highlight w:val="black"/>
              </w:rPr>
            </w:pPr>
            <w:r>
              <w:rPr>
                <w:rFonts w:ascii="Arial Narrow" w:hAnsi="Arial Narrow" w:cs="Calibri"/>
                <w:bCs/>
                <w:noProof/>
                <w:color w:val="000000"/>
                <w:sz w:val="20"/>
                <w:szCs w:val="20"/>
                <w:highlight w:val="black"/>
                <w:lang w:eastAsia="zh-CN"/>
              </w:rPr>
              <w:t>''''''''''''''''</w:t>
            </w:r>
          </w:p>
        </w:tc>
        <w:tc>
          <w:tcPr>
            <w:tcW w:w="555" w:type="pct"/>
          </w:tcPr>
          <w:p w:rsidR="00F14AA0" w:rsidRPr="00406B58" w:rsidRDefault="00406B58" w:rsidP="00906AA4">
            <w:pPr>
              <w:keepNext/>
              <w:spacing w:after="120"/>
              <w:jc w:val="center"/>
              <w:rPr>
                <w:rFonts w:ascii="Arial Narrow" w:eastAsiaTheme="minorHAnsi" w:hAnsi="Arial Narrow" w:cstheme="minorBidi"/>
                <w:sz w:val="20"/>
                <w:szCs w:val="20"/>
                <w:highlight w:val="black"/>
              </w:rPr>
            </w:pPr>
            <w:r>
              <w:rPr>
                <w:rFonts w:ascii="Arial Narrow" w:hAnsi="Arial Narrow" w:cs="Calibri"/>
                <w:bCs/>
                <w:noProof/>
                <w:color w:val="000000"/>
                <w:sz w:val="20"/>
                <w:szCs w:val="20"/>
                <w:highlight w:val="black"/>
                <w:lang w:eastAsia="zh-CN"/>
              </w:rPr>
              <w:t>''''''''''''''''</w:t>
            </w:r>
          </w:p>
        </w:tc>
        <w:tc>
          <w:tcPr>
            <w:tcW w:w="550" w:type="pct"/>
          </w:tcPr>
          <w:p w:rsidR="00F14AA0" w:rsidRPr="00406B58" w:rsidRDefault="00406B58" w:rsidP="00906AA4">
            <w:pPr>
              <w:keepNext/>
              <w:spacing w:after="120"/>
              <w:jc w:val="center"/>
              <w:rPr>
                <w:rFonts w:ascii="Arial Narrow" w:eastAsiaTheme="minorHAnsi" w:hAnsi="Arial Narrow" w:cstheme="minorBidi"/>
                <w:sz w:val="20"/>
                <w:szCs w:val="20"/>
                <w:highlight w:val="black"/>
              </w:rPr>
            </w:pPr>
            <w:r>
              <w:rPr>
                <w:rFonts w:ascii="Arial Narrow" w:hAnsi="Arial Narrow" w:cs="Calibri"/>
                <w:bCs/>
                <w:noProof/>
                <w:color w:val="000000"/>
                <w:sz w:val="20"/>
                <w:szCs w:val="20"/>
                <w:highlight w:val="black"/>
                <w:lang w:eastAsia="zh-CN"/>
              </w:rPr>
              <w:t>'''''''''''''''</w:t>
            </w:r>
          </w:p>
        </w:tc>
        <w:tc>
          <w:tcPr>
            <w:tcW w:w="555" w:type="pct"/>
          </w:tcPr>
          <w:p w:rsidR="00F14AA0" w:rsidRPr="00406B58" w:rsidRDefault="00406B58" w:rsidP="00906AA4">
            <w:pPr>
              <w:keepNext/>
              <w:spacing w:after="120"/>
              <w:jc w:val="center"/>
              <w:rPr>
                <w:rFonts w:ascii="Arial Narrow" w:eastAsiaTheme="minorHAnsi" w:hAnsi="Arial Narrow" w:cstheme="minorBidi"/>
                <w:sz w:val="20"/>
                <w:szCs w:val="20"/>
                <w:highlight w:val="black"/>
              </w:rPr>
            </w:pPr>
            <w:r>
              <w:rPr>
                <w:rFonts w:ascii="Arial Narrow" w:hAnsi="Arial Narrow" w:cs="Calibri"/>
                <w:bCs/>
                <w:noProof/>
                <w:color w:val="000000"/>
                <w:sz w:val="20"/>
                <w:szCs w:val="20"/>
                <w:highlight w:val="black"/>
                <w:lang w:eastAsia="zh-CN"/>
              </w:rPr>
              <w:t>'''''''''''''''''</w:t>
            </w:r>
          </w:p>
        </w:tc>
        <w:tc>
          <w:tcPr>
            <w:tcW w:w="537" w:type="pct"/>
          </w:tcPr>
          <w:p w:rsidR="00F14AA0" w:rsidRPr="00406B58" w:rsidRDefault="00406B58" w:rsidP="00906AA4">
            <w:pPr>
              <w:keepNext/>
              <w:spacing w:after="120"/>
              <w:jc w:val="center"/>
              <w:rPr>
                <w:rFonts w:ascii="Arial Narrow" w:eastAsiaTheme="minorHAnsi" w:hAnsi="Arial Narrow" w:cstheme="minorBidi"/>
                <w:sz w:val="20"/>
                <w:szCs w:val="20"/>
                <w:highlight w:val="black"/>
              </w:rPr>
            </w:pPr>
            <w:r>
              <w:rPr>
                <w:rFonts w:ascii="Arial Narrow" w:hAnsi="Arial Narrow" w:cs="Calibri"/>
                <w:bCs/>
                <w:noProof/>
                <w:color w:val="000000"/>
                <w:sz w:val="20"/>
                <w:szCs w:val="20"/>
                <w:highlight w:val="black"/>
                <w:lang w:eastAsia="zh-CN"/>
              </w:rPr>
              <w:t>'''''''''''''''</w:t>
            </w:r>
          </w:p>
        </w:tc>
      </w:tr>
      <w:tr w:rsidR="00F14AA0" w:rsidRPr="00D37E3F" w:rsidTr="00310FEC">
        <w:tc>
          <w:tcPr>
            <w:tcW w:w="1629" w:type="pct"/>
          </w:tcPr>
          <w:p w:rsidR="00F14AA0" w:rsidRPr="00D37E3F" w:rsidRDefault="00F14AA0" w:rsidP="00906AA4">
            <w:pPr>
              <w:keepNext/>
              <w:spacing w:after="120"/>
              <w:rPr>
                <w:rFonts w:ascii="Arial Narrow" w:eastAsiaTheme="minorHAnsi" w:hAnsi="Arial Narrow" w:cstheme="minorBidi"/>
                <w:b/>
                <w:sz w:val="20"/>
                <w:szCs w:val="20"/>
              </w:rPr>
            </w:pPr>
            <w:r w:rsidRPr="00D37E3F">
              <w:rPr>
                <w:rFonts w:ascii="Arial Narrow" w:eastAsiaTheme="minorHAnsi" w:hAnsi="Arial Narrow" w:cstheme="minorBidi"/>
                <w:b/>
                <w:sz w:val="20"/>
                <w:szCs w:val="20"/>
              </w:rPr>
              <w:t xml:space="preserve">Prescriptions </w:t>
            </w:r>
            <w:proofErr w:type="spellStart"/>
            <w:r w:rsidRPr="00D37E3F">
              <w:rPr>
                <w:rFonts w:ascii="Arial Narrow" w:eastAsiaTheme="minorHAnsi" w:hAnsi="Arial Narrow" w:cstheme="minorBidi"/>
                <w:b/>
                <w:sz w:val="20"/>
                <w:szCs w:val="20"/>
              </w:rPr>
              <w:t>Kapanol</w:t>
            </w:r>
            <w:proofErr w:type="spellEnd"/>
            <w:r w:rsidRPr="00D37E3F">
              <w:rPr>
                <w:rFonts w:ascii="Arial Narrow" w:eastAsiaTheme="minorHAnsi" w:hAnsi="Arial Narrow" w:cstheme="minorBidi"/>
                <w:b/>
                <w:sz w:val="20"/>
                <w:szCs w:val="20"/>
              </w:rPr>
              <w:t xml:space="preserve"> 20 mg</w:t>
            </w:r>
          </w:p>
        </w:tc>
        <w:tc>
          <w:tcPr>
            <w:tcW w:w="626" w:type="pct"/>
          </w:tcPr>
          <w:p w:rsidR="00F14AA0" w:rsidRPr="00406B58" w:rsidRDefault="00406B58" w:rsidP="00906AA4">
            <w:pPr>
              <w:keepNext/>
              <w:spacing w:after="120"/>
              <w:jc w:val="center"/>
              <w:rPr>
                <w:rFonts w:ascii="Arial Narrow" w:eastAsiaTheme="minorHAnsi" w:hAnsi="Arial Narrow" w:cstheme="minorBidi"/>
                <w:sz w:val="20"/>
                <w:szCs w:val="20"/>
                <w:highlight w:val="black"/>
              </w:rPr>
            </w:pPr>
            <w:r>
              <w:rPr>
                <w:rFonts w:ascii="Arial Narrow" w:hAnsi="Arial Narrow" w:cs="Calibri"/>
                <w:bCs/>
                <w:noProof/>
                <w:color w:val="000000"/>
                <w:sz w:val="20"/>
                <w:szCs w:val="20"/>
                <w:highlight w:val="black"/>
                <w:lang w:eastAsia="zh-CN"/>
              </w:rPr>
              <w:t>'''''''''''''''''</w:t>
            </w:r>
          </w:p>
        </w:tc>
        <w:tc>
          <w:tcPr>
            <w:tcW w:w="550" w:type="pct"/>
          </w:tcPr>
          <w:p w:rsidR="00F14AA0" w:rsidRPr="00406B58" w:rsidRDefault="00406B58" w:rsidP="00906AA4">
            <w:pPr>
              <w:keepNext/>
              <w:spacing w:after="120"/>
              <w:jc w:val="center"/>
              <w:rPr>
                <w:rFonts w:ascii="Arial Narrow" w:eastAsiaTheme="minorHAnsi" w:hAnsi="Arial Narrow" w:cstheme="minorBidi"/>
                <w:sz w:val="20"/>
                <w:szCs w:val="20"/>
                <w:highlight w:val="black"/>
              </w:rPr>
            </w:pPr>
            <w:r>
              <w:rPr>
                <w:rFonts w:ascii="Arial Narrow" w:hAnsi="Arial Narrow" w:cs="Calibri"/>
                <w:bCs/>
                <w:noProof/>
                <w:color w:val="000000"/>
                <w:sz w:val="20"/>
                <w:szCs w:val="20"/>
                <w:highlight w:val="black"/>
                <w:lang w:eastAsia="zh-CN"/>
              </w:rPr>
              <w:t>'''''''''''''''</w:t>
            </w:r>
          </w:p>
        </w:tc>
        <w:tc>
          <w:tcPr>
            <w:tcW w:w="555" w:type="pct"/>
          </w:tcPr>
          <w:p w:rsidR="00F14AA0" w:rsidRPr="00406B58" w:rsidRDefault="00406B58" w:rsidP="00906AA4">
            <w:pPr>
              <w:keepNext/>
              <w:spacing w:after="120"/>
              <w:jc w:val="center"/>
              <w:rPr>
                <w:rFonts w:ascii="Arial Narrow" w:eastAsiaTheme="minorHAnsi" w:hAnsi="Arial Narrow" w:cstheme="minorBidi"/>
                <w:sz w:val="20"/>
                <w:szCs w:val="20"/>
                <w:highlight w:val="black"/>
              </w:rPr>
            </w:pPr>
            <w:r>
              <w:rPr>
                <w:rFonts w:ascii="Arial Narrow" w:hAnsi="Arial Narrow" w:cs="Calibri"/>
                <w:bCs/>
                <w:noProof/>
                <w:color w:val="000000"/>
                <w:sz w:val="20"/>
                <w:szCs w:val="20"/>
                <w:highlight w:val="black"/>
                <w:lang w:eastAsia="zh-CN"/>
              </w:rPr>
              <w:t>'''''''''''''''</w:t>
            </w:r>
          </w:p>
        </w:tc>
        <w:tc>
          <w:tcPr>
            <w:tcW w:w="550" w:type="pct"/>
          </w:tcPr>
          <w:p w:rsidR="00F14AA0" w:rsidRPr="00406B58" w:rsidRDefault="00406B58" w:rsidP="00906AA4">
            <w:pPr>
              <w:keepNext/>
              <w:spacing w:after="120"/>
              <w:jc w:val="center"/>
              <w:rPr>
                <w:rFonts w:ascii="Arial Narrow" w:eastAsiaTheme="minorHAnsi" w:hAnsi="Arial Narrow" w:cstheme="minorBidi"/>
                <w:sz w:val="20"/>
                <w:szCs w:val="20"/>
                <w:highlight w:val="black"/>
              </w:rPr>
            </w:pPr>
            <w:r>
              <w:rPr>
                <w:rFonts w:ascii="Arial Narrow" w:hAnsi="Arial Narrow" w:cs="Calibri"/>
                <w:bCs/>
                <w:noProof/>
                <w:color w:val="000000"/>
                <w:sz w:val="20"/>
                <w:szCs w:val="20"/>
                <w:highlight w:val="black"/>
                <w:lang w:eastAsia="zh-CN"/>
              </w:rPr>
              <w:t>'''''''''''''''''</w:t>
            </w:r>
          </w:p>
        </w:tc>
        <w:tc>
          <w:tcPr>
            <w:tcW w:w="555" w:type="pct"/>
          </w:tcPr>
          <w:p w:rsidR="00F14AA0" w:rsidRPr="00406B58" w:rsidRDefault="00406B58" w:rsidP="00906AA4">
            <w:pPr>
              <w:keepNext/>
              <w:spacing w:after="120"/>
              <w:jc w:val="center"/>
              <w:rPr>
                <w:rFonts w:ascii="Arial Narrow" w:eastAsiaTheme="minorHAnsi" w:hAnsi="Arial Narrow" w:cstheme="minorBidi"/>
                <w:sz w:val="20"/>
                <w:szCs w:val="20"/>
                <w:highlight w:val="black"/>
              </w:rPr>
            </w:pPr>
            <w:r>
              <w:rPr>
                <w:rFonts w:ascii="Arial Narrow" w:hAnsi="Arial Narrow" w:cs="Calibri"/>
                <w:bCs/>
                <w:noProof/>
                <w:color w:val="000000"/>
                <w:sz w:val="20"/>
                <w:szCs w:val="20"/>
                <w:highlight w:val="black"/>
                <w:lang w:eastAsia="zh-CN"/>
              </w:rPr>
              <w:t>'''''''''''''''</w:t>
            </w:r>
          </w:p>
        </w:tc>
        <w:tc>
          <w:tcPr>
            <w:tcW w:w="537" w:type="pct"/>
          </w:tcPr>
          <w:p w:rsidR="00F14AA0" w:rsidRPr="00406B58" w:rsidRDefault="00406B58" w:rsidP="00906AA4">
            <w:pPr>
              <w:keepNext/>
              <w:spacing w:after="120"/>
              <w:jc w:val="center"/>
              <w:rPr>
                <w:rFonts w:ascii="Arial Narrow" w:eastAsiaTheme="minorHAnsi" w:hAnsi="Arial Narrow" w:cstheme="minorBidi"/>
                <w:sz w:val="20"/>
                <w:szCs w:val="20"/>
                <w:highlight w:val="black"/>
              </w:rPr>
            </w:pPr>
            <w:r>
              <w:rPr>
                <w:rFonts w:ascii="Arial Narrow" w:hAnsi="Arial Narrow" w:cs="Calibri"/>
                <w:bCs/>
                <w:noProof/>
                <w:color w:val="000000"/>
                <w:sz w:val="20"/>
                <w:szCs w:val="20"/>
                <w:highlight w:val="black"/>
                <w:lang w:eastAsia="zh-CN"/>
              </w:rPr>
              <w:t>'''''''''''''''''</w:t>
            </w:r>
          </w:p>
        </w:tc>
      </w:tr>
      <w:tr w:rsidR="00C93FCC" w:rsidRPr="00D37E3F" w:rsidTr="00310FEC">
        <w:tc>
          <w:tcPr>
            <w:tcW w:w="5000" w:type="pct"/>
            <w:gridSpan w:val="7"/>
          </w:tcPr>
          <w:p w:rsidR="00C93FCC" w:rsidRPr="00D37E3F" w:rsidRDefault="00C93FCC" w:rsidP="009C58AE">
            <w:pPr>
              <w:spacing w:after="120"/>
              <w:rPr>
                <w:rFonts w:ascii="Arial Narrow" w:hAnsi="Arial Narrow" w:cs="Calibri"/>
                <w:b/>
                <w:sz w:val="20"/>
                <w:szCs w:val="20"/>
                <w:lang w:eastAsia="zh-CN"/>
              </w:rPr>
            </w:pPr>
            <w:r w:rsidRPr="00D37E3F">
              <w:rPr>
                <w:rFonts w:ascii="Arial Narrow" w:hAnsi="Arial Narrow" w:cs="Calibri"/>
                <w:b/>
                <w:sz w:val="20"/>
                <w:szCs w:val="20"/>
                <w:lang w:eastAsia="zh-CN"/>
              </w:rPr>
              <w:t>PBS costs</w:t>
            </w:r>
          </w:p>
        </w:tc>
      </w:tr>
      <w:tr w:rsidR="00F14AA0" w:rsidRPr="00D37E3F" w:rsidTr="00310FEC">
        <w:tc>
          <w:tcPr>
            <w:tcW w:w="1629" w:type="pct"/>
          </w:tcPr>
          <w:p w:rsidR="00F14AA0" w:rsidRPr="00D37E3F" w:rsidRDefault="00F14AA0" w:rsidP="00F14AA0">
            <w:pPr>
              <w:spacing w:after="120"/>
              <w:rPr>
                <w:rFonts w:ascii="Arial Narrow" w:eastAsiaTheme="minorHAnsi" w:hAnsi="Arial Narrow" w:cstheme="minorBidi"/>
                <w:b/>
                <w:sz w:val="20"/>
                <w:szCs w:val="20"/>
              </w:rPr>
            </w:pPr>
            <w:r w:rsidRPr="00D37E3F">
              <w:rPr>
                <w:rFonts w:ascii="Arial Narrow" w:eastAsiaTheme="minorHAnsi" w:hAnsi="Arial Narrow" w:cstheme="minorBidi"/>
                <w:b/>
                <w:sz w:val="20"/>
                <w:szCs w:val="20"/>
              </w:rPr>
              <w:t>Total cost</w:t>
            </w:r>
            <w:r w:rsidR="00C93FCC" w:rsidRPr="00D37E3F">
              <w:rPr>
                <w:rFonts w:ascii="Arial Narrow" w:eastAsiaTheme="minorHAnsi" w:hAnsi="Arial Narrow" w:cstheme="minorBidi"/>
                <w:b/>
                <w:sz w:val="20"/>
                <w:szCs w:val="20"/>
              </w:rPr>
              <w:t xml:space="preserve"> to PBS</w:t>
            </w:r>
          </w:p>
        </w:tc>
        <w:tc>
          <w:tcPr>
            <w:tcW w:w="626" w:type="pct"/>
            <w:vAlign w:val="center"/>
          </w:tcPr>
          <w:p w:rsidR="00F14AA0" w:rsidRPr="00D37E3F" w:rsidRDefault="00F14AA0" w:rsidP="009C58AE">
            <w:pPr>
              <w:spacing w:after="120"/>
              <w:jc w:val="center"/>
              <w:rPr>
                <w:rFonts w:ascii="Arial Narrow" w:eastAsiaTheme="minorHAnsi" w:hAnsi="Arial Narrow" w:cstheme="minorBidi"/>
                <w:sz w:val="20"/>
                <w:szCs w:val="20"/>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50" w:type="pct"/>
            <w:vAlign w:val="center"/>
          </w:tcPr>
          <w:p w:rsidR="00F14AA0" w:rsidRPr="00D37E3F" w:rsidRDefault="00F14AA0" w:rsidP="009C58AE">
            <w:pPr>
              <w:spacing w:after="120"/>
              <w:jc w:val="center"/>
              <w:rPr>
                <w:rFonts w:ascii="Arial Narrow" w:eastAsiaTheme="minorHAnsi" w:hAnsi="Arial Narrow" w:cstheme="minorBidi"/>
                <w:sz w:val="20"/>
                <w:szCs w:val="20"/>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55" w:type="pct"/>
            <w:vAlign w:val="center"/>
          </w:tcPr>
          <w:p w:rsidR="00F14AA0" w:rsidRPr="00D37E3F" w:rsidRDefault="00F14AA0" w:rsidP="009C58AE">
            <w:pPr>
              <w:spacing w:after="120"/>
              <w:jc w:val="center"/>
              <w:rPr>
                <w:rFonts w:ascii="Arial Narrow" w:eastAsiaTheme="minorHAnsi" w:hAnsi="Arial Narrow" w:cstheme="minorBidi"/>
                <w:sz w:val="20"/>
                <w:szCs w:val="20"/>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50" w:type="pct"/>
            <w:vAlign w:val="center"/>
          </w:tcPr>
          <w:p w:rsidR="00F14AA0" w:rsidRPr="00D37E3F" w:rsidRDefault="00F14AA0" w:rsidP="009C58AE">
            <w:pPr>
              <w:spacing w:after="120"/>
              <w:jc w:val="center"/>
              <w:rPr>
                <w:rFonts w:ascii="Arial Narrow" w:eastAsiaTheme="minorHAnsi" w:hAnsi="Arial Narrow" w:cstheme="minorBidi"/>
                <w:sz w:val="20"/>
                <w:szCs w:val="20"/>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55" w:type="pct"/>
            <w:vAlign w:val="center"/>
          </w:tcPr>
          <w:p w:rsidR="00F14AA0" w:rsidRPr="00D37E3F" w:rsidRDefault="00F14AA0" w:rsidP="009C58AE">
            <w:pPr>
              <w:spacing w:after="120"/>
              <w:jc w:val="center"/>
              <w:rPr>
                <w:rFonts w:ascii="Arial Narrow" w:eastAsiaTheme="minorHAnsi" w:hAnsi="Arial Narrow" w:cstheme="minorBidi"/>
                <w:sz w:val="20"/>
                <w:szCs w:val="20"/>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37" w:type="pct"/>
            <w:vAlign w:val="center"/>
          </w:tcPr>
          <w:p w:rsidR="00F14AA0" w:rsidRPr="00D37E3F" w:rsidRDefault="00F14AA0" w:rsidP="009C58AE">
            <w:pPr>
              <w:spacing w:after="120"/>
              <w:jc w:val="center"/>
              <w:rPr>
                <w:rFonts w:ascii="Arial Narrow" w:eastAsiaTheme="minorHAnsi" w:hAnsi="Arial Narrow" w:cstheme="minorBidi"/>
                <w:sz w:val="20"/>
                <w:szCs w:val="20"/>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r>
      <w:tr w:rsidR="00F14AA0" w:rsidRPr="00D37E3F" w:rsidTr="00310FEC">
        <w:tc>
          <w:tcPr>
            <w:tcW w:w="1629" w:type="pct"/>
          </w:tcPr>
          <w:p w:rsidR="00F14AA0" w:rsidRPr="00D37E3F" w:rsidRDefault="00F14AA0" w:rsidP="00F14AA0">
            <w:pPr>
              <w:spacing w:after="120"/>
              <w:rPr>
                <w:rFonts w:ascii="Arial Narrow" w:eastAsiaTheme="minorHAnsi" w:hAnsi="Arial Narrow" w:cstheme="minorBidi"/>
                <w:b/>
                <w:sz w:val="20"/>
                <w:szCs w:val="20"/>
              </w:rPr>
            </w:pPr>
            <w:r w:rsidRPr="00D37E3F">
              <w:rPr>
                <w:rFonts w:ascii="Arial Narrow" w:eastAsiaTheme="minorHAnsi" w:hAnsi="Arial Narrow" w:cstheme="minorBidi"/>
                <w:b/>
                <w:sz w:val="20"/>
                <w:szCs w:val="20"/>
              </w:rPr>
              <w:t>Co-payments</w:t>
            </w:r>
          </w:p>
        </w:tc>
        <w:tc>
          <w:tcPr>
            <w:tcW w:w="626" w:type="pct"/>
            <w:vAlign w:val="center"/>
          </w:tcPr>
          <w:p w:rsidR="00F14AA0" w:rsidRPr="00D37E3F" w:rsidRDefault="00F14AA0" w:rsidP="009C58AE">
            <w:pPr>
              <w:spacing w:after="120"/>
              <w:jc w:val="center"/>
              <w:rPr>
                <w:rFonts w:ascii="Arial Narrow" w:eastAsiaTheme="minorHAnsi" w:hAnsi="Arial Narrow" w:cstheme="minorBidi"/>
                <w:sz w:val="20"/>
                <w:szCs w:val="20"/>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50" w:type="pct"/>
            <w:vAlign w:val="center"/>
          </w:tcPr>
          <w:p w:rsidR="00F14AA0" w:rsidRPr="00D37E3F" w:rsidRDefault="00F14AA0" w:rsidP="009C58AE">
            <w:pPr>
              <w:spacing w:after="120"/>
              <w:jc w:val="center"/>
              <w:rPr>
                <w:rFonts w:ascii="Arial Narrow" w:eastAsiaTheme="minorHAnsi" w:hAnsi="Arial Narrow" w:cstheme="minorBidi"/>
                <w:sz w:val="20"/>
                <w:szCs w:val="20"/>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55" w:type="pct"/>
            <w:vAlign w:val="center"/>
          </w:tcPr>
          <w:p w:rsidR="00F14AA0" w:rsidRPr="00D37E3F" w:rsidRDefault="00F14AA0" w:rsidP="009C58AE">
            <w:pPr>
              <w:spacing w:after="120"/>
              <w:jc w:val="center"/>
              <w:rPr>
                <w:rFonts w:ascii="Arial Narrow" w:eastAsiaTheme="minorHAnsi" w:hAnsi="Arial Narrow" w:cstheme="minorBidi"/>
                <w:sz w:val="20"/>
                <w:szCs w:val="20"/>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50" w:type="pct"/>
            <w:vAlign w:val="center"/>
          </w:tcPr>
          <w:p w:rsidR="00F14AA0" w:rsidRPr="00D37E3F" w:rsidRDefault="00F14AA0" w:rsidP="009C58AE">
            <w:pPr>
              <w:spacing w:after="120"/>
              <w:jc w:val="center"/>
              <w:rPr>
                <w:rFonts w:ascii="Arial Narrow" w:eastAsiaTheme="minorHAnsi" w:hAnsi="Arial Narrow" w:cstheme="minorBidi"/>
                <w:sz w:val="20"/>
                <w:szCs w:val="20"/>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55" w:type="pct"/>
            <w:vAlign w:val="center"/>
          </w:tcPr>
          <w:p w:rsidR="00F14AA0" w:rsidRPr="00D37E3F" w:rsidRDefault="00F14AA0" w:rsidP="009C58AE">
            <w:pPr>
              <w:spacing w:after="120"/>
              <w:jc w:val="center"/>
              <w:rPr>
                <w:rFonts w:ascii="Arial Narrow" w:eastAsiaTheme="minorHAnsi" w:hAnsi="Arial Narrow" w:cstheme="minorBidi"/>
                <w:sz w:val="20"/>
                <w:szCs w:val="20"/>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37" w:type="pct"/>
            <w:vAlign w:val="center"/>
          </w:tcPr>
          <w:p w:rsidR="00F14AA0" w:rsidRPr="00D37E3F" w:rsidRDefault="00F14AA0" w:rsidP="009C58AE">
            <w:pPr>
              <w:spacing w:after="120"/>
              <w:jc w:val="center"/>
              <w:rPr>
                <w:rFonts w:ascii="Arial Narrow" w:eastAsiaTheme="minorHAnsi" w:hAnsi="Arial Narrow" w:cstheme="minorBidi"/>
                <w:sz w:val="20"/>
                <w:szCs w:val="20"/>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r>
      <w:tr w:rsidR="00F14AA0" w:rsidRPr="00D37E3F" w:rsidTr="00310FEC">
        <w:tc>
          <w:tcPr>
            <w:tcW w:w="1629" w:type="pct"/>
          </w:tcPr>
          <w:p w:rsidR="00F14AA0" w:rsidRPr="00D37E3F" w:rsidRDefault="00F14AA0" w:rsidP="00F14AA0">
            <w:pPr>
              <w:spacing w:after="120"/>
              <w:rPr>
                <w:rFonts w:ascii="Arial Narrow" w:eastAsiaTheme="minorHAnsi" w:hAnsi="Arial Narrow" w:cstheme="minorBidi"/>
                <w:b/>
                <w:sz w:val="20"/>
                <w:szCs w:val="20"/>
              </w:rPr>
            </w:pPr>
            <w:r w:rsidRPr="00D37E3F">
              <w:rPr>
                <w:rFonts w:ascii="Arial Narrow" w:eastAsiaTheme="minorHAnsi" w:hAnsi="Arial Narrow" w:cstheme="minorBidi"/>
                <w:b/>
                <w:sz w:val="20"/>
                <w:szCs w:val="20"/>
              </w:rPr>
              <w:t>Net cost to PBS</w:t>
            </w:r>
          </w:p>
        </w:tc>
        <w:tc>
          <w:tcPr>
            <w:tcW w:w="626" w:type="pct"/>
            <w:vAlign w:val="center"/>
          </w:tcPr>
          <w:p w:rsidR="00F14AA0" w:rsidRPr="00D37E3F" w:rsidRDefault="00F14AA0" w:rsidP="009C58AE">
            <w:pPr>
              <w:spacing w:after="120"/>
              <w:jc w:val="center"/>
              <w:rPr>
                <w:rFonts w:ascii="Arial Narrow" w:eastAsiaTheme="minorHAnsi" w:hAnsi="Arial Narrow" w:cstheme="minorBidi"/>
                <w:sz w:val="20"/>
                <w:szCs w:val="20"/>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50" w:type="pct"/>
            <w:vAlign w:val="center"/>
          </w:tcPr>
          <w:p w:rsidR="00F14AA0" w:rsidRPr="00D37E3F" w:rsidRDefault="00F14AA0" w:rsidP="009C58AE">
            <w:pPr>
              <w:spacing w:after="120"/>
              <w:jc w:val="center"/>
              <w:rPr>
                <w:rFonts w:ascii="Arial Narrow" w:eastAsiaTheme="minorHAnsi" w:hAnsi="Arial Narrow" w:cstheme="minorBidi"/>
                <w:sz w:val="20"/>
                <w:szCs w:val="20"/>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55" w:type="pct"/>
            <w:vAlign w:val="center"/>
          </w:tcPr>
          <w:p w:rsidR="00F14AA0" w:rsidRPr="00D37E3F" w:rsidRDefault="00F14AA0" w:rsidP="009C58AE">
            <w:pPr>
              <w:spacing w:after="120"/>
              <w:jc w:val="center"/>
              <w:rPr>
                <w:rFonts w:ascii="Arial Narrow" w:eastAsiaTheme="minorHAnsi" w:hAnsi="Arial Narrow" w:cstheme="minorBidi"/>
                <w:sz w:val="20"/>
                <w:szCs w:val="20"/>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50" w:type="pct"/>
            <w:vAlign w:val="center"/>
          </w:tcPr>
          <w:p w:rsidR="00F14AA0" w:rsidRPr="00D37E3F" w:rsidRDefault="00F14AA0" w:rsidP="009C58AE">
            <w:pPr>
              <w:spacing w:after="120"/>
              <w:jc w:val="center"/>
              <w:rPr>
                <w:rFonts w:ascii="Arial Narrow" w:eastAsiaTheme="minorHAnsi" w:hAnsi="Arial Narrow" w:cstheme="minorBidi"/>
                <w:sz w:val="20"/>
                <w:szCs w:val="20"/>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55" w:type="pct"/>
            <w:vAlign w:val="center"/>
          </w:tcPr>
          <w:p w:rsidR="00F14AA0" w:rsidRPr="00D37E3F" w:rsidRDefault="00F14AA0" w:rsidP="009C58AE">
            <w:pPr>
              <w:spacing w:after="120"/>
              <w:jc w:val="center"/>
              <w:rPr>
                <w:rFonts w:ascii="Arial Narrow" w:eastAsiaTheme="minorHAnsi" w:hAnsi="Arial Narrow" w:cstheme="minorBidi"/>
                <w:sz w:val="20"/>
                <w:szCs w:val="20"/>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37" w:type="pct"/>
            <w:vAlign w:val="center"/>
          </w:tcPr>
          <w:p w:rsidR="00F14AA0" w:rsidRPr="00D37E3F" w:rsidRDefault="00F14AA0" w:rsidP="009C58AE">
            <w:pPr>
              <w:spacing w:after="120"/>
              <w:jc w:val="center"/>
              <w:rPr>
                <w:rFonts w:ascii="Arial Narrow" w:eastAsiaTheme="minorHAnsi" w:hAnsi="Arial Narrow" w:cstheme="minorBidi"/>
                <w:sz w:val="20"/>
                <w:szCs w:val="20"/>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r>
      <w:tr w:rsidR="00C93FCC" w:rsidRPr="00D37E3F" w:rsidTr="00310FEC">
        <w:tc>
          <w:tcPr>
            <w:tcW w:w="5000" w:type="pct"/>
            <w:gridSpan w:val="7"/>
          </w:tcPr>
          <w:p w:rsidR="00C93FCC" w:rsidRPr="00D37E3F" w:rsidRDefault="00C93FCC" w:rsidP="009C58AE">
            <w:pPr>
              <w:spacing w:after="120"/>
              <w:rPr>
                <w:rFonts w:ascii="Arial Narrow" w:hAnsi="Arial Narrow" w:cs="Calibri"/>
                <w:b/>
                <w:sz w:val="20"/>
                <w:szCs w:val="20"/>
                <w:lang w:eastAsia="zh-CN"/>
              </w:rPr>
            </w:pPr>
            <w:r w:rsidRPr="00D37E3F">
              <w:rPr>
                <w:rFonts w:ascii="Arial Narrow" w:hAnsi="Arial Narrow" w:cs="Calibri"/>
                <w:b/>
                <w:sz w:val="20"/>
                <w:szCs w:val="20"/>
                <w:lang w:eastAsia="zh-CN"/>
              </w:rPr>
              <w:t>RPBS costs</w:t>
            </w:r>
          </w:p>
        </w:tc>
      </w:tr>
      <w:tr w:rsidR="00C93FCC" w:rsidRPr="00D37E3F" w:rsidTr="00310FEC">
        <w:tc>
          <w:tcPr>
            <w:tcW w:w="1629" w:type="pct"/>
          </w:tcPr>
          <w:p w:rsidR="00C93FCC" w:rsidRPr="00D37E3F" w:rsidRDefault="00C93FCC" w:rsidP="00C93FCC">
            <w:pPr>
              <w:spacing w:after="120"/>
              <w:rPr>
                <w:rFonts w:ascii="Arial Narrow" w:eastAsiaTheme="minorHAnsi" w:hAnsi="Arial Narrow" w:cstheme="minorBidi"/>
                <w:b/>
                <w:sz w:val="20"/>
                <w:szCs w:val="20"/>
              </w:rPr>
            </w:pPr>
            <w:r w:rsidRPr="00D37E3F">
              <w:rPr>
                <w:rFonts w:ascii="Arial Narrow" w:eastAsiaTheme="minorHAnsi" w:hAnsi="Arial Narrow" w:cstheme="minorBidi"/>
                <w:b/>
                <w:sz w:val="20"/>
                <w:szCs w:val="20"/>
              </w:rPr>
              <w:t>Total cost to RPBS</w:t>
            </w:r>
          </w:p>
        </w:tc>
        <w:tc>
          <w:tcPr>
            <w:tcW w:w="626" w:type="pct"/>
            <w:vAlign w:val="center"/>
          </w:tcPr>
          <w:p w:rsidR="00C93FCC" w:rsidRPr="00D37E3F" w:rsidRDefault="00C93FCC" w:rsidP="009C58AE">
            <w:pPr>
              <w:spacing w:after="120"/>
              <w:jc w:val="center"/>
              <w:rPr>
                <w:rFonts w:ascii="Arial Narrow" w:hAnsi="Arial Narrow" w:cs="Calibri"/>
                <w:sz w:val="20"/>
                <w:szCs w:val="20"/>
                <w:lang w:eastAsia="zh-CN"/>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50" w:type="pct"/>
            <w:vAlign w:val="center"/>
          </w:tcPr>
          <w:p w:rsidR="00C93FCC" w:rsidRPr="00D37E3F" w:rsidRDefault="00C93FCC" w:rsidP="009C58AE">
            <w:pPr>
              <w:spacing w:after="120"/>
              <w:jc w:val="center"/>
              <w:rPr>
                <w:rFonts w:ascii="Arial Narrow" w:hAnsi="Arial Narrow" w:cs="Calibri"/>
                <w:sz w:val="20"/>
                <w:szCs w:val="20"/>
                <w:lang w:eastAsia="zh-CN"/>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55" w:type="pct"/>
            <w:vAlign w:val="center"/>
          </w:tcPr>
          <w:p w:rsidR="00C93FCC" w:rsidRPr="00D37E3F" w:rsidRDefault="00C93FCC" w:rsidP="009C58AE">
            <w:pPr>
              <w:spacing w:after="120"/>
              <w:jc w:val="center"/>
              <w:rPr>
                <w:rFonts w:ascii="Arial Narrow" w:hAnsi="Arial Narrow" w:cs="Calibri"/>
                <w:sz w:val="20"/>
                <w:szCs w:val="20"/>
                <w:lang w:eastAsia="zh-CN"/>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50" w:type="pct"/>
            <w:vAlign w:val="center"/>
          </w:tcPr>
          <w:p w:rsidR="00C93FCC" w:rsidRPr="00D37E3F" w:rsidRDefault="00C93FCC" w:rsidP="009C58AE">
            <w:pPr>
              <w:spacing w:after="120"/>
              <w:jc w:val="center"/>
              <w:rPr>
                <w:rFonts w:ascii="Arial Narrow" w:hAnsi="Arial Narrow" w:cs="Calibri"/>
                <w:sz w:val="20"/>
                <w:szCs w:val="20"/>
                <w:lang w:eastAsia="zh-CN"/>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55" w:type="pct"/>
            <w:vAlign w:val="center"/>
          </w:tcPr>
          <w:p w:rsidR="00C93FCC" w:rsidRPr="00D37E3F" w:rsidRDefault="00C93FCC" w:rsidP="009C58AE">
            <w:pPr>
              <w:spacing w:after="120"/>
              <w:jc w:val="center"/>
              <w:rPr>
                <w:rFonts w:ascii="Arial Narrow" w:hAnsi="Arial Narrow" w:cs="Calibri"/>
                <w:sz w:val="20"/>
                <w:szCs w:val="20"/>
                <w:lang w:eastAsia="zh-CN"/>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37" w:type="pct"/>
            <w:vAlign w:val="center"/>
          </w:tcPr>
          <w:p w:rsidR="00C93FCC" w:rsidRPr="00D37E3F" w:rsidRDefault="00C93FCC" w:rsidP="009C58AE">
            <w:pPr>
              <w:spacing w:after="120"/>
              <w:jc w:val="center"/>
              <w:rPr>
                <w:rFonts w:ascii="Arial Narrow" w:hAnsi="Arial Narrow" w:cs="Calibri"/>
                <w:sz w:val="20"/>
                <w:szCs w:val="20"/>
                <w:lang w:eastAsia="zh-CN"/>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r>
      <w:tr w:rsidR="00C93FCC" w:rsidRPr="00D37E3F" w:rsidTr="00310FEC">
        <w:tc>
          <w:tcPr>
            <w:tcW w:w="1629" w:type="pct"/>
          </w:tcPr>
          <w:p w:rsidR="00C93FCC" w:rsidRPr="00D37E3F" w:rsidRDefault="00C93FCC" w:rsidP="00C93FCC">
            <w:pPr>
              <w:spacing w:after="120"/>
              <w:rPr>
                <w:rFonts w:ascii="Arial Narrow" w:eastAsiaTheme="minorHAnsi" w:hAnsi="Arial Narrow" w:cstheme="minorBidi"/>
                <w:b/>
                <w:sz w:val="20"/>
                <w:szCs w:val="20"/>
              </w:rPr>
            </w:pPr>
            <w:r w:rsidRPr="00D37E3F">
              <w:rPr>
                <w:rFonts w:ascii="Arial Narrow" w:eastAsiaTheme="minorHAnsi" w:hAnsi="Arial Narrow" w:cstheme="minorBidi"/>
                <w:b/>
                <w:sz w:val="20"/>
                <w:szCs w:val="20"/>
              </w:rPr>
              <w:t>Co-payments</w:t>
            </w:r>
          </w:p>
        </w:tc>
        <w:tc>
          <w:tcPr>
            <w:tcW w:w="626" w:type="pct"/>
            <w:vAlign w:val="center"/>
          </w:tcPr>
          <w:p w:rsidR="00C93FCC" w:rsidRPr="00D37E3F" w:rsidRDefault="00C93FCC" w:rsidP="009C58AE">
            <w:pPr>
              <w:spacing w:after="120"/>
              <w:jc w:val="center"/>
              <w:rPr>
                <w:rFonts w:ascii="Arial Narrow" w:hAnsi="Arial Narrow" w:cs="Calibri"/>
                <w:sz w:val="20"/>
                <w:szCs w:val="20"/>
                <w:lang w:eastAsia="zh-CN"/>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50" w:type="pct"/>
            <w:vAlign w:val="center"/>
          </w:tcPr>
          <w:p w:rsidR="00C93FCC" w:rsidRPr="00D37E3F" w:rsidRDefault="00C93FCC" w:rsidP="009C58AE">
            <w:pPr>
              <w:spacing w:after="120"/>
              <w:jc w:val="center"/>
              <w:rPr>
                <w:rFonts w:ascii="Arial Narrow" w:hAnsi="Arial Narrow" w:cs="Calibri"/>
                <w:sz w:val="20"/>
                <w:szCs w:val="20"/>
                <w:lang w:eastAsia="zh-CN"/>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55" w:type="pct"/>
            <w:vAlign w:val="center"/>
          </w:tcPr>
          <w:p w:rsidR="00C93FCC" w:rsidRPr="00D37E3F" w:rsidRDefault="00C93FCC" w:rsidP="009C58AE">
            <w:pPr>
              <w:spacing w:after="120"/>
              <w:jc w:val="center"/>
              <w:rPr>
                <w:rFonts w:ascii="Arial Narrow" w:hAnsi="Arial Narrow" w:cs="Calibri"/>
                <w:sz w:val="20"/>
                <w:szCs w:val="20"/>
                <w:lang w:eastAsia="zh-CN"/>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50" w:type="pct"/>
            <w:vAlign w:val="center"/>
          </w:tcPr>
          <w:p w:rsidR="00C93FCC" w:rsidRPr="00D37E3F" w:rsidRDefault="00C93FCC" w:rsidP="009C58AE">
            <w:pPr>
              <w:spacing w:after="120"/>
              <w:jc w:val="center"/>
              <w:rPr>
                <w:rFonts w:ascii="Arial Narrow" w:hAnsi="Arial Narrow" w:cs="Calibri"/>
                <w:sz w:val="20"/>
                <w:szCs w:val="20"/>
                <w:lang w:eastAsia="zh-CN"/>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55" w:type="pct"/>
            <w:vAlign w:val="center"/>
          </w:tcPr>
          <w:p w:rsidR="00C93FCC" w:rsidRPr="00D37E3F" w:rsidRDefault="00C93FCC" w:rsidP="009C58AE">
            <w:pPr>
              <w:spacing w:after="120"/>
              <w:jc w:val="center"/>
              <w:rPr>
                <w:rFonts w:ascii="Arial Narrow" w:hAnsi="Arial Narrow" w:cs="Calibri"/>
                <w:sz w:val="20"/>
                <w:szCs w:val="20"/>
                <w:lang w:eastAsia="zh-CN"/>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37" w:type="pct"/>
            <w:vAlign w:val="center"/>
          </w:tcPr>
          <w:p w:rsidR="00C93FCC" w:rsidRPr="00D37E3F" w:rsidRDefault="00C93FCC" w:rsidP="009C58AE">
            <w:pPr>
              <w:spacing w:after="120"/>
              <w:jc w:val="center"/>
              <w:rPr>
                <w:rFonts w:ascii="Arial Narrow" w:hAnsi="Arial Narrow" w:cs="Calibri"/>
                <w:sz w:val="20"/>
                <w:szCs w:val="20"/>
                <w:lang w:eastAsia="zh-CN"/>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r>
      <w:tr w:rsidR="00C93FCC" w:rsidRPr="00D37E3F" w:rsidTr="00310FEC">
        <w:tc>
          <w:tcPr>
            <w:tcW w:w="1629" w:type="pct"/>
          </w:tcPr>
          <w:p w:rsidR="00C93FCC" w:rsidRPr="00D37E3F" w:rsidRDefault="00C93FCC" w:rsidP="00C93FCC">
            <w:pPr>
              <w:spacing w:after="120"/>
              <w:rPr>
                <w:rFonts w:ascii="Arial Narrow" w:eastAsiaTheme="minorHAnsi" w:hAnsi="Arial Narrow" w:cstheme="minorBidi"/>
                <w:b/>
                <w:sz w:val="20"/>
                <w:szCs w:val="20"/>
              </w:rPr>
            </w:pPr>
            <w:r w:rsidRPr="00D37E3F">
              <w:rPr>
                <w:rFonts w:ascii="Arial Narrow" w:eastAsiaTheme="minorHAnsi" w:hAnsi="Arial Narrow" w:cstheme="minorBidi"/>
                <w:b/>
                <w:sz w:val="20"/>
                <w:szCs w:val="20"/>
              </w:rPr>
              <w:t>Net cost to RPBS</w:t>
            </w:r>
          </w:p>
        </w:tc>
        <w:tc>
          <w:tcPr>
            <w:tcW w:w="626" w:type="pct"/>
            <w:vAlign w:val="center"/>
          </w:tcPr>
          <w:p w:rsidR="00C93FCC" w:rsidRPr="00D37E3F" w:rsidRDefault="00C93FCC" w:rsidP="009C58AE">
            <w:pPr>
              <w:spacing w:after="120"/>
              <w:jc w:val="center"/>
              <w:rPr>
                <w:rFonts w:ascii="Arial Narrow" w:hAnsi="Arial Narrow" w:cs="Calibri"/>
                <w:sz w:val="20"/>
                <w:szCs w:val="20"/>
                <w:lang w:eastAsia="zh-CN"/>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50" w:type="pct"/>
            <w:vAlign w:val="center"/>
          </w:tcPr>
          <w:p w:rsidR="00C93FCC" w:rsidRPr="00D37E3F" w:rsidRDefault="00C93FCC" w:rsidP="009C58AE">
            <w:pPr>
              <w:spacing w:after="120"/>
              <w:jc w:val="center"/>
              <w:rPr>
                <w:rFonts w:ascii="Arial Narrow" w:hAnsi="Arial Narrow" w:cs="Calibri"/>
                <w:sz w:val="20"/>
                <w:szCs w:val="20"/>
                <w:lang w:eastAsia="zh-CN"/>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55" w:type="pct"/>
            <w:vAlign w:val="center"/>
          </w:tcPr>
          <w:p w:rsidR="00C93FCC" w:rsidRPr="00D37E3F" w:rsidRDefault="00C93FCC" w:rsidP="009C58AE">
            <w:pPr>
              <w:spacing w:after="120"/>
              <w:jc w:val="center"/>
              <w:rPr>
                <w:rFonts w:ascii="Arial Narrow" w:hAnsi="Arial Narrow" w:cs="Calibri"/>
                <w:sz w:val="20"/>
                <w:szCs w:val="20"/>
                <w:lang w:eastAsia="zh-CN"/>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50" w:type="pct"/>
            <w:vAlign w:val="center"/>
          </w:tcPr>
          <w:p w:rsidR="00C93FCC" w:rsidRPr="00D37E3F" w:rsidRDefault="00C93FCC" w:rsidP="009C58AE">
            <w:pPr>
              <w:spacing w:after="120"/>
              <w:jc w:val="center"/>
              <w:rPr>
                <w:rFonts w:ascii="Arial Narrow" w:hAnsi="Arial Narrow" w:cs="Calibri"/>
                <w:sz w:val="20"/>
                <w:szCs w:val="20"/>
                <w:lang w:eastAsia="zh-CN"/>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55" w:type="pct"/>
            <w:vAlign w:val="center"/>
          </w:tcPr>
          <w:p w:rsidR="00C93FCC" w:rsidRPr="00D37E3F" w:rsidRDefault="00C93FCC" w:rsidP="009C58AE">
            <w:pPr>
              <w:spacing w:after="120"/>
              <w:jc w:val="center"/>
              <w:rPr>
                <w:rFonts w:ascii="Arial Narrow" w:hAnsi="Arial Narrow" w:cs="Calibri"/>
                <w:sz w:val="20"/>
                <w:szCs w:val="20"/>
                <w:lang w:eastAsia="zh-CN"/>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c>
          <w:tcPr>
            <w:tcW w:w="537" w:type="pct"/>
            <w:vAlign w:val="center"/>
          </w:tcPr>
          <w:p w:rsidR="00C93FCC" w:rsidRPr="00D37E3F" w:rsidRDefault="00C93FCC" w:rsidP="009C58AE">
            <w:pPr>
              <w:spacing w:after="120"/>
              <w:jc w:val="center"/>
              <w:rPr>
                <w:rFonts w:ascii="Arial Narrow" w:hAnsi="Arial Narrow" w:cs="Calibri"/>
                <w:sz w:val="20"/>
                <w:szCs w:val="20"/>
                <w:lang w:eastAsia="zh-CN"/>
              </w:rPr>
            </w:pPr>
            <w:r w:rsidRPr="00D37E3F">
              <w:rPr>
                <w:rFonts w:ascii="Arial Narrow" w:hAnsi="Arial Narrow" w:cs="Calibri"/>
                <w:sz w:val="20"/>
                <w:szCs w:val="20"/>
                <w:lang w:eastAsia="zh-CN"/>
              </w:rPr>
              <w:t>$</w:t>
            </w:r>
            <w:r w:rsidR="00406B58">
              <w:rPr>
                <w:rFonts w:ascii="Arial Narrow" w:hAnsi="Arial Narrow" w:cs="Calibri"/>
                <w:noProof/>
                <w:color w:val="000000"/>
                <w:sz w:val="20"/>
                <w:szCs w:val="20"/>
                <w:highlight w:val="black"/>
                <w:lang w:eastAsia="zh-CN"/>
              </w:rPr>
              <w:t>''''''''''''''</w:t>
            </w:r>
          </w:p>
        </w:tc>
      </w:tr>
      <w:tr w:rsidR="00C93FCC" w:rsidRPr="00D37E3F" w:rsidTr="00310FEC">
        <w:tc>
          <w:tcPr>
            <w:tcW w:w="5000" w:type="pct"/>
            <w:gridSpan w:val="7"/>
          </w:tcPr>
          <w:p w:rsidR="00C93FCC" w:rsidRPr="00D37E3F" w:rsidRDefault="00C93FCC" w:rsidP="009C58AE">
            <w:pPr>
              <w:spacing w:after="120"/>
              <w:rPr>
                <w:rFonts w:ascii="Arial Narrow" w:hAnsi="Arial Narrow" w:cs="Calibri"/>
                <w:b/>
                <w:sz w:val="20"/>
                <w:szCs w:val="20"/>
                <w:lang w:eastAsia="zh-CN"/>
              </w:rPr>
            </w:pPr>
            <w:r w:rsidRPr="00D37E3F">
              <w:rPr>
                <w:rFonts w:ascii="Arial Narrow" w:eastAsiaTheme="minorHAnsi" w:hAnsi="Arial Narrow" w:cstheme="minorBidi"/>
                <w:b/>
                <w:sz w:val="20"/>
                <w:szCs w:val="20"/>
              </w:rPr>
              <w:t>Total cost to Government</w:t>
            </w:r>
          </w:p>
        </w:tc>
      </w:tr>
      <w:tr w:rsidR="00C93FCC" w:rsidRPr="00D37E3F" w:rsidTr="00310FEC">
        <w:tc>
          <w:tcPr>
            <w:tcW w:w="1629" w:type="pct"/>
          </w:tcPr>
          <w:p w:rsidR="00C93FCC" w:rsidRPr="00D37E3F" w:rsidRDefault="00C93FCC" w:rsidP="00E57863">
            <w:pPr>
              <w:spacing w:after="120"/>
              <w:rPr>
                <w:rFonts w:ascii="Arial Narrow" w:eastAsiaTheme="minorHAnsi" w:hAnsi="Arial Narrow" w:cstheme="minorBidi"/>
                <w:b/>
                <w:sz w:val="20"/>
                <w:szCs w:val="20"/>
              </w:rPr>
            </w:pPr>
            <w:r w:rsidRPr="00D37E3F">
              <w:rPr>
                <w:rFonts w:ascii="Arial Narrow" w:eastAsiaTheme="minorHAnsi" w:hAnsi="Arial Narrow" w:cstheme="minorBidi"/>
                <w:b/>
                <w:sz w:val="20"/>
                <w:szCs w:val="20"/>
              </w:rPr>
              <w:t>Total cost to Government</w:t>
            </w:r>
          </w:p>
        </w:tc>
        <w:tc>
          <w:tcPr>
            <w:tcW w:w="626" w:type="pct"/>
            <w:vAlign w:val="center"/>
          </w:tcPr>
          <w:p w:rsidR="00C93FCC" w:rsidRPr="00D37E3F" w:rsidRDefault="00C93FCC" w:rsidP="00E57863">
            <w:pPr>
              <w:spacing w:after="120"/>
              <w:jc w:val="center"/>
              <w:rPr>
                <w:rFonts w:ascii="Arial Narrow" w:hAnsi="Arial Narrow" w:cs="Calibri"/>
                <w:sz w:val="20"/>
                <w:szCs w:val="20"/>
                <w:lang w:eastAsia="zh-CN"/>
              </w:rPr>
            </w:pPr>
            <w:r w:rsidRPr="00D37E3F">
              <w:rPr>
                <w:rFonts w:ascii="Arial Narrow" w:hAnsi="Arial Narrow" w:cs="Calibri"/>
                <w:color w:val="000000"/>
                <w:sz w:val="20"/>
                <w:szCs w:val="20"/>
                <w:lang w:eastAsia="zh-CN"/>
              </w:rPr>
              <w:t>$</w:t>
            </w:r>
            <w:r w:rsidR="00406B58">
              <w:rPr>
                <w:rFonts w:ascii="Arial Narrow" w:hAnsi="Arial Narrow" w:cs="Calibri"/>
                <w:noProof/>
                <w:color w:val="000000"/>
                <w:sz w:val="20"/>
                <w:szCs w:val="20"/>
                <w:highlight w:val="black"/>
                <w:lang w:eastAsia="zh-CN"/>
              </w:rPr>
              <w:t>'''''''''''''''''''</w:t>
            </w:r>
          </w:p>
        </w:tc>
        <w:tc>
          <w:tcPr>
            <w:tcW w:w="550" w:type="pct"/>
            <w:vAlign w:val="center"/>
          </w:tcPr>
          <w:p w:rsidR="00C93FCC" w:rsidRPr="00D37E3F" w:rsidRDefault="00C93FCC" w:rsidP="00E57863">
            <w:pPr>
              <w:spacing w:after="120"/>
              <w:jc w:val="center"/>
              <w:rPr>
                <w:rFonts w:ascii="Arial Narrow" w:hAnsi="Arial Narrow" w:cs="Calibri"/>
                <w:sz w:val="20"/>
                <w:szCs w:val="20"/>
                <w:lang w:eastAsia="zh-CN"/>
              </w:rPr>
            </w:pPr>
            <w:r w:rsidRPr="00D37E3F">
              <w:rPr>
                <w:rFonts w:ascii="Arial Narrow" w:hAnsi="Arial Narrow" w:cs="Calibri"/>
                <w:color w:val="000000"/>
                <w:sz w:val="20"/>
                <w:szCs w:val="20"/>
                <w:lang w:eastAsia="zh-CN"/>
              </w:rPr>
              <w:t>$</w:t>
            </w:r>
            <w:r w:rsidR="00406B58">
              <w:rPr>
                <w:rFonts w:ascii="Arial Narrow" w:hAnsi="Arial Narrow" w:cs="Calibri"/>
                <w:noProof/>
                <w:color w:val="000000"/>
                <w:sz w:val="20"/>
                <w:szCs w:val="20"/>
                <w:highlight w:val="black"/>
                <w:lang w:eastAsia="zh-CN"/>
              </w:rPr>
              <w:t>''''''''''''''''''</w:t>
            </w:r>
          </w:p>
        </w:tc>
        <w:tc>
          <w:tcPr>
            <w:tcW w:w="555" w:type="pct"/>
            <w:vAlign w:val="center"/>
          </w:tcPr>
          <w:p w:rsidR="00C93FCC" w:rsidRPr="00D37E3F" w:rsidRDefault="00C93FCC" w:rsidP="00E57863">
            <w:pPr>
              <w:spacing w:after="120"/>
              <w:jc w:val="center"/>
              <w:rPr>
                <w:rFonts w:ascii="Arial Narrow" w:hAnsi="Arial Narrow" w:cs="Calibri"/>
                <w:sz w:val="20"/>
                <w:szCs w:val="20"/>
                <w:lang w:eastAsia="zh-CN"/>
              </w:rPr>
            </w:pPr>
            <w:r w:rsidRPr="00D37E3F">
              <w:rPr>
                <w:rFonts w:ascii="Arial Narrow" w:hAnsi="Arial Narrow" w:cs="Calibri"/>
                <w:color w:val="000000"/>
                <w:sz w:val="20"/>
                <w:szCs w:val="20"/>
                <w:lang w:eastAsia="zh-CN"/>
              </w:rPr>
              <w:t>$</w:t>
            </w:r>
            <w:r w:rsidR="00406B58">
              <w:rPr>
                <w:rFonts w:ascii="Arial Narrow" w:hAnsi="Arial Narrow" w:cs="Calibri"/>
                <w:noProof/>
                <w:color w:val="000000"/>
                <w:sz w:val="20"/>
                <w:szCs w:val="20"/>
                <w:highlight w:val="black"/>
                <w:lang w:eastAsia="zh-CN"/>
              </w:rPr>
              <w:t>'''''''''''''''''''''</w:t>
            </w:r>
          </w:p>
        </w:tc>
        <w:tc>
          <w:tcPr>
            <w:tcW w:w="550" w:type="pct"/>
            <w:vAlign w:val="center"/>
          </w:tcPr>
          <w:p w:rsidR="00C93FCC" w:rsidRPr="00D37E3F" w:rsidRDefault="00C93FCC" w:rsidP="00E57863">
            <w:pPr>
              <w:spacing w:after="120"/>
              <w:jc w:val="center"/>
              <w:rPr>
                <w:rFonts w:ascii="Arial Narrow" w:hAnsi="Arial Narrow" w:cs="Calibri"/>
                <w:sz w:val="20"/>
                <w:szCs w:val="20"/>
                <w:lang w:eastAsia="zh-CN"/>
              </w:rPr>
            </w:pPr>
            <w:r w:rsidRPr="00D37E3F">
              <w:rPr>
                <w:rFonts w:ascii="Arial Narrow" w:hAnsi="Arial Narrow" w:cs="Calibri"/>
                <w:color w:val="000000"/>
                <w:sz w:val="20"/>
                <w:szCs w:val="20"/>
                <w:lang w:eastAsia="zh-CN"/>
              </w:rPr>
              <w:t>$</w:t>
            </w:r>
            <w:r w:rsidR="00406B58">
              <w:rPr>
                <w:rFonts w:ascii="Arial Narrow" w:hAnsi="Arial Narrow" w:cs="Calibri"/>
                <w:noProof/>
                <w:color w:val="000000"/>
                <w:sz w:val="20"/>
                <w:szCs w:val="20"/>
                <w:highlight w:val="black"/>
                <w:lang w:eastAsia="zh-CN"/>
              </w:rPr>
              <w:t>'''''''''''''''''''''</w:t>
            </w:r>
          </w:p>
        </w:tc>
        <w:tc>
          <w:tcPr>
            <w:tcW w:w="555" w:type="pct"/>
            <w:vAlign w:val="center"/>
          </w:tcPr>
          <w:p w:rsidR="00C93FCC" w:rsidRPr="00D37E3F" w:rsidRDefault="00C93FCC" w:rsidP="00E57863">
            <w:pPr>
              <w:spacing w:after="120"/>
              <w:jc w:val="center"/>
              <w:rPr>
                <w:rFonts w:ascii="Arial Narrow" w:hAnsi="Arial Narrow" w:cs="Calibri"/>
                <w:sz w:val="20"/>
                <w:szCs w:val="20"/>
                <w:lang w:eastAsia="zh-CN"/>
              </w:rPr>
            </w:pPr>
            <w:r w:rsidRPr="00D37E3F">
              <w:rPr>
                <w:rFonts w:ascii="Arial Narrow" w:hAnsi="Arial Narrow" w:cs="Calibri"/>
                <w:color w:val="000000"/>
                <w:sz w:val="20"/>
                <w:szCs w:val="20"/>
                <w:lang w:eastAsia="zh-CN"/>
              </w:rPr>
              <w:t>$</w:t>
            </w:r>
            <w:r w:rsidR="00406B58">
              <w:rPr>
                <w:rFonts w:ascii="Arial Narrow" w:hAnsi="Arial Narrow" w:cs="Calibri"/>
                <w:noProof/>
                <w:color w:val="000000"/>
                <w:sz w:val="20"/>
                <w:szCs w:val="20"/>
                <w:highlight w:val="black"/>
                <w:lang w:eastAsia="zh-CN"/>
              </w:rPr>
              <w:t>''''''''''''''''''</w:t>
            </w:r>
          </w:p>
        </w:tc>
        <w:tc>
          <w:tcPr>
            <w:tcW w:w="537" w:type="pct"/>
            <w:vAlign w:val="center"/>
          </w:tcPr>
          <w:p w:rsidR="00C93FCC" w:rsidRPr="00D37E3F" w:rsidRDefault="00C93FCC" w:rsidP="00E57863">
            <w:pPr>
              <w:spacing w:after="120"/>
              <w:jc w:val="center"/>
              <w:rPr>
                <w:rFonts w:ascii="Arial Narrow" w:hAnsi="Arial Narrow" w:cs="Calibri"/>
                <w:sz w:val="20"/>
                <w:szCs w:val="20"/>
                <w:lang w:eastAsia="zh-CN"/>
              </w:rPr>
            </w:pPr>
            <w:r w:rsidRPr="00D37E3F">
              <w:rPr>
                <w:rFonts w:ascii="Arial Narrow" w:hAnsi="Arial Narrow" w:cs="Calibri"/>
                <w:color w:val="000000"/>
                <w:sz w:val="20"/>
                <w:szCs w:val="20"/>
                <w:lang w:eastAsia="zh-CN"/>
              </w:rPr>
              <w:t>$</w:t>
            </w:r>
            <w:r w:rsidR="00406B58">
              <w:rPr>
                <w:rFonts w:ascii="Arial Narrow" w:hAnsi="Arial Narrow" w:cs="Calibri"/>
                <w:noProof/>
                <w:color w:val="000000"/>
                <w:sz w:val="20"/>
                <w:szCs w:val="20"/>
                <w:highlight w:val="black"/>
                <w:lang w:eastAsia="zh-CN"/>
              </w:rPr>
              <w:t>'''''''''''''''''''''</w:t>
            </w:r>
          </w:p>
        </w:tc>
      </w:tr>
    </w:tbl>
    <w:p w:rsidR="006F089A" w:rsidRPr="00AC57BE" w:rsidRDefault="006F089A" w:rsidP="00E57863">
      <w:pPr>
        <w:spacing w:before="120" w:after="120"/>
        <w:rPr>
          <w:rFonts w:asciiTheme="minorHAnsi" w:eastAsiaTheme="minorHAnsi" w:hAnsiTheme="minorHAnsi" w:cstheme="minorBidi"/>
          <w:i/>
          <w:szCs w:val="22"/>
        </w:rPr>
      </w:pPr>
      <w:r w:rsidRPr="00AC57BE">
        <w:rPr>
          <w:rFonts w:asciiTheme="minorHAnsi" w:eastAsiaTheme="minorHAnsi" w:hAnsiTheme="minorHAnsi" w:cstheme="minorBidi"/>
          <w:i/>
          <w:szCs w:val="22"/>
        </w:rPr>
        <w:t>The redacted table shows that at Year 6, the estimated number of prescriptions was 50,000 to 100,000 and the net cost to the PBS</w:t>
      </w:r>
      <w:r w:rsidR="009129D9" w:rsidRPr="00AC57BE">
        <w:rPr>
          <w:rFonts w:asciiTheme="minorHAnsi" w:eastAsiaTheme="minorHAnsi" w:hAnsiTheme="minorHAnsi" w:cstheme="minorBidi"/>
          <w:i/>
          <w:szCs w:val="22"/>
        </w:rPr>
        <w:t>/RPBS</w:t>
      </w:r>
      <w:r w:rsidRPr="00AC57BE">
        <w:rPr>
          <w:rFonts w:asciiTheme="minorHAnsi" w:eastAsiaTheme="minorHAnsi" w:hAnsiTheme="minorHAnsi" w:cstheme="minorBidi"/>
          <w:i/>
          <w:szCs w:val="22"/>
        </w:rPr>
        <w:t xml:space="preserve"> would be less than $10 million. </w:t>
      </w:r>
    </w:p>
    <w:p w:rsidR="00FE543E" w:rsidRPr="00D37E3F" w:rsidRDefault="00FE543E" w:rsidP="00E57863">
      <w:pPr>
        <w:pStyle w:val="ListParagraph"/>
        <w:widowControl/>
        <w:numPr>
          <w:ilvl w:val="1"/>
          <w:numId w:val="14"/>
        </w:numPr>
        <w:spacing w:after="120"/>
        <w:contextualSpacing w:val="0"/>
        <w:rPr>
          <w:rFonts w:asciiTheme="minorHAnsi" w:eastAsiaTheme="minorHAnsi" w:hAnsiTheme="minorHAnsi" w:cstheme="minorHAnsi"/>
          <w:snapToGrid/>
          <w:szCs w:val="22"/>
        </w:rPr>
      </w:pPr>
      <w:r w:rsidRPr="00D37E3F">
        <w:rPr>
          <w:rFonts w:asciiTheme="minorHAnsi" w:eastAsiaTheme="minorHAnsi" w:hAnsiTheme="minorHAnsi" w:cstheme="minorHAnsi"/>
          <w:snapToGrid/>
          <w:szCs w:val="22"/>
        </w:rPr>
        <w:t xml:space="preserve">The Department prepared an alternative set of estimates </w:t>
      </w:r>
      <w:r w:rsidR="00A823B7">
        <w:rPr>
          <w:rFonts w:asciiTheme="minorHAnsi" w:eastAsiaTheme="minorHAnsi" w:hAnsiTheme="minorHAnsi" w:cstheme="minorHAnsi"/>
          <w:snapToGrid/>
          <w:szCs w:val="22"/>
        </w:rPr>
        <w:t>using an epidemiologica</w:t>
      </w:r>
      <w:r w:rsidR="00DA5C40">
        <w:rPr>
          <w:rFonts w:asciiTheme="minorHAnsi" w:eastAsiaTheme="minorHAnsi" w:hAnsiTheme="minorHAnsi" w:cstheme="minorHAnsi"/>
          <w:snapToGrid/>
          <w:szCs w:val="22"/>
        </w:rPr>
        <w:t>l approach, presented in Table 3</w:t>
      </w:r>
      <w:r w:rsidRPr="00D37E3F">
        <w:rPr>
          <w:rFonts w:asciiTheme="minorHAnsi" w:eastAsiaTheme="minorHAnsi" w:hAnsiTheme="minorHAnsi" w:cstheme="minorHAnsi"/>
          <w:snapToGrid/>
          <w:szCs w:val="22"/>
        </w:rPr>
        <w:t>. The following assumptions</w:t>
      </w:r>
      <w:r w:rsidR="00A823B7">
        <w:rPr>
          <w:rFonts w:asciiTheme="minorHAnsi" w:eastAsiaTheme="minorHAnsi" w:hAnsiTheme="minorHAnsi" w:cstheme="minorHAnsi"/>
          <w:snapToGrid/>
          <w:szCs w:val="22"/>
        </w:rPr>
        <w:t xml:space="preserve"> were included</w:t>
      </w:r>
      <w:r w:rsidRPr="00D37E3F">
        <w:rPr>
          <w:rFonts w:asciiTheme="minorHAnsi" w:eastAsiaTheme="minorHAnsi" w:hAnsiTheme="minorHAnsi" w:cstheme="minorHAnsi"/>
          <w:snapToGrid/>
          <w:szCs w:val="22"/>
        </w:rPr>
        <w:t>:</w:t>
      </w:r>
    </w:p>
    <w:p w:rsidR="00FE543E" w:rsidRPr="00D37E3F" w:rsidRDefault="00FE543E" w:rsidP="00E57863">
      <w:pPr>
        <w:pStyle w:val="ListParagraph"/>
        <w:numPr>
          <w:ilvl w:val="0"/>
          <w:numId w:val="23"/>
        </w:numPr>
        <w:spacing w:after="120"/>
        <w:rPr>
          <w:rFonts w:asciiTheme="minorHAnsi" w:eastAsiaTheme="minorHAnsi" w:hAnsiTheme="minorHAnsi" w:cstheme="minorHAnsi"/>
          <w:szCs w:val="22"/>
        </w:rPr>
      </w:pPr>
      <w:r w:rsidRPr="00D37E3F">
        <w:rPr>
          <w:rFonts w:asciiTheme="minorHAnsi" w:eastAsiaTheme="minorHAnsi" w:hAnsiTheme="minorHAnsi" w:cstheme="minorHAnsi"/>
          <w:szCs w:val="22"/>
        </w:rPr>
        <w:t xml:space="preserve">0.3% </w:t>
      </w:r>
      <w:r w:rsidR="00974E54" w:rsidRPr="00D37E3F">
        <w:rPr>
          <w:rFonts w:asciiTheme="minorHAnsi" w:eastAsiaTheme="minorHAnsi" w:hAnsiTheme="minorHAnsi" w:cstheme="minorHAnsi"/>
          <w:szCs w:val="22"/>
        </w:rPr>
        <w:t xml:space="preserve">of the </w:t>
      </w:r>
      <w:r w:rsidRPr="00D37E3F">
        <w:rPr>
          <w:rFonts w:asciiTheme="minorHAnsi" w:eastAsiaTheme="minorHAnsi" w:hAnsiTheme="minorHAnsi" w:cstheme="minorHAnsi"/>
          <w:szCs w:val="22"/>
        </w:rPr>
        <w:t>population ha</w:t>
      </w:r>
      <w:r w:rsidR="00974E54" w:rsidRPr="00D37E3F">
        <w:rPr>
          <w:rFonts w:asciiTheme="minorHAnsi" w:eastAsiaTheme="minorHAnsi" w:hAnsiTheme="minorHAnsi" w:cstheme="minorHAnsi"/>
          <w:szCs w:val="22"/>
        </w:rPr>
        <w:t>s</w:t>
      </w:r>
      <w:r w:rsidRPr="00D37E3F">
        <w:rPr>
          <w:rFonts w:asciiTheme="minorHAnsi" w:eastAsiaTheme="minorHAnsi" w:hAnsiTheme="minorHAnsi" w:cstheme="minorHAnsi"/>
          <w:szCs w:val="22"/>
        </w:rPr>
        <w:t xml:space="preserve"> severe symptoms of chronic breathlessness (</w:t>
      </w:r>
      <w:proofErr w:type="spellStart"/>
      <w:r w:rsidRPr="00D37E3F">
        <w:rPr>
          <w:rFonts w:asciiTheme="minorHAnsi" w:eastAsiaTheme="minorHAnsi" w:hAnsiTheme="minorHAnsi" w:cstheme="minorHAnsi"/>
          <w:szCs w:val="22"/>
        </w:rPr>
        <w:t>Currow</w:t>
      </w:r>
      <w:proofErr w:type="spellEnd"/>
      <w:r w:rsidRPr="00D37E3F">
        <w:rPr>
          <w:rFonts w:asciiTheme="minorHAnsi" w:eastAsiaTheme="minorHAnsi" w:hAnsiTheme="minorHAnsi" w:cstheme="minorHAnsi"/>
          <w:szCs w:val="22"/>
        </w:rPr>
        <w:t xml:space="preserve"> D et al JPSM 2009:38(4):533-544 Study of chronic breathlessness in the South Australian Community using the SA Omnibus Survey)</w:t>
      </w:r>
      <w:r w:rsidR="00974E54" w:rsidRPr="00D37E3F">
        <w:rPr>
          <w:rFonts w:asciiTheme="minorHAnsi" w:eastAsiaTheme="minorHAnsi" w:hAnsiTheme="minorHAnsi" w:cstheme="minorHAnsi"/>
          <w:szCs w:val="22"/>
        </w:rPr>
        <w:t>;</w:t>
      </w:r>
    </w:p>
    <w:p w:rsidR="00FE543E" w:rsidRPr="00D37E3F" w:rsidRDefault="00FE543E" w:rsidP="00E57863">
      <w:pPr>
        <w:pStyle w:val="ListParagraph"/>
        <w:numPr>
          <w:ilvl w:val="0"/>
          <w:numId w:val="23"/>
        </w:numPr>
        <w:spacing w:after="120"/>
        <w:rPr>
          <w:rFonts w:asciiTheme="minorHAnsi" w:eastAsiaTheme="minorHAnsi" w:hAnsiTheme="minorHAnsi" w:cstheme="minorHAnsi"/>
          <w:szCs w:val="22"/>
        </w:rPr>
      </w:pPr>
      <w:r w:rsidRPr="00D37E3F">
        <w:rPr>
          <w:rFonts w:asciiTheme="minorHAnsi" w:eastAsiaTheme="minorHAnsi" w:hAnsiTheme="minorHAnsi" w:cstheme="minorHAnsi"/>
          <w:szCs w:val="22"/>
        </w:rPr>
        <w:t xml:space="preserve">25% of patients are suitable for treatment with opioids </w:t>
      </w:r>
      <w:r w:rsidR="00974E54" w:rsidRPr="00D37E3F">
        <w:rPr>
          <w:rFonts w:asciiTheme="minorHAnsi" w:eastAsiaTheme="minorHAnsi" w:hAnsiTheme="minorHAnsi" w:cstheme="minorHAnsi"/>
          <w:szCs w:val="22"/>
        </w:rPr>
        <w:t>(</w:t>
      </w:r>
      <w:proofErr w:type="spellStart"/>
      <w:r w:rsidRPr="00D37E3F">
        <w:rPr>
          <w:rFonts w:asciiTheme="minorHAnsi" w:eastAsiaTheme="minorHAnsi" w:hAnsiTheme="minorHAnsi" w:cstheme="minorHAnsi"/>
          <w:szCs w:val="22"/>
        </w:rPr>
        <w:t>Currow</w:t>
      </w:r>
      <w:proofErr w:type="spellEnd"/>
      <w:r w:rsidRPr="00D37E3F">
        <w:rPr>
          <w:rFonts w:asciiTheme="minorHAnsi" w:eastAsiaTheme="minorHAnsi" w:hAnsiTheme="minorHAnsi" w:cstheme="minorHAnsi"/>
          <w:szCs w:val="22"/>
        </w:rPr>
        <w:t xml:space="preserve"> D et al JPPM 2011;42(3)</w:t>
      </w:r>
      <w:r w:rsidR="0033174C" w:rsidRPr="00D37E3F">
        <w:rPr>
          <w:rFonts w:asciiTheme="minorHAnsi" w:eastAsiaTheme="minorHAnsi" w:hAnsiTheme="minorHAnsi" w:cstheme="minorHAnsi"/>
          <w:szCs w:val="22"/>
        </w:rPr>
        <w:t>:388-99 RCT of once daily opioids in sample of 83 outpatients in palliative care</w:t>
      </w:r>
      <w:r w:rsidR="00DA5C40">
        <w:rPr>
          <w:rFonts w:asciiTheme="minorHAnsi" w:eastAsiaTheme="minorHAnsi" w:hAnsiTheme="minorHAnsi" w:cstheme="minorHAnsi"/>
          <w:szCs w:val="22"/>
        </w:rPr>
        <w:t xml:space="preserve"> </w:t>
      </w:r>
      <w:r w:rsidR="0033174C" w:rsidRPr="00D37E3F">
        <w:rPr>
          <w:rFonts w:asciiTheme="minorHAnsi" w:eastAsiaTheme="minorHAnsi" w:hAnsiTheme="minorHAnsi" w:cstheme="minorHAnsi"/>
          <w:szCs w:val="22"/>
        </w:rPr>
        <w:t>with severe breathlessness</w:t>
      </w:r>
      <w:r w:rsidR="00974E54" w:rsidRPr="00D37E3F">
        <w:rPr>
          <w:rFonts w:asciiTheme="minorHAnsi" w:eastAsiaTheme="minorHAnsi" w:hAnsiTheme="minorHAnsi" w:cstheme="minorHAnsi"/>
          <w:szCs w:val="22"/>
        </w:rPr>
        <w:t>);</w:t>
      </w:r>
    </w:p>
    <w:p w:rsidR="0033174C" w:rsidRPr="00D37E3F" w:rsidRDefault="0033174C" w:rsidP="00E57863">
      <w:pPr>
        <w:pStyle w:val="ListParagraph"/>
        <w:numPr>
          <w:ilvl w:val="0"/>
          <w:numId w:val="23"/>
        </w:numPr>
        <w:spacing w:after="120"/>
        <w:rPr>
          <w:rFonts w:asciiTheme="minorHAnsi" w:eastAsiaTheme="minorHAnsi" w:hAnsiTheme="minorHAnsi" w:cstheme="minorHAnsi"/>
          <w:szCs w:val="22"/>
        </w:rPr>
      </w:pPr>
      <w:r w:rsidRPr="00D37E3F">
        <w:rPr>
          <w:rFonts w:asciiTheme="minorHAnsi" w:eastAsiaTheme="minorHAnsi" w:hAnsiTheme="minorHAnsi" w:cstheme="minorHAnsi"/>
          <w:szCs w:val="22"/>
        </w:rPr>
        <w:t>46% of the suitable patients respond to opioid treatment and continue therapy (</w:t>
      </w:r>
      <w:proofErr w:type="spellStart"/>
      <w:r w:rsidRPr="00D37E3F">
        <w:rPr>
          <w:rFonts w:asciiTheme="minorHAnsi" w:eastAsiaTheme="minorHAnsi" w:hAnsiTheme="minorHAnsi" w:cstheme="minorHAnsi"/>
          <w:szCs w:val="22"/>
        </w:rPr>
        <w:t>Currow</w:t>
      </w:r>
      <w:proofErr w:type="spellEnd"/>
      <w:r w:rsidRPr="00D37E3F">
        <w:rPr>
          <w:rFonts w:asciiTheme="minorHAnsi" w:eastAsiaTheme="minorHAnsi" w:hAnsiTheme="minorHAnsi" w:cstheme="minorHAnsi"/>
          <w:szCs w:val="22"/>
        </w:rPr>
        <w:t xml:space="preserve"> D et al JPPM 2011;42(3):388-99</w:t>
      </w:r>
      <w:r w:rsidR="00974E54" w:rsidRPr="00D37E3F">
        <w:rPr>
          <w:rFonts w:asciiTheme="minorHAnsi" w:eastAsiaTheme="minorHAnsi" w:hAnsiTheme="minorHAnsi" w:cstheme="minorHAnsi"/>
          <w:szCs w:val="22"/>
        </w:rPr>
        <w:t>)</w:t>
      </w:r>
    </w:p>
    <w:p w:rsidR="0033174C" w:rsidRPr="00D37E3F" w:rsidRDefault="0033174C" w:rsidP="00E57863">
      <w:pPr>
        <w:pStyle w:val="ListParagraph"/>
        <w:numPr>
          <w:ilvl w:val="0"/>
          <w:numId w:val="23"/>
        </w:numPr>
        <w:spacing w:after="120"/>
        <w:rPr>
          <w:rFonts w:asciiTheme="minorHAnsi" w:eastAsiaTheme="minorHAnsi" w:hAnsiTheme="minorHAnsi" w:cstheme="minorHAnsi"/>
          <w:szCs w:val="22"/>
        </w:rPr>
      </w:pPr>
      <w:r w:rsidRPr="00D37E3F">
        <w:rPr>
          <w:rFonts w:asciiTheme="minorHAnsi" w:eastAsiaTheme="minorHAnsi" w:hAnsiTheme="minorHAnsi" w:cstheme="minorHAnsi"/>
          <w:szCs w:val="22"/>
        </w:rPr>
        <w:t>The average time on therapy in palliative care is</w:t>
      </w:r>
      <w:r w:rsidR="004C0EEF" w:rsidRPr="00D37E3F">
        <w:rPr>
          <w:rFonts w:asciiTheme="minorHAnsi" w:eastAsiaTheme="minorHAnsi" w:hAnsiTheme="minorHAnsi" w:cstheme="minorHAnsi"/>
          <w:szCs w:val="22"/>
        </w:rPr>
        <w:t xml:space="preserve"> estimated</w:t>
      </w:r>
      <w:r w:rsidRPr="00D37E3F">
        <w:rPr>
          <w:rFonts w:asciiTheme="minorHAnsi" w:eastAsiaTheme="minorHAnsi" w:hAnsiTheme="minorHAnsi" w:cstheme="minorHAnsi"/>
          <w:szCs w:val="22"/>
        </w:rPr>
        <w:t xml:space="preserve"> </w:t>
      </w:r>
      <w:r w:rsidR="004C0EEF" w:rsidRPr="00D37E3F">
        <w:rPr>
          <w:rFonts w:asciiTheme="minorHAnsi" w:eastAsiaTheme="minorHAnsi" w:hAnsiTheme="minorHAnsi" w:cstheme="minorHAnsi"/>
          <w:szCs w:val="22"/>
        </w:rPr>
        <w:t xml:space="preserve">to be </w:t>
      </w:r>
      <w:r w:rsidRPr="00D37E3F">
        <w:rPr>
          <w:rFonts w:asciiTheme="minorHAnsi" w:eastAsiaTheme="minorHAnsi" w:hAnsiTheme="minorHAnsi" w:cstheme="minorHAnsi"/>
          <w:szCs w:val="22"/>
        </w:rPr>
        <w:t>6 months</w:t>
      </w:r>
      <w:r w:rsidR="004C0EEF" w:rsidRPr="00D37E3F">
        <w:rPr>
          <w:rFonts w:asciiTheme="minorHAnsi" w:eastAsiaTheme="minorHAnsi" w:hAnsiTheme="minorHAnsi" w:cstheme="minorHAnsi"/>
          <w:szCs w:val="22"/>
        </w:rPr>
        <w:t xml:space="preserve"> based on expert opinion</w:t>
      </w:r>
      <w:r w:rsidR="00A823B7">
        <w:rPr>
          <w:rFonts w:asciiTheme="minorHAnsi" w:eastAsiaTheme="minorHAnsi" w:hAnsiTheme="minorHAnsi" w:cstheme="minorHAnsi"/>
          <w:szCs w:val="22"/>
        </w:rPr>
        <w:t>.</w:t>
      </w:r>
    </w:p>
    <w:p w:rsidR="0033174C" w:rsidRPr="00D37E3F" w:rsidRDefault="0033174C" w:rsidP="00E578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D37E3F">
        <w:rPr>
          <w:rFonts w:asciiTheme="minorHAnsi" w:eastAsiaTheme="minorHAnsi" w:hAnsiTheme="minorHAnsi" w:cstheme="minorBidi"/>
          <w:snapToGrid/>
          <w:sz w:val="24"/>
          <w:szCs w:val="22"/>
        </w:rPr>
        <w:t xml:space="preserve">The estimates of use are the maximum expected use for this indication but do not represent the likely additional cost to government expenditure. </w:t>
      </w:r>
      <w:r w:rsidR="00A823B7">
        <w:rPr>
          <w:rFonts w:asciiTheme="minorHAnsi" w:eastAsiaTheme="minorHAnsi" w:hAnsiTheme="minorHAnsi" w:cstheme="minorBidi"/>
          <w:snapToGrid/>
          <w:sz w:val="24"/>
          <w:szCs w:val="22"/>
        </w:rPr>
        <w:t>It was noted that a substantial proportion of palliative care patients with symptoms of breathlessness are already treated with oral morphine. There was a lack of data to adequately inform an estimate of the number of patients who are already treated.</w:t>
      </w:r>
    </w:p>
    <w:p w:rsidR="00EB58E6" w:rsidRPr="00665233" w:rsidRDefault="004021AC" w:rsidP="00E578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D37E3F">
        <w:rPr>
          <w:rFonts w:asciiTheme="minorHAnsi" w:eastAsiaTheme="minorHAnsi" w:hAnsiTheme="minorHAnsi" w:cstheme="minorBidi"/>
          <w:snapToGrid/>
          <w:sz w:val="24"/>
          <w:szCs w:val="22"/>
        </w:rPr>
        <w:t>Use of opioids for this condition is unlikely to have an impact on overall use of morphine for pain. Sustained release morphine for breathlessness is used at low doses</w:t>
      </w:r>
      <w:r w:rsidR="00974E54" w:rsidRPr="00D37E3F">
        <w:rPr>
          <w:rFonts w:asciiTheme="minorHAnsi" w:eastAsiaTheme="minorHAnsi" w:hAnsiTheme="minorHAnsi" w:cstheme="minorBidi"/>
          <w:snapToGrid/>
          <w:sz w:val="24"/>
          <w:szCs w:val="22"/>
        </w:rPr>
        <w:t>, and u</w:t>
      </w:r>
      <w:r w:rsidRPr="00D37E3F">
        <w:rPr>
          <w:rFonts w:asciiTheme="minorHAnsi" w:eastAsiaTheme="minorHAnsi" w:hAnsiTheme="minorHAnsi" w:cstheme="minorBidi"/>
          <w:snapToGrid/>
          <w:sz w:val="24"/>
          <w:szCs w:val="22"/>
        </w:rPr>
        <w:t xml:space="preserve">se in palliative care will be limited as patients with severe pain, who require oral morphine solution for breakthrough episodes of pain, are contra-indicated for low dose </w:t>
      </w:r>
      <w:proofErr w:type="spellStart"/>
      <w:r w:rsidRPr="00D37E3F">
        <w:rPr>
          <w:rFonts w:asciiTheme="minorHAnsi" w:eastAsiaTheme="minorHAnsi" w:hAnsiTheme="minorHAnsi" w:cstheme="minorBidi"/>
          <w:snapToGrid/>
          <w:sz w:val="24"/>
          <w:szCs w:val="22"/>
        </w:rPr>
        <w:t>Kapanol</w:t>
      </w:r>
      <w:proofErr w:type="spellEnd"/>
      <w:r w:rsidRPr="00D37E3F">
        <w:rPr>
          <w:rFonts w:asciiTheme="minorHAnsi" w:eastAsiaTheme="minorHAnsi" w:hAnsiTheme="minorHAnsi" w:cstheme="minorBidi"/>
          <w:snapToGrid/>
          <w:sz w:val="24"/>
          <w:szCs w:val="22"/>
        </w:rPr>
        <w:t xml:space="preserve"> for breathlessness (Product Information).</w:t>
      </w:r>
      <w:r w:rsidRPr="00665233">
        <w:rPr>
          <w:rFonts w:asciiTheme="minorHAnsi" w:eastAsiaTheme="minorHAnsi" w:hAnsiTheme="minorHAnsi" w:cstheme="minorBidi"/>
          <w:snapToGrid/>
          <w:sz w:val="24"/>
          <w:szCs w:val="22"/>
        </w:rPr>
        <w:t xml:space="preserve"> </w:t>
      </w:r>
    </w:p>
    <w:p w:rsidR="00665233" w:rsidRDefault="00665233" w:rsidP="00AC57BE">
      <w:pPr>
        <w:spacing w:after="120"/>
        <w:rPr>
          <w:rFonts w:ascii="Arial Narrow" w:eastAsiaTheme="minorHAnsi" w:hAnsi="Arial Narrow" w:cstheme="minorBidi"/>
          <w:b/>
          <w:sz w:val="20"/>
        </w:rPr>
      </w:pPr>
    </w:p>
    <w:p w:rsidR="00C00DA7" w:rsidRPr="00C343C5" w:rsidRDefault="00D33533" w:rsidP="00DA5C40">
      <w:pPr>
        <w:rPr>
          <w:rFonts w:ascii="Arial Narrow" w:eastAsiaTheme="minorHAnsi" w:hAnsi="Arial Narrow" w:cstheme="minorBidi"/>
          <w:sz w:val="20"/>
        </w:rPr>
      </w:pPr>
      <w:r w:rsidRPr="00C343C5">
        <w:rPr>
          <w:rFonts w:ascii="Arial Narrow" w:eastAsiaTheme="minorHAnsi" w:hAnsi="Arial Narrow" w:cstheme="minorBidi"/>
          <w:b/>
          <w:sz w:val="20"/>
        </w:rPr>
        <w:lastRenderedPageBreak/>
        <w:t xml:space="preserve">Table </w:t>
      </w:r>
      <w:r w:rsidR="00DA5C40">
        <w:rPr>
          <w:rFonts w:ascii="Arial Narrow" w:eastAsiaTheme="minorHAnsi" w:hAnsi="Arial Narrow" w:cstheme="minorBidi"/>
          <w:b/>
          <w:sz w:val="20"/>
        </w:rPr>
        <w:t>3</w:t>
      </w:r>
      <w:r w:rsidRPr="00C343C5">
        <w:rPr>
          <w:rFonts w:ascii="Arial Narrow" w:eastAsiaTheme="minorHAnsi" w:hAnsi="Arial Narrow" w:cstheme="minorBidi"/>
          <w:b/>
          <w:sz w:val="20"/>
        </w:rPr>
        <w:t>: PBS use and financial implications</w:t>
      </w:r>
      <w:r w:rsidR="007D2969" w:rsidRPr="00C343C5">
        <w:rPr>
          <w:rFonts w:ascii="Arial Narrow" w:eastAsiaTheme="minorHAnsi" w:hAnsi="Arial Narrow" w:cstheme="minorBidi"/>
          <w:b/>
          <w:sz w:val="20"/>
        </w:rPr>
        <w:t xml:space="preserve"> estimated by the Department</w:t>
      </w:r>
      <w:r w:rsidR="00C00DA7" w:rsidRPr="00C343C5">
        <w:rPr>
          <w:rFonts w:ascii="Arial Narrow" w:eastAsiaTheme="minorHAnsi" w:hAnsi="Arial Narrow" w:cstheme="minorBidi"/>
          <w:sz w:val="20"/>
        </w:rPr>
        <w:t xml:space="preserve"> </w:t>
      </w:r>
    </w:p>
    <w:tbl>
      <w:tblPr>
        <w:tblW w:w="5000" w:type="pct"/>
        <w:tblLook w:val="04A0" w:firstRow="1" w:lastRow="0" w:firstColumn="1" w:lastColumn="0" w:noHBand="0" w:noVBand="1"/>
        <w:tblCaption w:val="Table 3: PBS use and financial implications estimated by the Department "/>
      </w:tblPr>
      <w:tblGrid>
        <w:gridCol w:w="2477"/>
        <w:gridCol w:w="1110"/>
        <w:gridCol w:w="1110"/>
        <w:gridCol w:w="1110"/>
        <w:gridCol w:w="1110"/>
        <w:gridCol w:w="1094"/>
        <w:gridCol w:w="1005"/>
      </w:tblGrid>
      <w:tr w:rsidR="003453AB" w:rsidRPr="00D37E3F" w:rsidTr="00310FEC">
        <w:trPr>
          <w:trHeight w:val="300"/>
        </w:trPr>
        <w:tc>
          <w:tcPr>
            <w:tcW w:w="89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453AB" w:rsidRPr="00D37E3F" w:rsidRDefault="003453AB" w:rsidP="00596417">
            <w:pPr>
              <w:keepNext/>
              <w:rPr>
                <w:rFonts w:ascii="Arial Narrow" w:hAnsi="Arial Narrow" w:cs="Arial"/>
                <w:color w:val="000000"/>
                <w:sz w:val="20"/>
                <w:szCs w:val="20"/>
              </w:rPr>
            </w:pPr>
            <w:r w:rsidRPr="00D37E3F">
              <w:rPr>
                <w:rFonts w:ascii="Arial Narrow" w:hAnsi="Arial Narrow" w:cs="Arial"/>
                <w:color w:val="000000"/>
                <w:sz w:val="20"/>
                <w:szCs w:val="20"/>
              </w:rPr>
              <w:t> </w:t>
            </w:r>
          </w:p>
        </w:tc>
        <w:tc>
          <w:tcPr>
            <w:tcW w:w="695" w:type="pct"/>
            <w:tcBorders>
              <w:top w:val="single" w:sz="4" w:space="0" w:color="auto"/>
              <w:left w:val="nil"/>
              <w:bottom w:val="single" w:sz="4" w:space="0" w:color="auto"/>
              <w:right w:val="single" w:sz="4" w:space="0" w:color="auto"/>
            </w:tcBorders>
            <w:shd w:val="clear" w:color="000000" w:fill="FFFFFF"/>
            <w:noWrap/>
            <w:vAlign w:val="bottom"/>
            <w:hideMark/>
          </w:tcPr>
          <w:p w:rsidR="003453AB" w:rsidRPr="00D37E3F" w:rsidRDefault="003453AB" w:rsidP="00596417">
            <w:pPr>
              <w:keepNext/>
              <w:jc w:val="center"/>
              <w:rPr>
                <w:rFonts w:ascii="Arial Narrow" w:hAnsi="Arial Narrow" w:cs="Arial"/>
                <w:b/>
                <w:bCs/>
                <w:color w:val="000000"/>
                <w:sz w:val="20"/>
                <w:szCs w:val="20"/>
              </w:rPr>
            </w:pPr>
            <w:r w:rsidRPr="00D37E3F">
              <w:rPr>
                <w:rFonts w:ascii="Arial Narrow" w:hAnsi="Arial Narrow" w:cs="Arial"/>
                <w:b/>
                <w:bCs/>
                <w:color w:val="000000"/>
                <w:sz w:val="20"/>
                <w:szCs w:val="20"/>
              </w:rPr>
              <w:t>2020</w:t>
            </w:r>
          </w:p>
        </w:tc>
        <w:tc>
          <w:tcPr>
            <w:tcW w:w="695" w:type="pct"/>
            <w:tcBorders>
              <w:top w:val="single" w:sz="4" w:space="0" w:color="auto"/>
              <w:left w:val="nil"/>
              <w:bottom w:val="single" w:sz="4" w:space="0" w:color="auto"/>
              <w:right w:val="single" w:sz="4" w:space="0" w:color="auto"/>
            </w:tcBorders>
            <w:shd w:val="clear" w:color="000000" w:fill="FFFFFF"/>
            <w:noWrap/>
            <w:vAlign w:val="bottom"/>
            <w:hideMark/>
          </w:tcPr>
          <w:p w:rsidR="003453AB" w:rsidRPr="00D37E3F" w:rsidRDefault="003453AB" w:rsidP="00596417">
            <w:pPr>
              <w:keepNext/>
              <w:jc w:val="center"/>
              <w:rPr>
                <w:rFonts w:ascii="Arial Narrow" w:hAnsi="Arial Narrow" w:cs="Arial"/>
                <w:b/>
                <w:bCs/>
                <w:color w:val="000000"/>
                <w:sz w:val="20"/>
                <w:szCs w:val="20"/>
              </w:rPr>
            </w:pPr>
            <w:r w:rsidRPr="00D37E3F">
              <w:rPr>
                <w:rFonts w:ascii="Arial Narrow" w:hAnsi="Arial Narrow" w:cs="Arial"/>
                <w:b/>
                <w:bCs/>
                <w:color w:val="000000"/>
                <w:sz w:val="20"/>
                <w:szCs w:val="20"/>
              </w:rPr>
              <w:t>2021</w:t>
            </w:r>
          </w:p>
        </w:tc>
        <w:tc>
          <w:tcPr>
            <w:tcW w:w="695" w:type="pct"/>
            <w:tcBorders>
              <w:top w:val="single" w:sz="4" w:space="0" w:color="auto"/>
              <w:left w:val="nil"/>
              <w:bottom w:val="single" w:sz="4" w:space="0" w:color="auto"/>
              <w:right w:val="single" w:sz="4" w:space="0" w:color="auto"/>
            </w:tcBorders>
            <w:shd w:val="clear" w:color="000000" w:fill="FFFFFF"/>
            <w:noWrap/>
            <w:vAlign w:val="bottom"/>
            <w:hideMark/>
          </w:tcPr>
          <w:p w:rsidR="003453AB" w:rsidRPr="00D37E3F" w:rsidRDefault="003453AB" w:rsidP="00596417">
            <w:pPr>
              <w:keepNext/>
              <w:jc w:val="center"/>
              <w:rPr>
                <w:rFonts w:ascii="Arial Narrow" w:hAnsi="Arial Narrow" w:cs="Arial"/>
                <w:b/>
                <w:bCs/>
                <w:color w:val="000000"/>
                <w:sz w:val="20"/>
                <w:szCs w:val="20"/>
              </w:rPr>
            </w:pPr>
            <w:r w:rsidRPr="00D37E3F">
              <w:rPr>
                <w:rFonts w:ascii="Arial Narrow" w:hAnsi="Arial Narrow" w:cs="Arial"/>
                <w:b/>
                <w:bCs/>
                <w:color w:val="000000"/>
                <w:sz w:val="20"/>
                <w:szCs w:val="20"/>
              </w:rPr>
              <w:t>2022</w:t>
            </w:r>
          </w:p>
        </w:tc>
        <w:tc>
          <w:tcPr>
            <w:tcW w:w="695" w:type="pct"/>
            <w:tcBorders>
              <w:top w:val="single" w:sz="4" w:space="0" w:color="auto"/>
              <w:left w:val="nil"/>
              <w:bottom w:val="single" w:sz="4" w:space="0" w:color="auto"/>
              <w:right w:val="single" w:sz="4" w:space="0" w:color="auto"/>
            </w:tcBorders>
            <w:shd w:val="clear" w:color="000000" w:fill="FFFFFF"/>
            <w:noWrap/>
            <w:vAlign w:val="bottom"/>
            <w:hideMark/>
          </w:tcPr>
          <w:p w:rsidR="003453AB" w:rsidRPr="00D37E3F" w:rsidRDefault="003453AB" w:rsidP="00596417">
            <w:pPr>
              <w:keepNext/>
              <w:jc w:val="center"/>
              <w:rPr>
                <w:rFonts w:ascii="Arial Narrow" w:hAnsi="Arial Narrow" w:cs="Arial"/>
                <w:b/>
                <w:bCs/>
                <w:color w:val="000000"/>
                <w:sz w:val="20"/>
                <w:szCs w:val="20"/>
              </w:rPr>
            </w:pPr>
            <w:r w:rsidRPr="00D37E3F">
              <w:rPr>
                <w:rFonts w:ascii="Arial Narrow" w:hAnsi="Arial Narrow" w:cs="Arial"/>
                <w:b/>
                <w:bCs/>
                <w:color w:val="000000"/>
                <w:sz w:val="20"/>
                <w:szCs w:val="20"/>
              </w:rPr>
              <w:t>2023</w:t>
            </w:r>
          </w:p>
        </w:tc>
        <w:tc>
          <w:tcPr>
            <w:tcW w:w="627" w:type="pct"/>
            <w:tcBorders>
              <w:top w:val="single" w:sz="4" w:space="0" w:color="auto"/>
              <w:left w:val="nil"/>
              <w:bottom w:val="single" w:sz="4" w:space="0" w:color="auto"/>
              <w:right w:val="single" w:sz="4" w:space="0" w:color="auto"/>
            </w:tcBorders>
            <w:shd w:val="clear" w:color="000000" w:fill="FFFFFF"/>
            <w:noWrap/>
            <w:vAlign w:val="bottom"/>
            <w:hideMark/>
          </w:tcPr>
          <w:p w:rsidR="003453AB" w:rsidRPr="00D37E3F" w:rsidRDefault="003453AB" w:rsidP="00596417">
            <w:pPr>
              <w:keepNext/>
              <w:jc w:val="center"/>
              <w:rPr>
                <w:rFonts w:ascii="Arial Narrow" w:hAnsi="Arial Narrow" w:cs="Arial"/>
                <w:b/>
                <w:bCs/>
                <w:color w:val="000000"/>
                <w:sz w:val="20"/>
                <w:szCs w:val="20"/>
              </w:rPr>
            </w:pPr>
            <w:r w:rsidRPr="00D37E3F">
              <w:rPr>
                <w:rFonts w:ascii="Arial Narrow" w:hAnsi="Arial Narrow" w:cs="Arial"/>
                <w:b/>
                <w:bCs/>
                <w:color w:val="000000"/>
                <w:sz w:val="20"/>
                <w:szCs w:val="20"/>
              </w:rPr>
              <w:t>2024</w:t>
            </w:r>
          </w:p>
        </w:tc>
        <w:tc>
          <w:tcPr>
            <w:tcW w:w="695" w:type="pct"/>
            <w:tcBorders>
              <w:top w:val="single" w:sz="4" w:space="0" w:color="auto"/>
              <w:left w:val="nil"/>
              <w:bottom w:val="single" w:sz="4" w:space="0" w:color="auto"/>
              <w:right w:val="single" w:sz="4" w:space="0" w:color="auto"/>
            </w:tcBorders>
            <w:shd w:val="clear" w:color="000000" w:fill="FFFFFF"/>
            <w:noWrap/>
            <w:vAlign w:val="bottom"/>
            <w:hideMark/>
          </w:tcPr>
          <w:p w:rsidR="003453AB" w:rsidRPr="00D37E3F" w:rsidRDefault="003453AB" w:rsidP="00596417">
            <w:pPr>
              <w:keepNext/>
              <w:jc w:val="center"/>
              <w:rPr>
                <w:rFonts w:ascii="Arial Narrow" w:hAnsi="Arial Narrow" w:cs="Arial"/>
                <w:b/>
                <w:bCs/>
                <w:color w:val="000000"/>
                <w:sz w:val="20"/>
                <w:szCs w:val="20"/>
              </w:rPr>
            </w:pPr>
            <w:r w:rsidRPr="00D37E3F">
              <w:rPr>
                <w:rFonts w:ascii="Arial Narrow" w:hAnsi="Arial Narrow" w:cs="Arial"/>
                <w:b/>
                <w:bCs/>
                <w:color w:val="000000"/>
                <w:sz w:val="20"/>
                <w:szCs w:val="20"/>
              </w:rPr>
              <w:t>2025</w:t>
            </w:r>
          </w:p>
        </w:tc>
      </w:tr>
      <w:tr w:rsidR="00194C9C" w:rsidRPr="00D37E3F" w:rsidTr="00310FEC">
        <w:trPr>
          <w:trHeight w:val="272"/>
        </w:trPr>
        <w:tc>
          <w:tcPr>
            <w:tcW w:w="897" w:type="pct"/>
            <w:tcBorders>
              <w:top w:val="nil"/>
              <w:left w:val="single" w:sz="4" w:space="0" w:color="auto"/>
              <w:bottom w:val="single" w:sz="4" w:space="0" w:color="auto"/>
              <w:right w:val="single" w:sz="4" w:space="0" w:color="auto"/>
            </w:tcBorders>
            <w:shd w:val="clear" w:color="000000" w:fill="FFFFFF"/>
            <w:noWrap/>
            <w:vAlign w:val="bottom"/>
            <w:hideMark/>
          </w:tcPr>
          <w:p w:rsidR="003453AB" w:rsidRPr="00D37E3F" w:rsidRDefault="003453AB" w:rsidP="00596417">
            <w:pPr>
              <w:keepNext/>
              <w:rPr>
                <w:rFonts w:ascii="Arial Narrow" w:hAnsi="Arial Narrow" w:cs="Arial"/>
                <w:b/>
                <w:bCs/>
                <w:color w:val="000000"/>
                <w:sz w:val="20"/>
                <w:szCs w:val="20"/>
              </w:rPr>
            </w:pPr>
            <w:r w:rsidRPr="00D37E3F">
              <w:rPr>
                <w:rFonts w:ascii="Arial Narrow" w:hAnsi="Arial Narrow" w:cs="Arial"/>
                <w:b/>
                <w:bCs/>
                <w:color w:val="000000"/>
                <w:sz w:val="20"/>
                <w:szCs w:val="20"/>
              </w:rPr>
              <w:t>Eligible patients</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406B58" w:rsidRDefault="00406B58" w:rsidP="00596417">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406B58" w:rsidRDefault="00406B58" w:rsidP="00596417">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406B58" w:rsidRDefault="00406B58" w:rsidP="00596417">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406B58" w:rsidRDefault="00406B58" w:rsidP="00596417">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27" w:type="pct"/>
            <w:tcBorders>
              <w:top w:val="nil"/>
              <w:left w:val="nil"/>
              <w:bottom w:val="single" w:sz="4" w:space="0" w:color="auto"/>
              <w:right w:val="single" w:sz="4" w:space="0" w:color="auto"/>
            </w:tcBorders>
            <w:shd w:val="clear" w:color="000000" w:fill="FFFFFF"/>
            <w:noWrap/>
            <w:vAlign w:val="bottom"/>
            <w:hideMark/>
          </w:tcPr>
          <w:p w:rsidR="003453AB" w:rsidRPr="00406B58" w:rsidRDefault="00406B58" w:rsidP="00596417">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406B58" w:rsidRDefault="00406B58" w:rsidP="00596417">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194C9C" w:rsidRPr="00D37E3F" w:rsidTr="00310FEC">
        <w:trPr>
          <w:trHeight w:val="291"/>
        </w:trPr>
        <w:tc>
          <w:tcPr>
            <w:tcW w:w="897" w:type="pct"/>
            <w:tcBorders>
              <w:top w:val="nil"/>
              <w:left w:val="single" w:sz="4" w:space="0" w:color="auto"/>
              <w:bottom w:val="single" w:sz="4" w:space="0" w:color="auto"/>
              <w:right w:val="single" w:sz="4" w:space="0" w:color="auto"/>
            </w:tcBorders>
            <w:shd w:val="clear" w:color="000000" w:fill="FFFFFF"/>
            <w:noWrap/>
            <w:vAlign w:val="bottom"/>
            <w:hideMark/>
          </w:tcPr>
          <w:p w:rsidR="003453AB" w:rsidRPr="00D37E3F" w:rsidRDefault="003453AB" w:rsidP="00596417">
            <w:pPr>
              <w:keepNext/>
              <w:rPr>
                <w:rFonts w:ascii="Arial Narrow" w:hAnsi="Arial Narrow" w:cs="Arial"/>
                <w:b/>
                <w:bCs/>
                <w:color w:val="000000"/>
                <w:sz w:val="20"/>
                <w:szCs w:val="20"/>
              </w:rPr>
            </w:pPr>
            <w:r w:rsidRPr="00D37E3F">
              <w:rPr>
                <w:rFonts w:ascii="Arial Narrow" w:hAnsi="Arial Narrow" w:cs="Arial"/>
                <w:b/>
                <w:bCs/>
                <w:color w:val="000000"/>
                <w:sz w:val="20"/>
                <w:szCs w:val="20"/>
              </w:rPr>
              <w:t>Treated patients</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406B58" w:rsidRDefault="00406B58" w:rsidP="00596417">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406B58" w:rsidRDefault="00406B58" w:rsidP="00596417">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406B58" w:rsidRDefault="00406B58" w:rsidP="00596417">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406B58" w:rsidRDefault="00406B58" w:rsidP="00596417">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27" w:type="pct"/>
            <w:tcBorders>
              <w:top w:val="nil"/>
              <w:left w:val="nil"/>
              <w:bottom w:val="single" w:sz="4" w:space="0" w:color="auto"/>
              <w:right w:val="single" w:sz="4" w:space="0" w:color="auto"/>
            </w:tcBorders>
            <w:shd w:val="clear" w:color="000000" w:fill="FFFFFF"/>
            <w:noWrap/>
            <w:vAlign w:val="bottom"/>
            <w:hideMark/>
          </w:tcPr>
          <w:p w:rsidR="003453AB" w:rsidRPr="00406B58" w:rsidRDefault="00406B58" w:rsidP="00596417">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406B58" w:rsidRDefault="00406B58" w:rsidP="00596417">
            <w:pPr>
              <w:keepNext/>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194C9C" w:rsidRPr="00D37E3F" w:rsidTr="00310FEC">
        <w:trPr>
          <w:trHeight w:val="266"/>
        </w:trPr>
        <w:tc>
          <w:tcPr>
            <w:tcW w:w="897" w:type="pct"/>
            <w:tcBorders>
              <w:top w:val="nil"/>
              <w:left w:val="single" w:sz="4" w:space="0" w:color="auto"/>
              <w:bottom w:val="single" w:sz="4" w:space="0" w:color="auto"/>
              <w:right w:val="single" w:sz="4" w:space="0" w:color="auto"/>
            </w:tcBorders>
            <w:shd w:val="clear" w:color="000000" w:fill="FFFFFF"/>
            <w:noWrap/>
            <w:vAlign w:val="bottom"/>
            <w:hideMark/>
          </w:tcPr>
          <w:p w:rsidR="003453AB" w:rsidRPr="00D37E3F" w:rsidRDefault="00194C9C">
            <w:pPr>
              <w:rPr>
                <w:rFonts w:ascii="Arial Narrow" w:hAnsi="Arial Narrow" w:cs="Arial"/>
                <w:b/>
                <w:bCs/>
                <w:color w:val="000000"/>
                <w:sz w:val="20"/>
                <w:szCs w:val="20"/>
              </w:rPr>
            </w:pPr>
            <w:r w:rsidRPr="00D37E3F">
              <w:rPr>
                <w:rFonts w:ascii="Arial Narrow" w:hAnsi="Arial Narrow" w:cs="Arial"/>
                <w:b/>
                <w:bCs/>
                <w:color w:val="000000"/>
                <w:sz w:val="20"/>
                <w:szCs w:val="20"/>
              </w:rPr>
              <w:t>P</w:t>
            </w:r>
            <w:r w:rsidR="003453AB" w:rsidRPr="00D37E3F">
              <w:rPr>
                <w:rFonts w:ascii="Arial Narrow" w:hAnsi="Arial Narrow" w:cs="Arial"/>
                <w:b/>
                <w:bCs/>
                <w:color w:val="000000"/>
                <w:sz w:val="20"/>
                <w:szCs w:val="20"/>
              </w:rPr>
              <w:t>rescriptions 10</w:t>
            </w:r>
            <w:r w:rsidRPr="00D37E3F">
              <w:rPr>
                <w:rFonts w:ascii="Arial Narrow" w:hAnsi="Arial Narrow" w:cs="Arial"/>
                <w:b/>
                <w:bCs/>
                <w:color w:val="000000"/>
                <w:sz w:val="20"/>
                <w:szCs w:val="20"/>
              </w:rPr>
              <w:t xml:space="preserve"> </w:t>
            </w:r>
            <w:r w:rsidR="003453AB" w:rsidRPr="00D37E3F">
              <w:rPr>
                <w:rFonts w:ascii="Arial Narrow" w:hAnsi="Arial Narrow" w:cs="Arial"/>
                <w:b/>
                <w:bCs/>
                <w:color w:val="000000"/>
                <w:sz w:val="20"/>
                <w:szCs w:val="20"/>
              </w:rPr>
              <w:t>mg</w:t>
            </w:r>
            <w:r w:rsidR="007D2969" w:rsidRPr="00D37E3F">
              <w:rPr>
                <w:rFonts w:ascii="Arial Narrow" w:hAnsi="Arial Narrow" w:cs="Arial"/>
                <w:b/>
                <w:bCs/>
                <w:color w:val="000000"/>
                <w:sz w:val="20"/>
                <w:szCs w:val="20"/>
              </w:rPr>
              <w:t xml:space="preserve"> </w:t>
            </w:r>
            <w:proofErr w:type="spellStart"/>
            <w:r w:rsidR="007D2969" w:rsidRPr="00D37E3F">
              <w:rPr>
                <w:rFonts w:ascii="Arial Narrow" w:hAnsi="Arial Narrow" w:cs="Arial"/>
                <w:b/>
                <w:bCs/>
                <w:color w:val="000000"/>
                <w:sz w:val="20"/>
                <w:szCs w:val="20"/>
              </w:rPr>
              <w:t>Kapanol</w:t>
            </w:r>
            <w:proofErr w:type="spellEnd"/>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406B58" w:rsidRDefault="00406B58" w:rsidP="009C58AE">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406B58" w:rsidRDefault="00406B58" w:rsidP="009C58AE">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406B58" w:rsidRDefault="00406B58" w:rsidP="009C58AE">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406B58" w:rsidRDefault="00406B58" w:rsidP="009C58AE">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27" w:type="pct"/>
            <w:tcBorders>
              <w:top w:val="nil"/>
              <w:left w:val="nil"/>
              <w:bottom w:val="single" w:sz="4" w:space="0" w:color="auto"/>
              <w:right w:val="single" w:sz="4" w:space="0" w:color="auto"/>
            </w:tcBorders>
            <w:shd w:val="clear" w:color="000000" w:fill="FFFFFF"/>
            <w:noWrap/>
            <w:vAlign w:val="bottom"/>
            <w:hideMark/>
          </w:tcPr>
          <w:p w:rsidR="003453AB" w:rsidRPr="00406B58" w:rsidRDefault="00406B58" w:rsidP="009C58AE">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406B58" w:rsidRDefault="00406B58" w:rsidP="009C58AE">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194C9C" w:rsidRPr="00D37E3F" w:rsidTr="00310FEC">
        <w:trPr>
          <w:trHeight w:val="271"/>
        </w:trPr>
        <w:tc>
          <w:tcPr>
            <w:tcW w:w="897" w:type="pct"/>
            <w:tcBorders>
              <w:top w:val="nil"/>
              <w:left w:val="single" w:sz="4" w:space="0" w:color="auto"/>
              <w:bottom w:val="single" w:sz="4" w:space="0" w:color="auto"/>
              <w:right w:val="single" w:sz="4" w:space="0" w:color="auto"/>
            </w:tcBorders>
            <w:shd w:val="clear" w:color="000000" w:fill="FFFFFF"/>
            <w:noWrap/>
            <w:vAlign w:val="bottom"/>
            <w:hideMark/>
          </w:tcPr>
          <w:p w:rsidR="003453AB" w:rsidRPr="00D37E3F" w:rsidRDefault="00194C9C">
            <w:pPr>
              <w:rPr>
                <w:rFonts w:ascii="Arial Narrow" w:hAnsi="Arial Narrow" w:cs="Arial"/>
                <w:b/>
                <w:bCs/>
                <w:color w:val="000000"/>
                <w:sz w:val="20"/>
                <w:szCs w:val="20"/>
              </w:rPr>
            </w:pPr>
            <w:r w:rsidRPr="00D37E3F">
              <w:rPr>
                <w:rFonts w:ascii="Arial Narrow" w:hAnsi="Arial Narrow" w:cs="Arial"/>
                <w:b/>
                <w:bCs/>
                <w:color w:val="000000"/>
                <w:sz w:val="20"/>
                <w:szCs w:val="20"/>
              </w:rPr>
              <w:t>P</w:t>
            </w:r>
            <w:r w:rsidR="003453AB" w:rsidRPr="00D37E3F">
              <w:rPr>
                <w:rFonts w:ascii="Arial Narrow" w:hAnsi="Arial Narrow" w:cs="Arial"/>
                <w:b/>
                <w:bCs/>
                <w:color w:val="000000"/>
                <w:sz w:val="20"/>
                <w:szCs w:val="20"/>
              </w:rPr>
              <w:t>rescriptions 20</w:t>
            </w:r>
            <w:r w:rsidRPr="00D37E3F">
              <w:rPr>
                <w:rFonts w:ascii="Arial Narrow" w:hAnsi="Arial Narrow" w:cs="Arial"/>
                <w:b/>
                <w:bCs/>
                <w:color w:val="000000"/>
                <w:sz w:val="20"/>
                <w:szCs w:val="20"/>
              </w:rPr>
              <w:t xml:space="preserve"> </w:t>
            </w:r>
            <w:r w:rsidR="003453AB" w:rsidRPr="00D37E3F">
              <w:rPr>
                <w:rFonts w:ascii="Arial Narrow" w:hAnsi="Arial Narrow" w:cs="Arial"/>
                <w:b/>
                <w:bCs/>
                <w:color w:val="000000"/>
                <w:sz w:val="20"/>
                <w:szCs w:val="20"/>
              </w:rPr>
              <w:t>mg</w:t>
            </w:r>
            <w:r w:rsidR="007D2969" w:rsidRPr="00D37E3F">
              <w:rPr>
                <w:rFonts w:ascii="Arial Narrow" w:hAnsi="Arial Narrow" w:cs="Arial"/>
                <w:b/>
                <w:bCs/>
                <w:color w:val="000000"/>
                <w:sz w:val="20"/>
                <w:szCs w:val="20"/>
              </w:rPr>
              <w:t xml:space="preserve"> </w:t>
            </w:r>
            <w:proofErr w:type="spellStart"/>
            <w:r w:rsidR="007D2969" w:rsidRPr="00D37E3F">
              <w:rPr>
                <w:rFonts w:ascii="Arial Narrow" w:hAnsi="Arial Narrow" w:cs="Arial"/>
                <w:b/>
                <w:bCs/>
                <w:color w:val="000000"/>
                <w:sz w:val="20"/>
                <w:szCs w:val="20"/>
              </w:rPr>
              <w:t>Kapanol</w:t>
            </w:r>
            <w:proofErr w:type="spellEnd"/>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406B58" w:rsidRDefault="00406B58" w:rsidP="009C58AE">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406B58" w:rsidRDefault="00406B58" w:rsidP="009C58AE">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406B58" w:rsidRDefault="00406B58" w:rsidP="009C58AE">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406B58" w:rsidRDefault="00406B58" w:rsidP="009C58AE">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27" w:type="pct"/>
            <w:tcBorders>
              <w:top w:val="nil"/>
              <w:left w:val="nil"/>
              <w:bottom w:val="single" w:sz="4" w:space="0" w:color="auto"/>
              <w:right w:val="single" w:sz="4" w:space="0" w:color="auto"/>
            </w:tcBorders>
            <w:shd w:val="clear" w:color="000000" w:fill="FFFFFF"/>
            <w:noWrap/>
            <w:vAlign w:val="bottom"/>
            <w:hideMark/>
          </w:tcPr>
          <w:p w:rsidR="003453AB" w:rsidRPr="00406B58" w:rsidRDefault="00406B58" w:rsidP="009C58AE">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406B58" w:rsidRDefault="00406B58" w:rsidP="009C58AE">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194C9C" w:rsidRPr="00D37E3F" w:rsidTr="00310FEC">
        <w:trPr>
          <w:trHeight w:val="275"/>
        </w:trPr>
        <w:tc>
          <w:tcPr>
            <w:tcW w:w="897" w:type="pct"/>
            <w:tcBorders>
              <w:top w:val="nil"/>
              <w:left w:val="single" w:sz="4" w:space="0" w:color="auto"/>
              <w:bottom w:val="single" w:sz="4" w:space="0" w:color="auto"/>
              <w:right w:val="single" w:sz="4" w:space="0" w:color="auto"/>
            </w:tcBorders>
            <w:shd w:val="clear" w:color="000000" w:fill="FFFFFF"/>
            <w:noWrap/>
            <w:vAlign w:val="bottom"/>
            <w:hideMark/>
          </w:tcPr>
          <w:p w:rsidR="003453AB" w:rsidRPr="00D37E3F" w:rsidRDefault="003453AB">
            <w:pPr>
              <w:rPr>
                <w:rFonts w:ascii="Arial Narrow" w:hAnsi="Arial Narrow" w:cs="Arial"/>
                <w:b/>
                <w:bCs/>
                <w:color w:val="000000"/>
                <w:sz w:val="20"/>
                <w:szCs w:val="20"/>
              </w:rPr>
            </w:pPr>
            <w:r w:rsidRPr="00D37E3F">
              <w:rPr>
                <w:rFonts w:ascii="Arial Narrow" w:hAnsi="Arial Narrow" w:cs="Arial"/>
                <w:b/>
                <w:bCs/>
                <w:color w:val="000000"/>
                <w:sz w:val="20"/>
                <w:szCs w:val="20"/>
              </w:rPr>
              <w:t xml:space="preserve">Total cost </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D37E3F" w:rsidRDefault="003453AB" w:rsidP="009C58AE">
            <w:pPr>
              <w:jc w:val="center"/>
              <w:rPr>
                <w:rFonts w:ascii="Arial Narrow" w:hAnsi="Arial Narrow" w:cs="Arial"/>
                <w:color w:val="000000"/>
                <w:sz w:val="20"/>
                <w:szCs w:val="20"/>
              </w:rPr>
            </w:pPr>
            <w:r w:rsidRPr="00D37E3F">
              <w:rPr>
                <w:rFonts w:ascii="Arial Narrow" w:hAnsi="Arial Narrow" w:cs="Arial"/>
                <w:color w:val="000000"/>
                <w:sz w:val="20"/>
                <w:szCs w:val="20"/>
              </w:rPr>
              <w:t>$</w:t>
            </w:r>
            <w:r w:rsidR="00406B58">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D37E3F" w:rsidRDefault="003453AB" w:rsidP="009C58AE">
            <w:pPr>
              <w:jc w:val="center"/>
              <w:rPr>
                <w:rFonts w:ascii="Arial Narrow" w:hAnsi="Arial Narrow" w:cs="Arial"/>
                <w:color w:val="000000"/>
                <w:sz w:val="20"/>
                <w:szCs w:val="20"/>
              </w:rPr>
            </w:pPr>
            <w:r w:rsidRPr="00D37E3F">
              <w:rPr>
                <w:rFonts w:ascii="Arial Narrow" w:hAnsi="Arial Narrow" w:cs="Arial"/>
                <w:color w:val="000000"/>
                <w:sz w:val="20"/>
                <w:szCs w:val="20"/>
              </w:rPr>
              <w:t>$</w:t>
            </w:r>
            <w:r w:rsidR="00406B58">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D37E3F" w:rsidRDefault="003453AB" w:rsidP="009C58AE">
            <w:pPr>
              <w:jc w:val="center"/>
              <w:rPr>
                <w:rFonts w:ascii="Arial Narrow" w:hAnsi="Arial Narrow" w:cs="Arial"/>
                <w:color w:val="000000"/>
                <w:sz w:val="20"/>
                <w:szCs w:val="20"/>
              </w:rPr>
            </w:pPr>
            <w:r w:rsidRPr="00D37E3F">
              <w:rPr>
                <w:rFonts w:ascii="Arial Narrow" w:hAnsi="Arial Narrow" w:cs="Arial"/>
                <w:color w:val="000000"/>
                <w:sz w:val="20"/>
                <w:szCs w:val="20"/>
              </w:rPr>
              <w:t>$</w:t>
            </w:r>
            <w:r w:rsidR="00406B58">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D37E3F" w:rsidRDefault="003453AB" w:rsidP="009C58AE">
            <w:pPr>
              <w:jc w:val="center"/>
              <w:rPr>
                <w:rFonts w:ascii="Arial Narrow" w:hAnsi="Arial Narrow" w:cs="Arial"/>
                <w:color w:val="000000"/>
                <w:sz w:val="20"/>
                <w:szCs w:val="20"/>
              </w:rPr>
            </w:pPr>
            <w:r w:rsidRPr="00D37E3F">
              <w:rPr>
                <w:rFonts w:ascii="Arial Narrow" w:hAnsi="Arial Narrow" w:cs="Arial"/>
                <w:color w:val="000000"/>
                <w:sz w:val="20"/>
                <w:szCs w:val="20"/>
              </w:rPr>
              <w:t>$</w:t>
            </w:r>
            <w:r w:rsidR="00406B58">
              <w:rPr>
                <w:rFonts w:ascii="Arial Narrow" w:hAnsi="Arial Narrow" w:cs="Arial"/>
                <w:noProof/>
                <w:color w:val="000000"/>
                <w:sz w:val="20"/>
                <w:szCs w:val="20"/>
                <w:highlight w:val="black"/>
              </w:rPr>
              <w:t>'''''''''''''''''''''''''</w:t>
            </w:r>
          </w:p>
        </w:tc>
        <w:tc>
          <w:tcPr>
            <w:tcW w:w="627" w:type="pct"/>
            <w:tcBorders>
              <w:top w:val="nil"/>
              <w:left w:val="nil"/>
              <w:bottom w:val="single" w:sz="4" w:space="0" w:color="auto"/>
              <w:right w:val="single" w:sz="4" w:space="0" w:color="auto"/>
            </w:tcBorders>
            <w:shd w:val="clear" w:color="000000" w:fill="FFFFFF"/>
            <w:noWrap/>
            <w:vAlign w:val="bottom"/>
            <w:hideMark/>
          </w:tcPr>
          <w:p w:rsidR="003453AB" w:rsidRPr="00D37E3F" w:rsidRDefault="003453AB" w:rsidP="009C58AE">
            <w:pPr>
              <w:jc w:val="center"/>
              <w:rPr>
                <w:rFonts w:ascii="Arial Narrow" w:hAnsi="Arial Narrow" w:cs="Arial"/>
                <w:color w:val="000000"/>
                <w:sz w:val="20"/>
                <w:szCs w:val="20"/>
              </w:rPr>
            </w:pPr>
            <w:r w:rsidRPr="00D37E3F">
              <w:rPr>
                <w:rFonts w:ascii="Arial Narrow" w:hAnsi="Arial Narrow" w:cs="Arial"/>
                <w:color w:val="000000"/>
                <w:sz w:val="20"/>
                <w:szCs w:val="20"/>
              </w:rPr>
              <w:t>$</w:t>
            </w:r>
            <w:r w:rsidR="00406B58">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D37E3F" w:rsidRDefault="003453AB" w:rsidP="009C58AE">
            <w:pPr>
              <w:jc w:val="center"/>
              <w:rPr>
                <w:rFonts w:ascii="Arial Narrow" w:hAnsi="Arial Narrow" w:cs="Arial"/>
                <w:color w:val="000000"/>
                <w:sz w:val="20"/>
                <w:szCs w:val="20"/>
              </w:rPr>
            </w:pPr>
            <w:r w:rsidRPr="00D37E3F">
              <w:rPr>
                <w:rFonts w:ascii="Arial Narrow" w:hAnsi="Arial Narrow" w:cs="Arial"/>
                <w:color w:val="000000"/>
                <w:sz w:val="20"/>
                <w:szCs w:val="20"/>
              </w:rPr>
              <w:t>$</w:t>
            </w:r>
            <w:r w:rsidR="00406B58">
              <w:rPr>
                <w:rFonts w:ascii="Arial Narrow" w:hAnsi="Arial Narrow" w:cs="Arial"/>
                <w:noProof/>
                <w:color w:val="000000"/>
                <w:sz w:val="20"/>
                <w:szCs w:val="20"/>
                <w:highlight w:val="black"/>
              </w:rPr>
              <w:t>''''''''''''''''''''''</w:t>
            </w:r>
          </w:p>
        </w:tc>
      </w:tr>
      <w:tr w:rsidR="00194C9C" w:rsidRPr="00D37E3F" w:rsidTr="00310FEC">
        <w:trPr>
          <w:trHeight w:val="265"/>
        </w:trPr>
        <w:tc>
          <w:tcPr>
            <w:tcW w:w="897" w:type="pct"/>
            <w:tcBorders>
              <w:top w:val="nil"/>
              <w:left w:val="single" w:sz="4" w:space="0" w:color="auto"/>
              <w:bottom w:val="single" w:sz="4" w:space="0" w:color="auto"/>
              <w:right w:val="single" w:sz="4" w:space="0" w:color="auto"/>
            </w:tcBorders>
            <w:shd w:val="clear" w:color="000000" w:fill="FFFFFF"/>
            <w:noWrap/>
            <w:vAlign w:val="bottom"/>
            <w:hideMark/>
          </w:tcPr>
          <w:p w:rsidR="003453AB" w:rsidRPr="00D37E3F" w:rsidRDefault="003453AB">
            <w:pPr>
              <w:rPr>
                <w:rFonts w:ascii="Arial Narrow" w:hAnsi="Arial Narrow" w:cs="Arial"/>
                <w:b/>
                <w:bCs/>
                <w:color w:val="000000"/>
                <w:sz w:val="20"/>
                <w:szCs w:val="20"/>
              </w:rPr>
            </w:pPr>
            <w:r w:rsidRPr="00D37E3F">
              <w:rPr>
                <w:rFonts w:ascii="Arial Narrow" w:hAnsi="Arial Narrow" w:cs="Arial"/>
                <w:b/>
                <w:bCs/>
                <w:color w:val="000000"/>
                <w:sz w:val="20"/>
                <w:szCs w:val="20"/>
              </w:rPr>
              <w:t>Co-payments</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D37E3F" w:rsidRDefault="003453AB" w:rsidP="009C58AE">
            <w:pPr>
              <w:jc w:val="center"/>
              <w:rPr>
                <w:rFonts w:ascii="Arial Narrow" w:hAnsi="Arial Narrow" w:cs="Arial"/>
                <w:sz w:val="20"/>
                <w:szCs w:val="20"/>
              </w:rPr>
            </w:pPr>
            <w:r w:rsidRPr="00D37E3F">
              <w:rPr>
                <w:rFonts w:ascii="Arial Narrow" w:hAnsi="Arial Narrow" w:cs="Arial"/>
                <w:sz w:val="20"/>
                <w:szCs w:val="20"/>
              </w:rPr>
              <w:t>-$</w:t>
            </w:r>
            <w:r w:rsidR="00406B58">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D37E3F" w:rsidRDefault="003453AB" w:rsidP="009C58AE">
            <w:pPr>
              <w:jc w:val="center"/>
              <w:rPr>
                <w:rFonts w:ascii="Arial Narrow" w:hAnsi="Arial Narrow" w:cs="Arial"/>
                <w:sz w:val="20"/>
                <w:szCs w:val="20"/>
              </w:rPr>
            </w:pPr>
            <w:r w:rsidRPr="00D37E3F">
              <w:rPr>
                <w:rFonts w:ascii="Arial Narrow" w:hAnsi="Arial Narrow" w:cs="Arial"/>
                <w:sz w:val="20"/>
                <w:szCs w:val="20"/>
              </w:rPr>
              <w:t>-$</w:t>
            </w:r>
            <w:r w:rsidR="00406B58">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D37E3F" w:rsidRDefault="003453AB" w:rsidP="009C58AE">
            <w:pPr>
              <w:jc w:val="center"/>
              <w:rPr>
                <w:rFonts w:ascii="Arial Narrow" w:hAnsi="Arial Narrow" w:cs="Arial"/>
                <w:sz w:val="20"/>
                <w:szCs w:val="20"/>
              </w:rPr>
            </w:pPr>
            <w:r w:rsidRPr="00D37E3F">
              <w:rPr>
                <w:rFonts w:ascii="Arial Narrow" w:hAnsi="Arial Narrow" w:cs="Arial"/>
                <w:sz w:val="20"/>
                <w:szCs w:val="20"/>
              </w:rPr>
              <w:t>-$</w:t>
            </w:r>
            <w:r w:rsidR="00406B58">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D37E3F" w:rsidRDefault="003453AB" w:rsidP="009C58AE">
            <w:pPr>
              <w:jc w:val="center"/>
              <w:rPr>
                <w:rFonts w:ascii="Arial Narrow" w:hAnsi="Arial Narrow" w:cs="Arial"/>
                <w:sz w:val="20"/>
                <w:szCs w:val="20"/>
              </w:rPr>
            </w:pPr>
            <w:r w:rsidRPr="00D37E3F">
              <w:rPr>
                <w:rFonts w:ascii="Arial Narrow" w:hAnsi="Arial Narrow" w:cs="Arial"/>
                <w:sz w:val="20"/>
                <w:szCs w:val="20"/>
              </w:rPr>
              <w:t>-$</w:t>
            </w:r>
            <w:r w:rsidR="00406B58">
              <w:rPr>
                <w:rFonts w:ascii="Arial Narrow" w:hAnsi="Arial Narrow" w:cs="Arial"/>
                <w:noProof/>
                <w:color w:val="000000"/>
                <w:sz w:val="20"/>
                <w:szCs w:val="20"/>
                <w:highlight w:val="black"/>
              </w:rPr>
              <w:t>'''''''''''''''''''''</w:t>
            </w:r>
          </w:p>
        </w:tc>
        <w:tc>
          <w:tcPr>
            <w:tcW w:w="627" w:type="pct"/>
            <w:tcBorders>
              <w:top w:val="nil"/>
              <w:left w:val="nil"/>
              <w:bottom w:val="single" w:sz="4" w:space="0" w:color="auto"/>
              <w:right w:val="single" w:sz="4" w:space="0" w:color="auto"/>
            </w:tcBorders>
            <w:shd w:val="clear" w:color="000000" w:fill="FFFFFF"/>
            <w:noWrap/>
            <w:vAlign w:val="bottom"/>
            <w:hideMark/>
          </w:tcPr>
          <w:p w:rsidR="003453AB" w:rsidRPr="00D37E3F" w:rsidRDefault="003453AB" w:rsidP="009C58AE">
            <w:pPr>
              <w:jc w:val="center"/>
              <w:rPr>
                <w:rFonts w:ascii="Arial Narrow" w:hAnsi="Arial Narrow" w:cs="Arial"/>
                <w:sz w:val="20"/>
                <w:szCs w:val="20"/>
              </w:rPr>
            </w:pPr>
            <w:r w:rsidRPr="00D37E3F">
              <w:rPr>
                <w:rFonts w:ascii="Arial Narrow" w:hAnsi="Arial Narrow" w:cs="Arial"/>
                <w:sz w:val="20"/>
                <w:szCs w:val="20"/>
              </w:rPr>
              <w:t>-$</w:t>
            </w:r>
            <w:r w:rsidR="00406B58">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D37E3F" w:rsidRDefault="003453AB" w:rsidP="009C58AE">
            <w:pPr>
              <w:jc w:val="center"/>
              <w:rPr>
                <w:rFonts w:ascii="Arial Narrow" w:hAnsi="Arial Narrow" w:cs="Arial"/>
                <w:sz w:val="20"/>
                <w:szCs w:val="20"/>
              </w:rPr>
            </w:pPr>
            <w:r w:rsidRPr="00D37E3F">
              <w:rPr>
                <w:rFonts w:ascii="Arial Narrow" w:hAnsi="Arial Narrow" w:cs="Arial"/>
                <w:sz w:val="20"/>
                <w:szCs w:val="20"/>
              </w:rPr>
              <w:t>-$</w:t>
            </w:r>
            <w:r w:rsidR="00406B58">
              <w:rPr>
                <w:rFonts w:ascii="Arial Narrow" w:hAnsi="Arial Narrow" w:cs="Arial"/>
                <w:noProof/>
                <w:color w:val="000000"/>
                <w:sz w:val="20"/>
                <w:szCs w:val="20"/>
                <w:highlight w:val="black"/>
              </w:rPr>
              <w:t>'''''''''''''''''</w:t>
            </w:r>
          </w:p>
        </w:tc>
      </w:tr>
      <w:tr w:rsidR="00194C9C" w:rsidRPr="00D37E3F" w:rsidTr="00310FEC">
        <w:trPr>
          <w:trHeight w:val="282"/>
        </w:trPr>
        <w:tc>
          <w:tcPr>
            <w:tcW w:w="897" w:type="pct"/>
            <w:tcBorders>
              <w:top w:val="nil"/>
              <w:left w:val="single" w:sz="4" w:space="0" w:color="auto"/>
              <w:bottom w:val="single" w:sz="4" w:space="0" w:color="auto"/>
              <w:right w:val="single" w:sz="4" w:space="0" w:color="auto"/>
            </w:tcBorders>
            <w:shd w:val="clear" w:color="000000" w:fill="FFFFFF"/>
            <w:noWrap/>
            <w:vAlign w:val="bottom"/>
            <w:hideMark/>
          </w:tcPr>
          <w:p w:rsidR="003453AB" w:rsidRPr="00D37E3F" w:rsidRDefault="003453AB">
            <w:pPr>
              <w:rPr>
                <w:rFonts w:ascii="Arial Narrow" w:hAnsi="Arial Narrow" w:cs="Arial"/>
                <w:b/>
                <w:bCs/>
                <w:color w:val="000000"/>
                <w:sz w:val="20"/>
                <w:szCs w:val="20"/>
              </w:rPr>
            </w:pPr>
            <w:r w:rsidRPr="00D37E3F">
              <w:rPr>
                <w:rFonts w:ascii="Arial Narrow" w:hAnsi="Arial Narrow" w:cs="Arial"/>
                <w:b/>
                <w:bCs/>
                <w:color w:val="000000"/>
                <w:sz w:val="20"/>
                <w:szCs w:val="20"/>
              </w:rPr>
              <w:t>Cost to Government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D37E3F" w:rsidRDefault="003453AB" w:rsidP="009C58AE">
            <w:pPr>
              <w:jc w:val="center"/>
              <w:rPr>
                <w:rFonts w:ascii="Arial Narrow" w:hAnsi="Arial Narrow" w:cs="Arial"/>
                <w:color w:val="000000"/>
                <w:sz w:val="20"/>
                <w:szCs w:val="20"/>
              </w:rPr>
            </w:pPr>
            <w:r w:rsidRPr="00D37E3F">
              <w:rPr>
                <w:rFonts w:ascii="Arial Narrow" w:hAnsi="Arial Narrow" w:cs="Arial"/>
                <w:color w:val="000000"/>
                <w:sz w:val="20"/>
                <w:szCs w:val="20"/>
              </w:rPr>
              <w:t>$</w:t>
            </w:r>
            <w:r w:rsidR="00406B58">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D37E3F" w:rsidRDefault="003453AB" w:rsidP="009C58AE">
            <w:pPr>
              <w:jc w:val="center"/>
              <w:rPr>
                <w:rFonts w:ascii="Arial Narrow" w:hAnsi="Arial Narrow" w:cs="Arial"/>
                <w:color w:val="000000"/>
                <w:sz w:val="20"/>
                <w:szCs w:val="20"/>
              </w:rPr>
            </w:pPr>
            <w:r w:rsidRPr="00D37E3F">
              <w:rPr>
                <w:rFonts w:ascii="Arial Narrow" w:hAnsi="Arial Narrow" w:cs="Arial"/>
                <w:color w:val="000000"/>
                <w:sz w:val="20"/>
                <w:szCs w:val="20"/>
              </w:rPr>
              <w:t>$</w:t>
            </w:r>
            <w:r w:rsidR="00406B58">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D37E3F" w:rsidRDefault="003453AB" w:rsidP="009C58AE">
            <w:pPr>
              <w:jc w:val="center"/>
              <w:rPr>
                <w:rFonts w:ascii="Arial Narrow" w:hAnsi="Arial Narrow" w:cs="Arial"/>
                <w:color w:val="000000"/>
                <w:sz w:val="20"/>
                <w:szCs w:val="20"/>
              </w:rPr>
            </w:pPr>
            <w:r w:rsidRPr="00D37E3F">
              <w:rPr>
                <w:rFonts w:ascii="Arial Narrow" w:hAnsi="Arial Narrow" w:cs="Arial"/>
                <w:color w:val="000000"/>
                <w:sz w:val="20"/>
                <w:szCs w:val="20"/>
              </w:rPr>
              <w:t>$</w:t>
            </w:r>
            <w:r w:rsidR="00406B58">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D37E3F" w:rsidRDefault="003453AB" w:rsidP="009C58AE">
            <w:pPr>
              <w:jc w:val="center"/>
              <w:rPr>
                <w:rFonts w:ascii="Arial Narrow" w:hAnsi="Arial Narrow" w:cs="Arial"/>
                <w:color w:val="000000"/>
                <w:sz w:val="20"/>
                <w:szCs w:val="20"/>
              </w:rPr>
            </w:pPr>
            <w:r w:rsidRPr="00D37E3F">
              <w:rPr>
                <w:rFonts w:ascii="Arial Narrow" w:hAnsi="Arial Narrow" w:cs="Arial"/>
                <w:color w:val="000000"/>
                <w:sz w:val="20"/>
                <w:szCs w:val="20"/>
              </w:rPr>
              <w:t>$</w:t>
            </w:r>
            <w:r w:rsidR="00406B58">
              <w:rPr>
                <w:rFonts w:ascii="Arial Narrow" w:hAnsi="Arial Narrow" w:cs="Arial"/>
                <w:noProof/>
                <w:color w:val="000000"/>
                <w:sz w:val="20"/>
                <w:szCs w:val="20"/>
                <w:highlight w:val="black"/>
              </w:rPr>
              <w:t>'''''''''''''''''''''''</w:t>
            </w:r>
          </w:p>
        </w:tc>
        <w:tc>
          <w:tcPr>
            <w:tcW w:w="627" w:type="pct"/>
            <w:tcBorders>
              <w:top w:val="nil"/>
              <w:left w:val="nil"/>
              <w:bottom w:val="single" w:sz="4" w:space="0" w:color="auto"/>
              <w:right w:val="single" w:sz="4" w:space="0" w:color="auto"/>
            </w:tcBorders>
            <w:shd w:val="clear" w:color="000000" w:fill="FFFFFF"/>
            <w:noWrap/>
            <w:vAlign w:val="bottom"/>
            <w:hideMark/>
          </w:tcPr>
          <w:p w:rsidR="003453AB" w:rsidRPr="00D37E3F" w:rsidRDefault="003453AB" w:rsidP="009C58AE">
            <w:pPr>
              <w:jc w:val="center"/>
              <w:rPr>
                <w:rFonts w:ascii="Arial Narrow" w:hAnsi="Arial Narrow" w:cs="Arial"/>
                <w:color w:val="000000"/>
                <w:sz w:val="20"/>
                <w:szCs w:val="20"/>
              </w:rPr>
            </w:pPr>
            <w:r w:rsidRPr="00D37E3F">
              <w:rPr>
                <w:rFonts w:ascii="Arial Narrow" w:hAnsi="Arial Narrow" w:cs="Arial"/>
                <w:color w:val="000000"/>
                <w:sz w:val="20"/>
                <w:szCs w:val="20"/>
              </w:rPr>
              <w:t>$</w:t>
            </w:r>
            <w:r w:rsidR="00406B58">
              <w:rPr>
                <w:rFonts w:ascii="Arial Narrow" w:hAnsi="Arial Narrow" w:cs="Arial"/>
                <w:noProof/>
                <w:color w:val="000000"/>
                <w:sz w:val="20"/>
                <w:szCs w:val="20"/>
                <w:highlight w:val="black"/>
              </w:rPr>
              <w:t>''''''''''''''''''''''''</w:t>
            </w:r>
          </w:p>
        </w:tc>
        <w:tc>
          <w:tcPr>
            <w:tcW w:w="695" w:type="pct"/>
            <w:tcBorders>
              <w:top w:val="nil"/>
              <w:left w:val="nil"/>
              <w:bottom w:val="single" w:sz="4" w:space="0" w:color="auto"/>
              <w:right w:val="single" w:sz="4" w:space="0" w:color="auto"/>
            </w:tcBorders>
            <w:shd w:val="clear" w:color="000000" w:fill="FFFFFF"/>
            <w:noWrap/>
            <w:vAlign w:val="bottom"/>
            <w:hideMark/>
          </w:tcPr>
          <w:p w:rsidR="003453AB" w:rsidRPr="00D37E3F" w:rsidRDefault="003453AB" w:rsidP="009C58AE">
            <w:pPr>
              <w:jc w:val="center"/>
              <w:rPr>
                <w:rFonts w:ascii="Arial Narrow" w:hAnsi="Arial Narrow" w:cs="Arial"/>
                <w:color w:val="000000"/>
                <w:sz w:val="20"/>
                <w:szCs w:val="20"/>
              </w:rPr>
            </w:pPr>
            <w:r w:rsidRPr="00D37E3F">
              <w:rPr>
                <w:rFonts w:ascii="Arial Narrow" w:hAnsi="Arial Narrow" w:cs="Arial"/>
                <w:color w:val="000000"/>
                <w:sz w:val="20"/>
                <w:szCs w:val="20"/>
              </w:rPr>
              <w:t>$</w:t>
            </w:r>
            <w:r w:rsidR="00406B58">
              <w:rPr>
                <w:rFonts w:ascii="Arial Narrow" w:hAnsi="Arial Narrow" w:cs="Arial"/>
                <w:noProof/>
                <w:color w:val="000000"/>
                <w:sz w:val="20"/>
                <w:szCs w:val="20"/>
                <w:highlight w:val="black"/>
              </w:rPr>
              <w:t>''''''''''''''''''''''</w:t>
            </w:r>
          </w:p>
        </w:tc>
      </w:tr>
    </w:tbl>
    <w:p w:rsidR="00DA5C40" w:rsidRPr="00DA5C40" w:rsidRDefault="00DA5C40" w:rsidP="00DA5C40">
      <w:pPr>
        <w:spacing w:after="120"/>
        <w:rPr>
          <w:rFonts w:asciiTheme="minorHAnsi" w:eastAsiaTheme="minorHAnsi" w:hAnsiTheme="minorHAnsi" w:cstheme="minorBidi"/>
          <w:szCs w:val="22"/>
        </w:rPr>
      </w:pPr>
    </w:p>
    <w:p w:rsidR="004021AC" w:rsidRPr="00D37E3F" w:rsidRDefault="00FF2801" w:rsidP="00E578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D37E3F">
        <w:rPr>
          <w:rFonts w:asciiTheme="minorHAnsi" w:eastAsiaTheme="minorHAnsi" w:hAnsiTheme="minorHAnsi" w:cstheme="minorBidi"/>
          <w:snapToGrid/>
          <w:sz w:val="24"/>
          <w:szCs w:val="22"/>
        </w:rPr>
        <w:t xml:space="preserve">The </w:t>
      </w:r>
      <w:r w:rsidR="00DF0496" w:rsidRPr="00D37E3F">
        <w:rPr>
          <w:rFonts w:asciiTheme="minorHAnsi" w:eastAsiaTheme="minorHAnsi" w:hAnsiTheme="minorHAnsi" w:cstheme="minorBidi"/>
          <w:snapToGrid/>
          <w:sz w:val="24"/>
          <w:szCs w:val="22"/>
        </w:rPr>
        <w:t>s</w:t>
      </w:r>
      <w:r w:rsidRPr="00D37E3F">
        <w:rPr>
          <w:rFonts w:asciiTheme="minorHAnsi" w:eastAsiaTheme="minorHAnsi" w:hAnsiTheme="minorHAnsi" w:cstheme="minorBidi"/>
          <w:snapToGrid/>
          <w:sz w:val="24"/>
          <w:szCs w:val="22"/>
        </w:rPr>
        <w:t>ubmission estimated</w:t>
      </w:r>
      <w:r w:rsidR="004021AC" w:rsidRPr="00D37E3F">
        <w:rPr>
          <w:rFonts w:asciiTheme="minorHAnsi" w:eastAsiaTheme="minorHAnsi" w:hAnsiTheme="minorHAnsi" w:cstheme="minorBidi"/>
          <w:snapToGrid/>
          <w:sz w:val="24"/>
          <w:szCs w:val="22"/>
        </w:rPr>
        <w:t xml:space="preserve"> a cumulative net cost to the PBS of </w:t>
      </w:r>
      <w:r w:rsidR="00F50F16">
        <w:rPr>
          <w:rFonts w:asciiTheme="minorHAnsi" w:eastAsiaTheme="minorHAnsi" w:hAnsiTheme="minorHAnsi" w:cstheme="minorBidi"/>
          <w:snapToGrid/>
          <w:sz w:val="24"/>
          <w:szCs w:val="22"/>
        </w:rPr>
        <w:t xml:space="preserve">less than $10 </w:t>
      </w:r>
      <w:r w:rsidR="000738ED">
        <w:rPr>
          <w:rFonts w:asciiTheme="minorHAnsi" w:eastAsiaTheme="minorHAnsi" w:hAnsiTheme="minorHAnsi" w:cstheme="minorBidi"/>
          <w:snapToGrid/>
          <w:sz w:val="24"/>
          <w:szCs w:val="22"/>
        </w:rPr>
        <w:t xml:space="preserve">million </w:t>
      </w:r>
      <w:r w:rsidR="000738ED" w:rsidRPr="00D37E3F">
        <w:rPr>
          <w:rFonts w:asciiTheme="minorHAnsi" w:eastAsiaTheme="minorHAnsi" w:hAnsiTheme="minorHAnsi" w:cstheme="minorBidi"/>
          <w:snapToGrid/>
          <w:sz w:val="24"/>
          <w:szCs w:val="22"/>
        </w:rPr>
        <w:t>over</w:t>
      </w:r>
      <w:r w:rsidR="00C00DA7" w:rsidRPr="00D37E3F">
        <w:rPr>
          <w:rFonts w:asciiTheme="minorHAnsi" w:eastAsiaTheme="minorHAnsi" w:hAnsiTheme="minorHAnsi" w:cstheme="minorBidi"/>
          <w:snapToGrid/>
          <w:sz w:val="24"/>
          <w:szCs w:val="22"/>
        </w:rPr>
        <w:t xml:space="preserve"> the first 5 years of listing.</w:t>
      </w:r>
    </w:p>
    <w:p w:rsidR="00C00DA7" w:rsidRPr="00D37E3F" w:rsidRDefault="004021AC" w:rsidP="00E578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D37E3F">
        <w:rPr>
          <w:rFonts w:asciiTheme="minorHAnsi" w:eastAsiaTheme="minorHAnsi" w:hAnsiTheme="minorHAnsi" w:cstheme="minorBidi"/>
          <w:snapToGrid/>
          <w:sz w:val="24"/>
          <w:szCs w:val="22"/>
        </w:rPr>
        <w:t xml:space="preserve">The revised estimates </w:t>
      </w:r>
      <w:r w:rsidR="00A60FE0" w:rsidRPr="00D37E3F">
        <w:rPr>
          <w:rFonts w:asciiTheme="minorHAnsi" w:eastAsiaTheme="minorHAnsi" w:hAnsiTheme="minorHAnsi" w:cstheme="minorBidi"/>
          <w:snapToGrid/>
          <w:sz w:val="24"/>
          <w:szCs w:val="22"/>
        </w:rPr>
        <w:t xml:space="preserve">estimate a </w:t>
      </w:r>
      <w:r w:rsidR="00861C41" w:rsidRPr="00D37E3F">
        <w:rPr>
          <w:rFonts w:asciiTheme="minorHAnsi" w:eastAsiaTheme="minorHAnsi" w:hAnsiTheme="minorHAnsi" w:cstheme="minorBidi"/>
          <w:snapToGrid/>
          <w:sz w:val="24"/>
          <w:szCs w:val="22"/>
        </w:rPr>
        <w:t xml:space="preserve">maximum </w:t>
      </w:r>
      <w:r w:rsidR="00A60FE0" w:rsidRPr="00D37E3F">
        <w:rPr>
          <w:rFonts w:asciiTheme="minorHAnsi" w:eastAsiaTheme="minorHAnsi" w:hAnsiTheme="minorHAnsi" w:cstheme="minorBidi"/>
          <w:snapToGrid/>
          <w:sz w:val="24"/>
          <w:szCs w:val="22"/>
        </w:rPr>
        <w:t xml:space="preserve">cumulative net cost to the PBS </w:t>
      </w:r>
      <w:r w:rsidR="00861C41" w:rsidRPr="00D37E3F">
        <w:rPr>
          <w:rFonts w:asciiTheme="minorHAnsi" w:eastAsiaTheme="minorHAnsi" w:hAnsiTheme="minorHAnsi" w:cstheme="minorBidi"/>
          <w:snapToGrid/>
          <w:sz w:val="24"/>
          <w:szCs w:val="22"/>
        </w:rPr>
        <w:t xml:space="preserve">of </w:t>
      </w:r>
      <w:r w:rsidR="00F50F16">
        <w:rPr>
          <w:rFonts w:asciiTheme="minorHAnsi" w:eastAsiaTheme="minorHAnsi" w:hAnsiTheme="minorHAnsi" w:cstheme="minorBidi"/>
          <w:snapToGrid/>
          <w:sz w:val="24"/>
          <w:szCs w:val="22"/>
        </w:rPr>
        <w:t>less than $10 million</w:t>
      </w:r>
      <w:r w:rsidR="00861C41" w:rsidRPr="00D37E3F">
        <w:rPr>
          <w:rFonts w:asciiTheme="minorHAnsi" w:eastAsiaTheme="minorHAnsi" w:hAnsiTheme="minorHAnsi" w:cstheme="minorBidi"/>
          <w:snapToGrid/>
          <w:sz w:val="24"/>
          <w:szCs w:val="22"/>
        </w:rPr>
        <w:t xml:space="preserve">, noting </w:t>
      </w:r>
      <w:r w:rsidR="00A60FE0" w:rsidRPr="00D37E3F">
        <w:rPr>
          <w:rFonts w:asciiTheme="minorHAnsi" w:eastAsiaTheme="minorHAnsi" w:hAnsiTheme="minorHAnsi" w:cstheme="minorBidi"/>
          <w:snapToGrid/>
          <w:sz w:val="24"/>
          <w:szCs w:val="22"/>
        </w:rPr>
        <w:t>this is unlikely to be realised owing to displacement of a large but unknown quantity of current prescription volume for this condition</w:t>
      </w:r>
      <w:r w:rsidR="00D37E3F">
        <w:rPr>
          <w:rFonts w:asciiTheme="minorHAnsi" w:eastAsiaTheme="minorHAnsi" w:hAnsiTheme="minorHAnsi" w:cstheme="minorBidi"/>
          <w:snapToGrid/>
          <w:sz w:val="24"/>
          <w:szCs w:val="22"/>
        </w:rPr>
        <w:t xml:space="preserve">. </w:t>
      </w:r>
    </w:p>
    <w:p w:rsidR="00DE40DF" w:rsidRPr="00D37E3F" w:rsidRDefault="00DE40DF" w:rsidP="00E57863">
      <w:pPr>
        <w:pStyle w:val="ListParagraph"/>
        <w:widowControl/>
        <w:spacing w:after="120"/>
        <w:contextualSpacing w:val="0"/>
        <w:rPr>
          <w:rFonts w:asciiTheme="minorHAnsi" w:eastAsiaTheme="minorHAnsi" w:hAnsiTheme="minorHAnsi" w:cstheme="minorBidi"/>
          <w:i/>
          <w:snapToGrid/>
          <w:sz w:val="24"/>
          <w:szCs w:val="22"/>
        </w:rPr>
      </w:pPr>
      <w:r w:rsidRPr="00D37E3F">
        <w:rPr>
          <w:rFonts w:asciiTheme="minorHAnsi" w:eastAsiaTheme="minorHAnsi" w:hAnsiTheme="minorHAnsi" w:cstheme="minorBidi"/>
          <w:i/>
          <w:snapToGrid/>
          <w:sz w:val="24"/>
          <w:szCs w:val="22"/>
        </w:rPr>
        <w:t xml:space="preserve">For more detail on PBAC’s view, see section </w:t>
      </w:r>
      <w:r w:rsidR="00AB58AF" w:rsidRPr="00D37E3F">
        <w:rPr>
          <w:rFonts w:asciiTheme="minorHAnsi" w:eastAsiaTheme="minorHAnsi" w:hAnsiTheme="minorHAnsi" w:cstheme="minorBidi"/>
          <w:i/>
          <w:snapToGrid/>
          <w:sz w:val="24"/>
          <w:szCs w:val="22"/>
        </w:rPr>
        <w:t>6</w:t>
      </w:r>
      <w:r w:rsidRPr="00D37E3F">
        <w:rPr>
          <w:rFonts w:asciiTheme="minorHAnsi" w:eastAsiaTheme="minorHAnsi" w:hAnsiTheme="minorHAnsi" w:cstheme="minorBidi"/>
          <w:i/>
          <w:snapToGrid/>
          <w:sz w:val="24"/>
          <w:szCs w:val="22"/>
        </w:rPr>
        <w:t xml:space="preserve"> PBAC outcome.</w:t>
      </w:r>
    </w:p>
    <w:p w:rsidR="00DE40DF" w:rsidRPr="00DA5C40" w:rsidRDefault="00DE40DF" w:rsidP="00DA5C40">
      <w:pPr>
        <w:pStyle w:val="PBACHeading1"/>
        <w:spacing w:before="240" w:after="120"/>
        <w:ind w:left="709" w:hanging="709"/>
        <w:rPr>
          <w:rFonts w:asciiTheme="minorHAnsi" w:hAnsiTheme="minorHAnsi"/>
          <w:sz w:val="32"/>
          <w:szCs w:val="32"/>
        </w:rPr>
      </w:pPr>
      <w:r w:rsidRPr="00D37E3F">
        <w:rPr>
          <w:rFonts w:asciiTheme="minorHAnsi" w:hAnsiTheme="minorHAnsi"/>
          <w:sz w:val="32"/>
          <w:szCs w:val="32"/>
        </w:rPr>
        <w:t>PBAC Outcome</w:t>
      </w:r>
    </w:p>
    <w:p w:rsidR="006372E7" w:rsidRPr="00954069" w:rsidRDefault="00320EE4" w:rsidP="006726D5">
      <w:pPr>
        <w:pStyle w:val="ListParagraph"/>
        <w:numPr>
          <w:ilvl w:val="1"/>
          <w:numId w:val="5"/>
        </w:numPr>
        <w:spacing w:after="120"/>
        <w:rPr>
          <w:rFonts w:asciiTheme="minorHAnsi" w:hAnsiTheme="minorHAnsi" w:cs="Times New Roman"/>
          <w:bCs/>
          <w:snapToGrid/>
          <w:sz w:val="24"/>
          <w:szCs w:val="24"/>
          <w:lang w:eastAsia="en-AU"/>
        </w:rPr>
      </w:pPr>
      <w:r w:rsidRPr="00954069">
        <w:rPr>
          <w:rFonts w:asciiTheme="minorHAnsi" w:hAnsiTheme="minorHAnsi" w:cs="Times New Roman"/>
          <w:bCs/>
          <w:snapToGrid/>
          <w:sz w:val="24"/>
          <w:szCs w:val="24"/>
          <w:lang w:eastAsia="en-AU"/>
        </w:rPr>
        <w:t>The PBAC recommended extending the PBS-listing of morphine</w:t>
      </w:r>
      <w:r w:rsidR="004C0EEF" w:rsidRPr="00954069">
        <w:rPr>
          <w:rFonts w:asciiTheme="minorHAnsi" w:hAnsiTheme="minorHAnsi" w:cs="Times New Roman"/>
          <w:bCs/>
          <w:snapToGrid/>
          <w:sz w:val="24"/>
          <w:szCs w:val="24"/>
          <w:lang w:eastAsia="en-AU"/>
        </w:rPr>
        <w:t xml:space="preserve"> modified release</w:t>
      </w:r>
      <w:r w:rsidR="006372E7" w:rsidRPr="00954069">
        <w:rPr>
          <w:rFonts w:asciiTheme="minorHAnsi" w:hAnsiTheme="minorHAnsi" w:cs="Times New Roman"/>
          <w:bCs/>
          <w:snapToGrid/>
          <w:sz w:val="24"/>
          <w:szCs w:val="24"/>
          <w:lang w:eastAsia="en-AU"/>
        </w:rPr>
        <w:t xml:space="preserve"> capsules</w:t>
      </w:r>
      <w:r w:rsidR="008557A6" w:rsidRPr="00954069">
        <w:rPr>
          <w:rFonts w:asciiTheme="minorHAnsi" w:hAnsiTheme="minorHAnsi" w:cs="Times New Roman"/>
          <w:bCs/>
          <w:snapToGrid/>
          <w:sz w:val="24"/>
          <w:szCs w:val="24"/>
          <w:lang w:eastAsia="en-AU"/>
        </w:rPr>
        <w:t xml:space="preserve"> (</w:t>
      </w:r>
      <w:proofErr w:type="spellStart"/>
      <w:r w:rsidR="008557A6" w:rsidRPr="00954069">
        <w:rPr>
          <w:rFonts w:asciiTheme="minorHAnsi" w:hAnsiTheme="minorHAnsi" w:cs="Times New Roman"/>
          <w:bCs/>
          <w:snapToGrid/>
          <w:sz w:val="24"/>
          <w:szCs w:val="24"/>
          <w:lang w:eastAsia="en-AU"/>
        </w:rPr>
        <w:t>Kapanol</w:t>
      </w:r>
      <w:proofErr w:type="spellEnd"/>
      <w:r w:rsidR="008557A6" w:rsidRPr="00954069">
        <w:rPr>
          <w:rFonts w:asciiTheme="minorHAnsi" w:hAnsiTheme="minorHAnsi" w:cs="Times New Roman"/>
          <w:bCs/>
          <w:snapToGrid/>
          <w:sz w:val="24"/>
          <w:szCs w:val="24"/>
          <w:lang w:eastAsia="en-AU"/>
        </w:rPr>
        <w:t>)</w:t>
      </w:r>
      <w:r w:rsidRPr="00954069">
        <w:rPr>
          <w:rFonts w:asciiTheme="minorHAnsi" w:hAnsiTheme="minorHAnsi" w:cs="Times New Roman"/>
          <w:bCs/>
          <w:snapToGrid/>
          <w:sz w:val="24"/>
          <w:szCs w:val="24"/>
          <w:lang w:eastAsia="en-AU"/>
        </w:rPr>
        <w:t xml:space="preserve"> to include the treatment of chronic breathlessness </w:t>
      </w:r>
      <w:r w:rsidR="006372E7" w:rsidRPr="00954069">
        <w:rPr>
          <w:rFonts w:asciiTheme="minorHAnsi" w:hAnsiTheme="minorHAnsi" w:cs="Times New Roman"/>
          <w:bCs/>
          <w:snapToGrid/>
          <w:sz w:val="24"/>
          <w:szCs w:val="24"/>
          <w:lang w:eastAsia="en-AU"/>
        </w:rPr>
        <w:t xml:space="preserve">for patients receiving palliative care, </w:t>
      </w:r>
      <w:r w:rsidRPr="00954069">
        <w:rPr>
          <w:rFonts w:asciiTheme="minorHAnsi" w:hAnsiTheme="minorHAnsi" w:cs="Times New Roman"/>
          <w:bCs/>
          <w:snapToGrid/>
          <w:sz w:val="24"/>
          <w:szCs w:val="24"/>
          <w:lang w:eastAsia="en-AU"/>
        </w:rPr>
        <w:t xml:space="preserve">as a restricted benefit listing on the Palliative Care </w:t>
      </w:r>
      <w:r w:rsidR="00A4139D" w:rsidRPr="00954069">
        <w:rPr>
          <w:rFonts w:asciiTheme="minorHAnsi" w:hAnsiTheme="minorHAnsi" w:cs="Times New Roman"/>
          <w:bCs/>
          <w:snapToGrid/>
          <w:sz w:val="24"/>
          <w:szCs w:val="24"/>
          <w:lang w:eastAsia="en-AU"/>
        </w:rPr>
        <w:t>S</w:t>
      </w:r>
      <w:r w:rsidRPr="00954069">
        <w:rPr>
          <w:rFonts w:asciiTheme="minorHAnsi" w:hAnsiTheme="minorHAnsi" w:cs="Times New Roman"/>
          <w:bCs/>
          <w:snapToGrid/>
          <w:sz w:val="24"/>
          <w:szCs w:val="24"/>
          <w:lang w:eastAsia="en-AU"/>
        </w:rPr>
        <w:t xml:space="preserve">chedule. The PBAC </w:t>
      </w:r>
      <w:r w:rsidR="00861C41" w:rsidRPr="00954069">
        <w:rPr>
          <w:rFonts w:asciiTheme="minorHAnsi" w:hAnsiTheme="minorHAnsi" w:cs="Times New Roman"/>
          <w:bCs/>
          <w:snapToGrid/>
          <w:sz w:val="24"/>
          <w:szCs w:val="24"/>
          <w:lang w:eastAsia="en-AU"/>
        </w:rPr>
        <w:t xml:space="preserve">was </w:t>
      </w:r>
      <w:r w:rsidRPr="00954069">
        <w:rPr>
          <w:rFonts w:asciiTheme="minorHAnsi" w:hAnsiTheme="minorHAnsi" w:cs="Times New Roman"/>
          <w:bCs/>
          <w:snapToGrid/>
          <w:sz w:val="24"/>
          <w:szCs w:val="24"/>
          <w:lang w:eastAsia="en-AU"/>
        </w:rPr>
        <w:t>satisfied that morphine provides</w:t>
      </w:r>
      <w:r w:rsidR="006372E7" w:rsidRPr="00954069">
        <w:rPr>
          <w:rFonts w:asciiTheme="minorHAnsi" w:hAnsiTheme="minorHAnsi" w:cs="Times New Roman"/>
          <w:bCs/>
          <w:snapToGrid/>
          <w:sz w:val="24"/>
          <w:szCs w:val="24"/>
          <w:lang w:eastAsia="en-AU"/>
        </w:rPr>
        <w:t>, for some patients, an</w:t>
      </w:r>
      <w:r w:rsidRPr="00954069">
        <w:rPr>
          <w:rFonts w:asciiTheme="minorHAnsi" w:hAnsiTheme="minorHAnsi" w:cs="Times New Roman"/>
          <w:bCs/>
          <w:snapToGrid/>
          <w:sz w:val="24"/>
          <w:szCs w:val="24"/>
          <w:lang w:eastAsia="en-AU"/>
        </w:rPr>
        <w:t xml:space="preserve"> </w:t>
      </w:r>
      <w:r w:rsidR="00861C41" w:rsidRPr="00954069">
        <w:rPr>
          <w:rFonts w:asciiTheme="minorHAnsi" w:hAnsiTheme="minorHAnsi" w:cs="Times New Roman"/>
          <w:bCs/>
          <w:snapToGrid/>
          <w:sz w:val="24"/>
          <w:szCs w:val="24"/>
          <w:lang w:eastAsia="en-AU"/>
        </w:rPr>
        <w:t>improve</w:t>
      </w:r>
      <w:r w:rsidR="006372E7" w:rsidRPr="00954069">
        <w:rPr>
          <w:rFonts w:asciiTheme="minorHAnsi" w:hAnsiTheme="minorHAnsi" w:cs="Times New Roman"/>
          <w:bCs/>
          <w:snapToGrid/>
          <w:sz w:val="24"/>
          <w:szCs w:val="24"/>
          <w:lang w:eastAsia="en-AU"/>
        </w:rPr>
        <w:t>ment in</w:t>
      </w:r>
      <w:r w:rsidR="00861C41" w:rsidRPr="00954069">
        <w:rPr>
          <w:rFonts w:asciiTheme="minorHAnsi" w:hAnsiTheme="minorHAnsi" w:cs="Times New Roman"/>
          <w:bCs/>
          <w:snapToGrid/>
          <w:sz w:val="24"/>
          <w:szCs w:val="24"/>
          <w:lang w:eastAsia="en-AU"/>
        </w:rPr>
        <w:t xml:space="preserve"> </w:t>
      </w:r>
      <w:r w:rsidRPr="00954069">
        <w:rPr>
          <w:rFonts w:asciiTheme="minorHAnsi" w:hAnsiTheme="minorHAnsi" w:cs="Times New Roman"/>
          <w:bCs/>
          <w:snapToGrid/>
          <w:sz w:val="24"/>
          <w:szCs w:val="24"/>
          <w:lang w:eastAsia="en-AU"/>
        </w:rPr>
        <w:t>efficacy over conventional care</w:t>
      </w:r>
      <w:r w:rsidR="008F140A" w:rsidRPr="00954069">
        <w:rPr>
          <w:rFonts w:asciiTheme="minorHAnsi" w:hAnsiTheme="minorHAnsi" w:cs="Times New Roman"/>
          <w:bCs/>
          <w:snapToGrid/>
          <w:sz w:val="24"/>
          <w:szCs w:val="24"/>
          <w:lang w:eastAsia="en-AU"/>
        </w:rPr>
        <w:t>, particularly in patients with severe symptoms.</w:t>
      </w:r>
      <w:r w:rsidR="006372E7" w:rsidRPr="00954069">
        <w:rPr>
          <w:rFonts w:asciiTheme="minorHAnsi" w:hAnsiTheme="minorHAnsi" w:cs="Times New Roman"/>
          <w:bCs/>
          <w:snapToGrid/>
          <w:sz w:val="24"/>
          <w:szCs w:val="24"/>
          <w:lang w:eastAsia="en-AU"/>
        </w:rPr>
        <w:t xml:space="preserve"> </w:t>
      </w:r>
    </w:p>
    <w:p w:rsidR="00024BC7" w:rsidRPr="00954069" w:rsidRDefault="006372E7" w:rsidP="00E57863">
      <w:pPr>
        <w:pStyle w:val="ListParagraph"/>
        <w:numPr>
          <w:ilvl w:val="1"/>
          <w:numId w:val="5"/>
        </w:numPr>
        <w:spacing w:after="120"/>
        <w:rPr>
          <w:rFonts w:asciiTheme="minorHAnsi" w:hAnsiTheme="minorHAnsi" w:cs="Times New Roman"/>
          <w:bCs/>
          <w:snapToGrid/>
          <w:sz w:val="24"/>
          <w:szCs w:val="24"/>
          <w:lang w:eastAsia="en-AU"/>
        </w:rPr>
      </w:pPr>
      <w:r w:rsidRPr="00954069">
        <w:rPr>
          <w:rFonts w:asciiTheme="minorHAnsi" w:hAnsiTheme="minorHAnsi" w:cs="Times New Roman"/>
          <w:bCs/>
          <w:snapToGrid/>
          <w:sz w:val="24"/>
          <w:szCs w:val="24"/>
          <w:lang w:eastAsia="en-AU"/>
        </w:rPr>
        <w:t xml:space="preserve">The PBAC considered that the proposed restriction was appropriate, and that both </w:t>
      </w:r>
      <w:r w:rsidR="00024BC7" w:rsidRPr="00954069">
        <w:rPr>
          <w:rFonts w:asciiTheme="minorHAnsi" w:hAnsiTheme="minorHAnsi" w:cs="Times New Roman"/>
          <w:bCs/>
          <w:snapToGrid/>
          <w:sz w:val="24"/>
          <w:szCs w:val="24"/>
          <w:lang w:eastAsia="en-AU"/>
        </w:rPr>
        <w:t xml:space="preserve">specialist palliative medicine physicians and general practitioners trained and experienced in treating palliative care patients would be appropriate to prescribe morphine for breathlessness. The PBAC noted that the TGA recently registered </w:t>
      </w:r>
      <w:proofErr w:type="spellStart"/>
      <w:r w:rsidR="00024BC7" w:rsidRPr="00954069">
        <w:rPr>
          <w:rFonts w:asciiTheme="minorHAnsi" w:hAnsiTheme="minorHAnsi" w:cs="Times New Roman"/>
          <w:bCs/>
          <w:snapToGrid/>
          <w:sz w:val="24"/>
          <w:szCs w:val="24"/>
          <w:lang w:eastAsia="en-AU"/>
        </w:rPr>
        <w:t>Kapanol</w:t>
      </w:r>
      <w:proofErr w:type="spellEnd"/>
      <w:r w:rsidR="00024BC7" w:rsidRPr="00954069">
        <w:rPr>
          <w:rFonts w:asciiTheme="minorHAnsi" w:hAnsiTheme="minorHAnsi" w:cs="Times New Roman"/>
          <w:bCs/>
          <w:snapToGrid/>
          <w:sz w:val="24"/>
          <w:szCs w:val="24"/>
          <w:lang w:eastAsia="en-AU"/>
        </w:rPr>
        <w:t xml:space="preserve"> for chronic breathle</w:t>
      </w:r>
      <w:r w:rsidR="00D37E3F">
        <w:rPr>
          <w:rFonts w:asciiTheme="minorHAnsi" w:hAnsiTheme="minorHAnsi" w:cs="Times New Roman"/>
          <w:bCs/>
          <w:snapToGrid/>
          <w:sz w:val="24"/>
          <w:szCs w:val="24"/>
          <w:lang w:eastAsia="en-AU"/>
        </w:rPr>
        <w:t>ss</w:t>
      </w:r>
      <w:r w:rsidR="00024BC7" w:rsidRPr="00954069">
        <w:rPr>
          <w:rFonts w:asciiTheme="minorHAnsi" w:hAnsiTheme="minorHAnsi" w:cs="Times New Roman"/>
          <w:bCs/>
          <w:snapToGrid/>
          <w:sz w:val="24"/>
          <w:szCs w:val="24"/>
          <w:lang w:eastAsia="en-AU"/>
        </w:rPr>
        <w:t>ness and that the proposed listing on the Palliative Care schedule is consistent with approved indication.</w:t>
      </w:r>
    </w:p>
    <w:p w:rsidR="008F140A" w:rsidRPr="00954069" w:rsidRDefault="008F140A" w:rsidP="00E57863">
      <w:pPr>
        <w:pStyle w:val="ListParagraph"/>
        <w:numPr>
          <w:ilvl w:val="1"/>
          <w:numId w:val="5"/>
        </w:numPr>
        <w:spacing w:after="120"/>
        <w:rPr>
          <w:rFonts w:asciiTheme="minorHAnsi" w:hAnsiTheme="minorHAnsi" w:cs="Times New Roman"/>
          <w:bCs/>
          <w:snapToGrid/>
          <w:sz w:val="24"/>
          <w:szCs w:val="24"/>
          <w:lang w:eastAsia="en-AU"/>
        </w:rPr>
      </w:pPr>
      <w:r w:rsidRPr="00954069">
        <w:rPr>
          <w:rFonts w:asciiTheme="minorHAnsi" w:hAnsiTheme="minorHAnsi" w:cs="Times New Roman"/>
          <w:bCs/>
          <w:snapToGrid/>
          <w:sz w:val="24"/>
          <w:szCs w:val="24"/>
          <w:lang w:eastAsia="en-AU"/>
        </w:rPr>
        <w:t>The PBAC considered the advice provided from the Palliative Care Clinical Studies Collaborative (</w:t>
      </w:r>
      <w:proofErr w:type="spellStart"/>
      <w:r w:rsidRPr="00954069">
        <w:rPr>
          <w:rFonts w:asciiTheme="minorHAnsi" w:hAnsiTheme="minorHAnsi" w:cs="Times New Roman"/>
          <w:bCs/>
          <w:snapToGrid/>
          <w:sz w:val="24"/>
          <w:szCs w:val="24"/>
          <w:lang w:eastAsia="en-AU"/>
        </w:rPr>
        <w:t>PaCCSC</w:t>
      </w:r>
      <w:proofErr w:type="spellEnd"/>
      <w:r w:rsidRPr="00954069">
        <w:rPr>
          <w:rFonts w:asciiTheme="minorHAnsi" w:hAnsiTheme="minorHAnsi" w:cs="Times New Roman"/>
          <w:bCs/>
          <w:snapToGrid/>
          <w:sz w:val="24"/>
          <w:szCs w:val="24"/>
          <w:lang w:eastAsia="en-AU"/>
        </w:rPr>
        <w:t xml:space="preserve">) about Australian use of </w:t>
      </w:r>
      <w:r w:rsidRPr="00954069">
        <w:rPr>
          <w:rFonts w:asciiTheme="minorHAnsi" w:hAnsiTheme="minorHAnsi" w:cs="Times New Roman"/>
          <w:bCs/>
          <w:snapToGrid/>
          <w:color w:val="000000" w:themeColor="text1"/>
          <w:sz w:val="24"/>
          <w:szCs w:val="24"/>
          <w:lang w:eastAsia="en-AU"/>
        </w:rPr>
        <w:t>morphine for breathlessness in palliative care patients</w:t>
      </w:r>
      <w:r w:rsidR="007231D2" w:rsidRPr="00954069">
        <w:rPr>
          <w:rFonts w:asciiTheme="minorHAnsi" w:hAnsiTheme="minorHAnsi" w:cs="Times New Roman"/>
          <w:bCs/>
          <w:snapToGrid/>
          <w:color w:val="000000" w:themeColor="text1"/>
          <w:sz w:val="24"/>
          <w:szCs w:val="24"/>
          <w:lang w:eastAsia="en-AU"/>
        </w:rPr>
        <w:t>, noting that</w:t>
      </w:r>
      <w:r w:rsidRPr="00954069">
        <w:rPr>
          <w:rFonts w:asciiTheme="minorHAnsi" w:hAnsiTheme="minorHAnsi" w:cs="Times New Roman"/>
          <w:bCs/>
          <w:snapToGrid/>
          <w:color w:val="000000" w:themeColor="text1"/>
          <w:sz w:val="24"/>
          <w:szCs w:val="24"/>
          <w:lang w:eastAsia="en-AU"/>
        </w:rPr>
        <w:t xml:space="preserve"> </w:t>
      </w:r>
      <w:proofErr w:type="spellStart"/>
      <w:r w:rsidRPr="00954069">
        <w:rPr>
          <w:rFonts w:asciiTheme="minorHAnsi" w:hAnsiTheme="minorHAnsi" w:cs="Times New Roman"/>
          <w:bCs/>
          <w:snapToGrid/>
          <w:color w:val="000000" w:themeColor="text1"/>
          <w:sz w:val="24"/>
          <w:szCs w:val="24"/>
          <w:lang w:eastAsia="en-AU"/>
        </w:rPr>
        <w:t>PaCCSC</w:t>
      </w:r>
      <w:proofErr w:type="spellEnd"/>
      <w:r w:rsidRPr="00954069">
        <w:rPr>
          <w:rFonts w:asciiTheme="minorHAnsi" w:hAnsiTheme="minorHAnsi" w:cs="Times New Roman"/>
          <w:bCs/>
          <w:snapToGrid/>
          <w:color w:val="000000" w:themeColor="text1"/>
          <w:sz w:val="24"/>
          <w:szCs w:val="24"/>
          <w:lang w:eastAsia="en-AU"/>
        </w:rPr>
        <w:t xml:space="preserve"> was in full support</w:t>
      </w:r>
      <w:r w:rsidRPr="00954069">
        <w:rPr>
          <w:rFonts w:asciiTheme="minorHAnsi" w:hAnsiTheme="minorHAnsi" w:cs="Times New Roman"/>
          <w:bCs/>
          <w:snapToGrid/>
          <w:sz w:val="24"/>
          <w:szCs w:val="24"/>
          <w:lang w:eastAsia="en-AU"/>
        </w:rPr>
        <w:t xml:space="preserve"> of this submission.</w:t>
      </w:r>
    </w:p>
    <w:p w:rsidR="008F140A" w:rsidRPr="00954069" w:rsidRDefault="008F140A" w:rsidP="00E57863">
      <w:pPr>
        <w:pStyle w:val="ListParagraph"/>
        <w:numPr>
          <w:ilvl w:val="1"/>
          <w:numId w:val="5"/>
        </w:numPr>
        <w:spacing w:after="120"/>
        <w:rPr>
          <w:rFonts w:asciiTheme="minorHAnsi" w:hAnsiTheme="minorHAnsi" w:cs="Times New Roman"/>
          <w:bCs/>
          <w:snapToGrid/>
          <w:sz w:val="24"/>
          <w:szCs w:val="24"/>
          <w:lang w:eastAsia="en-AU"/>
        </w:rPr>
      </w:pPr>
      <w:r w:rsidRPr="00954069">
        <w:rPr>
          <w:rFonts w:asciiTheme="minorHAnsi" w:hAnsiTheme="minorHAnsi" w:cs="Times New Roman"/>
          <w:bCs/>
          <w:snapToGrid/>
          <w:sz w:val="24"/>
          <w:szCs w:val="24"/>
          <w:lang w:eastAsia="en-AU"/>
        </w:rPr>
        <w:t xml:space="preserve">The PBAC considered there was a clinical need for treatment in patients requiring symptomatic relief from chronic breathlessness and that recent </w:t>
      </w:r>
      <w:r w:rsidR="00A028BB" w:rsidRPr="00954069">
        <w:rPr>
          <w:rFonts w:asciiTheme="minorHAnsi" w:hAnsiTheme="minorHAnsi" w:cs="Times New Roman"/>
          <w:bCs/>
          <w:snapToGrid/>
          <w:sz w:val="24"/>
          <w:szCs w:val="24"/>
          <w:lang w:eastAsia="en-AU"/>
        </w:rPr>
        <w:t xml:space="preserve">experience </w:t>
      </w:r>
      <w:r w:rsidRPr="00954069">
        <w:rPr>
          <w:rFonts w:asciiTheme="minorHAnsi" w:hAnsiTheme="minorHAnsi" w:cs="Times New Roman"/>
          <w:bCs/>
          <w:snapToGrid/>
          <w:sz w:val="24"/>
          <w:szCs w:val="24"/>
          <w:lang w:eastAsia="en-AU"/>
        </w:rPr>
        <w:t>of</w:t>
      </w:r>
      <w:r w:rsidR="00A028BB" w:rsidRPr="00954069">
        <w:rPr>
          <w:rFonts w:asciiTheme="minorHAnsi" w:hAnsiTheme="minorHAnsi" w:cs="Times New Roman"/>
          <w:bCs/>
          <w:snapToGrid/>
          <w:sz w:val="24"/>
          <w:szCs w:val="24"/>
          <w:lang w:eastAsia="en-AU"/>
        </w:rPr>
        <w:t xml:space="preserve"> using morphine</w:t>
      </w:r>
      <w:r w:rsidRPr="00954069">
        <w:rPr>
          <w:rFonts w:asciiTheme="minorHAnsi" w:hAnsiTheme="minorHAnsi" w:cs="Times New Roman"/>
          <w:bCs/>
          <w:snapToGrid/>
          <w:sz w:val="24"/>
          <w:szCs w:val="24"/>
          <w:lang w:eastAsia="en-AU"/>
        </w:rPr>
        <w:t xml:space="preserve"> in clinical practice in Australia for managing this condition had been informative</w:t>
      </w:r>
      <w:r w:rsidR="0057455E" w:rsidRPr="00954069">
        <w:rPr>
          <w:rFonts w:asciiTheme="minorHAnsi" w:hAnsiTheme="minorHAnsi" w:cs="Times New Roman"/>
          <w:bCs/>
          <w:snapToGrid/>
          <w:sz w:val="24"/>
          <w:szCs w:val="24"/>
          <w:lang w:eastAsia="en-AU"/>
        </w:rPr>
        <w:t xml:space="preserve"> to PBAC’s decision</w:t>
      </w:r>
      <w:r w:rsidRPr="00954069">
        <w:rPr>
          <w:rFonts w:asciiTheme="minorHAnsi" w:hAnsiTheme="minorHAnsi" w:cs="Times New Roman"/>
          <w:bCs/>
          <w:snapToGrid/>
          <w:sz w:val="24"/>
          <w:szCs w:val="24"/>
          <w:lang w:eastAsia="en-AU"/>
        </w:rPr>
        <w:t xml:space="preserve">. </w:t>
      </w:r>
    </w:p>
    <w:p w:rsidR="008F140A" w:rsidRPr="00954069" w:rsidRDefault="008F140A" w:rsidP="00E57863">
      <w:pPr>
        <w:pStyle w:val="ListParagraph"/>
        <w:numPr>
          <w:ilvl w:val="1"/>
          <w:numId w:val="5"/>
        </w:numPr>
        <w:spacing w:after="120"/>
        <w:rPr>
          <w:rFonts w:asciiTheme="minorHAnsi" w:hAnsiTheme="minorHAnsi" w:cs="Times New Roman"/>
          <w:bCs/>
          <w:snapToGrid/>
          <w:sz w:val="24"/>
          <w:szCs w:val="24"/>
          <w:lang w:eastAsia="en-AU"/>
        </w:rPr>
      </w:pPr>
      <w:r w:rsidRPr="00954069">
        <w:rPr>
          <w:rFonts w:asciiTheme="minorHAnsi" w:hAnsiTheme="minorHAnsi" w:cs="Times New Roman"/>
          <w:bCs/>
          <w:snapToGrid/>
          <w:sz w:val="24"/>
          <w:szCs w:val="24"/>
          <w:lang w:eastAsia="en-AU"/>
        </w:rPr>
        <w:t xml:space="preserve">The PBAC considered there was considerable uncertainty in relation to the evidence provided in the submission, in particular as to whether the magnitude of treatment effect as measured in the studies would translate to clinically significant improvements in symptoms. </w:t>
      </w:r>
      <w:r w:rsidR="0057455E" w:rsidRPr="00954069">
        <w:rPr>
          <w:rFonts w:asciiTheme="minorHAnsi" w:hAnsiTheme="minorHAnsi" w:cs="Times New Roman"/>
          <w:bCs/>
          <w:snapToGrid/>
          <w:sz w:val="24"/>
          <w:szCs w:val="24"/>
          <w:lang w:eastAsia="en-AU"/>
        </w:rPr>
        <w:t>However, noting expert clinician support for the listing, on balance the PBAC</w:t>
      </w:r>
      <w:r w:rsidRPr="00954069">
        <w:rPr>
          <w:rFonts w:asciiTheme="minorHAnsi" w:hAnsiTheme="minorHAnsi" w:cs="Times New Roman"/>
          <w:bCs/>
          <w:snapToGrid/>
          <w:sz w:val="24"/>
          <w:szCs w:val="24"/>
          <w:lang w:eastAsia="en-AU"/>
        </w:rPr>
        <w:t xml:space="preserve"> considered </w:t>
      </w:r>
      <w:r w:rsidR="00A028BB" w:rsidRPr="00954069">
        <w:rPr>
          <w:rFonts w:asciiTheme="minorHAnsi" w:hAnsiTheme="minorHAnsi" w:cs="Times New Roman"/>
          <w:bCs/>
          <w:snapToGrid/>
          <w:sz w:val="24"/>
          <w:szCs w:val="24"/>
          <w:lang w:eastAsia="en-AU"/>
        </w:rPr>
        <w:t xml:space="preserve">that listing </w:t>
      </w:r>
      <w:r w:rsidRPr="00954069">
        <w:rPr>
          <w:rFonts w:asciiTheme="minorHAnsi" w:hAnsiTheme="minorHAnsi" w:cs="Times New Roman"/>
          <w:bCs/>
          <w:snapToGrid/>
          <w:sz w:val="24"/>
          <w:szCs w:val="24"/>
          <w:lang w:eastAsia="en-AU"/>
        </w:rPr>
        <w:t xml:space="preserve">would be appropriate if limited to patients </w:t>
      </w:r>
      <w:r w:rsidRPr="00954069">
        <w:rPr>
          <w:rFonts w:asciiTheme="minorHAnsi" w:hAnsiTheme="minorHAnsi" w:cs="Times New Roman"/>
          <w:bCs/>
          <w:snapToGrid/>
          <w:sz w:val="24"/>
          <w:szCs w:val="24"/>
          <w:lang w:eastAsia="en-AU"/>
        </w:rPr>
        <w:lastRenderedPageBreak/>
        <w:t>in a palliative care setting as requested in the submission.</w:t>
      </w:r>
    </w:p>
    <w:p w:rsidR="0014170D" w:rsidRPr="00954069" w:rsidRDefault="0014170D" w:rsidP="00E57863">
      <w:pPr>
        <w:pStyle w:val="ListParagraph"/>
        <w:numPr>
          <w:ilvl w:val="1"/>
          <w:numId w:val="5"/>
        </w:numPr>
        <w:spacing w:after="120"/>
        <w:rPr>
          <w:rFonts w:asciiTheme="minorHAnsi" w:hAnsiTheme="minorHAnsi" w:cs="Times New Roman"/>
          <w:bCs/>
          <w:snapToGrid/>
          <w:sz w:val="24"/>
          <w:szCs w:val="24"/>
          <w:lang w:eastAsia="en-AU"/>
        </w:rPr>
      </w:pPr>
      <w:r w:rsidRPr="00954069">
        <w:rPr>
          <w:rFonts w:asciiTheme="minorHAnsi" w:hAnsiTheme="minorHAnsi" w:cs="Times New Roman"/>
          <w:bCs/>
          <w:snapToGrid/>
          <w:sz w:val="24"/>
          <w:szCs w:val="24"/>
          <w:lang w:eastAsia="en-AU"/>
        </w:rPr>
        <w:t xml:space="preserve">The PBAC noted that </w:t>
      </w:r>
      <w:proofErr w:type="spellStart"/>
      <w:r w:rsidR="000C77FF" w:rsidRPr="00954069">
        <w:rPr>
          <w:rFonts w:asciiTheme="minorHAnsi" w:hAnsiTheme="minorHAnsi" w:cs="Times New Roman"/>
          <w:bCs/>
          <w:snapToGrid/>
          <w:sz w:val="24"/>
          <w:szCs w:val="24"/>
          <w:lang w:eastAsia="en-AU"/>
        </w:rPr>
        <w:t>Kapanol</w:t>
      </w:r>
      <w:proofErr w:type="spellEnd"/>
      <w:r w:rsidR="000C77FF" w:rsidRPr="00954069">
        <w:rPr>
          <w:rFonts w:asciiTheme="minorHAnsi" w:hAnsiTheme="minorHAnsi" w:cs="Times New Roman"/>
          <w:bCs/>
          <w:snapToGrid/>
          <w:sz w:val="24"/>
          <w:szCs w:val="24"/>
          <w:lang w:eastAsia="en-AU"/>
        </w:rPr>
        <w:t xml:space="preserve"> is </w:t>
      </w:r>
      <w:r w:rsidRPr="00954069">
        <w:rPr>
          <w:rFonts w:asciiTheme="minorHAnsi" w:hAnsiTheme="minorHAnsi" w:cs="Times New Roman"/>
          <w:bCs/>
          <w:snapToGrid/>
          <w:sz w:val="24"/>
          <w:szCs w:val="24"/>
          <w:lang w:eastAsia="en-AU"/>
        </w:rPr>
        <w:t xml:space="preserve">already listed on the PBS as a restricted benefit on the General Schedule for chronic pain and that </w:t>
      </w:r>
      <w:r w:rsidR="000C77FF" w:rsidRPr="00954069">
        <w:rPr>
          <w:rFonts w:asciiTheme="minorHAnsi" w:hAnsiTheme="minorHAnsi" w:cs="Times New Roman"/>
          <w:bCs/>
          <w:snapToGrid/>
          <w:sz w:val="24"/>
          <w:szCs w:val="24"/>
          <w:lang w:eastAsia="en-AU"/>
        </w:rPr>
        <w:t xml:space="preserve">the </w:t>
      </w:r>
      <w:r w:rsidR="00807434" w:rsidRPr="00954069">
        <w:rPr>
          <w:rFonts w:asciiTheme="minorHAnsi" w:hAnsiTheme="minorHAnsi" w:cs="Times New Roman"/>
          <w:bCs/>
          <w:snapToGrid/>
          <w:sz w:val="24"/>
          <w:szCs w:val="24"/>
          <w:lang w:eastAsia="en-AU"/>
        </w:rPr>
        <w:t xml:space="preserve">submission </w:t>
      </w:r>
      <w:r w:rsidRPr="00954069">
        <w:rPr>
          <w:rFonts w:asciiTheme="minorHAnsi" w:hAnsiTheme="minorHAnsi" w:cs="Times New Roman"/>
          <w:bCs/>
          <w:snapToGrid/>
          <w:sz w:val="24"/>
          <w:szCs w:val="24"/>
          <w:lang w:eastAsia="en-AU"/>
        </w:rPr>
        <w:t xml:space="preserve">has requested the same price for chronic breathlessness. </w:t>
      </w:r>
      <w:r w:rsidR="00022736" w:rsidRPr="00954069">
        <w:rPr>
          <w:rFonts w:asciiTheme="minorHAnsi" w:hAnsiTheme="minorHAnsi" w:cs="Times New Roman"/>
          <w:bCs/>
          <w:snapToGrid/>
          <w:sz w:val="24"/>
          <w:szCs w:val="24"/>
          <w:lang w:eastAsia="en-AU"/>
        </w:rPr>
        <w:t xml:space="preserve">The PBAC </w:t>
      </w:r>
      <w:r w:rsidR="004C0EEF" w:rsidRPr="00954069">
        <w:rPr>
          <w:rFonts w:asciiTheme="minorHAnsi" w:hAnsiTheme="minorHAnsi" w:cs="Times New Roman"/>
          <w:bCs/>
          <w:snapToGrid/>
          <w:sz w:val="24"/>
          <w:szCs w:val="24"/>
          <w:lang w:eastAsia="en-AU"/>
        </w:rPr>
        <w:t xml:space="preserve">considered that this was an appropriate pricing approach for the extended indication. </w:t>
      </w:r>
    </w:p>
    <w:p w:rsidR="00746EF9" w:rsidRPr="00D37E3F" w:rsidRDefault="00DE40DF" w:rsidP="00E57863">
      <w:pPr>
        <w:pStyle w:val="ListParagraph"/>
        <w:numPr>
          <w:ilvl w:val="1"/>
          <w:numId w:val="5"/>
        </w:numPr>
        <w:spacing w:after="120"/>
        <w:rPr>
          <w:rStyle w:val="CommentReference"/>
          <w:rFonts w:ascii="Times New Roman" w:hAnsi="Times New Roman" w:cs="Times New Roman"/>
          <w:snapToGrid/>
          <w:lang w:eastAsia="en-AU"/>
        </w:rPr>
      </w:pPr>
      <w:r w:rsidRPr="00954069">
        <w:rPr>
          <w:rFonts w:asciiTheme="minorHAnsi" w:hAnsiTheme="minorHAnsi" w:cs="Times New Roman"/>
          <w:bCs/>
          <w:snapToGrid/>
          <w:sz w:val="24"/>
          <w:szCs w:val="24"/>
          <w:lang w:eastAsia="en-AU"/>
        </w:rPr>
        <w:t xml:space="preserve">The PBAC noted the uncertainties around the </w:t>
      </w:r>
      <w:r w:rsidR="00BB39D7" w:rsidRPr="00954069">
        <w:rPr>
          <w:rFonts w:asciiTheme="minorHAnsi" w:hAnsiTheme="minorHAnsi" w:cs="Times New Roman"/>
          <w:bCs/>
          <w:snapToGrid/>
          <w:sz w:val="24"/>
          <w:szCs w:val="24"/>
          <w:lang w:eastAsia="en-AU"/>
        </w:rPr>
        <w:t xml:space="preserve">submission’s </w:t>
      </w:r>
      <w:r w:rsidRPr="00954069">
        <w:rPr>
          <w:rFonts w:asciiTheme="minorHAnsi" w:hAnsiTheme="minorHAnsi" w:cs="Times New Roman"/>
          <w:bCs/>
          <w:snapToGrid/>
          <w:sz w:val="24"/>
          <w:szCs w:val="24"/>
          <w:lang w:eastAsia="en-AU"/>
        </w:rPr>
        <w:t>estimates</w:t>
      </w:r>
      <w:r w:rsidR="0057455E" w:rsidRPr="00954069">
        <w:rPr>
          <w:rFonts w:asciiTheme="minorHAnsi" w:hAnsiTheme="minorHAnsi" w:cs="Times New Roman"/>
          <w:bCs/>
          <w:snapToGrid/>
          <w:sz w:val="24"/>
          <w:szCs w:val="24"/>
          <w:lang w:eastAsia="en-AU"/>
        </w:rPr>
        <w:t xml:space="preserve"> of utilisation and financial implication</w:t>
      </w:r>
      <w:r w:rsidR="00E817D5" w:rsidRPr="00954069">
        <w:rPr>
          <w:rFonts w:asciiTheme="minorHAnsi" w:hAnsiTheme="minorHAnsi" w:cs="Times New Roman"/>
          <w:bCs/>
          <w:snapToGrid/>
          <w:sz w:val="24"/>
          <w:szCs w:val="24"/>
          <w:lang w:eastAsia="en-AU"/>
        </w:rPr>
        <w:t xml:space="preserve"> due to the</w:t>
      </w:r>
      <w:r w:rsidR="00746EF9" w:rsidRPr="00954069">
        <w:rPr>
          <w:rFonts w:asciiTheme="minorHAnsi" w:hAnsiTheme="minorHAnsi" w:cs="Times New Roman"/>
          <w:bCs/>
          <w:snapToGrid/>
          <w:sz w:val="24"/>
          <w:szCs w:val="24"/>
          <w:lang w:eastAsia="en-AU"/>
        </w:rPr>
        <w:t xml:space="preserve"> lack of justification provided for the estimated 15% increase in use.</w:t>
      </w:r>
      <w:r w:rsidR="00E817D5" w:rsidRPr="00954069">
        <w:rPr>
          <w:rFonts w:asciiTheme="minorHAnsi" w:hAnsiTheme="minorHAnsi" w:cs="Times New Roman"/>
          <w:bCs/>
          <w:snapToGrid/>
          <w:sz w:val="24"/>
          <w:szCs w:val="24"/>
          <w:lang w:eastAsia="en-AU"/>
        </w:rPr>
        <w:t xml:space="preserve"> </w:t>
      </w:r>
      <w:r w:rsidR="00BB39D7" w:rsidRPr="00954069">
        <w:rPr>
          <w:rFonts w:asciiTheme="minorHAnsi" w:hAnsiTheme="minorHAnsi" w:cs="Times New Roman"/>
          <w:bCs/>
          <w:snapToGrid/>
          <w:sz w:val="24"/>
          <w:szCs w:val="24"/>
          <w:lang w:eastAsia="en-AU"/>
        </w:rPr>
        <w:t xml:space="preserve">The PBAC </w:t>
      </w:r>
      <w:r w:rsidRPr="00954069">
        <w:rPr>
          <w:rFonts w:asciiTheme="minorHAnsi" w:hAnsiTheme="minorHAnsi" w:cs="Times New Roman"/>
          <w:bCs/>
          <w:snapToGrid/>
          <w:sz w:val="24"/>
          <w:szCs w:val="24"/>
          <w:lang w:eastAsia="en-AU"/>
        </w:rPr>
        <w:t xml:space="preserve">considered </w:t>
      </w:r>
      <w:r w:rsidR="00BB39D7" w:rsidRPr="00954069">
        <w:rPr>
          <w:rFonts w:asciiTheme="minorHAnsi" w:hAnsiTheme="minorHAnsi" w:cs="Times New Roman"/>
          <w:bCs/>
          <w:snapToGrid/>
          <w:sz w:val="24"/>
          <w:szCs w:val="24"/>
          <w:lang w:eastAsia="en-AU"/>
        </w:rPr>
        <w:t xml:space="preserve">the Department’s revised estimates </w:t>
      </w:r>
      <w:r w:rsidR="00C416D9" w:rsidRPr="00954069">
        <w:rPr>
          <w:rFonts w:asciiTheme="minorHAnsi" w:hAnsiTheme="minorHAnsi" w:cs="Times New Roman"/>
          <w:bCs/>
          <w:snapToGrid/>
          <w:sz w:val="24"/>
          <w:szCs w:val="24"/>
          <w:lang w:eastAsia="en-AU"/>
        </w:rPr>
        <w:t>reflect</w:t>
      </w:r>
      <w:r w:rsidR="00746EF9" w:rsidRPr="00954069">
        <w:rPr>
          <w:rFonts w:asciiTheme="minorHAnsi" w:hAnsiTheme="minorHAnsi" w:cs="Times New Roman"/>
          <w:bCs/>
          <w:snapToGrid/>
          <w:sz w:val="24"/>
          <w:szCs w:val="24"/>
          <w:lang w:eastAsia="en-AU"/>
        </w:rPr>
        <w:t>ed</w:t>
      </w:r>
      <w:r w:rsidR="00C416D9" w:rsidRPr="00954069">
        <w:rPr>
          <w:rFonts w:asciiTheme="minorHAnsi" w:hAnsiTheme="minorHAnsi" w:cs="Times New Roman"/>
          <w:bCs/>
          <w:snapToGrid/>
          <w:sz w:val="24"/>
          <w:szCs w:val="24"/>
          <w:lang w:eastAsia="en-AU"/>
        </w:rPr>
        <w:t xml:space="preserve"> the </w:t>
      </w:r>
      <w:r w:rsidR="00703579" w:rsidRPr="00954069">
        <w:rPr>
          <w:rFonts w:asciiTheme="minorHAnsi" w:hAnsiTheme="minorHAnsi" w:cs="Times New Roman"/>
          <w:bCs/>
          <w:snapToGrid/>
          <w:sz w:val="24"/>
          <w:szCs w:val="24"/>
          <w:lang w:eastAsia="en-AU"/>
        </w:rPr>
        <w:t>upper limit of the likely</w:t>
      </w:r>
      <w:r w:rsidR="0057455E" w:rsidRPr="00954069">
        <w:rPr>
          <w:rFonts w:asciiTheme="minorHAnsi" w:hAnsiTheme="minorHAnsi" w:cs="Times New Roman"/>
          <w:bCs/>
          <w:snapToGrid/>
          <w:sz w:val="24"/>
          <w:szCs w:val="24"/>
          <w:lang w:eastAsia="en-AU"/>
        </w:rPr>
        <w:t xml:space="preserve"> financial</w:t>
      </w:r>
      <w:r w:rsidR="00703579" w:rsidRPr="00954069">
        <w:rPr>
          <w:rFonts w:asciiTheme="minorHAnsi" w:hAnsiTheme="minorHAnsi" w:cs="Times New Roman"/>
          <w:bCs/>
          <w:snapToGrid/>
          <w:sz w:val="24"/>
          <w:szCs w:val="24"/>
          <w:lang w:eastAsia="en-AU"/>
        </w:rPr>
        <w:t xml:space="preserve"> impact </w:t>
      </w:r>
      <w:r w:rsidR="00BB39D7" w:rsidRPr="00954069">
        <w:rPr>
          <w:rFonts w:asciiTheme="minorHAnsi" w:hAnsiTheme="minorHAnsi" w:cs="Times New Roman"/>
          <w:bCs/>
          <w:snapToGrid/>
          <w:sz w:val="24"/>
          <w:szCs w:val="24"/>
          <w:lang w:eastAsia="en-AU"/>
        </w:rPr>
        <w:t>to the PBS</w:t>
      </w:r>
      <w:r w:rsidR="00746EF9" w:rsidRPr="00954069">
        <w:rPr>
          <w:rFonts w:asciiTheme="minorHAnsi" w:hAnsiTheme="minorHAnsi" w:cs="Times New Roman"/>
          <w:bCs/>
          <w:snapToGrid/>
          <w:sz w:val="24"/>
          <w:szCs w:val="24"/>
          <w:lang w:eastAsia="en-AU"/>
        </w:rPr>
        <w:t xml:space="preserve"> as t</w:t>
      </w:r>
      <w:r w:rsidR="00C416D9" w:rsidRPr="00954069">
        <w:rPr>
          <w:rFonts w:asciiTheme="minorHAnsi" w:hAnsiTheme="minorHAnsi" w:cs="Times New Roman"/>
          <w:bCs/>
          <w:snapToGrid/>
          <w:sz w:val="24"/>
          <w:szCs w:val="24"/>
          <w:lang w:eastAsia="en-AU"/>
        </w:rPr>
        <w:t xml:space="preserve">he revised estimates </w:t>
      </w:r>
      <w:r w:rsidR="00703579" w:rsidRPr="00954069">
        <w:rPr>
          <w:rFonts w:asciiTheme="minorHAnsi" w:hAnsiTheme="minorHAnsi" w:cs="Times New Roman"/>
          <w:bCs/>
          <w:snapToGrid/>
          <w:sz w:val="24"/>
          <w:szCs w:val="24"/>
          <w:lang w:eastAsia="en-AU"/>
        </w:rPr>
        <w:t>d</w:t>
      </w:r>
      <w:r w:rsidR="0057455E" w:rsidRPr="00954069">
        <w:rPr>
          <w:rFonts w:asciiTheme="minorHAnsi" w:hAnsiTheme="minorHAnsi" w:cs="Times New Roman"/>
          <w:bCs/>
          <w:snapToGrid/>
          <w:sz w:val="24"/>
          <w:szCs w:val="24"/>
          <w:lang w:eastAsia="en-AU"/>
        </w:rPr>
        <w:t>id</w:t>
      </w:r>
      <w:r w:rsidR="00703579" w:rsidRPr="00954069">
        <w:rPr>
          <w:rFonts w:asciiTheme="minorHAnsi" w:hAnsiTheme="minorHAnsi" w:cs="Times New Roman"/>
          <w:bCs/>
          <w:snapToGrid/>
          <w:sz w:val="24"/>
          <w:szCs w:val="24"/>
          <w:lang w:eastAsia="en-AU"/>
        </w:rPr>
        <w:t xml:space="preserve"> not take into account the </w:t>
      </w:r>
      <w:r w:rsidR="00746EF9" w:rsidRPr="00954069">
        <w:rPr>
          <w:rFonts w:asciiTheme="minorHAnsi" w:hAnsiTheme="minorHAnsi" w:cs="Times New Roman"/>
          <w:bCs/>
          <w:snapToGrid/>
          <w:sz w:val="24"/>
          <w:szCs w:val="24"/>
          <w:lang w:eastAsia="en-AU"/>
        </w:rPr>
        <w:t xml:space="preserve">likely large but </w:t>
      </w:r>
      <w:r w:rsidR="00746EF9" w:rsidRPr="00D37E3F">
        <w:rPr>
          <w:rFonts w:asciiTheme="minorHAnsi" w:eastAsiaTheme="minorHAnsi" w:hAnsiTheme="minorHAnsi" w:cstheme="minorBidi"/>
          <w:snapToGrid/>
          <w:sz w:val="24"/>
          <w:szCs w:val="22"/>
        </w:rPr>
        <w:t>unknown existing use of currently listed morphine for breathlessness</w:t>
      </w:r>
      <w:r w:rsidR="00D37E3F">
        <w:rPr>
          <w:rFonts w:asciiTheme="minorHAnsi" w:hAnsiTheme="minorHAnsi" w:cs="Times New Roman"/>
          <w:bCs/>
          <w:snapToGrid/>
          <w:sz w:val="24"/>
          <w:szCs w:val="24"/>
          <w:lang w:eastAsia="en-AU"/>
        </w:rPr>
        <w:t xml:space="preserve">. </w:t>
      </w:r>
    </w:p>
    <w:p w:rsidR="00746EF9" w:rsidRPr="00954069" w:rsidRDefault="009D6D34" w:rsidP="00E57863">
      <w:pPr>
        <w:widowControl w:val="0"/>
        <w:numPr>
          <w:ilvl w:val="1"/>
          <w:numId w:val="5"/>
        </w:numPr>
        <w:spacing w:after="120"/>
        <w:jc w:val="both"/>
        <w:rPr>
          <w:rFonts w:asciiTheme="minorHAnsi" w:hAnsiTheme="minorHAnsi"/>
          <w:bCs/>
        </w:rPr>
      </w:pPr>
      <w:r w:rsidRPr="00954069">
        <w:rPr>
          <w:rFonts w:asciiTheme="minorHAnsi" w:hAnsiTheme="minorHAnsi"/>
          <w:bCs/>
        </w:rPr>
        <w:t>The PBAC advised that morphine is suitable for prescribing by nurse practitioners under shared care arrangements.</w:t>
      </w:r>
    </w:p>
    <w:p w:rsidR="009D6D34" w:rsidRPr="00954069" w:rsidRDefault="009D6D34" w:rsidP="00E57863">
      <w:pPr>
        <w:widowControl w:val="0"/>
        <w:numPr>
          <w:ilvl w:val="1"/>
          <w:numId w:val="5"/>
        </w:numPr>
        <w:spacing w:after="120"/>
        <w:jc w:val="both"/>
        <w:rPr>
          <w:rFonts w:asciiTheme="minorHAnsi" w:hAnsiTheme="minorHAnsi"/>
          <w:bCs/>
        </w:rPr>
      </w:pPr>
      <w:r w:rsidRPr="00954069">
        <w:rPr>
          <w:rFonts w:asciiTheme="minorHAnsi" w:hAnsiTheme="minorHAnsi"/>
          <w:bCs/>
        </w:rPr>
        <w:t>The PBAC noted that the Early Supply Rule is not currently applicable to morphine on the palliative care schedule and recommended no changes.</w:t>
      </w:r>
    </w:p>
    <w:p w:rsidR="009D6D34" w:rsidRPr="00954069" w:rsidRDefault="009D6D34" w:rsidP="00E57863">
      <w:pPr>
        <w:widowControl w:val="0"/>
        <w:numPr>
          <w:ilvl w:val="1"/>
          <w:numId w:val="5"/>
        </w:numPr>
        <w:spacing w:after="120"/>
        <w:jc w:val="both"/>
        <w:rPr>
          <w:rFonts w:asciiTheme="minorHAnsi" w:hAnsiTheme="minorHAnsi"/>
          <w:b/>
          <w:bCs/>
        </w:rPr>
      </w:pPr>
      <w:r w:rsidRPr="00954069">
        <w:rPr>
          <w:rFonts w:asciiTheme="minorHAnsi" w:hAnsiTheme="minorHAnsi"/>
          <w:bCs/>
        </w:rPr>
        <w:t>The PBAC noted that this submission is not eligible for an Independent Review as it received a positive recommendation.</w:t>
      </w:r>
    </w:p>
    <w:p w:rsidR="009D67F6" w:rsidRPr="00954069" w:rsidRDefault="009D67F6" w:rsidP="00160BF8">
      <w:pPr>
        <w:pStyle w:val="Heading2"/>
        <w:spacing w:after="120"/>
        <w:rPr>
          <w:b w:val="0"/>
          <w:snapToGrid w:val="0"/>
        </w:rPr>
      </w:pPr>
      <w:r w:rsidRPr="00954069">
        <w:rPr>
          <w:i w:val="0"/>
          <w:snapToGrid w:val="0"/>
        </w:rPr>
        <w:t>Outcome:</w:t>
      </w:r>
    </w:p>
    <w:p w:rsidR="009D67F6" w:rsidRPr="00954069" w:rsidRDefault="009D67F6" w:rsidP="00160BF8">
      <w:pPr>
        <w:spacing w:after="120"/>
        <w:jc w:val="both"/>
        <w:rPr>
          <w:rFonts w:asciiTheme="minorHAnsi" w:hAnsiTheme="minorHAnsi" w:cs="Arial"/>
          <w:bCs/>
          <w:snapToGrid w:val="0"/>
        </w:rPr>
      </w:pPr>
      <w:r w:rsidRPr="00954069">
        <w:rPr>
          <w:rFonts w:asciiTheme="minorHAnsi" w:hAnsiTheme="minorHAnsi" w:cs="Arial"/>
          <w:bCs/>
          <w:snapToGrid w:val="0"/>
        </w:rPr>
        <w:t xml:space="preserve">Recommended </w:t>
      </w:r>
    </w:p>
    <w:p w:rsidR="00DE40DF" w:rsidRPr="00DA5C40" w:rsidRDefault="00DE40DF" w:rsidP="00DA5C40">
      <w:pPr>
        <w:pStyle w:val="PBACHeading1"/>
        <w:spacing w:before="240" w:after="120"/>
        <w:ind w:left="709" w:hanging="709"/>
        <w:rPr>
          <w:rFonts w:asciiTheme="minorHAnsi" w:hAnsiTheme="minorHAnsi"/>
          <w:sz w:val="32"/>
          <w:szCs w:val="32"/>
        </w:rPr>
      </w:pPr>
      <w:r w:rsidRPr="00D37E3F">
        <w:rPr>
          <w:rFonts w:asciiTheme="minorHAnsi" w:hAnsiTheme="minorHAnsi"/>
          <w:sz w:val="32"/>
          <w:szCs w:val="32"/>
        </w:rPr>
        <w:t>Recommended listing</w:t>
      </w:r>
    </w:p>
    <w:p w:rsidR="00DE40DF" w:rsidRPr="008D439D" w:rsidRDefault="00DE40DF" w:rsidP="008D439D">
      <w:pPr>
        <w:pStyle w:val="ListParagraph"/>
        <w:numPr>
          <w:ilvl w:val="1"/>
          <w:numId w:val="5"/>
        </w:numPr>
        <w:rPr>
          <w:rFonts w:asciiTheme="minorHAnsi" w:hAnsiTheme="minorHAnsi"/>
          <w:bCs/>
          <w:sz w:val="24"/>
          <w:szCs w:val="24"/>
        </w:rPr>
      </w:pPr>
      <w:r w:rsidRPr="008D439D">
        <w:rPr>
          <w:rFonts w:asciiTheme="minorHAnsi" w:hAnsiTheme="minorHAnsi"/>
          <w:bCs/>
          <w:sz w:val="24"/>
          <w:szCs w:val="24"/>
        </w:rPr>
        <w:t>Add new item:</w:t>
      </w:r>
    </w:p>
    <w:p w:rsidR="00DE40DF" w:rsidRPr="00D37E3F" w:rsidRDefault="00DE40DF" w:rsidP="00DE40DF">
      <w:pPr>
        <w:widowControl w:val="0"/>
        <w:ind w:firstLine="720"/>
        <w:jc w:val="both"/>
        <w:rPr>
          <w:rFonts w:asciiTheme="minorHAnsi" w:hAnsiTheme="minorHAnsi" w:cs="Arial"/>
          <w:bCs/>
          <w:snapToGrid w:val="0"/>
        </w:rPr>
      </w:pPr>
    </w:p>
    <w:tbl>
      <w:tblPr>
        <w:tblW w:w="5000" w:type="pct"/>
        <w:tblLook w:val="0000" w:firstRow="0" w:lastRow="0" w:firstColumn="0" w:lastColumn="0" w:noHBand="0" w:noVBand="0"/>
      </w:tblPr>
      <w:tblGrid>
        <w:gridCol w:w="2130"/>
        <w:gridCol w:w="1497"/>
        <w:gridCol w:w="807"/>
        <w:gridCol w:w="792"/>
        <w:gridCol w:w="1186"/>
        <w:gridCol w:w="2544"/>
        <w:gridCol w:w="70"/>
      </w:tblGrid>
      <w:tr w:rsidR="00F80BC0" w:rsidRPr="00D37E3F" w:rsidTr="00310FEC">
        <w:trPr>
          <w:cantSplit/>
          <w:trHeight w:val="465"/>
        </w:trPr>
        <w:tc>
          <w:tcPr>
            <w:tcW w:w="2009" w:type="pct"/>
            <w:gridSpan w:val="2"/>
            <w:tcBorders>
              <w:bottom w:val="single" w:sz="4" w:space="0" w:color="auto"/>
            </w:tcBorders>
          </w:tcPr>
          <w:p w:rsidR="00F80BC0" w:rsidRPr="00D37E3F" w:rsidRDefault="00F80BC0" w:rsidP="00371624">
            <w:pPr>
              <w:keepNext/>
              <w:spacing w:before="40" w:after="40"/>
              <w:jc w:val="both"/>
              <w:rPr>
                <w:rFonts w:ascii="Arial Narrow" w:hAnsi="Arial Narrow" w:cs="Arial"/>
                <w:b/>
                <w:sz w:val="20"/>
                <w:szCs w:val="20"/>
              </w:rPr>
            </w:pPr>
            <w:r w:rsidRPr="00D37E3F">
              <w:rPr>
                <w:rFonts w:ascii="Arial Narrow" w:hAnsi="Arial Narrow" w:cs="Arial"/>
                <w:b/>
                <w:sz w:val="20"/>
                <w:szCs w:val="20"/>
              </w:rPr>
              <w:t>Name, Restriction,</w:t>
            </w:r>
          </w:p>
          <w:p w:rsidR="00F80BC0" w:rsidRPr="00D37E3F" w:rsidRDefault="00F80BC0" w:rsidP="00371624">
            <w:pPr>
              <w:keepNext/>
              <w:spacing w:before="40" w:after="40"/>
              <w:jc w:val="both"/>
              <w:rPr>
                <w:rFonts w:ascii="Arial Narrow" w:hAnsi="Arial Narrow" w:cs="Arial"/>
                <w:b/>
                <w:sz w:val="20"/>
                <w:szCs w:val="20"/>
              </w:rPr>
            </w:pPr>
            <w:r w:rsidRPr="00D37E3F">
              <w:rPr>
                <w:rFonts w:ascii="Arial Narrow" w:hAnsi="Arial Narrow" w:cs="Arial"/>
                <w:b/>
                <w:sz w:val="20"/>
                <w:szCs w:val="20"/>
              </w:rPr>
              <w:t>Manner of administration and form</w:t>
            </w:r>
          </w:p>
        </w:tc>
        <w:tc>
          <w:tcPr>
            <w:tcW w:w="447" w:type="pct"/>
            <w:tcBorders>
              <w:bottom w:val="single" w:sz="4" w:space="0" w:color="auto"/>
            </w:tcBorders>
          </w:tcPr>
          <w:p w:rsidR="00F80BC0" w:rsidRPr="00D37E3F" w:rsidRDefault="00F80BC0" w:rsidP="00371624">
            <w:pPr>
              <w:keepNext/>
              <w:spacing w:before="40" w:after="40"/>
              <w:jc w:val="both"/>
              <w:rPr>
                <w:rFonts w:ascii="Arial Narrow" w:hAnsi="Arial Narrow" w:cs="Arial"/>
                <w:b/>
                <w:sz w:val="20"/>
                <w:szCs w:val="20"/>
              </w:rPr>
            </w:pPr>
            <w:r w:rsidRPr="00D37E3F">
              <w:rPr>
                <w:rFonts w:ascii="Arial Narrow" w:hAnsi="Arial Narrow" w:cs="Arial"/>
                <w:b/>
                <w:sz w:val="20"/>
                <w:szCs w:val="20"/>
              </w:rPr>
              <w:t>Max.</w:t>
            </w:r>
          </w:p>
          <w:p w:rsidR="00F80BC0" w:rsidRPr="00D37E3F" w:rsidRDefault="00F80BC0" w:rsidP="00371624">
            <w:pPr>
              <w:keepNext/>
              <w:spacing w:before="40" w:after="40"/>
              <w:jc w:val="both"/>
              <w:rPr>
                <w:rFonts w:ascii="Arial Narrow" w:hAnsi="Arial Narrow" w:cs="Arial"/>
                <w:b/>
                <w:sz w:val="20"/>
                <w:szCs w:val="20"/>
              </w:rPr>
            </w:pPr>
            <w:proofErr w:type="spellStart"/>
            <w:r w:rsidRPr="00D37E3F">
              <w:rPr>
                <w:rFonts w:ascii="Arial Narrow" w:hAnsi="Arial Narrow" w:cs="Arial"/>
                <w:b/>
                <w:sz w:val="20"/>
                <w:szCs w:val="20"/>
              </w:rPr>
              <w:t>Qty</w:t>
            </w:r>
            <w:proofErr w:type="spellEnd"/>
          </w:p>
        </w:tc>
        <w:tc>
          <w:tcPr>
            <w:tcW w:w="439" w:type="pct"/>
            <w:tcBorders>
              <w:bottom w:val="single" w:sz="4" w:space="0" w:color="auto"/>
            </w:tcBorders>
          </w:tcPr>
          <w:p w:rsidR="00F80BC0" w:rsidRPr="00D37E3F" w:rsidRDefault="00F80BC0" w:rsidP="00371624">
            <w:pPr>
              <w:keepNext/>
              <w:spacing w:before="40" w:after="40"/>
              <w:jc w:val="both"/>
              <w:rPr>
                <w:rFonts w:ascii="Arial Narrow" w:hAnsi="Arial Narrow" w:cs="Arial"/>
                <w:b/>
                <w:sz w:val="20"/>
                <w:szCs w:val="20"/>
              </w:rPr>
            </w:pPr>
            <w:r w:rsidRPr="00D37E3F">
              <w:rPr>
                <w:rFonts w:ascii="Arial Narrow" w:hAnsi="Arial Narrow" w:cs="Arial"/>
                <w:b/>
                <w:sz w:val="20"/>
                <w:szCs w:val="20"/>
              </w:rPr>
              <w:t>№.of</w:t>
            </w:r>
          </w:p>
          <w:p w:rsidR="00F80BC0" w:rsidRPr="00D37E3F" w:rsidRDefault="00F80BC0" w:rsidP="00371624">
            <w:pPr>
              <w:keepNext/>
              <w:spacing w:before="40" w:after="40"/>
              <w:jc w:val="both"/>
              <w:rPr>
                <w:rFonts w:ascii="Arial Narrow" w:hAnsi="Arial Narrow" w:cs="Arial"/>
                <w:b/>
                <w:sz w:val="20"/>
                <w:szCs w:val="20"/>
              </w:rPr>
            </w:pPr>
            <w:proofErr w:type="spellStart"/>
            <w:r w:rsidRPr="00D37E3F">
              <w:rPr>
                <w:rFonts w:ascii="Arial Narrow" w:hAnsi="Arial Narrow" w:cs="Arial"/>
                <w:b/>
                <w:sz w:val="20"/>
                <w:szCs w:val="20"/>
              </w:rPr>
              <w:t>Rpts</w:t>
            </w:r>
            <w:proofErr w:type="spellEnd"/>
          </w:p>
        </w:tc>
        <w:tc>
          <w:tcPr>
            <w:tcW w:w="2105" w:type="pct"/>
            <w:gridSpan w:val="3"/>
            <w:tcBorders>
              <w:bottom w:val="single" w:sz="4" w:space="0" w:color="auto"/>
            </w:tcBorders>
          </w:tcPr>
          <w:p w:rsidR="00F80BC0" w:rsidRPr="00954069" w:rsidRDefault="00F80BC0" w:rsidP="00371624">
            <w:pPr>
              <w:keepNext/>
              <w:spacing w:before="40" w:after="40"/>
              <w:jc w:val="both"/>
              <w:rPr>
                <w:rFonts w:ascii="Arial Narrow" w:hAnsi="Arial Narrow" w:cs="Arial"/>
                <w:b/>
                <w:sz w:val="20"/>
                <w:szCs w:val="20"/>
              </w:rPr>
            </w:pPr>
            <w:r w:rsidRPr="00D37E3F">
              <w:rPr>
                <w:rFonts w:ascii="Arial Narrow" w:hAnsi="Arial Narrow" w:cs="Arial"/>
                <w:b/>
                <w:sz w:val="20"/>
                <w:szCs w:val="20"/>
              </w:rPr>
              <w:t>Proprietary Name and Manufacturer</w:t>
            </w:r>
          </w:p>
        </w:tc>
      </w:tr>
      <w:tr w:rsidR="00F80BC0" w:rsidRPr="00D37E3F" w:rsidTr="00310FEC">
        <w:trPr>
          <w:cantSplit/>
          <w:trHeight w:val="567"/>
        </w:trPr>
        <w:tc>
          <w:tcPr>
            <w:tcW w:w="2009" w:type="pct"/>
            <w:gridSpan w:val="2"/>
          </w:tcPr>
          <w:p w:rsidR="00F80BC0" w:rsidRPr="00D37E3F" w:rsidRDefault="00F80BC0" w:rsidP="00371624">
            <w:pPr>
              <w:keepNext/>
              <w:spacing w:before="40" w:after="40"/>
              <w:jc w:val="both"/>
              <w:rPr>
                <w:rFonts w:ascii="Arial Narrow" w:hAnsi="Arial Narrow" w:cs="Arial"/>
                <w:sz w:val="20"/>
                <w:szCs w:val="20"/>
              </w:rPr>
            </w:pPr>
            <w:r w:rsidRPr="00D37E3F">
              <w:rPr>
                <w:rFonts w:ascii="Arial Narrow" w:hAnsi="Arial Narrow" w:cs="Arial"/>
                <w:smallCaps/>
                <w:sz w:val="20"/>
                <w:szCs w:val="20"/>
              </w:rPr>
              <w:t>MORPHINE</w:t>
            </w:r>
          </w:p>
          <w:p w:rsidR="00F80BC0" w:rsidRPr="00D37E3F" w:rsidRDefault="00F80BC0" w:rsidP="00371624">
            <w:pPr>
              <w:keepNext/>
              <w:spacing w:before="40" w:after="40"/>
              <w:jc w:val="both"/>
              <w:rPr>
                <w:rFonts w:ascii="Arial Narrow" w:hAnsi="Arial Narrow" w:cs="Arial"/>
                <w:sz w:val="20"/>
                <w:szCs w:val="20"/>
              </w:rPr>
            </w:pPr>
            <w:r w:rsidRPr="00D37E3F">
              <w:rPr>
                <w:rFonts w:ascii="Arial Narrow" w:hAnsi="Arial Narrow" w:cs="Arial"/>
                <w:sz w:val="20"/>
                <w:szCs w:val="20"/>
              </w:rPr>
              <w:t xml:space="preserve">Capsule containing morphine </w:t>
            </w:r>
            <w:proofErr w:type="spellStart"/>
            <w:r w:rsidRPr="00D37E3F">
              <w:rPr>
                <w:rFonts w:ascii="Arial Narrow" w:hAnsi="Arial Narrow" w:cs="Arial"/>
                <w:sz w:val="20"/>
                <w:szCs w:val="20"/>
              </w:rPr>
              <w:t>sulfate</w:t>
            </w:r>
            <w:proofErr w:type="spellEnd"/>
            <w:r w:rsidRPr="00D37E3F">
              <w:rPr>
                <w:rFonts w:ascii="Arial Narrow" w:hAnsi="Arial Narrow" w:cs="Arial"/>
                <w:sz w:val="20"/>
                <w:szCs w:val="20"/>
              </w:rPr>
              <w:t xml:space="preserve"> pentahydrate 10 mg (modified release), 28</w:t>
            </w:r>
          </w:p>
          <w:p w:rsidR="00F80BC0" w:rsidRPr="00D37E3F" w:rsidRDefault="00F80BC0" w:rsidP="00371624">
            <w:pPr>
              <w:keepNext/>
              <w:spacing w:before="40" w:after="40"/>
              <w:jc w:val="both"/>
              <w:rPr>
                <w:rFonts w:ascii="Arial Narrow" w:hAnsi="Arial Narrow" w:cs="Arial"/>
                <w:sz w:val="20"/>
                <w:szCs w:val="20"/>
              </w:rPr>
            </w:pPr>
            <w:r w:rsidRPr="00D37E3F">
              <w:rPr>
                <w:rFonts w:ascii="Arial Narrow" w:hAnsi="Arial Narrow" w:cs="Arial"/>
                <w:sz w:val="20"/>
                <w:szCs w:val="20"/>
              </w:rPr>
              <w:t xml:space="preserve">Capsule containing morphine </w:t>
            </w:r>
            <w:proofErr w:type="spellStart"/>
            <w:r w:rsidRPr="00D37E3F">
              <w:rPr>
                <w:rFonts w:ascii="Arial Narrow" w:hAnsi="Arial Narrow" w:cs="Arial"/>
                <w:sz w:val="20"/>
                <w:szCs w:val="20"/>
              </w:rPr>
              <w:t>sulfate</w:t>
            </w:r>
            <w:proofErr w:type="spellEnd"/>
            <w:r w:rsidRPr="00D37E3F">
              <w:rPr>
                <w:rFonts w:ascii="Arial Narrow" w:hAnsi="Arial Narrow" w:cs="Arial"/>
                <w:sz w:val="20"/>
                <w:szCs w:val="20"/>
              </w:rPr>
              <w:t xml:space="preserve"> pentahydrate 20 mg (modified release), 28</w:t>
            </w:r>
          </w:p>
        </w:tc>
        <w:tc>
          <w:tcPr>
            <w:tcW w:w="447" w:type="pct"/>
          </w:tcPr>
          <w:p w:rsidR="00F80BC0" w:rsidRPr="00D37E3F" w:rsidRDefault="00F80BC0" w:rsidP="00371624">
            <w:pPr>
              <w:keepNext/>
              <w:spacing w:before="40" w:after="40"/>
              <w:jc w:val="both"/>
              <w:rPr>
                <w:rFonts w:ascii="Arial Narrow" w:hAnsi="Arial Narrow" w:cs="Arial"/>
                <w:sz w:val="20"/>
                <w:szCs w:val="20"/>
              </w:rPr>
            </w:pPr>
          </w:p>
          <w:p w:rsidR="00F80BC0" w:rsidRPr="00D37E3F" w:rsidRDefault="00F80BC0" w:rsidP="00371624">
            <w:pPr>
              <w:keepNext/>
              <w:spacing w:before="40" w:after="40"/>
              <w:jc w:val="both"/>
              <w:rPr>
                <w:rFonts w:ascii="Arial Narrow" w:hAnsi="Arial Narrow" w:cs="Arial"/>
                <w:sz w:val="20"/>
                <w:szCs w:val="20"/>
              </w:rPr>
            </w:pPr>
            <w:r w:rsidRPr="00D37E3F">
              <w:rPr>
                <w:rFonts w:ascii="Arial Narrow" w:hAnsi="Arial Narrow" w:cs="Arial"/>
                <w:sz w:val="20"/>
                <w:szCs w:val="20"/>
              </w:rPr>
              <w:t>1</w:t>
            </w:r>
          </w:p>
          <w:p w:rsidR="00F80BC0" w:rsidRPr="00D37E3F" w:rsidRDefault="00F80BC0" w:rsidP="00371624">
            <w:pPr>
              <w:keepNext/>
              <w:spacing w:before="40" w:after="40"/>
              <w:jc w:val="both"/>
              <w:rPr>
                <w:rFonts w:ascii="Arial Narrow" w:hAnsi="Arial Narrow" w:cs="Arial"/>
                <w:sz w:val="20"/>
                <w:szCs w:val="20"/>
              </w:rPr>
            </w:pPr>
          </w:p>
          <w:p w:rsidR="00F80BC0" w:rsidRPr="00D37E3F" w:rsidRDefault="00F80BC0" w:rsidP="00371624">
            <w:pPr>
              <w:keepNext/>
              <w:spacing w:before="40" w:after="40"/>
              <w:jc w:val="both"/>
              <w:rPr>
                <w:rFonts w:ascii="Arial Narrow" w:hAnsi="Arial Narrow" w:cs="Arial"/>
                <w:sz w:val="20"/>
                <w:szCs w:val="20"/>
              </w:rPr>
            </w:pPr>
            <w:r w:rsidRPr="00D37E3F">
              <w:rPr>
                <w:rFonts w:ascii="Arial Narrow" w:hAnsi="Arial Narrow" w:cs="Arial"/>
                <w:sz w:val="20"/>
                <w:szCs w:val="20"/>
              </w:rPr>
              <w:t>1</w:t>
            </w:r>
          </w:p>
        </w:tc>
        <w:tc>
          <w:tcPr>
            <w:tcW w:w="439" w:type="pct"/>
          </w:tcPr>
          <w:p w:rsidR="00F80BC0" w:rsidRPr="00D37E3F" w:rsidRDefault="00F80BC0" w:rsidP="00371624">
            <w:pPr>
              <w:keepNext/>
              <w:spacing w:before="40" w:after="40"/>
              <w:jc w:val="both"/>
              <w:rPr>
                <w:rFonts w:ascii="Arial Narrow" w:hAnsi="Arial Narrow" w:cs="Arial"/>
                <w:sz w:val="20"/>
                <w:szCs w:val="20"/>
              </w:rPr>
            </w:pPr>
          </w:p>
          <w:p w:rsidR="00F80BC0" w:rsidRPr="00D37E3F" w:rsidRDefault="00F80BC0" w:rsidP="00371624">
            <w:pPr>
              <w:keepNext/>
              <w:spacing w:before="40" w:after="40"/>
              <w:jc w:val="both"/>
              <w:rPr>
                <w:rFonts w:ascii="Arial Narrow" w:hAnsi="Arial Narrow" w:cs="Arial"/>
                <w:sz w:val="20"/>
                <w:szCs w:val="20"/>
              </w:rPr>
            </w:pPr>
            <w:r w:rsidRPr="00D37E3F">
              <w:rPr>
                <w:rFonts w:ascii="Arial Narrow" w:hAnsi="Arial Narrow" w:cs="Arial"/>
                <w:sz w:val="20"/>
                <w:szCs w:val="20"/>
              </w:rPr>
              <w:t>0</w:t>
            </w:r>
          </w:p>
          <w:p w:rsidR="00F80BC0" w:rsidRPr="00D37E3F" w:rsidRDefault="00F80BC0" w:rsidP="00371624">
            <w:pPr>
              <w:keepNext/>
              <w:spacing w:before="40" w:after="40"/>
              <w:jc w:val="both"/>
              <w:rPr>
                <w:rFonts w:ascii="Arial Narrow" w:hAnsi="Arial Narrow" w:cs="Arial"/>
                <w:sz w:val="20"/>
                <w:szCs w:val="20"/>
              </w:rPr>
            </w:pPr>
          </w:p>
          <w:p w:rsidR="00F80BC0" w:rsidRPr="00D37E3F" w:rsidRDefault="00F80BC0" w:rsidP="00371624">
            <w:pPr>
              <w:keepNext/>
              <w:spacing w:before="40" w:after="40"/>
              <w:jc w:val="both"/>
              <w:rPr>
                <w:rFonts w:ascii="Arial Narrow" w:hAnsi="Arial Narrow" w:cs="Arial"/>
                <w:sz w:val="20"/>
                <w:szCs w:val="20"/>
              </w:rPr>
            </w:pPr>
            <w:r w:rsidRPr="00D37E3F">
              <w:rPr>
                <w:rFonts w:ascii="Arial Narrow" w:hAnsi="Arial Narrow" w:cs="Arial"/>
                <w:sz w:val="20"/>
                <w:szCs w:val="20"/>
              </w:rPr>
              <w:t>0</w:t>
            </w:r>
          </w:p>
        </w:tc>
        <w:tc>
          <w:tcPr>
            <w:tcW w:w="657" w:type="pct"/>
          </w:tcPr>
          <w:p w:rsidR="00F80BC0" w:rsidRPr="00D37E3F" w:rsidRDefault="00F80BC0" w:rsidP="00371624">
            <w:pPr>
              <w:keepNext/>
              <w:spacing w:before="40" w:after="40"/>
              <w:jc w:val="both"/>
              <w:rPr>
                <w:rFonts w:ascii="Arial Narrow" w:hAnsi="Arial Narrow" w:cs="Arial"/>
                <w:sz w:val="20"/>
                <w:szCs w:val="20"/>
              </w:rPr>
            </w:pPr>
          </w:p>
          <w:p w:rsidR="00F80BC0" w:rsidRPr="005D66F5" w:rsidRDefault="00F80BC0" w:rsidP="00371624">
            <w:pPr>
              <w:keepNext/>
              <w:spacing w:before="40" w:after="40"/>
              <w:jc w:val="both"/>
              <w:rPr>
                <w:rFonts w:ascii="Arial Narrow" w:hAnsi="Arial Narrow" w:cs="Arial"/>
                <w:sz w:val="20"/>
                <w:szCs w:val="20"/>
                <w:vertAlign w:val="superscript"/>
              </w:rPr>
            </w:pPr>
            <w:proofErr w:type="spellStart"/>
            <w:r w:rsidRPr="00D37E3F">
              <w:rPr>
                <w:rFonts w:ascii="Arial Narrow" w:hAnsi="Arial Narrow" w:cs="Arial"/>
                <w:sz w:val="20"/>
                <w:szCs w:val="20"/>
              </w:rPr>
              <w:t>Kapanol</w:t>
            </w:r>
            <w:proofErr w:type="spellEnd"/>
            <w:r w:rsidR="005D66F5">
              <w:rPr>
                <w:rFonts w:ascii="Arial Narrow" w:hAnsi="Arial Narrow" w:cs="Arial"/>
                <w:sz w:val="20"/>
                <w:szCs w:val="20"/>
                <w:vertAlign w:val="superscript"/>
              </w:rPr>
              <w:t>®</w:t>
            </w:r>
          </w:p>
        </w:tc>
        <w:tc>
          <w:tcPr>
            <w:tcW w:w="1448" w:type="pct"/>
            <w:gridSpan w:val="2"/>
          </w:tcPr>
          <w:p w:rsidR="00F80BC0" w:rsidRPr="00D37E3F" w:rsidRDefault="00F80BC0" w:rsidP="00371624">
            <w:pPr>
              <w:keepNext/>
              <w:spacing w:before="40" w:after="40"/>
              <w:jc w:val="both"/>
              <w:rPr>
                <w:rFonts w:ascii="Arial Narrow" w:hAnsi="Arial Narrow" w:cs="Arial"/>
                <w:sz w:val="20"/>
                <w:szCs w:val="20"/>
              </w:rPr>
            </w:pPr>
          </w:p>
          <w:p w:rsidR="00F80BC0" w:rsidRPr="00D37E3F" w:rsidRDefault="00F80BC0" w:rsidP="00371624">
            <w:pPr>
              <w:keepNext/>
              <w:spacing w:before="40" w:after="40"/>
              <w:jc w:val="both"/>
              <w:rPr>
                <w:rFonts w:ascii="Arial Narrow" w:hAnsi="Arial Narrow" w:cs="Arial"/>
                <w:sz w:val="20"/>
                <w:szCs w:val="20"/>
              </w:rPr>
            </w:pPr>
            <w:r w:rsidRPr="00D37E3F">
              <w:rPr>
                <w:rFonts w:ascii="Arial Narrow" w:hAnsi="Arial Narrow" w:cs="Arial"/>
                <w:sz w:val="20"/>
                <w:szCs w:val="20"/>
              </w:rPr>
              <w:t>Mayne Pharma International Pty Ltd</w:t>
            </w:r>
          </w:p>
        </w:tc>
      </w:tr>
      <w:tr w:rsidR="00F80BC0" w:rsidRPr="00D37E3F" w:rsidTr="00310FEC">
        <w:trPr>
          <w:gridAfter w:val="1"/>
          <w:wAfter w:w="39" w:type="pct"/>
          <w:cantSplit/>
          <w:trHeight w:val="360"/>
        </w:trPr>
        <w:tc>
          <w:tcPr>
            <w:tcW w:w="4961" w:type="pct"/>
            <w:gridSpan w:val="6"/>
            <w:tcBorders>
              <w:bottom w:val="single" w:sz="4" w:space="0" w:color="auto"/>
            </w:tcBorders>
          </w:tcPr>
          <w:p w:rsidR="00F80BC0" w:rsidRPr="00D37E3F" w:rsidRDefault="00F80BC0" w:rsidP="00371624">
            <w:pPr>
              <w:spacing w:before="40" w:after="40"/>
              <w:jc w:val="both"/>
              <w:rPr>
                <w:rFonts w:ascii="Arial Narrow" w:hAnsi="Arial Narrow" w:cs="Arial"/>
                <w:sz w:val="20"/>
                <w:szCs w:val="20"/>
              </w:rPr>
            </w:pPr>
          </w:p>
        </w:tc>
      </w:tr>
      <w:tr w:rsidR="00F80BC0" w:rsidRPr="00D37E3F" w:rsidTr="00310FEC">
        <w:trPr>
          <w:gridAfter w:val="1"/>
          <w:wAfter w:w="39" w:type="pct"/>
          <w:cantSplit/>
          <w:trHeight w:val="360"/>
        </w:trPr>
        <w:tc>
          <w:tcPr>
            <w:tcW w:w="1180" w:type="pct"/>
            <w:tcBorders>
              <w:top w:val="single" w:sz="4" w:space="0" w:color="auto"/>
              <w:left w:val="single" w:sz="4" w:space="0" w:color="auto"/>
              <w:bottom w:val="single" w:sz="4" w:space="0" w:color="auto"/>
              <w:right w:val="single" w:sz="4" w:space="0" w:color="auto"/>
            </w:tcBorders>
          </w:tcPr>
          <w:p w:rsidR="00F80BC0" w:rsidRPr="00D37E3F" w:rsidRDefault="00F80BC0" w:rsidP="00371624">
            <w:pPr>
              <w:spacing w:before="40" w:after="40"/>
              <w:jc w:val="both"/>
              <w:rPr>
                <w:rFonts w:ascii="Arial Narrow" w:hAnsi="Arial Narrow" w:cs="Arial"/>
                <w:b/>
                <w:sz w:val="20"/>
                <w:szCs w:val="20"/>
              </w:rPr>
            </w:pPr>
            <w:r w:rsidRPr="00D37E3F">
              <w:rPr>
                <w:rFonts w:ascii="Arial Narrow" w:hAnsi="Arial Narrow" w:cs="Arial"/>
                <w:b/>
                <w:sz w:val="20"/>
                <w:szCs w:val="20"/>
              </w:rPr>
              <w:t xml:space="preserve">Category / </w:t>
            </w:r>
          </w:p>
          <w:p w:rsidR="00F80BC0" w:rsidRPr="00D37E3F" w:rsidRDefault="00F80BC0" w:rsidP="00371624">
            <w:pPr>
              <w:spacing w:before="40" w:after="40"/>
              <w:jc w:val="both"/>
              <w:rPr>
                <w:rFonts w:ascii="Arial Narrow" w:hAnsi="Arial Narrow" w:cs="Arial"/>
                <w:b/>
                <w:sz w:val="20"/>
                <w:szCs w:val="20"/>
              </w:rPr>
            </w:pPr>
            <w:r w:rsidRPr="00D37E3F">
              <w:rPr>
                <w:rFonts w:ascii="Arial Narrow" w:hAnsi="Arial Narrow" w:cs="Arial"/>
                <w:b/>
                <w:sz w:val="20"/>
                <w:szCs w:val="20"/>
              </w:rPr>
              <w:t>Program</w:t>
            </w:r>
          </w:p>
        </w:tc>
        <w:tc>
          <w:tcPr>
            <w:tcW w:w="3781" w:type="pct"/>
            <w:gridSpan w:val="5"/>
            <w:tcBorders>
              <w:top w:val="single" w:sz="4" w:space="0" w:color="auto"/>
              <w:left w:val="single" w:sz="4" w:space="0" w:color="auto"/>
              <w:bottom w:val="single" w:sz="4" w:space="0" w:color="auto"/>
              <w:right w:val="single" w:sz="4" w:space="0" w:color="auto"/>
            </w:tcBorders>
          </w:tcPr>
          <w:p w:rsidR="00F80BC0" w:rsidRPr="00D37E3F" w:rsidRDefault="00F80BC0" w:rsidP="00371624">
            <w:pPr>
              <w:spacing w:before="40" w:after="40"/>
              <w:rPr>
                <w:rFonts w:ascii="Arial Narrow" w:hAnsi="Arial Narrow" w:cs="Arial"/>
                <w:sz w:val="20"/>
                <w:szCs w:val="20"/>
              </w:rPr>
            </w:pPr>
            <w:r w:rsidRPr="00D37E3F">
              <w:rPr>
                <w:rFonts w:ascii="Arial Narrow" w:hAnsi="Arial Narrow" w:cs="Arial"/>
                <w:sz w:val="20"/>
                <w:szCs w:val="20"/>
              </w:rPr>
              <w:t>GENERAL – General Schedule Palliative Care (Code PL)</w:t>
            </w:r>
          </w:p>
          <w:p w:rsidR="00F80BC0" w:rsidRPr="00D37E3F" w:rsidRDefault="00F80BC0" w:rsidP="00371624">
            <w:pPr>
              <w:spacing w:before="40" w:after="40"/>
              <w:rPr>
                <w:rFonts w:ascii="Arial Narrow" w:hAnsi="Arial Narrow" w:cs="Arial"/>
                <w:sz w:val="20"/>
                <w:szCs w:val="20"/>
              </w:rPr>
            </w:pPr>
          </w:p>
        </w:tc>
      </w:tr>
      <w:tr w:rsidR="00F80BC0" w:rsidRPr="00D37E3F" w:rsidTr="00310FEC">
        <w:trPr>
          <w:gridAfter w:val="1"/>
          <w:wAfter w:w="39" w:type="pct"/>
          <w:cantSplit/>
          <w:trHeight w:val="360"/>
        </w:trPr>
        <w:tc>
          <w:tcPr>
            <w:tcW w:w="1180" w:type="pct"/>
            <w:tcBorders>
              <w:top w:val="single" w:sz="4" w:space="0" w:color="auto"/>
              <w:left w:val="single" w:sz="4" w:space="0" w:color="auto"/>
              <w:bottom w:val="single" w:sz="4" w:space="0" w:color="auto"/>
              <w:right w:val="single" w:sz="4" w:space="0" w:color="auto"/>
            </w:tcBorders>
          </w:tcPr>
          <w:p w:rsidR="00F80BC0" w:rsidRPr="00D37E3F" w:rsidRDefault="00F80BC0" w:rsidP="00371624">
            <w:pPr>
              <w:spacing w:before="40" w:after="40"/>
              <w:jc w:val="both"/>
              <w:rPr>
                <w:rFonts w:ascii="Arial Narrow" w:hAnsi="Arial Narrow" w:cs="Arial"/>
                <w:b/>
                <w:sz w:val="20"/>
                <w:szCs w:val="20"/>
              </w:rPr>
            </w:pPr>
            <w:r w:rsidRPr="00D37E3F">
              <w:rPr>
                <w:rFonts w:ascii="Arial Narrow" w:hAnsi="Arial Narrow" w:cs="Arial"/>
                <w:b/>
                <w:sz w:val="20"/>
                <w:szCs w:val="20"/>
              </w:rPr>
              <w:t>Prescriber type:</w:t>
            </w:r>
          </w:p>
        </w:tc>
        <w:tc>
          <w:tcPr>
            <w:tcW w:w="3781" w:type="pct"/>
            <w:gridSpan w:val="5"/>
            <w:tcBorders>
              <w:top w:val="single" w:sz="4" w:space="0" w:color="auto"/>
              <w:left w:val="single" w:sz="4" w:space="0" w:color="auto"/>
              <w:bottom w:val="single" w:sz="4" w:space="0" w:color="auto"/>
              <w:right w:val="single" w:sz="4" w:space="0" w:color="auto"/>
            </w:tcBorders>
          </w:tcPr>
          <w:p w:rsidR="00F80BC0" w:rsidRPr="00D37E3F" w:rsidRDefault="00F80BC0" w:rsidP="00371624">
            <w:pPr>
              <w:spacing w:before="40" w:after="40"/>
              <w:rPr>
                <w:rFonts w:ascii="Arial Narrow" w:hAnsi="Arial Narrow" w:cs="Arial"/>
                <w:sz w:val="20"/>
                <w:szCs w:val="20"/>
              </w:rPr>
            </w:pPr>
            <w:r w:rsidRPr="00954069">
              <w:rPr>
                <w:rFonts w:ascii="Arial Narrow" w:hAnsi="Arial Narrow" w:cs="Arial"/>
                <w:sz w:val="20"/>
                <w:szCs w:val="20"/>
              </w:rPr>
              <w:fldChar w:fldCharType="begin">
                <w:ffData>
                  <w:name w:val=""/>
                  <w:enabled/>
                  <w:calcOnExit w:val="0"/>
                  <w:checkBox>
                    <w:sizeAuto/>
                    <w:default w:val="1"/>
                  </w:checkBox>
                </w:ffData>
              </w:fldChar>
            </w:r>
            <w:r w:rsidRPr="00D37E3F">
              <w:rPr>
                <w:rFonts w:ascii="Arial Narrow" w:hAnsi="Arial Narrow" w:cs="Arial"/>
                <w:sz w:val="20"/>
                <w:szCs w:val="20"/>
              </w:rPr>
              <w:instrText xml:space="preserve"> FORMCHECKBOX </w:instrText>
            </w:r>
            <w:r w:rsidR="00310FEC">
              <w:rPr>
                <w:rFonts w:ascii="Arial Narrow" w:hAnsi="Arial Narrow" w:cs="Arial"/>
                <w:sz w:val="20"/>
                <w:szCs w:val="20"/>
              </w:rPr>
            </w:r>
            <w:r w:rsidR="00310FEC">
              <w:rPr>
                <w:rFonts w:ascii="Arial Narrow" w:hAnsi="Arial Narrow" w:cs="Arial"/>
                <w:sz w:val="20"/>
                <w:szCs w:val="20"/>
              </w:rPr>
              <w:fldChar w:fldCharType="separate"/>
            </w:r>
            <w:r w:rsidRPr="00954069">
              <w:rPr>
                <w:rFonts w:ascii="Arial Narrow" w:hAnsi="Arial Narrow" w:cs="Arial"/>
                <w:sz w:val="20"/>
                <w:szCs w:val="20"/>
              </w:rPr>
              <w:fldChar w:fldCharType="end"/>
            </w:r>
            <w:r w:rsidRPr="00D37E3F">
              <w:rPr>
                <w:rFonts w:ascii="Arial Narrow" w:hAnsi="Arial Narrow" w:cs="Arial"/>
                <w:sz w:val="20"/>
                <w:szCs w:val="20"/>
              </w:rPr>
              <w:t xml:space="preserve">Medical Practitioners  </w:t>
            </w:r>
            <w:r w:rsidRPr="00954069">
              <w:rPr>
                <w:rFonts w:ascii="Arial Narrow" w:hAnsi="Arial Narrow" w:cs="Arial"/>
                <w:sz w:val="20"/>
                <w:szCs w:val="20"/>
              </w:rPr>
              <w:fldChar w:fldCharType="begin">
                <w:ffData>
                  <w:name w:val="Check3"/>
                  <w:enabled/>
                  <w:calcOnExit w:val="0"/>
                  <w:checkBox>
                    <w:sizeAuto/>
                    <w:default w:val="1"/>
                  </w:checkBox>
                </w:ffData>
              </w:fldChar>
            </w:r>
            <w:r w:rsidRPr="00D37E3F">
              <w:rPr>
                <w:rFonts w:ascii="Arial Narrow" w:hAnsi="Arial Narrow" w:cs="Arial"/>
                <w:sz w:val="20"/>
                <w:szCs w:val="20"/>
              </w:rPr>
              <w:instrText xml:space="preserve"> FORMCHECKBOX </w:instrText>
            </w:r>
            <w:r w:rsidR="00310FEC">
              <w:rPr>
                <w:rFonts w:ascii="Arial Narrow" w:hAnsi="Arial Narrow" w:cs="Arial"/>
                <w:sz w:val="20"/>
                <w:szCs w:val="20"/>
              </w:rPr>
            </w:r>
            <w:r w:rsidR="00310FEC">
              <w:rPr>
                <w:rFonts w:ascii="Arial Narrow" w:hAnsi="Arial Narrow" w:cs="Arial"/>
                <w:sz w:val="20"/>
                <w:szCs w:val="20"/>
              </w:rPr>
              <w:fldChar w:fldCharType="separate"/>
            </w:r>
            <w:r w:rsidRPr="00954069">
              <w:rPr>
                <w:rFonts w:ascii="Arial Narrow" w:hAnsi="Arial Narrow" w:cs="Arial"/>
                <w:sz w:val="20"/>
                <w:szCs w:val="20"/>
              </w:rPr>
              <w:fldChar w:fldCharType="end"/>
            </w:r>
            <w:r w:rsidRPr="00D37E3F">
              <w:rPr>
                <w:rFonts w:ascii="Arial Narrow" w:hAnsi="Arial Narrow" w:cs="Arial"/>
                <w:sz w:val="20"/>
                <w:szCs w:val="20"/>
              </w:rPr>
              <w:t xml:space="preserve">Nurse practitioners  </w:t>
            </w:r>
          </w:p>
        </w:tc>
      </w:tr>
      <w:tr w:rsidR="00F80BC0" w:rsidRPr="00D37E3F" w:rsidTr="00310FEC">
        <w:trPr>
          <w:gridAfter w:val="1"/>
          <w:wAfter w:w="39" w:type="pct"/>
          <w:cantSplit/>
          <w:trHeight w:val="360"/>
        </w:trPr>
        <w:tc>
          <w:tcPr>
            <w:tcW w:w="1180" w:type="pct"/>
            <w:tcBorders>
              <w:top w:val="single" w:sz="4" w:space="0" w:color="auto"/>
              <w:left w:val="single" w:sz="4" w:space="0" w:color="auto"/>
              <w:bottom w:val="single" w:sz="4" w:space="0" w:color="auto"/>
              <w:right w:val="single" w:sz="4" w:space="0" w:color="auto"/>
            </w:tcBorders>
          </w:tcPr>
          <w:p w:rsidR="00F80BC0" w:rsidRPr="00D37E3F" w:rsidRDefault="00F80BC0" w:rsidP="00371624">
            <w:pPr>
              <w:spacing w:before="40" w:after="40"/>
              <w:jc w:val="both"/>
              <w:rPr>
                <w:rFonts w:ascii="Arial Narrow" w:hAnsi="Arial Narrow" w:cs="Arial"/>
                <w:b/>
                <w:sz w:val="20"/>
                <w:szCs w:val="20"/>
              </w:rPr>
            </w:pPr>
            <w:r w:rsidRPr="00D37E3F">
              <w:rPr>
                <w:rFonts w:ascii="Arial Narrow" w:hAnsi="Arial Narrow" w:cs="Arial"/>
                <w:b/>
                <w:sz w:val="20"/>
                <w:szCs w:val="20"/>
              </w:rPr>
              <w:t>Episodicity:</w:t>
            </w:r>
          </w:p>
        </w:tc>
        <w:tc>
          <w:tcPr>
            <w:tcW w:w="3781" w:type="pct"/>
            <w:gridSpan w:val="5"/>
            <w:tcBorders>
              <w:top w:val="single" w:sz="4" w:space="0" w:color="auto"/>
              <w:left w:val="single" w:sz="4" w:space="0" w:color="auto"/>
              <w:bottom w:val="single" w:sz="4" w:space="0" w:color="auto"/>
              <w:right w:val="single" w:sz="4" w:space="0" w:color="auto"/>
            </w:tcBorders>
          </w:tcPr>
          <w:p w:rsidR="00F80BC0" w:rsidRPr="00D37E3F" w:rsidRDefault="00F80BC0" w:rsidP="00371624">
            <w:pPr>
              <w:spacing w:before="40" w:after="40"/>
              <w:rPr>
                <w:rFonts w:ascii="Arial Narrow" w:hAnsi="Arial Narrow" w:cs="Arial"/>
                <w:sz w:val="20"/>
                <w:szCs w:val="20"/>
              </w:rPr>
            </w:pPr>
            <w:r w:rsidRPr="00D37E3F">
              <w:rPr>
                <w:rFonts w:ascii="Arial Narrow" w:hAnsi="Arial Narrow" w:cs="Arial"/>
                <w:sz w:val="20"/>
                <w:szCs w:val="20"/>
              </w:rPr>
              <w:t>Chronic</w:t>
            </w:r>
          </w:p>
        </w:tc>
      </w:tr>
      <w:tr w:rsidR="00F80BC0" w:rsidRPr="00D37E3F" w:rsidTr="00310FEC">
        <w:trPr>
          <w:gridAfter w:val="1"/>
          <w:wAfter w:w="39" w:type="pct"/>
          <w:cantSplit/>
          <w:trHeight w:val="360"/>
        </w:trPr>
        <w:tc>
          <w:tcPr>
            <w:tcW w:w="1180" w:type="pct"/>
            <w:tcBorders>
              <w:top w:val="single" w:sz="4" w:space="0" w:color="auto"/>
              <w:left w:val="single" w:sz="4" w:space="0" w:color="auto"/>
              <w:bottom w:val="single" w:sz="4" w:space="0" w:color="auto"/>
              <w:right w:val="single" w:sz="4" w:space="0" w:color="auto"/>
            </w:tcBorders>
          </w:tcPr>
          <w:p w:rsidR="00F80BC0" w:rsidRPr="00D37E3F" w:rsidRDefault="00F80BC0" w:rsidP="00371624">
            <w:pPr>
              <w:spacing w:before="40" w:after="40"/>
              <w:jc w:val="both"/>
              <w:rPr>
                <w:rFonts w:ascii="Arial Narrow" w:hAnsi="Arial Narrow" w:cs="Arial"/>
                <w:b/>
                <w:sz w:val="20"/>
                <w:szCs w:val="20"/>
              </w:rPr>
            </w:pPr>
            <w:r w:rsidRPr="00D37E3F">
              <w:rPr>
                <w:rFonts w:ascii="Arial Narrow" w:hAnsi="Arial Narrow" w:cs="Arial"/>
                <w:b/>
                <w:sz w:val="20"/>
                <w:szCs w:val="20"/>
              </w:rPr>
              <w:t>Condition:</w:t>
            </w:r>
          </w:p>
        </w:tc>
        <w:tc>
          <w:tcPr>
            <w:tcW w:w="3781" w:type="pct"/>
            <w:gridSpan w:val="5"/>
            <w:tcBorders>
              <w:top w:val="single" w:sz="4" w:space="0" w:color="auto"/>
              <w:left w:val="single" w:sz="4" w:space="0" w:color="auto"/>
              <w:bottom w:val="single" w:sz="4" w:space="0" w:color="auto"/>
              <w:right w:val="single" w:sz="4" w:space="0" w:color="auto"/>
            </w:tcBorders>
          </w:tcPr>
          <w:p w:rsidR="00F80BC0" w:rsidRPr="00D37E3F" w:rsidRDefault="00F80BC0" w:rsidP="00371624">
            <w:pPr>
              <w:spacing w:before="40" w:after="40"/>
              <w:rPr>
                <w:rFonts w:ascii="Arial Narrow" w:hAnsi="Arial Narrow" w:cs="Arial"/>
                <w:sz w:val="20"/>
                <w:szCs w:val="20"/>
              </w:rPr>
            </w:pPr>
            <w:r w:rsidRPr="00D37E3F">
              <w:rPr>
                <w:rFonts w:ascii="Arial Narrow" w:hAnsi="Arial Narrow" w:cs="Arial"/>
                <w:sz w:val="20"/>
                <w:szCs w:val="20"/>
              </w:rPr>
              <w:t>Breathlessness</w:t>
            </w:r>
          </w:p>
        </w:tc>
      </w:tr>
      <w:tr w:rsidR="00F80BC0" w:rsidRPr="00D37E3F" w:rsidTr="00310FEC">
        <w:trPr>
          <w:gridAfter w:val="1"/>
          <w:wAfter w:w="39" w:type="pct"/>
          <w:cantSplit/>
          <w:trHeight w:val="360"/>
        </w:trPr>
        <w:tc>
          <w:tcPr>
            <w:tcW w:w="1180" w:type="pct"/>
            <w:tcBorders>
              <w:top w:val="single" w:sz="4" w:space="0" w:color="auto"/>
              <w:left w:val="single" w:sz="4" w:space="0" w:color="auto"/>
              <w:bottom w:val="single" w:sz="4" w:space="0" w:color="auto"/>
              <w:right w:val="single" w:sz="4" w:space="0" w:color="auto"/>
            </w:tcBorders>
          </w:tcPr>
          <w:p w:rsidR="00F80BC0" w:rsidRPr="00D37E3F" w:rsidRDefault="00F80BC0" w:rsidP="00371624">
            <w:pPr>
              <w:spacing w:before="40" w:after="40"/>
              <w:jc w:val="both"/>
              <w:rPr>
                <w:rFonts w:ascii="Arial Narrow" w:hAnsi="Arial Narrow" w:cs="Arial"/>
                <w:b/>
                <w:sz w:val="20"/>
                <w:szCs w:val="20"/>
              </w:rPr>
            </w:pPr>
            <w:r w:rsidRPr="00D37E3F">
              <w:rPr>
                <w:rFonts w:ascii="Arial Narrow" w:hAnsi="Arial Narrow" w:cs="Arial"/>
                <w:b/>
                <w:sz w:val="20"/>
                <w:szCs w:val="20"/>
              </w:rPr>
              <w:t>PBS Indication:</w:t>
            </w:r>
          </w:p>
        </w:tc>
        <w:tc>
          <w:tcPr>
            <w:tcW w:w="3781" w:type="pct"/>
            <w:gridSpan w:val="5"/>
            <w:tcBorders>
              <w:top w:val="single" w:sz="4" w:space="0" w:color="auto"/>
              <w:left w:val="single" w:sz="4" w:space="0" w:color="auto"/>
              <w:bottom w:val="single" w:sz="4" w:space="0" w:color="auto"/>
              <w:right w:val="single" w:sz="4" w:space="0" w:color="auto"/>
            </w:tcBorders>
          </w:tcPr>
          <w:p w:rsidR="00F80BC0" w:rsidRPr="00D37E3F" w:rsidRDefault="00F80BC0" w:rsidP="00371624">
            <w:pPr>
              <w:rPr>
                <w:rFonts w:ascii="Arial Narrow" w:hAnsi="Arial Narrow" w:cs="Arial"/>
                <w:sz w:val="20"/>
                <w:szCs w:val="20"/>
              </w:rPr>
            </w:pPr>
            <w:r w:rsidRPr="00D37E3F">
              <w:rPr>
                <w:rFonts w:ascii="Arial Narrow" w:hAnsi="Arial Narrow" w:cs="Arial"/>
                <w:sz w:val="20"/>
                <w:szCs w:val="20"/>
              </w:rPr>
              <w:t>Chronic breathlessness</w:t>
            </w:r>
          </w:p>
          <w:p w:rsidR="00F80BC0" w:rsidRPr="00D37E3F" w:rsidRDefault="00F80BC0" w:rsidP="00371624">
            <w:pPr>
              <w:spacing w:before="40" w:after="40"/>
              <w:rPr>
                <w:rFonts w:ascii="Arial Narrow" w:hAnsi="Arial Narrow" w:cs="Arial"/>
                <w:sz w:val="20"/>
                <w:szCs w:val="20"/>
              </w:rPr>
            </w:pPr>
          </w:p>
        </w:tc>
      </w:tr>
      <w:tr w:rsidR="00F80BC0" w:rsidRPr="00D37E3F" w:rsidTr="00310FEC">
        <w:trPr>
          <w:gridAfter w:val="1"/>
          <w:wAfter w:w="39" w:type="pct"/>
          <w:cantSplit/>
          <w:trHeight w:val="360"/>
        </w:trPr>
        <w:tc>
          <w:tcPr>
            <w:tcW w:w="1180" w:type="pct"/>
            <w:tcBorders>
              <w:top w:val="single" w:sz="4" w:space="0" w:color="auto"/>
              <w:left w:val="single" w:sz="4" w:space="0" w:color="auto"/>
              <w:bottom w:val="single" w:sz="4" w:space="0" w:color="auto"/>
              <w:right w:val="single" w:sz="4" w:space="0" w:color="auto"/>
            </w:tcBorders>
          </w:tcPr>
          <w:p w:rsidR="00F80BC0" w:rsidRPr="00D37E3F" w:rsidRDefault="00F80BC0" w:rsidP="00371624">
            <w:pPr>
              <w:spacing w:before="40" w:after="40"/>
              <w:jc w:val="both"/>
              <w:rPr>
                <w:rFonts w:ascii="Arial Narrow" w:hAnsi="Arial Narrow" w:cs="Arial"/>
                <w:b/>
                <w:sz w:val="20"/>
                <w:szCs w:val="20"/>
              </w:rPr>
            </w:pPr>
            <w:r w:rsidRPr="00D37E3F">
              <w:rPr>
                <w:rFonts w:ascii="Arial Narrow" w:hAnsi="Arial Narrow" w:cs="Arial"/>
                <w:b/>
                <w:sz w:val="20"/>
                <w:szCs w:val="20"/>
              </w:rPr>
              <w:lastRenderedPageBreak/>
              <w:t>Restriction Level / Method:</w:t>
            </w:r>
          </w:p>
          <w:p w:rsidR="00F80BC0" w:rsidRPr="00D37E3F" w:rsidRDefault="00F80BC0" w:rsidP="00371624">
            <w:pPr>
              <w:spacing w:before="40" w:after="40"/>
              <w:rPr>
                <w:rFonts w:ascii="Arial Narrow" w:hAnsi="Arial Narrow" w:cs="Arial"/>
                <w:sz w:val="20"/>
                <w:szCs w:val="20"/>
              </w:rPr>
            </w:pPr>
          </w:p>
        </w:tc>
        <w:tc>
          <w:tcPr>
            <w:tcW w:w="3781" w:type="pct"/>
            <w:gridSpan w:val="5"/>
            <w:tcBorders>
              <w:top w:val="single" w:sz="4" w:space="0" w:color="auto"/>
              <w:left w:val="single" w:sz="4" w:space="0" w:color="auto"/>
              <w:bottom w:val="single" w:sz="4" w:space="0" w:color="auto"/>
              <w:right w:val="single" w:sz="4" w:space="0" w:color="auto"/>
            </w:tcBorders>
          </w:tcPr>
          <w:p w:rsidR="00F80BC0" w:rsidRPr="00D37E3F" w:rsidRDefault="00F80BC0" w:rsidP="00371624">
            <w:pPr>
              <w:spacing w:before="40" w:after="40"/>
              <w:rPr>
                <w:rFonts w:ascii="Arial Narrow" w:hAnsi="Arial Narrow" w:cs="Arial"/>
                <w:sz w:val="20"/>
                <w:szCs w:val="20"/>
              </w:rPr>
            </w:pPr>
            <w:r w:rsidRPr="00954069">
              <w:rPr>
                <w:rFonts w:ascii="Arial Narrow" w:hAnsi="Arial Narrow" w:cs="Arial"/>
                <w:sz w:val="20"/>
                <w:szCs w:val="20"/>
              </w:rPr>
              <w:fldChar w:fldCharType="begin">
                <w:ffData>
                  <w:name w:val="Check1"/>
                  <w:enabled/>
                  <w:calcOnExit w:val="0"/>
                  <w:checkBox>
                    <w:sizeAuto/>
                    <w:default w:val="1"/>
                  </w:checkBox>
                </w:ffData>
              </w:fldChar>
            </w:r>
            <w:r w:rsidRPr="00D37E3F">
              <w:rPr>
                <w:rFonts w:ascii="Arial Narrow" w:hAnsi="Arial Narrow" w:cs="Arial"/>
                <w:sz w:val="20"/>
                <w:szCs w:val="20"/>
              </w:rPr>
              <w:instrText xml:space="preserve"> FORMCHECKBOX </w:instrText>
            </w:r>
            <w:r w:rsidR="00310FEC">
              <w:rPr>
                <w:rFonts w:ascii="Arial Narrow" w:hAnsi="Arial Narrow" w:cs="Arial"/>
                <w:sz w:val="20"/>
                <w:szCs w:val="20"/>
              </w:rPr>
            </w:r>
            <w:r w:rsidR="00310FEC">
              <w:rPr>
                <w:rFonts w:ascii="Arial Narrow" w:hAnsi="Arial Narrow" w:cs="Arial"/>
                <w:sz w:val="20"/>
                <w:szCs w:val="20"/>
              </w:rPr>
              <w:fldChar w:fldCharType="separate"/>
            </w:r>
            <w:r w:rsidRPr="00954069">
              <w:rPr>
                <w:rFonts w:ascii="Arial Narrow" w:hAnsi="Arial Narrow" w:cs="Arial"/>
                <w:sz w:val="20"/>
                <w:szCs w:val="20"/>
              </w:rPr>
              <w:fldChar w:fldCharType="end"/>
            </w:r>
            <w:r w:rsidRPr="00D37E3F">
              <w:rPr>
                <w:rFonts w:ascii="Arial Narrow" w:hAnsi="Arial Narrow" w:cs="Arial"/>
                <w:sz w:val="20"/>
                <w:szCs w:val="20"/>
              </w:rPr>
              <w:t>Restricted benefit</w:t>
            </w:r>
          </w:p>
          <w:p w:rsidR="00F80BC0" w:rsidRPr="00D37E3F" w:rsidRDefault="00F80BC0" w:rsidP="00371624">
            <w:pPr>
              <w:spacing w:before="40" w:after="40"/>
              <w:rPr>
                <w:rFonts w:ascii="Arial Narrow" w:hAnsi="Arial Narrow" w:cs="Arial"/>
                <w:sz w:val="20"/>
                <w:szCs w:val="20"/>
              </w:rPr>
            </w:pPr>
          </w:p>
        </w:tc>
      </w:tr>
      <w:tr w:rsidR="00F80BC0" w:rsidRPr="00D37E3F" w:rsidTr="00310FEC">
        <w:trPr>
          <w:gridAfter w:val="1"/>
          <w:wAfter w:w="39" w:type="pct"/>
          <w:cantSplit/>
          <w:trHeight w:val="360"/>
        </w:trPr>
        <w:tc>
          <w:tcPr>
            <w:tcW w:w="1180" w:type="pct"/>
            <w:tcBorders>
              <w:top w:val="single" w:sz="4" w:space="0" w:color="auto"/>
              <w:left w:val="single" w:sz="4" w:space="0" w:color="auto"/>
              <w:bottom w:val="single" w:sz="4" w:space="0" w:color="auto"/>
              <w:right w:val="single" w:sz="4" w:space="0" w:color="auto"/>
            </w:tcBorders>
          </w:tcPr>
          <w:p w:rsidR="00F80BC0" w:rsidRPr="00D37E3F" w:rsidRDefault="00F80BC0" w:rsidP="00371624">
            <w:pPr>
              <w:spacing w:before="40" w:after="40"/>
              <w:jc w:val="both"/>
              <w:rPr>
                <w:rFonts w:ascii="Arial Narrow" w:hAnsi="Arial Narrow" w:cs="Arial"/>
                <w:b/>
                <w:sz w:val="20"/>
                <w:szCs w:val="20"/>
              </w:rPr>
            </w:pPr>
            <w:r w:rsidRPr="00D37E3F">
              <w:rPr>
                <w:rFonts w:ascii="Arial Narrow" w:hAnsi="Arial Narrow" w:cs="Arial"/>
                <w:b/>
                <w:sz w:val="20"/>
                <w:szCs w:val="20"/>
              </w:rPr>
              <w:t>Clinical criteria:</w:t>
            </w:r>
          </w:p>
          <w:p w:rsidR="00F80BC0" w:rsidRPr="00D37E3F" w:rsidRDefault="00F80BC0" w:rsidP="00371624">
            <w:pPr>
              <w:spacing w:before="40" w:after="40"/>
              <w:jc w:val="both"/>
              <w:rPr>
                <w:rFonts w:ascii="Arial Narrow" w:hAnsi="Arial Narrow" w:cs="Arial"/>
                <w:i/>
                <w:sz w:val="20"/>
                <w:szCs w:val="20"/>
              </w:rPr>
            </w:pPr>
          </w:p>
          <w:p w:rsidR="00F80BC0" w:rsidRPr="00D37E3F" w:rsidRDefault="00F80BC0" w:rsidP="00371624">
            <w:pPr>
              <w:spacing w:before="40" w:after="40"/>
              <w:jc w:val="both"/>
              <w:rPr>
                <w:rFonts w:ascii="Arial Narrow" w:hAnsi="Arial Narrow" w:cs="Arial"/>
                <w:sz w:val="20"/>
                <w:szCs w:val="20"/>
              </w:rPr>
            </w:pPr>
          </w:p>
        </w:tc>
        <w:tc>
          <w:tcPr>
            <w:tcW w:w="3781" w:type="pct"/>
            <w:gridSpan w:val="5"/>
            <w:tcBorders>
              <w:top w:val="single" w:sz="4" w:space="0" w:color="auto"/>
              <w:left w:val="single" w:sz="4" w:space="0" w:color="auto"/>
              <w:bottom w:val="single" w:sz="4" w:space="0" w:color="auto"/>
              <w:right w:val="single" w:sz="4" w:space="0" w:color="auto"/>
            </w:tcBorders>
          </w:tcPr>
          <w:p w:rsidR="00F80BC0" w:rsidRPr="00D37E3F" w:rsidRDefault="00F80BC0" w:rsidP="00371624">
            <w:pPr>
              <w:spacing w:before="40" w:after="40"/>
              <w:rPr>
                <w:rFonts w:ascii="Arial Narrow" w:hAnsi="Arial Narrow" w:cs="Arial"/>
                <w:sz w:val="20"/>
                <w:szCs w:val="20"/>
              </w:rPr>
            </w:pPr>
            <w:r w:rsidRPr="00D37E3F">
              <w:rPr>
                <w:rFonts w:ascii="Arial Narrow" w:hAnsi="Arial Narrow" w:cs="Arial"/>
                <w:sz w:val="20"/>
                <w:szCs w:val="20"/>
              </w:rPr>
              <w:t>Patient must be receiving palliative care</w:t>
            </w:r>
          </w:p>
          <w:p w:rsidR="00F80BC0" w:rsidRPr="00D37E3F" w:rsidRDefault="00F80BC0" w:rsidP="00371624">
            <w:pPr>
              <w:spacing w:before="40" w:after="40"/>
              <w:rPr>
                <w:rFonts w:ascii="Arial Narrow" w:hAnsi="Arial Narrow" w:cs="Arial"/>
                <w:sz w:val="20"/>
                <w:szCs w:val="20"/>
              </w:rPr>
            </w:pPr>
          </w:p>
          <w:p w:rsidR="00F80BC0" w:rsidRPr="00D37E3F" w:rsidRDefault="00F80BC0" w:rsidP="00371624">
            <w:pPr>
              <w:spacing w:before="40" w:after="40"/>
              <w:jc w:val="both"/>
              <w:rPr>
                <w:rFonts w:ascii="Arial Narrow" w:hAnsi="Arial Narrow" w:cs="Arial"/>
                <w:sz w:val="20"/>
                <w:szCs w:val="20"/>
              </w:rPr>
            </w:pPr>
          </w:p>
          <w:p w:rsidR="00F80BC0" w:rsidRPr="00D37E3F" w:rsidRDefault="00F80BC0" w:rsidP="00371624">
            <w:pPr>
              <w:spacing w:before="40" w:after="40"/>
              <w:jc w:val="both"/>
              <w:rPr>
                <w:rFonts w:ascii="Arial Narrow" w:hAnsi="Arial Narrow" w:cs="Arial"/>
                <w:sz w:val="20"/>
                <w:szCs w:val="20"/>
              </w:rPr>
            </w:pPr>
          </w:p>
        </w:tc>
      </w:tr>
      <w:tr w:rsidR="00F80BC0" w:rsidRPr="00D37E3F" w:rsidTr="00310FEC">
        <w:trPr>
          <w:gridAfter w:val="1"/>
          <w:wAfter w:w="39" w:type="pct"/>
          <w:cantSplit/>
          <w:trHeight w:val="360"/>
        </w:trPr>
        <w:tc>
          <w:tcPr>
            <w:tcW w:w="1180" w:type="pct"/>
            <w:tcBorders>
              <w:top w:val="single" w:sz="4" w:space="0" w:color="auto"/>
              <w:left w:val="single" w:sz="4" w:space="0" w:color="auto"/>
              <w:bottom w:val="single" w:sz="4" w:space="0" w:color="auto"/>
              <w:right w:val="single" w:sz="4" w:space="0" w:color="auto"/>
            </w:tcBorders>
          </w:tcPr>
          <w:p w:rsidR="00F80BC0" w:rsidRPr="00D37E3F" w:rsidRDefault="00F80BC0" w:rsidP="00371624">
            <w:pPr>
              <w:spacing w:before="40" w:after="40"/>
              <w:jc w:val="both"/>
              <w:rPr>
                <w:rFonts w:ascii="Arial Narrow" w:hAnsi="Arial Narrow" w:cs="Arial"/>
                <w:b/>
                <w:sz w:val="20"/>
                <w:szCs w:val="20"/>
              </w:rPr>
            </w:pPr>
            <w:r w:rsidRPr="00D37E3F">
              <w:rPr>
                <w:rFonts w:ascii="Arial Narrow" w:hAnsi="Arial Narrow" w:cs="Arial"/>
                <w:b/>
                <w:sz w:val="20"/>
                <w:szCs w:val="20"/>
              </w:rPr>
              <w:t>Administrative Advice</w:t>
            </w:r>
          </w:p>
          <w:p w:rsidR="00F80BC0" w:rsidRPr="00D37E3F" w:rsidRDefault="00F80BC0" w:rsidP="00371624">
            <w:pPr>
              <w:spacing w:before="40" w:after="40"/>
              <w:jc w:val="both"/>
              <w:rPr>
                <w:rFonts w:ascii="Arial Narrow" w:hAnsi="Arial Narrow" w:cs="Arial"/>
                <w:i/>
                <w:sz w:val="20"/>
                <w:szCs w:val="20"/>
              </w:rPr>
            </w:pPr>
          </w:p>
        </w:tc>
        <w:tc>
          <w:tcPr>
            <w:tcW w:w="3781" w:type="pct"/>
            <w:gridSpan w:val="5"/>
            <w:tcBorders>
              <w:top w:val="single" w:sz="4" w:space="0" w:color="auto"/>
              <w:left w:val="single" w:sz="4" w:space="0" w:color="auto"/>
              <w:bottom w:val="single" w:sz="4" w:space="0" w:color="auto"/>
              <w:right w:val="single" w:sz="4" w:space="0" w:color="auto"/>
            </w:tcBorders>
          </w:tcPr>
          <w:p w:rsidR="00F80BC0" w:rsidRPr="00D37E3F" w:rsidRDefault="00F80BC0" w:rsidP="00371624">
            <w:pPr>
              <w:spacing w:before="40" w:after="40"/>
              <w:rPr>
                <w:rFonts w:ascii="Arial Narrow" w:hAnsi="Arial Narrow" w:cs="Arial"/>
                <w:sz w:val="20"/>
                <w:szCs w:val="20"/>
              </w:rPr>
            </w:pPr>
            <w:r w:rsidRPr="00D37E3F">
              <w:rPr>
                <w:rFonts w:ascii="Arial Narrow" w:hAnsi="Arial Narrow" w:cs="Arial"/>
                <w:sz w:val="20"/>
                <w:szCs w:val="20"/>
              </w:rPr>
              <w:t>Treatment should be initiated by a specialist knowledgeable in the use of potent opioids for the management of chronic breathlessness.</w:t>
            </w:r>
          </w:p>
          <w:p w:rsidR="00F80BC0" w:rsidRPr="00D37E3F" w:rsidRDefault="00F80BC0" w:rsidP="00371624">
            <w:pPr>
              <w:spacing w:before="40" w:after="40"/>
              <w:rPr>
                <w:rFonts w:ascii="Arial Narrow" w:hAnsi="Arial Narrow" w:cs="Arial"/>
                <w:sz w:val="20"/>
                <w:szCs w:val="20"/>
              </w:rPr>
            </w:pPr>
          </w:p>
          <w:p w:rsidR="00F80BC0" w:rsidRPr="00D37E3F" w:rsidRDefault="00F80BC0" w:rsidP="00371624">
            <w:pPr>
              <w:spacing w:before="40" w:after="40"/>
              <w:rPr>
                <w:rFonts w:ascii="Arial Narrow" w:hAnsi="Arial Narrow" w:cs="Arial"/>
                <w:sz w:val="20"/>
                <w:szCs w:val="20"/>
              </w:rPr>
            </w:pPr>
            <w:r w:rsidRPr="00D37E3F">
              <w:rPr>
                <w:rFonts w:ascii="Arial Narrow" w:hAnsi="Arial Narrow" w:cs="Arial"/>
                <w:sz w:val="20"/>
                <w:szCs w:val="20"/>
              </w:rPr>
              <w:t>Applications for an increased maximum quantity to provide for 1 month’s supply of this drug will be authorised.</w:t>
            </w:r>
          </w:p>
          <w:p w:rsidR="00F80BC0" w:rsidRPr="00D37E3F" w:rsidRDefault="00F80BC0" w:rsidP="00371624">
            <w:pPr>
              <w:spacing w:before="40" w:after="40"/>
              <w:rPr>
                <w:rFonts w:ascii="Arial Narrow" w:hAnsi="Arial Narrow" w:cs="Arial"/>
                <w:sz w:val="20"/>
                <w:szCs w:val="20"/>
              </w:rPr>
            </w:pPr>
          </w:p>
          <w:p w:rsidR="00F80BC0" w:rsidRPr="00D37E3F" w:rsidRDefault="00F80BC0" w:rsidP="00371624">
            <w:pPr>
              <w:spacing w:before="40" w:after="40"/>
              <w:rPr>
                <w:rFonts w:ascii="Arial Narrow" w:hAnsi="Arial Narrow" w:cs="Arial"/>
                <w:sz w:val="20"/>
                <w:szCs w:val="20"/>
              </w:rPr>
            </w:pPr>
            <w:r w:rsidRPr="00D37E3F">
              <w:rPr>
                <w:rFonts w:ascii="Arial Narrow" w:hAnsi="Arial Narrow" w:cs="Arial"/>
                <w:sz w:val="20"/>
                <w:szCs w:val="20"/>
              </w:rPr>
              <w:t>Where consultation with a palliative care specialist or service has occurred, applications for increased repeats for up to 3 months' supply may be authorised.</w:t>
            </w:r>
          </w:p>
          <w:p w:rsidR="00F80BC0" w:rsidRPr="00D37E3F" w:rsidRDefault="00F80BC0" w:rsidP="00371624">
            <w:pPr>
              <w:spacing w:before="40" w:after="40"/>
              <w:rPr>
                <w:rFonts w:ascii="Arial Narrow" w:hAnsi="Arial Narrow" w:cs="Arial"/>
                <w:sz w:val="20"/>
                <w:szCs w:val="20"/>
              </w:rPr>
            </w:pPr>
          </w:p>
          <w:p w:rsidR="00F80BC0" w:rsidRPr="00D37E3F" w:rsidRDefault="00F80BC0" w:rsidP="00371624">
            <w:pPr>
              <w:spacing w:before="40" w:after="40"/>
              <w:rPr>
                <w:rFonts w:ascii="Arial Narrow" w:hAnsi="Arial Narrow" w:cs="Arial"/>
                <w:sz w:val="20"/>
                <w:szCs w:val="20"/>
              </w:rPr>
            </w:pPr>
            <w:r w:rsidRPr="00D37E3F">
              <w:rPr>
                <w:rFonts w:ascii="Arial Narrow" w:hAnsi="Arial Narrow" w:cs="Arial"/>
                <w:sz w:val="20"/>
                <w:szCs w:val="20"/>
              </w:rPr>
              <w:t xml:space="preserve">Shared Care Model: </w:t>
            </w:r>
          </w:p>
          <w:p w:rsidR="00F80BC0" w:rsidRPr="00D37E3F" w:rsidRDefault="00F80BC0" w:rsidP="00371624">
            <w:pPr>
              <w:spacing w:before="40" w:after="40"/>
              <w:rPr>
                <w:rFonts w:ascii="Arial Narrow" w:hAnsi="Arial Narrow" w:cs="Arial"/>
                <w:sz w:val="20"/>
                <w:szCs w:val="20"/>
              </w:rPr>
            </w:pPr>
          </w:p>
          <w:p w:rsidR="00F80BC0" w:rsidRPr="00D37E3F" w:rsidRDefault="00F80BC0" w:rsidP="00371624">
            <w:pPr>
              <w:spacing w:before="40" w:after="40"/>
              <w:rPr>
                <w:rFonts w:ascii="Arial Narrow" w:hAnsi="Arial Narrow" w:cs="Arial"/>
                <w:sz w:val="20"/>
                <w:szCs w:val="20"/>
              </w:rPr>
            </w:pPr>
            <w:r w:rsidRPr="00D37E3F">
              <w:rPr>
                <w:rFonts w:ascii="Arial Narrow" w:hAnsi="Arial Narrow" w:cs="Arial"/>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F80BC0" w:rsidRPr="00D37E3F" w:rsidTr="00310FEC">
        <w:trPr>
          <w:gridAfter w:val="1"/>
          <w:wAfter w:w="39" w:type="pct"/>
          <w:cantSplit/>
          <w:trHeight w:val="360"/>
        </w:trPr>
        <w:tc>
          <w:tcPr>
            <w:tcW w:w="1180" w:type="pct"/>
            <w:tcBorders>
              <w:top w:val="single" w:sz="4" w:space="0" w:color="auto"/>
              <w:left w:val="single" w:sz="4" w:space="0" w:color="auto"/>
              <w:bottom w:val="single" w:sz="4" w:space="0" w:color="auto"/>
              <w:right w:val="single" w:sz="4" w:space="0" w:color="auto"/>
            </w:tcBorders>
          </w:tcPr>
          <w:p w:rsidR="00F80BC0" w:rsidRPr="00D37E3F" w:rsidRDefault="00F80BC0" w:rsidP="00371624">
            <w:pPr>
              <w:spacing w:before="40" w:after="40"/>
              <w:jc w:val="both"/>
              <w:rPr>
                <w:rFonts w:ascii="Arial Narrow" w:hAnsi="Arial Narrow" w:cs="Arial"/>
                <w:b/>
                <w:sz w:val="20"/>
                <w:szCs w:val="20"/>
              </w:rPr>
            </w:pPr>
            <w:r w:rsidRPr="00D37E3F">
              <w:rPr>
                <w:rFonts w:ascii="Arial Narrow" w:hAnsi="Arial Narrow" w:cs="Arial"/>
                <w:b/>
                <w:sz w:val="20"/>
                <w:szCs w:val="20"/>
              </w:rPr>
              <w:t>Cautions</w:t>
            </w:r>
          </w:p>
          <w:p w:rsidR="00F80BC0" w:rsidRPr="00D37E3F" w:rsidRDefault="00F80BC0" w:rsidP="00371624">
            <w:pPr>
              <w:spacing w:before="40" w:after="40"/>
              <w:jc w:val="both"/>
              <w:rPr>
                <w:rFonts w:ascii="Arial Narrow" w:hAnsi="Arial Narrow" w:cs="Arial"/>
                <w:i/>
                <w:sz w:val="20"/>
                <w:szCs w:val="20"/>
              </w:rPr>
            </w:pPr>
          </w:p>
        </w:tc>
        <w:tc>
          <w:tcPr>
            <w:tcW w:w="3781" w:type="pct"/>
            <w:gridSpan w:val="5"/>
            <w:tcBorders>
              <w:top w:val="single" w:sz="4" w:space="0" w:color="auto"/>
              <w:left w:val="single" w:sz="4" w:space="0" w:color="auto"/>
              <w:bottom w:val="single" w:sz="4" w:space="0" w:color="auto"/>
              <w:right w:val="single" w:sz="4" w:space="0" w:color="auto"/>
            </w:tcBorders>
          </w:tcPr>
          <w:p w:rsidR="00F80BC0" w:rsidRPr="00D37E3F" w:rsidRDefault="00F80BC0" w:rsidP="00371624">
            <w:pPr>
              <w:spacing w:before="40" w:after="40"/>
              <w:rPr>
                <w:rFonts w:ascii="Arial Narrow" w:hAnsi="Arial Narrow" w:cs="Arial"/>
                <w:sz w:val="20"/>
                <w:szCs w:val="20"/>
              </w:rPr>
            </w:pPr>
            <w:r w:rsidRPr="00D37E3F">
              <w:rPr>
                <w:rFonts w:ascii="Arial Narrow" w:hAnsi="Arial Narrow" w:cs="Arial"/>
                <w:sz w:val="20"/>
                <w:szCs w:val="20"/>
              </w:rPr>
              <w:t>The risk of drug dependence is high.</w:t>
            </w:r>
          </w:p>
          <w:p w:rsidR="00F80BC0" w:rsidRPr="00D37E3F" w:rsidRDefault="00F80BC0" w:rsidP="00371624">
            <w:pPr>
              <w:spacing w:before="40" w:after="40"/>
              <w:rPr>
                <w:rFonts w:ascii="Arial Narrow" w:hAnsi="Arial Narrow" w:cs="Arial"/>
                <w:sz w:val="20"/>
                <w:szCs w:val="20"/>
              </w:rPr>
            </w:pPr>
          </w:p>
          <w:p w:rsidR="00F80BC0" w:rsidRPr="00D37E3F" w:rsidRDefault="00F80BC0" w:rsidP="00371624">
            <w:pPr>
              <w:spacing w:before="40" w:after="40"/>
              <w:rPr>
                <w:rFonts w:ascii="Arial Narrow" w:hAnsi="Arial Narrow" w:cs="Arial"/>
                <w:sz w:val="20"/>
                <w:szCs w:val="20"/>
              </w:rPr>
            </w:pPr>
            <w:r w:rsidRPr="00D37E3F">
              <w:rPr>
                <w:rFonts w:ascii="Arial Narrow" w:hAnsi="Arial Narrow" w:cs="Arial"/>
                <w:sz w:val="20"/>
                <w:szCs w:val="20"/>
              </w:rPr>
              <w:t xml:space="preserve">Morphine </w:t>
            </w:r>
            <w:proofErr w:type="spellStart"/>
            <w:r w:rsidRPr="00D37E3F">
              <w:rPr>
                <w:rFonts w:ascii="Arial Narrow" w:hAnsi="Arial Narrow" w:cs="Arial"/>
                <w:sz w:val="20"/>
                <w:szCs w:val="20"/>
              </w:rPr>
              <w:t>sulfate</w:t>
            </w:r>
            <w:proofErr w:type="spellEnd"/>
            <w:r w:rsidRPr="00D37E3F">
              <w:rPr>
                <w:rFonts w:ascii="Arial Narrow" w:hAnsi="Arial Narrow" w:cs="Arial"/>
                <w:sz w:val="20"/>
                <w:szCs w:val="20"/>
              </w:rPr>
              <w:t xml:space="preserve"> pentahydrate 10 and 20 mg modified release capsules must not be co-prescribed with immediate release oral morphine, when it has been prescribed for the reduction of chronic breathlessness.</w:t>
            </w:r>
          </w:p>
        </w:tc>
      </w:tr>
    </w:tbl>
    <w:p w:rsidR="00D132D0" w:rsidRPr="00DA5C40" w:rsidRDefault="00D132D0" w:rsidP="00DA5C40">
      <w:pPr>
        <w:pStyle w:val="PBACHeading1"/>
        <w:spacing w:before="240" w:after="120"/>
        <w:ind w:left="709" w:hanging="709"/>
        <w:rPr>
          <w:rFonts w:asciiTheme="minorHAnsi" w:hAnsiTheme="minorHAnsi"/>
          <w:sz w:val="32"/>
          <w:szCs w:val="32"/>
        </w:rPr>
      </w:pPr>
      <w:r w:rsidRPr="00DA5C40">
        <w:rPr>
          <w:rFonts w:asciiTheme="minorHAnsi" w:hAnsiTheme="minorHAnsi"/>
          <w:sz w:val="32"/>
          <w:szCs w:val="32"/>
        </w:rPr>
        <w:t xml:space="preserve">Context for </w:t>
      </w:r>
      <w:r w:rsidRPr="00DE1E64">
        <w:rPr>
          <w:rFonts w:asciiTheme="minorHAnsi" w:hAnsiTheme="minorHAnsi"/>
          <w:sz w:val="32"/>
          <w:szCs w:val="32"/>
        </w:rPr>
        <w:t>Decision</w:t>
      </w:r>
    </w:p>
    <w:p w:rsidR="00D132D0" w:rsidRPr="009D48AB" w:rsidRDefault="00D132D0" w:rsidP="00160BF8">
      <w:pPr>
        <w:pStyle w:val="ListParagraph"/>
        <w:widowControl/>
        <w:spacing w:after="120"/>
        <w:contextualSpacing w:val="0"/>
        <w:rPr>
          <w:rFonts w:asciiTheme="minorHAnsi" w:eastAsiaTheme="minorHAnsi" w:hAnsiTheme="minorHAnsi" w:cstheme="minorBidi"/>
          <w:snapToGrid/>
          <w:sz w:val="24"/>
          <w:szCs w:val="22"/>
        </w:rPr>
      </w:pPr>
      <w:r w:rsidRPr="009D48AB">
        <w:rPr>
          <w:rFonts w:asciiTheme="minorHAnsi" w:eastAsiaTheme="minorHAnsi" w:hAnsiTheme="minorHAnsi" w:cstheme="minorBidi"/>
          <w:snapToGrid/>
          <w:sz w:val="24"/>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bookmarkStart w:id="7" w:name="_GoBack"/>
      <w:bookmarkEnd w:id="7"/>
    </w:p>
    <w:p w:rsidR="00D132D0" w:rsidRPr="00DA5C40" w:rsidRDefault="00D132D0" w:rsidP="00DA5C40">
      <w:pPr>
        <w:pStyle w:val="PBACHeading1"/>
        <w:spacing w:before="240" w:after="120"/>
        <w:ind w:left="709" w:hanging="709"/>
        <w:rPr>
          <w:rFonts w:asciiTheme="minorHAnsi" w:hAnsiTheme="minorHAnsi"/>
          <w:sz w:val="32"/>
          <w:szCs w:val="32"/>
        </w:rPr>
      </w:pPr>
      <w:r w:rsidRPr="00DA5C40">
        <w:rPr>
          <w:rFonts w:asciiTheme="minorHAnsi" w:hAnsiTheme="minorHAnsi"/>
          <w:sz w:val="32"/>
          <w:szCs w:val="32"/>
        </w:rPr>
        <w:t>Sponsor’s Comment</w:t>
      </w:r>
    </w:p>
    <w:p w:rsidR="00DE40DF" w:rsidRPr="00DA5C40" w:rsidRDefault="00D132D0" w:rsidP="00DA5C40">
      <w:pPr>
        <w:pStyle w:val="ListParagraph"/>
        <w:widowControl/>
        <w:spacing w:after="120"/>
        <w:contextualSpacing w:val="0"/>
        <w:rPr>
          <w:rFonts w:asciiTheme="minorHAnsi" w:eastAsiaTheme="minorHAnsi" w:hAnsiTheme="minorHAnsi" w:cstheme="minorBidi"/>
          <w:snapToGrid/>
          <w:sz w:val="24"/>
          <w:szCs w:val="22"/>
        </w:rPr>
      </w:pPr>
      <w:r w:rsidRPr="009D48AB">
        <w:rPr>
          <w:rFonts w:asciiTheme="minorHAnsi" w:eastAsiaTheme="minorHAnsi" w:hAnsiTheme="minorHAnsi" w:cstheme="minorBidi"/>
          <w:snapToGrid/>
          <w:sz w:val="24"/>
          <w:szCs w:val="22"/>
        </w:rPr>
        <w:t>The sponsor had no comment.</w:t>
      </w:r>
    </w:p>
    <w:sectPr w:rsidR="00DE40DF" w:rsidRPr="00DA5C40"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B58" w:rsidRDefault="00406B58">
      <w:r>
        <w:separator/>
      </w:r>
    </w:p>
    <w:p w:rsidR="00406B58" w:rsidRDefault="00406B58"/>
  </w:endnote>
  <w:endnote w:type="continuationSeparator" w:id="0">
    <w:p w:rsidR="00406B58" w:rsidRDefault="00406B58">
      <w:r>
        <w:continuationSeparator/>
      </w:r>
    </w:p>
    <w:p w:rsidR="00406B58" w:rsidRDefault="00406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709DE" w:rsidRPr="00C343C5" w:rsidTr="005A3173">
      <w:trPr>
        <w:trHeight w:val="151"/>
      </w:trPr>
      <w:tc>
        <w:tcPr>
          <w:tcW w:w="2250" w:type="pct"/>
          <w:tcBorders>
            <w:top w:val="nil"/>
            <w:left w:val="nil"/>
            <w:bottom w:val="single" w:sz="4" w:space="0" w:color="4F81BD"/>
            <w:right w:val="nil"/>
          </w:tcBorders>
        </w:tcPr>
        <w:p w:rsidR="006709DE" w:rsidRPr="00C343C5" w:rsidRDefault="006709D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709DE" w:rsidRPr="00C343C5" w:rsidRDefault="006709DE" w:rsidP="005A3173">
          <w:pPr>
            <w:pStyle w:val="MediumGrid21"/>
            <w:spacing w:line="276" w:lineRule="auto"/>
            <w:rPr>
              <w:rFonts w:ascii="Calibri" w:hAnsi="Calibri"/>
              <w:b/>
              <w:color w:val="365F91"/>
            </w:rPr>
          </w:pPr>
          <w:r w:rsidRPr="00C343C5">
            <w:rPr>
              <w:rFonts w:ascii="Cambria" w:hAnsi="Cambria"/>
              <w:b/>
              <w:color w:val="365F91"/>
            </w:rPr>
            <w:t>[Type text]</w:t>
          </w:r>
        </w:p>
      </w:tc>
      <w:tc>
        <w:tcPr>
          <w:tcW w:w="2250" w:type="pct"/>
          <w:tcBorders>
            <w:top w:val="nil"/>
            <w:left w:val="nil"/>
            <w:bottom w:val="single" w:sz="4" w:space="0" w:color="4F81BD"/>
            <w:right w:val="nil"/>
          </w:tcBorders>
        </w:tcPr>
        <w:p w:rsidR="006709DE" w:rsidRPr="00C343C5" w:rsidRDefault="006709DE" w:rsidP="005A3173">
          <w:pPr>
            <w:pStyle w:val="Header"/>
            <w:spacing w:line="276" w:lineRule="auto"/>
            <w:rPr>
              <w:rFonts w:ascii="Calibri" w:eastAsia="MS Gothic" w:hAnsi="Calibri"/>
              <w:b/>
              <w:bCs/>
              <w:color w:val="4F81BD"/>
            </w:rPr>
          </w:pPr>
        </w:p>
      </w:tc>
    </w:tr>
    <w:tr w:rsidR="006709DE" w:rsidRPr="00C343C5" w:rsidTr="005A3173">
      <w:trPr>
        <w:trHeight w:val="150"/>
      </w:trPr>
      <w:tc>
        <w:tcPr>
          <w:tcW w:w="2250" w:type="pct"/>
          <w:tcBorders>
            <w:top w:val="single" w:sz="4" w:space="0" w:color="4F81BD"/>
            <w:left w:val="nil"/>
            <w:bottom w:val="nil"/>
            <w:right w:val="nil"/>
          </w:tcBorders>
        </w:tcPr>
        <w:p w:rsidR="006709DE" w:rsidRPr="00C343C5" w:rsidRDefault="006709DE" w:rsidP="005A3173">
          <w:pPr>
            <w:pStyle w:val="Header"/>
            <w:spacing w:line="276" w:lineRule="auto"/>
            <w:rPr>
              <w:rFonts w:ascii="Calibri" w:eastAsia="MS Gothic" w:hAnsi="Calibri"/>
              <w:b/>
              <w:bCs/>
              <w:color w:val="4F81BD"/>
            </w:rPr>
          </w:pPr>
        </w:p>
      </w:tc>
      <w:tc>
        <w:tcPr>
          <w:tcW w:w="0" w:type="auto"/>
          <w:vMerge/>
          <w:vAlign w:val="center"/>
          <w:hideMark/>
        </w:tcPr>
        <w:p w:rsidR="006709DE" w:rsidRPr="00C343C5" w:rsidRDefault="006709DE" w:rsidP="005A3173">
          <w:pPr>
            <w:rPr>
              <w:rFonts w:ascii="Calibri" w:hAnsi="Calibri"/>
              <w:b/>
              <w:color w:val="365F91"/>
              <w:sz w:val="22"/>
              <w:szCs w:val="22"/>
            </w:rPr>
          </w:pPr>
        </w:p>
      </w:tc>
      <w:tc>
        <w:tcPr>
          <w:tcW w:w="2250" w:type="pct"/>
          <w:tcBorders>
            <w:top w:val="single" w:sz="4" w:space="0" w:color="4F81BD"/>
            <w:left w:val="nil"/>
            <w:bottom w:val="nil"/>
            <w:right w:val="nil"/>
          </w:tcBorders>
        </w:tcPr>
        <w:p w:rsidR="006709DE" w:rsidRPr="00C343C5" w:rsidRDefault="006709DE" w:rsidP="005A3173">
          <w:pPr>
            <w:pStyle w:val="Header"/>
            <w:spacing w:line="276" w:lineRule="auto"/>
            <w:rPr>
              <w:rFonts w:ascii="Calibri" w:eastAsia="MS Gothic" w:hAnsi="Calibri"/>
              <w:b/>
              <w:bCs/>
              <w:color w:val="4F81BD"/>
            </w:rPr>
          </w:pPr>
        </w:p>
      </w:tc>
    </w:tr>
  </w:tbl>
  <w:p w:rsidR="006709DE" w:rsidRPr="00C343C5" w:rsidRDefault="006709DE" w:rsidP="00653D69">
    <w:pPr>
      <w:pStyle w:val="Footer"/>
      <w:framePr w:wrap="around" w:vAnchor="text" w:hAnchor="margin" w:xAlign="center" w:y="1"/>
      <w:rPr>
        <w:rStyle w:val="PageNumber"/>
        <w:b/>
      </w:rPr>
    </w:pPr>
    <w:r w:rsidRPr="00C343C5">
      <w:rPr>
        <w:rStyle w:val="PageNumber"/>
        <w:b/>
      </w:rPr>
      <w:fldChar w:fldCharType="begin"/>
    </w:r>
    <w:r w:rsidRPr="00C343C5">
      <w:rPr>
        <w:rStyle w:val="PageNumber"/>
        <w:b/>
      </w:rPr>
      <w:instrText xml:space="preserve">PAGE  </w:instrText>
    </w:r>
    <w:r w:rsidRPr="00C343C5">
      <w:rPr>
        <w:rStyle w:val="PageNumber"/>
        <w:b/>
      </w:rPr>
      <w:fldChar w:fldCharType="end"/>
    </w:r>
  </w:p>
  <w:p w:rsidR="006709DE" w:rsidRPr="00C343C5" w:rsidRDefault="006709DE">
    <w:pPr>
      <w:pStyle w:val="Footer"/>
      <w:rPr>
        <w:b/>
      </w:rPr>
    </w:pPr>
  </w:p>
  <w:p w:rsidR="006709DE" w:rsidRPr="00C343C5" w:rsidRDefault="006709DE">
    <w:pPr>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315651463"/>
      <w:docPartObj>
        <w:docPartGallery w:val="Page Numbers (Bottom of Page)"/>
        <w:docPartUnique/>
      </w:docPartObj>
    </w:sdtPr>
    <w:sdtEndPr>
      <w:rPr>
        <w:rFonts w:asciiTheme="minorHAnsi" w:hAnsiTheme="minorHAnsi" w:cstheme="minorHAnsi"/>
        <w:noProof/>
      </w:rPr>
    </w:sdtEndPr>
    <w:sdtContent>
      <w:p w:rsidR="006709DE" w:rsidRPr="00C343C5" w:rsidRDefault="006709DE">
        <w:pPr>
          <w:pStyle w:val="Footer"/>
          <w:jc w:val="center"/>
          <w:rPr>
            <w:rFonts w:asciiTheme="minorHAnsi" w:hAnsiTheme="minorHAnsi" w:cstheme="minorHAnsi"/>
            <w:b/>
          </w:rPr>
        </w:pPr>
        <w:r w:rsidRPr="00C343C5">
          <w:rPr>
            <w:rFonts w:asciiTheme="minorHAnsi" w:hAnsiTheme="minorHAnsi" w:cstheme="minorHAnsi"/>
            <w:b/>
          </w:rPr>
          <w:fldChar w:fldCharType="begin"/>
        </w:r>
        <w:r w:rsidRPr="00C343C5">
          <w:rPr>
            <w:rFonts w:asciiTheme="minorHAnsi" w:hAnsiTheme="minorHAnsi" w:cstheme="minorHAnsi"/>
            <w:b/>
          </w:rPr>
          <w:instrText xml:space="preserve"> PAGE   \* MERGEFORMAT </w:instrText>
        </w:r>
        <w:r w:rsidRPr="00C343C5">
          <w:rPr>
            <w:rFonts w:asciiTheme="minorHAnsi" w:hAnsiTheme="minorHAnsi" w:cstheme="minorHAnsi"/>
            <w:b/>
          </w:rPr>
          <w:fldChar w:fldCharType="separate"/>
        </w:r>
        <w:r w:rsidR="00310FEC">
          <w:rPr>
            <w:rFonts w:asciiTheme="minorHAnsi" w:hAnsiTheme="minorHAnsi" w:cstheme="minorHAnsi"/>
            <w:b/>
            <w:noProof/>
          </w:rPr>
          <w:t>1</w:t>
        </w:r>
        <w:r w:rsidRPr="00C343C5">
          <w:rPr>
            <w:rFonts w:asciiTheme="minorHAnsi" w:hAnsiTheme="minorHAnsi" w:cstheme="minorHAnsi"/>
            <w:b/>
            <w:noProof/>
          </w:rPr>
          <w:fldChar w:fldCharType="end"/>
        </w:r>
      </w:p>
    </w:sdtContent>
  </w:sdt>
  <w:p w:rsidR="006709DE" w:rsidRDefault="006709DE" w:rsidP="00EF44A0">
    <w:pPr>
      <w:pStyle w:val="Footer"/>
      <w:jc w:val="center"/>
      <w:rPr>
        <w:rFonts w:ascii="Arial" w:hAnsi="Arial" w:cs="Arial"/>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6709DE" w:rsidTr="005A3173">
      <w:trPr>
        <w:trHeight w:val="151"/>
      </w:trPr>
      <w:tc>
        <w:tcPr>
          <w:tcW w:w="2250" w:type="pct"/>
          <w:tcBorders>
            <w:top w:val="nil"/>
            <w:left w:val="nil"/>
            <w:bottom w:val="single" w:sz="4" w:space="0" w:color="4F81BD"/>
            <w:right w:val="nil"/>
          </w:tcBorders>
        </w:tcPr>
        <w:p w:rsidR="006709DE" w:rsidRPr="005A3173" w:rsidRDefault="006709D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709DE" w:rsidRPr="005A3173" w:rsidRDefault="006709D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709DE" w:rsidRPr="005A3173" w:rsidRDefault="006709DE" w:rsidP="005A3173">
          <w:pPr>
            <w:pStyle w:val="Header"/>
            <w:spacing w:line="276" w:lineRule="auto"/>
            <w:rPr>
              <w:rFonts w:ascii="Calibri" w:eastAsia="MS Gothic" w:hAnsi="Calibri"/>
              <w:b/>
              <w:bCs/>
              <w:color w:val="4F81BD"/>
            </w:rPr>
          </w:pPr>
        </w:p>
      </w:tc>
    </w:tr>
    <w:tr w:rsidR="006709DE" w:rsidTr="005A3173">
      <w:trPr>
        <w:trHeight w:val="150"/>
      </w:trPr>
      <w:tc>
        <w:tcPr>
          <w:tcW w:w="2250" w:type="pct"/>
          <w:tcBorders>
            <w:top w:val="single" w:sz="4" w:space="0" w:color="4F81BD"/>
            <w:left w:val="nil"/>
            <w:bottom w:val="nil"/>
            <w:right w:val="nil"/>
          </w:tcBorders>
        </w:tcPr>
        <w:p w:rsidR="006709DE" w:rsidRPr="005A3173" w:rsidRDefault="006709DE" w:rsidP="005A3173">
          <w:pPr>
            <w:pStyle w:val="Header"/>
            <w:spacing w:line="276" w:lineRule="auto"/>
            <w:rPr>
              <w:rFonts w:ascii="Calibri" w:eastAsia="MS Gothic" w:hAnsi="Calibri"/>
              <w:b/>
              <w:bCs/>
              <w:color w:val="4F81BD"/>
            </w:rPr>
          </w:pPr>
        </w:p>
      </w:tc>
      <w:tc>
        <w:tcPr>
          <w:tcW w:w="0" w:type="auto"/>
          <w:vMerge/>
          <w:vAlign w:val="center"/>
          <w:hideMark/>
        </w:tcPr>
        <w:p w:rsidR="006709DE" w:rsidRPr="005A3173" w:rsidRDefault="006709DE" w:rsidP="005A3173">
          <w:pPr>
            <w:rPr>
              <w:rFonts w:ascii="Calibri" w:hAnsi="Calibri"/>
              <w:color w:val="365F91"/>
              <w:sz w:val="22"/>
              <w:szCs w:val="22"/>
            </w:rPr>
          </w:pPr>
        </w:p>
      </w:tc>
      <w:tc>
        <w:tcPr>
          <w:tcW w:w="2250" w:type="pct"/>
          <w:tcBorders>
            <w:top w:val="single" w:sz="4" w:space="0" w:color="4F81BD"/>
            <w:left w:val="nil"/>
            <w:bottom w:val="nil"/>
            <w:right w:val="nil"/>
          </w:tcBorders>
        </w:tcPr>
        <w:p w:rsidR="006709DE" w:rsidRPr="005A3173" w:rsidRDefault="006709DE"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709DE" w:rsidTr="005A3173">
      <w:trPr>
        <w:trHeight w:val="151"/>
      </w:trPr>
      <w:tc>
        <w:tcPr>
          <w:tcW w:w="2250" w:type="pct"/>
          <w:tcBorders>
            <w:top w:val="nil"/>
            <w:left w:val="nil"/>
            <w:bottom w:val="single" w:sz="4" w:space="0" w:color="4F81BD"/>
            <w:right w:val="nil"/>
          </w:tcBorders>
        </w:tcPr>
        <w:p w:rsidR="006709DE" w:rsidRPr="005A3173" w:rsidRDefault="006709D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709DE" w:rsidRPr="005A3173" w:rsidRDefault="006709D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709DE" w:rsidRPr="005A3173" w:rsidRDefault="006709DE" w:rsidP="005A3173">
          <w:pPr>
            <w:pStyle w:val="Header"/>
            <w:spacing w:line="276" w:lineRule="auto"/>
            <w:rPr>
              <w:rFonts w:ascii="Calibri" w:eastAsia="MS Gothic" w:hAnsi="Calibri"/>
              <w:b/>
              <w:bCs/>
              <w:color w:val="4F81BD"/>
            </w:rPr>
          </w:pPr>
        </w:p>
      </w:tc>
    </w:tr>
    <w:tr w:rsidR="006709DE" w:rsidTr="005A3173">
      <w:trPr>
        <w:trHeight w:val="150"/>
      </w:trPr>
      <w:tc>
        <w:tcPr>
          <w:tcW w:w="2250" w:type="pct"/>
          <w:tcBorders>
            <w:top w:val="single" w:sz="4" w:space="0" w:color="4F81BD"/>
            <w:left w:val="nil"/>
            <w:bottom w:val="nil"/>
            <w:right w:val="nil"/>
          </w:tcBorders>
        </w:tcPr>
        <w:p w:rsidR="006709DE" w:rsidRPr="005A3173" w:rsidRDefault="006709DE" w:rsidP="005A3173">
          <w:pPr>
            <w:pStyle w:val="Header"/>
            <w:spacing w:line="276" w:lineRule="auto"/>
            <w:rPr>
              <w:rFonts w:ascii="Calibri" w:eastAsia="MS Gothic" w:hAnsi="Calibri"/>
              <w:b/>
              <w:bCs/>
              <w:color w:val="4F81BD"/>
            </w:rPr>
          </w:pPr>
        </w:p>
      </w:tc>
      <w:tc>
        <w:tcPr>
          <w:tcW w:w="0" w:type="auto"/>
          <w:vMerge/>
          <w:vAlign w:val="center"/>
          <w:hideMark/>
        </w:tcPr>
        <w:p w:rsidR="006709DE" w:rsidRPr="005A3173" w:rsidRDefault="006709DE" w:rsidP="005A3173">
          <w:pPr>
            <w:rPr>
              <w:rFonts w:ascii="Calibri" w:hAnsi="Calibri"/>
              <w:color w:val="365F91"/>
              <w:sz w:val="22"/>
              <w:szCs w:val="22"/>
            </w:rPr>
          </w:pPr>
        </w:p>
      </w:tc>
      <w:tc>
        <w:tcPr>
          <w:tcW w:w="2250" w:type="pct"/>
          <w:tcBorders>
            <w:top w:val="single" w:sz="4" w:space="0" w:color="4F81BD"/>
            <w:left w:val="nil"/>
            <w:bottom w:val="nil"/>
            <w:right w:val="nil"/>
          </w:tcBorders>
        </w:tcPr>
        <w:p w:rsidR="006709DE" w:rsidRPr="005A3173" w:rsidRDefault="006709DE" w:rsidP="005A3173">
          <w:pPr>
            <w:pStyle w:val="Header"/>
            <w:spacing w:line="276" w:lineRule="auto"/>
            <w:rPr>
              <w:rFonts w:ascii="Calibri" w:eastAsia="MS Gothic" w:hAnsi="Calibri"/>
              <w:b/>
              <w:bCs/>
              <w:color w:val="4F81BD"/>
            </w:rPr>
          </w:pPr>
        </w:p>
      </w:tc>
    </w:tr>
  </w:tbl>
  <w:p w:rsidR="006709DE" w:rsidRPr="007C0F57" w:rsidRDefault="006709D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709DE" w:rsidRPr="007C0F57" w:rsidRDefault="006709DE" w:rsidP="007C0F57">
    <w:pPr>
      <w:pStyle w:val="Footer"/>
      <w:jc w:val="center"/>
      <w:rPr>
        <w:b/>
        <w:i/>
        <w:sz w:val="20"/>
        <w:szCs w:val="20"/>
      </w:rPr>
    </w:pPr>
    <w:r w:rsidRPr="007C0F57">
      <w:rPr>
        <w:b/>
        <w:i/>
        <w:sz w:val="20"/>
        <w:szCs w:val="20"/>
      </w:rPr>
      <w:t>Commercial-in-Confidence</w:t>
    </w:r>
  </w:p>
  <w:p w:rsidR="006709DE" w:rsidRDefault="006709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B58" w:rsidRDefault="00406B58">
      <w:r>
        <w:separator/>
      </w:r>
    </w:p>
    <w:p w:rsidR="00406B58" w:rsidRDefault="00406B58"/>
  </w:footnote>
  <w:footnote w:type="continuationSeparator" w:id="0">
    <w:p w:rsidR="00406B58" w:rsidRDefault="00406B58">
      <w:r>
        <w:continuationSeparator/>
      </w:r>
    </w:p>
    <w:p w:rsidR="00406B58" w:rsidRDefault="00406B58"/>
  </w:footnote>
  <w:footnote w:id="1">
    <w:p w:rsidR="006709DE" w:rsidRPr="00906AA4" w:rsidRDefault="006709DE">
      <w:pPr>
        <w:pStyle w:val="FootnoteText"/>
        <w:rPr>
          <w:rFonts w:asciiTheme="minorHAnsi" w:hAnsiTheme="minorHAnsi" w:cstheme="minorHAnsi"/>
        </w:rPr>
      </w:pPr>
      <w:r w:rsidRPr="00906AA4">
        <w:rPr>
          <w:rStyle w:val="FootnoteReference"/>
          <w:rFonts w:asciiTheme="minorHAnsi" w:hAnsiTheme="minorHAnsi" w:cstheme="minorHAnsi"/>
        </w:rPr>
        <w:footnoteRef/>
      </w:r>
      <w:r w:rsidRPr="00906AA4">
        <w:rPr>
          <w:rFonts w:asciiTheme="minorHAnsi" w:hAnsiTheme="minorHAnsi" w:cstheme="minorHAnsi"/>
        </w:rPr>
        <w:t xml:space="preserve"> Barnes H et al Cochrane Database of Systematic Reviews 2016 2016 Issue 3 Art CD011008</w:t>
      </w:r>
    </w:p>
  </w:footnote>
  <w:footnote w:id="2">
    <w:p w:rsidR="006709DE" w:rsidRPr="00906AA4" w:rsidRDefault="006709DE">
      <w:pPr>
        <w:pStyle w:val="FootnoteText"/>
        <w:rPr>
          <w:rFonts w:asciiTheme="minorHAnsi" w:hAnsiTheme="minorHAnsi" w:cstheme="minorHAnsi"/>
        </w:rPr>
      </w:pPr>
      <w:r w:rsidRPr="00906AA4">
        <w:rPr>
          <w:rStyle w:val="FootnoteReference"/>
          <w:rFonts w:asciiTheme="minorHAnsi" w:hAnsiTheme="minorHAnsi" w:cstheme="minorHAnsi"/>
        </w:rPr>
        <w:footnoteRef/>
      </w:r>
      <w:r w:rsidRPr="00906AA4">
        <w:rPr>
          <w:rFonts w:asciiTheme="minorHAnsi" w:hAnsiTheme="minorHAnsi" w:cstheme="minorHAnsi"/>
        </w:rPr>
        <w:t xml:space="preserve"> </w:t>
      </w:r>
      <w:proofErr w:type="spellStart"/>
      <w:r w:rsidRPr="00906AA4">
        <w:rPr>
          <w:rFonts w:asciiTheme="minorHAnsi" w:hAnsiTheme="minorHAnsi" w:cstheme="minorHAnsi"/>
        </w:rPr>
        <w:t>Neuman</w:t>
      </w:r>
      <w:proofErr w:type="spellEnd"/>
      <w:r w:rsidRPr="00906AA4">
        <w:rPr>
          <w:rFonts w:asciiTheme="minorHAnsi" w:hAnsiTheme="minorHAnsi" w:cstheme="minorHAnsi"/>
        </w:rPr>
        <w:t xml:space="preserve"> A et al Respiratory Medicine 2006;100(10):1843-9</w:t>
      </w:r>
    </w:p>
  </w:footnote>
  <w:footnote w:id="3">
    <w:p w:rsidR="006709DE" w:rsidRPr="00906AA4" w:rsidRDefault="006709DE" w:rsidP="003E64ED">
      <w:pPr>
        <w:pStyle w:val="FootnoteText"/>
        <w:rPr>
          <w:rFonts w:asciiTheme="minorHAnsi" w:hAnsiTheme="minorHAnsi" w:cstheme="minorHAnsi"/>
        </w:rPr>
      </w:pPr>
      <w:r w:rsidRPr="00906AA4">
        <w:rPr>
          <w:rStyle w:val="FootnoteReference"/>
          <w:rFonts w:asciiTheme="minorHAnsi" w:hAnsiTheme="minorHAnsi" w:cstheme="minorHAnsi"/>
        </w:rPr>
        <w:footnoteRef/>
      </w:r>
      <w:r w:rsidRPr="00906AA4">
        <w:rPr>
          <w:rFonts w:asciiTheme="minorHAnsi" w:hAnsiTheme="minorHAnsi" w:cstheme="minorHAnsi"/>
        </w:rPr>
        <w:t xml:space="preserve"> Higginson, I.J., et al, An integrated palliative and respiratory care service for patients with advanced disease and refractory breathlessness: a randomised controlled trial. Lancet </w:t>
      </w:r>
      <w:proofErr w:type="spellStart"/>
      <w:r w:rsidRPr="00906AA4">
        <w:rPr>
          <w:rFonts w:asciiTheme="minorHAnsi" w:hAnsiTheme="minorHAnsi" w:cstheme="minorHAnsi"/>
        </w:rPr>
        <w:t>Respir</w:t>
      </w:r>
      <w:proofErr w:type="spellEnd"/>
      <w:r w:rsidRPr="00906AA4">
        <w:rPr>
          <w:rFonts w:asciiTheme="minorHAnsi" w:hAnsiTheme="minorHAnsi" w:cstheme="minorHAnsi"/>
        </w:rPr>
        <w:t xml:space="preserve"> Med, 2014. 2(12): p. 979‐87.</w:t>
      </w:r>
    </w:p>
  </w:footnote>
  <w:footnote w:id="4">
    <w:p w:rsidR="006709DE" w:rsidRPr="00906AA4" w:rsidRDefault="006709DE" w:rsidP="003E64ED">
      <w:pPr>
        <w:pStyle w:val="FootnoteText"/>
        <w:rPr>
          <w:rFonts w:asciiTheme="minorHAnsi" w:hAnsiTheme="minorHAnsi" w:cstheme="minorHAnsi"/>
        </w:rPr>
      </w:pPr>
      <w:r w:rsidRPr="00906AA4">
        <w:rPr>
          <w:rStyle w:val="FootnoteReference"/>
          <w:rFonts w:asciiTheme="minorHAnsi" w:hAnsiTheme="minorHAnsi" w:cstheme="minorHAnsi"/>
        </w:rPr>
        <w:footnoteRef/>
      </w:r>
      <w:r w:rsidRPr="00906AA4">
        <w:rPr>
          <w:rFonts w:asciiTheme="minorHAnsi" w:hAnsiTheme="minorHAnsi" w:cstheme="minorHAnsi"/>
        </w:rPr>
        <w:t xml:space="preserve"> </w:t>
      </w:r>
      <w:proofErr w:type="spellStart"/>
      <w:r w:rsidRPr="00906AA4">
        <w:rPr>
          <w:rFonts w:asciiTheme="minorHAnsi" w:hAnsiTheme="minorHAnsi" w:cstheme="minorHAnsi"/>
        </w:rPr>
        <w:t>Currow</w:t>
      </w:r>
      <w:proofErr w:type="spellEnd"/>
      <w:r w:rsidRPr="00906AA4">
        <w:rPr>
          <w:rFonts w:asciiTheme="minorHAnsi" w:hAnsiTheme="minorHAnsi" w:cstheme="minorHAnsi"/>
        </w:rPr>
        <w:t xml:space="preserve">, D.C., A.P. Abernethy, and D.N. </w:t>
      </w:r>
      <w:proofErr w:type="spellStart"/>
      <w:r w:rsidRPr="00906AA4">
        <w:rPr>
          <w:rFonts w:asciiTheme="minorHAnsi" w:hAnsiTheme="minorHAnsi" w:cstheme="minorHAnsi"/>
        </w:rPr>
        <w:t>Ko</w:t>
      </w:r>
      <w:proofErr w:type="spellEnd"/>
      <w:r w:rsidRPr="00906AA4">
        <w:rPr>
          <w:rFonts w:asciiTheme="minorHAnsi" w:hAnsiTheme="minorHAnsi" w:cstheme="minorHAnsi"/>
        </w:rPr>
        <w:t>, The active identification and management of chronic refractory</w:t>
      </w:r>
    </w:p>
    <w:p w:rsidR="006709DE" w:rsidRPr="00906AA4" w:rsidRDefault="006709DE" w:rsidP="003E64ED">
      <w:pPr>
        <w:pStyle w:val="FootnoteText"/>
        <w:rPr>
          <w:rFonts w:asciiTheme="minorHAnsi" w:hAnsiTheme="minorHAnsi" w:cstheme="minorHAnsi"/>
        </w:rPr>
      </w:pPr>
      <w:proofErr w:type="gramStart"/>
      <w:r w:rsidRPr="00906AA4">
        <w:rPr>
          <w:rFonts w:asciiTheme="minorHAnsi" w:hAnsiTheme="minorHAnsi" w:cstheme="minorHAnsi"/>
        </w:rPr>
        <w:t>breathlessness</w:t>
      </w:r>
      <w:proofErr w:type="gramEnd"/>
      <w:r w:rsidRPr="00906AA4">
        <w:rPr>
          <w:rFonts w:asciiTheme="minorHAnsi" w:hAnsiTheme="minorHAnsi" w:cstheme="minorHAnsi"/>
        </w:rPr>
        <w:t xml:space="preserve"> is a human right. Thorax, 2014. 69(4): p. 393‐4</w:t>
      </w:r>
    </w:p>
  </w:footnote>
  <w:footnote w:id="5">
    <w:p w:rsidR="006709DE" w:rsidRPr="00906AA4" w:rsidRDefault="006709DE" w:rsidP="0032456C">
      <w:pPr>
        <w:pStyle w:val="FootnoteText"/>
        <w:rPr>
          <w:rFonts w:asciiTheme="minorHAnsi" w:hAnsiTheme="minorHAnsi" w:cstheme="minorHAnsi"/>
        </w:rPr>
      </w:pPr>
      <w:r w:rsidRPr="00906AA4">
        <w:rPr>
          <w:rStyle w:val="FootnoteReference"/>
          <w:rFonts w:asciiTheme="minorHAnsi" w:hAnsiTheme="minorHAnsi" w:cstheme="minorHAnsi"/>
        </w:rPr>
        <w:footnoteRef/>
      </w:r>
      <w:r w:rsidRPr="00906AA4">
        <w:rPr>
          <w:rFonts w:asciiTheme="minorHAnsi" w:hAnsiTheme="minorHAnsi" w:cstheme="minorHAnsi"/>
        </w:rPr>
        <w:t xml:space="preserve"> </w:t>
      </w:r>
      <w:proofErr w:type="spellStart"/>
      <w:r w:rsidRPr="00906AA4">
        <w:rPr>
          <w:rFonts w:asciiTheme="minorHAnsi" w:hAnsiTheme="minorHAnsi" w:cstheme="minorHAnsi"/>
        </w:rPr>
        <w:t>Verberkt</w:t>
      </w:r>
      <w:proofErr w:type="spellEnd"/>
      <w:r w:rsidRPr="00906AA4">
        <w:rPr>
          <w:rFonts w:asciiTheme="minorHAnsi" w:hAnsiTheme="minorHAnsi" w:cstheme="minorHAnsi"/>
        </w:rPr>
        <w:t xml:space="preserve"> CA, et al., Respiratory adverse effects of opioids for breathlessness: a systematic review and meta‐</w:t>
      </w:r>
      <w:proofErr w:type="spellStart"/>
      <w:r w:rsidRPr="00906AA4">
        <w:rPr>
          <w:rFonts w:asciiTheme="minorHAnsi" w:hAnsiTheme="minorHAnsi" w:cstheme="minorHAnsi"/>
        </w:rPr>
        <w:t>analysis.Eur</w:t>
      </w:r>
      <w:proofErr w:type="spellEnd"/>
      <w:r w:rsidRPr="00906AA4">
        <w:rPr>
          <w:rFonts w:asciiTheme="minorHAnsi" w:hAnsiTheme="minorHAnsi" w:cstheme="minorHAnsi"/>
        </w:rPr>
        <w:t xml:space="preserve"> </w:t>
      </w:r>
      <w:proofErr w:type="spellStart"/>
      <w:r w:rsidRPr="00906AA4">
        <w:rPr>
          <w:rFonts w:asciiTheme="minorHAnsi" w:hAnsiTheme="minorHAnsi" w:cstheme="minorHAnsi"/>
        </w:rPr>
        <w:t>Respir</w:t>
      </w:r>
      <w:proofErr w:type="spellEnd"/>
      <w:r w:rsidRPr="00906AA4">
        <w:rPr>
          <w:rFonts w:asciiTheme="minorHAnsi" w:hAnsiTheme="minorHAnsi" w:cstheme="minorHAnsi"/>
        </w:rPr>
        <w:t xml:space="preserve"> J. 2017 Nov 22</w:t>
      </w:r>
      <w:proofErr w:type="gramStart"/>
      <w:r w:rsidRPr="00906AA4">
        <w:rPr>
          <w:rFonts w:asciiTheme="minorHAnsi" w:hAnsiTheme="minorHAnsi" w:cstheme="minorHAnsi"/>
        </w:rPr>
        <w:t>;50</w:t>
      </w:r>
      <w:proofErr w:type="gramEnd"/>
      <w:r w:rsidRPr="00906AA4">
        <w:rPr>
          <w:rFonts w:asciiTheme="minorHAnsi" w:hAnsiTheme="minorHAnsi" w:cstheme="minorHAnsi"/>
        </w:rPr>
        <w:t>(5). Cited in the TGA letter of approval. Not provided in the submission.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709DE" w:rsidRPr="008E0D90" w:rsidTr="00A06225">
      <w:trPr>
        <w:trHeight w:val="151"/>
      </w:trPr>
      <w:tc>
        <w:tcPr>
          <w:tcW w:w="2389" w:type="pct"/>
          <w:tcBorders>
            <w:top w:val="nil"/>
            <w:left w:val="nil"/>
            <w:bottom w:val="single" w:sz="4" w:space="0" w:color="4F81BD"/>
            <w:right w:val="nil"/>
          </w:tcBorders>
        </w:tcPr>
        <w:p w:rsidR="006709DE" w:rsidRPr="00A06225" w:rsidRDefault="006709DE">
          <w:pPr>
            <w:pStyle w:val="Header"/>
            <w:spacing w:line="276" w:lineRule="auto"/>
            <w:rPr>
              <w:rFonts w:ascii="Cambria" w:eastAsia="MS Gothic" w:hAnsi="Cambria"/>
              <w:b/>
              <w:bCs/>
              <w:color w:val="4F81BD"/>
            </w:rPr>
          </w:pPr>
        </w:p>
      </w:tc>
      <w:tc>
        <w:tcPr>
          <w:tcW w:w="333" w:type="pct"/>
          <w:vMerge w:val="restart"/>
          <w:noWrap/>
          <w:vAlign w:val="center"/>
          <w:hideMark/>
        </w:tcPr>
        <w:p w:rsidR="006709DE" w:rsidRPr="00A06225" w:rsidRDefault="006709D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709DE" w:rsidRPr="00A06225" w:rsidRDefault="006709DE">
          <w:pPr>
            <w:pStyle w:val="Header"/>
            <w:spacing w:line="276" w:lineRule="auto"/>
            <w:rPr>
              <w:rFonts w:ascii="Cambria" w:eastAsia="MS Gothic" w:hAnsi="Cambria"/>
              <w:b/>
              <w:bCs/>
              <w:color w:val="4F81BD"/>
            </w:rPr>
          </w:pPr>
        </w:p>
      </w:tc>
    </w:tr>
    <w:tr w:rsidR="006709DE" w:rsidRPr="008E0D90" w:rsidTr="00A06225">
      <w:trPr>
        <w:trHeight w:val="150"/>
      </w:trPr>
      <w:tc>
        <w:tcPr>
          <w:tcW w:w="2389" w:type="pct"/>
          <w:tcBorders>
            <w:top w:val="single" w:sz="4" w:space="0" w:color="4F81BD"/>
            <w:left w:val="nil"/>
            <w:bottom w:val="nil"/>
            <w:right w:val="nil"/>
          </w:tcBorders>
        </w:tcPr>
        <w:p w:rsidR="006709DE" w:rsidRPr="00A06225" w:rsidRDefault="006709DE">
          <w:pPr>
            <w:pStyle w:val="Header"/>
            <w:spacing w:line="276" w:lineRule="auto"/>
            <w:rPr>
              <w:rFonts w:ascii="Cambria" w:eastAsia="MS Gothic" w:hAnsi="Cambria"/>
              <w:b/>
              <w:bCs/>
              <w:color w:val="4F81BD"/>
            </w:rPr>
          </w:pPr>
        </w:p>
      </w:tc>
      <w:tc>
        <w:tcPr>
          <w:tcW w:w="0" w:type="auto"/>
          <w:vMerge/>
          <w:vAlign w:val="center"/>
          <w:hideMark/>
        </w:tcPr>
        <w:p w:rsidR="006709DE" w:rsidRPr="00A06225" w:rsidRDefault="006709DE">
          <w:pPr>
            <w:rPr>
              <w:rFonts w:ascii="Cambria" w:hAnsi="Cambria"/>
              <w:color w:val="4F81BD"/>
              <w:sz w:val="22"/>
              <w:szCs w:val="22"/>
            </w:rPr>
          </w:pPr>
        </w:p>
      </w:tc>
      <w:tc>
        <w:tcPr>
          <w:tcW w:w="2278" w:type="pct"/>
          <w:tcBorders>
            <w:top w:val="single" w:sz="4" w:space="0" w:color="4F81BD"/>
            <w:left w:val="nil"/>
            <w:bottom w:val="nil"/>
            <w:right w:val="nil"/>
          </w:tcBorders>
        </w:tcPr>
        <w:p w:rsidR="006709DE" w:rsidRPr="00A06225" w:rsidRDefault="006709DE">
          <w:pPr>
            <w:pStyle w:val="Header"/>
            <w:spacing w:line="276" w:lineRule="auto"/>
            <w:rPr>
              <w:rFonts w:ascii="Cambria" w:eastAsia="MS Gothic" w:hAnsi="Cambria"/>
              <w:b/>
              <w:bCs/>
              <w:color w:val="4F81BD"/>
            </w:rPr>
          </w:pPr>
        </w:p>
      </w:tc>
    </w:tr>
  </w:tbl>
  <w:p w:rsidR="006709DE" w:rsidRDefault="006709DE">
    <w:pPr>
      <w:pStyle w:val="Header"/>
    </w:pPr>
  </w:p>
  <w:p w:rsidR="006709DE" w:rsidRDefault="006709D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DE" w:rsidRPr="00C343C5" w:rsidRDefault="006709DE" w:rsidP="00DE40DF">
    <w:pPr>
      <w:pStyle w:val="Header"/>
      <w:ind w:left="360"/>
      <w:jc w:val="center"/>
      <w:rPr>
        <w:rFonts w:asciiTheme="minorHAnsi" w:hAnsiTheme="minorHAnsi" w:cs="Arial"/>
        <w:i/>
        <w:color w:val="808080"/>
      </w:rPr>
    </w:pPr>
    <w:r>
      <w:rPr>
        <w:rFonts w:asciiTheme="minorHAnsi" w:hAnsiTheme="minorHAnsi" w:cs="Arial"/>
        <w:i/>
        <w:color w:val="808080"/>
      </w:rPr>
      <w:t xml:space="preserve">Public Summary Document </w:t>
    </w:r>
    <w:r w:rsidRPr="00C343C5">
      <w:rPr>
        <w:rFonts w:asciiTheme="minorHAnsi" w:hAnsiTheme="minorHAnsi" w:cs="Arial"/>
        <w:i/>
        <w:color w:val="808080"/>
      </w:rPr>
      <w:t>– March 2019 PBAC Meeting</w:t>
    </w:r>
  </w:p>
  <w:p w:rsidR="006709DE" w:rsidRPr="00C343C5" w:rsidRDefault="006709DE" w:rsidP="00DE40DF">
    <w:pPr>
      <w:pStyle w:val="Header"/>
      <w:ind w:left="360"/>
      <w:jc w:val="center"/>
      <w:rPr>
        <w:rFonts w:asciiTheme="minorHAnsi" w:hAnsiTheme="minorHAnsi" w:cs="Arial"/>
        <w:i/>
        <w:color w:val="808080"/>
      </w:rPr>
    </w:pPr>
  </w:p>
  <w:p w:rsidR="006709DE" w:rsidRPr="00C343C5" w:rsidRDefault="006709DE" w:rsidP="00A128E6">
    <w:pPr>
      <w:pStyle w:val="NoSpacing"/>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B58" w:rsidRDefault="00406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70877DC"/>
    <w:multiLevelType w:val="multilevel"/>
    <w:tmpl w:val="2C8C675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A5242"/>
    <w:multiLevelType w:val="hybridMultilevel"/>
    <w:tmpl w:val="D83022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8D009FA"/>
    <w:multiLevelType w:val="hybridMultilevel"/>
    <w:tmpl w:val="F6D603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9730BEF"/>
    <w:multiLevelType w:val="hybridMultilevel"/>
    <w:tmpl w:val="11BCD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4E6825"/>
    <w:multiLevelType w:val="multilevel"/>
    <w:tmpl w:val="5EC06CF8"/>
    <w:lvl w:ilvl="0">
      <w:start w:val="1"/>
      <w:numFmt w:val="decimal"/>
      <w:lvlText w:val="%1"/>
      <w:lvlJc w:val="left"/>
      <w:pPr>
        <w:ind w:left="432" w:hanging="432"/>
      </w:pPr>
      <w:rPr>
        <w:rFonts w:hint="default"/>
        <w:i w:val="0"/>
      </w:rPr>
    </w:lvl>
    <w:lvl w:ilvl="1">
      <w:start w:val="1"/>
      <w:numFmt w:val="bullet"/>
      <w:lvlText w:val=""/>
      <w:lvlJc w:val="left"/>
      <w:pPr>
        <w:ind w:left="3695"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51476C"/>
    <w:multiLevelType w:val="multilevel"/>
    <w:tmpl w:val="9990CD8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i w:val="0"/>
        <w:color w:val="auto"/>
        <w:sz w:val="22"/>
        <w:szCs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A8138A"/>
    <w:multiLevelType w:val="hybridMultilevel"/>
    <w:tmpl w:val="767837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B561E08"/>
    <w:multiLevelType w:val="multilevel"/>
    <w:tmpl w:val="7A30124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i w:val="0"/>
        <w:color w:val="auto"/>
        <w:sz w:val="22"/>
        <w:szCs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4D033C"/>
    <w:multiLevelType w:val="multilevel"/>
    <w:tmpl w:val="7F5440F4"/>
    <w:lvl w:ilvl="0">
      <w:start w:val="1"/>
      <w:numFmt w:val="decimal"/>
      <w:pStyle w:val="PBACHeading1"/>
      <w:lvlText w:val="%1"/>
      <w:lvlJc w:val="left"/>
      <w:pPr>
        <w:ind w:left="3697" w:hanging="720"/>
      </w:pPr>
      <w:rPr>
        <w:rFonts w:asciiTheme="minorHAnsi" w:hAnsiTheme="minorHAnsi" w:cstheme="minorHAnsi" w:hint="default"/>
        <w:b/>
        <w:i w:val="0"/>
        <w:sz w:val="32"/>
        <w:szCs w:val="32"/>
      </w:rPr>
    </w:lvl>
    <w:lvl w:ilvl="1">
      <w:start w:val="1"/>
      <w:numFmt w:val="decimal"/>
      <w:lvlText w:val="%1.%2"/>
      <w:lvlJc w:val="left"/>
      <w:pPr>
        <w:ind w:left="720" w:hanging="720"/>
      </w:pPr>
      <w:rPr>
        <w:rFonts w:asciiTheme="minorHAnsi" w:hAnsiTheme="minorHAnsi" w:cs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
  </w:num>
  <w:num w:numId="3">
    <w:abstractNumId w:val="5"/>
  </w:num>
  <w:num w:numId="4">
    <w:abstractNumId w:val="17"/>
  </w:num>
  <w:num w:numId="5">
    <w:abstractNumId w:val="21"/>
  </w:num>
  <w:num w:numId="6">
    <w:abstractNumId w:val="9"/>
  </w:num>
  <w:num w:numId="7">
    <w:abstractNumId w:val="16"/>
  </w:num>
  <w:num w:numId="8">
    <w:abstractNumId w:val="3"/>
  </w:num>
  <w:num w:numId="9">
    <w:abstractNumId w:val="15"/>
  </w:num>
  <w:num w:numId="10">
    <w:abstractNumId w:val="14"/>
  </w:num>
  <w:num w:numId="11">
    <w:abstractNumId w:val="13"/>
  </w:num>
  <w:num w:numId="12">
    <w:abstractNumId w:val="1"/>
  </w:num>
  <w:num w:numId="13">
    <w:abstractNumId w:val="0"/>
  </w:num>
  <w:num w:numId="14">
    <w:abstractNumId w:val="21"/>
  </w:num>
  <w:num w:numId="15">
    <w:abstractNumId w:val="20"/>
  </w:num>
  <w:num w:numId="16">
    <w:abstractNumId w:val="18"/>
  </w:num>
  <w:num w:numId="17">
    <w:abstractNumId w:val="11"/>
  </w:num>
  <w:num w:numId="18">
    <w:abstractNumId w:val="12"/>
  </w:num>
  <w:num w:numId="19">
    <w:abstractNumId w:val="4"/>
  </w:num>
  <w:num w:numId="20">
    <w:abstractNumId w:val="6"/>
  </w:num>
  <w:num w:numId="21">
    <w:abstractNumId w:val="19"/>
  </w:num>
  <w:num w:numId="22">
    <w:abstractNumId w:val="8"/>
  </w:num>
  <w:num w:numId="23">
    <w:abstractNumId w:val="7"/>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11F83"/>
    <w:rsid w:val="00022736"/>
    <w:rsid w:val="0002464A"/>
    <w:rsid w:val="00024BC7"/>
    <w:rsid w:val="000256FB"/>
    <w:rsid w:val="0003106B"/>
    <w:rsid w:val="00031F68"/>
    <w:rsid w:val="000349D8"/>
    <w:rsid w:val="000421A1"/>
    <w:rsid w:val="0004240E"/>
    <w:rsid w:val="00045E26"/>
    <w:rsid w:val="00046DEC"/>
    <w:rsid w:val="00047BBE"/>
    <w:rsid w:val="00051252"/>
    <w:rsid w:val="000514B5"/>
    <w:rsid w:val="00060E64"/>
    <w:rsid w:val="000639E7"/>
    <w:rsid w:val="00066755"/>
    <w:rsid w:val="00072FFF"/>
    <w:rsid w:val="000738ED"/>
    <w:rsid w:val="00073900"/>
    <w:rsid w:val="00077143"/>
    <w:rsid w:val="00082169"/>
    <w:rsid w:val="00094233"/>
    <w:rsid w:val="000969AD"/>
    <w:rsid w:val="000B558D"/>
    <w:rsid w:val="000C6996"/>
    <w:rsid w:val="000C77FF"/>
    <w:rsid w:val="000C78AD"/>
    <w:rsid w:val="000D23BA"/>
    <w:rsid w:val="000E681E"/>
    <w:rsid w:val="000F0003"/>
    <w:rsid w:val="000F26B6"/>
    <w:rsid w:val="000F3184"/>
    <w:rsid w:val="000F4E6A"/>
    <w:rsid w:val="00104227"/>
    <w:rsid w:val="001107BF"/>
    <w:rsid w:val="0012417C"/>
    <w:rsid w:val="00126857"/>
    <w:rsid w:val="0014170D"/>
    <w:rsid w:val="00142395"/>
    <w:rsid w:val="00142714"/>
    <w:rsid w:val="001452ED"/>
    <w:rsid w:val="001524FA"/>
    <w:rsid w:val="00160BF8"/>
    <w:rsid w:val="00163329"/>
    <w:rsid w:val="00164623"/>
    <w:rsid w:val="00165B64"/>
    <w:rsid w:val="00171B20"/>
    <w:rsid w:val="001725BC"/>
    <w:rsid w:val="00174E1D"/>
    <w:rsid w:val="00180713"/>
    <w:rsid w:val="001830CE"/>
    <w:rsid w:val="00184352"/>
    <w:rsid w:val="0018643B"/>
    <w:rsid w:val="00192ACA"/>
    <w:rsid w:val="00194C9C"/>
    <w:rsid w:val="00196307"/>
    <w:rsid w:val="001A15AD"/>
    <w:rsid w:val="001A33EA"/>
    <w:rsid w:val="001B017F"/>
    <w:rsid w:val="001B1835"/>
    <w:rsid w:val="001B2BBC"/>
    <w:rsid w:val="001B5129"/>
    <w:rsid w:val="001C1195"/>
    <w:rsid w:val="001C6714"/>
    <w:rsid w:val="001E18B8"/>
    <w:rsid w:val="001F1850"/>
    <w:rsid w:val="00203FAC"/>
    <w:rsid w:val="00206DE1"/>
    <w:rsid w:val="00213CFB"/>
    <w:rsid w:val="00216C3B"/>
    <w:rsid w:val="00217BE1"/>
    <w:rsid w:val="002204B2"/>
    <w:rsid w:val="002268E5"/>
    <w:rsid w:val="00271BA1"/>
    <w:rsid w:val="002762FA"/>
    <w:rsid w:val="00277505"/>
    <w:rsid w:val="00284EE1"/>
    <w:rsid w:val="0029458F"/>
    <w:rsid w:val="002974B3"/>
    <w:rsid w:val="002A104C"/>
    <w:rsid w:val="002A4960"/>
    <w:rsid w:val="002B10DC"/>
    <w:rsid w:val="002B1AE6"/>
    <w:rsid w:val="002B2DE8"/>
    <w:rsid w:val="002B30F8"/>
    <w:rsid w:val="002B5596"/>
    <w:rsid w:val="002C212F"/>
    <w:rsid w:val="002D4543"/>
    <w:rsid w:val="002D7175"/>
    <w:rsid w:val="002E3153"/>
    <w:rsid w:val="002E72CA"/>
    <w:rsid w:val="002F600D"/>
    <w:rsid w:val="003005AA"/>
    <w:rsid w:val="00300AD6"/>
    <w:rsid w:val="00305EEB"/>
    <w:rsid w:val="00310FEC"/>
    <w:rsid w:val="00312F38"/>
    <w:rsid w:val="00317C6C"/>
    <w:rsid w:val="00320EE4"/>
    <w:rsid w:val="0032456C"/>
    <w:rsid w:val="00326E79"/>
    <w:rsid w:val="0033174C"/>
    <w:rsid w:val="0033518A"/>
    <w:rsid w:val="003367EF"/>
    <w:rsid w:val="00341AE4"/>
    <w:rsid w:val="00343A7B"/>
    <w:rsid w:val="003453AB"/>
    <w:rsid w:val="00361357"/>
    <w:rsid w:val="00371624"/>
    <w:rsid w:val="00381DCE"/>
    <w:rsid w:val="0038522A"/>
    <w:rsid w:val="00385E60"/>
    <w:rsid w:val="003872CF"/>
    <w:rsid w:val="0039782C"/>
    <w:rsid w:val="003A5B4A"/>
    <w:rsid w:val="003B23C5"/>
    <w:rsid w:val="003B2A75"/>
    <w:rsid w:val="003B4C7E"/>
    <w:rsid w:val="003B6124"/>
    <w:rsid w:val="003C2FB5"/>
    <w:rsid w:val="003C4018"/>
    <w:rsid w:val="003C5C9E"/>
    <w:rsid w:val="003D4AC4"/>
    <w:rsid w:val="003D63B7"/>
    <w:rsid w:val="003E468B"/>
    <w:rsid w:val="003E64ED"/>
    <w:rsid w:val="003E7595"/>
    <w:rsid w:val="003F3228"/>
    <w:rsid w:val="003F5C8C"/>
    <w:rsid w:val="004021AC"/>
    <w:rsid w:val="00406B58"/>
    <w:rsid w:val="00406DAD"/>
    <w:rsid w:val="0042045C"/>
    <w:rsid w:val="004252EC"/>
    <w:rsid w:val="004465BD"/>
    <w:rsid w:val="00454AF7"/>
    <w:rsid w:val="00466ADA"/>
    <w:rsid w:val="00466D10"/>
    <w:rsid w:val="00476245"/>
    <w:rsid w:val="00477E9A"/>
    <w:rsid w:val="00481395"/>
    <w:rsid w:val="00482DFC"/>
    <w:rsid w:val="00483035"/>
    <w:rsid w:val="00483FEE"/>
    <w:rsid w:val="00485940"/>
    <w:rsid w:val="004876BD"/>
    <w:rsid w:val="004A0158"/>
    <w:rsid w:val="004A2484"/>
    <w:rsid w:val="004A5A85"/>
    <w:rsid w:val="004A71D1"/>
    <w:rsid w:val="004B5640"/>
    <w:rsid w:val="004C0EEF"/>
    <w:rsid w:val="004C1BD7"/>
    <w:rsid w:val="004C31FE"/>
    <w:rsid w:val="004C691D"/>
    <w:rsid w:val="004C6C07"/>
    <w:rsid w:val="004D7017"/>
    <w:rsid w:val="004E2A69"/>
    <w:rsid w:val="004E692D"/>
    <w:rsid w:val="00500199"/>
    <w:rsid w:val="00500E7A"/>
    <w:rsid w:val="00501554"/>
    <w:rsid w:val="00514CD7"/>
    <w:rsid w:val="00515B4C"/>
    <w:rsid w:val="00521E22"/>
    <w:rsid w:val="005319B2"/>
    <w:rsid w:val="00532402"/>
    <w:rsid w:val="00532C74"/>
    <w:rsid w:val="00534E2E"/>
    <w:rsid w:val="00544552"/>
    <w:rsid w:val="00555EA5"/>
    <w:rsid w:val="00567007"/>
    <w:rsid w:val="0057272F"/>
    <w:rsid w:val="0057455E"/>
    <w:rsid w:val="005779CC"/>
    <w:rsid w:val="00577C4D"/>
    <w:rsid w:val="00581932"/>
    <w:rsid w:val="00584A88"/>
    <w:rsid w:val="005963BB"/>
    <w:rsid w:val="00596417"/>
    <w:rsid w:val="0059706B"/>
    <w:rsid w:val="005A3173"/>
    <w:rsid w:val="005A3223"/>
    <w:rsid w:val="005A3DA3"/>
    <w:rsid w:val="005A47AF"/>
    <w:rsid w:val="005A52C4"/>
    <w:rsid w:val="005B1431"/>
    <w:rsid w:val="005C6846"/>
    <w:rsid w:val="005C7787"/>
    <w:rsid w:val="005D03AB"/>
    <w:rsid w:val="005D0B3A"/>
    <w:rsid w:val="005D5017"/>
    <w:rsid w:val="005D66F5"/>
    <w:rsid w:val="005E1333"/>
    <w:rsid w:val="00601A91"/>
    <w:rsid w:val="00602944"/>
    <w:rsid w:val="00602BA3"/>
    <w:rsid w:val="00606EED"/>
    <w:rsid w:val="00612E34"/>
    <w:rsid w:val="00614159"/>
    <w:rsid w:val="00617C00"/>
    <w:rsid w:val="006263BF"/>
    <w:rsid w:val="0062748A"/>
    <w:rsid w:val="00630A2C"/>
    <w:rsid w:val="00632949"/>
    <w:rsid w:val="0063682E"/>
    <w:rsid w:val="006372A1"/>
    <w:rsid w:val="006372E7"/>
    <w:rsid w:val="006436CD"/>
    <w:rsid w:val="0064404E"/>
    <w:rsid w:val="00651169"/>
    <w:rsid w:val="00653D69"/>
    <w:rsid w:val="00665233"/>
    <w:rsid w:val="006670BE"/>
    <w:rsid w:val="006709DE"/>
    <w:rsid w:val="00670A76"/>
    <w:rsid w:val="006711AA"/>
    <w:rsid w:val="006726D5"/>
    <w:rsid w:val="00672B57"/>
    <w:rsid w:val="00675622"/>
    <w:rsid w:val="0067747D"/>
    <w:rsid w:val="0067767C"/>
    <w:rsid w:val="00685DD3"/>
    <w:rsid w:val="006906DB"/>
    <w:rsid w:val="00691E6C"/>
    <w:rsid w:val="00696129"/>
    <w:rsid w:val="00697CF2"/>
    <w:rsid w:val="006A12A5"/>
    <w:rsid w:val="006A1413"/>
    <w:rsid w:val="006B0D94"/>
    <w:rsid w:val="006B485D"/>
    <w:rsid w:val="006C708E"/>
    <w:rsid w:val="006D14E7"/>
    <w:rsid w:val="006D6493"/>
    <w:rsid w:val="006D6EC7"/>
    <w:rsid w:val="006F089A"/>
    <w:rsid w:val="006F5125"/>
    <w:rsid w:val="00701A70"/>
    <w:rsid w:val="00702B6F"/>
    <w:rsid w:val="00703579"/>
    <w:rsid w:val="0071340B"/>
    <w:rsid w:val="007174BB"/>
    <w:rsid w:val="0072025D"/>
    <w:rsid w:val="007214E1"/>
    <w:rsid w:val="007231D2"/>
    <w:rsid w:val="007353D3"/>
    <w:rsid w:val="00746EF9"/>
    <w:rsid w:val="00752DD0"/>
    <w:rsid w:val="00762427"/>
    <w:rsid w:val="0076420C"/>
    <w:rsid w:val="007753C2"/>
    <w:rsid w:val="00775438"/>
    <w:rsid w:val="007838B8"/>
    <w:rsid w:val="0079715B"/>
    <w:rsid w:val="007B732C"/>
    <w:rsid w:val="007C0F57"/>
    <w:rsid w:val="007C40B6"/>
    <w:rsid w:val="007C729F"/>
    <w:rsid w:val="007D2969"/>
    <w:rsid w:val="007D6544"/>
    <w:rsid w:val="007E1D28"/>
    <w:rsid w:val="007F2641"/>
    <w:rsid w:val="007F2ABD"/>
    <w:rsid w:val="007F7C36"/>
    <w:rsid w:val="00806796"/>
    <w:rsid w:val="00807434"/>
    <w:rsid w:val="008151D6"/>
    <w:rsid w:val="00826F6D"/>
    <w:rsid w:val="008306F3"/>
    <w:rsid w:val="008412BC"/>
    <w:rsid w:val="008425B4"/>
    <w:rsid w:val="008462C2"/>
    <w:rsid w:val="0085455D"/>
    <w:rsid w:val="008557A6"/>
    <w:rsid w:val="00855F85"/>
    <w:rsid w:val="00856DDD"/>
    <w:rsid w:val="00861C41"/>
    <w:rsid w:val="00863E68"/>
    <w:rsid w:val="0087222E"/>
    <w:rsid w:val="00876E95"/>
    <w:rsid w:val="00882085"/>
    <w:rsid w:val="00882ECB"/>
    <w:rsid w:val="00883188"/>
    <w:rsid w:val="00894614"/>
    <w:rsid w:val="00896A20"/>
    <w:rsid w:val="00897D58"/>
    <w:rsid w:val="00897F22"/>
    <w:rsid w:val="008A1956"/>
    <w:rsid w:val="008A4937"/>
    <w:rsid w:val="008A50F1"/>
    <w:rsid w:val="008D1B5C"/>
    <w:rsid w:val="008D3C82"/>
    <w:rsid w:val="008D439D"/>
    <w:rsid w:val="008D447E"/>
    <w:rsid w:val="008D46B3"/>
    <w:rsid w:val="008D7A41"/>
    <w:rsid w:val="008E3680"/>
    <w:rsid w:val="008E5870"/>
    <w:rsid w:val="008F140A"/>
    <w:rsid w:val="008F1434"/>
    <w:rsid w:val="008F7355"/>
    <w:rsid w:val="00904BAB"/>
    <w:rsid w:val="009067B7"/>
    <w:rsid w:val="00906AA4"/>
    <w:rsid w:val="009129D9"/>
    <w:rsid w:val="00916D44"/>
    <w:rsid w:val="009250C4"/>
    <w:rsid w:val="00930937"/>
    <w:rsid w:val="00931D46"/>
    <w:rsid w:val="00933E6C"/>
    <w:rsid w:val="00937958"/>
    <w:rsid w:val="00942160"/>
    <w:rsid w:val="0095146F"/>
    <w:rsid w:val="00954069"/>
    <w:rsid w:val="0095439C"/>
    <w:rsid w:val="009602C5"/>
    <w:rsid w:val="00962223"/>
    <w:rsid w:val="009629B3"/>
    <w:rsid w:val="00966D0D"/>
    <w:rsid w:val="0096739D"/>
    <w:rsid w:val="00974C21"/>
    <w:rsid w:val="00974E54"/>
    <w:rsid w:val="0098207F"/>
    <w:rsid w:val="00983AC2"/>
    <w:rsid w:val="009840BF"/>
    <w:rsid w:val="00984D83"/>
    <w:rsid w:val="00985BE9"/>
    <w:rsid w:val="009A6318"/>
    <w:rsid w:val="009B0F67"/>
    <w:rsid w:val="009B6B20"/>
    <w:rsid w:val="009C2083"/>
    <w:rsid w:val="009C58AE"/>
    <w:rsid w:val="009C703C"/>
    <w:rsid w:val="009D3CAA"/>
    <w:rsid w:val="009D3D32"/>
    <w:rsid w:val="009D48AB"/>
    <w:rsid w:val="009D67F6"/>
    <w:rsid w:val="009D6D34"/>
    <w:rsid w:val="009E3ADA"/>
    <w:rsid w:val="009E40E1"/>
    <w:rsid w:val="009F4E46"/>
    <w:rsid w:val="009F5B65"/>
    <w:rsid w:val="009F5F2E"/>
    <w:rsid w:val="00A028BB"/>
    <w:rsid w:val="00A06225"/>
    <w:rsid w:val="00A128E6"/>
    <w:rsid w:val="00A33950"/>
    <w:rsid w:val="00A34E6C"/>
    <w:rsid w:val="00A37C8D"/>
    <w:rsid w:val="00A4139D"/>
    <w:rsid w:val="00A418E3"/>
    <w:rsid w:val="00A44ECB"/>
    <w:rsid w:val="00A4630E"/>
    <w:rsid w:val="00A5273B"/>
    <w:rsid w:val="00A53A9D"/>
    <w:rsid w:val="00A55FEE"/>
    <w:rsid w:val="00A60A55"/>
    <w:rsid w:val="00A60FE0"/>
    <w:rsid w:val="00A62C1A"/>
    <w:rsid w:val="00A6426D"/>
    <w:rsid w:val="00A65E07"/>
    <w:rsid w:val="00A665C1"/>
    <w:rsid w:val="00A70622"/>
    <w:rsid w:val="00A70977"/>
    <w:rsid w:val="00A77613"/>
    <w:rsid w:val="00A823B7"/>
    <w:rsid w:val="00A8390C"/>
    <w:rsid w:val="00A8636C"/>
    <w:rsid w:val="00A928BD"/>
    <w:rsid w:val="00A934B6"/>
    <w:rsid w:val="00AA2CE1"/>
    <w:rsid w:val="00AA4D1C"/>
    <w:rsid w:val="00AB58AF"/>
    <w:rsid w:val="00AC15FA"/>
    <w:rsid w:val="00AC193C"/>
    <w:rsid w:val="00AC48A3"/>
    <w:rsid w:val="00AC5206"/>
    <w:rsid w:val="00AC57BE"/>
    <w:rsid w:val="00AD1E7F"/>
    <w:rsid w:val="00AD6532"/>
    <w:rsid w:val="00AE11A5"/>
    <w:rsid w:val="00AE13E2"/>
    <w:rsid w:val="00AE22D3"/>
    <w:rsid w:val="00AF0310"/>
    <w:rsid w:val="00AF1E5D"/>
    <w:rsid w:val="00AF62DF"/>
    <w:rsid w:val="00AF68CC"/>
    <w:rsid w:val="00B1059E"/>
    <w:rsid w:val="00B176C8"/>
    <w:rsid w:val="00B205AA"/>
    <w:rsid w:val="00B21C2A"/>
    <w:rsid w:val="00B22E84"/>
    <w:rsid w:val="00B25F75"/>
    <w:rsid w:val="00B26B3F"/>
    <w:rsid w:val="00B327AB"/>
    <w:rsid w:val="00B32D75"/>
    <w:rsid w:val="00B43E90"/>
    <w:rsid w:val="00B467DC"/>
    <w:rsid w:val="00B52EB9"/>
    <w:rsid w:val="00B56118"/>
    <w:rsid w:val="00B668DB"/>
    <w:rsid w:val="00B6773F"/>
    <w:rsid w:val="00B801BA"/>
    <w:rsid w:val="00B84BCD"/>
    <w:rsid w:val="00B84D5C"/>
    <w:rsid w:val="00B91169"/>
    <w:rsid w:val="00BB2009"/>
    <w:rsid w:val="00BB39D7"/>
    <w:rsid w:val="00BB69F5"/>
    <w:rsid w:val="00BB7EC3"/>
    <w:rsid w:val="00BC4B9A"/>
    <w:rsid w:val="00BD296D"/>
    <w:rsid w:val="00BD784C"/>
    <w:rsid w:val="00BF49E8"/>
    <w:rsid w:val="00BF4CB6"/>
    <w:rsid w:val="00C00DA7"/>
    <w:rsid w:val="00C02EDA"/>
    <w:rsid w:val="00C1085D"/>
    <w:rsid w:val="00C12768"/>
    <w:rsid w:val="00C23195"/>
    <w:rsid w:val="00C27B58"/>
    <w:rsid w:val="00C343C5"/>
    <w:rsid w:val="00C35996"/>
    <w:rsid w:val="00C40E58"/>
    <w:rsid w:val="00C416D9"/>
    <w:rsid w:val="00C4747E"/>
    <w:rsid w:val="00C522EA"/>
    <w:rsid w:val="00C5342C"/>
    <w:rsid w:val="00C53558"/>
    <w:rsid w:val="00C603D4"/>
    <w:rsid w:val="00C6256A"/>
    <w:rsid w:val="00C65922"/>
    <w:rsid w:val="00C77891"/>
    <w:rsid w:val="00C823F7"/>
    <w:rsid w:val="00C91449"/>
    <w:rsid w:val="00C92D10"/>
    <w:rsid w:val="00C93FCC"/>
    <w:rsid w:val="00CB6906"/>
    <w:rsid w:val="00CC542D"/>
    <w:rsid w:val="00CD22FB"/>
    <w:rsid w:val="00CD49CE"/>
    <w:rsid w:val="00CE10C4"/>
    <w:rsid w:val="00CE27B5"/>
    <w:rsid w:val="00CF3752"/>
    <w:rsid w:val="00D0321E"/>
    <w:rsid w:val="00D132D0"/>
    <w:rsid w:val="00D1455A"/>
    <w:rsid w:val="00D161FE"/>
    <w:rsid w:val="00D25213"/>
    <w:rsid w:val="00D31150"/>
    <w:rsid w:val="00D3138B"/>
    <w:rsid w:val="00D3280C"/>
    <w:rsid w:val="00D33533"/>
    <w:rsid w:val="00D3406A"/>
    <w:rsid w:val="00D37E3F"/>
    <w:rsid w:val="00D4572C"/>
    <w:rsid w:val="00D469B2"/>
    <w:rsid w:val="00D53645"/>
    <w:rsid w:val="00D569D3"/>
    <w:rsid w:val="00D7006F"/>
    <w:rsid w:val="00D741EB"/>
    <w:rsid w:val="00D83307"/>
    <w:rsid w:val="00D83605"/>
    <w:rsid w:val="00D84934"/>
    <w:rsid w:val="00D91271"/>
    <w:rsid w:val="00D919F5"/>
    <w:rsid w:val="00D94F03"/>
    <w:rsid w:val="00DA1372"/>
    <w:rsid w:val="00DA2CB5"/>
    <w:rsid w:val="00DA4BAC"/>
    <w:rsid w:val="00DA5C40"/>
    <w:rsid w:val="00DA5C86"/>
    <w:rsid w:val="00DA765D"/>
    <w:rsid w:val="00DB45BD"/>
    <w:rsid w:val="00DD4447"/>
    <w:rsid w:val="00DE1E64"/>
    <w:rsid w:val="00DE40DF"/>
    <w:rsid w:val="00DE6D27"/>
    <w:rsid w:val="00DF0496"/>
    <w:rsid w:val="00DF217D"/>
    <w:rsid w:val="00DF26A7"/>
    <w:rsid w:val="00E15627"/>
    <w:rsid w:val="00E164B3"/>
    <w:rsid w:val="00E16910"/>
    <w:rsid w:val="00E21EE7"/>
    <w:rsid w:val="00E25FE1"/>
    <w:rsid w:val="00E42BDB"/>
    <w:rsid w:val="00E57863"/>
    <w:rsid w:val="00E57EEB"/>
    <w:rsid w:val="00E62D94"/>
    <w:rsid w:val="00E65E54"/>
    <w:rsid w:val="00E80155"/>
    <w:rsid w:val="00E817D5"/>
    <w:rsid w:val="00E81F28"/>
    <w:rsid w:val="00E83A40"/>
    <w:rsid w:val="00E848C0"/>
    <w:rsid w:val="00E9193D"/>
    <w:rsid w:val="00E91B96"/>
    <w:rsid w:val="00E941A1"/>
    <w:rsid w:val="00E95CE3"/>
    <w:rsid w:val="00EA2825"/>
    <w:rsid w:val="00EB0B63"/>
    <w:rsid w:val="00EB1936"/>
    <w:rsid w:val="00EB5088"/>
    <w:rsid w:val="00EB58E6"/>
    <w:rsid w:val="00EC589B"/>
    <w:rsid w:val="00ED1644"/>
    <w:rsid w:val="00ED2593"/>
    <w:rsid w:val="00ED7D9C"/>
    <w:rsid w:val="00EF44A0"/>
    <w:rsid w:val="00EF4FED"/>
    <w:rsid w:val="00F050BD"/>
    <w:rsid w:val="00F05657"/>
    <w:rsid w:val="00F13C88"/>
    <w:rsid w:val="00F14AA0"/>
    <w:rsid w:val="00F25578"/>
    <w:rsid w:val="00F258E5"/>
    <w:rsid w:val="00F300BC"/>
    <w:rsid w:val="00F3334E"/>
    <w:rsid w:val="00F36CCB"/>
    <w:rsid w:val="00F374E5"/>
    <w:rsid w:val="00F43AF2"/>
    <w:rsid w:val="00F45496"/>
    <w:rsid w:val="00F45D73"/>
    <w:rsid w:val="00F5007E"/>
    <w:rsid w:val="00F50EC4"/>
    <w:rsid w:val="00F50F16"/>
    <w:rsid w:val="00F550CF"/>
    <w:rsid w:val="00F55F40"/>
    <w:rsid w:val="00F57A6D"/>
    <w:rsid w:val="00F638CC"/>
    <w:rsid w:val="00F64CC1"/>
    <w:rsid w:val="00F6572A"/>
    <w:rsid w:val="00F72317"/>
    <w:rsid w:val="00F80475"/>
    <w:rsid w:val="00F80BC0"/>
    <w:rsid w:val="00F82099"/>
    <w:rsid w:val="00F8247A"/>
    <w:rsid w:val="00F90CE9"/>
    <w:rsid w:val="00F9629A"/>
    <w:rsid w:val="00F97EFC"/>
    <w:rsid w:val="00FA09B8"/>
    <w:rsid w:val="00FA42F6"/>
    <w:rsid w:val="00FA4D67"/>
    <w:rsid w:val="00FA5883"/>
    <w:rsid w:val="00FA6055"/>
    <w:rsid w:val="00FB322F"/>
    <w:rsid w:val="00FB442F"/>
    <w:rsid w:val="00FB47C6"/>
    <w:rsid w:val="00FC1929"/>
    <w:rsid w:val="00FC3DA1"/>
    <w:rsid w:val="00FC5B46"/>
    <w:rsid w:val="00FD6604"/>
    <w:rsid w:val="00FD6D8E"/>
    <w:rsid w:val="00FE0ABE"/>
    <w:rsid w:val="00FE0E94"/>
    <w:rsid w:val="00FE543E"/>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FE5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9"/>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320EE4"/>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385E60"/>
    <w:pPr>
      <w:spacing w:before="120" w:after="160"/>
      <w:ind w:left="720" w:hanging="720"/>
      <w:contextualSpacing/>
      <w:outlineLvl w:val="0"/>
    </w:pPr>
    <w:rPr>
      <w:rFonts w:asciiTheme="minorHAnsi" w:eastAsiaTheme="majorEastAsia" w:hAnsiTheme="minorHAnsi" w:cstheme="majorBidi"/>
      <w:b/>
      <w:spacing w:val="5"/>
      <w:kern w:val="28"/>
      <w:sz w:val="36"/>
      <w:szCs w:val="36"/>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385E60"/>
    <w:rPr>
      <w:rFonts w:asciiTheme="minorHAnsi" w:eastAsiaTheme="majorEastAsia" w:hAnsiTheme="minorHAnsi" w:cstheme="majorBidi"/>
      <w:b/>
      <w:spacing w:val="5"/>
      <w:kern w:val="28"/>
      <w:sz w:val="36"/>
      <w:szCs w:val="36"/>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FootnoteText">
    <w:name w:val="footnote text"/>
    <w:basedOn w:val="Normal"/>
    <w:link w:val="FootnoteTextChar"/>
    <w:semiHidden/>
    <w:unhideWhenUsed/>
    <w:rsid w:val="003E64ED"/>
    <w:rPr>
      <w:sz w:val="20"/>
      <w:szCs w:val="20"/>
    </w:rPr>
  </w:style>
  <w:style w:type="character" w:customStyle="1" w:styleId="FootnoteTextChar">
    <w:name w:val="Footnote Text Char"/>
    <w:basedOn w:val="DefaultParagraphFont"/>
    <w:link w:val="FootnoteText"/>
    <w:semiHidden/>
    <w:rsid w:val="003E64ED"/>
  </w:style>
  <w:style w:type="character" w:styleId="FootnoteReference">
    <w:name w:val="footnote reference"/>
    <w:basedOn w:val="DefaultParagraphFont"/>
    <w:semiHidden/>
    <w:unhideWhenUsed/>
    <w:rsid w:val="003E64ED"/>
    <w:rPr>
      <w:vertAlign w:val="superscript"/>
    </w:rPr>
  </w:style>
  <w:style w:type="character" w:customStyle="1" w:styleId="Heading8Char">
    <w:name w:val="Heading 8 Char"/>
    <w:basedOn w:val="DefaultParagraphFont"/>
    <w:link w:val="Heading8"/>
    <w:uiPriority w:val="7"/>
    <w:rsid w:val="00320EE4"/>
    <w:rPr>
      <w:rFonts w:asciiTheme="majorHAnsi" w:eastAsiaTheme="majorEastAsia" w:hAnsiTheme="majorHAnsi" w:cstheme="majorBidi"/>
      <w:color w:val="272727" w:themeColor="text1" w:themeTint="D8"/>
      <w:sz w:val="21"/>
      <w:szCs w:val="21"/>
      <w:lang w:eastAsia="en-US"/>
    </w:rPr>
  </w:style>
  <w:style w:type="table" w:customStyle="1" w:styleId="PlainTable21">
    <w:name w:val="Plain Table 21"/>
    <w:basedOn w:val="TableNormal"/>
    <w:uiPriority w:val="42"/>
    <w:rsid w:val="00320EE4"/>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Headings">
    <w:name w:val="Headings"/>
    <w:uiPriority w:val="99"/>
    <w:rsid w:val="00320EE4"/>
    <w:pPr>
      <w:numPr>
        <w:numId w:val="18"/>
      </w:numPr>
    </w:pPr>
  </w:style>
  <w:style w:type="paragraph" w:customStyle="1" w:styleId="Default">
    <w:name w:val="Default"/>
    <w:rsid w:val="0057272F"/>
    <w:pPr>
      <w:autoSpaceDE w:val="0"/>
      <w:autoSpaceDN w:val="0"/>
      <w:adjustRightInd w:val="0"/>
    </w:pPr>
    <w:rPr>
      <w:rFonts w:ascii="Arial" w:hAnsi="Arial" w:cs="Arial"/>
      <w:color w:val="000000"/>
      <w:sz w:val="24"/>
      <w:szCs w:val="24"/>
    </w:rPr>
  </w:style>
  <w:style w:type="paragraph" w:styleId="Revision">
    <w:name w:val="Revision"/>
    <w:hidden/>
    <w:uiPriority w:val="71"/>
    <w:semiHidden/>
    <w:rsid w:val="00024B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7060993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A961D-1DD8-4B7B-AA28-BDA62CE2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3223</Words>
  <Characters>19438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2019-06-21T07:17:00Z</dcterms:created>
  <dcterms:modified xsi:type="dcterms:W3CDTF">2019-07-01T04:19:00Z</dcterms:modified>
</cp:coreProperties>
</file>