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493" w:rsidRPr="00C24944" w:rsidRDefault="00784644" w:rsidP="006D6493">
      <w:pPr>
        <w:pStyle w:val="Title"/>
        <w:spacing w:before="120" w:after="160"/>
        <w:ind w:left="720" w:hanging="720"/>
        <w:rPr>
          <w:rFonts w:asciiTheme="minorHAnsi" w:hAnsiTheme="minorHAnsi" w:cstheme="minorHAnsi"/>
          <w:sz w:val="36"/>
          <w:szCs w:val="36"/>
        </w:rPr>
      </w:pPr>
      <w:r w:rsidRPr="00C24944">
        <w:rPr>
          <w:rFonts w:asciiTheme="minorHAnsi" w:hAnsiTheme="minorHAnsi" w:cstheme="minorHAnsi"/>
          <w:sz w:val="36"/>
          <w:szCs w:val="36"/>
        </w:rPr>
        <w:t>5.12</w:t>
      </w:r>
      <w:r w:rsidR="006D6493" w:rsidRPr="00C24944">
        <w:rPr>
          <w:rFonts w:asciiTheme="minorHAnsi" w:hAnsiTheme="minorHAnsi" w:cstheme="minorHAnsi"/>
          <w:sz w:val="36"/>
          <w:szCs w:val="36"/>
        </w:rPr>
        <w:tab/>
      </w:r>
      <w:r w:rsidR="001C6807" w:rsidRPr="00C24944">
        <w:rPr>
          <w:rFonts w:asciiTheme="minorHAnsi" w:hAnsiTheme="minorHAnsi" w:cstheme="minorHAnsi"/>
          <w:sz w:val="36"/>
          <w:szCs w:val="36"/>
        </w:rPr>
        <w:t>NALOXONE</w:t>
      </w:r>
      <w:r w:rsidR="008F65AA" w:rsidRPr="00C24944">
        <w:rPr>
          <w:rFonts w:asciiTheme="minorHAnsi" w:hAnsiTheme="minorHAnsi" w:cstheme="minorHAnsi"/>
          <w:sz w:val="36"/>
          <w:szCs w:val="36"/>
        </w:rPr>
        <w:br/>
      </w:r>
      <w:r w:rsidR="004B3C8E" w:rsidRPr="00C24944">
        <w:rPr>
          <w:rFonts w:asciiTheme="minorHAnsi" w:hAnsiTheme="minorHAnsi" w:cstheme="minorHAnsi"/>
          <w:sz w:val="36"/>
          <w:szCs w:val="36"/>
        </w:rPr>
        <w:t xml:space="preserve">Nasal spray containing naloxone hydrochloride </w:t>
      </w:r>
      <w:proofErr w:type="spellStart"/>
      <w:r w:rsidR="004B3C8E" w:rsidRPr="00C24944">
        <w:rPr>
          <w:rFonts w:asciiTheme="minorHAnsi" w:hAnsiTheme="minorHAnsi" w:cstheme="minorHAnsi"/>
          <w:sz w:val="36"/>
          <w:szCs w:val="36"/>
        </w:rPr>
        <w:t>dihydrate</w:t>
      </w:r>
      <w:proofErr w:type="spellEnd"/>
      <w:r w:rsidR="004B3C8E" w:rsidRPr="00C24944">
        <w:rPr>
          <w:rFonts w:asciiTheme="minorHAnsi" w:hAnsiTheme="minorHAnsi" w:cstheme="minorHAnsi"/>
          <w:sz w:val="36"/>
          <w:szCs w:val="36"/>
        </w:rPr>
        <w:t>, 1.8</w:t>
      </w:r>
      <w:r w:rsidR="00950D34">
        <w:rPr>
          <w:rFonts w:asciiTheme="minorHAnsi" w:hAnsiTheme="minorHAnsi" w:cstheme="minorHAnsi"/>
          <w:sz w:val="36"/>
          <w:szCs w:val="36"/>
        </w:rPr>
        <w:t xml:space="preserve"> </w:t>
      </w:r>
      <w:r w:rsidR="004B3C8E" w:rsidRPr="00C24944">
        <w:rPr>
          <w:rFonts w:asciiTheme="minorHAnsi" w:hAnsiTheme="minorHAnsi" w:cstheme="minorHAnsi"/>
          <w:sz w:val="36"/>
          <w:szCs w:val="36"/>
        </w:rPr>
        <w:t>mg per actuation (single use)</w:t>
      </w:r>
      <w:r w:rsidR="001C6807" w:rsidRPr="00C24944">
        <w:rPr>
          <w:rFonts w:asciiTheme="minorHAnsi" w:hAnsiTheme="minorHAnsi" w:cstheme="minorHAnsi"/>
          <w:sz w:val="36"/>
          <w:szCs w:val="36"/>
        </w:rPr>
        <w:t>,</w:t>
      </w:r>
      <w:r w:rsidR="00ED1718" w:rsidRPr="00C24944">
        <w:rPr>
          <w:rFonts w:asciiTheme="minorHAnsi" w:hAnsiTheme="minorHAnsi" w:cstheme="minorHAnsi"/>
          <w:sz w:val="36"/>
          <w:szCs w:val="36"/>
        </w:rPr>
        <w:t xml:space="preserve"> 2</w:t>
      </w:r>
      <w:r w:rsidR="006D6493" w:rsidRPr="00C24944">
        <w:rPr>
          <w:rFonts w:asciiTheme="minorHAnsi" w:hAnsiTheme="minorHAnsi" w:cstheme="minorHAnsi"/>
          <w:sz w:val="36"/>
          <w:szCs w:val="36"/>
        </w:rPr>
        <w:t xml:space="preserve">, </w:t>
      </w:r>
      <w:r w:rsidR="006D6493" w:rsidRPr="00C24944">
        <w:rPr>
          <w:rFonts w:asciiTheme="minorHAnsi" w:hAnsiTheme="minorHAnsi" w:cstheme="minorHAnsi"/>
          <w:sz w:val="36"/>
          <w:szCs w:val="36"/>
        </w:rPr>
        <w:br/>
      </w:r>
      <w:proofErr w:type="spellStart"/>
      <w:r w:rsidR="008F65AA" w:rsidRPr="00C24944">
        <w:rPr>
          <w:rFonts w:asciiTheme="minorHAnsi" w:hAnsiTheme="minorHAnsi" w:cstheme="minorHAnsi"/>
          <w:sz w:val="36"/>
          <w:szCs w:val="36"/>
        </w:rPr>
        <w:t>Nyxoid</w:t>
      </w:r>
      <w:proofErr w:type="spellEnd"/>
      <w:r w:rsidR="006D6493" w:rsidRPr="00C24944">
        <w:rPr>
          <w:rFonts w:asciiTheme="minorHAnsi" w:hAnsiTheme="minorHAnsi" w:cstheme="minorHAnsi"/>
          <w:sz w:val="36"/>
          <w:szCs w:val="36"/>
          <w:vertAlign w:val="superscript"/>
        </w:rPr>
        <w:t>®</w:t>
      </w:r>
      <w:r w:rsidR="006D6493" w:rsidRPr="00C24944">
        <w:rPr>
          <w:rFonts w:asciiTheme="minorHAnsi" w:hAnsiTheme="minorHAnsi" w:cstheme="minorHAnsi"/>
          <w:sz w:val="36"/>
          <w:szCs w:val="36"/>
        </w:rPr>
        <w:t xml:space="preserve">, </w:t>
      </w:r>
      <w:proofErr w:type="spellStart"/>
      <w:r w:rsidR="008F65AA" w:rsidRPr="00C24944">
        <w:rPr>
          <w:rFonts w:asciiTheme="minorHAnsi" w:hAnsiTheme="minorHAnsi" w:cstheme="minorHAnsi"/>
          <w:sz w:val="36"/>
          <w:szCs w:val="36"/>
        </w:rPr>
        <w:t>Mundipharma</w:t>
      </w:r>
      <w:proofErr w:type="spellEnd"/>
      <w:r w:rsidR="008F65AA" w:rsidRPr="00C24944">
        <w:rPr>
          <w:rFonts w:asciiTheme="minorHAnsi" w:hAnsiTheme="minorHAnsi" w:cstheme="minorHAnsi"/>
          <w:sz w:val="36"/>
          <w:szCs w:val="36"/>
        </w:rPr>
        <w:t xml:space="preserve"> Pty Ltd</w:t>
      </w:r>
    </w:p>
    <w:p w:rsidR="008A50F1" w:rsidRPr="00C24944" w:rsidRDefault="00CE10C4" w:rsidP="00EB0B63">
      <w:pPr>
        <w:pStyle w:val="PBACHeading1"/>
        <w:spacing w:before="240" w:after="120"/>
        <w:ind w:left="709" w:hanging="709"/>
        <w:rPr>
          <w:rFonts w:asciiTheme="minorHAnsi" w:hAnsiTheme="minorHAnsi" w:cstheme="minorHAnsi"/>
          <w:sz w:val="32"/>
          <w:szCs w:val="32"/>
        </w:rPr>
      </w:pPr>
      <w:r w:rsidRPr="00C24944">
        <w:rPr>
          <w:rFonts w:asciiTheme="minorHAnsi" w:hAnsiTheme="minorHAnsi" w:cstheme="minorHAnsi"/>
          <w:sz w:val="32"/>
          <w:szCs w:val="32"/>
        </w:rPr>
        <w:t xml:space="preserve">Purpose of </w:t>
      </w:r>
      <w:r w:rsidR="0004240E" w:rsidRPr="00C24944">
        <w:rPr>
          <w:rFonts w:asciiTheme="minorHAnsi" w:hAnsiTheme="minorHAnsi" w:cstheme="minorHAnsi"/>
          <w:sz w:val="32"/>
          <w:szCs w:val="32"/>
        </w:rPr>
        <w:t>Application</w:t>
      </w:r>
    </w:p>
    <w:p w:rsidR="006A12A5" w:rsidRPr="00C24944" w:rsidRDefault="00EF44A0" w:rsidP="00EB0B63">
      <w:pPr>
        <w:pStyle w:val="ListParagraph"/>
        <w:widowControl/>
        <w:numPr>
          <w:ilvl w:val="1"/>
          <w:numId w:val="5"/>
        </w:numPr>
        <w:spacing w:after="120"/>
        <w:contextualSpacing w:val="0"/>
        <w:rPr>
          <w:rFonts w:asciiTheme="minorHAnsi" w:eastAsiaTheme="minorHAnsi" w:hAnsiTheme="minorHAnsi" w:cstheme="minorHAnsi"/>
          <w:snapToGrid/>
          <w:sz w:val="24"/>
          <w:szCs w:val="22"/>
        </w:rPr>
      </w:pPr>
      <w:r w:rsidRPr="00C24944">
        <w:rPr>
          <w:rFonts w:asciiTheme="minorHAnsi" w:eastAsiaTheme="minorHAnsi" w:hAnsiTheme="minorHAnsi" w:cstheme="minorHAnsi"/>
          <w:snapToGrid/>
          <w:sz w:val="24"/>
          <w:szCs w:val="22"/>
        </w:rPr>
        <w:t>The mi</w:t>
      </w:r>
      <w:r w:rsidR="00FF2801" w:rsidRPr="00C24944">
        <w:rPr>
          <w:rFonts w:asciiTheme="minorHAnsi" w:eastAsiaTheme="minorHAnsi" w:hAnsiTheme="minorHAnsi" w:cstheme="minorHAnsi"/>
          <w:snapToGrid/>
          <w:sz w:val="24"/>
          <w:szCs w:val="22"/>
        </w:rPr>
        <w:t>nor submission sought to</w:t>
      </w:r>
      <w:r w:rsidR="00155DD4" w:rsidRPr="00C24944">
        <w:rPr>
          <w:rFonts w:asciiTheme="minorHAnsi" w:eastAsiaTheme="minorHAnsi" w:hAnsiTheme="minorHAnsi" w:cstheme="minorHAnsi"/>
          <w:snapToGrid/>
          <w:sz w:val="24"/>
          <w:szCs w:val="22"/>
        </w:rPr>
        <w:t xml:space="preserve"> l</w:t>
      </w:r>
      <w:r w:rsidRPr="00C24944">
        <w:rPr>
          <w:rFonts w:asciiTheme="minorHAnsi" w:eastAsiaTheme="minorHAnsi" w:hAnsiTheme="minorHAnsi" w:cstheme="minorHAnsi"/>
          <w:snapToGrid/>
          <w:sz w:val="24"/>
          <w:szCs w:val="22"/>
        </w:rPr>
        <w:t>ist</w:t>
      </w:r>
      <w:r w:rsidR="00155DD4" w:rsidRPr="00C24944">
        <w:rPr>
          <w:rFonts w:asciiTheme="minorHAnsi" w:eastAsiaTheme="minorHAnsi" w:hAnsiTheme="minorHAnsi" w:cstheme="minorHAnsi"/>
          <w:snapToGrid/>
          <w:sz w:val="24"/>
          <w:szCs w:val="22"/>
        </w:rPr>
        <w:t xml:space="preserve"> a</w:t>
      </w:r>
      <w:r w:rsidR="0052407D" w:rsidRPr="00C24944">
        <w:rPr>
          <w:rFonts w:asciiTheme="minorHAnsi" w:eastAsiaTheme="minorHAnsi" w:hAnsiTheme="minorHAnsi" w:cstheme="minorHAnsi"/>
          <w:snapToGrid/>
          <w:sz w:val="24"/>
          <w:szCs w:val="22"/>
        </w:rPr>
        <w:t>n intranasal</w:t>
      </w:r>
      <w:r w:rsidR="00863F19" w:rsidRPr="00C24944">
        <w:rPr>
          <w:rFonts w:asciiTheme="minorHAnsi" w:eastAsiaTheme="minorHAnsi" w:hAnsiTheme="minorHAnsi" w:cstheme="minorHAnsi"/>
          <w:snapToGrid/>
          <w:sz w:val="24"/>
          <w:szCs w:val="22"/>
        </w:rPr>
        <w:t xml:space="preserve"> (IN)</w:t>
      </w:r>
      <w:r w:rsidR="0052407D" w:rsidRPr="00C24944">
        <w:rPr>
          <w:rFonts w:asciiTheme="minorHAnsi" w:eastAsiaTheme="minorHAnsi" w:hAnsiTheme="minorHAnsi" w:cstheme="minorHAnsi"/>
          <w:snapToGrid/>
          <w:sz w:val="24"/>
          <w:szCs w:val="22"/>
        </w:rPr>
        <w:t xml:space="preserve"> </w:t>
      </w:r>
      <w:r w:rsidR="00155DD4" w:rsidRPr="00C24944">
        <w:rPr>
          <w:rFonts w:asciiTheme="minorHAnsi" w:eastAsiaTheme="minorHAnsi" w:hAnsiTheme="minorHAnsi" w:cstheme="minorHAnsi"/>
          <w:snapToGrid/>
          <w:sz w:val="24"/>
          <w:szCs w:val="22"/>
        </w:rPr>
        <w:t xml:space="preserve">presentation </w:t>
      </w:r>
      <w:r w:rsidR="006504DE" w:rsidRPr="00C24944">
        <w:rPr>
          <w:rFonts w:asciiTheme="minorHAnsi" w:eastAsiaTheme="minorHAnsi" w:hAnsiTheme="minorHAnsi" w:cstheme="minorHAnsi"/>
          <w:snapToGrid/>
          <w:sz w:val="24"/>
          <w:szCs w:val="22"/>
        </w:rPr>
        <w:t>of n</w:t>
      </w:r>
      <w:r w:rsidR="00155DD4" w:rsidRPr="00C24944">
        <w:rPr>
          <w:rFonts w:asciiTheme="minorHAnsi" w:eastAsiaTheme="minorHAnsi" w:hAnsiTheme="minorHAnsi" w:cstheme="minorHAnsi"/>
          <w:snapToGrid/>
          <w:sz w:val="24"/>
          <w:szCs w:val="22"/>
        </w:rPr>
        <w:t xml:space="preserve">aloxone </w:t>
      </w:r>
      <w:r w:rsidR="004331A7" w:rsidRPr="00C24944">
        <w:rPr>
          <w:rFonts w:asciiTheme="minorHAnsi" w:eastAsiaTheme="minorHAnsi" w:hAnsiTheme="minorHAnsi" w:cstheme="minorHAnsi"/>
          <w:snapToGrid/>
          <w:sz w:val="24"/>
          <w:szCs w:val="22"/>
        </w:rPr>
        <w:t>as</w:t>
      </w:r>
      <w:r w:rsidR="006504DE" w:rsidRPr="00C24944">
        <w:rPr>
          <w:rFonts w:asciiTheme="minorHAnsi" w:eastAsiaTheme="minorHAnsi" w:hAnsiTheme="minorHAnsi" w:cstheme="minorHAnsi"/>
          <w:snapToGrid/>
          <w:sz w:val="24"/>
          <w:szCs w:val="22"/>
        </w:rPr>
        <w:t xml:space="preserve"> an unrestricted benefit for </w:t>
      </w:r>
      <w:r w:rsidR="00155DD4" w:rsidRPr="00C24944">
        <w:rPr>
          <w:rFonts w:asciiTheme="minorHAnsi" w:eastAsiaTheme="minorHAnsi" w:hAnsiTheme="minorHAnsi" w:cstheme="minorHAnsi"/>
          <w:snapToGrid/>
          <w:sz w:val="24"/>
          <w:szCs w:val="22"/>
        </w:rPr>
        <w:t>use in opioid overdose.</w:t>
      </w:r>
    </w:p>
    <w:p w:rsidR="006A12A5" w:rsidRPr="00C24944" w:rsidRDefault="006A12A5" w:rsidP="00EB0B63">
      <w:pPr>
        <w:pStyle w:val="PBACHeading1"/>
        <w:spacing w:before="240" w:after="120"/>
        <w:ind w:left="709" w:hanging="709"/>
        <w:rPr>
          <w:rFonts w:asciiTheme="minorHAnsi" w:hAnsiTheme="minorHAnsi" w:cstheme="minorHAnsi"/>
          <w:sz w:val="32"/>
          <w:szCs w:val="32"/>
        </w:rPr>
      </w:pPr>
      <w:r w:rsidRPr="00C24944">
        <w:rPr>
          <w:rFonts w:asciiTheme="minorHAnsi" w:hAnsiTheme="minorHAnsi" w:cstheme="minorHAnsi"/>
          <w:sz w:val="32"/>
          <w:szCs w:val="32"/>
        </w:rPr>
        <w:t>Requested listing</w:t>
      </w:r>
    </w:p>
    <w:p w:rsidR="00EE30C8" w:rsidRPr="00EE30C8" w:rsidRDefault="00EF44A0" w:rsidP="00EE30C8">
      <w:pPr>
        <w:pStyle w:val="ListParagraph"/>
        <w:widowControl/>
        <w:numPr>
          <w:ilvl w:val="1"/>
          <w:numId w:val="14"/>
        </w:numPr>
        <w:spacing w:after="120"/>
        <w:contextualSpacing w:val="0"/>
        <w:rPr>
          <w:rFonts w:asciiTheme="minorHAnsi" w:eastAsiaTheme="minorHAnsi" w:hAnsiTheme="minorHAnsi" w:cstheme="minorHAnsi"/>
          <w:snapToGrid/>
          <w:sz w:val="24"/>
          <w:szCs w:val="22"/>
        </w:rPr>
      </w:pPr>
      <w:r w:rsidRPr="00C24944">
        <w:rPr>
          <w:rFonts w:asciiTheme="minorHAnsi" w:eastAsiaTheme="minorHAnsi" w:hAnsiTheme="minorHAnsi" w:cstheme="minorHAnsi"/>
          <w:snapToGrid/>
          <w:sz w:val="24"/>
          <w:szCs w:val="22"/>
        </w:rPr>
        <w:t xml:space="preserve">The submission </w:t>
      </w:r>
      <w:r w:rsidR="00FF2801" w:rsidRPr="00C24944">
        <w:rPr>
          <w:rFonts w:asciiTheme="minorHAnsi" w:eastAsiaTheme="minorHAnsi" w:hAnsiTheme="minorHAnsi" w:cstheme="minorHAnsi"/>
          <w:snapToGrid/>
          <w:sz w:val="24"/>
          <w:szCs w:val="22"/>
        </w:rPr>
        <w:t>requested</w:t>
      </w:r>
      <w:r w:rsidRPr="00C24944">
        <w:rPr>
          <w:rFonts w:asciiTheme="minorHAnsi" w:eastAsiaTheme="minorHAnsi" w:hAnsiTheme="minorHAnsi" w:cstheme="minorHAnsi"/>
          <w:snapToGrid/>
          <w:sz w:val="24"/>
          <w:szCs w:val="22"/>
        </w:rPr>
        <w:t xml:space="preserve"> </w:t>
      </w:r>
      <w:r w:rsidR="001C6807" w:rsidRPr="00C24944">
        <w:rPr>
          <w:rFonts w:asciiTheme="minorHAnsi" w:eastAsiaTheme="minorHAnsi" w:hAnsiTheme="minorHAnsi" w:cstheme="minorHAnsi"/>
          <w:snapToGrid/>
          <w:sz w:val="24"/>
          <w:szCs w:val="22"/>
        </w:rPr>
        <w:t>an unrestricted, General Schedule listing of naloxone.</w:t>
      </w:r>
      <w:r w:rsidR="006504DE" w:rsidRPr="00C24944">
        <w:rPr>
          <w:rFonts w:asciiTheme="minorHAnsi" w:eastAsiaTheme="minorHAnsi" w:hAnsiTheme="minorHAnsi" w:cstheme="minorHAnsi"/>
          <w:snapToGrid/>
          <w:sz w:val="24"/>
          <w:szCs w:val="22"/>
        </w:rPr>
        <w:t xml:space="preserve"> The submission also indicated a willingness for a dual General Schedule and Section 100 listing if considered appropriate by the PBAC. </w:t>
      </w:r>
    </w:p>
    <w:tbl>
      <w:tblPr>
        <w:tblW w:w="4941" w:type="pct"/>
        <w:tblInd w:w="107" w:type="dxa"/>
        <w:tblCellMar>
          <w:left w:w="28" w:type="dxa"/>
          <w:right w:w="28" w:type="dxa"/>
        </w:tblCellMar>
        <w:tblLook w:val="0000" w:firstRow="0" w:lastRow="0" w:firstColumn="0" w:lastColumn="0" w:noHBand="0" w:noVBand="0"/>
      </w:tblPr>
      <w:tblGrid>
        <w:gridCol w:w="2974"/>
        <w:gridCol w:w="184"/>
        <w:gridCol w:w="804"/>
        <w:gridCol w:w="769"/>
        <w:gridCol w:w="4188"/>
      </w:tblGrid>
      <w:tr w:rsidR="00EE30C8" w:rsidRPr="00950D34" w:rsidTr="00950D34">
        <w:trPr>
          <w:cantSplit/>
          <w:trHeight w:val="20"/>
        </w:trPr>
        <w:tc>
          <w:tcPr>
            <w:tcW w:w="1667" w:type="pct"/>
            <w:tcBorders>
              <w:top w:val="single" w:sz="4" w:space="0" w:color="auto"/>
              <w:bottom w:val="single" w:sz="4" w:space="0" w:color="auto"/>
            </w:tcBorders>
            <w:vAlign w:val="center"/>
          </w:tcPr>
          <w:p w:rsidR="00EE30C8" w:rsidRPr="00950D34" w:rsidRDefault="00EE30C8" w:rsidP="00EE30C8">
            <w:pPr>
              <w:keepNext/>
              <w:rPr>
                <w:rFonts w:ascii="Arial Narrow" w:hAnsi="Arial Narrow"/>
                <w:b/>
                <w:sz w:val="20"/>
              </w:rPr>
            </w:pPr>
            <w:r w:rsidRPr="00950D34">
              <w:rPr>
                <w:rFonts w:ascii="Arial Narrow" w:hAnsi="Arial Narrow"/>
                <w:b/>
                <w:sz w:val="20"/>
              </w:rPr>
              <w:t>Name, Restriction,</w:t>
            </w:r>
          </w:p>
          <w:p w:rsidR="00EE30C8" w:rsidRPr="00950D34" w:rsidRDefault="00EE30C8" w:rsidP="00EE30C8">
            <w:pPr>
              <w:keepNext/>
              <w:rPr>
                <w:rFonts w:ascii="Arial Narrow" w:hAnsi="Arial Narrow"/>
                <w:b/>
                <w:sz w:val="20"/>
              </w:rPr>
            </w:pPr>
            <w:r w:rsidRPr="00950D34">
              <w:rPr>
                <w:rFonts w:ascii="Arial Narrow" w:hAnsi="Arial Narrow"/>
                <w:b/>
                <w:sz w:val="20"/>
              </w:rPr>
              <w:t>Manner of administration and form</w:t>
            </w:r>
          </w:p>
        </w:tc>
        <w:tc>
          <w:tcPr>
            <w:tcW w:w="554" w:type="pct"/>
            <w:gridSpan w:val="2"/>
            <w:tcBorders>
              <w:top w:val="single" w:sz="4" w:space="0" w:color="auto"/>
              <w:bottom w:val="single" w:sz="4" w:space="0" w:color="auto"/>
            </w:tcBorders>
            <w:vAlign w:val="center"/>
          </w:tcPr>
          <w:p w:rsidR="00EE30C8" w:rsidRPr="00950D34" w:rsidRDefault="00EE30C8" w:rsidP="00EE30C8">
            <w:pPr>
              <w:keepNext/>
              <w:jc w:val="center"/>
              <w:rPr>
                <w:rFonts w:ascii="Arial Narrow" w:hAnsi="Arial Narrow"/>
                <w:b/>
                <w:sz w:val="20"/>
              </w:rPr>
            </w:pPr>
            <w:r w:rsidRPr="00950D34">
              <w:rPr>
                <w:rFonts w:ascii="Arial Narrow" w:hAnsi="Arial Narrow"/>
                <w:b/>
                <w:sz w:val="20"/>
              </w:rPr>
              <w:t>Max.</w:t>
            </w:r>
          </w:p>
          <w:p w:rsidR="00EE30C8" w:rsidRPr="00950D34" w:rsidRDefault="00EE30C8" w:rsidP="00EE30C8">
            <w:pPr>
              <w:keepNext/>
              <w:jc w:val="center"/>
              <w:rPr>
                <w:rFonts w:ascii="Arial Narrow" w:hAnsi="Arial Narrow"/>
                <w:b/>
                <w:sz w:val="20"/>
              </w:rPr>
            </w:pPr>
            <w:proofErr w:type="spellStart"/>
            <w:r w:rsidRPr="00950D34">
              <w:rPr>
                <w:rFonts w:ascii="Arial Narrow" w:hAnsi="Arial Narrow"/>
                <w:b/>
                <w:sz w:val="20"/>
              </w:rPr>
              <w:t>Qty</w:t>
            </w:r>
            <w:proofErr w:type="spellEnd"/>
            <w:r w:rsidRPr="00950D34">
              <w:rPr>
                <w:rFonts w:ascii="Arial Narrow" w:hAnsi="Arial Narrow"/>
                <w:b/>
                <w:sz w:val="20"/>
              </w:rPr>
              <w:t xml:space="preserve"> </w:t>
            </w:r>
          </w:p>
        </w:tc>
        <w:tc>
          <w:tcPr>
            <w:tcW w:w="431" w:type="pct"/>
            <w:tcBorders>
              <w:top w:val="single" w:sz="4" w:space="0" w:color="auto"/>
              <w:bottom w:val="single" w:sz="4" w:space="0" w:color="auto"/>
            </w:tcBorders>
            <w:vAlign w:val="center"/>
          </w:tcPr>
          <w:p w:rsidR="00EE30C8" w:rsidRPr="00950D34" w:rsidRDefault="00EE30C8" w:rsidP="00EE30C8">
            <w:pPr>
              <w:keepNext/>
              <w:jc w:val="center"/>
              <w:rPr>
                <w:rFonts w:ascii="Arial Narrow" w:hAnsi="Arial Narrow"/>
                <w:b/>
                <w:sz w:val="20"/>
              </w:rPr>
            </w:pPr>
            <w:r w:rsidRPr="00950D34">
              <w:rPr>
                <w:rFonts w:ascii="Arial Narrow" w:hAnsi="Arial Narrow"/>
                <w:b/>
                <w:sz w:val="20"/>
              </w:rPr>
              <w:t>№.of</w:t>
            </w:r>
          </w:p>
          <w:p w:rsidR="00EE30C8" w:rsidRPr="00950D34" w:rsidRDefault="00EE30C8" w:rsidP="00EE30C8">
            <w:pPr>
              <w:keepNext/>
              <w:jc w:val="center"/>
              <w:rPr>
                <w:rFonts w:ascii="Arial Narrow" w:hAnsi="Arial Narrow"/>
                <w:b/>
                <w:sz w:val="20"/>
              </w:rPr>
            </w:pPr>
            <w:proofErr w:type="spellStart"/>
            <w:r w:rsidRPr="00950D34">
              <w:rPr>
                <w:rFonts w:ascii="Arial Narrow" w:hAnsi="Arial Narrow"/>
                <w:b/>
                <w:sz w:val="20"/>
              </w:rPr>
              <w:t>Rpts</w:t>
            </w:r>
            <w:proofErr w:type="spellEnd"/>
          </w:p>
        </w:tc>
        <w:tc>
          <w:tcPr>
            <w:tcW w:w="2348" w:type="pct"/>
            <w:tcBorders>
              <w:top w:val="single" w:sz="4" w:space="0" w:color="auto"/>
              <w:bottom w:val="single" w:sz="4" w:space="0" w:color="auto"/>
            </w:tcBorders>
            <w:vAlign w:val="center"/>
          </w:tcPr>
          <w:p w:rsidR="00EE30C8" w:rsidRPr="00950D34" w:rsidRDefault="00EE30C8" w:rsidP="00EE30C8">
            <w:pPr>
              <w:keepNext/>
              <w:jc w:val="center"/>
              <w:rPr>
                <w:rFonts w:ascii="Arial Narrow" w:hAnsi="Arial Narrow"/>
                <w:b/>
                <w:sz w:val="20"/>
              </w:rPr>
            </w:pPr>
            <w:r w:rsidRPr="00950D34">
              <w:rPr>
                <w:rFonts w:ascii="Arial Narrow" w:hAnsi="Arial Narrow"/>
                <w:b/>
                <w:sz w:val="20"/>
              </w:rPr>
              <w:t>Proprietary Name and Manufacturer</w:t>
            </w:r>
          </w:p>
        </w:tc>
      </w:tr>
      <w:tr w:rsidR="00EE30C8" w:rsidRPr="00950D34" w:rsidTr="00950D34">
        <w:trPr>
          <w:cantSplit/>
          <w:trHeight w:val="20"/>
        </w:trPr>
        <w:tc>
          <w:tcPr>
            <w:tcW w:w="1667" w:type="pct"/>
          </w:tcPr>
          <w:p w:rsidR="00EE30C8" w:rsidRPr="00950D34" w:rsidRDefault="00EE30C8" w:rsidP="00950D34">
            <w:pPr>
              <w:keepNext/>
              <w:keepLines/>
              <w:adjustRightInd w:val="0"/>
              <w:snapToGrid w:val="0"/>
              <w:rPr>
                <w:rFonts w:ascii="Arial Narrow" w:eastAsia="SimSun" w:hAnsi="Arial Narrow"/>
                <w:sz w:val="20"/>
                <w:szCs w:val="20"/>
                <w:lang w:eastAsia="zh-CN"/>
              </w:rPr>
            </w:pPr>
            <w:r w:rsidRPr="00950D34">
              <w:rPr>
                <w:rFonts w:ascii="Arial Narrow" w:eastAsia="SimSun" w:hAnsi="Arial Narrow"/>
                <w:sz w:val="20"/>
                <w:szCs w:val="20"/>
                <w:lang w:eastAsia="zh-CN"/>
              </w:rPr>
              <w:t>NALOXONE</w:t>
            </w:r>
          </w:p>
          <w:p w:rsidR="00EE30C8" w:rsidRDefault="00EE30C8" w:rsidP="00EE30C8">
            <w:pPr>
              <w:keepNext/>
              <w:rPr>
                <w:rFonts w:ascii="Arial Narrow" w:eastAsia="SimSun" w:hAnsi="Arial Narrow"/>
                <w:sz w:val="20"/>
                <w:szCs w:val="20"/>
                <w:lang w:eastAsia="zh-CN"/>
              </w:rPr>
            </w:pPr>
            <w:r w:rsidRPr="00950D34">
              <w:rPr>
                <w:rFonts w:ascii="Arial Narrow" w:eastAsia="SimSun" w:hAnsi="Arial Narrow"/>
                <w:sz w:val="20"/>
                <w:szCs w:val="20"/>
                <w:lang w:eastAsia="zh-CN"/>
              </w:rPr>
              <w:t xml:space="preserve">Nasal spray containing naloxone hydrochloride </w:t>
            </w:r>
            <w:proofErr w:type="spellStart"/>
            <w:r w:rsidRPr="00950D34">
              <w:rPr>
                <w:rFonts w:ascii="Arial Narrow" w:eastAsia="SimSun" w:hAnsi="Arial Narrow"/>
                <w:sz w:val="20"/>
                <w:szCs w:val="20"/>
                <w:lang w:eastAsia="zh-CN"/>
              </w:rPr>
              <w:t>dihydrate</w:t>
            </w:r>
            <w:proofErr w:type="spellEnd"/>
            <w:r w:rsidRPr="00950D34">
              <w:rPr>
                <w:rFonts w:ascii="Arial Narrow" w:eastAsia="SimSun" w:hAnsi="Arial Narrow"/>
                <w:sz w:val="20"/>
                <w:szCs w:val="20"/>
                <w:lang w:eastAsia="zh-CN"/>
              </w:rPr>
              <w:t xml:space="preserve"> 1.8mg, 2</w:t>
            </w:r>
          </w:p>
          <w:p w:rsidR="00950D34" w:rsidRPr="00950D34" w:rsidRDefault="00950D34" w:rsidP="00EE30C8">
            <w:pPr>
              <w:keepNext/>
              <w:rPr>
                <w:rFonts w:ascii="Arial Narrow" w:eastAsia="SimSun" w:hAnsi="Arial Narrow"/>
                <w:sz w:val="20"/>
                <w:szCs w:val="20"/>
                <w:lang w:eastAsia="zh-CN"/>
              </w:rPr>
            </w:pPr>
          </w:p>
        </w:tc>
        <w:tc>
          <w:tcPr>
            <w:tcW w:w="554" w:type="pct"/>
            <w:gridSpan w:val="2"/>
            <w:vAlign w:val="center"/>
          </w:tcPr>
          <w:p w:rsidR="00EE30C8" w:rsidRPr="00950D34" w:rsidRDefault="00EE30C8" w:rsidP="00EE30C8">
            <w:pPr>
              <w:keepNext/>
              <w:jc w:val="center"/>
              <w:rPr>
                <w:rFonts w:ascii="Arial Narrow" w:hAnsi="Arial Narrow"/>
                <w:sz w:val="20"/>
                <w:szCs w:val="20"/>
              </w:rPr>
            </w:pPr>
            <w:r w:rsidRPr="00950D34">
              <w:rPr>
                <w:rFonts w:ascii="Arial Narrow" w:eastAsia="SimSun" w:hAnsi="Arial Narrow"/>
                <w:sz w:val="20"/>
                <w:szCs w:val="20"/>
                <w:lang w:eastAsia="zh-CN"/>
              </w:rPr>
              <w:t>1</w:t>
            </w:r>
          </w:p>
        </w:tc>
        <w:tc>
          <w:tcPr>
            <w:tcW w:w="431" w:type="pct"/>
            <w:vAlign w:val="center"/>
          </w:tcPr>
          <w:p w:rsidR="00EE30C8" w:rsidRPr="00950D34" w:rsidRDefault="00EE30C8" w:rsidP="00EE30C8">
            <w:pPr>
              <w:keepNext/>
              <w:jc w:val="center"/>
              <w:rPr>
                <w:rFonts w:ascii="Arial Narrow" w:hAnsi="Arial Narrow"/>
                <w:sz w:val="20"/>
                <w:szCs w:val="20"/>
              </w:rPr>
            </w:pPr>
            <w:r w:rsidRPr="00950D34">
              <w:rPr>
                <w:rFonts w:ascii="Arial Narrow" w:eastAsia="SimSun" w:hAnsi="Arial Narrow"/>
                <w:sz w:val="20"/>
                <w:szCs w:val="20"/>
                <w:lang w:eastAsia="zh-CN"/>
              </w:rPr>
              <w:t>0</w:t>
            </w:r>
          </w:p>
        </w:tc>
        <w:tc>
          <w:tcPr>
            <w:tcW w:w="2348" w:type="pct"/>
            <w:vAlign w:val="center"/>
          </w:tcPr>
          <w:p w:rsidR="00EE30C8" w:rsidRPr="00950D34" w:rsidRDefault="00EE30C8" w:rsidP="00EE30C8">
            <w:pPr>
              <w:spacing w:after="120"/>
              <w:jc w:val="center"/>
              <w:rPr>
                <w:rFonts w:ascii="Arial Narrow" w:eastAsia="SimSun" w:hAnsi="Arial Narrow"/>
                <w:sz w:val="20"/>
                <w:szCs w:val="20"/>
                <w:lang w:eastAsia="zh-CN"/>
              </w:rPr>
            </w:pPr>
            <w:proofErr w:type="spellStart"/>
            <w:r w:rsidRPr="00950D34">
              <w:rPr>
                <w:rFonts w:ascii="Arial Narrow" w:eastAsia="SimSun" w:hAnsi="Arial Narrow"/>
                <w:sz w:val="20"/>
                <w:szCs w:val="20"/>
                <w:lang w:eastAsia="zh-CN"/>
              </w:rPr>
              <w:t>Nyxoid</w:t>
            </w:r>
            <w:proofErr w:type="spellEnd"/>
          </w:p>
          <w:p w:rsidR="00EE30C8" w:rsidRPr="00950D34" w:rsidRDefault="00EE30C8" w:rsidP="00EE30C8">
            <w:pPr>
              <w:keepNext/>
              <w:jc w:val="center"/>
              <w:rPr>
                <w:rFonts w:ascii="Arial Narrow" w:hAnsi="Arial Narrow"/>
                <w:sz w:val="20"/>
                <w:szCs w:val="20"/>
              </w:rPr>
            </w:pPr>
            <w:proofErr w:type="spellStart"/>
            <w:r w:rsidRPr="00950D34">
              <w:rPr>
                <w:rFonts w:ascii="Arial Narrow" w:eastAsia="SimSun" w:hAnsi="Arial Narrow"/>
                <w:sz w:val="20"/>
                <w:szCs w:val="20"/>
                <w:lang w:eastAsia="zh-CN"/>
              </w:rPr>
              <w:t>Mundipharma</w:t>
            </w:r>
            <w:proofErr w:type="spellEnd"/>
            <w:r w:rsidRPr="00950D34">
              <w:rPr>
                <w:rFonts w:ascii="Arial Narrow" w:eastAsia="SimSun" w:hAnsi="Arial Narrow"/>
                <w:sz w:val="20"/>
                <w:szCs w:val="20"/>
                <w:lang w:eastAsia="zh-CN"/>
              </w:rPr>
              <w:t xml:space="preserve"> Pty</w:t>
            </w:r>
            <w:r w:rsidRPr="00950D34">
              <w:rPr>
                <w:rFonts w:ascii="Arial Narrow" w:hAnsi="Arial Narrow" w:cstheme="minorHAnsi"/>
                <w:sz w:val="20"/>
              </w:rPr>
              <w:t xml:space="preserve"> </w:t>
            </w:r>
            <w:r w:rsidRPr="00950D34">
              <w:rPr>
                <w:rFonts w:ascii="Arial Narrow" w:eastAsia="SimSun" w:hAnsi="Arial Narrow"/>
                <w:sz w:val="20"/>
                <w:szCs w:val="20"/>
                <w:lang w:eastAsia="zh-CN"/>
              </w:rPr>
              <w:t>Ltd</w:t>
            </w:r>
          </w:p>
        </w:tc>
      </w:tr>
      <w:tr w:rsidR="00920BF6" w:rsidRPr="00950D34" w:rsidDel="00920BF6" w:rsidTr="00950D34">
        <w:tblPrEx>
          <w:tblCellMar>
            <w:left w:w="108" w:type="dxa"/>
            <w:right w:w="108" w:type="dxa"/>
          </w:tblCellMar>
        </w:tblPrEx>
        <w:trPr>
          <w:cantSplit/>
          <w:trHeight w:val="20"/>
        </w:trPr>
        <w:tc>
          <w:tcPr>
            <w:tcW w:w="1770" w:type="pct"/>
            <w:gridSpan w:val="2"/>
            <w:tcBorders>
              <w:top w:val="single" w:sz="4" w:space="0" w:color="auto"/>
              <w:left w:val="single" w:sz="4" w:space="0" w:color="auto"/>
              <w:bottom w:val="single" w:sz="4" w:space="0" w:color="auto"/>
              <w:right w:val="single" w:sz="4" w:space="0" w:color="auto"/>
            </w:tcBorders>
          </w:tcPr>
          <w:p w:rsidR="00920BF6" w:rsidRPr="00950D34" w:rsidDel="00920BF6" w:rsidRDefault="00920BF6" w:rsidP="00920BF6">
            <w:pPr>
              <w:jc w:val="both"/>
              <w:rPr>
                <w:rFonts w:ascii="Arial Narrow" w:hAnsi="Arial Narrow" w:cstheme="minorHAnsi"/>
                <w:b/>
                <w:sz w:val="20"/>
                <w:szCs w:val="20"/>
              </w:rPr>
            </w:pPr>
            <w:r w:rsidRPr="00950D34">
              <w:rPr>
                <w:rFonts w:ascii="Arial Narrow" w:hAnsi="Arial Narrow" w:cstheme="minorHAnsi"/>
                <w:sz w:val="20"/>
                <w:szCs w:val="20"/>
              </w:rPr>
              <w:t>Category / Program:</w:t>
            </w:r>
          </w:p>
        </w:tc>
        <w:tc>
          <w:tcPr>
            <w:tcW w:w="3230" w:type="pct"/>
            <w:gridSpan w:val="3"/>
            <w:tcBorders>
              <w:top w:val="single" w:sz="4" w:space="0" w:color="auto"/>
              <w:left w:val="single" w:sz="4" w:space="0" w:color="auto"/>
              <w:bottom w:val="single" w:sz="4" w:space="0" w:color="auto"/>
              <w:right w:val="single" w:sz="4" w:space="0" w:color="auto"/>
            </w:tcBorders>
          </w:tcPr>
          <w:p w:rsidR="00920BF6" w:rsidRPr="00950D34" w:rsidDel="00920BF6" w:rsidRDefault="00047811" w:rsidP="00047811">
            <w:pPr>
              <w:rPr>
                <w:rFonts w:ascii="Arial Narrow" w:hAnsi="Arial Narrow" w:cstheme="minorHAnsi"/>
                <w:sz w:val="20"/>
                <w:szCs w:val="20"/>
              </w:rPr>
            </w:pPr>
            <w:r w:rsidRPr="00950D34">
              <w:rPr>
                <w:rFonts w:ascii="Arial Narrow" w:hAnsi="Arial Narrow" w:cstheme="minorHAnsi"/>
                <w:sz w:val="20"/>
                <w:szCs w:val="20"/>
              </w:rPr>
              <w:t>General Schedule</w:t>
            </w:r>
          </w:p>
        </w:tc>
      </w:tr>
      <w:tr w:rsidR="00920BF6" w:rsidRPr="00950D34" w:rsidDel="00920BF6" w:rsidTr="00950D34">
        <w:tblPrEx>
          <w:tblCellMar>
            <w:left w:w="108" w:type="dxa"/>
            <w:right w:w="108" w:type="dxa"/>
          </w:tblCellMar>
        </w:tblPrEx>
        <w:trPr>
          <w:cantSplit/>
          <w:trHeight w:val="20"/>
        </w:trPr>
        <w:tc>
          <w:tcPr>
            <w:tcW w:w="1770" w:type="pct"/>
            <w:gridSpan w:val="2"/>
            <w:tcBorders>
              <w:top w:val="single" w:sz="4" w:space="0" w:color="auto"/>
              <w:left w:val="single" w:sz="4" w:space="0" w:color="auto"/>
              <w:bottom w:val="single" w:sz="4" w:space="0" w:color="auto"/>
              <w:right w:val="single" w:sz="4" w:space="0" w:color="auto"/>
            </w:tcBorders>
          </w:tcPr>
          <w:p w:rsidR="00920BF6" w:rsidRPr="00950D34" w:rsidDel="00920BF6" w:rsidRDefault="00920BF6" w:rsidP="00920BF6">
            <w:pPr>
              <w:jc w:val="both"/>
              <w:rPr>
                <w:rFonts w:ascii="Arial Narrow" w:hAnsi="Arial Narrow" w:cstheme="minorHAnsi"/>
                <w:b/>
                <w:sz w:val="20"/>
                <w:szCs w:val="20"/>
              </w:rPr>
            </w:pPr>
            <w:r w:rsidRPr="00950D34">
              <w:rPr>
                <w:rFonts w:ascii="Arial Narrow" w:hAnsi="Arial Narrow" w:cstheme="minorHAnsi"/>
                <w:sz w:val="20"/>
                <w:szCs w:val="20"/>
              </w:rPr>
              <w:t>Prescriber type:</w:t>
            </w:r>
          </w:p>
        </w:tc>
        <w:tc>
          <w:tcPr>
            <w:tcW w:w="3230" w:type="pct"/>
            <w:gridSpan w:val="3"/>
            <w:tcBorders>
              <w:top w:val="single" w:sz="4" w:space="0" w:color="auto"/>
              <w:left w:val="single" w:sz="4" w:space="0" w:color="auto"/>
              <w:bottom w:val="single" w:sz="4" w:space="0" w:color="auto"/>
              <w:right w:val="single" w:sz="4" w:space="0" w:color="auto"/>
            </w:tcBorders>
          </w:tcPr>
          <w:p w:rsidR="00920BF6" w:rsidRPr="00950D34" w:rsidDel="00920BF6" w:rsidRDefault="00920BF6" w:rsidP="00920BF6">
            <w:pPr>
              <w:rPr>
                <w:rFonts w:ascii="Arial Narrow" w:hAnsi="Arial Narrow" w:cstheme="minorHAnsi"/>
                <w:sz w:val="20"/>
                <w:szCs w:val="20"/>
              </w:rPr>
            </w:pPr>
            <w:r w:rsidRPr="00950D34">
              <w:rPr>
                <w:rFonts w:ascii="Arial Narrow" w:hAnsi="Arial Narrow" w:cstheme="minorHAnsi"/>
                <w:sz w:val="20"/>
                <w:szCs w:val="20"/>
              </w:rPr>
              <w:fldChar w:fldCharType="begin">
                <w:ffData>
                  <w:name w:val="Check1"/>
                  <w:enabled/>
                  <w:calcOnExit w:val="0"/>
                  <w:checkBox>
                    <w:sizeAuto/>
                    <w:default w:val="1"/>
                  </w:checkBox>
                </w:ffData>
              </w:fldChar>
            </w:r>
            <w:bookmarkStart w:id="0" w:name="Check1"/>
            <w:r w:rsidRPr="00950D34">
              <w:rPr>
                <w:rFonts w:ascii="Arial Narrow" w:hAnsi="Arial Narrow" w:cstheme="minorHAnsi"/>
                <w:sz w:val="20"/>
                <w:szCs w:val="20"/>
              </w:rPr>
              <w:instrText xml:space="preserve"> FORMCHECKBOX </w:instrText>
            </w:r>
            <w:r w:rsidR="00C540E8">
              <w:rPr>
                <w:rFonts w:ascii="Arial Narrow" w:hAnsi="Arial Narrow" w:cstheme="minorHAnsi"/>
                <w:sz w:val="20"/>
                <w:szCs w:val="20"/>
              </w:rPr>
            </w:r>
            <w:r w:rsidR="00C540E8">
              <w:rPr>
                <w:rFonts w:ascii="Arial Narrow" w:hAnsi="Arial Narrow" w:cstheme="minorHAnsi"/>
                <w:sz w:val="20"/>
                <w:szCs w:val="20"/>
              </w:rPr>
              <w:fldChar w:fldCharType="separate"/>
            </w:r>
            <w:r w:rsidRPr="00950D34">
              <w:rPr>
                <w:rFonts w:ascii="Arial Narrow" w:hAnsi="Arial Narrow" w:cstheme="minorHAnsi"/>
                <w:sz w:val="20"/>
                <w:szCs w:val="20"/>
              </w:rPr>
              <w:fldChar w:fldCharType="end"/>
            </w:r>
            <w:bookmarkEnd w:id="0"/>
            <w:r w:rsidRPr="00950D34">
              <w:rPr>
                <w:rFonts w:ascii="Arial Narrow" w:hAnsi="Arial Narrow" w:cstheme="minorHAnsi"/>
                <w:sz w:val="20"/>
                <w:szCs w:val="20"/>
              </w:rPr>
              <w:t xml:space="preserve">Dental </w:t>
            </w:r>
            <w:r w:rsidRPr="00950D34">
              <w:rPr>
                <w:rFonts w:ascii="Arial Narrow" w:hAnsi="Arial Narrow" w:cstheme="minorHAnsi"/>
                <w:sz w:val="20"/>
                <w:szCs w:val="20"/>
              </w:rPr>
              <w:fldChar w:fldCharType="begin">
                <w:ffData>
                  <w:name w:val=""/>
                  <w:enabled/>
                  <w:calcOnExit w:val="0"/>
                  <w:checkBox>
                    <w:sizeAuto/>
                    <w:default w:val="1"/>
                  </w:checkBox>
                </w:ffData>
              </w:fldChar>
            </w:r>
            <w:r w:rsidRPr="00950D34">
              <w:rPr>
                <w:rFonts w:ascii="Arial Narrow" w:hAnsi="Arial Narrow" w:cstheme="minorHAnsi"/>
                <w:sz w:val="20"/>
                <w:szCs w:val="20"/>
              </w:rPr>
              <w:instrText xml:space="preserve"> FORMCHECKBOX </w:instrText>
            </w:r>
            <w:r w:rsidR="00C540E8">
              <w:rPr>
                <w:rFonts w:ascii="Arial Narrow" w:hAnsi="Arial Narrow" w:cstheme="minorHAnsi"/>
                <w:sz w:val="20"/>
                <w:szCs w:val="20"/>
              </w:rPr>
            </w:r>
            <w:r w:rsidR="00C540E8">
              <w:rPr>
                <w:rFonts w:ascii="Arial Narrow" w:hAnsi="Arial Narrow" w:cstheme="minorHAnsi"/>
                <w:sz w:val="20"/>
                <w:szCs w:val="20"/>
              </w:rPr>
              <w:fldChar w:fldCharType="separate"/>
            </w:r>
            <w:r w:rsidRPr="00950D34">
              <w:rPr>
                <w:rFonts w:ascii="Arial Narrow" w:hAnsi="Arial Narrow" w:cstheme="minorHAnsi"/>
                <w:sz w:val="20"/>
                <w:szCs w:val="20"/>
              </w:rPr>
              <w:fldChar w:fldCharType="end"/>
            </w:r>
            <w:r w:rsidRPr="00950D34">
              <w:rPr>
                <w:rFonts w:ascii="Arial Narrow" w:hAnsi="Arial Narrow" w:cstheme="minorHAnsi"/>
                <w:sz w:val="20"/>
                <w:szCs w:val="20"/>
              </w:rPr>
              <w:t xml:space="preserve">Medical Practitioners </w:t>
            </w:r>
            <w:r w:rsidRPr="00950D34">
              <w:rPr>
                <w:rFonts w:ascii="Arial Narrow" w:hAnsi="Arial Narrow" w:cstheme="minorHAnsi"/>
                <w:sz w:val="20"/>
                <w:szCs w:val="20"/>
              </w:rPr>
              <w:fldChar w:fldCharType="begin">
                <w:ffData>
                  <w:name w:val="Check3"/>
                  <w:enabled/>
                  <w:calcOnExit w:val="0"/>
                  <w:checkBox>
                    <w:sizeAuto/>
                    <w:default w:val="1"/>
                  </w:checkBox>
                </w:ffData>
              </w:fldChar>
            </w:r>
            <w:bookmarkStart w:id="1" w:name="Check3"/>
            <w:r w:rsidRPr="00950D34">
              <w:rPr>
                <w:rFonts w:ascii="Arial Narrow" w:hAnsi="Arial Narrow" w:cstheme="minorHAnsi"/>
                <w:sz w:val="20"/>
                <w:szCs w:val="20"/>
              </w:rPr>
              <w:instrText xml:space="preserve"> FORMCHECKBOX </w:instrText>
            </w:r>
            <w:r w:rsidR="00C540E8">
              <w:rPr>
                <w:rFonts w:ascii="Arial Narrow" w:hAnsi="Arial Narrow" w:cstheme="minorHAnsi"/>
                <w:sz w:val="20"/>
                <w:szCs w:val="20"/>
              </w:rPr>
            </w:r>
            <w:r w:rsidR="00C540E8">
              <w:rPr>
                <w:rFonts w:ascii="Arial Narrow" w:hAnsi="Arial Narrow" w:cstheme="minorHAnsi"/>
                <w:sz w:val="20"/>
                <w:szCs w:val="20"/>
              </w:rPr>
              <w:fldChar w:fldCharType="separate"/>
            </w:r>
            <w:r w:rsidRPr="00950D34">
              <w:rPr>
                <w:rFonts w:ascii="Arial Narrow" w:hAnsi="Arial Narrow" w:cstheme="minorHAnsi"/>
                <w:sz w:val="20"/>
                <w:szCs w:val="20"/>
              </w:rPr>
              <w:fldChar w:fldCharType="end"/>
            </w:r>
            <w:bookmarkEnd w:id="1"/>
            <w:r w:rsidRPr="00950D34">
              <w:rPr>
                <w:rFonts w:ascii="Arial Narrow" w:hAnsi="Arial Narrow" w:cstheme="minorHAnsi"/>
                <w:sz w:val="20"/>
                <w:szCs w:val="20"/>
              </w:rPr>
              <w:t xml:space="preserve">Nurse practitioners </w:t>
            </w:r>
            <w:r w:rsidRPr="00950D34">
              <w:rPr>
                <w:rFonts w:ascii="Arial Narrow" w:hAnsi="Arial Narrow" w:cstheme="minorHAnsi"/>
                <w:sz w:val="20"/>
                <w:szCs w:val="20"/>
              </w:rPr>
              <w:fldChar w:fldCharType="begin">
                <w:ffData>
                  <w:name w:val=""/>
                  <w:enabled/>
                  <w:calcOnExit w:val="0"/>
                  <w:checkBox>
                    <w:sizeAuto/>
                    <w:default w:val="0"/>
                  </w:checkBox>
                </w:ffData>
              </w:fldChar>
            </w:r>
            <w:r w:rsidRPr="00950D34">
              <w:rPr>
                <w:rFonts w:ascii="Arial Narrow" w:hAnsi="Arial Narrow" w:cstheme="minorHAnsi"/>
                <w:sz w:val="20"/>
                <w:szCs w:val="20"/>
              </w:rPr>
              <w:instrText xml:space="preserve"> FORMCHECKBOX </w:instrText>
            </w:r>
            <w:r w:rsidR="00C540E8">
              <w:rPr>
                <w:rFonts w:ascii="Arial Narrow" w:hAnsi="Arial Narrow" w:cstheme="minorHAnsi"/>
                <w:sz w:val="20"/>
                <w:szCs w:val="20"/>
              </w:rPr>
            </w:r>
            <w:r w:rsidR="00C540E8">
              <w:rPr>
                <w:rFonts w:ascii="Arial Narrow" w:hAnsi="Arial Narrow" w:cstheme="minorHAnsi"/>
                <w:sz w:val="20"/>
                <w:szCs w:val="20"/>
              </w:rPr>
              <w:fldChar w:fldCharType="separate"/>
            </w:r>
            <w:r w:rsidRPr="00950D34">
              <w:rPr>
                <w:rFonts w:ascii="Arial Narrow" w:hAnsi="Arial Narrow" w:cstheme="minorHAnsi"/>
                <w:sz w:val="20"/>
                <w:szCs w:val="20"/>
              </w:rPr>
              <w:fldChar w:fldCharType="end"/>
            </w:r>
            <w:r w:rsidRPr="00950D34">
              <w:rPr>
                <w:rFonts w:ascii="Arial Narrow" w:hAnsi="Arial Narrow" w:cstheme="minorHAnsi"/>
                <w:sz w:val="20"/>
                <w:szCs w:val="20"/>
              </w:rPr>
              <w:t xml:space="preserve">Optometrists </w:t>
            </w:r>
            <w:r w:rsidRPr="00950D34">
              <w:rPr>
                <w:rFonts w:ascii="Arial Narrow" w:hAnsi="Arial Narrow" w:cstheme="minorHAnsi"/>
                <w:sz w:val="20"/>
                <w:szCs w:val="20"/>
              </w:rPr>
              <w:fldChar w:fldCharType="begin">
                <w:ffData>
                  <w:name w:val="Check5"/>
                  <w:enabled/>
                  <w:calcOnExit w:val="0"/>
                  <w:checkBox>
                    <w:sizeAuto/>
                    <w:default w:val="0"/>
                  </w:checkBox>
                </w:ffData>
              </w:fldChar>
            </w:r>
            <w:r w:rsidRPr="00950D34">
              <w:rPr>
                <w:rFonts w:ascii="Arial Narrow" w:hAnsi="Arial Narrow" w:cstheme="minorHAnsi"/>
                <w:sz w:val="20"/>
                <w:szCs w:val="20"/>
              </w:rPr>
              <w:instrText xml:space="preserve"> FORMCHECKBOX </w:instrText>
            </w:r>
            <w:r w:rsidR="00C540E8">
              <w:rPr>
                <w:rFonts w:ascii="Arial Narrow" w:hAnsi="Arial Narrow" w:cstheme="minorHAnsi"/>
                <w:sz w:val="20"/>
                <w:szCs w:val="20"/>
              </w:rPr>
            </w:r>
            <w:r w:rsidR="00C540E8">
              <w:rPr>
                <w:rFonts w:ascii="Arial Narrow" w:hAnsi="Arial Narrow" w:cstheme="minorHAnsi"/>
                <w:sz w:val="20"/>
                <w:szCs w:val="20"/>
              </w:rPr>
              <w:fldChar w:fldCharType="separate"/>
            </w:r>
            <w:r w:rsidRPr="00950D34">
              <w:rPr>
                <w:rFonts w:ascii="Arial Narrow" w:hAnsi="Arial Narrow" w:cstheme="minorHAnsi"/>
                <w:sz w:val="20"/>
                <w:szCs w:val="20"/>
              </w:rPr>
              <w:fldChar w:fldCharType="end"/>
            </w:r>
            <w:r w:rsidRPr="00950D34">
              <w:rPr>
                <w:rFonts w:ascii="Arial Narrow" w:hAnsi="Arial Narrow" w:cstheme="minorHAnsi"/>
                <w:sz w:val="20"/>
                <w:szCs w:val="20"/>
              </w:rPr>
              <w:t>Midwives</w:t>
            </w:r>
          </w:p>
        </w:tc>
      </w:tr>
      <w:tr w:rsidR="00ED1718" w:rsidRPr="00950D34" w:rsidTr="00950D34">
        <w:tblPrEx>
          <w:tblCellMar>
            <w:left w:w="108" w:type="dxa"/>
            <w:right w:w="108" w:type="dxa"/>
          </w:tblCellMar>
        </w:tblPrEx>
        <w:trPr>
          <w:cantSplit/>
          <w:trHeight w:val="20"/>
        </w:trPr>
        <w:tc>
          <w:tcPr>
            <w:tcW w:w="1770" w:type="pct"/>
            <w:gridSpan w:val="2"/>
            <w:tcBorders>
              <w:top w:val="single" w:sz="4" w:space="0" w:color="auto"/>
              <w:left w:val="single" w:sz="4" w:space="0" w:color="auto"/>
              <w:bottom w:val="single" w:sz="4" w:space="0" w:color="auto"/>
              <w:right w:val="single" w:sz="4" w:space="0" w:color="auto"/>
            </w:tcBorders>
          </w:tcPr>
          <w:p w:rsidR="00ED1718" w:rsidRPr="00950D34" w:rsidRDefault="00ED1718" w:rsidP="00ED1718">
            <w:pPr>
              <w:jc w:val="both"/>
              <w:rPr>
                <w:rFonts w:ascii="Arial Narrow" w:hAnsi="Arial Narrow" w:cstheme="minorHAnsi"/>
                <w:b/>
                <w:sz w:val="20"/>
                <w:szCs w:val="20"/>
              </w:rPr>
            </w:pPr>
            <w:r w:rsidRPr="00950D34">
              <w:rPr>
                <w:rFonts w:ascii="Arial Narrow" w:hAnsi="Arial Narrow" w:cstheme="minorHAnsi"/>
                <w:b/>
                <w:sz w:val="20"/>
                <w:szCs w:val="20"/>
              </w:rPr>
              <w:t>Condition:</w:t>
            </w:r>
          </w:p>
        </w:tc>
        <w:tc>
          <w:tcPr>
            <w:tcW w:w="3230" w:type="pct"/>
            <w:gridSpan w:val="3"/>
            <w:tcBorders>
              <w:top w:val="single" w:sz="4" w:space="0" w:color="auto"/>
              <w:left w:val="single" w:sz="4" w:space="0" w:color="auto"/>
              <w:bottom w:val="single" w:sz="4" w:space="0" w:color="auto"/>
              <w:right w:val="single" w:sz="4" w:space="0" w:color="auto"/>
            </w:tcBorders>
          </w:tcPr>
          <w:p w:rsidR="00ED1718" w:rsidRPr="00950D34" w:rsidRDefault="006504DE" w:rsidP="00ED1718">
            <w:pPr>
              <w:rPr>
                <w:rFonts w:ascii="Arial Narrow" w:hAnsi="Arial Narrow" w:cstheme="minorHAnsi"/>
                <w:sz w:val="20"/>
                <w:szCs w:val="20"/>
              </w:rPr>
            </w:pPr>
            <w:r w:rsidRPr="00950D34">
              <w:rPr>
                <w:rFonts w:ascii="Arial Narrow" w:hAnsi="Arial Narrow" w:cstheme="minorHAnsi"/>
                <w:sz w:val="20"/>
                <w:szCs w:val="20"/>
              </w:rPr>
              <w:t>-</w:t>
            </w:r>
          </w:p>
        </w:tc>
      </w:tr>
      <w:tr w:rsidR="00ED1718" w:rsidRPr="00950D34" w:rsidTr="00950D34">
        <w:tblPrEx>
          <w:tblCellMar>
            <w:left w:w="108" w:type="dxa"/>
            <w:right w:w="108" w:type="dxa"/>
          </w:tblCellMar>
        </w:tblPrEx>
        <w:trPr>
          <w:cantSplit/>
          <w:trHeight w:val="20"/>
        </w:trPr>
        <w:tc>
          <w:tcPr>
            <w:tcW w:w="1770" w:type="pct"/>
            <w:gridSpan w:val="2"/>
            <w:tcBorders>
              <w:top w:val="single" w:sz="4" w:space="0" w:color="auto"/>
              <w:left w:val="single" w:sz="4" w:space="0" w:color="auto"/>
              <w:bottom w:val="single" w:sz="4" w:space="0" w:color="auto"/>
              <w:right w:val="single" w:sz="4" w:space="0" w:color="auto"/>
            </w:tcBorders>
          </w:tcPr>
          <w:p w:rsidR="00ED1718" w:rsidRPr="00950D34" w:rsidRDefault="00ED1718" w:rsidP="00ED1718">
            <w:pPr>
              <w:jc w:val="both"/>
              <w:rPr>
                <w:rFonts w:ascii="Arial Narrow" w:hAnsi="Arial Narrow" w:cstheme="minorHAnsi"/>
                <w:b/>
                <w:sz w:val="20"/>
                <w:szCs w:val="20"/>
              </w:rPr>
            </w:pPr>
            <w:r w:rsidRPr="00950D34">
              <w:rPr>
                <w:rFonts w:ascii="Arial Narrow" w:hAnsi="Arial Narrow" w:cstheme="minorHAnsi"/>
                <w:b/>
                <w:sz w:val="20"/>
                <w:szCs w:val="20"/>
              </w:rPr>
              <w:t>PBS Indication:</w:t>
            </w:r>
          </w:p>
        </w:tc>
        <w:tc>
          <w:tcPr>
            <w:tcW w:w="3230" w:type="pct"/>
            <w:gridSpan w:val="3"/>
            <w:tcBorders>
              <w:top w:val="single" w:sz="4" w:space="0" w:color="auto"/>
              <w:left w:val="single" w:sz="4" w:space="0" w:color="auto"/>
              <w:bottom w:val="single" w:sz="4" w:space="0" w:color="auto"/>
              <w:right w:val="single" w:sz="4" w:space="0" w:color="auto"/>
            </w:tcBorders>
          </w:tcPr>
          <w:p w:rsidR="00ED1718" w:rsidRPr="00950D34" w:rsidRDefault="006504DE" w:rsidP="00ED1718">
            <w:pPr>
              <w:rPr>
                <w:rFonts w:ascii="Arial Narrow" w:hAnsi="Arial Narrow" w:cstheme="minorHAnsi"/>
                <w:i/>
                <w:sz w:val="20"/>
                <w:szCs w:val="20"/>
              </w:rPr>
            </w:pPr>
            <w:r w:rsidRPr="00950D34">
              <w:rPr>
                <w:rFonts w:ascii="Arial Narrow" w:hAnsi="Arial Narrow" w:cstheme="minorHAnsi"/>
                <w:i/>
                <w:sz w:val="20"/>
                <w:szCs w:val="20"/>
              </w:rPr>
              <w:t>-</w:t>
            </w:r>
          </w:p>
        </w:tc>
      </w:tr>
      <w:tr w:rsidR="00ED1718" w:rsidRPr="00950D34" w:rsidTr="00950D34">
        <w:tblPrEx>
          <w:tblCellMar>
            <w:left w:w="108" w:type="dxa"/>
            <w:right w:w="108" w:type="dxa"/>
          </w:tblCellMar>
        </w:tblPrEx>
        <w:trPr>
          <w:cantSplit/>
          <w:trHeight w:val="20"/>
        </w:trPr>
        <w:tc>
          <w:tcPr>
            <w:tcW w:w="1770" w:type="pct"/>
            <w:gridSpan w:val="2"/>
            <w:tcBorders>
              <w:top w:val="single" w:sz="4" w:space="0" w:color="auto"/>
              <w:left w:val="single" w:sz="4" w:space="0" w:color="auto"/>
              <w:bottom w:val="single" w:sz="4" w:space="0" w:color="auto"/>
              <w:right w:val="single" w:sz="4" w:space="0" w:color="auto"/>
            </w:tcBorders>
          </w:tcPr>
          <w:p w:rsidR="00ED1718" w:rsidRPr="00950D34" w:rsidRDefault="00ED1718" w:rsidP="00ED1718">
            <w:pPr>
              <w:jc w:val="both"/>
              <w:rPr>
                <w:rFonts w:ascii="Arial Narrow" w:hAnsi="Arial Narrow" w:cstheme="minorHAnsi"/>
                <w:b/>
                <w:sz w:val="20"/>
                <w:szCs w:val="20"/>
              </w:rPr>
            </w:pPr>
            <w:r w:rsidRPr="00950D34">
              <w:rPr>
                <w:rFonts w:ascii="Arial Narrow" w:hAnsi="Arial Narrow" w:cstheme="minorHAnsi"/>
                <w:b/>
                <w:sz w:val="20"/>
                <w:szCs w:val="20"/>
              </w:rPr>
              <w:t>Restriction:</w:t>
            </w:r>
          </w:p>
          <w:p w:rsidR="00ED1718" w:rsidRPr="00950D34" w:rsidRDefault="00ED1718" w:rsidP="00ED1718">
            <w:pPr>
              <w:rPr>
                <w:rFonts w:ascii="Arial Narrow" w:hAnsi="Arial Narrow" w:cstheme="minorHAnsi"/>
                <w:sz w:val="20"/>
                <w:szCs w:val="20"/>
              </w:rPr>
            </w:pPr>
          </w:p>
        </w:tc>
        <w:tc>
          <w:tcPr>
            <w:tcW w:w="3230" w:type="pct"/>
            <w:gridSpan w:val="3"/>
            <w:tcBorders>
              <w:top w:val="single" w:sz="4" w:space="0" w:color="auto"/>
              <w:left w:val="single" w:sz="4" w:space="0" w:color="auto"/>
              <w:bottom w:val="single" w:sz="4" w:space="0" w:color="auto"/>
              <w:right w:val="single" w:sz="4" w:space="0" w:color="auto"/>
            </w:tcBorders>
          </w:tcPr>
          <w:p w:rsidR="00ED1718" w:rsidRPr="00950D34" w:rsidRDefault="00EE30C8" w:rsidP="00ED1718">
            <w:pPr>
              <w:spacing w:line="360" w:lineRule="auto"/>
              <w:rPr>
                <w:rFonts w:ascii="Arial Narrow" w:hAnsi="Arial Narrow" w:cstheme="minorHAnsi"/>
                <w:sz w:val="20"/>
                <w:szCs w:val="20"/>
              </w:rPr>
            </w:pPr>
            <w:r w:rsidRPr="00950D34">
              <w:rPr>
                <w:rFonts w:ascii="Arial Narrow" w:hAnsi="Arial Narrow" w:cstheme="minorHAnsi"/>
                <w:sz w:val="20"/>
                <w:szCs w:val="20"/>
              </w:rPr>
              <w:fldChar w:fldCharType="begin">
                <w:ffData>
                  <w:name w:val=""/>
                  <w:enabled/>
                  <w:calcOnExit w:val="0"/>
                  <w:checkBox>
                    <w:sizeAuto/>
                    <w:default w:val="1"/>
                  </w:checkBox>
                </w:ffData>
              </w:fldChar>
            </w:r>
            <w:r w:rsidRPr="00950D34">
              <w:rPr>
                <w:rFonts w:ascii="Arial Narrow" w:hAnsi="Arial Narrow" w:cstheme="minorHAnsi"/>
                <w:sz w:val="20"/>
                <w:szCs w:val="20"/>
              </w:rPr>
              <w:instrText xml:space="preserve"> FORMCHECKBOX </w:instrText>
            </w:r>
            <w:r w:rsidR="00C540E8">
              <w:rPr>
                <w:rFonts w:ascii="Arial Narrow" w:hAnsi="Arial Narrow" w:cstheme="minorHAnsi"/>
                <w:sz w:val="20"/>
                <w:szCs w:val="20"/>
              </w:rPr>
            </w:r>
            <w:r w:rsidR="00C540E8">
              <w:rPr>
                <w:rFonts w:ascii="Arial Narrow" w:hAnsi="Arial Narrow" w:cstheme="minorHAnsi"/>
                <w:sz w:val="20"/>
                <w:szCs w:val="20"/>
              </w:rPr>
              <w:fldChar w:fldCharType="separate"/>
            </w:r>
            <w:r w:rsidRPr="00950D34">
              <w:rPr>
                <w:rFonts w:ascii="Arial Narrow" w:hAnsi="Arial Narrow" w:cstheme="minorHAnsi"/>
                <w:sz w:val="20"/>
                <w:szCs w:val="20"/>
              </w:rPr>
              <w:fldChar w:fldCharType="end"/>
            </w:r>
            <w:r w:rsidR="002B3377" w:rsidRPr="00950D34">
              <w:rPr>
                <w:rFonts w:ascii="Arial Narrow" w:hAnsi="Arial Narrow" w:cstheme="minorHAnsi"/>
                <w:sz w:val="20"/>
                <w:szCs w:val="20"/>
              </w:rPr>
              <w:t>Unr</w:t>
            </w:r>
            <w:r w:rsidR="00ED1718" w:rsidRPr="00950D34">
              <w:rPr>
                <w:rFonts w:ascii="Arial Narrow" w:hAnsi="Arial Narrow" w:cstheme="minorHAnsi"/>
                <w:sz w:val="20"/>
                <w:szCs w:val="20"/>
              </w:rPr>
              <w:t>estricted</w:t>
            </w:r>
          </w:p>
          <w:p w:rsidR="00ED1718" w:rsidRPr="00950D34" w:rsidRDefault="00ED1718" w:rsidP="00ED1718">
            <w:pPr>
              <w:spacing w:line="360" w:lineRule="auto"/>
              <w:rPr>
                <w:rFonts w:ascii="Arial Narrow" w:hAnsi="Arial Narrow" w:cstheme="minorHAnsi"/>
                <w:sz w:val="20"/>
                <w:szCs w:val="20"/>
              </w:rPr>
            </w:pPr>
            <w:r w:rsidRPr="00950D34">
              <w:rPr>
                <w:rFonts w:ascii="Arial Narrow" w:hAnsi="Arial Narrow" w:cstheme="minorHAnsi"/>
                <w:sz w:val="20"/>
                <w:szCs w:val="20"/>
              </w:rPr>
              <w:fldChar w:fldCharType="begin">
                <w:ffData>
                  <w:name w:val=""/>
                  <w:enabled/>
                  <w:calcOnExit w:val="0"/>
                  <w:checkBox>
                    <w:sizeAuto/>
                    <w:default w:val="0"/>
                  </w:checkBox>
                </w:ffData>
              </w:fldChar>
            </w:r>
            <w:r w:rsidRPr="00950D34">
              <w:rPr>
                <w:rFonts w:ascii="Arial Narrow" w:hAnsi="Arial Narrow" w:cstheme="minorHAnsi"/>
                <w:sz w:val="20"/>
                <w:szCs w:val="20"/>
              </w:rPr>
              <w:instrText xml:space="preserve"> FORMCHECKBOX </w:instrText>
            </w:r>
            <w:r w:rsidR="00C540E8">
              <w:rPr>
                <w:rFonts w:ascii="Arial Narrow" w:hAnsi="Arial Narrow" w:cstheme="minorHAnsi"/>
                <w:sz w:val="20"/>
                <w:szCs w:val="20"/>
              </w:rPr>
            </w:r>
            <w:r w:rsidR="00C540E8">
              <w:rPr>
                <w:rFonts w:ascii="Arial Narrow" w:hAnsi="Arial Narrow" w:cstheme="minorHAnsi"/>
                <w:sz w:val="20"/>
                <w:szCs w:val="20"/>
              </w:rPr>
              <w:fldChar w:fldCharType="separate"/>
            </w:r>
            <w:r w:rsidRPr="00950D34">
              <w:rPr>
                <w:rFonts w:ascii="Arial Narrow" w:hAnsi="Arial Narrow" w:cstheme="minorHAnsi"/>
                <w:sz w:val="20"/>
                <w:szCs w:val="20"/>
              </w:rPr>
              <w:fldChar w:fldCharType="end"/>
            </w:r>
            <w:r w:rsidRPr="00950D34">
              <w:rPr>
                <w:rFonts w:ascii="Arial Narrow" w:hAnsi="Arial Narrow" w:cstheme="minorHAnsi"/>
                <w:sz w:val="20"/>
                <w:szCs w:val="20"/>
              </w:rPr>
              <w:t>Authority Required - In Writing</w:t>
            </w:r>
          </w:p>
          <w:p w:rsidR="00ED1718" w:rsidRPr="00950D34" w:rsidRDefault="00ED1718" w:rsidP="00ED1718">
            <w:pPr>
              <w:spacing w:line="360" w:lineRule="auto"/>
              <w:rPr>
                <w:rFonts w:ascii="Arial Narrow" w:hAnsi="Arial Narrow" w:cstheme="minorHAnsi"/>
                <w:sz w:val="20"/>
                <w:szCs w:val="20"/>
              </w:rPr>
            </w:pPr>
            <w:r w:rsidRPr="00950D34">
              <w:rPr>
                <w:rFonts w:ascii="Arial Narrow" w:hAnsi="Arial Narrow" w:cstheme="minorHAnsi"/>
                <w:sz w:val="20"/>
                <w:szCs w:val="20"/>
              </w:rPr>
              <w:fldChar w:fldCharType="begin">
                <w:ffData>
                  <w:name w:val="Check3"/>
                  <w:enabled/>
                  <w:calcOnExit w:val="0"/>
                  <w:checkBox>
                    <w:sizeAuto/>
                    <w:default w:val="0"/>
                  </w:checkBox>
                </w:ffData>
              </w:fldChar>
            </w:r>
            <w:r w:rsidRPr="00950D34">
              <w:rPr>
                <w:rFonts w:ascii="Arial Narrow" w:hAnsi="Arial Narrow" w:cstheme="minorHAnsi"/>
                <w:sz w:val="20"/>
                <w:szCs w:val="20"/>
              </w:rPr>
              <w:instrText xml:space="preserve"> FORMCHECKBOX </w:instrText>
            </w:r>
            <w:r w:rsidR="00C540E8">
              <w:rPr>
                <w:rFonts w:ascii="Arial Narrow" w:hAnsi="Arial Narrow" w:cstheme="minorHAnsi"/>
                <w:sz w:val="20"/>
                <w:szCs w:val="20"/>
              </w:rPr>
            </w:r>
            <w:r w:rsidR="00C540E8">
              <w:rPr>
                <w:rFonts w:ascii="Arial Narrow" w:hAnsi="Arial Narrow" w:cstheme="minorHAnsi"/>
                <w:sz w:val="20"/>
                <w:szCs w:val="20"/>
              </w:rPr>
              <w:fldChar w:fldCharType="separate"/>
            </w:r>
            <w:r w:rsidRPr="00950D34">
              <w:rPr>
                <w:rFonts w:ascii="Arial Narrow" w:hAnsi="Arial Narrow" w:cstheme="minorHAnsi"/>
                <w:sz w:val="20"/>
                <w:szCs w:val="20"/>
              </w:rPr>
              <w:fldChar w:fldCharType="end"/>
            </w:r>
            <w:r w:rsidRPr="00950D34">
              <w:rPr>
                <w:rFonts w:ascii="Arial Narrow" w:hAnsi="Arial Narrow" w:cstheme="minorHAnsi"/>
                <w:sz w:val="20"/>
                <w:szCs w:val="20"/>
              </w:rPr>
              <w:t>Authority Required - Telephone</w:t>
            </w:r>
          </w:p>
          <w:p w:rsidR="00ED1718" w:rsidRPr="00950D34" w:rsidRDefault="00ED1718" w:rsidP="00ED1718">
            <w:pPr>
              <w:spacing w:line="360" w:lineRule="auto"/>
              <w:rPr>
                <w:rFonts w:ascii="Arial Narrow" w:hAnsi="Arial Narrow" w:cstheme="minorHAnsi"/>
                <w:sz w:val="20"/>
                <w:szCs w:val="20"/>
              </w:rPr>
            </w:pPr>
            <w:r w:rsidRPr="00950D34">
              <w:rPr>
                <w:rFonts w:ascii="Arial Narrow" w:hAnsi="Arial Narrow" w:cstheme="minorHAnsi"/>
                <w:sz w:val="20"/>
                <w:szCs w:val="20"/>
              </w:rPr>
              <w:fldChar w:fldCharType="begin">
                <w:ffData>
                  <w:name w:val=""/>
                  <w:enabled/>
                  <w:calcOnExit w:val="0"/>
                  <w:checkBox>
                    <w:sizeAuto/>
                    <w:default w:val="0"/>
                  </w:checkBox>
                </w:ffData>
              </w:fldChar>
            </w:r>
            <w:r w:rsidRPr="00950D34">
              <w:rPr>
                <w:rFonts w:ascii="Arial Narrow" w:hAnsi="Arial Narrow" w:cstheme="minorHAnsi"/>
                <w:sz w:val="20"/>
                <w:szCs w:val="20"/>
              </w:rPr>
              <w:instrText xml:space="preserve"> FORMCHECKBOX </w:instrText>
            </w:r>
            <w:r w:rsidR="00C540E8">
              <w:rPr>
                <w:rFonts w:ascii="Arial Narrow" w:hAnsi="Arial Narrow" w:cstheme="minorHAnsi"/>
                <w:sz w:val="20"/>
                <w:szCs w:val="20"/>
              </w:rPr>
            </w:r>
            <w:r w:rsidR="00C540E8">
              <w:rPr>
                <w:rFonts w:ascii="Arial Narrow" w:hAnsi="Arial Narrow" w:cstheme="minorHAnsi"/>
                <w:sz w:val="20"/>
                <w:szCs w:val="20"/>
              </w:rPr>
              <w:fldChar w:fldCharType="separate"/>
            </w:r>
            <w:r w:rsidRPr="00950D34">
              <w:rPr>
                <w:rFonts w:ascii="Arial Narrow" w:hAnsi="Arial Narrow" w:cstheme="minorHAnsi"/>
                <w:sz w:val="20"/>
                <w:szCs w:val="20"/>
              </w:rPr>
              <w:fldChar w:fldCharType="end"/>
            </w:r>
            <w:r w:rsidRPr="00950D34">
              <w:rPr>
                <w:rFonts w:ascii="Arial Narrow" w:hAnsi="Arial Narrow" w:cstheme="minorHAnsi"/>
                <w:sz w:val="20"/>
                <w:szCs w:val="20"/>
              </w:rPr>
              <w:t>Authority Required – Emergency</w:t>
            </w:r>
          </w:p>
          <w:p w:rsidR="00ED1718" w:rsidRPr="00950D34" w:rsidRDefault="00ED1718" w:rsidP="00ED1718">
            <w:pPr>
              <w:spacing w:line="360" w:lineRule="auto"/>
              <w:rPr>
                <w:rFonts w:ascii="Arial Narrow" w:hAnsi="Arial Narrow" w:cstheme="minorHAnsi"/>
                <w:sz w:val="20"/>
                <w:szCs w:val="20"/>
              </w:rPr>
            </w:pPr>
            <w:r w:rsidRPr="00950D34">
              <w:rPr>
                <w:rFonts w:ascii="Arial Narrow" w:hAnsi="Arial Narrow" w:cstheme="minorHAnsi"/>
                <w:sz w:val="20"/>
                <w:szCs w:val="20"/>
              </w:rPr>
              <w:fldChar w:fldCharType="begin">
                <w:ffData>
                  <w:name w:val="Check5"/>
                  <w:enabled/>
                  <w:calcOnExit w:val="0"/>
                  <w:checkBox>
                    <w:sizeAuto/>
                    <w:default w:val="0"/>
                  </w:checkBox>
                </w:ffData>
              </w:fldChar>
            </w:r>
            <w:r w:rsidRPr="00950D34">
              <w:rPr>
                <w:rFonts w:ascii="Arial Narrow" w:hAnsi="Arial Narrow" w:cstheme="minorHAnsi"/>
                <w:sz w:val="20"/>
                <w:szCs w:val="20"/>
              </w:rPr>
              <w:instrText xml:space="preserve"> FORMCHECKBOX </w:instrText>
            </w:r>
            <w:r w:rsidR="00C540E8">
              <w:rPr>
                <w:rFonts w:ascii="Arial Narrow" w:hAnsi="Arial Narrow" w:cstheme="minorHAnsi"/>
                <w:sz w:val="20"/>
                <w:szCs w:val="20"/>
              </w:rPr>
            </w:r>
            <w:r w:rsidR="00C540E8">
              <w:rPr>
                <w:rFonts w:ascii="Arial Narrow" w:hAnsi="Arial Narrow" w:cstheme="minorHAnsi"/>
                <w:sz w:val="20"/>
                <w:szCs w:val="20"/>
              </w:rPr>
              <w:fldChar w:fldCharType="separate"/>
            </w:r>
            <w:r w:rsidRPr="00950D34">
              <w:rPr>
                <w:rFonts w:ascii="Arial Narrow" w:hAnsi="Arial Narrow" w:cstheme="minorHAnsi"/>
                <w:sz w:val="20"/>
                <w:szCs w:val="20"/>
              </w:rPr>
              <w:fldChar w:fldCharType="end"/>
            </w:r>
            <w:r w:rsidRPr="00950D34">
              <w:rPr>
                <w:rFonts w:ascii="Arial Narrow" w:hAnsi="Arial Narrow" w:cstheme="minorHAnsi"/>
                <w:sz w:val="20"/>
                <w:szCs w:val="20"/>
              </w:rPr>
              <w:t>Authority Required - Electronic</w:t>
            </w:r>
          </w:p>
          <w:p w:rsidR="00ED1718" w:rsidRPr="00950D34" w:rsidRDefault="00ED1718" w:rsidP="00ED1718">
            <w:pPr>
              <w:spacing w:line="360" w:lineRule="auto"/>
              <w:rPr>
                <w:rFonts w:ascii="Arial Narrow" w:hAnsi="Arial Narrow" w:cstheme="minorHAnsi"/>
                <w:sz w:val="20"/>
                <w:szCs w:val="20"/>
              </w:rPr>
            </w:pPr>
            <w:r w:rsidRPr="00950D34">
              <w:rPr>
                <w:rFonts w:ascii="Arial Narrow" w:hAnsi="Arial Narrow" w:cstheme="minorHAnsi"/>
                <w:sz w:val="20"/>
                <w:szCs w:val="20"/>
              </w:rPr>
              <w:fldChar w:fldCharType="begin">
                <w:ffData>
                  <w:name w:val="Check5"/>
                  <w:enabled/>
                  <w:calcOnExit w:val="0"/>
                  <w:checkBox>
                    <w:sizeAuto/>
                    <w:default w:val="0"/>
                  </w:checkBox>
                </w:ffData>
              </w:fldChar>
            </w:r>
            <w:r w:rsidRPr="00950D34">
              <w:rPr>
                <w:rFonts w:ascii="Arial Narrow" w:hAnsi="Arial Narrow" w:cstheme="minorHAnsi"/>
                <w:sz w:val="20"/>
                <w:szCs w:val="20"/>
              </w:rPr>
              <w:instrText xml:space="preserve"> FORMCHECKBOX </w:instrText>
            </w:r>
            <w:r w:rsidR="00C540E8">
              <w:rPr>
                <w:rFonts w:ascii="Arial Narrow" w:hAnsi="Arial Narrow" w:cstheme="minorHAnsi"/>
                <w:sz w:val="20"/>
                <w:szCs w:val="20"/>
              </w:rPr>
            </w:r>
            <w:r w:rsidR="00C540E8">
              <w:rPr>
                <w:rFonts w:ascii="Arial Narrow" w:hAnsi="Arial Narrow" w:cstheme="minorHAnsi"/>
                <w:sz w:val="20"/>
                <w:szCs w:val="20"/>
              </w:rPr>
              <w:fldChar w:fldCharType="separate"/>
            </w:r>
            <w:r w:rsidRPr="00950D34">
              <w:rPr>
                <w:rFonts w:ascii="Arial Narrow" w:hAnsi="Arial Narrow" w:cstheme="minorHAnsi"/>
                <w:sz w:val="20"/>
                <w:szCs w:val="20"/>
              </w:rPr>
              <w:fldChar w:fldCharType="end"/>
            </w:r>
            <w:r w:rsidRPr="00950D34">
              <w:rPr>
                <w:rFonts w:ascii="Arial Narrow" w:hAnsi="Arial Narrow" w:cstheme="minorHAnsi"/>
                <w:sz w:val="20"/>
                <w:szCs w:val="20"/>
              </w:rPr>
              <w:t>Streamlined</w:t>
            </w:r>
          </w:p>
        </w:tc>
      </w:tr>
    </w:tbl>
    <w:p w:rsidR="00DA3B4B" w:rsidRPr="00C24944" w:rsidRDefault="00DA3B4B" w:rsidP="00EC1718">
      <w:pPr>
        <w:pStyle w:val="ListParagraph"/>
        <w:widowControl/>
        <w:numPr>
          <w:ilvl w:val="1"/>
          <w:numId w:val="14"/>
        </w:numPr>
        <w:spacing w:before="120" w:after="120"/>
        <w:contextualSpacing w:val="0"/>
        <w:rPr>
          <w:rFonts w:asciiTheme="minorHAnsi" w:eastAsiaTheme="minorHAnsi" w:hAnsiTheme="minorHAnsi" w:cstheme="minorHAnsi"/>
          <w:snapToGrid/>
          <w:sz w:val="24"/>
          <w:szCs w:val="22"/>
        </w:rPr>
      </w:pPr>
      <w:r w:rsidRPr="00C24944">
        <w:rPr>
          <w:rFonts w:asciiTheme="minorHAnsi" w:eastAsiaTheme="minorHAnsi" w:hAnsiTheme="minorHAnsi" w:cstheme="minorHAnsi"/>
          <w:snapToGrid/>
          <w:sz w:val="24"/>
          <w:szCs w:val="22"/>
        </w:rPr>
        <w:t xml:space="preserve">The requested unrestricted listing is consistent with PBS listings of other naloxone formulations. </w:t>
      </w:r>
    </w:p>
    <w:p w:rsidR="00DA3B4B" w:rsidRPr="00C24944" w:rsidRDefault="00DA3B4B" w:rsidP="00D23307">
      <w:pPr>
        <w:pStyle w:val="ListParagraph"/>
        <w:widowControl/>
        <w:numPr>
          <w:ilvl w:val="1"/>
          <w:numId w:val="14"/>
        </w:numPr>
        <w:spacing w:after="120"/>
        <w:contextualSpacing w:val="0"/>
        <w:rPr>
          <w:rFonts w:asciiTheme="minorHAnsi" w:eastAsiaTheme="minorHAnsi" w:hAnsiTheme="minorHAnsi" w:cstheme="minorHAnsi"/>
          <w:snapToGrid/>
          <w:sz w:val="24"/>
          <w:szCs w:val="22"/>
        </w:rPr>
      </w:pPr>
      <w:r w:rsidRPr="00C24944">
        <w:rPr>
          <w:rFonts w:asciiTheme="minorHAnsi" w:eastAsiaTheme="minorHAnsi" w:hAnsiTheme="minorHAnsi" w:cstheme="minorHAnsi"/>
          <w:snapToGrid/>
          <w:sz w:val="24"/>
          <w:szCs w:val="22"/>
        </w:rPr>
        <w:t xml:space="preserve">The current naloxone listings include dental, nurse and medical practitioner prescriber types. This has been proposed for the new formulation. </w:t>
      </w:r>
    </w:p>
    <w:p w:rsidR="00DA3B4B" w:rsidRPr="00C24944" w:rsidRDefault="00DA3B4B" w:rsidP="00D23307">
      <w:pPr>
        <w:pStyle w:val="ListParagraph"/>
        <w:widowControl/>
        <w:numPr>
          <w:ilvl w:val="1"/>
          <w:numId w:val="14"/>
        </w:numPr>
        <w:spacing w:after="120"/>
        <w:contextualSpacing w:val="0"/>
        <w:rPr>
          <w:rFonts w:asciiTheme="minorHAnsi" w:eastAsiaTheme="minorHAnsi" w:hAnsiTheme="minorHAnsi" w:cstheme="minorHAnsi"/>
          <w:snapToGrid/>
          <w:sz w:val="24"/>
          <w:szCs w:val="22"/>
        </w:rPr>
      </w:pPr>
      <w:r w:rsidRPr="00C24944">
        <w:rPr>
          <w:rFonts w:asciiTheme="minorHAnsi" w:eastAsiaTheme="minorHAnsi" w:hAnsiTheme="minorHAnsi" w:cstheme="minorHAnsi"/>
          <w:snapToGrid/>
          <w:sz w:val="24"/>
          <w:szCs w:val="22"/>
        </w:rPr>
        <w:t>The subm</w:t>
      </w:r>
      <w:r w:rsidR="00B107C6" w:rsidRPr="00C24944">
        <w:rPr>
          <w:rFonts w:asciiTheme="minorHAnsi" w:eastAsiaTheme="minorHAnsi" w:hAnsiTheme="minorHAnsi" w:cstheme="minorHAnsi"/>
          <w:snapToGrid/>
          <w:sz w:val="24"/>
          <w:szCs w:val="22"/>
        </w:rPr>
        <w:t>ission proposed</w:t>
      </w:r>
      <w:r w:rsidRPr="00C24944">
        <w:rPr>
          <w:rFonts w:asciiTheme="minorHAnsi" w:eastAsiaTheme="minorHAnsi" w:hAnsiTheme="minorHAnsi" w:cstheme="minorHAnsi"/>
          <w:snapToGrid/>
          <w:sz w:val="24"/>
          <w:szCs w:val="22"/>
        </w:rPr>
        <w:t xml:space="preserve"> a maximum quantity of </w:t>
      </w:r>
      <w:r w:rsidR="00B107C6" w:rsidRPr="00C24944">
        <w:rPr>
          <w:rFonts w:asciiTheme="minorHAnsi" w:eastAsiaTheme="minorHAnsi" w:hAnsiTheme="minorHAnsi" w:cstheme="minorHAnsi"/>
          <w:snapToGrid/>
          <w:sz w:val="24"/>
          <w:szCs w:val="22"/>
        </w:rPr>
        <w:t>one pack containing two single use nasal sprays</w:t>
      </w:r>
      <w:r w:rsidRPr="00C24944">
        <w:rPr>
          <w:rFonts w:asciiTheme="minorHAnsi" w:eastAsiaTheme="minorHAnsi" w:hAnsiTheme="minorHAnsi" w:cstheme="minorHAnsi"/>
          <w:snapToGrid/>
          <w:sz w:val="24"/>
          <w:szCs w:val="22"/>
        </w:rPr>
        <w:t xml:space="preserve">. The pharmacokinetic study demonstrates the average maximum plasma concentration is achievable with two sprays </w:t>
      </w:r>
      <w:r w:rsidR="00B107C6" w:rsidRPr="00C24944">
        <w:rPr>
          <w:rFonts w:asciiTheme="minorHAnsi" w:eastAsiaTheme="minorHAnsi" w:hAnsiTheme="minorHAnsi" w:cstheme="minorHAnsi"/>
          <w:snapToGrid/>
          <w:sz w:val="24"/>
          <w:szCs w:val="22"/>
        </w:rPr>
        <w:t>and therefore the</w:t>
      </w:r>
      <w:r w:rsidRPr="00C24944">
        <w:rPr>
          <w:rFonts w:asciiTheme="minorHAnsi" w:eastAsiaTheme="minorHAnsi" w:hAnsiTheme="minorHAnsi" w:cstheme="minorHAnsi"/>
          <w:snapToGrid/>
          <w:sz w:val="24"/>
          <w:szCs w:val="22"/>
        </w:rPr>
        <w:t xml:space="preserve"> reques</w:t>
      </w:r>
      <w:r w:rsidR="00B107C6" w:rsidRPr="00C24944">
        <w:rPr>
          <w:rFonts w:asciiTheme="minorHAnsi" w:eastAsiaTheme="minorHAnsi" w:hAnsiTheme="minorHAnsi" w:cstheme="minorHAnsi"/>
          <w:snapToGrid/>
          <w:sz w:val="24"/>
          <w:szCs w:val="22"/>
        </w:rPr>
        <w:t xml:space="preserve">ted maximum quantity was reasonable. </w:t>
      </w:r>
    </w:p>
    <w:p w:rsidR="00DA3B4B" w:rsidRPr="00C24944" w:rsidRDefault="00DA3B4B" w:rsidP="00D23307">
      <w:pPr>
        <w:pStyle w:val="ListParagraph"/>
        <w:widowControl/>
        <w:numPr>
          <w:ilvl w:val="1"/>
          <w:numId w:val="14"/>
        </w:numPr>
        <w:spacing w:after="120"/>
        <w:contextualSpacing w:val="0"/>
        <w:rPr>
          <w:rFonts w:asciiTheme="minorHAnsi" w:eastAsiaTheme="minorHAnsi" w:hAnsiTheme="minorHAnsi" w:cstheme="minorHAnsi"/>
          <w:snapToGrid/>
          <w:sz w:val="24"/>
          <w:szCs w:val="22"/>
        </w:rPr>
      </w:pPr>
      <w:r w:rsidRPr="00C24944">
        <w:rPr>
          <w:rFonts w:asciiTheme="minorHAnsi" w:eastAsiaTheme="minorHAnsi" w:hAnsiTheme="minorHAnsi" w:cstheme="minorHAnsi"/>
          <w:snapToGrid/>
          <w:sz w:val="24"/>
          <w:szCs w:val="22"/>
        </w:rPr>
        <w:t xml:space="preserve">The submission </w:t>
      </w:r>
      <w:r w:rsidR="00B107C6" w:rsidRPr="00C24944">
        <w:rPr>
          <w:rFonts w:asciiTheme="minorHAnsi" w:eastAsiaTheme="minorHAnsi" w:hAnsiTheme="minorHAnsi" w:cstheme="minorHAnsi"/>
          <w:snapToGrid/>
          <w:sz w:val="24"/>
          <w:szCs w:val="22"/>
        </w:rPr>
        <w:t>did not request a p</w:t>
      </w:r>
      <w:r w:rsidRPr="00C24944">
        <w:rPr>
          <w:rFonts w:asciiTheme="minorHAnsi" w:eastAsiaTheme="minorHAnsi" w:hAnsiTheme="minorHAnsi" w:cstheme="minorHAnsi"/>
          <w:snapToGrid/>
          <w:sz w:val="24"/>
          <w:szCs w:val="22"/>
        </w:rPr>
        <w:t xml:space="preserve">rescriber </w:t>
      </w:r>
      <w:r w:rsidR="00B107C6" w:rsidRPr="00C24944">
        <w:rPr>
          <w:rFonts w:asciiTheme="minorHAnsi" w:eastAsiaTheme="minorHAnsi" w:hAnsiTheme="minorHAnsi" w:cstheme="minorHAnsi"/>
          <w:snapToGrid/>
          <w:sz w:val="24"/>
          <w:szCs w:val="22"/>
        </w:rPr>
        <w:t>b</w:t>
      </w:r>
      <w:r w:rsidRPr="00C24944">
        <w:rPr>
          <w:rFonts w:asciiTheme="minorHAnsi" w:eastAsiaTheme="minorHAnsi" w:hAnsiTheme="minorHAnsi" w:cstheme="minorHAnsi"/>
          <w:snapToGrid/>
          <w:sz w:val="24"/>
          <w:szCs w:val="22"/>
        </w:rPr>
        <w:t xml:space="preserve">ag listing, which is consistent with the current listing of the prefilled syringe form of naloxone. </w:t>
      </w:r>
    </w:p>
    <w:p w:rsidR="00DA3B4B" w:rsidRPr="00C24944" w:rsidRDefault="00DA3B4B" w:rsidP="00D23307">
      <w:pPr>
        <w:pStyle w:val="ListParagraph"/>
        <w:widowControl/>
        <w:numPr>
          <w:ilvl w:val="1"/>
          <w:numId w:val="14"/>
        </w:numPr>
        <w:spacing w:after="120"/>
        <w:contextualSpacing w:val="0"/>
        <w:rPr>
          <w:rFonts w:asciiTheme="minorHAnsi" w:eastAsiaTheme="minorHAnsi" w:hAnsiTheme="minorHAnsi" w:cstheme="minorHAnsi"/>
          <w:snapToGrid/>
          <w:sz w:val="24"/>
          <w:szCs w:val="22"/>
        </w:rPr>
      </w:pPr>
      <w:r w:rsidRPr="00C24944">
        <w:rPr>
          <w:rFonts w:asciiTheme="minorHAnsi" w:eastAsiaTheme="minorHAnsi" w:hAnsiTheme="minorHAnsi" w:cstheme="minorHAnsi"/>
          <w:snapToGrid/>
          <w:sz w:val="24"/>
          <w:szCs w:val="22"/>
        </w:rPr>
        <w:lastRenderedPageBreak/>
        <w:t xml:space="preserve">Naloxone should be exempt from the Early Supply Rule as it is used for short term or episodic use, there is a clinical imperative </w:t>
      </w:r>
      <w:r w:rsidR="00B107C6" w:rsidRPr="00C24944">
        <w:rPr>
          <w:rFonts w:asciiTheme="minorHAnsi" w:eastAsiaTheme="minorHAnsi" w:hAnsiTheme="minorHAnsi" w:cstheme="minorHAnsi"/>
          <w:snapToGrid/>
          <w:sz w:val="24"/>
          <w:szCs w:val="22"/>
        </w:rPr>
        <w:t>for use</w:t>
      </w:r>
      <w:r w:rsidRPr="00C24944">
        <w:rPr>
          <w:rFonts w:asciiTheme="minorHAnsi" w:eastAsiaTheme="minorHAnsi" w:hAnsiTheme="minorHAnsi" w:cstheme="minorHAnsi"/>
          <w:snapToGrid/>
          <w:sz w:val="24"/>
          <w:szCs w:val="22"/>
        </w:rPr>
        <w:t>, and the dosage regimen is not standard.</w:t>
      </w:r>
      <w:r w:rsidR="00863F19" w:rsidRPr="00C24944">
        <w:rPr>
          <w:rFonts w:asciiTheme="minorHAnsi" w:eastAsiaTheme="minorHAnsi" w:hAnsiTheme="minorHAnsi" w:cstheme="minorHAnsi"/>
          <w:snapToGrid/>
          <w:sz w:val="24"/>
          <w:szCs w:val="22"/>
        </w:rPr>
        <w:t xml:space="preserve"> O</w:t>
      </w:r>
      <w:r w:rsidRPr="00C24944">
        <w:rPr>
          <w:rFonts w:asciiTheme="minorHAnsi" w:eastAsiaTheme="minorHAnsi" w:hAnsiTheme="minorHAnsi" w:cstheme="minorHAnsi"/>
          <w:snapToGrid/>
          <w:sz w:val="24"/>
          <w:szCs w:val="22"/>
        </w:rPr>
        <w:t xml:space="preserve">ther formulations of naloxone are currently exempt from the PBS </w:t>
      </w:r>
      <w:r w:rsidR="00B107C6" w:rsidRPr="00C24944">
        <w:rPr>
          <w:rFonts w:asciiTheme="minorHAnsi" w:eastAsiaTheme="minorHAnsi" w:hAnsiTheme="minorHAnsi" w:cstheme="minorHAnsi"/>
          <w:snapToGrid/>
          <w:sz w:val="24"/>
          <w:szCs w:val="22"/>
        </w:rPr>
        <w:t>E</w:t>
      </w:r>
      <w:r w:rsidRPr="00C24944">
        <w:rPr>
          <w:rFonts w:asciiTheme="minorHAnsi" w:eastAsiaTheme="minorHAnsi" w:hAnsiTheme="minorHAnsi" w:cstheme="minorHAnsi"/>
          <w:snapToGrid/>
          <w:sz w:val="24"/>
          <w:szCs w:val="22"/>
        </w:rPr>
        <w:t xml:space="preserve">arly </w:t>
      </w:r>
      <w:r w:rsidR="00B107C6" w:rsidRPr="00C24944">
        <w:rPr>
          <w:rFonts w:asciiTheme="minorHAnsi" w:eastAsiaTheme="minorHAnsi" w:hAnsiTheme="minorHAnsi" w:cstheme="minorHAnsi"/>
          <w:snapToGrid/>
          <w:sz w:val="24"/>
          <w:szCs w:val="22"/>
        </w:rPr>
        <w:t>S</w:t>
      </w:r>
      <w:r w:rsidRPr="00C24944">
        <w:rPr>
          <w:rFonts w:asciiTheme="minorHAnsi" w:eastAsiaTheme="minorHAnsi" w:hAnsiTheme="minorHAnsi" w:cstheme="minorHAnsi"/>
          <w:snapToGrid/>
          <w:sz w:val="24"/>
          <w:szCs w:val="22"/>
        </w:rPr>
        <w:t xml:space="preserve">upply </w:t>
      </w:r>
      <w:r w:rsidR="00B107C6" w:rsidRPr="00C24944">
        <w:rPr>
          <w:rFonts w:asciiTheme="minorHAnsi" w:eastAsiaTheme="minorHAnsi" w:hAnsiTheme="minorHAnsi" w:cstheme="minorHAnsi"/>
          <w:snapToGrid/>
          <w:sz w:val="24"/>
          <w:szCs w:val="22"/>
        </w:rPr>
        <w:t>R</w:t>
      </w:r>
      <w:r w:rsidRPr="00C24944">
        <w:rPr>
          <w:rFonts w:asciiTheme="minorHAnsi" w:eastAsiaTheme="minorHAnsi" w:hAnsiTheme="minorHAnsi" w:cstheme="minorHAnsi"/>
          <w:snapToGrid/>
          <w:sz w:val="24"/>
          <w:szCs w:val="22"/>
        </w:rPr>
        <w:t xml:space="preserve">ule. </w:t>
      </w:r>
    </w:p>
    <w:p w:rsidR="00826F6D" w:rsidRPr="00C24944" w:rsidRDefault="002204F5" w:rsidP="00D23307">
      <w:pPr>
        <w:spacing w:after="120"/>
        <w:ind w:firstLine="709"/>
        <w:rPr>
          <w:rFonts w:asciiTheme="minorHAnsi" w:hAnsiTheme="minorHAnsi" w:cstheme="minorHAnsi"/>
          <w:szCs w:val="22"/>
        </w:rPr>
      </w:pPr>
      <w:r w:rsidRPr="00C24944">
        <w:rPr>
          <w:rFonts w:asciiTheme="minorHAnsi" w:eastAsiaTheme="minorHAnsi" w:hAnsiTheme="minorHAnsi" w:cstheme="minorHAnsi"/>
          <w:i/>
          <w:szCs w:val="22"/>
        </w:rPr>
        <w:t>For more detail on PBAC’s view, see section 7 PBAC outcome.</w:t>
      </w:r>
    </w:p>
    <w:p w:rsidR="00C603D4" w:rsidRPr="00C24944" w:rsidRDefault="00CE10C4" w:rsidP="00D23307">
      <w:pPr>
        <w:pStyle w:val="PBACHeading1"/>
        <w:spacing w:before="240" w:after="120"/>
        <w:ind w:left="709" w:hanging="709"/>
        <w:rPr>
          <w:rFonts w:asciiTheme="minorHAnsi" w:hAnsiTheme="minorHAnsi" w:cstheme="minorHAnsi"/>
          <w:sz w:val="32"/>
          <w:szCs w:val="32"/>
        </w:rPr>
      </w:pPr>
      <w:r w:rsidRPr="00C24944">
        <w:rPr>
          <w:rFonts w:asciiTheme="minorHAnsi" w:hAnsiTheme="minorHAnsi" w:cstheme="minorHAnsi"/>
          <w:sz w:val="32"/>
          <w:szCs w:val="32"/>
        </w:rPr>
        <w:t>Background</w:t>
      </w:r>
    </w:p>
    <w:p w:rsidR="006B0D94" w:rsidRPr="00C24944" w:rsidRDefault="00870F63" w:rsidP="00D23307">
      <w:pPr>
        <w:pStyle w:val="ListParagraph"/>
        <w:numPr>
          <w:ilvl w:val="1"/>
          <w:numId w:val="14"/>
        </w:numPr>
        <w:spacing w:after="120"/>
        <w:rPr>
          <w:rFonts w:asciiTheme="minorHAnsi" w:eastAsiaTheme="minorHAnsi" w:hAnsiTheme="minorHAnsi" w:cstheme="minorHAnsi"/>
          <w:snapToGrid/>
        </w:rPr>
      </w:pPr>
      <w:r w:rsidRPr="00C24944">
        <w:rPr>
          <w:rFonts w:asciiTheme="minorHAnsi" w:eastAsiaTheme="minorHAnsi" w:hAnsiTheme="minorHAnsi" w:cstheme="minorHAnsi"/>
          <w:snapToGrid/>
          <w:sz w:val="24"/>
          <w:szCs w:val="24"/>
        </w:rPr>
        <w:t xml:space="preserve">IN </w:t>
      </w:r>
      <w:r w:rsidR="00A31C93" w:rsidRPr="00C24944">
        <w:rPr>
          <w:rFonts w:asciiTheme="minorHAnsi" w:eastAsiaTheme="minorHAnsi" w:hAnsiTheme="minorHAnsi" w:cstheme="minorHAnsi"/>
          <w:snapToGrid/>
          <w:sz w:val="24"/>
          <w:szCs w:val="24"/>
        </w:rPr>
        <w:t>n</w:t>
      </w:r>
      <w:r w:rsidR="00292812" w:rsidRPr="00C24944">
        <w:rPr>
          <w:rFonts w:asciiTheme="minorHAnsi" w:eastAsiaTheme="minorHAnsi" w:hAnsiTheme="minorHAnsi" w:cstheme="minorHAnsi"/>
          <w:snapToGrid/>
          <w:sz w:val="24"/>
          <w:szCs w:val="24"/>
        </w:rPr>
        <w:t>aloxone is TGA registered with the following indication:</w:t>
      </w:r>
    </w:p>
    <w:p w:rsidR="009E1D4B" w:rsidRPr="00C24944" w:rsidRDefault="00292812" w:rsidP="00D23307">
      <w:pPr>
        <w:pStyle w:val="ListParagraph"/>
        <w:spacing w:before="120" w:after="120"/>
        <w:ind w:left="709"/>
        <w:rPr>
          <w:rFonts w:asciiTheme="minorHAnsi" w:eastAsiaTheme="minorHAnsi" w:hAnsiTheme="minorHAnsi" w:cstheme="minorHAnsi"/>
          <w:snapToGrid/>
          <w:sz w:val="24"/>
          <w:szCs w:val="22"/>
        </w:rPr>
      </w:pPr>
      <w:proofErr w:type="spellStart"/>
      <w:r w:rsidRPr="00C24944">
        <w:rPr>
          <w:rFonts w:asciiTheme="minorHAnsi" w:eastAsiaTheme="minorHAnsi" w:hAnsiTheme="minorHAnsi" w:cstheme="minorHAnsi"/>
          <w:snapToGrid/>
          <w:sz w:val="24"/>
          <w:szCs w:val="22"/>
        </w:rPr>
        <w:t>Nyxoid</w:t>
      </w:r>
      <w:proofErr w:type="spellEnd"/>
      <w:r w:rsidRPr="00C24944">
        <w:rPr>
          <w:rFonts w:asciiTheme="minorHAnsi" w:eastAsiaTheme="minorHAnsi" w:hAnsiTheme="minorHAnsi" w:cstheme="minorHAnsi"/>
          <w:snapToGrid/>
          <w:sz w:val="24"/>
          <w:szCs w:val="22"/>
        </w:rPr>
        <w:t xml:space="preserve"> is intended as part of the emergency treatment for known or suspected opioid overdose as manifested by respiratory and/or central nervous system depress</w:t>
      </w:r>
      <w:r w:rsidR="00D12EBA" w:rsidRPr="00C24944">
        <w:rPr>
          <w:rFonts w:asciiTheme="minorHAnsi" w:eastAsiaTheme="minorHAnsi" w:hAnsiTheme="minorHAnsi" w:cstheme="minorHAnsi"/>
          <w:snapToGrid/>
          <w:sz w:val="24"/>
          <w:szCs w:val="22"/>
        </w:rPr>
        <w:t>ion in:</w:t>
      </w:r>
    </w:p>
    <w:p w:rsidR="009E1D4B" w:rsidRPr="00C24944" w:rsidRDefault="009E1D4B" w:rsidP="00D23307">
      <w:pPr>
        <w:pStyle w:val="ListParagraph"/>
        <w:numPr>
          <w:ilvl w:val="1"/>
          <w:numId w:val="17"/>
        </w:numPr>
        <w:spacing w:before="120" w:after="120"/>
        <w:rPr>
          <w:rFonts w:asciiTheme="minorHAnsi" w:eastAsiaTheme="minorHAnsi" w:hAnsiTheme="minorHAnsi" w:cstheme="minorHAnsi"/>
          <w:snapToGrid/>
          <w:sz w:val="24"/>
          <w:szCs w:val="24"/>
        </w:rPr>
      </w:pPr>
      <w:r w:rsidRPr="00C24944">
        <w:rPr>
          <w:rFonts w:asciiTheme="minorHAnsi" w:eastAsiaTheme="minorHAnsi" w:hAnsiTheme="minorHAnsi" w:cstheme="minorHAnsi"/>
          <w:snapToGrid/>
          <w:sz w:val="24"/>
          <w:szCs w:val="24"/>
        </w:rPr>
        <w:t>t</w:t>
      </w:r>
      <w:r w:rsidR="00D12EBA" w:rsidRPr="00C24944">
        <w:rPr>
          <w:rFonts w:asciiTheme="minorHAnsi" w:eastAsiaTheme="minorHAnsi" w:hAnsiTheme="minorHAnsi" w:cstheme="minorHAnsi"/>
          <w:snapToGrid/>
          <w:sz w:val="24"/>
          <w:szCs w:val="24"/>
        </w:rPr>
        <w:t>he home or other non-</w:t>
      </w:r>
      <w:r w:rsidR="00292812" w:rsidRPr="00C24944">
        <w:rPr>
          <w:rFonts w:asciiTheme="minorHAnsi" w:eastAsiaTheme="minorHAnsi" w:hAnsiTheme="minorHAnsi" w:cstheme="minorHAnsi"/>
          <w:snapToGrid/>
          <w:sz w:val="24"/>
          <w:szCs w:val="24"/>
        </w:rPr>
        <w:t>medical sett</w:t>
      </w:r>
      <w:r w:rsidR="00D12EBA" w:rsidRPr="00C24944">
        <w:rPr>
          <w:rFonts w:asciiTheme="minorHAnsi" w:eastAsiaTheme="minorHAnsi" w:hAnsiTheme="minorHAnsi" w:cstheme="minorHAnsi"/>
          <w:snapToGrid/>
          <w:sz w:val="24"/>
          <w:szCs w:val="24"/>
        </w:rPr>
        <w:t>ing</w:t>
      </w:r>
      <w:r w:rsidR="002C0527" w:rsidRPr="00C24944">
        <w:rPr>
          <w:rFonts w:asciiTheme="minorHAnsi" w:eastAsiaTheme="minorHAnsi" w:hAnsiTheme="minorHAnsi" w:cstheme="minorHAnsi"/>
          <w:snapToGrid/>
          <w:sz w:val="24"/>
          <w:szCs w:val="24"/>
        </w:rPr>
        <w:t>, or</w:t>
      </w:r>
    </w:p>
    <w:p w:rsidR="006504DE" w:rsidRPr="00C24944" w:rsidRDefault="00D12EBA" w:rsidP="00D23307">
      <w:pPr>
        <w:pStyle w:val="ListParagraph"/>
        <w:numPr>
          <w:ilvl w:val="1"/>
          <w:numId w:val="17"/>
        </w:numPr>
        <w:spacing w:before="120" w:after="120"/>
        <w:rPr>
          <w:rFonts w:asciiTheme="minorHAnsi" w:eastAsiaTheme="minorHAnsi" w:hAnsiTheme="minorHAnsi" w:cstheme="minorHAnsi"/>
          <w:snapToGrid/>
          <w:sz w:val="24"/>
          <w:szCs w:val="24"/>
        </w:rPr>
      </w:pPr>
      <w:r w:rsidRPr="00C24944">
        <w:rPr>
          <w:rFonts w:asciiTheme="minorHAnsi" w:eastAsiaTheme="minorHAnsi" w:hAnsiTheme="minorHAnsi" w:cstheme="minorHAnsi"/>
          <w:snapToGrid/>
          <w:sz w:val="24"/>
          <w:szCs w:val="24"/>
        </w:rPr>
        <w:t xml:space="preserve">a health facility setting. </w:t>
      </w:r>
    </w:p>
    <w:p w:rsidR="00280B42" w:rsidRPr="00C24944" w:rsidRDefault="00292812" w:rsidP="00D23307">
      <w:pPr>
        <w:pStyle w:val="ListParagraph"/>
        <w:spacing w:before="120" w:after="120"/>
        <w:ind w:left="709"/>
        <w:rPr>
          <w:rFonts w:asciiTheme="minorHAnsi" w:eastAsiaTheme="minorHAnsi" w:hAnsiTheme="minorHAnsi" w:cstheme="minorHAnsi"/>
          <w:snapToGrid/>
          <w:sz w:val="24"/>
          <w:szCs w:val="22"/>
        </w:rPr>
      </w:pPr>
      <w:r w:rsidRPr="00C24944">
        <w:rPr>
          <w:rFonts w:asciiTheme="minorHAnsi" w:eastAsiaTheme="minorHAnsi" w:hAnsiTheme="minorHAnsi" w:cstheme="minorHAnsi"/>
          <w:snapToGrid/>
          <w:sz w:val="24"/>
          <w:szCs w:val="24"/>
        </w:rPr>
        <w:t xml:space="preserve">For this reason, </w:t>
      </w:r>
      <w:proofErr w:type="spellStart"/>
      <w:r w:rsidRPr="00C24944">
        <w:rPr>
          <w:rFonts w:asciiTheme="minorHAnsi" w:eastAsiaTheme="minorHAnsi" w:hAnsiTheme="minorHAnsi" w:cstheme="minorHAnsi"/>
          <w:snapToGrid/>
          <w:sz w:val="24"/>
          <w:szCs w:val="24"/>
        </w:rPr>
        <w:t>Nyxoid</w:t>
      </w:r>
      <w:proofErr w:type="spellEnd"/>
      <w:r w:rsidRPr="00C24944">
        <w:rPr>
          <w:rFonts w:asciiTheme="minorHAnsi" w:eastAsiaTheme="minorHAnsi" w:hAnsiTheme="minorHAnsi" w:cstheme="minorHAnsi"/>
          <w:snapToGrid/>
          <w:sz w:val="24"/>
          <w:szCs w:val="24"/>
        </w:rPr>
        <w:t xml:space="preserve"> should</w:t>
      </w:r>
      <w:r w:rsidRPr="00C24944">
        <w:rPr>
          <w:rFonts w:asciiTheme="minorHAnsi" w:eastAsiaTheme="minorHAnsi" w:hAnsiTheme="minorHAnsi" w:cstheme="minorHAnsi"/>
          <w:snapToGrid/>
          <w:sz w:val="24"/>
          <w:szCs w:val="22"/>
        </w:rPr>
        <w:t xml:space="preserve"> be carried by persons at risk of, or likely to witness</w:t>
      </w:r>
      <w:r w:rsidR="00A31C93" w:rsidRPr="00C24944">
        <w:rPr>
          <w:rFonts w:asciiTheme="minorHAnsi" w:eastAsiaTheme="minorHAnsi" w:hAnsiTheme="minorHAnsi" w:cstheme="minorHAnsi"/>
          <w:snapToGrid/>
          <w:sz w:val="24"/>
          <w:szCs w:val="22"/>
        </w:rPr>
        <w:t>,</w:t>
      </w:r>
      <w:r w:rsidRPr="00C24944">
        <w:rPr>
          <w:rFonts w:asciiTheme="minorHAnsi" w:eastAsiaTheme="minorHAnsi" w:hAnsiTheme="minorHAnsi" w:cstheme="minorHAnsi"/>
          <w:snapToGrid/>
          <w:sz w:val="24"/>
          <w:szCs w:val="22"/>
        </w:rPr>
        <w:t xml:space="preserve"> such events. </w:t>
      </w:r>
    </w:p>
    <w:p w:rsidR="002204F5" w:rsidRPr="00C24944" w:rsidRDefault="00C03E2A" w:rsidP="00D23307">
      <w:pPr>
        <w:pStyle w:val="ListParagraph"/>
        <w:numPr>
          <w:ilvl w:val="1"/>
          <w:numId w:val="14"/>
        </w:numPr>
        <w:spacing w:after="120"/>
        <w:rPr>
          <w:rFonts w:asciiTheme="minorHAnsi" w:eastAsiaTheme="minorHAnsi" w:hAnsiTheme="minorHAnsi" w:cstheme="minorHAnsi"/>
          <w:snapToGrid/>
          <w:sz w:val="24"/>
          <w:szCs w:val="24"/>
        </w:rPr>
      </w:pPr>
      <w:r w:rsidRPr="00C24944">
        <w:rPr>
          <w:rFonts w:asciiTheme="minorHAnsi" w:hAnsiTheme="minorHAnsi" w:cstheme="minorHAnsi"/>
          <w:sz w:val="24"/>
          <w:szCs w:val="24"/>
        </w:rPr>
        <w:t>IN</w:t>
      </w:r>
      <w:r w:rsidR="0032077E" w:rsidRPr="00C24944">
        <w:rPr>
          <w:rFonts w:asciiTheme="minorHAnsi" w:eastAsiaTheme="minorHAnsi" w:hAnsiTheme="minorHAnsi" w:cstheme="minorHAnsi"/>
          <w:snapToGrid/>
          <w:sz w:val="24"/>
          <w:szCs w:val="24"/>
        </w:rPr>
        <w:t xml:space="preserve"> naloxone is easy to administer with minimal training, does not carry risk of needle stick injury</w:t>
      </w:r>
      <w:r w:rsidR="00863F19" w:rsidRPr="00C24944">
        <w:rPr>
          <w:rFonts w:asciiTheme="minorHAnsi" w:eastAsiaTheme="minorHAnsi" w:hAnsiTheme="minorHAnsi" w:cstheme="minorHAnsi"/>
          <w:snapToGrid/>
          <w:sz w:val="24"/>
          <w:szCs w:val="24"/>
        </w:rPr>
        <w:t>,</w:t>
      </w:r>
      <w:r w:rsidR="0032077E" w:rsidRPr="00C24944">
        <w:rPr>
          <w:rFonts w:asciiTheme="minorHAnsi" w:eastAsiaTheme="minorHAnsi" w:hAnsiTheme="minorHAnsi" w:cstheme="minorHAnsi"/>
          <w:snapToGrid/>
          <w:sz w:val="24"/>
          <w:szCs w:val="24"/>
        </w:rPr>
        <w:t xml:space="preserve"> and shows similar </w:t>
      </w:r>
      <w:r w:rsidR="00170290" w:rsidRPr="00C24944">
        <w:rPr>
          <w:rFonts w:asciiTheme="minorHAnsi" w:eastAsiaTheme="minorHAnsi" w:hAnsiTheme="minorHAnsi" w:cstheme="minorHAnsi"/>
          <w:snapToGrid/>
          <w:sz w:val="24"/>
          <w:szCs w:val="24"/>
        </w:rPr>
        <w:t xml:space="preserve">early-uptake </w:t>
      </w:r>
      <w:r w:rsidR="0032077E" w:rsidRPr="00C24944">
        <w:rPr>
          <w:rFonts w:asciiTheme="minorHAnsi" w:eastAsiaTheme="minorHAnsi" w:hAnsiTheme="minorHAnsi" w:cstheme="minorHAnsi"/>
          <w:snapToGrid/>
          <w:sz w:val="24"/>
          <w:szCs w:val="24"/>
        </w:rPr>
        <w:t>pharmacokinetics to intramuscular administration.</w:t>
      </w:r>
      <w:r w:rsidR="00756BB1" w:rsidRPr="00C24944">
        <w:rPr>
          <w:rFonts w:asciiTheme="minorHAnsi" w:eastAsiaTheme="minorHAnsi" w:hAnsiTheme="minorHAnsi" w:cstheme="minorHAnsi"/>
          <w:snapToGrid/>
          <w:sz w:val="24"/>
          <w:szCs w:val="24"/>
        </w:rPr>
        <w:t xml:space="preserve"> </w:t>
      </w:r>
    </w:p>
    <w:p w:rsidR="002204F5" w:rsidRPr="00C24944" w:rsidRDefault="002204F5" w:rsidP="00D23307">
      <w:pPr>
        <w:pStyle w:val="ListParagraph"/>
        <w:spacing w:after="120"/>
        <w:rPr>
          <w:rFonts w:asciiTheme="minorHAnsi" w:eastAsiaTheme="minorHAnsi" w:hAnsiTheme="minorHAnsi" w:cstheme="minorHAnsi"/>
          <w:snapToGrid/>
          <w:sz w:val="24"/>
          <w:szCs w:val="24"/>
        </w:rPr>
      </w:pPr>
    </w:p>
    <w:p w:rsidR="0032077E" w:rsidRPr="00C24944" w:rsidRDefault="00756BB1" w:rsidP="00D23307">
      <w:pPr>
        <w:pStyle w:val="ListParagraph"/>
        <w:spacing w:after="120"/>
        <w:rPr>
          <w:rFonts w:asciiTheme="minorHAnsi" w:eastAsiaTheme="minorHAnsi" w:hAnsiTheme="minorHAnsi" w:cstheme="minorHAnsi"/>
          <w:snapToGrid/>
          <w:sz w:val="24"/>
          <w:szCs w:val="24"/>
        </w:rPr>
      </w:pPr>
      <w:r w:rsidRPr="00C24944">
        <w:rPr>
          <w:rFonts w:asciiTheme="minorHAnsi" w:eastAsiaTheme="minorHAnsi" w:hAnsiTheme="minorHAnsi" w:cstheme="minorHAnsi"/>
          <w:i/>
          <w:snapToGrid/>
          <w:sz w:val="24"/>
          <w:szCs w:val="22"/>
        </w:rPr>
        <w:t>For more detail on PBAC’s view, see section 7 PBAC outcome.</w:t>
      </w:r>
    </w:p>
    <w:p w:rsidR="00CE10C4" w:rsidRPr="00C24944" w:rsidRDefault="00280B42" w:rsidP="00323773">
      <w:pPr>
        <w:pStyle w:val="PBACHeading1"/>
        <w:spacing w:before="240" w:after="120"/>
        <w:ind w:left="709" w:hanging="709"/>
        <w:rPr>
          <w:rFonts w:asciiTheme="minorHAnsi" w:hAnsiTheme="minorHAnsi" w:cstheme="minorHAnsi"/>
          <w:sz w:val="32"/>
          <w:szCs w:val="32"/>
        </w:rPr>
      </w:pPr>
      <w:r w:rsidRPr="00C24944">
        <w:rPr>
          <w:rFonts w:asciiTheme="minorHAnsi" w:hAnsiTheme="minorHAnsi" w:cstheme="minorHAnsi"/>
          <w:sz w:val="32"/>
          <w:szCs w:val="32"/>
        </w:rPr>
        <w:t>Current Situation</w:t>
      </w:r>
    </w:p>
    <w:p w:rsidR="00863F19" w:rsidRPr="00C24944" w:rsidRDefault="00580ACC" w:rsidP="00D23307">
      <w:pPr>
        <w:pStyle w:val="ListParagraph"/>
        <w:widowControl/>
        <w:numPr>
          <w:ilvl w:val="1"/>
          <w:numId w:val="14"/>
        </w:numPr>
        <w:spacing w:before="120" w:after="120"/>
        <w:contextualSpacing w:val="0"/>
        <w:rPr>
          <w:rFonts w:asciiTheme="minorHAnsi" w:eastAsiaTheme="minorHAnsi" w:hAnsiTheme="minorHAnsi" w:cstheme="minorHAnsi"/>
          <w:snapToGrid/>
          <w:sz w:val="24"/>
          <w:szCs w:val="22"/>
        </w:rPr>
      </w:pPr>
      <w:r w:rsidRPr="00C24944">
        <w:rPr>
          <w:rFonts w:asciiTheme="minorHAnsi" w:eastAsiaTheme="minorHAnsi" w:hAnsiTheme="minorHAnsi" w:cstheme="minorHAnsi"/>
          <w:snapToGrid/>
          <w:sz w:val="24"/>
          <w:szCs w:val="22"/>
        </w:rPr>
        <w:t xml:space="preserve">In </w:t>
      </w:r>
      <w:r w:rsidR="00C24944" w:rsidRPr="00C24944">
        <w:rPr>
          <w:rFonts w:asciiTheme="minorHAnsi" w:eastAsiaTheme="minorHAnsi" w:hAnsiTheme="minorHAnsi" w:cstheme="minorHAnsi"/>
          <w:snapToGrid/>
          <w:sz w:val="24"/>
          <w:szCs w:val="22"/>
        </w:rPr>
        <w:t>2016,</w:t>
      </w:r>
      <w:r w:rsidRPr="00C24944">
        <w:rPr>
          <w:rFonts w:asciiTheme="minorHAnsi" w:eastAsiaTheme="minorHAnsi" w:hAnsiTheme="minorHAnsi" w:cstheme="minorHAnsi"/>
          <w:snapToGrid/>
          <w:sz w:val="24"/>
          <w:szCs w:val="22"/>
        </w:rPr>
        <w:t xml:space="preserve"> there was an estimated 12,602</w:t>
      </w:r>
      <w:r w:rsidR="00B5709E" w:rsidRPr="00C24944">
        <w:rPr>
          <w:rFonts w:asciiTheme="minorHAnsi" w:eastAsiaTheme="minorHAnsi" w:hAnsiTheme="minorHAnsi" w:cstheme="minorHAnsi"/>
          <w:snapToGrid/>
          <w:sz w:val="24"/>
          <w:szCs w:val="22"/>
        </w:rPr>
        <w:t xml:space="preserve"> opioid overdoses</w:t>
      </w:r>
      <w:r w:rsidR="002B1F86" w:rsidRPr="00C24944">
        <w:rPr>
          <w:rFonts w:asciiTheme="minorHAnsi" w:eastAsiaTheme="minorHAnsi" w:hAnsiTheme="minorHAnsi" w:cstheme="minorHAnsi"/>
          <w:snapToGrid/>
          <w:sz w:val="24"/>
          <w:szCs w:val="22"/>
        </w:rPr>
        <w:t xml:space="preserve"> </w:t>
      </w:r>
      <w:r w:rsidRPr="00C24944">
        <w:rPr>
          <w:rFonts w:asciiTheme="minorHAnsi" w:eastAsiaTheme="minorHAnsi" w:hAnsiTheme="minorHAnsi" w:cstheme="minorHAnsi"/>
          <w:snapToGrid/>
          <w:sz w:val="24"/>
          <w:szCs w:val="22"/>
        </w:rPr>
        <w:t>and 1,359 opioids</w:t>
      </w:r>
      <w:r w:rsidR="00047811" w:rsidRPr="00C24944">
        <w:rPr>
          <w:rFonts w:asciiTheme="minorHAnsi" w:eastAsiaTheme="minorHAnsi" w:hAnsiTheme="minorHAnsi" w:cstheme="minorHAnsi"/>
          <w:snapToGrid/>
          <w:sz w:val="24"/>
          <w:szCs w:val="22"/>
        </w:rPr>
        <w:t xml:space="preserve"> </w:t>
      </w:r>
      <w:r w:rsidR="00B5709E" w:rsidRPr="00C24944">
        <w:rPr>
          <w:rFonts w:asciiTheme="minorHAnsi" w:eastAsiaTheme="minorHAnsi" w:hAnsiTheme="minorHAnsi" w:cstheme="minorHAnsi"/>
          <w:snapToGrid/>
          <w:sz w:val="24"/>
          <w:szCs w:val="22"/>
        </w:rPr>
        <w:t xml:space="preserve">related deaths </w:t>
      </w:r>
      <w:r w:rsidR="00E85661" w:rsidRPr="00C24944">
        <w:rPr>
          <w:rFonts w:asciiTheme="minorHAnsi" w:eastAsiaTheme="minorHAnsi" w:hAnsiTheme="minorHAnsi" w:cstheme="minorHAnsi"/>
          <w:snapToGrid/>
          <w:sz w:val="24"/>
          <w:szCs w:val="22"/>
        </w:rPr>
        <w:t>in Australia</w:t>
      </w:r>
      <w:r w:rsidR="00032B35" w:rsidRPr="00C24944">
        <w:rPr>
          <w:rFonts w:asciiTheme="minorHAnsi" w:hAnsiTheme="minorHAnsi" w:cstheme="minorHAnsi"/>
        </w:rPr>
        <w:t xml:space="preserve"> (</w:t>
      </w:r>
      <w:proofErr w:type="spellStart"/>
      <w:r w:rsidR="00032B35" w:rsidRPr="00C24944">
        <w:rPr>
          <w:rFonts w:asciiTheme="minorHAnsi" w:hAnsiTheme="minorHAnsi" w:cstheme="minorHAnsi"/>
        </w:rPr>
        <w:t>Penington</w:t>
      </w:r>
      <w:proofErr w:type="spellEnd"/>
      <w:r w:rsidR="00032B35" w:rsidRPr="00C24944">
        <w:rPr>
          <w:rFonts w:asciiTheme="minorHAnsi" w:hAnsiTheme="minorHAnsi" w:cstheme="minorHAnsi"/>
        </w:rPr>
        <w:t xml:space="preserve"> Institute, 2018)</w:t>
      </w:r>
      <w:r w:rsidRPr="00C24944">
        <w:rPr>
          <w:rFonts w:asciiTheme="minorHAnsi" w:eastAsiaTheme="minorHAnsi" w:hAnsiTheme="minorHAnsi" w:cstheme="minorHAnsi"/>
          <w:snapToGrid/>
          <w:sz w:val="24"/>
          <w:szCs w:val="22"/>
        </w:rPr>
        <w:t>.</w:t>
      </w:r>
    </w:p>
    <w:p w:rsidR="00B107C6" w:rsidRPr="00C24944" w:rsidRDefault="00767960" w:rsidP="00D23307">
      <w:pPr>
        <w:pStyle w:val="ListParagraph"/>
        <w:widowControl/>
        <w:numPr>
          <w:ilvl w:val="1"/>
          <w:numId w:val="14"/>
        </w:numPr>
        <w:spacing w:before="120" w:after="120"/>
        <w:contextualSpacing w:val="0"/>
        <w:rPr>
          <w:rFonts w:asciiTheme="minorHAnsi" w:eastAsiaTheme="minorHAnsi" w:hAnsiTheme="minorHAnsi" w:cstheme="minorHAnsi"/>
          <w:snapToGrid/>
          <w:sz w:val="24"/>
          <w:szCs w:val="22"/>
        </w:rPr>
      </w:pPr>
      <w:r w:rsidRPr="00C24944">
        <w:rPr>
          <w:rFonts w:asciiTheme="minorHAnsi" w:eastAsiaTheme="minorHAnsi" w:hAnsiTheme="minorHAnsi" w:cstheme="minorHAnsi"/>
          <w:snapToGrid/>
          <w:sz w:val="24"/>
          <w:szCs w:val="22"/>
        </w:rPr>
        <w:t>Naloxone is the only approved antidote to opioid</w:t>
      </w:r>
      <w:r w:rsidR="005844B7" w:rsidRPr="00C24944">
        <w:rPr>
          <w:rFonts w:asciiTheme="minorHAnsi" w:eastAsiaTheme="minorHAnsi" w:hAnsiTheme="minorHAnsi" w:cstheme="minorHAnsi"/>
          <w:snapToGrid/>
          <w:sz w:val="24"/>
          <w:szCs w:val="22"/>
        </w:rPr>
        <w:t xml:space="preserve"> overdoses. It</w:t>
      </w:r>
      <w:r w:rsidRPr="00C24944">
        <w:rPr>
          <w:rFonts w:asciiTheme="minorHAnsi" w:eastAsiaTheme="minorHAnsi" w:hAnsiTheme="minorHAnsi" w:cstheme="minorHAnsi"/>
          <w:snapToGrid/>
          <w:sz w:val="24"/>
          <w:szCs w:val="22"/>
        </w:rPr>
        <w:t xml:space="preserve"> is </w:t>
      </w:r>
      <w:r w:rsidR="00C44C45" w:rsidRPr="00C24944">
        <w:rPr>
          <w:rFonts w:asciiTheme="minorHAnsi" w:eastAsiaTheme="minorHAnsi" w:hAnsiTheme="minorHAnsi" w:cstheme="minorHAnsi"/>
          <w:snapToGrid/>
          <w:sz w:val="24"/>
          <w:szCs w:val="22"/>
        </w:rPr>
        <w:t xml:space="preserve">demonstrated to be </w:t>
      </w:r>
      <w:r w:rsidR="00111618" w:rsidRPr="00C24944">
        <w:rPr>
          <w:rFonts w:asciiTheme="minorHAnsi" w:eastAsiaTheme="minorHAnsi" w:hAnsiTheme="minorHAnsi" w:cstheme="minorHAnsi"/>
          <w:snapToGrid/>
          <w:sz w:val="24"/>
          <w:szCs w:val="22"/>
        </w:rPr>
        <w:t>effective</w:t>
      </w:r>
      <w:r w:rsidR="00C44C45" w:rsidRPr="00C24944">
        <w:rPr>
          <w:rFonts w:asciiTheme="minorHAnsi" w:eastAsiaTheme="minorHAnsi" w:hAnsiTheme="minorHAnsi" w:cstheme="minorHAnsi"/>
          <w:snapToGrid/>
          <w:sz w:val="24"/>
          <w:szCs w:val="22"/>
        </w:rPr>
        <w:t xml:space="preserve"> and</w:t>
      </w:r>
      <w:r w:rsidR="00111618" w:rsidRPr="00C24944">
        <w:rPr>
          <w:rFonts w:asciiTheme="minorHAnsi" w:eastAsiaTheme="minorHAnsi" w:hAnsiTheme="minorHAnsi" w:cstheme="minorHAnsi"/>
          <w:snapToGrid/>
          <w:sz w:val="24"/>
          <w:szCs w:val="22"/>
        </w:rPr>
        <w:t xml:space="preserve"> </w:t>
      </w:r>
      <w:r w:rsidRPr="00C24944">
        <w:rPr>
          <w:rFonts w:asciiTheme="minorHAnsi" w:eastAsiaTheme="minorHAnsi" w:hAnsiTheme="minorHAnsi" w:cstheme="minorHAnsi"/>
          <w:snapToGrid/>
          <w:sz w:val="24"/>
          <w:szCs w:val="22"/>
        </w:rPr>
        <w:t xml:space="preserve">safe to use </w:t>
      </w:r>
      <w:r w:rsidR="00111618" w:rsidRPr="00C24944">
        <w:rPr>
          <w:rFonts w:asciiTheme="minorHAnsi" w:eastAsiaTheme="minorHAnsi" w:hAnsiTheme="minorHAnsi" w:cstheme="minorHAnsi"/>
          <w:snapToGrid/>
          <w:sz w:val="24"/>
          <w:szCs w:val="22"/>
        </w:rPr>
        <w:t>with very low abuse potential</w:t>
      </w:r>
      <w:r w:rsidR="005844B7" w:rsidRPr="00C24944">
        <w:rPr>
          <w:rFonts w:asciiTheme="minorHAnsi" w:eastAsiaTheme="minorHAnsi" w:hAnsiTheme="minorHAnsi" w:cstheme="minorHAnsi"/>
          <w:snapToGrid/>
          <w:sz w:val="24"/>
          <w:szCs w:val="22"/>
        </w:rPr>
        <w:t xml:space="preserve"> and has </w:t>
      </w:r>
      <w:r w:rsidR="00C06DE4" w:rsidRPr="00C24944">
        <w:rPr>
          <w:rFonts w:asciiTheme="minorHAnsi" w:eastAsiaTheme="minorHAnsi" w:hAnsiTheme="minorHAnsi" w:cstheme="minorHAnsi"/>
          <w:snapToGrid/>
          <w:sz w:val="24"/>
          <w:szCs w:val="22"/>
        </w:rPr>
        <w:t>an established history of use</w:t>
      </w:r>
      <w:r w:rsidRPr="00C24944">
        <w:rPr>
          <w:rFonts w:asciiTheme="minorHAnsi" w:eastAsiaTheme="minorHAnsi" w:hAnsiTheme="minorHAnsi" w:cstheme="minorHAnsi"/>
          <w:snapToGrid/>
          <w:sz w:val="24"/>
          <w:szCs w:val="22"/>
        </w:rPr>
        <w:t xml:space="preserve">. </w:t>
      </w:r>
    </w:p>
    <w:p w:rsidR="00863F19" w:rsidRPr="00C24944" w:rsidRDefault="00B107C6" w:rsidP="00D23307">
      <w:pPr>
        <w:pStyle w:val="ListParagraph"/>
        <w:widowControl/>
        <w:numPr>
          <w:ilvl w:val="1"/>
          <w:numId w:val="14"/>
        </w:numPr>
        <w:spacing w:before="120" w:after="120"/>
        <w:contextualSpacing w:val="0"/>
        <w:rPr>
          <w:rFonts w:asciiTheme="minorHAnsi" w:eastAsiaTheme="minorHAnsi" w:hAnsiTheme="minorHAnsi" w:cstheme="minorHAnsi"/>
          <w:snapToGrid/>
          <w:sz w:val="24"/>
          <w:szCs w:val="22"/>
        </w:rPr>
      </w:pPr>
      <w:r w:rsidRPr="00C24944">
        <w:rPr>
          <w:rFonts w:asciiTheme="minorHAnsi" w:eastAsiaTheme="minorHAnsi" w:hAnsiTheme="minorHAnsi" w:cstheme="minorHAnsi"/>
          <w:snapToGrid/>
          <w:sz w:val="24"/>
          <w:szCs w:val="22"/>
        </w:rPr>
        <w:t>Currently-listed naloxone presentations include ampoules (400 microgram/mL injection, 5 x 1 mL ampoules or 10 x 1 mL ampoules) and prefilled syringes (1 mg/mL injection, 2 mL syringe) for either intramuscular (IM) or intravenous (IV) administration.</w:t>
      </w:r>
    </w:p>
    <w:p w:rsidR="002228C4" w:rsidRPr="00EE30C8" w:rsidRDefault="005844B7" w:rsidP="00D23307">
      <w:pPr>
        <w:pStyle w:val="ListParagraph"/>
        <w:widowControl/>
        <w:numPr>
          <w:ilvl w:val="1"/>
          <w:numId w:val="14"/>
        </w:numPr>
        <w:spacing w:before="120" w:after="120"/>
        <w:contextualSpacing w:val="0"/>
        <w:rPr>
          <w:rFonts w:asciiTheme="minorHAnsi" w:eastAsiaTheme="minorHAnsi" w:hAnsiTheme="minorHAnsi" w:cstheme="minorHAnsi"/>
          <w:snapToGrid/>
          <w:sz w:val="24"/>
          <w:szCs w:val="22"/>
        </w:rPr>
      </w:pPr>
      <w:r w:rsidRPr="00C24944">
        <w:rPr>
          <w:rFonts w:asciiTheme="minorHAnsi" w:eastAsiaTheme="minorHAnsi" w:hAnsiTheme="minorHAnsi" w:cstheme="minorHAnsi"/>
          <w:snapToGrid/>
          <w:sz w:val="24"/>
          <w:szCs w:val="22"/>
        </w:rPr>
        <w:t>Naloxone was recently rescheduled</w:t>
      </w:r>
      <w:r w:rsidR="00E85661" w:rsidRPr="00C24944">
        <w:rPr>
          <w:rFonts w:asciiTheme="minorHAnsi" w:eastAsiaTheme="minorHAnsi" w:hAnsiTheme="minorHAnsi" w:cstheme="minorHAnsi"/>
          <w:snapToGrid/>
          <w:sz w:val="24"/>
          <w:szCs w:val="22"/>
        </w:rPr>
        <w:t xml:space="preserve"> </w:t>
      </w:r>
      <w:r w:rsidRPr="00C24944">
        <w:rPr>
          <w:rFonts w:asciiTheme="minorHAnsi" w:eastAsiaTheme="minorHAnsi" w:hAnsiTheme="minorHAnsi" w:cstheme="minorHAnsi"/>
          <w:snapToGrid/>
          <w:sz w:val="24"/>
          <w:szCs w:val="22"/>
        </w:rPr>
        <w:t>from Schedule 4</w:t>
      </w:r>
      <w:r w:rsidR="00E85661" w:rsidRPr="00C24944">
        <w:rPr>
          <w:rFonts w:asciiTheme="minorHAnsi" w:eastAsiaTheme="minorHAnsi" w:hAnsiTheme="minorHAnsi" w:cstheme="minorHAnsi"/>
          <w:snapToGrid/>
          <w:sz w:val="24"/>
          <w:szCs w:val="22"/>
        </w:rPr>
        <w:t xml:space="preserve"> (Prescription Only Medicine)</w:t>
      </w:r>
      <w:r w:rsidRPr="00C24944">
        <w:rPr>
          <w:rFonts w:asciiTheme="minorHAnsi" w:eastAsiaTheme="minorHAnsi" w:hAnsiTheme="minorHAnsi" w:cstheme="minorHAnsi"/>
          <w:snapToGrid/>
          <w:sz w:val="24"/>
          <w:szCs w:val="22"/>
        </w:rPr>
        <w:t xml:space="preserve"> </w:t>
      </w:r>
      <w:r w:rsidR="00111618" w:rsidRPr="00C24944">
        <w:rPr>
          <w:rFonts w:asciiTheme="minorHAnsi" w:eastAsiaTheme="minorHAnsi" w:hAnsiTheme="minorHAnsi" w:cstheme="minorHAnsi"/>
          <w:snapToGrid/>
          <w:sz w:val="24"/>
          <w:szCs w:val="22"/>
        </w:rPr>
        <w:t xml:space="preserve">to </w:t>
      </w:r>
      <w:r w:rsidR="00111618" w:rsidRPr="00C24944">
        <w:rPr>
          <w:rFonts w:asciiTheme="minorHAnsi" w:eastAsiaTheme="minorHAnsi" w:hAnsiTheme="minorHAnsi" w:cstheme="minorHAnsi"/>
          <w:snapToGrid/>
          <w:sz w:val="24"/>
          <w:szCs w:val="24"/>
        </w:rPr>
        <w:t>Schedule 3</w:t>
      </w:r>
      <w:r w:rsidR="00E85661" w:rsidRPr="00C24944">
        <w:rPr>
          <w:rFonts w:asciiTheme="minorHAnsi" w:eastAsiaTheme="minorHAnsi" w:hAnsiTheme="minorHAnsi" w:cstheme="minorHAnsi"/>
          <w:snapToGrid/>
          <w:sz w:val="24"/>
          <w:szCs w:val="24"/>
        </w:rPr>
        <w:t xml:space="preserve"> (</w:t>
      </w:r>
      <w:r w:rsidR="00E85661" w:rsidRPr="00C24944">
        <w:rPr>
          <w:rFonts w:asciiTheme="minorHAnsi" w:hAnsiTheme="minorHAnsi" w:cstheme="minorHAnsi"/>
          <w:color w:val="000000"/>
          <w:sz w:val="24"/>
          <w:szCs w:val="24"/>
        </w:rPr>
        <w:t>Pharmacist Only Medicine) under</w:t>
      </w:r>
      <w:r w:rsidR="000A7171" w:rsidRPr="00C24944">
        <w:rPr>
          <w:rFonts w:asciiTheme="minorHAnsi" w:hAnsiTheme="minorHAnsi" w:cstheme="minorHAnsi"/>
          <w:color w:val="000000"/>
          <w:sz w:val="24"/>
          <w:szCs w:val="24"/>
        </w:rPr>
        <w:t xml:space="preserve"> the TGA</w:t>
      </w:r>
      <w:r w:rsidR="00E85661" w:rsidRPr="00C24944">
        <w:rPr>
          <w:rFonts w:asciiTheme="minorHAnsi" w:hAnsiTheme="minorHAnsi" w:cstheme="minorHAnsi"/>
          <w:color w:val="000000"/>
          <w:sz w:val="24"/>
          <w:szCs w:val="24"/>
        </w:rPr>
        <w:t xml:space="preserve"> </w:t>
      </w:r>
      <w:r w:rsidR="00E85661" w:rsidRPr="00C24944">
        <w:rPr>
          <w:rFonts w:asciiTheme="minorHAnsi" w:hAnsiTheme="minorHAnsi" w:cstheme="minorHAnsi"/>
          <w:i/>
          <w:color w:val="000000"/>
          <w:sz w:val="24"/>
          <w:szCs w:val="24"/>
        </w:rPr>
        <w:t>Poisons Standard</w:t>
      </w:r>
      <w:r w:rsidRPr="00C24944">
        <w:rPr>
          <w:rFonts w:asciiTheme="minorHAnsi" w:eastAsiaTheme="minorHAnsi" w:hAnsiTheme="minorHAnsi" w:cstheme="minorHAnsi"/>
          <w:snapToGrid/>
          <w:sz w:val="24"/>
          <w:szCs w:val="22"/>
        </w:rPr>
        <w:t xml:space="preserve">, </w:t>
      </w:r>
      <w:r w:rsidR="00111618" w:rsidRPr="00C24944">
        <w:rPr>
          <w:rFonts w:asciiTheme="minorHAnsi" w:eastAsiaTheme="minorHAnsi" w:hAnsiTheme="minorHAnsi" w:cstheme="minorHAnsi"/>
          <w:snapToGrid/>
          <w:sz w:val="24"/>
          <w:szCs w:val="22"/>
        </w:rPr>
        <w:t>enabl</w:t>
      </w:r>
      <w:r w:rsidR="000A7171" w:rsidRPr="00C24944">
        <w:rPr>
          <w:rFonts w:asciiTheme="minorHAnsi" w:eastAsiaTheme="minorHAnsi" w:hAnsiTheme="minorHAnsi" w:cstheme="minorHAnsi"/>
          <w:snapToGrid/>
          <w:sz w:val="24"/>
          <w:szCs w:val="22"/>
        </w:rPr>
        <w:t>ing</w:t>
      </w:r>
      <w:r w:rsidR="00111618" w:rsidRPr="00C24944">
        <w:rPr>
          <w:rFonts w:asciiTheme="minorHAnsi" w:eastAsiaTheme="minorHAnsi" w:hAnsiTheme="minorHAnsi" w:cstheme="minorHAnsi"/>
          <w:snapToGrid/>
          <w:sz w:val="24"/>
          <w:szCs w:val="22"/>
        </w:rPr>
        <w:t xml:space="preserve"> </w:t>
      </w:r>
      <w:r w:rsidRPr="00C24944">
        <w:rPr>
          <w:rFonts w:asciiTheme="minorHAnsi" w:eastAsiaTheme="minorHAnsi" w:hAnsiTheme="minorHAnsi" w:cstheme="minorHAnsi"/>
          <w:snapToGrid/>
          <w:sz w:val="24"/>
          <w:szCs w:val="22"/>
        </w:rPr>
        <w:t>easier</w:t>
      </w:r>
      <w:r w:rsidR="00111618" w:rsidRPr="00C24944">
        <w:rPr>
          <w:rFonts w:asciiTheme="minorHAnsi" w:eastAsiaTheme="minorHAnsi" w:hAnsiTheme="minorHAnsi" w:cstheme="minorHAnsi"/>
          <w:snapToGrid/>
          <w:sz w:val="24"/>
          <w:szCs w:val="22"/>
        </w:rPr>
        <w:t xml:space="preserve"> access in the community (take-home) setting</w:t>
      </w:r>
      <w:r w:rsidR="00B107C6" w:rsidRPr="00C24944">
        <w:rPr>
          <w:rFonts w:asciiTheme="minorHAnsi" w:eastAsiaTheme="minorHAnsi" w:hAnsiTheme="minorHAnsi" w:cstheme="minorHAnsi"/>
          <w:snapToGrid/>
          <w:sz w:val="24"/>
          <w:szCs w:val="22"/>
        </w:rPr>
        <w:t>. This</w:t>
      </w:r>
      <w:r w:rsidR="00E26589" w:rsidRPr="00C24944">
        <w:rPr>
          <w:rFonts w:asciiTheme="minorHAnsi" w:eastAsiaTheme="minorHAnsi" w:hAnsiTheme="minorHAnsi" w:cstheme="minorHAnsi"/>
          <w:snapToGrid/>
          <w:sz w:val="24"/>
          <w:szCs w:val="22"/>
        </w:rPr>
        <w:t xml:space="preserve"> </w:t>
      </w:r>
      <w:r w:rsidR="00B107C6" w:rsidRPr="00C24944">
        <w:rPr>
          <w:rFonts w:asciiTheme="minorHAnsi" w:eastAsiaTheme="minorHAnsi" w:hAnsiTheme="minorHAnsi" w:cstheme="minorHAnsi"/>
          <w:snapToGrid/>
          <w:sz w:val="24"/>
          <w:szCs w:val="22"/>
        </w:rPr>
        <w:t>wa</w:t>
      </w:r>
      <w:r w:rsidR="00E26589" w:rsidRPr="00C24944">
        <w:rPr>
          <w:rFonts w:asciiTheme="minorHAnsi" w:eastAsiaTheme="minorHAnsi" w:hAnsiTheme="minorHAnsi" w:cstheme="minorHAnsi"/>
          <w:snapToGrid/>
          <w:sz w:val="24"/>
          <w:szCs w:val="22"/>
        </w:rPr>
        <w:t>s expected to reduce harm and fatalities due to overdoses in the community</w:t>
      </w:r>
      <w:r w:rsidR="00111618" w:rsidRPr="00C24944">
        <w:rPr>
          <w:rFonts w:asciiTheme="minorHAnsi" w:eastAsiaTheme="minorHAnsi" w:hAnsiTheme="minorHAnsi" w:cstheme="minorHAnsi"/>
          <w:snapToGrid/>
          <w:sz w:val="24"/>
          <w:szCs w:val="22"/>
        </w:rPr>
        <w:t>.</w:t>
      </w:r>
    </w:p>
    <w:p w:rsidR="00032B35" w:rsidRPr="00C24944" w:rsidRDefault="002228C4" w:rsidP="00D23307">
      <w:pPr>
        <w:pStyle w:val="ListParagraph"/>
        <w:widowControl/>
        <w:numPr>
          <w:ilvl w:val="1"/>
          <w:numId w:val="14"/>
        </w:numPr>
        <w:spacing w:before="120" w:after="120"/>
        <w:contextualSpacing w:val="0"/>
        <w:rPr>
          <w:rFonts w:asciiTheme="minorHAnsi" w:eastAsiaTheme="minorHAnsi" w:hAnsiTheme="minorHAnsi" w:cstheme="minorHAnsi"/>
          <w:snapToGrid/>
          <w:sz w:val="24"/>
          <w:szCs w:val="22"/>
        </w:rPr>
      </w:pPr>
      <w:r w:rsidRPr="00C24944">
        <w:rPr>
          <w:rFonts w:asciiTheme="minorHAnsi" w:eastAsiaTheme="minorHAnsi" w:hAnsiTheme="minorHAnsi" w:cstheme="minorHAnsi"/>
          <w:snapToGrid/>
          <w:sz w:val="24"/>
          <w:szCs w:val="22"/>
        </w:rPr>
        <w:t xml:space="preserve">Table </w:t>
      </w:r>
      <w:r w:rsidRPr="00BB34F5">
        <w:t>1</w:t>
      </w:r>
      <w:r w:rsidR="008006C5" w:rsidRPr="00C24944">
        <w:rPr>
          <w:rFonts w:asciiTheme="minorHAnsi" w:eastAsiaTheme="minorHAnsi" w:hAnsiTheme="minorHAnsi" w:cstheme="minorHAnsi"/>
          <w:snapToGrid/>
          <w:sz w:val="24"/>
          <w:szCs w:val="22"/>
        </w:rPr>
        <w:t xml:space="preserve"> shows the PBS items processed for all non-prescriber bag items</w:t>
      </w:r>
      <w:r w:rsidR="00C50725" w:rsidRPr="00C24944">
        <w:rPr>
          <w:rFonts w:asciiTheme="minorHAnsi" w:eastAsiaTheme="minorHAnsi" w:hAnsiTheme="minorHAnsi" w:cstheme="minorHAnsi"/>
          <w:snapToGrid/>
          <w:sz w:val="24"/>
          <w:szCs w:val="22"/>
        </w:rPr>
        <w:t xml:space="preserve"> showing relatively low uptake of both ampoules</w:t>
      </w:r>
      <w:r w:rsidR="00DC694A" w:rsidRPr="00C24944">
        <w:rPr>
          <w:rFonts w:asciiTheme="minorHAnsi" w:eastAsiaTheme="minorHAnsi" w:hAnsiTheme="minorHAnsi" w:cstheme="minorHAnsi"/>
          <w:snapToGrid/>
          <w:sz w:val="24"/>
          <w:szCs w:val="22"/>
        </w:rPr>
        <w:t xml:space="preserve"> (currently 675 per year)</w:t>
      </w:r>
      <w:r w:rsidR="00C50725" w:rsidRPr="00C24944">
        <w:rPr>
          <w:rFonts w:asciiTheme="minorHAnsi" w:eastAsiaTheme="minorHAnsi" w:hAnsiTheme="minorHAnsi" w:cstheme="minorHAnsi"/>
          <w:snapToGrid/>
          <w:sz w:val="24"/>
          <w:szCs w:val="22"/>
        </w:rPr>
        <w:t xml:space="preserve"> and prefilled syringes</w:t>
      </w:r>
      <w:r w:rsidR="00DC694A" w:rsidRPr="00C24944">
        <w:rPr>
          <w:rFonts w:asciiTheme="minorHAnsi" w:eastAsiaTheme="minorHAnsi" w:hAnsiTheme="minorHAnsi" w:cstheme="minorHAnsi"/>
          <w:snapToGrid/>
          <w:sz w:val="24"/>
          <w:szCs w:val="22"/>
        </w:rPr>
        <w:t xml:space="preserve"> (currently 565 per year)</w:t>
      </w:r>
      <w:r w:rsidR="008006C5" w:rsidRPr="00C24944">
        <w:rPr>
          <w:rFonts w:asciiTheme="minorHAnsi" w:eastAsiaTheme="minorHAnsi" w:hAnsiTheme="minorHAnsi" w:cstheme="minorHAnsi"/>
          <w:snapToGrid/>
          <w:sz w:val="24"/>
          <w:szCs w:val="22"/>
        </w:rPr>
        <w:t>.</w:t>
      </w:r>
      <w:bookmarkStart w:id="2" w:name="_Ref536541538"/>
    </w:p>
    <w:p w:rsidR="00C44C45" w:rsidRPr="00C24944" w:rsidRDefault="00C44C45" w:rsidP="00323773">
      <w:pPr>
        <w:pStyle w:val="Caption"/>
        <w:keepLines/>
      </w:pPr>
      <w:r w:rsidRPr="00C24944">
        <w:t xml:space="preserve">Table </w:t>
      </w:r>
      <w:r w:rsidR="002228C4" w:rsidRPr="00BB34F5">
        <w:t>1</w:t>
      </w:r>
      <w:bookmarkEnd w:id="2"/>
      <w:r w:rsidR="00950D34">
        <w:t xml:space="preserve">: </w:t>
      </w:r>
      <w:r w:rsidR="00032B35" w:rsidRPr="00C24944">
        <w:t>PBS and PRB data 2016 to 2018 non-prescriber bag naloxone items processed.</w:t>
      </w:r>
    </w:p>
    <w:tbl>
      <w:tblPr>
        <w:tblStyle w:val="TableGrid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PBS and PRB data 2016 to 2018 non-prescriber bag naloxone items processed."/>
        <w:tblDescription w:val="Procedure Tabulate: Table 1"/>
      </w:tblPr>
      <w:tblGrid>
        <w:gridCol w:w="4098"/>
        <w:gridCol w:w="1230"/>
        <w:gridCol w:w="921"/>
        <w:gridCol w:w="923"/>
        <w:gridCol w:w="921"/>
        <w:gridCol w:w="923"/>
      </w:tblGrid>
      <w:tr w:rsidR="00B75487" w:rsidRPr="00C24944" w:rsidTr="00323773">
        <w:trPr>
          <w:cantSplit/>
          <w:trHeight w:val="318"/>
          <w:tblHeader/>
        </w:trPr>
        <w:tc>
          <w:tcPr>
            <w:tcW w:w="2272" w:type="pct"/>
            <w:noWrap/>
            <w:hideMark/>
          </w:tcPr>
          <w:p w:rsidR="00B75487" w:rsidRPr="00EE30C8" w:rsidRDefault="00B75487" w:rsidP="00323773">
            <w:pPr>
              <w:keepNext/>
              <w:keepLines/>
              <w:rPr>
                <w:rFonts w:ascii="Arial Narrow" w:hAnsi="Arial Narrow" w:cstheme="minorHAnsi"/>
                <w:b/>
                <w:color w:val="000000"/>
                <w:sz w:val="20"/>
                <w:szCs w:val="20"/>
              </w:rPr>
            </w:pPr>
            <w:r w:rsidRPr="00EE30C8">
              <w:rPr>
                <w:rFonts w:ascii="Arial Narrow" w:hAnsi="Arial Narrow" w:cstheme="minorHAnsi"/>
                <w:b/>
                <w:color w:val="000000"/>
                <w:sz w:val="20"/>
                <w:szCs w:val="20"/>
              </w:rPr>
              <w:t> Item Code</w:t>
            </w:r>
          </w:p>
        </w:tc>
        <w:tc>
          <w:tcPr>
            <w:tcW w:w="682" w:type="pct"/>
            <w:noWrap/>
            <w:hideMark/>
          </w:tcPr>
          <w:p w:rsidR="00B75487" w:rsidRPr="00EE30C8" w:rsidRDefault="00B75487" w:rsidP="00323773">
            <w:pPr>
              <w:keepNext/>
              <w:keepLines/>
              <w:rPr>
                <w:rFonts w:ascii="Arial Narrow" w:hAnsi="Arial Narrow" w:cstheme="minorHAnsi"/>
                <w:b/>
                <w:color w:val="000000"/>
                <w:sz w:val="20"/>
                <w:szCs w:val="20"/>
              </w:rPr>
            </w:pPr>
            <w:r w:rsidRPr="00EE30C8">
              <w:rPr>
                <w:rFonts w:ascii="Arial Narrow" w:hAnsi="Arial Narrow" w:cstheme="minorHAnsi"/>
                <w:b/>
                <w:color w:val="000000"/>
                <w:sz w:val="20"/>
                <w:szCs w:val="20"/>
              </w:rPr>
              <w:t> Schedule</w:t>
            </w:r>
          </w:p>
        </w:tc>
        <w:tc>
          <w:tcPr>
            <w:tcW w:w="1534" w:type="pct"/>
            <w:gridSpan w:val="3"/>
            <w:noWrap/>
            <w:hideMark/>
          </w:tcPr>
          <w:p w:rsidR="00B75487" w:rsidRPr="00EE30C8" w:rsidRDefault="00B75487" w:rsidP="00323773">
            <w:pPr>
              <w:keepNext/>
              <w:keepLines/>
              <w:jc w:val="center"/>
              <w:rPr>
                <w:rFonts w:ascii="Arial Narrow" w:hAnsi="Arial Narrow" w:cstheme="minorHAnsi"/>
                <w:b/>
                <w:color w:val="000000"/>
                <w:sz w:val="20"/>
                <w:szCs w:val="20"/>
              </w:rPr>
            </w:pPr>
            <w:r w:rsidRPr="00EE30C8">
              <w:rPr>
                <w:rFonts w:ascii="Arial Narrow" w:hAnsi="Arial Narrow" w:cstheme="minorHAnsi"/>
                <w:b/>
                <w:color w:val="000000"/>
                <w:sz w:val="20"/>
                <w:szCs w:val="20"/>
              </w:rPr>
              <w:t>Year</w:t>
            </w:r>
          </w:p>
        </w:tc>
        <w:tc>
          <w:tcPr>
            <w:tcW w:w="512" w:type="pct"/>
          </w:tcPr>
          <w:p w:rsidR="00B75487" w:rsidRPr="00EE30C8" w:rsidRDefault="00B75487" w:rsidP="00323773">
            <w:pPr>
              <w:keepNext/>
              <w:keepLines/>
              <w:jc w:val="center"/>
              <w:rPr>
                <w:rFonts w:ascii="Arial Narrow" w:hAnsi="Arial Narrow" w:cstheme="minorHAnsi"/>
                <w:b/>
                <w:color w:val="000000"/>
                <w:sz w:val="20"/>
                <w:szCs w:val="20"/>
              </w:rPr>
            </w:pPr>
            <w:r w:rsidRPr="00EE30C8">
              <w:rPr>
                <w:rFonts w:ascii="Arial Narrow" w:hAnsi="Arial Narrow" w:cstheme="minorHAnsi"/>
                <w:b/>
                <w:bCs/>
                <w:color w:val="000000"/>
                <w:sz w:val="20"/>
                <w:szCs w:val="20"/>
              </w:rPr>
              <w:t>Total</w:t>
            </w:r>
          </w:p>
        </w:tc>
      </w:tr>
      <w:tr w:rsidR="00C44C45" w:rsidRPr="00C24944" w:rsidTr="00323773">
        <w:trPr>
          <w:cantSplit/>
          <w:trHeight w:val="319"/>
        </w:trPr>
        <w:tc>
          <w:tcPr>
            <w:tcW w:w="2272" w:type="pct"/>
            <w:noWrap/>
            <w:hideMark/>
          </w:tcPr>
          <w:p w:rsidR="00C44C45" w:rsidRPr="00EE30C8" w:rsidRDefault="00C44C45" w:rsidP="00323773">
            <w:pPr>
              <w:keepNext/>
              <w:keepLines/>
              <w:rPr>
                <w:rFonts w:ascii="Arial Narrow" w:hAnsi="Arial Narrow" w:cstheme="minorHAnsi"/>
                <w:color w:val="000000"/>
                <w:sz w:val="20"/>
                <w:szCs w:val="20"/>
              </w:rPr>
            </w:pPr>
          </w:p>
        </w:tc>
        <w:tc>
          <w:tcPr>
            <w:tcW w:w="682" w:type="pct"/>
            <w:noWrap/>
            <w:hideMark/>
          </w:tcPr>
          <w:p w:rsidR="00C44C45" w:rsidRPr="00EE30C8" w:rsidRDefault="00C44C45" w:rsidP="00323773">
            <w:pPr>
              <w:keepNext/>
              <w:keepLines/>
              <w:rPr>
                <w:rFonts w:ascii="Arial Narrow" w:hAnsi="Arial Narrow" w:cstheme="minorHAnsi"/>
                <w:color w:val="000000"/>
                <w:sz w:val="20"/>
                <w:szCs w:val="20"/>
              </w:rPr>
            </w:pPr>
            <w:r w:rsidRPr="00EE30C8">
              <w:rPr>
                <w:rFonts w:ascii="Arial Narrow" w:hAnsi="Arial Narrow" w:cstheme="minorHAnsi"/>
                <w:color w:val="000000"/>
                <w:sz w:val="20"/>
                <w:szCs w:val="20"/>
              </w:rPr>
              <w:t> </w:t>
            </w:r>
          </w:p>
        </w:tc>
        <w:tc>
          <w:tcPr>
            <w:tcW w:w="511" w:type="pct"/>
            <w:noWrap/>
            <w:hideMark/>
          </w:tcPr>
          <w:p w:rsidR="00C44C45" w:rsidRPr="00EE30C8" w:rsidRDefault="00C44C45" w:rsidP="00323773">
            <w:pPr>
              <w:keepNext/>
              <w:keepLines/>
              <w:jc w:val="center"/>
              <w:rPr>
                <w:rFonts w:ascii="Arial Narrow" w:hAnsi="Arial Narrow" w:cstheme="minorHAnsi"/>
                <w:b/>
                <w:bCs/>
                <w:color w:val="000000"/>
                <w:sz w:val="20"/>
                <w:szCs w:val="20"/>
              </w:rPr>
            </w:pPr>
            <w:r w:rsidRPr="00EE30C8">
              <w:rPr>
                <w:rFonts w:ascii="Arial Narrow" w:hAnsi="Arial Narrow" w:cstheme="minorHAnsi"/>
                <w:b/>
                <w:bCs/>
                <w:color w:val="000000"/>
                <w:sz w:val="20"/>
                <w:szCs w:val="20"/>
              </w:rPr>
              <w:t>2016</w:t>
            </w:r>
          </w:p>
        </w:tc>
        <w:tc>
          <w:tcPr>
            <w:tcW w:w="512" w:type="pct"/>
            <w:noWrap/>
            <w:hideMark/>
          </w:tcPr>
          <w:p w:rsidR="00C44C45" w:rsidRPr="00EE30C8" w:rsidRDefault="00C44C45" w:rsidP="00323773">
            <w:pPr>
              <w:keepNext/>
              <w:keepLines/>
              <w:jc w:val="center"/>
              <w:rPr>
                <w:rFonts w:ascii="Arial Narrow" w:hAnsi="Arial Narrow" w:cstheme="minorHAnsi"/>
                <w:b/>
                <w:bCs/>
                <w:color w:val="000000"/>
                <w:sz w:val="20"/>
                <w:szCs w:val="20"/>
              </w:rPr>
            </w:pPr>
            <w:r w:rsidRPr="00EE30C8">
              <w:rPr>
                <w:rFonts w:ascii="Arial Narrow" w:hAnsi="Arial Narrow" w:cstheme="minorHAnsi"/>
                <w:b/>
                <w:bCs/>
                <w:color w:val="000000"/>
                <w:sz w:val="20"/>
                <w:szCs w:val="20"/>
              </w:rPr>
              <w:t>2017</w:t>
            </w:r>
          </w:p>
        </w:tc>
        <w:tc>
          <w:tcPr>
            <w:tcW w:w="511" w:type="pct"/>
            <w:noWrap/>
            <w:hideMark/>
          </w:tcPr>
          <w:p w:rsidR="00C44C45" w:rsidRPr="00EE30C8" w:rsidRDefault="00C44C45" w:rsidP="00323773">
            <w:pPr>
              <w:keepNext/>
              <w:keepLines/>
              <w:jc w:val="center"/>
              <w:rPr>
                <w:rFonts w:ascii="Arial Narrow" w:hAnsi="Arial Narrow" w:cstheme="minorHAnsi"/>
                <w:b/>
                <w:bCs/>
                <w:color w:val="000000"/>
                <w:sz w:val="20"/>
                <w:szCs w:val="20"/>
              </w:rPr>
            </w:pPr>
            <w:r w:rsidRPr="00EE30C8">
              <w:rPr>
                <w:rFonts w:ascii="Arial Narrow" w:hAnsi="Arial Narrow" w:cstheme="minorHAnsi"/>
                <w:b/>
                <w:bCs/>
                <w:color w:val="000000"/>
                <w:sz w:val="20"/>
                <w:szCs w:val="20"/>
              </w:rPr>
              <w:t>2018</w:t>
            </w:r>
          </w:p>
        </w:tc>
        <w:tc>
          <w:tcPr>
            <w:tcW w:w="512" w:type="pct"/>
            <w:noWrap/>
            <w:hideMark/>
          </w:tcPr>
          <w:p w:rsidR="00C44C45" w:rsidRPr="00EE30C8" w:rsidRDefault="00C44C45" w:rsidP="00323773">
            <w:pPr>
              <w:keepNext/>
              <w:keepLines/>
              <w:jc w:val="center"/>
              <w:rPr>
                <w:rFonts w:ascii="Arial Narrow" w:hAnsi="Arial Narrow" w:cstheme="minorHAnsi"/>
                <w:b/>
                <w:bCs/>
                <w:color w:val="000000"/>
                <w:sz w:val="20"/>
                <w:szCs w:val="20"/>
              </w:rPr>
            </w:pPr>
          </w:p>
        </w:tc>
      </w:tr>
      <w:tr w:rsidR="00C44C45" w:rsidRPr="00C24944" w:rsidTr="00323773">
        <w:trPr>
          <w:cantSplit/>
          <w:trHeight w:val="318"/>
        </w:trPr>
        <w:tc>
          <w:tcPr>
            <w:tcW w:w="2272" w:type="pct"/>
            <w:vMerge w:val="restart"/>
            <w:hideMark/>
          </w:tcPr>
          <w:p w:rsidR="00C44C45" w:rsidRPr="00EE30C8" w:rsidRDefault="00C44C45" w:rsidP="00323773">
            <w:pPr>
              <w:keepNext/>
              <w:keepLines/>
              <w:rPr>
                <w:rFonts w:ascii="Arial Narrow" w:hAnsi="Arial Narrow" w:cstheme="minorHAnsi"/>
                <w:b/>
                <w:bCs/>
                <w:color w:val="000000"/>
                <w:sz w:val="20"/>
                <w:szCs w:val="20"/>
              </w:rPr>
            </w:pPr>
            <w:r w:rsidRPr="00EE30C8">
              <w:rPr>
                <w:rFonts w:ascii="Arial Narrow" w:hAnsi="Arial Narrow" w:cstheme="minorHAnsi"/>
                <w:b/>
                <w:bCs/>
                <w:color w:val="000000"/>
                <w:sz w:val="20"/>
                <w:szCs w:val="20"/>
              </w:rPr>
              <w:t xml:space="preserve">10783M </w:t>
            </w:r>
          </w:p>
          <w:p w:rsidR="00C44C45" w:rsidRPr="00EE30C8" w:rsidRDefault="00C44C45" w:rsidP="00323773">
            <w:pPr>
              <w:keepNext/>
              <w:keepLines/>
              <w:rPr>
                <w:rFonts w:ascii="Arial Narrow" w:hAnsi="Arial Narrow" w:cstheme="minorHAnsi"/>
                <w:b/>
                <w:bCs/>
                <w:color w:val="000000"/>
                <w:sz w:val="20"/>
                <w:szCs w:val="20"/>
              </w:rPr>
            </w:pPr>
            <w:r w:rsidRPr="00EE30C8">
              <w:rPr>
                <w:rFonts w:ascii="Arial Narrow" w:hAnsi="Arial Narrow" w:cstheme="minorHAnsi"/>
                <w:b/>
                <w:bCs/>
                <w:color w:val="000000"/>
                <w:sz w:val="20"/>
                <w:szCs w:val="20"/>
              </w:rPr>
              <w:lastRenderedPageBreak/>
              <w:t xml:space="preserve"> (400 mcg/mL injection, 5 x 1 mL ampoules)</w:t>
            </w:r>
          </w:p>
          <w:p w:rsidR="00C44C45" w:rsidRPr="00EE30C8" w:rsidRDefault="00C44C45" w:rsidP="00323773">
            <w:pPr>
              <w:keepNext/>
              <w:keepLines/>
              <w:jc w:val="center"/>
              <w:rPr>
                <w:rFonts w:ascii="Arial Narrow" w:hAnsi="Arial Narrow" w:cstheme="minorHAnsi"/>
                <w:b/>
                <w:bCs/>
                <w:color w:val="000000"/>
                <w:sz w:val="20"/>
                <w:szCs w:val="20"/>
              </w:rPr>
            </w:pPr>
          </w:p>
        </w:tc>
        <w:tc>
          <w:tcPr>
            <w:tcW w:w="682" w:type="pct"/>
            <w:noWrap/>
            <w:hideMark/>
          </w:tcPr>
          <w:p w:rsidR="00C44C45" w:rsidRPr="00EE30C8" w:rsidRDefault="00C44C45" w:rsidP="00323773">
            <w:pPr>
              <w:keepNext/>
              <w:keepLines/>
              <w:rPr>
                <w:rFonts w:ascii="Arial Narrow" w:hAnsi="Arial Narrow" w:cstheme="minorHAnsi"/>
                <w:b/>
                <w:color w:val="000000"/>
                <w:sz w:val="20"/>
                <w:szCs w:val="20"/>
              </w:rPr>
            </w:pPr>
            <w:r w:rsidRPr="00EE30C8">
              <w:rPr>
                <w:rFonts w:ascii="Arial Narrow" w:hAnsi="Arial Narrow" w:cstheme="minorHAnsi"/>
                <w:b/>
                <w:color w:val="000000"/>
                <w:sz w:val="20"/>
                <w:szCs w:val="20"/>
              </w:rPr>
              <w:lastRenderedPageBreak/>
              <w:t>PBS + RPBS</w:t>
            </w:r>
          </w:p>
        </w:tc>
        <w:tc>
          <w:tcPr>
            <w:tcW w:w="511" w:type="pct"/>
            <w:hideMark/>
          </w:tcPr>
          <w:p w:rsidR="00C44C45" w:rsidRPr="00EE30C8" w:rsidRDefault="00C44C45" w:rsidP="00323773">
            <w:pPr>
              <w:keepNext/>
              <w:keepLines/>
              <w:jc w:val="right"/>
              <w:rPr>
                <w:rFonts w:ascii="Arial Narrow" w:hAnsi="Arial Narrow" w:cstheme="minorHAnsi"/>
                <w:color w:val="000000"/>
                <w:sz w:val="20"/>
                <w:szCs w:val="20"/>
              </w:rPr>
            </w:pPr>
            <w:r w:rsidRPr="00EE30C8">
              <w:rPr>
                <w:rFonts w:ascii="Arial Narrow" w:hAnsi="Arial Narrow" w:cstheme="minorHAnsi"/>
                <w:color w:val="000000"/>
                <w:sz w:val="20"/>
                <w:szCs w:val="20"/>
              </w:rPr>
              <w:t>22</w:t>
            </w:r>
            <w:r w:rsidR="00811423" w:rsidRPr="00EE30C8">
              <w:rPr>
                <w:rFonts w:ascii="Arial Narrow" w:hAnsi="Arial Narrow" w:cstheme="minorHAnsi"/>
                <w:color w:val="000000"/>
                <w:sz w:val="20"/>
                <w:szCs w:val="20"/>
              </w:rPr>
              <w:t>1</w:t>
            </w:r>
          </w:p>
        </w:tc>
        <w:tc>
          <w:tcPr>
            <w:tcW w:w="512" w:type="pct"/>
            <w:hideMark/>
          </w:tcPr>
          <w:p w:rsidR="00C44C45" w:rsidRPr="00EE30C8" w:rsidRDefault="00811423" w:rsidP="00323773">
            <w:pPr>
              <w:keepNext/>
              <w:keepLines/>
              <w:jc w:val="right"/>
              <w:rPr>
                <w:rFonts w:ascii="Arial Narrow" w:hAnsi="Arial Narrow" w:cstheme="minorHAnsi"/>
                <w:color w:val="000000"/>
                <w:sz w:val="20"/>
                <w:szCs w:val="20"/>
              </w:rPr>
            </w:pPr>
            <w:r w:rsidRPr="00EE30C8">
              <w:rPr>
                <w:rFonts w:ascii="Arial Narrow" w:hAnsi="Arial Narrow" w:cstheme="minorHAnsi"/>
                <w:color w:val="000000"/>
                <w:sz w:val="20"/>
                <w:szCs w:val="20"/>
              </w:rPr>
              <w:t>691</w:t>
            </w:r>
          </w:p>
        </w:tc>
        <w:tc>
          <w:tcPr>
            <w:tcW w:w="511" w:type="pct"/>
            <w:hideMark/>
          </w:tcPr>
          <w:p w:rsidR="00C44C45" w:rsidRPr="00EE30C8" w:rsidRDefault="00811423" w:rsidP="00323773">
            <w:pPr>
              <w:keepNext/>
              <w:keepLines/>
              <w:jc w:val="right"/>
              <w:rPr>
                <w:rFonts w:ascii="Arial Narrow" w:hAnsi="Arial Narrow" w:cstheme="minorHAnsi"/>
                <w:color w:val="000000"/>
                <w:sz w:val="20"/>
                <w:szCs w:val="20"/>
              </w:rPr>
            </w:pPr>
            <w:r w:rsidRPr="00EE30C8">
              <w:rPr>
                <w:rFonts w:ascii="Arial Narrow" w:hAnsi="Arial Narrow" w:cstheme="minorHAnsi"/>
                <w:color w:val="000000"/>
                <w:sz w:val="20"/>
                <w:szCs w:val="20"/>
              </w:rPr>
              <w:t>684</w:t>
            </w:r>
          </w:p>
        </w:tc>
        <w:tc>
          <w:tcPr>
            <w:tcW w:w="512" w:type="pct"/>
            <w:hideMark/>
          </w:tcPr>
          <w:p w:rsidR="00C44C45" w:rsidRPr="00EE30C8" w:rsidRDefault="00811423" w:rsidP="00323773">
            <w:pPr>
              <w:keepNext/>
              <w:keepLines/>
              <w:jc w:val="right"/>
              <w:rPr>
                <w:rFonts w:ascii="Arial Narrow" w:hAnsi="Arial Narrow" w:cstheme="minorHAnsi"/>
                <w:color w:val="000000"/>
                <w:sz w:val="20"/>
                <w:szCs w:val="20"/>
              </w:rPr>
            </w:pPr>
            <w:r w:rsidRPr="00EE30C8">
              <w:rPr>
                <w:rFonts w:ascii="Arial Narrow" w:hAnsi="Arial Narrow" w:cstheme="minorHAnsi"/>
                <w:color w:val="000000"/>
                <w:sz w:val="20"/>
                <w:szCs w:val="20"/>
              </w:rPr>
              <w:t>1,596</w:t>
            </w:r>
          </w:p>
        </w:tc>
      </w:tr>
      <w:tr w:rsidR="00C44C45" w:rsidRPr="00C24944" w:rsidTr="00323773">
        <w:trPr>
          <w:cantSplit/>
          <w:trHeight w:val="319"/>
        </w:trPr>
        <w:tc>
          <w:tcPr>
            <w:tcW w:w="2272" w:type="pct"/>
            <w:vMerge/>
            <w:hideMark/>
          </w:tcPr>
          <w:p w:rsidR="00C44C45" w:rsidRPr="00EE30C8" w:rsidRDefault="00C44C45" w:rsidP="00323773">
            <w:pPr>
              <w:keepNext/>
              <w:keepLines/>
              <w:jc w:val="center"/>
              <w:rPr>
                <w:rFonts w:ascii="Arial Narrow" w:hAnsi="Arial Narrow" w:cstheme="minorHAnsi"/>
                <w:b/>
                <w:bCs/>
                <w:color w:val="000000"/>
                <w:sz w:val="20"/>
                <w:szCs w:val="20"/>
              </w:rPr>
            </w:pPr>
          </w:p>
        </w:tc>
        <w:tc>
          <w:tcPr>
            <w:tcW w:w="682" w:type="pct"/>
            <w:noWrap/>
            <w:hideMark/>
          </w:tcPr>
          <w:p w:rsidR="00C44C45" w:rsidRPr="00EE30C8" w:rsidRDefault="00C44C45" w:rsidP="00323773">
            <w:pPr>
              <w:keepNext/>
              <w:keepLines/>
              <w:rPr>
                <w:rFonts w:ascii="Arial Narrow" w:hAnsi="Arial Narrow" w:cstheme="minorHAnsi"/>
                <w:b/>
                <w:color w:val="000000"/>
                <w:sz w:val="20"/>
                <w:szCs w:val="20"/>
              </w:rPr>
            </w:pPr>
            <w:r w:rsidRPr="00EE30C8">
              <w:rPr>
                <w:rFonts w:ascii="Arial Narrow" w:hAnsi="Arial Narrow" w:cstheme="minorHAnsi"/>
                <w:b/>
                <w:color w:val="000000"/>
                <w:sz w:val="20"/>
                <w:szCs w:val="20"/>
              </w:rPr>
              <w:t>PBS</w:t>
            </w:r>
          </w:p>
        </w:tc>
        <w:tc>
          <w:tcPr>
            <w:tcW w:w="511" w:type="pct"/>
            <w:hideMark/>
          </w:tcPr>
          <w:p w:rsidR="00C44C45" w:rsidRPr="00EE30C8" w:rsidRDefault="00C44C45" w:rsidP="00323773">
            <w:pPr>
              <w:keepNext/>
              <w:keepLines/>
              <w:jc w:val="right"/>
              <w:rPr>
                <w:rFonts w:ascii="Arial Narrow" w:hAnsi="Arial Narrow" w:cstheme="minorHAnsi"/>
                <w:color w:val="000000"/>
                <w:sz w:val="20"/>
                <w:szCs w:val="20"/>
              </w:rPr>
            </w:pPr>
            <w:r w:rsidRPr="00EE30C8">
              <w:rPr>
                <w:rFonts w:ascii="Arial Narrow" w:hAnsi="Arial Narrow" w:cstheme="minorHAnsi"/>
                <w:color w:val="000000"/>
                <w:sz w:val="20"/>
                <w:szCs w:val="20"/>
              </w:rPr>
              <w:t>220</w:t>
            </w:r>
          </w:p>
        </w:tc>
        <w:tc>
          <w:tcPr>
            <w:tcW w:w="512" w:type="pct"/>
            <w:hideMark/>
          </w:tcPr>
          <w:p w:rsidR="00C44C45" w:rsidRPr="00EE30C8" w:rsidRDefault="00C44C45" w:rsidP="00323773">
            <w:pPr>
              <w:keepNext/>
              <w:keepLines/>
              <w:jc w:val="right"/>
              <w:rPr>
                <w:rFonts w:ascii="Arial Narrow" w:hAnsi="Arial Narrow" w:cstheme="minorHAnsi"/>
                <w:color w:val="000000"/>
                <w:sz w:val="20"/>
                <w:szCs w:val="20"/>
              </w:rPr>
            </w:pPr>
            <w:r w:rsidRPr="00EE30C8">
              <w:rPr>
                <w:rFonts w:ascii="Arial Narrow" w:hAnsi="Arial Narrow" w:cstheme="minorHAnsi"/>
                <w:color w:val="000000"/>
                <w:sz w:val="20"/>
                <w:szCs w:val="20"/>
              </w:rPr>
              <w:t>673</w:t>
            </w:r>
          </w:p>
        </w:tc>
        <w:tc>
          <w:tcPr>
            <w:tcW w:w="511" w:type="pct"/>
            <w:hideMark/>
          </w:tcPr>
          <w:p w:rsidR="00C44C45" w:rsidRPr="00EE30C8" w:rsidRDefault="00C44C45" w:rsidP="00323773">
            <w:pPr>
              <w:keepNext/>
              <w:keepLines/>
              <w:jc w:val="right"/>
              <w:rPr>
                <w:rFonts w:ascii="Arial Narrow" w:hAnsi="Arial Narrow" w:cstheme="minorHAnsi"/>
                <w:color w:val="000000"/>
                <w:sz w:val="20"/>
                <w:szCs w:val="20"/>
              </w:rPr>
            </w:pPr>
            <w:r w:rsidRPr="00EE30C8">
              <w:rPr>
                <w:rFonts w:ascii="Arial Narrow" w:hAnsi="Arial Narrow" w:cstheme="minorHAnsi"/>
                <w:color w:val="000000"/>
                <w:sz w:val="20"/>
                <w:szCs w:val="20"/>
              </w:rPr>
              <w:t>675</w:t>
            </w:r>
          </w:p>
        </w:tc>
        <w:tc>
          <w:tcPr>
            <w:tcW w:w="512" w:type="pct"/>
            <w:hideMark/>
          </w:tcPr>
          <w:p w:rsidR="00C44C45" w:rsidRPr="00EE30C8" w:rsidRDefault="00C44C45" w:rsidP="00323773">
            <w:pPr>
              <w:keepNext/>
              <w:keepLines/>
              <w:jc w:val="right"/>
              <w:rPr>
                <w:rFonts w:ascii="Arial Narrow" w:hAnsi="Arial Narrow" w:cstheme="minorHAnsi"/>
                <w:color w:val="000000"/>
                <w:sz w:val="20"/>
                <w:szCs w:val="20"/>
              </w:rPr>
            </w:pPr>
            <w:r w:rsidRPr="00EE30C8">
              <w:rPr>
                <w:rFonts w:ascii="Arial Narrow" w:hAnsi="Arial Narrow" w:cstheme="minorHAnsi"/>
                <w:color w:val="000000"/>
                <w:sz w:val="20"/>
                <w:szCs w:val="20"/>
              </w:rPr>
              <w:t>1,568</w:t>
            </w:r>
          </w:p>
        </w:tc>
      </w:tr>
      <w:tr w:rsidR="00C44C45" w:rsidRPr="00C24944" w:rsidTr="00323773">
        <w:trPr>
          <w:cantSplit/>
          <w:trHeight w:val="318"/>
        </w:trPr>
        <w:tc>
          <w:tcPr>
            <w:tcW w:w="2272" w:type="pct"/>
            <w:vMerge/>
            <w:hideMark/>
          </w:tcPr>
          <w:p w:rsidR="00C44C45" w:rsidRPr="00EE30C8" w:rsidRDefault="00C44C45" w:rsidP="00323773">
            <w:pPr>
              <w:keepNext/>
              <w:keepLines/>
              <w:jc w:val="center"/>
              <w:rPr>
                <w:rFonts w:ascii="Arial Narrow" w:hAnsi="Arial Narrow" w:cstheme="minorHAnsi"/>
                <w:b/>
                <w:bCs/>
                <w:color w:val="000000"/>
                <w:sz w:val="20"/>
                <w:szCs w:val="20"/>
              </w:rPr>
            </w:pPr>
          </w:p>
        </w:tc>
        <w:tc>
          <w:tcPr>
            <w:tcW w:w="682" w:type="pct"/>
            <w:noWrap/>
            <w:hideMark/>
          </w:tcPr>
          <w:p w:rsidR="00C44C45" w:rsidRPr="00EE30C8" w:rsidRDefault="00C44C45" w:rsidP="00323773">
            <w:pPr>
              <w:keepNext/>
              <w:keepLines/>
              <w:rPr>
                <w:rFonts w:ascii="Arial Narrow" w:hAnsi="Arial Narrow" w:cstheme="minorHAnsi"/>
                <w:b/>
                <w:color w:val="000000"/>
                <w:sz w:val="20"/>
                <w:szCs w:val="20"/>
              </w:rPr>
            </w:pPr>
            <w:r w:rsidRPr="00EE30C8">
              <w:rPr>
                <w:rFonts w:ascii="Arial Narrow" w:hAnsi="Arial Narrow" w:cstheme="minorHAnsi"/>
                <w:b/>
                <w:color w:val="000000"/>
                <w:sz w:val="20"/>
                <w:szCs w:val="20"/>
              </w:rPr>
              <w:t>RPBS</w:t>
            </w:r>
          </w:p>
        </w:tc>
        <w:tc>
          <w:tcPr>
            <w:tcW w:w="511" w:type="pct"/>
            <w:hideMark/>
          </w:tcPr>
          <w:p w:rsidR="00C44C45" w:rsidRPr="00EE30C8" w:rsidRDefault="00C44C45" w:rsidP="00323773">
            <w:pPr>
              <w:keepNext/>
              <w:keepLines/>
              <w:jc w:val="right"/>
              <w:rPr>
                <w:rFonts w:ascii="Arial Narrow" w:hAnsi="Arial Narrow" w:cstheme="minorHAnsi"/>
                <w:color w:val="000000"/>
                <w:sz w:val="20"/>
                <w:szCs w:val="20"/>
              </w:rPr>
            </w:pPr>
            <w:r w:rsidRPr="00EE30C8">
              <w:rPr>
                <w:rFonts w:ascii="Arial Narrow" w:hAnsi="Arial Narrow" w:cstheme="minorHAnsi"/>
                <w:color w:val="000000"/>
                <w:sz w:val="20"/>
                <w:szCs w:val="20"/>
              </w:rPr>
              <w:t>1</w:t>
            </w:r>
          </w:p>
        </w:tc>
        <w:tc>
          <w:tcPr>
            <w:tcW w:w="512" w:type="pct"/>
            <w:hideMark/>
          </w:tcPr>
          <w:p w:rsidR="00C44C45" w:rsidRPr="00EE30C8" w:rsidRDefault="00C44C45" w:rsidP="00323773">
            <w:pPr>
              <w:keepNext/>
              <w:keepLines/>
              <w:jc w:val="right"/>
              <w:rPr>
                <w:rFonts w:ascii="Arial Narrow" w:hAnsi="Arial Narrow" w:cstheme="minorHAnsi"/>
                <w:color w:val="000000"/>
                <w:sz w:val="20"/>
                <w:szCs w:val="20"/>
              </w:rPr>
            </w:pPr>
            <w:r w:rsidRPr="00EE30C8">
              <w:rPr>
                <w:rFonts w:ascii="Arial Narrow" w:hAnsi="Arial Narrow" w:cstheme="minorHAnsi"/>
                <w:color w:val="000000"/>
                <w:sz w:val="20"/>
                <w:szCs w:val="20"/>
              </w:rPr>
              <w:t>18</w:t>
            </w:r>
          </w:p>
        </w:tc>
        <w:tc>
          <w:tcPr>
            <w:tcW w:w="511" w:type="pct"/>
            <w:hideMark/>
          </w:tcPr>
          <w:p w:rsidR="00C44C45" w:rsidRPr="00EE30C8" w:rsidRDefault="00C44C45" w:rsidP="00323773">
            <w:pPr>
              <w:keepNext/>
              <w:keepLines/>
              <w:jc w:val="right"/>
              <w:rPr>
                <w:rFonts w:ascii="Arial Narrow" w:hAnsi="Arial Narrow" w:cstheme="minorHAnsi"/>
                <w:color w:val="000000"/>
                <w:sz w:val="20"/>
                <w:szCs w:val="20"/>
              </w:rPr>
            </w:pPr>
            <w:r w:rsidRPr="00EE30C8">
              <w:rPr>
                <w:rFonts w:ascii="Arial Narrow" w:hAnsi="Arial Narrow" w:cstheme="minorHAnsi"/>
                <w:color w:val="000000"/>
                <w:sz w:val="20"/>
                <w:szCs w:val="20"/>
              </w:rPr>
              <w:t>9</w:t>
            </w:r>
          </w:p>
        </w:tc>
        <w:tc>
          <w:tcPr>
            <w:tcW w:w="512" w:type="pct"/>
            <w:hideMark/>
          </w:tcPr>
          <w:p w:rsidR="00C44C45" w:rsidRPr="00EE30C8" w:rsidRDefault="00C44C45" w:rsidP="00323773">
            <w:pPr>
              <w:keepNext/>
              <w:keepLines/>
              <w:jc w:val="right"/>
              <w:rPr>
                <w:rFonts w:ascii="Arial Narrow" w:hAnsi="Arial Narrow" w:cstheme="minorHAnsi"/>
                <w:color w:val="000000"/>
                <w:sz w:val="20"/>
                <w:szCs w:val="20"/>
              </w:rPr>
            </w:pPr>
            <w:r w:rsidRPr="00EE30C8">
              <w:rPr>
                <w:rFonts w:ascii="Arial Narrow" w:hAnsi="Arial Narrow" w:cstheme="minorHAnsi"/>
                <w:color w:val="000000"/>
                <w:sz w:val="20"/>
                <w:szCs w:val="20"/>
              </w:rPr>
              <w:t>28</w:t>
            </w:r>
          </w:p>
        </w:tc>
      </w:tr>
      <w:tr w:rsidR="00C44C45" w:rsidRPr="00C24944" w:rsidTr="00323773">
        <w:trPr>
          <w:cantSplit/>
          <w:trHeight w:val="319"/>
        </w:trPr>
        <w:tc>
          <w:tcPr>
            <w:tcW w:w="2272" w:type="pct"/>
            <w:vMerge w:val="restart"/>
            <w:hideMark/>
          </w:tcPr>
          <w:p w:rsidR="00C44C45" w:rsidRPr="00EE30C8" w:rsidRDefault="00C44C45" w:rsidP="00323773">
            <w:pPr>
              <w:keepNext/>
              <w:keepLines/>
              <w:rPr>
                <w:rFonts w:ascii="Arial Narrow" w:hAnsi="Arial Narrow" w:cstheme="minorHAnsi"/>
                <w:b/>
                <w:bCs/>
                <w:color w:val="000000"/>
                <w:sz w:val="20"/>
                <w:szCs w:val="20"/>
              </w:rPr>
            </w:pPr>
            <w:r w:rsidRPr="00EE30C8">
              <w:rPr>
                <w:rFonts w:ascii="Arial Narrow" w:hAnsi="Arial Narrow" w:cstheme="minorHAnsi"/>
                <w:b/>
                <w:bCs/>
                <w:color w:val="000000"/>
                <w:sz w:val="20"/>
                <w:szCs w:val="20"/>
              </w:rPr>
              <w:t xml:space="preserve">11078C </w:t>
            </w:r>
          </w:p>
          <w:p w:rsidR="00C44C45" w:rsidRPr="00EE30C8" w:rsidRDefault="00C44C45" w:rsidP="00323773">
            <w:pPr>
              <w:keepNext/>
              <w:keepLines/>
              <w:rPr>
                <w:rFonts w:ascii="Arial Narrow" w:hAnsi="Arial Narrow" w:cstheme="minorHAnsi"/>
                <w:b/>
                <w:bCs/>
                <w:color w:val="000000"/>
                <w:sz w:val="20"/>
                <w:szCs w:val="20"/>
              </w:rPr>
            </w:pPr>
            <w:r w:rsidRPr="00EE30C8">
              <w:rPr>
                <w:rFonts w:ascii="Arial Narrow" w:hAnsi="Arial Narrow" w:cstheme="minorHAnsi"/>
                <w:b/>
                <w:bCs/>
                <w:color w:val="000000"/>
                <w:sz w:val="20"/>
                <w:szCs w:val="20"/>
              </w:rPr>
              <w:t>(1 mg/mL injection, 2 mL syringe)</w:t>
            </w:r>
          </w:p>
          <w:p w:rsidR="00C44C45" w:rsidRPr="00EE30C8" w:rsidRDefault="00C44C45" w:rsidP="00323773">
            <w:pPr>
              <w:keepNext/>
              <w:keepLines/>
              <w:rPr>
                <w:rFonts w:ascii="Arial Narrow" w:hAnsi="Arial Narrow" w:cstheme="minorHAnsi"/>
                <w:b/>
                <w:bCs/>
                <w:color w:val="000000"/>
                <w:sz w:val="20"/>
                <w:szCs w:val="20"/>
              </w:rPr>
            </w:pPr>
            <w:r w:rsidRPr="00EE30C8">
              <w:rPr>
                <w:rFonts w:ascii="Arial Narrow" w:hAnsi="Arial Narrow" w:cstheme="minorHAnsi"/>
                <w:b/>
                <w:bCs/>
                <w:color w:val="000000"/>
                <w:sz w:val="20"/>
                <w:szCs w:val="20"/>
              </w:rPr>
              <w:t> </w:t>
            </w:r>
          </w:p>
        </w:tc>
        <w:tc>
          <w:tcPr>
            <w:tcW w:w="682" w:type="pct"/>
            <w:noWrap/>
            <w:hideMark/>
          </w:tcPr>
          <w:p w:rsidR="00C44C45" w:rsidRPr="00EE30C8" w:rsidRDefault="00C44C45" w:rsidP="00323773">
            <w:pPr>
              <w:keepNext/>
              <w:keepLines/>
              <w:rPr>
                <w:rFonts w:ascii="Arial Narrow" w:hAnsi="Arial Narrow" w:cstheme="minorHAnsi"/>
                <w:b/>
                <w:color w:val="000000"/>
                <w:sz w:val="20"/>
                <w:szCs w:val="20"/>
              </w:rPr>
            </w:pPr>
            <w:r w:rsidRPr="00EE30C8">
              <w:rPr>
                <w:rFonts w:ascii="Arial Narrow" w:hAnsi="Arial Narrow" w:cstheme="minorHAnsi"/>
                <w:b/>
                <w:color w:val="000000"/>
                <w:sz w:val="20"/>
                <w:szCs w:val="20"/>
              </w:rPr>
              <w:t>PBS + RPBS</w:t>
            </w:r>
          </w:p>
        </w:tc>
        <w:tc>
          <w:tcPr>
            <w:tcW w:w="511" w:type="pct"/>
            <w:noWrap/>
            <w:hideMark/>
          </w:tcPr>
          <w:p w:rsidR="00C44C45" w:rsidRPr="00EE30C8" w:rsidRDefault="00C44C45" w:rsidP="00323773">
            <w:pPr>
              <w:keepNext/>
              <w:keepLines/>
              <w:rPr>
                <w:rFonts w:ascii="Arial Narrow" w:hAnsi="Arial Narrow" w:cstheme="minorHAnsi"/>
                <w:color w:val="000000"/>
                <w:sz w:val="20"/>
                <w:szCs w:val="20"/>
              </w:rPr>
            </w:pPr>
            <w:r w:rsidRPr="00EE30C8">
              <w:rPr>
                <w:rFonts w:ascii="Arial Narrow" w:hAnsi="Arial Narrow" w:cstheme="minorHAnsi"/>
                <w:color w:val="000000"/>
                <w:sz w:val="20"/>
                <w:szCs w:val="20"/>
              </w:rPr>
              <w:t> </w:t>
            </w:r>
          </w:p>
        </w:tc>
        <w:tc>
          <w:tcPr>
            <w:tcW w:w="512" w:type="pct"/>
            <w:hideMark/>
          </w:tcPr>
          <w:p w:rsidR="00C44C45" w:rsidRPr="00EE30C8" w:rsidRDefault="00C44C45" w:rsidP="00323773">
            <w:pPr>
              <w:keepNext/>
              <w:keepLines/>
              <w:jc w:val="right"/>
              <w:rPr>
                <w:rFonts w:ascii="Arial Narrow" w:hAnsi="Arial Narrow" w:cstheme="minorHAnsi"/>
                <w:color w:val="000000"/>
                <w:sz w:val="20"/>
                <w:szCs w:val="20"/>
              </w:rPr>
            </w:pPr>
            <w:r w:rsidRPr="00EE30C8">
              <w:rPr>
                <w:rFonts w:ascii="Arial Narrow" w:hAnsi="Arial Narrow" w:cstheme="minorHAnsi"/>
                <w:color w:val="000000"/>
                <w:sz w:val="20"/>
                <w:szCs w:val="20"/>
              </w:rPr>
              <w:t>144</w:t>
            </w:r>
          </w:p>
        </w:tc>
        <w:tc>
          <w:tcPr>
            <w:tcW w:w="511" w:type="pct"/>
            <w:hideMark/>
          </w:tcPr>
          <w:p w:rsidR="00C44C45" w:rsidRPr="00EE30C8" w:rsidRDefault="00C44C45" w:rsidP="00323773">
            <w:pPr>
              <w:keepNext/>
              <w:keepLines/>
              <w:jc w:val="right"/>
              <w:rPr>
                <w:rFonts w:ascii="Arial Narrow" w:hAnsi="Arial Narrow" w:cstheme="minorHAnsi"/>
                <w:color w:val="000000"/>
                <w:sz w:val="20"/>
                <w:szCs w:val="20"/>
              </w:rPr>
            </w:pPr>
            <w:r w:rsidRPr="00EE30C8">
              <w:rPr>
                <w:rFonts w:ascii="Arial Narrow" w:hAnsi="Arial Narrow" w:cstheme="minorHAnsi"/>
                <w:color w:val="000000"/>
                <w:sz w:val="20"/>
                <w:szCs w:val="20"/>
              </w:rPr>
              <w:t>565</w:t>
            </w:r>
          </w:p>
        </w:tc>
        <w:tc>
          <w:tcPr>
            <w:tcW w:w="512" w:type="pct"/>
            <w:hideMark/>
          </w:tcPr>
          <w:p w:rsidR="00C44C45" w:rsidRPr="00EE30C8" w:rsidRDefault="00C44C45" w:rsidP="00323773">
            <w:pPr>
              <w:keepNext/>
              <w:keepLines/>
              <w:jc w:val="right"/>
              <w:rPr>
                <w:rFonts w:ascii="Arial Narrow" w:hAnsi="Arial Narrow" w:cstheme="minorHAnsi"/>
                <w:color w:val="000000"/>
                <w:sz w:val="20"/>
                <w:szCs w:val="20"/>
              </w:rPr>
            </w:pPr>
            <w:r w:rsidRPr="00EE30C8">
              <w:rPr>
                <w:rFonts w:ascii="Arial Narrow" w:hAnsi="Arial Narrow" w:cstheme="minorHAnsi"/>
                <w:color w:val="000000"/>
                <w:sz w:val="20"/>
                <w:szCs w:val="20"/>
              </w:rPr>
              <w:t>709</w:t>
            </w:r>
          </w:p>
        </w:tc>
      </w:tr>
      <w:tr w:rsidR="00C44C45" w:rsidRPr="00C24944" w:rsidTr="00323773">
        <w:trPr>
          <w:cantSplit/>
          <w:trHeight w:val="318"/>
        </w:trPr>
        <w:tc>
          <w:tcPr>
            <w:tcW w:w="2272" w:type="pct"/>
            <w:vMerge/>
            <w:hideMark/>
          </w:tcPr>
          <w:p w:rsidR="00C44C45" w:rsidRPr="00EE30C8" w:rsidRDefault="00C44C45" w:rsidP="00323773">
            <w:pPr>
              <w:keepNext/>
              <w:keepLines/>
              <w:jc w:val="center"/>
              <w:rPr>
                <w:rFonts w:ascii="Arial Narrow" w:hAnsi="Arial Narrow" w:cstheme="minorHAnsi"/>
                <w:b/>
                <w:bCs/>
                <w:color w:val="000000"/>
                <w:sz w:val="20"/>
                <w:szCs w:val="20"/>
              </w:rPr>
            </w:pPr>
          </w:p>
        </w:tc>
        <w:tc>
          <w:tcPr>
            <w:tcW w:w="682" w:type="pct"/>
            <w:noWrap/>
            <w:hideMark/>
          </w:tcPr>
          <w:p w:rsidR="00C44C45" w:rsidRPr="00EE30C8" w:rsidRDefault="00C44C45" w:rsidP="00323773">
            <w:pPr>
              <w:keepNext/>
              <w:keepLines/>
              <w:rPr>
                <w:rFonts w:ascii="Arial Narrow" w:hAnsi="Arial Narrow" w:cstheme="minorHAnsi"/>
                <w:b/>
                <w:color w:val="000000"/>
                <w:sz w:val="20"/>
                <w:szCs w:val="20"/>
              </w:rPr>
            </w:pPr>
            <w:r w:rsidRPr="00EE30C8">
              <w:rPr>
                <w:rFonts w:ascii="Arial Narrow" w:hAnsi="Arial Narrow" w:cstheme="minorHAnsi"/>
                <w:b/>
                <w:color w:val="000000"/>
                <w:sz w:val="20"/>
                <w:szCs w:val="20"/>
              </w:rPr>
              <w:t>PBS</w:t>
            </w:r>
          </w:p>
        </w:tc>
        <w:tc>
          <w:tcPr>
            <w:tcW w:w="511" w:type="pct"/>
            <w:noWrap/>
            <w:hideMark/>
          </w:tcPr>
          <w:p w:rsidR="00C44C45" w:rsidRPr="00EE30C8" w:rsidRDefault="00C44C45" w:rsidP="00323773">
            <w:pPr>
              <w:keepNext/>
              <w:keepLines/>
              <w:rPr>
                <w:rFonts w:ascii="Arial Narrow" w:hAnsi="Arial Narrow" w:cstheme="minorHAnsi"/>
                <w:color w:val="000000"/>
                <w:sz w:val="20"/>
                <w:szCs w:val="20"/>
              </w:rPr>
            </w:pPr>
            <w:r w:rsidRPr="00EE30C8">
              <w:rPr>
                <w:rFonts w:ascii="Arial Narrow" w:hAnsi="Arial Narrow" w:cstheme="minorHAnsi"/>
                <w:color w:val="000000"/>
                <w:sz w:val="20"/>
                <w:szCs w:val="20"/>
              </w:rPr>
              <w:t> </w:t>
            </w:r>
          </w:p>
        </w:tc>
        <w:tc>
          <w:tcPr>
            <w:tcW w:w="512" w:type="pct"/>
            <w:hideMark/>
          </w:tcPr>
          <w:p w:rsidR="00C44C45" w:rsidRPr="00EE30C8" w:rsidRDefault="00C44C45" w:rsidP="00323773">
            <w:pPr>
              <w:keepNext/>
              <w:keepLines/>
              <w:jc w:val="right"/>
              <w:rPr>
                <w:rFonts w:ascii="Arial Narrow" w:hAnsi="Arial Narrow" w:cstheme="minorHAnsi"/>
                <w:color w:val="000000"/>
                <w:sz w:val="20"/>
                <w:szCs w:val="20"/>
              </w:rPr>
            </w:pPr>
            <w:r w:rsidRPr="00EE30C8">
              <w:rPr>
                <w:rFonts w:ascii="Arial Narrow" w:hAnsi="Arial Narrow" w:cstheme="minorHAnsi"/>
                <w:color w:val="000000"/>
                <w:sz w:val="20"/>
                <w:szCs w:val="20"/>
              </w:rPr>
              <w:t>143</w:t>
            </w:r>
          </w:p>
        </w:tc>
        <w:tc>
          <w:tcPr>
            <w:tcW w:w="511" w:type="pct"/>
            <w:hideMark/>
          </w:tcPr>
          <w:p w:rsidR="00C44C45" w:rsidRPr="00EE30C8" w:rsidRDefault="00C44C45" w:rsidP="00323773">
            <w:pPr>
              <w:keepNext/>
              <w:keepLines/>
              <w:jc w:val="right"/>
              <w:rPr>
                <w:rFonts w:ascii="Arial Narrow" w:hAnsi="Arial Narrow" w:cstheme="minorHAnsi"/>
                <w:color w:val="000000"/>
                <w:sz w:val="20"/>
                <w:szCs w:val="20"/>
              </w:rPr>
            </w:pPr>
            <w:r w:rsidRPr="00EE30C8">
              <w:rPr>
                <w:rFonts w:ascii="Arial Narrow" w:hAnsi="Arial Narrow" w:cstheme="minorHAnsi"/>
                <w:color w:val="000000"/>
                <w:sz w:val="20"/>
                <w:szCs w:val="20"/>
              </w:rPr>
              <w:t>562</w:t>
            </w:r>
          </w:p>
        </w:tc>
        <w:tc>
          <w:tcPr>
            <w:tcW w:w="512" w:type="pct"/>
            <w:hideMark/>
          </w:tcPr>
          <w:p w:rsidR="00C44C45" w:rsidRPr="00EE30C8" w:rsidRDefault="00C44C45" w:rsidP="00323773">
            <w:pPr>
              <w:keepNext/>
              <w:keepLines/>
              <w:jc w:val="right"/>
              <w:rPr>
                <w:rFonts w:ascii="Arial Narrow" w:hAnsi="Arial Narrow" w:cstheme="minorHAnsi"/>
                <w:color w:val="000000"/>
                <w:sz w:val="20"/>
                <w:szCs w:val="20"/>
              </w:rPr>
            </w:pPr>
            <w:r w:rsidRPr="00EE30C8">
              <w:rPr>
                <w:rFonts w:ascii="Arial Narrow" w:hAnsi="Arial Narrow" w:cstheme="minorHAnsi"/>
                <w:color w:val="000000"/>
                <w:sz w:val="20"/>
                <w:szCs w:val="20"/>
              </w:rPr>
              <w:t>705</w:t>
            </w:r>
          </w:p>
        </w:tc>
      </w:tr>
      <w:tr w:rsidR="00C44C45" w:rsidRPr="00C24944" w:rsidTr="00323773">
        <w:trPr>
          <w:cantSplit/>
          <w:trHeight w:val="319"/>
        </w:trPr>
        <w:tc>
          <w:tcPr>
            <w:tcW w:w="2272" w:type="pct"/>
            <w:vMerge/>
            <w:hideMark/>
          </w:tcPr>
          <w:p w:rsidR="00C44C45" w:rsidRPr="00EE30C8" w:rsidRDefault="00C44C45" w:rsidP="00323773">
            <w:pPr>
              <w:keepNext/>
              <w:keepLines/>
              <w:jc w:val="center"/>
              <w:rPr>
                <w:rFonts w:ascii="Arial Narrow" w:hAnsi="Arial Narrow" w:cstheme="minorHAnsi"/>
                <w:b/>
                <w:bCs/>
                <w:color w:val="000000"/>
                <w:sz w:val="20"/>
                <w:szCs w:val="20"/>
              </w:rPr>
            </w:pPr>
          </w:p>
        </w:tc>
        <w:tc>
          <w:tcPr>
            <w:tcW w:w="682" w:type="pct"/>
            <w:noWrap/>
            <w:hideMark/>
          </w:tcPr>
          <w:p w:rsidR="00C44C45" w:rsidRPr="00EE30C8" w:rsidRDefault="00C44C45" w:rsidP="00323773">
            <w:pPr>
              <w:keepNext/>
              <w:keepLines/>
              <w:rPr>
                <w:rFonts w:ascii="Arial Narrow" w:hAnsi="Arial Narrow" w:cstheme="minorHAnsi"/>
                <w:b/>
                <w:color w:val="000000"/>
                <w:sz w:val="20"/>
                <w:szCs w:val="20"/>
              </w:rPr>
            </w:pPr>
            <w:r w:rsidRPr="00EE30C8">
              <w:rPr>
                <w:rFonts w:ascii="Arial Narrow" w:hAnsi="Arial Narrow" w:cstheme="minorHAnsi"/>
                <w:b/>
                <w:color w:val="000000"/>
                <w:sz w:val="20"/>
                <w:szCs w:val="20"/>
              </w:rPr>
              <w:t>RPBS</w:t>
            </w:r>
          </w:p>
        </w:tc>
        <w:tc>
          <w:tcPr>
            <w:tcW w:w="511" w:type="pct"/>
            <w:noWrap/>
            <w:hideMark/>
          </w:tcPr>
          <w:p w:rsidR="00C44C45" w:rsidRPr="00EE30C8" w:rsidRDefault="00C44C45" w:rsidP="00323773">
            <w:pPr>
              <w:keepNext/>
              <w:keepLines/>
              <w:rPr>
                <w:rFonts w:ascii="Arial Narrow" w:hAnsi="Arial Narrow" w:cstheme="minorHAnsi"/>
                <w:color w:val="000000"/>
                <w:sz w:val="20"/>
                <w:szCs w:val="20"/>
              </w:rPr>
            </w:pPr>
            <w:r w:rsidRPr="00EE30C8">
              <w:rPr>
                <w:rFonts w:ascii="Arial Narrow" w:hAnsi="Arial Narrow" w:cstheme="minorHAnsi"/>
                <w:color w:val="000000"/>
                <w:sz w:val="20"/>
                <w:szCs w:val="20"/>
              </w:rPr>
              <w:t> </w:t>
            </w:r>
          </w:p>
        </w:tc>
        <w:tc>
          <w:tcPr>
            <w:tcW w:w="512" w:type="pct"/>
            <w:hideMark/>
          </w:tcPr>
          <w:p w:rsidR="00C44C45" w:rsidRPr="00EE30C8" w:rsidRDefault="00C44C45" w:rsidP="00323773">
            <w:pPr>
              <w:keepNext/>
              <w:keepLines/>
              <w:jc w:val="right"/>
              <w:rPr>
                <w:rFonts w:ascii="Arial Narrow" w:hAnsi="Arial Narrow" w:cstheme="minorHAnsi"/>
                <w:color w:val="000000"/>
                <w:sz w:val="20"/>
                <w:szCs w:val="20"/>
              </w:rPr>
            </w:pPr>
            <w:r w:rsidRPr="00EE30C8">
              <w:rPr>
                <w:rFonts w:ascii="Arial Narrow" w:hAnsi="Arial Narrow" w:cstheme="minorHAnsi"/>
                <w:color w:val="000000"/>
                <w:sz w:val="20"/>
                <w:szCs w:val="20"/>
              </w:rPr>
              <w:t>1</w:t>
            </w:r>
          </w:p>
        </w:tc>
        <w:tc>
          <w:tcPr>
            <w:tcW w:w="511" w:type="pct"/>
            <w:hideMark/>
          </w:tcPr>
          <w:p w:rsidR="00C44C45" w:rsidRPr="00EE30C8" w:rsidRDefault="00C44C45" w:rsidP="00323773">
            <w:pPr>
              <w:keepNext/>
              <w:keepLines/>
              <w:jc w:val="right"/>
              <w:rPr>
                <w:rFonts w:ascii="Arial Narrow" w:hAnsi="Arial Narrow" w:cstheme="minorHAnsi"/>
                <w:color w:val="000000"/>
                <w:sz w:val="20"/>
                <w:szCs w:val="20"/>
              </w:rPr>
            </w:pPr>
            <w:r w:rsidRPr="00EE30C8">
              <w:rPr>
                <w:rFonts w:ascii="Arial Narrow" w:hAnsi="Arial Narrow" w:cstheme="minorHAnsi"/>
                <w:color w:val="000000"/>
                <w:sz w:val="20"/>
                <w:szCs w:val="20"/>
              </w:rPr>
              <w:t>3</w:t>
            </w:r>
          </w:p>
        </w:tc>
        <w:tc>
          <w:tcPr>
            <w:tcW w:w="512" w:type="pct"/>
            <w:hideMark/>
          </w:tcPr>
          <w:p w:rsidR="00C44C45" w:rsidRPr="00EE30C8" w:rsidRDefault="00C44C45" w:rsidP="00323773">
            <w:pPr>
              <w:keepNext/>
              <w:keepLines/>
              <w:jc w:val="right"/>
              <w:rPr>
                <w:rFonts w:ascii="Arial Narrow" w:hAnsi="Arial Narrow" w:cstheme="minorHAnsi"/>
                <w:color w:val="000000"/>
                <w:sz w:val="20"/>
                <w:szCs w:val="20"/>
              </w:rPr>
            </w:pPr>
            <w:r w:rsidRPr="00EE30C8">
              <w:rPr>
                <w:rFonts w:ascii="Arial Narrow" w:hAnsi="Arial Narrow" w:cstheme="minorHAnsi"/>
                <w:color w:val="000000"/>
                <w:sz w:val="20"/>
                <w:szCs w:val="20"/>
              </w:rPr>
              <w:t>4</w:t>
            </w:r>
          </w:p>
        </w:tc>
      </w:tr>
      <w:tr w:rsidR="00C44C45" w:rsidRPr="00C24944" w:rsidTr="00323773">
        <w:trPr>
          <w:cantSplit/>
          <w:trHeight w:val="319"/>
        </w:trPr>
        <w:tc>
          <w:tcPr>
            <w:tcW w:w="2272" w:type="pct"/>
            <w:hideMark/>
          </w:tcPr>
          <w:p w:rsidR="00C44C45" w:rsidRPr="00EE30C8" w:rsidRDefault="00C44C45" w:rsidP="00323773">
            <w:pPr>
              <w:keepNext/>
              <w:keepLines/>
              <w:rPr>
                <w:rFonts w:ascii="Arial Narrow" w:hAnsi="Arial Narrow" w:cstheme="minorHAnsi"/>
                <w:b/>
                <w:bCs/>
                <w:color w:val="000000"/>
                <w:sz w:val="20"/>
                <w:szCs w:val="20"/>
              </w:rPr>
            </w:pPr>
            <w:r w:rsidRPr="00EE30C8">
              <w:rPr>
                <w:rFonts w:ascii="Arial Narrow" w:hAnsi="Arial Narrow" w:cstheme="minorHAnsi"/>
                <w:b/>
                <w:bCs/>
                <w:color w:val="000000"/>
                <w:sz w:val="20"/>
                <w:szCs w:val="20"/>
              </w:rPr>
              <w:t>Total</w:t>
            </w:r>
          </w:p>
        </w:tc>
        <w:tc>
          <w:tcPr>
            <w:tcW w:w="682" w:type="pct"/>
            <w:noWrap/>
            <w:hideMark/>
          </w:tcPr>
          <w:p w:rsidR="00C44C45" w:rsidRPr="00EE30C8" w:rsidRDefault="00C44C45" w:rsidP="00323773">
            <w:pPr>
              <w:keepNext/>
              <w:keepLines/>
              <w:rPr>
                <w:rFonts w:ascii="Arial Narrow" w:hAnsi="Arial Narrow" w:cstheme="minorHAnsi"/>
                <w:b/>
                <w:color w:val="000000"/>
                <w:sz w:val="20"/>
                <w:szCs w:val="20"/>
              </w:rPr>
            </w:pPr>
            <w:r w:rsidRPr="00EE30C8">
              <w:rPr>
                <w:rFonts w:ascii="Arial Narrow" w:hAnsi="Arial Narrow" w:cstheme="minorHAnsi"/>
                <w:b/>
                <w:color w:val="000000"/>
                <w:sz w:val="20"/>
                <w:szCs w:val="20"/>
              </w:rPr>
              <w:t>Total</w:t>
            </w:r>
          </w:p>
        </w:tc>
        <w:tc>
          <w:tcPr>
            <w:tcW w:w="511" w:type="pct"/>
            <w:hideMark/>
          </w:tcPr>
          <w:p w:rsidR="00C44C45" w:rsidRPr="00EE30C8" w:rsidRDefault="00C44C45" w:rsidP="00323773">
            <w:pPr>
              <w:keepNext/>
              <w:keepLines/>
              <w:jc w:val="right"/>
              <w:rPr>
                <w:rFonts w:ascii="Arial Narrow" w:hAnsi="Arial Narrow" w:cstheme="minorHAnsi"/>
                <w:b/>
                <w:color w:val="000000"/>
                <w:sz w:val="20"/>
                <w:szCs w:val="20"/>
              </w:rPr>
            </w:pPr>
            <w:r w:rsidRPr="00EE30C8">
              <w:rPr>
                <w:rFonts w:ascii="Arial Narrow" w:hAnsi="Arial Narrow" w:cstheme="minorHAnsi"/>
                <w:b/>
                <w:color w:val="000000"/>
                <w:sz w:val="20"/>
                <w:szCs w:val="20"/>
              </w:rPr>
              <w:t>220</w:t>
            </w:r>
          </w:p>
        </w:tc>
        <w:tc>
          <w:tcPr>
            <w:tcW w:w="512" w:type="pct"/>
            <w:hideMark/>
          </w:tcPr>
          <w:p w:rsidR="00C44C45" w:rsidRPr="00EE30C8" w:rsidRDefault="00C44C45" w:rsidP="00323773">
            <w:pPr>
              <w:keepNext/>
              <w:keepLines/>
              <w:jc w:val="right"/>
              <w:rPr>
                <w:rFonts w:ascii="Arial Narrow" w:hAnsi="Arial Narrow" w:cstheme="minorHAnsi"/>
                <w:b/>
                <w:color w:val="000000"/>
                <w:sz w:val="20"/>
                <w:szCs w:val="20"/>
              </w:rPr>
            </w:pPr>
            <w:r w:rsidRPr="00EE30C8">
              <w:rPr>
                <w:rFonts w:ascii="Arial Narrow" w:hAnsi="Arial Narrow" w:cstheme="minorHAnsi"/>
                <w:b/>
                <w:color w:val="000000"/>
                <w:sz w:val="20"/>
                <w:szCs w:val="20"/>
              </w:rPr>
              <w:t>817</w:t>
            </w:r>
          </w:p>
        </w:tc>
        <w:tc>
          <w:tcPr>
            <w:tcW w:w="511" w:type="pct"/>
            <w:hideMark/>
          </w:tcPr>
          <w:p w:rsidR="00C44C45" w:rsidRPr="00EE30C8" w:rsidRDefault="00C44C45" w:rsidP="00323773">
            <w:pPr>
              <w:keepNext/>
              <w:keepLines/>
              <w:jc w:val="right"/>
              <w:rPr>
                <w:rFonts w:ascii="Arial Narrow" w:hAnsi="Arial Narrow" w:cstheme="minorHAnsi"/>
                <w:b/>
                <w:color w:val="000000"/>
                <w:sz w:val="20"/>
                <w:szCs w:val="20"/>
              </w:rPr>
            </w:pPr>
            <w:r w:rsidRPr="00EE30C8">
              <w:rPr>
                <w:rFonts w:ascii="Arial Narrow" w:hAnsi="Arial Narrow" w:cstheme="minorHAnsi"/>
                <w:b/>
                <w:color w:val="000000"/>
                <w:sz w:val="20"/>
                <w:szCs w:val="20"/>
              </w:rPr>
              <w:t>1240</w:t>
            </w:r>
          </w:p>
        </w:tc>
        <w:tc>
          <w:tcPr>
            <w:tcW w:w="512" w:type="pct"/>
            <w:hideMark/>
          </w:tcPr>
          <w:p w:rsidR="00C44C45" w:rsidRPr="00EE30C8" w:rsidRDefault="00C44C45" w:rsidP="00323773">
            <w:pPr>
              <w:keepNext/>
              <w:keepLines/>
              <w:jc w:val="right"/>
              <w:rPr>
                <w:rFonts w:ascii="Arial Narrow" w:hAnsi="Arial Narrow" w:cstheme="minorHAnsi"/>
                <w:b/>
                <w:color w:val="000000"/>
                <w:sz w:val="20"/>
                <w:szCs w:val="20"/>
              </w:rPr>
            </w:pPr>
            <w:r w:rsidRPr="00EE30C8">
              <w:rPr>
                <w:rFonts w:ascii="Arial Narrow" w:hAnsi="Arial Narrow" w:cstheme="minorHAnsi"/>
                <w:b/>
                <w:color w:val="000000"/>
                <w:sz w:val="20"/>
                <w:szCs w:val="20"/>
              </w:rPr>
              <w:t>2277</w:t>
            </w:r>
          </w:p>
        </w:tc>
      </w:tr>
    </w:tbl>
    <w:p w:rsidR="002204F5" w:rsidRPr="00C24944" w:rsidRDefault="00A955F9" w:rsidP="003807C4">
      <w:pPr>
        <w:pStyle w:val="ListParagraph"/>
        <w:widowControl/>
        <w:numPr>
          <w:ilvl w:val="1"/>
          <w:numId w:val="14"/>
        </w:numPr>
        <w:spacing w:before="120" w:after="160"/>
        <w:contextualSpacing w:val="0"/>
        <w:rPr>
          <w:rFonts w:asciiTheme="minorHAnsi" w:eastAsiaTheme="minorHAnsi" w:hAnsiTheme="minorHAnsi" w:cstheme="minorHAnsi"/>
          <w:snapToGrid/>
          <w:sz w:val="24"/>
          <w:szCs w:val="22"/>
        </w:rPr>
      </w:pPr>
      <w:r w:rsidRPr="00C24944">
        <w:rPr>
          <w:rFonts w:asciiTheme="minorHAnsi" w:eastAsiaTheme="minorHAnsi" w:hAnsiTheme="minorHAnsi" w:cstheme="minorHAnsi"/>
          <w:snapToGrid/>
          <w:sz w:val="24"/>
          <w:szCs w:val="22"/>
        </w:rPr>
        <w:t>The submission note</w:t>
      </w:r>
      <w:r w:rsidR="002204F5" w:rsidRPr="00C24944">
        <w:rPr>
          <w:rFonts w:asciiTheme="minorHAnsi" w:eastAsiaTheme="minorHAnsi" w:hAnsiTheme="minorHAnsi" w:cstheme="minorHAnsi"/>
          <w:snapToGrid/>
          <w:sz w:val="24"/>
          <w:szCs w:val="22"/>
        </w:rPr>
        <w:t>d</w:t>
      </w:r>
      <w:r w:rsidRPr="00C24944">
        <w:rPr>
          <w:rFonts w:asciiTheme="minorHAnsi" w:eastAsiaTheme="minorHAnsi" w:hAnsiTheme="minorHAnsi" w:cstheme="minorHAnsi"/>
          <w:snapToGrid/>
          <w:sz w:val="24"/>
          <w:szCs w:val="22"/>
        </w:rPr>
        <w:t xml:space="preserve"> i</w:t>
      </w:r>
      <w:r w:rsidR="00AA29E6" w:rsidRPr="00C24944">
        <w:rPr>
          <w:rFonts w:asciiTheme="minorHAnsi" w:eastAsiaTheme="minorHAnsi" w:hAnsiTheme="minorHAnsi" w:cstheme="minorHAnsi"/>
          <w:snapToGrid/>
          <w:sz w:val="24"/>
          <w:szCs w:val="22"/>
        </w:rPr>
        <w:t xml:space="preserve">njectable presentations </w:t>
      </w:r>
      <w:r w:rsidR="00C44C45" w:rsidRPr="00C24944">
        <w:rPr>
          <w:rFonts w:asciiTheme="minorHAnsi" w:eastAsiaTheme="minorHAnsi" w:hAnsiTheme="minorHAnsi" w:cstheme="minorHAnsi"/>
          <w:snapToGrid/>
          <w:sz w:val="24"/>
          <w:szCs w:val="22"/>
        </w:rPr>
        <w:t xml:space="preserve">may </w:t>
      </w:r>
      <w:r w:rsidR="00FE7150" w:rsidRPr="00C24944">
        <w:rPr>
          <w:rFonts w:asciiTheme="minorHAnsi" w:eastAsiaTheme="minorHAnsi" w:hAnsiTheme="minorHAnsi" w:cstheme="minorHAnsi"/>
          <w:snapToGrid/>
          <w:sz w:val="24"/>
          <w:szCs w:val="22"/>
        </w:rPr>
        <w:t>pose several issues</w:t>
      </w:r>
      <w:r w:rsidR="00C44C45" w:rsidRPr="00C24944">
        <w:rPr>
          <w:rFonts w:asciiTheme="minorHAnsi" w:eastAsiaTheme="minorHAnsi" w:hAnsiTheme="minorHAnsi" w:cstheme="minorHAnsi"/>
          <w:snapToGrid/>
          <w:sz w:val="24"/>
          <w:szCs w:val="22"/>
        </w:rPr>
        <w:t xml:space="preserve"> including</w:t>
      </w:r>
      <w:r w:rsidRPr="00C24944">
        <w:rPr>
          <w:rFonts w:asciiTheme="minorHAnsi" w:eastAsiaTheme="minorHAnsi" w:hAnsiTheme="minorHAnsi" w:cstheme="minorHAnsi"/>
          <w:snapToGrid/>
          <w:sz w:val="24"/>
          <w:szCs w:val="22"/>
        </w:rPr>
        <w:t>:</w:t>
      </w:r>
      <w:r w:rsidR="00C44C45" w:rsidRPr="00C24944">
        <w:rPr>
          <w:rFonts w:asciiTheme="minorHAnsi" w:eastAsiaTheme="minorHAnsi" w:hAnsiTheme="minorHAnsi" w:cstheme="minorHAnsi"/>
          <w:snapToGrid/>
          <w:sz w:val="24"/>
          <w:szCs w:val="22"/>
        </w:rPr>
        <w:t xml:space="preserve"> </w:t>
      </w:r>
      <w:r w:rsidR="00AA29E6" w:rsidRPr="00C24944">
        <w:rPr>
          <w:rFonts w:asciiTheme="minorHAnsi" w:eastAsiaTheme="minorHAnsi" w:hAnsiTheme="minorHAnsi" w:cstheme="minorHAnsi"/>
          <w:snapToGrid/>
          <w:sz w:val="24"/>
          <w:szCs w:val="22"/>
        </w:rPr>
        <w:t>the person administering the drug requires training</w:t>
      </w:r>
      <w:r w:rsidR="00175018" w:rsidRPr="00C24944">
        <w:rPr>
          <w:rFonts w:asciiTheme="minorHAnsi" w:eastAsiaTheme="minorHAnsi" w:hAnsiTheme="minorHAnsi" w:cstheme="minorHAnsi"/>
          <w:snapToGrid/>
          <w:sz w:val="24"/>
          <w:szCs w:val="22"/>
        </w:rPr>
        <w:t>;</w:t>
      </w:r>
      <w:r w:rsidR="00AA29E6" w:rsidRPr="00C24944">
        <w:rPr>
          <w:rFonts w:asciiTheme="minorHAnsi" w:eastAsiaTheme="minorHAnsi" w:hAnsiTheme="minorHAnsi" w:cstheme="minorHAnsi"/>
          <w:snapToGrid/>
          <w:sz w:val="24"/>
          <w:szCs w:val="22"/>
        </w:rPr>
        <w:t xml:space="preserve"> </w:t>
      </w:r>
      <w:r w:rsidR="000A7171" w:rsidRPr="00C24944">
        <w:rPr>
          <w:rFonts w:asciiTheme="minorHAnsi" w:eastAsiaTheme="minorHAnsi" w:hAnsiTheme="minorHAnsi" w:cstheme="minorHAnsi"/>
          <w:snapToGrid/>
          <w:sz w:val="24"/>
          <w:szCs w:val="22"/>
        </w:rPr>
        <w:t xml:space="preserve">some </w:t>
      </w:r>
      <w:r w:rsidR="00AA29E6" w:rsidRPr="00C24944">
        <w:rPr>
          <w:rFonts w:asciiTheme="minorHAnsi" w:eastAsiaTheme="minorHAnsi" w:hAnsiTheme="minorHAnsi" w:cstheme="minorHAnsi"/>
          <w:snapToGrid/>
          <w:sz w:val="24"/>
          <w:szCs w:val="22"/>
        </w:rPr>
        <w:t xml:space="preserve">pharmacists </w:t>
      </w:r>
      <w:r w:rsidR="000A7171" w:rsidRPr="00C24944">
        <w:rPr>
          <w:rFonts w:asciiTheme="minorHAnsi" w:eastAsiaTheme="minorHAnsi" w:hAnsiTheme="minorHAnsi" w:cstheme="minorHAnsi"/>
          <w:snapToGrid/>
          <w:sz w:val="24"/>
          <w:szCs w:val="22"/>
        </w:rPr>
        <w:t>may be</w:t>
      </w:r>
      <w:r w:rsidR="00AA29E6" w:rsidRPr="00C24944">
        <w:rPr>
          <w:rFonts w:asciiTheme="minorHAnsi" w:eastAsiaTheme="minorHAnsi" w:hAnsiTheme="minorHAnsi" w:cstheme="minorHAnsi"/>
          <w:snapToGrid/>
          <w:sz w:val="24"/>
          <w:szCs w:val="22"/>
        </w:rPr>
        <w:t xml:space="preserve"> reluctant to supply</w:t>
      </w:r>
      <w:r w:rsidR="005844B7" w:rsidRPr="00C24944">
        <w:rPr>
          <w:rFonts w:asciiTheme="minorHAnsi" w:eastAsiaTheme="minorHAnsi" w:hAnsiTheme="minorHAnsi" w:cstheme="minorHAnsi"/>
          <w:snapToGrid/>
          <w:sz w:val="24"/>
          <w:szCs w:val="22"/>
        </w:rPr>
        <w:t xml:space="preserve"> over the counter</w:t>
      </w:r>
      <w:r w:rsidR="00175018" w:rsidRPr="00C24944">
        <w:rPr>
          <w:rFonts w:asciiTheme="minorHAnsi" w:eastAsiaTheme="minorHAnsi" w:hAnsiTheme="minorHAnsi" w:cstheme="minorHAnsi"/>
          <w:snapToGrid/>
          <w:sz w:val="24"/>
          <w:szCs w:val="22"/>
        </w:rPr>
        <w:t>;</w:t>
      </w:r>
      <w:r w:rsidR="000A7171" w:rsidRPr="00C24944">
        <w:rPr>
          <w:rFonts w:asciiTheme="minorHAnsi" w:eastAsiaTheme="minorHAnsi" w:hAnsiTheme="minorHAnsi" w:cstheme="minorHAnsi"/>
          <w:snapToGrid/>
          <w:sz w:val="24"/>
          <w:szCs w:val="22"/>
        </w:rPr>
        <w:t xml:space="preserve"> and there have been recent supply </w:t>
      </w:r>
      <w:r w:rsidR="00C44C45" w:rsidRPr="00C24944">
        <w:rPr>
          <w:rFonts w:asciiTheme="minorHAnsi" w:eastAsiaTheme="minorHAnsi" w:hAnsiTheme="minorHAnsi" w:cstheme="minorHAnsi"/>
          <w:snapToGrid/>
          <w:sz w:val="24"/>
          <w:szCs w:val="22"/>
        </w:rPr>
        <w:t xml:space="preserve">availability </w:t>
      </w:r>
      <w:r w:rsidR="000A7171" w:rsidRPr="00C24944">
        <w:rPr>
          <w:rFonts w:asciiTheme="minorHAnsi" w:eastAsiaTheme="minorHAnsi" w:hAnsiTheme="minorHAnsi" w:cstheme="minorHAnsi"/>
          <w:snapToGrid/>
          <w:sz w:val="24"/>
          <w:szCs w:val="22"/>
        </w:rPr>
        <w:t>issues with the IM formulation</w:t>
      </w:r>
      <w:r w:rsidR="00AA29E6" w:rsidRPr="00C24944">
        <w:rPr>
          <w:rFonts w:asciiTheme="minorHAnsi" w:eastAsiaTheme="minorHAnsi" w:hAnsiTheme="minorHAnsi" w:cstheme="minorHAnsi"/>
          <w:snapToGrid/>
          <w:sz w:val="24"/>
          <w:szCs w:val="22"/>
        </w:rPr>
        <w:t>.</w:t>
      </w:r>
    </w:p>
    <w:p w:rsidR="00EE30C8" w:rsidRDefault="00756BB1" w:rsidP="00256590">
      <w:pPr>
        <w:pStyle w:val="ListParagraph"/>
        <w:widowControl/>
        <w:spacing w:before="120" w:after="160"/>
        <w:contextualSpacing w:val="0"/>
        <w:rPr>
          <w:rFonts w:asciiTheme="minorHAnsi" w:eastAsiaTheme="minorHAnsi" w:hAnsiTheme="minorHAnsi" w:cstheme="minorHAnsi"/>
          <w:i/>
          <w:snapToGrid/>
          <w:sz w:val="24"/>
          <w:szCs w:val="22"/>
        </w:rPr>
      </w:pPr>
      <w:r w:rsidRPr="00C24944">
        <w:rPr>
          <w:rFonts w:asciiTheme="minorHAnsi" w:eastAsiaTheme="minorHAnsi" w:hAnsiTheme="minorHAnsi" w:cstheme="minorHAnsi"/>
          <w:i/>
          <w:snapToGrid/>
          <w:sz w:val="24"/>
          <w:szCs w:val="22"/>
        </w:rPr>
        <w:t>For more detail on PBAC’s view, see section 7 PBAC outcome.</w:t>
      </w:r>
    </w:p>
    <w:p w:rsidR="005A3173" w:rsidRPr="00C24944" w:rsidRDefault="00EE30C8" w:rsidP="00323773">
      <w:pPr>
        <w:pStyle w:val="PBACHeading1"/>
        <w:spacing w:before="240" w:after="120"/>
        <w:ind w:left="709" w:hanging="709"/>
        <w:rPr>
          <w:rFonts w:asciiTheme="minorHAnsi" w:hAnsiTheme="minorHAnsi" w:cstheme="minorHAnsi"/>
          <w:sz w:val="32"/>
          <w:szCs w:val="32"/>
        </w:rPr>
      </w:pPr>
      <w:r>
        <w:rPr>
          <w:rFonts w:asciiTheme="minorHAnsi" w:eastAsiaTheme="minorHAnsi" w:hAnsiTheme="minorHAnsi" w:cstheme="minorHAnsi"/>
          <w:i/>
        </w:rPr>
        <w:br w:type="page"/>
      </w:r>
      <w:r w:rsidR="005A3173" w:rsidRPr="00C24944">
        <w:rPr>
          <w:rFonts w:asciiTheme="minorHAnsi" w:hAnsiTheme="minorHAnsi" w:cstheme="minorHAnsi"/>
          <w:sz w:val="32"/>
          <w:szCs w:val="32"/>
        </w:rPr>
        <w:lastRenderedPageBreak/>
        <w:t>Comparator</w:t>
      </w:r>
    </w:p>
    <w:p w:rsidR="002204F5" w:rsidRPr="00C24944" w:rsidRDefault="00FF2801" w:rsidP="00D23307">
      <w:pPr>
        <w:pStyle w:val="ListParagraph"/>
        <w:widowControl/>
        <w:numPr>
          <w:ilvl w:val="1"/>
          <w:numId w:val="14"/>
        </w:numPr>
        <w:spacing w:before="120" w:after="120"/>
        <w:rPr>
          <w:rFonts w:asciiTheme="minorHAnsi" w:eastAsiaTheme="minorHAnsi" w:hAnsiTheme="minorHAnsi" w:cstheme="minorHAnsi"/>
          <w:snapToGrid/>
          <w:sz w:val="24"/>
          <w:szCs w:val="24"/>
        </w:rPr>
      </w:pPr>
      <w:r w:rsidRPr="00C24944">
        <w:rPr>
          <w:rFonts w:asciiTheme="minorHAnsi" w:eastAsiaTheme="minorHAnsi" w:hAnsiTheme="minorHAnsi" w:cstheme="minorHAnsi"/>
          <w:snapToGrid/>
          <w:sz w:val="24"/>
          <w:szCs w:val="24"/>
        </w:rPr>
        <w:t>The minor submission nominated</w:t>
      </w:r>
      <w:r w:rsidR="00BA51D1" w:rsidRPr="00C24944">
        <w:rPr>
          <w:rFonts w:asciiTheme="minorHAnsi" w:eastAsiaTheme="minorHAnsi" w:hAnsiTheme="minorHAnsi" w:cstheme="minorHAnsi"/>
          <w:snapToGrid/>
          <w:sz w:val="24"/>
          <w:szCs w:val="24"/>
        </w:rPr>
        <w:t xml:space="preserve"> naloxone 400 microgram/mL injection, 5 x 1 mL ampoules</w:t>
      </w:r>
      <w:r w:rsidR="00553E24" w:rsidRPr="00C24944">
        <w:rPr>
          <w:rFonts w:asciiTheme="minorHAnsi" w:eastAsiaTheme="minorHAnsi" w:hAnsiTheme="minorHAnsi" w:cstheme="minorHAnsi"/>
          <w:snapToGrid/>
          <w:sz w:val="24"/>
          <w:szCs w:val="24"/>
        </w:rPr>
        <w:t xml:space="preserve"> as the primary comparator</w:t>
      </w:r>
      <w:r w:rsidR="000A7171" w:rsidRPr="00C24944">
        <w:rPr>
          <w:rFonts w:asciiTheme="minorHAnsi" w:eastAsiaTheme="minorHAnsi" w:hAnsiTheme="minorHAnsi" w:cstheme="minorHAnsi"/>
          <w:snapToGrid/>
          <w:sz w:val="24"/>
          <w:szCs w:val="24"/>
        </w:rPr>
        <w:t>.</w:t>
      </w:r>
      <w:r w:rsidR="00BA51D1" w:rsidRPr="00C24944">
        <w:rPr>
          <w:rFonts w:asciiTheme="minorHAnsi" w:eastAsiaTheme="minorHAnsi" w:hAnsiTheme="minorHAnsi" w:cstheme="minorHAnsi"/>
          <w:snapToGrid/>
          <w:sz w:val="24"/>
          <w:szCs w:val="24"/>
        </w:rPr>
        <w:t xml:space="preserve"> </w:t>
      </w:r>
    </w:p>
    <w:p w:rsidR="00697CC8" w:rsidRPr="00C24944" w:rsidRDefault="00697CC8" w:rsidP="00D23307">
      <w:pPr>
        <w:pStyle w:val="ListParagraph"/>
        <w:widowControl/>
        <w:numPr>
          <w:ilvl w:val="1"/>
          <w:numId w:val="14"/>
        </w:numPr>
        <w:spacing w:before="120" w:after="120"/>
        <w:rPr>
          <w:rFonts w:asciiTheme="minorHAnsi" w:eastAsiaTheme="minorHAnsi" w:hAnsiTheme="minorHAnsi" w:cstheme="minorHAnsi"/>
          <w:snapToGrid/>
          <w:sz w:val="24"/>
          <w:szCs w:val="24"/>
        </w:rPr>
      </w:pPr>
      <w:r w:rsidRPr="00C24944">
        <w:rPr>
          <w:rFonts w:asciiTheme="minorHAnsi" w:eastAsiaTheme="minorHAnsi" w:hAnsiTheme="minorHAnsi" w:cstheme="minorHAnsi"/>
          <w:snapToGrid/>
          <w:sz w:val="24"/>
          <w:szCs w:val="24"/>
        </w:rPr>
        <w:t xml:space="preserve">The PBAC considered that naloxone 2 mg in 2 mL pre-filled syringe was more appropriate, </w:t>
      </w:r>
      <w:r w:rsidRPr="00314E75">
        <w:rPr>
          <w:rFonts w:asciiTheme="minorHAnsi" w:eastAsiaTheme="minorHAnsi" w:hAnsiTheme="minorHAnsi" w:cstheme="minorHAnsi"/>
          <w:snapToGrid/>
          <w:sz w:val="24"/>
          <w:szCs w:val="24"/>
        </w:rPr>
        <w:t>as this presentation syringe was intended for bystander administration and was therefore most likely to be replaced in practice</w:t>
      </w:r>
    </w:p>
    <w:p w:rsidR="002204F5" w:rsidRPr="00C24944" w:rsidRDefault="002204F5" w:rsidP="00D23307">
      <w:pPr>
        <w:pStyle w:val="ListParagraph"/>
        <w:widowControl/>
        <w:spacing w:before="120" w:after="120"/>
        <w:rPr>
          <w:rFonts w:asciiTheme="minorHAnsi" w:eastAsiaTheme="minorHAnsi" w:hAnsiTheme="minorHAnsi" w:cstheme="minorHAnsi"/>
          <w:snapToGrid/>
          <w:sz w:val="24"/>
          <w:szCs w:val="24"/>
        </w:rPr>
      </w:pPr>
    </w:p>
    <w:p w:rsidR="00F4174C" w:rsidRPr="00C24944" w:rsidRDefault="00756BB1" w:rsidP="00D23307">
      <w:pPr>
        <w:pStyle w:val="ListParagraph"/>
        <w:widowControl/>
        <w:spacing w:before="120" w:after="120"/>
        <w:rPr>
          <w:rFonts w:asciiTheme="minorHAnsi" w:eastAsiaTheme="minorHAnsi" w:hAnsiTheme="minorHAnsi" w:cstheme="minorHAnsi"/>
          <w:snapToGrid/>
          <w:sz w:val="24"/>
          <w:szCs w:val="24"/>
        </w:rPr>
      </w:pPr>
      <w:r w:rsidRPr="00C24944">
        <w:rPr>
          <w:rFonts w:asciiTheme="minorHAnsi" w:eastAsiaTheme="minorHAnsi" w:hAnsiTheme="minorHAnsi" w:cstheme="minorHAnsi"/>
          <w:i/>
          <w:snapToGrid/>
          <w:sz w:val="24"/>
          <w:szCs w:val="22"/>
        </w:rPr>
        <w:t>For more detail on PBAC’s view, see section 7 PBAC outcome.</w:t>
      </w:r>
    </w:p>
    <w:p w:rsidR="000B558D" w:rsidRPr="00C24944" w:rsidRDefault="008D7A41" w:rsidP="00323773">
      <w:pPr>
        <w:pStyle w:val="PBACHeading1"/>
        <w:spacing w:before="240" w:after="120"/>
        <w:ind w:left="709" w:hanging="709"/>
        <w:rPr>
          <w:rFonts w:asciiTheme="minorHAnsi" w:hAnsiTheme="minorHAnsi" w:cstheme="minorHAnsi"/>
          <w:sz w:val="32"/>
          <w:szCs w:val="32"/>
        </w:rPr>
      </w:pPr>
      <w:r w:rsidRPr="00C24944">
        <w:rPr>
          <w:rFonts w:asciiTheme="minorHAnsi" w:hAnsiTheme="minorHAnsi" w:cstheme="minorHAnsi"/>
          <w:sz w:val="32"/>
          <w:szCs w:val="32"/>
        </w:rPr>
        <w:t>C</w:t>
      </w:r>
      <w:r w:rsidR="00D84934" w:rsidRPr="00C24944">
        <w:rPr>
          <w:rFonts w:asciiTheme="minorHAnsi" w:hAnsiTheme="minorHAnsi" w:cstheme="minorHAnsi"/>
          <w:sz w:val="32"/>
          <w:szCs w:val="32"/>
        </w:rPr>
        <w:t>onsideration of the evidence</w:t>
      </w:r>
    </w:p>
    <w:p w:rsidR="00756BB1" w:rsidRPr="00C24944" w:rsidRDefault="00756BB1" w:rsidP="00D23307">
      <w:pPr>
        <w:widowControl w:val="0"/>
        <w:spacing w:before="240" w:after="120"/>
        <w:jc w:val="both"/>
        <w:rPr>
          <w:rFonts w:asciiTheme="minorHAnsi" w:hAnsiTheme="minorHAnsi" w:cs="Arial"/>
          <w:b/>
          <w:bCs/>
          <w:i/>
          <w:snapToGrid w:val="0"/>
          <w:sz w:val="28"/>
          <w:szCs w:val="28"/>
        </w:rPr>
      </w:pPr>
      <w:r w:rsidRPr="00C24944">
        <w:rPr>
          <w:rFonts w:asciiTheme="minorHAnsi" w:hAnsiTheme="minorHAnsi" w:cs="Arial"/>
          <w:b/>
          <w:bCs/>
          <w:i/>
          <w:snapToGrid w:val="0"/>
          <w:sz w:val="28"/>
          <w:szCs w:val="28"/>
        </w:rPr>
        <w:t>Sponsor hearing</w:t>
      </w:r>
    </w:p>
    <w:p w:rsidR="00756BB1" w:rsidRPr="00C24944" w:rsidRDefault="00756BB1" w:rsidP="00D23307">
      <w:pPr>
        <w:widowControl w:val="0"/>
        <w:numPr>
          <w:ilvl w:val="1"/>
          <w:numId w:val="5"/>
        </w:numPr>
        <w:spacing w:after="120"/>
        <w:jc w:val="both"/>
        <w:rPr>
          <w:rFonts w:asciiTheme="minorHAnsi" w:hAnsiTheme="minorHAnsi" w:cs="Arial"/>
          <w:bCs/>
          <w:snapToGrid w:val="0"/>
        </w:rPr>
      </w:pPr>
      <w:r w:rsidRPr="00C24944">
        <w:rPr>
          <w:rFonts w:asciiTheme="minorHAnsi" w:hAnsiTheme="minorHAnsi" w:cs="Arial"/>
          <w:bCs/>
          <w:snapToGrid w:val="0"/>
        </w:rPr>
        <w:t>There was no hearing for this item as it was a minor submission.</w:t>
      </w:r>
    </w:p>
    <w:p w:rsidR="00756BB1" w:rsidRPr="00C24944" w:rsidRDefault="00756BB1" w:rsidP="00D23307">
      <w:pPr>
        <w:widowControl w:val="0"/>
        <w:spacing w:before="240" w:after="120"/>
        <w:jc w:val="both"/>
        <w:rPr>
          <w:rFonts w:asciiTheme="minorHAnsi" w:hAnsiTheme="minorHAnsi" w:cs="Arial"/>
          <w:b/>
          <w:bCs/>
          <w:i/>
          <w:snapToGrid w:val="0"/>
          <w:sz w:val="28"/>
          <w:szCs w:val="28"/>
        </w:rPr>
      </w:pPr>
      <w:r w:rsidRPr="00C24944">
        <w:rPr>
          <w:rFonts w:asciiTheme="minorHAnsi" w:hAnsiTheme="minorHAnsi" w:cs="Arial"/>
          <w:b/>
          <w:bCs/>
          <w:i/>
          <w:snapToGrid w:val="0"/>
          <w:sz w:val="28"/>
          <w:szCs w:val="28"/>
        </w:rPr>
        <w:t>Consumer comments</w:t>
      </w:r>
    </w:p>
    <w:p w:rsidR="00756BB1" w:rsidRPr="00C24944" w:rsidRDefault="00756BB1" w:rsidP="00D23307">
      <w:pPr>
        <w:widowControl w:val="0"/>
        <w:numPr>
          <w:ilvl w:val="1"/>
          <w:numId w:val="5"/>
        </w:numPr>
        <w:spacing w:after="120"/>
        <w:jc w:val="both"/>
        <w:rPr>
          <w:rFonts w:asciiTheme="minorHAnsi" w:hAnsiTheme="minorHAnsi" w:cs="Arial"/>
          <w:bCs/>
          <w:snapToGrid w:val="0"/>
        </w:rPr>
      </w:pPr>
      <w:r w:rsidRPr="00C24944">
        <w:rPr>
          <w:rFonts w:asciiTheme="minorHAnsi" w:hAnsiTheme="minorHAnsi" w:cs="Arial"/>
          <w:bCs/>
          <w:snapToGrid w:val="0"/>
        </w:rPr>
        <w:t>The PBAC noted and welcomed the input from individuals (4), health care professi</w:t>
      </w:r>
      <w:r w:rsidR="00D429B7" w:rsidRPr="00C24944">
        <w:rPr>
          <w:rFonts w:asciiTheme="minorHAnsi" w:hAnsiTheme="minorHAnsi" w:cs="Arial"/>
          <w:bCs/>
          <w:snapToGrid w:val="0"/>
        </w:rPr>
        <w:t>onals (38</w:t>
      </w:r>
      <w:r w:rsidRPr="00C24944">
        <w:rPr>
          <w:rFonts w:asciiTheme="minorHAnsi" w:hAnsiTheme="minorHAnsi" w:cs="Arial"/>
          <w:bCs/>
          <w:snapToGrid w:val="0"/>
        </w:rPr>
        <w:t>) and organisations (</w:t>
      </w:r>
      <w:r w:rsidR="00D429B7" w:rsidRPr="00C24944">
        <w:rPr>
          <w:rFonts w:asciiTheme="minorHAnsi" w:hAnsiTheme="minorHAnsi" w:cs="Arial"/>
          <w:bCs/>
          <w:snapToGrid w:val="0"/>
        </w:rPr>
        <w:t>9</w:t>
      </w:r>
      <w:r w:rsidRPr="00C24944">
        <w:rPr>
          <w:rFonts w:asciiTheme="minorHAnsi" w:hAnsiTheme="minorHAnsi" w:cs="Arial"/>
          <w:bCs/>
          <w:snapToGrid w:val="0"/>
        </w:rPr>
        <w:t>) via the Consumer Comments facility on the PBS website</w:t>
      </w:r>
      <w:r w:rsidR="00C24944" w:rsidRPr="00C24944">
        <w:rPr>
          <w:rFonts w:asciiTheme="minorHAnsi" w:hAnsiTheme="minorHAnsi" w:cs="Arial"/>
          <w:bCs/>
          <w:snapToGrid w:val="0"/>
        </w:rPr>
        <w:t xml:space="preserve">. </w:t>
      </w:r>
      <w:r w:rsidRPr="00C24944">
        <w:rPr>
          <w:rFonts w:asciiTheme="minorHAnsi" w:hAnsiTheme="minorHAnsi" w:cs="Arial"/>
          <w:bCs/>
          <w:snapToGrid w:val="0"/>
        </w:rPr>
        <w:t xml:space="preserve">The comments described a range of benefits </w:t>
      </w:r>
      <w:r w:rsidR="000847E5" w:rsidRPr="00C24944">
        <w:rPr>
          <w:rFonts w:asciiTheme="minorHAnsi" w:hAnsiTheme="minorHAnsi" w:cs="Arial"/>
          <w:bCs/>
          <w:snapToGrid w:val="0"/>
        </w:rPr>
        <w:t xml:space="preserve">associated with </w:t>
      </w:r>
      <w:r w:rsidR="00C03E2A" w:rsidRPr="00C24944">
        <w:rPr>
          <w:rFonts w:asciiTheme="minorHAnsi" w:hAnsiTheme="minorHAnsi" w:cs="Arial"/>
          <w:bCs/>
          <w:snapToGrid w:val="0"/>
        </w:rPr>
        <w:t>IN</w:t>
      </w:r>
      <w:r w:rsidR="00D429B7" w:rsidRPr="00C24944">
        <w:rPr>
          <w:rFonts w:asciiTheme="minorHAnsi" w:hAnsiTheme="minorHAnsi" w:cs="Arial"/>
          <w:bCs/>
          <w:snapToGrid w:val="0"/>
        </w:rPr>
        <w:t xml:space="preserve"> naloxone</w:t>
      </w:r>
      <w:r w:rsidRPr="00C24944">
        <w:rPr>
          <w:rFonts w:asciiTheme="minorHAnsi" w:hAnsiTheme="minorHAnsi" w:cs="Arial"/>
          <w:bCs/>
          <w:snapToGrid w:val="0"/>
        </w:rPr>
        <w:t xml:space="preserve"> </w:t>
      </w:r>
      <w:r w:rsidR="00D429B7" w:rsidRPr="00C24944">
        <w:rPr>
          <w:rFonts w:asciiTheme="minorHAnsi" w:hAnsiTheme="minorHAnsi" w:cs="Arial"/>
          <w:bCs/>
          <w:snapToGrid w:val="0"/>
        </w:rPr>
        <w:t xml:space="preserve">use in acute opioid overdose </w:t>
      </w:r>
      <w:r w:rsidRPr="00C24944">
        <w:rPr>
          <w:rFonts w:asciiTheme="minorHAnsi" w:hAnsiTheme="minorHAnsi" w:cs="Arial"/>
          <w:bCs/>
          <w:snapToGrid w:val="0"/>
        </w:rPr>
        <w:t>including</w:t>
      </w:r>
      <w:r w:rsidR="00D429B7" w:rsidRPr="00C24944">
        <w:rPr>
          <w:rFonts w:asciiTheme="minorHAnsi" w:hAnsiTheme="minorHAnsi" w:cs="Arial"/>
          <w:bCs/>
          <w:snapToGrid w:val="0"/>
        </w:rPr>
        <w:t xml:space="preserve"> ease of administration, increased accessibility and availability, </w:t>
      </w:r>
      <w:r w:rsidR="000847E5" w:rsidRPr="00C24944">
        <w:rPr>
          <w:rFonts w:asciiTheme="minorHAnsi" w:hAnsiTheme="minorHAnsi" w:cs="Arial"/>
          <w:bCs/>
          <w:snapToGrid w:val="0"/>
        </w:rPr>
        <w:t xml:space="preserve">all of which </w:t>
      </w:r>
      <w:r w:rsidR="002204F5" w:rsidRPr="00C24944">
        <w:rPr>
          <w:rFonts w:asciiTheme="minorHAnsi" w:hAnsiTheme="minorHAnsi" w:cs="Arial"/>
          <w:bCs/>
          <w:snapToGrid w:val="0"/>
        </w:rPr>
        <w:t>aim to reduce</w:t>
      </w:r>
      <w:r w:rsidR="000847E5" w:rsidRPr="00C24944">
        <w:rPr>
          <w:rFonts w:asciiTheme="minorHAnsi" w:hAnsiTheme="minorHAnsi" w:cs="Arial"/>
          <w:bCs/>
          <w:snapToGrid w:val="0"/>
        </w:rPr>
        <w:t xml:space="preserve"> deaths from opioid overdose.</w:t>
      </w:r>
    </w:p>
    <w:p w:rsidR="00D84934" w:rsidRPr="00C24944" w:rsidRDefault="00D84934" w:rsidP="00D23307">
      <w:pPr>
        <w:pStyle w:val="Heading2"/>
        <w:keepLines/>
        <w:spacing w:before="240" w:after="120"/>
        <w:rPr>
          <w:rFonts w:asciiTheme="minorHAnsi" w:eastAsiaTheme="majorEastAsia" w:hAnsiTheme="minorHAnsi" w:cstheme="minorHAnsi"/>
          <w:sz w:val="28"/>
          <w:szCs w:val="28"/>
          <w:lang w:eastAsia="en-US"/>
        </w:rPr>
      </w:pPr>
      <w:r w:rsidRPr="00C24944">
        <w:rPr>
          <w:rFonts w:asciiTheme="minorHAnsi" w:eastAsiaTheme="majorEastAsia" w:hAnsiTheme="minorHAnsi" w:cstheme="minorHAnsi"/>
          <w:sz w:val="28"/>
          <w:szCs w:val="28"/>
          <w:lang w:eastAsia="en-US"/>
        </w:rPr>
        <w:t>Clinical trials</w:t>
      </w:r>
    </w:p>
    <w:p w:rsidR="00951AB0" w:rsidRPr="00667B6E" w:rsidRDefault="00951AB0" w:rsidP="00D23307">
      <w:pPr>
        <w:widowControl w:val="0"/>
        <w:numPr>
          <w:ilvl w:val="1"/>
          <w:numId w:val="5"/>
        </w:numPr>
        <w:spacing w:after="120"/>
        <w:jc w:val="both"/>
        <w:rPr>
          <w:rFonts w:asciiTheme="minorHAnsi" w:hAnsiTheme="minorHAnsi" w:cs="Arial"/>
          <w:bCs/>
          <w:snapToGrid w:val="0"/>
        </w:rPr>
      </w:pPr>
      <w:r w:rsidRPr="00667B6E">
        <w:rPr>
          <w:rFonts w:asciiTheme="minorHAnsi" w:hAnsiTheme="minorHAnsi" w:cs="Arial"/>
          <w:bCs/>
          <w:snapToGrid w:val="0"/>
        </w:rPr>
        <w:t xml:space="preserve">The </w:t>
      </w:r>
      <w:r w:rsidR="00F4174C" w:rsidRPr="00667B6E">
        <w:rPr>
          <w:rFonts w:asciiTheme="minorHAnsi" w:hAnsiTheme="minorHAnsi" w:cs="Arial"/>
          <w:bCs/>
          <w:snapToGrid w:val="0"/>
        </w:rPr>
        <w:t>submission</w:t>
      </w:r>
      <w:r w:rsidR="00FE7150" w:rsidRPr="00667B6E">
        <w:rPr>
          <w:rFonts w:asciiTheme="minorHAnsi" w:hAnsiTheme="minorHAnsi" w:cs="Arial"/>
          <w:bCs/>
          <w:snapToGrid w:val="0"/>
        </w:rPr>
        <w:t xml:space="preserve"> </w:t>
      </w:r>
      <w:r w:rsidR="0001356C" w:rsidRPr="00667B6E">
        <w:rPr>
          <w:rFonts w:asciiTheme="minorHAnsi" w:hAnsiTheme="minorHAnsi" w:cs="Arial"/>
          <w:bCs/>
          <w:snapToGrid w:val="0"/>
        </w:rPr>
        <w:t xml:space="preserve">did not include any </w:t>
      </w:r>
      <w:r w:rsidR="00172C69" w:rsidRPr="00667B6E">
        <w:rPr>
          <w:rFonts w:asciiTheme="minorHAnsi" w:hAnsiTheme="minorHAnsi" w:cs="Arial"/>
          <w:bCs/>
          <w:snapToGrid w:val="0"/>
        </w:rPr>
        <w:t xml:space="preserve">direct </w:t>
      </w:r>
      <w:r w:rsidR="0001356C" w:rsidRPr="00667B6E">
        <w:rPr>
          <w:rFonts w:asciiTheme="minorHAnsi" w:hAnsiTheme="minorHAnsi" w:cs="Arial"/>
          <w:bCs/>
          <w:snapToGrid w:val="0"/>
        </w:rPr>
        <w:t>clinical trials. Efficacy has been inferred based on pharmacokinetic studies.</w:t>
      </w:r>
      <w:r w:rsidR="00272791" w:rsidRPr="00667B6E">
        <w:rPr>
          <w:rFonts w:asciiTheme="minorHAnsi" w:hAnsiTheme="minorHAnsi" w:cs="Arial"/>
          <w:bCs/>
          <w:snapToGrid w:val="0"/>
        </w:rPr>
        <w:t xml:space="preserve"> The submission</w:t>
      </w:r>
      <w:r w:rsidR="0001356C" w:rsidRPr="00667B6E">
        <w:rPr>
          <w:rFonts w:asciiTheme="minorHAnsi" w:hAnsiTheme="minorHAnsi" w:cs="Arial"/>
          <w:bCs/>
          <w:snapToGrid w:val="0"/>
        </w:rPr>
        <w:t xml:space="preserve"> </w:t>
      </w:r>
      <w:r w:rsidR="009F4AC9" w:rsidRPr="00667B6E">
        <w:rPr>
          <w:rFonts w:asciiTheme="minorHAnsi" w:hAnsiTheme="minorHAnsi" w:cs="Arial"/>
          <w:bCs/>
          <w:snapToGrid w:val="0"/>
        </w:rPr>
        <w:t xml:space="preserve">presented </w:t>
      </w:r>
      <w:r w:rsidR="00F4174C" w:rsidRPr="00667B6E">
        <w:rPr>
          <w:rFonts w:asciiTheme="minorHAnsi" w:hAnsiTheme="minorHAnsi" w:cs="Arial"/>
          <w:bCs/>
          <w:snapToGrid w:val="0"/>
        </w:rPr>
        <w:t>one</w:t>
      </w:r>
      <w:r w:rsidRPr="00667B6E">
        <w:rPr>
          <w:rFonts w:asciiTheme="minorHAnsi" w:hAnsiTheme="minorHAnsi" w:cs="Arial"/>
          <w:bCs/>
          <w:snapToGrid w:val="0"/>
        </w:rPr>
        <w:t xml:space="preserve"> stud</w:t>
      </w:r>
      <w:r w:rsidR="009F4AC9" w:rsidRPr="00667B6E">
        <w:rPr>
          <w:rFonts w:asciiTheme="minorHAnsi" w:hAnsiTheme="minorHAnsi" w:cs="Arial"/>
          <w:bCs/>
          <w:snapToGrid w:val="0"/>
        </w:rPr>
        <w:t>y</w:t>
      </w:r>
      <w:r w:rsidR="00272791" w:rsidRPr="00667B6E">
        <w:rPr>
          <w:rFonts w:asciiTheme="minorHAnsi" w:hAnsiTheme="minorHAnsi" w:cs="Arial"/>
          <w:bCs/>
          <w:snapToGrid w:val="0"/>
        </w:rPr>
        <w:t xml:space="preserve"> (</w:t>
      </w:r>
      <w:r w:rsidR="002228C4" w:rsidRPr="00667B6E">
        <w:rPr>
          <w:rFonts w:asciiTheme="minorHAnsi" w:hAnsiTheme="minorHAnsi" w:cs="Arial"/>
          <w:bCs/>
          <w:snapToGrid w:val="0"/>
        </w:rPr>
        <w:t>Table 2</w:t>
      </w:r>
      <w:r w:rsidR="00272791" w:rsidRPr="00667B6E">
        <w:rPr>
          <w:rFonts w:asciiTheme="minorHAnsi" w:hAnsiTheme="minorHAnsi" w:cs="Arial"/>
          <w:bCs/>
          <w:snapToGrid w:val="0"/>
        </w:rPr>
        <w:t>)</w:t>
      </w:r>
      <w:r w:rsidR="00F4174C" w:rsidRPr="00667B6E">
        <w:rPr>
          <w:rFonts w:asciiTheme="minorHAnsi" w:hAnsiTheme="minorHAnsi" w:cs="Arial"/>
          <w:bCs/>
          <w:snapToGrid w:val="0"/>
        </w:rPr>
        <w:t xml:space="preserve"> to demonstrate comparative pharmacokinetics of</w:t>
      </w:r>
      <w:r w:rsidR="00272791" w:rsidRPr="00667B6E">
        <w:rPr>
          <w:rFonts w:asciiTheme="minorHAnsi" w:hAnsiTheme="minorHAnsi" w:cs="Arial"/>
          <w:bCs/>
          <w:snapToGrid w:val="0"/>
        </w:rPr>
        <w:t xml:space="preserve"> IN</w:t>
      </w:r>
      <w:r w:rsidR="00F4174C" w:rsidRPr="00667B6E">
        <w:rPr>
          <w:rFonts w:asciiTheme="minorHAnsi" w:hAnsiTheme="minorHAnsi" w:cs="Arial"/>
          <w:bCs/>
          <w:snapToGrid w:val="0"/>
        </w:rPr>
        <w:t xml:space="preserve"> naloxone (1mg, 2mg and 4mg), IM (0.4mg) and IV (0.4mg) routes using healthy volunteers (n</w:t>
      </w:r>
      <w:r w:rsidR="00FE7150" w:rsidRPr="00667B6E">
        <w:rPr>
          <w:rFonts w:asciiTheme="minorHAnsi" w:hAnsiTheme="minorHAnsi" w:cs="Arial"/>
          <w:bCs/>
          <w:snapToGrid w:val="0"/>
        </w:rPr>
        <w:t>=</w:t>
      </w:r>
      <w:r w:rsidR="00F4174C" w:rsidRPr="00667B6E">
        <w:rPr>
          <w:rFonts w:asciiTheme="minorHAnsi" w:hAnsiTheme="minorHAnsi" w:cs="Arial"/>
          <w:bCs/>
          <w:snapToGrid w:val="0"/>
        </w:rPr>
        <w:t>38)</w:t>
      </w:r>
      <w:r w:rsidR="009F4AC9" w:rsidRPr="00667B6E">
        <w:rPr>
          <w:rFonts w:asciiTheme="minorHAnsi" w:hAnsiTheme="minorHAnsi" w:cs="Arial"/>
          <w:bCs/>
          <w:snapToGrid w:val="0"/>
        </w:rPr>
        <w:t xml:space="preserve">. </w:t>
      </w:r>
    </w:p>
    <w:p w:rsidR="00FE7150" w:rsidRPr="00EE30C8" w:rsidRDefault="00FE7150" w:rsidP="008C5F6D">
      <w:pPr>
        <w:pStyle w:val="Caption"/>
        <w:rPr>
          <w:rFonts w:cstheme="minorHAnsi"/>
        </w:rPr>
      </w:pPr>
      <w:bookmarkStart w:id="3" w:name="_Ref535391152"/>
      <w:r w:rsidRPr="00EE30C8">
        <w:rPr>
          <w:rFonts w:cstheme="minorHAnsi"/>
        </w:rPr>
        <w:t xml:space="preserve">Table </w:t>
      </w:r>
      <w:r w:rsidR="002228C4" w:rsidRPr="00EE30C8">
        <w:rPr>
          <w:rFonts w:cstheme="minorHAnsi"/>
        </w:rPr>
        <w:t>2</w:t>
      </w:r>
      <w:bookmarkEnd w:id="3"/>
      <w:r w:rsidR="00950D34">
        <w:rPr>
          <w:rFonts w:cstheme="minorHAnsi"/>
        </w:rPr>
        <w:t>:</w:t>
      </w:r>
      <w:r w:rsidRPr="00EE30C8">
        <w:rPr>
          <w:rFonts w:cstheme="minorHAnsi"/>
        </w:rPr>
        <w:t xml:space="preserve"> Trials and associated reports presented in the submission</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2: Trials and associated reports presented in the submission"/>
      </w:tblPr>
      <w:tblGrid>
        <w:gridCol w:w="1411"/>
        <w:gridCol w:w="5363"/>
        <w:gridCol w:w="2085"/>
      </w:tblGrid>
      <w:tr w:rsidR="00FE7150" w:rsidRPr="00C24944" w:rsidTr="00EE6C3C">
        <w:trPr>
          <w:cantSplit/>
          <w:trHeight w:val="539"/>
          <w:tblHeader/>
        </w:trPr>
        <w:tc>
          <w:tcPr>
            <w:tcW w:w="796" w:type="pct"/>
          </w:tcPr>
          <w:p w:rsidR="00FE7150" w:rsidRPr="00EE30C8" w:rsidRDefault="00FE7150" w:rsidP="00EE6C3C">
            <w:pPr>
              <w:pStyle w:val="NoSpacing"/>
              <w:spacing w:before="40" w:after="40"/>
              <w:jc w:val="left"/>
              <w:rPr>
                <w:rFonts w:ascii="Arial Narrow" w:hAnsi="Arial Narrow" w:cstheme="minorHAnsi"/>
                <w:b/>
                <w:sz w:val="20"/>
              </w:rPr>
            </w:pPr>
            <w:r w:rsidRPr="00EE30C8">
              <w:rPr>
                <w:rFonts w:ascii="Arial Narrow" w:hAnsi="Arial Narrow" w:cstheme="minorHAnsi"/>
                <w:b/>
                <w:sz w:val="20"/>
              </w:rPr>
              <w:t>Trial ID/First Author</w:t>
            </w:r>
          </w:p>
        </w:tc>
        <w:tc>
          <w:tcPr>
            <w:tcW w:w="3027" w:type="pct"/>
          </w:tcPr>
          <w:p w:rsidR="00FE7150" w:rsidRPr="00EE30C8" w:rsidRDefault="00FE7150" w:rsidP="00EE6C3C">
            <w:pPr>
              <w:keepNext/>
              <w:spacing w:before="40" w:after="40"/>
              <w:rPr>
                <w:rFonts w:ascii="Arial Narrow" w:hAnsi="Arial Narrow" w:cstheme="minorHAnsi"/>
                <w:b/>
                <w:sz w:val="20"/>
              </w:rPr>
            </w:pPr>
            <w:r w:rsidRPr="00EE30C8">
              <w:rPr>
                <w:rFonts w:ascii="Arial Narrow" w:hAnsi="Arial Narrow" w:cstheme="minorHAnsi"/>
                <w:b/>
                <w:sz w:val="20"/>
              </w:rPr>
              <w:t>Protocol title/ Publication title</w:t>
            </w:r>
          </w:p>
        </w:tc>
        <w:tc>
          <w:tcPr>
            <w:tcW w:w="1177" w:type="pct"/>
          </w:tcPr>
          <w:p w:rsidR="00FE7150" w:rsidRPr="00EE30C8" w:rsidRDefault="00FE7150" w:rsidP="00EE6C3C">
            <w:pPr>
              <w:keepNext/>
              <w:spacing w:before="40" w:after="40"/>
              <w:rPr>
                <w:rFonts w:ascii="Arial Narrow" w:hAnsi="Arial Narrow" w:cstheme="minorHAnsi"/>
                <w:b/>
                <w:sz w:val="20"/>
              </w:rPr>
            </w:pPr>
            <w:r w:rsidRPr="00EE30C8">
              <w:rPr>
                <w:rFonts w:ascii="Arial Narrow" w:hAnsi="Arial Narrow" w:cstheme="minorHAnsi"/>
                <w:b/>
                <w:sz w:val="20"/>
              </w:rPr>
              <w:t>Publication citation</w:t>
            </w:r>
          </w:p>
        </w:tc>
      </w:tr>
      <w:tr w:rsidR="00FE7150" w:rsidRPr="00C24944" w:rsidTr="00EE6C3C">
        <w:trPr>
          <w:cantSplit/>
          <w:trHeight w:val="317"/>
        </w:trPr>
        <w:tc>
          <w:tcPr>
            <w:tcW w:w="5000" w:type="pct"/>
            <w:gridSpan w:val="3"/>
          </w:tcPr>
          <w:p w:rsidR="00FE7150" w:rsidRPr="00EE30C8" w:rsidRDefault="00FE7150" w:rsidP="00767486">
            <w:pPr>
              <w:pStyle w:val="NoSpacing"/>
              <w:spacing w:before="40" w:after="40"/>
              <w:rPr>
                <w:rFonts w:ascii="Arial Narrow" w:hAnsi="Arial Narrow" w:cstheme="minorHAnsi"/>
                <w:b/>
                <w:sz w:val="20"/>
              </w:rPr>
            </w:pPr>
            <w:r w:rsidRPr="00EE30C8">
              <w:rPr>
                <w:rFonts w:ascii="Arial Narrow" w:hAnsi="Arial Narrow" w:cstheme="minorHAnsi"/>
                <w:b/>
                <w:sz w:val="20"/>
              </w:rPr>
              <w:t xml:space="preserve">Direct randomised </w:t>
            </w:r>
            <w:r w:rsidR="00767486" w:rsidRPr="00EE30C8">
              <w:rPr>
                <w:rFonts w:ascii="Arial Narrow" w:hAnsi="Arial Narrow" w:cstheme="minorHAnsi"/>
                <w:b/>
                <w:sz w:val="20"/>
              </w:rPr>
              <w:t>study</w:t>
            </w:r>
          </w:p>
        </w:tc>
      </w:tr>
      <w:tr w:rsidR="00FE7150" w:rsidRPr="00C24944" w:rsidTr="00EE6C3C">
        <w:trPr>
          <w:cantSplit/>
          <w:trHeight w:val="317"/>
        </w:trPr>
        <w:tc>
          <w:tcPr>
            <w:tcW w:w="796" w:type="pct"/>
          </w:tcPr>
          <w:p w:rsidR="00FE7150" w:rsidRPr="00EE30C8" w:rsidRDefault="00FE7150" w:rsidP="00EE6C3C">
            <w:pPr>
              <w:pStyle w:val="NoSpacing"/>
              <w:rPr>
                <w:rFonts w:ascii="Arial Narrow" w:hAnsi="Arial Narrow" w:cstheme="minorHAnsi"/>
                <w:sz w:val="20"/>
              </w:rPr>
            </w:pPr>
            <w:proofErr w:type="spellStart"/>
            <w:r w:rsidRPr="00EE30C8">
              <w:rPr>
                <w:rFonts w:ascii="Arial Narrow" w:hAnsi="Arial Narrow" w:cstheme="minorHAnsi"/>
                <w:sz w:val="20"/>
              </w:rPr>
              <w:t>EudraCT</w:t>
            </w:r>
            <w:proofErr w:type="spellEnd"/>
            <w:r w:rsidRPr="00EE30C8">
              <w:rPr>
                <w:rFonts w:ascii="Arial Narrow" w:hAnsi="Arial Narrow" w:cstheme="minorHAnsi"/>
                <w:sz w:val="20"/>
              </w:rPr>
              <w:t>: 2015–004493-15</w:t>
            </w:r>
          </w:p>
          <w:p w:rsidR="00FE7150" w:rsidRPr="00EE30C8" w:rsidRDefault="00FE7150" w:rsidP="00EE6C3C">
            <w:pPr>
              <w:pStyle w:val="NoSpacing"/>
              <w:rPr>
                <w:rFonts w:ascii="Arial Narrow" w:hAnsi="Arial Narrow" w:cstheme="minorHAnsi"/>
                <w:sz w:val="20"/>
              </w:rPr>
            </w:pPr>
            <w:r w:rsidRPr="00EE30C8">
              <w:rPr>
                <w:rFonts w:ascii="Arial Narrow" w:hAnsi="Arial Narrow" w:cstheme="minorHAnsi"/>
                <w:sz w:val="20"/>
              </w:rPr>
              <w:t xml:space="preserve">McDonald </w:t>
            </w:r>
            <w:r w:rsidR="006C7C74" w:rsidRPr="00EE30C8">
              <w:rPr>
                <w:rFonts w:ascii="Arial Narrow" w:hAnsi="Arial Narrow" w:cstheme="minorHAnsi"/>
                <w:sz w:val="20"/>
              </w:rPr>
              <w:t>et al. 2017</w:t>
            </w:r>
          </w:p>
        </w:tc>
        <w:tc>
          <w:tcPr>
            <w:tcW w:w="3027" w:type="pct"/>
          </w:tcPr>
          <w:p w:rsidR="00FE7150" w:rsidRPr="00EE30C8" w:rsidRDefault="00FE7150" w:rsidP="00EE6C3C">
            <w:pPr>
              <w:keepNext/>
              <w:rPr>
                <w:rFonts w:ascii="Arial Narrow" w:hAnsi="Arial Narrow" w:cstheme="minorHAnsi"/>
                <w:sz w:val="20"/>
              </w:rPr>
            </w:pPr>
            <w:r w:rsidRPr="00EE30C8">
              <w:rPr>
                <w:rFonts w:ascii="Arial Narrow" w:hAnsi="Arial Narrow" w:cstheme="minorHAnsi"/>
                <w:sz w:val="20"/>
              </w:rPr>
              <w:t>Pharmacokinetics of concentrated naloxone nasal spray for opioid overdose reversal: Phase I healthy volunteer study</w:t>
            </w:r>
          </w:p>
        </w:tc>
        <w:tc>
          <w:tcPr>
            <w:tcW w:w="1177" w:type="pct"/>
          </w:tcPr>
          <w:p w:rsidR="00FE7150" w:rsidRPr="00EE30C8" w:rsidRDefault="00FE7150" w:rsidP="00EE6C3C">
            <w:pPr>
              <w:keepNext/>
              <w:rPr>
                <w:rFonts w:ascii="Arial Narrow" w:hAnsi="Arial Narrow" w:cstheme="minorHAnsi"/>
                <w:sz w:val="20"/>
              </w:rPr>
            </w:pPr>
            <w:r w:rsidRPr="00EE30C8">
              <w:rPr>
                <w:rFonts w:ascii="Arial Narrow" w:hAnsi="Arial Narrow" w:cstheme="minorHAnsi"/>
                <w:sz w:val="20"/>
              </w:rPr>
              <w:t>Addiction vol. 113</w:t>
            </w:r>
            <w:r w:rsidR="00E20A10" w:rsidRPr="00EE30C8">
              <w:rPr>
                <w:rFonts w:ascii="Arial Narrow" w:hAnsi="Arial Narrow" w:cstheme="minorHAnsi"/>
                <w:sz w:val="20"/>
              </w:rPr>
              <w:t>, 3</w:t>
            </w:r>
            <w:r w:rsidRPr="00EE30C8">
              <w:rPr>
                <w:rFonts w:ascii="Arial Narrow" w:hAnsi="Arial Narrow" w:cstheme="minorHAnsi"/>
                <w:sz w:val="20"/>
              </w:rPr>
              <w:t xml:space="preserve"> (2017): 484-493.</w:t>
            </w:r>
          </w:p>
        </w:tc>
      </w:tr>
      <w:tr w:rsidR="00172C69" w:rsidRPr="00C24944" w:rsidTr="00172C69">
        <w:trPr>
          <w:cantSplit/>
          <w:trHeight w:val="317"/>
        </w:trPr>
        <w:tc>
          <w:tcPr>
            <w:tcW w:w="5000" w:type="pct"/>
            <w:gridSpan w:val="3"/>
          </w:tcPr>
          <w:p w:rsidR="00172C69" w:rsidRPr="00EE30C8" w:rsidRDefault="00172C69" w:rsidP="00767486">
            <w:pPr>
              <w:keepNext/>
              <w:rPr>
                <w:rFonts w:ascii="Arial Narrow" w:hAnsi="Arial Narrow" w:cstheme="minorHAnsi"/>
                <w:b/>
                <w:sz w:val="20"/>
              </w:rPr>
            </w:pPr>
            <w:r w:rsidRPr="00EE30C8">
              <w:rPr>
                <w:rFonts w:ascii="Arial Narrow" w:hAnsi="Arial Narrow" w:cstheme="minorHAnsi"/>
                <w:b/>
                <w:sz w:val="20"/>
              </w:rPr>
              <w:t xml:space="preserve">Indirect </w:t>
            </w:r>
            <w:r w:rsidR="00767486" w:rsidRPr="00EE30C8">
              <w:rPr>
                <w:rFonts w:ascii="Arial Narrow" w:hAnsi="Arial Narrow" w:cstheme="minorHAnsi"/>
                <w:b/>
                <w:sz w:val="20"/>
              </w:rPr>
              <w:t>r</w:t>
            </w:r>
            <w:r w:rsidRPr="00EE30C8">
              <w:rPr>
                <w:rFonts w:ascii="Arial Narrow" w:hAnsi="Arial Narrow" w:cstheme="minorHAnsi"/>
                <w:b/>
                <w:sz w:val="20"/>
              </w:rPr>
              <w:t xml:space="preserve">andomised </w:t>
            </w:r>
            <w:r w:rsidR="00767486" w:rsidRPr="00EE30C8">
              <w:rPr>
                <w:rFonts w:ascii="Arial Narrow" w:hAnsi="Arial Narrow" w:cstheme="minorHAnsi"/>
                <w:b/>
                <w:sz w:val="20"/>
              </w:rPr>
              <w:t>study</w:t>
            </w:r>
          </w:p>
        </w:tc>
      </w:tr>
      <w:tr w:rsidR="00172C69" w:rsidRPr="00C24944" w:rsidTr="00EE6C3C">
        <w:trPr>
          <w:cantSplit/>
          <w:trHeight w:val="317"/>
        </w:trPr>
        <w:tc>
          <w:tcPr>
            <w:tcW w:w="796" w:type="pct"/>
          </w:tcPr>
          <w:p w:rsidR="00172C69" w:rsidRPr="00EE30C8" w:rsidRDefault="006C7C74" w:rsidP="002C3583">
            <w:pPr>
              <w:pStyle w:val="NoSpacing"/>
              <w:rPr>
                <w:rFonts w:ascii="Arial Narrow" w:hAnsi="Arial Narrow" w:cstheme="minorHAnsi"/>
                <w:sz w:val="20"/>
              </w:rPr>
            </w:pPr>
            <w:r w:rsidRPr="00EE30C8">
              <w:rPr>
                <w:rFonts w:ascii="Arial Narrow" w:hAnsi="Arial Narrow" w:cstheme="minorHAnsi"/>
                <w:sz w:val="20"/>
              </w:rPr>
              <w:t>Kelly et al. 2005</w:t>
            </w:r>
          </w:p>
        </w:tc>
        <w:tc>
          <w:tcPr>
            <w:tcW w:w="3027" w:type="pct"/>
          </w:tcPr>
          <w:p w:rsidR="00172C69" w:rsidRPr="00EE30C8" w:rsidRDefault="002C3583" w:rsidP="00C03E2A">
            <w:pPr>
              <w:keepNext/>
              <w:rPr>
                <w:rFonts w:ascii="Arial Narrow" w:hAnsi="Arial Narrow" w:cstheme="minorHAnsi"/>
                <w:sz w:val="20"/>
              </w:rPr>
            </w:pPr>
            <w:r w:rsidRPr="00EE30C8">
              <w:rPr>
                <w:rFonts w:ascii="Arial Narrow" w:hAnsi="Arial Narrow" w:cstheme="minorHAnsi"/>
                <w:sz w:val="20"/>
              </w:rPr>
              <w:t xml:space="preserve">Randomised trial of </w:t>
            </w:r>
            <w:r w:rsidR="00C03E2A" w:rsidRPr="00EE30C8">
              <w:rPr>
                <w:rFonts w:ascii="Arial Narrow" w:hAnsi="Arial Narrow" w:cstheme="minorHAnsi"/>
                <w:sz w:val="20"/>
              </w:rPr>
              <w:t>IN</w:t>
            </w:r>
            <w:r w:rsidRPr="00EE30C8">
              <w:rPr>
                <w:rFonts w:ascii="Arial Narrow" w:hAnsi="Arial Narrow" w:cstheme="minorHAnsi"/>
                <w:sz w:val="20"/>
              </w:rPr>
              <w:t xml:space="preserve"> versus </w:t>
            </w:r>
            <w:r w:rsidR="00C03E2A" w:rsidRPr="00EE30C8">
              <w:rPr>
                <w:rFonts w:ascii="Arial Narrow" w:hAnsi="Arial Narrow" w:cstheme="minorHAnsi"/>
                <w:sz w:val="20"/>
              </w:rPr>
              <w:t>IM</w:t>
            </w:r>
            <w:r w:rsidRPr="00EE30C8">
              <w:rPr>
                <w:rFonts w:ascii="Arial Narrow" w:hAnsi="Arial Narrow" w:cstheme="minorHAnsi"/>
                <w:sz w:val="20"/>
              </w:rPr>
              <w:t xml:space="preserve"> naloxone in prehospital treatment for suspected opioid overdose. </w:t>
            </w:r>
          </w:p>
        </w:tc>
        <w:tc>
          <w:tcPr>
            <w:tcW w:w="1177" w:type="pct"/>
          </w:tcPr>
          <w:p w:rsidR="00172C69" w:rsidRPr="00EE30C8" w:rsidRDefault="002C3583" w:rsidP="00EE6C3C">
            <w:pPr>
              <w:keepNext/>
              <w:rPr>
                <w:rFonts w:ascii="Arial Narrow" w:hAnsi="Arial Narrow" w:cstheme="minorHAnsi"/>
                <w:sz w:val="20"/>
              </w:rPr>
            </w:pPr>
            <w:r w:rsidRPr="00EE30C8">
              <w:rPr>
                <w:rFonts w:ascii="Arial Narrow" w:hAnsi="Arial Narrow" w:cstheme="minorHAnsi"/>
                <w:sz w:val="20"/>
              </w:rPr>
              <w:t xml:space="preserve">Med J </w:t>
            </w:r>
            <w:proofErr w:type="spellStart"/>
            <w:r w:rsidRPr="00EE30C8">
              <w:rPr>
                <w:rFonts w:ascii="Arial Narrow" w:hAnsi="Arial Narrow" w:cstheme="minorHAnsi"/>
                <w:sz w:val="20"/>
              </w:rPr>
              <w:t>Aust</w:t>
            </w:r>
            <w:proofErr w:type="spellEnd"/>
            <w:r w:rsidRPr="00EE30C8">
              <w:rPr>
                <w:rFonts w:ascii="Arial Narrow" w:hAnsi="Arial Narrow" w:cstheme="minorHAnsi"/>
                <w:sz w:val="20"/>
              </w:rPr>
              <w:t xml:space="preserve"> 2005; 182 (1): 24-27</w:t>
            </w:r>
          </w:p>
        </w:tc>
      </w:tr>
      <w:tr w:rsidR="002C3583" w:rsidRPr="00C24944" w:rsidTr="00EE6C3C">
        <w:trPr>
          <w:cantSplit/>
          <w:trHeight w:val="317"/>
        </w:trPr>
        <w:tc>
          <w:tcPr>
            <w:tcW w:w="796" w:type="pct"/>
          </w:tcPr>
          <w:p w:rsidR="002C3583" w:rsidRPr="00EE30C8" w:rsidRDefault="006C7C74" w:rsidP="00EE6C3C">
            <w:pPr>
              <w:pStyle w:val="NoSpacing"/>
              <w:rPr>
                <w:rFonts w:ascii="Arial Narrow" w:hAnsi="Arial Narrow" w:cstheme="minorHAnsi"/>
                <w:sz w:val="20"/>
              </w:rPr>
            </w:pPr>
            <w:r w:rsidRPr="00EE30C8">
              <w:rPr>
                <w:rFonts w:ascii="Arial Narrow" w:hAnsi="Arial Narrow" w:cstheme="minorHAnsi"/>
                <w:sz w:val="20"/>
              </w:rPr>
              <w:t>Kerr et al. 2009</w:t>
            </w:r>
          </w:p>
        </w:tc>
        <w:tc>
          <w:tcPr>
            <w:tcW w:w="3027" w:type="pct"/>
          </w:tcPr>
          <w:p w:rsidR="002C3583" w:rsidRPr="00EE30C8" w:rsidRDefault="002C3583" w:rsidP="00C03E2A">
            <w:pPr>
              <w:keepNext/>
              <w:rPr>
                <w:rFonts w:ascii="Arial Narrow" w:hAnsi="Arial Narrow" w:cstheme="minorHAnsi"/>
                <w:sz w:val="20"/>
              </w:rPr>
            </w:pPr>
            <w:r w:rsidRPr="00EE30C8">
              <w:rPr>
                <w:rFonts w:ascii="Arial Narrow" w:hAnsi="Arial Narrow" w:cstheme="minorHAnsi"/>
                <w:sz w:val="20"/>
              </w:rPr>
              <w:t xml:space="preserve">Randomized controlled trial comparing the effectiveness and safety of </w:t>
            </w:r>
            <w:r w:rsidR="00C03E2A" w:rsidRPr="00EE30C8">
              <w:rPr>
                <w:rFonts w:ascii="Arial Narrow" w:hAnsi="Arial Narrow" w:cstheme="minorHAnsi"/>
                <w:sz w:val="20"/>
              </w:rPr>
              <w:t>IN</w:t>
            </w:r>
            <w:r w:rsidRPr="00EE30C8">
              <w:rPr>
                <w:rFonts w:ascii="Arial Narrow" w:hAnsi="Arial Narrow" w:cstheme="minorHAnsi"/>
                <w:sz w:val="20"/>
              </w:rPr>
              <w:t xml:space="preserve"> and </w:t>
            </w:r>
            <w:r w:rsidR="00C03E2A" w:rsidRPr="00EE30C8">
              <w:rPr>
                <w:rFonts w:ascii="Arial Narrow" w:hAnsi="Arial Narrow" w:cstheme="minorHAnsi"/>
                <w:sz w:val="20"/>
              </w:rPr>
              <w:t>IM</w:t>
            </w:r>
            <w:r w:rsidRPr="00EE30C8">
              <w:rPr>
                <w:rFonts w:ascii="Arial Narrow" w:hAnsi="Arial Narrow" w:cstheme="minorHAnsi"/>
                <w:sz w:val="20"/>
              </w:rPr>
              <w:t xml:space="preserve"> naloxone for the treatment of suspected heroin overdose</w:t>
            </w:r>
          </w:p>
        </w:tc>
        <w:tc>
          <w:tcPr>
            <w:tcW w:w="1177" w:type="pct"/>
          </w:tcPr>
          <w:p w:rsidR="002C3583" w:rsidRPr="00EE30C8" w:rsidRDefault="002C3583" w:rsidP="00EE6C3C">
            <w:pPr>
              <w:keepNext/>
              <w:rPr>
                <w:rFonts w:ascii="Arial Narrow" w:hAnsi="Arial Narrow" w:cstheme="minorHAnsi"/>
                <w:sz w:val="20"/>
              </w:rPr>
            </w:pPr>
            <w:r w:rsidRPr="00EE30C8">
              <w:rPr>
                <w:rFonts w:ascii="Arial Narrow" w:hAnsi="Arial Narrow" w:cstheme="minorHAnsi"/>
                <w:sz w:val="20"/>
              </w:rPr>
              <w:t>Addiction. 2009 Dec;104(12):2067-74</w:t>
            </w:r>
          </w:p>
        </w:tc>
      </w:tr>
    </w:tbl>
    <w:p w:rsidR="00D12EBA" w:rsidRPr="00C24944" w:rsidRDefault="00D12EBA" w:rsidP="004A32B7">
      <w:pPr>
        <w:rPr>
          <w:rFonts w:eastAsiaTheme="minorHAnsi"/>
        </w:rPr>
      </w:pPr>
    </w:p>
    <w:p w:rsidR="00F4174C" w:rsidRPr="00C24944" w:rsidRDefault="00F4174C" w:rsidP="00D23307">
      <w:pPr>
        <w:pStyle w:val="Heading2"/>
        <w:spacing w:after="120"/>
        <w:rPr>
          <w:rFonts w:asciiTheme="minorHAnsi" w:eastAsiaTheme="minorHAnsi" w:hAnsiTheme="minorHAnsi" w:cstheme="minorHAnsi"/>
          <w:sz w:val="32"/>
        </w:rPr>
      </w:pPr>
      <w:r w:rsidRPr="00C24944">
        <w:rPr>
          <w:rFonts w:asciiTheme="minorHAnsi" w:eastAsiaTheme="minorHAnsi" w:hAnsiTheme="minorHAnsi" w:cstheme="minorHAnsi"/>
          <w:sz w:val="28"/>
        </w:rPr>
        <w:lastRenderedPageBreak/>
        <w:t>Comparative effectiveness</w:t>
      </w:r>
    </w:p>
    <w:p w:rsidR="005F59D6" w:rsidRPr="00C24944" w:rsidRDefault="0021166D" w:rsidP="00D23307">
      <w:pPr>
        <w:pStyle w:val="ListParagraph"/>
        <w:widowControl/>
        <w:numPr>
          <w:ilvl w:val="1"/>
          <w:numId w:val="14"/>
        </w:numPr>
        <w:spacing w:before="120" w:after="120"/>
        <w:contextualSpacing w:val="0"/>
        <w:rPr>
          <w:rFonts w:asciiTheme="minorHAnsi" w:eastAsiaTheme="minorHAnsi" w:hAnsiTheme="minorHAnsi" w:cstheme="minorHAnsi"/>
          <w:snapToGrid/>
          <w:sz w:val="24"/>
          <w:szCs w:val="24"/>
        </w:rPr>
      </w:pPr>
      <w:r w:rsidRPr="00C24944">
        <w:rPr>
          <w:rFonts w:asciiTheme="minorHAnsi" w:eastAsiaTheme="minorHAnsi" w:hAnsiTheme="minorHAnsi" w:cstheme="minorHAnsi"/>
          <w:snapToGrid/>
          <w:sz w:val="24"/>
          <w:szCs w:val="24"/>
        </w:rPr>
        <w:t xml:space="preserve">The </w:t>
      </w:r>
      <w:r w:rsidR="00F0272A" w:rsidRPr="00C24944">
        <w:rPr>
          <w:rFonts w:asciiTheme="minorHAnsi" w:eastAsiaTheme="minorHAnsi" w:hAnsiTheme="minorHAnsi" w:cstheme="minorHAnsi"/>
          <w:snapToGrid/>
          <w:sz w:val="24"/>
          <w:szCs w:val="24"/>
        </w:rPr>
        <w:t xml:space="preserve">mean plasma concentrations over time plots for naloxone in IM, IV and IN administration routes from the pharmacokinetic of </w:t>
      </w:r>
      <w:r w:rsidR="00767486" w:rsidRPr="00C24944">
        <w:rPr>
          <w:rFonts w:asciiTheme="minorHAnsi" w:eastAsiaTheme="minorHAnsi" w:hAnsiTheme="minorHAnsi" w:cstheme="minorHAnsi"/>
          <w:snapToGrid/>
          <w:sz w:val="24"/>
          <w:szCs w:val="24"/>
        </w:rPr>
        <w:t xml:space="preserve">McDonald et al (2017) </w:t>
      </w:r>
      <w:r w:rsidRPr="00C24944">
        <w:rPr>
          <w:rFonts w:asciiTheme="minorHAnsi" w:eastAsiaTheme="minorHAnsi" w:hAnsiTheme="minorHAnsi" w:cstheme="minorHAnsi"/>
          <w:snapToGrid/>
          <w:sz w:val="24"/>
          <w:szCs w:val="24"/>
        </w:rPr>
        <w:t xml:space="preserve">are </w:t>
      </w:r>
      <w:r w:rsidR="00F0272A" w:rsidRPr="00C24944">
        <w:rPr>
          <w:rFonts w:asciiTheme="minorHAnsi" w:eastAsiaTheme="minorHAnsi" w:hAnsiTheme="minorHAnsi" w:cstheme="minorHAnsi"/>
          <w:snapToGrid/>
          <w:sz w:val="24"/>
          <w:szCs w:val="24"/>
        </w:rPr>
        <w:t>shown</w:t>
      </w:r>
      <w:r w:rsidRPr="00C24944">
        <w:rPr>
          <w:rFonts w:asciiTheme="minorHAnsi" w:eastAsiaTheme="minorHAnsi" w:hAnsiTheme="minorHAnsi" w:cstheme="minorHAnsi"/>
          <w:snapToGrid/>
          <w:sz w:val="24"/>
          <w:szCs w:val="24"/>
        </w:rPr>
        <w:t xml:space="preserve"> in </w:t>
      </w:r>
      <w:r w:rsidR="002228C4" w:rsidRPr="00C24944">
        <w:rPr>
          <w:rFonts w:asciiTheme="minorHAnsi" w:hAnsiTheme="minorHAnsi" w:cstheme="minorHAnsi"/>
        </w:rPr>
        <w:t xml:space="preserve">Figure </w:t>
      </w:r>
      <w:r w:rsidR="002228C4" w:rsidRPr="00BB34F5">
        <w:rPr>
          <w:rFonts w:asciiTheme="minorHAnsi" w:hAnsiTheme="minorHAnsi" w:cstheme="minorHAnsi"/>
        </w:rPr>
        <w:t>1</w:t>
      </w:r>
      <w:r w:rsidR="00FE7150" w:rsidRPr="00C24944">
        <w:rPr>
          <w:rFonts w:asciiTheme="minorHAnsi" w:eastAsiaTheme="minorHAnsi" w:hAnsiTheme="minorHAnsi" w:cstheme="minorHAnsi"/>
          <w:snapToGrid/>
          <w:sz w:val="24"/>
          <w:szCs w:val="24"/>
        </w:rPr>
        <w:t>.</w:t>
      </w:r>
      <w:r w:rsidR="00C540E8">
        <w:rPr>
          <w:rFonts w:asciiTheme="minorHAnsi" w:eastAsiaTheme="minorHAnsi" w:hAnsiTheme="minorHAnsi" w:cstheme="minorHAnsi"/>
          <w:snapToGrid/>
          <w:sz w:val="24"/>
          <w:szCs w:val="24"/>
        </w:rPr>
        <w:t xml:space="preserve"> </w:t>
      </w:r>
    </w:p>
    <w:p w:rsidR="00EE6C3C" w:rsidRPr="00C24944" w:rsidRDefault="00B4601A" w:rsidP="00D23307">
      <w:pPr>
        <w:pStyle w:val="ListParagraph"/>
        <w:widowControl/>
        <w:numPr>
          <w:ilvl w:val="1"/>
          <w:numId w:val="14"/>
        </w:numPr>
        <w:spacing w:before="120" w:after="120"/>
        <w:contextualSpacing w:val="0"/>
        <w:rPr>
          <w:rFonts w:asciiTheme="minorHAnsi" w:eastAsiaTheme="minorHAnsi" w:hAnsiTheme="minorHAnsi" w:cstheme="minorHAnsi"/>
          <w:snapToGrid/>
          <w:sz w:val="24"/>
          <w:szCs w:val="22"/>
        </w:rPr>
      </w:pPr>
      <w:r w:rsidRPr="00C24944">
        <w:rPr>
          <w:rFonts w:asciiTheme="minorHAnsi" w:eastAsiaTheme="minorHAnsi" w:hAnsiTheme="minorHAnsi" w:cstheme="minorHAnsi"/>
          <w:snapToGrid/>
          <w:sz w:val="24"/>
          <w:szCs w:val="22"/>
        </w:rPr>
        <w:t>The 2mg IN dose achieved concentrations equivalent to</w:t>
      </w:r>
      <w:r w:rsidR="00DB1C2C" w:rsidRPr="00C24944">
        <w:rPr>
          <w:rFonts w:asciiTheme="minorHAnsi" w:eastAsiaTheme="minorHAnsi" w:hAnsiTheme="minorHAnsi" w:cstheme="minorHAnsi"/>
          <w:snapToGrid/>
          <w:sz w:val="24"/>
          <w:szCs w:val="22"/>
        </w:rPr>
        <w:t xml:space="preserve"> 50% of maximum concentration</w:t>
      </w:r>
      <w:r w:rsidRPr="00C24944">
        <w:rPr>
          <w:rFonts w:asciiTheme="minorHAnsi" w:eastAsiaTheme="minorHAnsi" w:hAnsiTheme="minorHAnsi" w:cstheme="minorHAnsi"/>
          <w:snapToGrid/>
          <w:sz w:val="24"/>
          <w:szCs w:val="22"/>
        </w:rPr>
        <w:t xml:space="preserve"> </w:t>
      </w:r>
      <w:r w:rsidR="00DB1C2C" w:rsidRPr="00C24944">
        <w:rPr>
          <w:rFonts w:asciiTheme="minorHAnsi" w:eastAsiaTheme="minorHAnsi" w:hAnsiTheme="minorHAnsi" w:cstheme="minorHAnsi"/>
          <w:snapToGrid/>
          <w:sz w:val="24"/>
          <w:szCs w:val="22"/>
        </w:rPr>
        <w:t>(</w:t>
      </w:r>
      <w:r w:rsidRPr="00C24944">
        <w:rPr>
          <w:rFonts w:asciiTheme="minorHAnsi" w:eastAsiaTheme="minorHAnsi" w:hAnsiTheme="minorHAnsi" w:cstheme="minorHAnsi"/>
          <w:snapToGrid/>
          <w:sz w:val="24"/>
          <w:szCs w:val="22"/>
        </w:rPr>
        <w:t>C</w:t>
      </w:r>
      <w:r w:rsidRPr="00C24944">
        <w:rPr>
          <w:rFonts w:asciiTheme="minorHAnsi" w:eastAsiaTheme="minorHAnsi" w:hAnsiTheme="minorHAnsi" w:cstheme="minorHAnsi"/>
          <w:snapToGrid/>
          <w:sz w:val="24"/>
          <w:szCs w:val="22"/>
          <w:vertAlign w:val="subscript"/>
        </w:rPr>
        <w:t>50%</w:t>
      </w:r>
      <w:r w:rsidR="00DB1C2C" w:rsidRPr="00C24944">
        <w:rPr>
          <w:rFonts w:asciiTheme="minorHAnsi" w:eastAsiaTheme="minorHAnsi" w:hAnsiTheme="minorHAnsi" w:cstheme="minorHAnsi"/>
          <w:snapToGrid/>
          <w:sz w:val="24"/>
          <w:szCs w:val="22"/>
        </w:rPr>
        <w:t>)</w:t>
      </w:r>
      <w:r w:rsidRPr="00C24944">
        <w:rPr>
          <w:rFonts w:asciiTheme="minorHAnsi" w:eastAsiaTheme="minorHAnsi" w:hAnsiTheme="minorHAnsi" w:cstheme="minorHAnsi"/>
          <w:snapToGrid/>
          <w:sz w:val="24"/>
          <w:szCs w:val="22"/>
        </w:rPr>
        <w:t xml:space="preserve"> of the IM reference at 6 minutes, i.e. within 2 minutes of the IM reference, suggesting that early IN and IM naloxone plasma concentrations do not differ greatly. </w:t>
      </w:r>
      <w:r w:rsidR="007609DE" w:rsidRPr="00C24944">
        <w:rPr>
          <w:rFonts w:asciiTheme="minorHAnsi" w:eastAsiaTheme="minorHAnsi" w:hAnsiTheme="minorHAnsi" w:cstheme="minorHAnsi"/>
          <w:snapToGrid/>
          <w:sz w:val="24"/>
          <w:szCs w:val="22"/>
        </w:rPr>
        <w:t xml:space="preserve">The 2mg IN treatment reached twice the naloxone plasma concentration of the 0.4mg IM treatment at 15 minutes then maintained more than twice this concentration over the remainder of the 120 minutes. </w:t>
      </w:r>
    </w:p>
    <w:p w:rsidR="00A35B10" w:rsidRPr="00C24944" w:rsidRDefault="0070731B" w:rsidP="00D23307">
      <w:pPr>
        <w:pStyle w:val="ListParagraph"/>
        <w:widowControl/>
        <w:numPr>
          <w:ilvl w:val="1"/>
          <w:numId w:val="14"/>
        </w:numPr>
        <w:spacing w:before="120" w:after="120"/>
        <w:contextualSpacing w:val="0"/>
        <w:rPr>
          <w:rFonts w:asciiTheme="minorHAnsi" w:eastAsiaTheme="minorHAnsi" w:hAnsiTheme="minorHAnsi" w:cstheme="minorHAnsi"/>
          <w:snapToGrid/>
          <w:sz w:val="24"/>
          <w:szCs w:val="22"/>
        </w:rPr>
      </w:pPr>
      <w:r w:rsidRPr="00C24944">
        <w:rPr>
          <w:rFonts w:asciiTheme="minorHAnsi" w:eastAsiaTheme="minorHAnsi" w:hAnsiTheme="minorHAnsi" w:cstheme="minorHAnsi"/>
          <w:snapToGrid/>
          <w:sz w:val="24"/>
          <w:szCs w:val="22"/>
        </w:rPr>
        <w:t>A meta-analysis by WHO</w:t>
      </w:r>
      <w:r w:rsidR="00C9563C" w:rsidRPr="00C24944">
        <w:rPr>
          <w:rFonts w:asciiTheme="minorHAnsi" w:eastAsiaTheme="minorHAnsi" w:hAnsiTheme="minorHAnsi" w:cstheme="minorHAnsi"/>
          <w:snapToGrid/>
          <w:sz w:val="24"/>
          <w:szCs w:val="22"/>
        </w:rPr>
        <w:t xml:space="preserve"> (2014) was provided in the submission. </w:t>
      </w:r>
      <w:r w:rsidR="00F9222D" w:rsidRPr="00C24944">
        <w:rPr>
          <w:rFonts w:asciiTheme="minorHAnsi" w:eastAsiaTheme="minorHAnsi" w:hAnsiTheme="minorHAnsi" w:cstheme="minorHAnsi"/>
          <w:snapToGrid/>
          <w:sz w:val="24"/>
          <w:szCs w:val="22"/>
        </w:rPr>
        <w:t>This collated data from</w:t>
      </w:r>
      <w:r w:rsidRPr="00C24944">
        <w:rPr>
          <w:rFonts w:asciiTheme="minorHAnsi" w:eastAsiaTheme="minorHAnsi" w:hAnsiTheme="minorHAnsi" w:cstheme="minorHAnsi"/>
          <w:snapToGrid/>
          <w:sz w:val="24"/>
          <w:szCs w:val="22"/>
        </w:rPr>
        <w:t xml:space="preserve"> </w:t>
      </w:r>
      <w:r w:rsidR="00F9222D" w:rsidRPr="00C24944">
        <w:rPr>
          <w:rFonts w:asciiTheme="minorHAnsi" w:eastAsiaTheme="minorHAnsi" w:hAnsiTheme="minorHAnsi" w:cstheme="minorHAnsi"/>
          <w:snapToGrid/>
          <w:sz w:val="24"/>
          <w:szCs w:val="22"/>
        </w:rPr>
        <w:t>t</w:t>
      </w:r>
      <w:r w:rsidR="00C9563C" w:rsidRPr="00C24944">
        <w:rPr>
          <w:rFonts w:asciiTheme="minorHAnsi" w:eastAsiaTheme="minorHAnsi" w:hAnsiTheme="minorHAnsi" w:cstheme="minorHAnsi"/>
          <w:snapToGrid/>
          <w:sz w:val="24"/>
          <w:szCs w:val="22"/>
        </w:rPr>
        <w:t>wo randomised trials</w:t>
      </w:r>
      <w:r w:rsidR="00EE6C3C" w:rsidRPr="00C24944">
        <w:rPr>
          <w:rFonts w:asciiTheme="minorHAnsi" w:eastAsiaTheme="minorHAnsi" w:hAnsiTheme="minorHAnsi" w:cstheme="minorHAnsi"/>
          <w:snapToGrid/>
          <w:sz w:val="24"/>
          <w:szCs w:val="22"/>
        </w:rPr>
        <w:t xml:space="preserve"> </w:t>
      </w:r>
      <w:r w:rsidR="00C9563C" w:rsidRPr="00C24944">
        <w:rPr>
          <w:rFonts w:asciiTheme="minorHAnsi" w:eastAsiaTheme="minorHAnsi" w:hAnsiTheme="minorHAnsi" w:cstheme="minorHAnsi"/>
          <w:snapToGrid/>
          <w:sz w:val="24"/>
          <w:szCs w:val="22"/>
        </w:rPr>
        <w:t>in Victoria (</w:t>
      </w:r>
      <w:r w:rsidR="008B5C56" w:rsidRPr="00C24944">
        <w:rPr>
          <w:rFonts w:asciiTheme="minorHAnsi" w:eastAsiaTheme="minorHAnsi" w:hAnsiTheme="minorHAnsi" w:cstheme="minorHAnsi"/>
          <w:snapToGrid/>
          <w:sz w:val="24"/>
          <w:szCs w:val="22"/>
        </w:rPr>
        <w:t>Kerr et</w:t>
      </w:r>
      <w:r w:rsidR="00EE6C3C" w:rsidRPr="00C24944">
        <w:rPr>
          <w:rFonts w:asciiTheme="minorHAnsi" w:eastAsiaTheme="minorHAnsi" w:hAnsiTheme="minorHAnsi" w:cstheme="minorHAnsi"/>
          <w:snapToGrid/>
          <w:sz w:val="24"/>
          <w:szCs w:val="22"/>
        </w:rPr>
        <w:t xml:space="preserve"> al</w:t>
      </w:r>
      <w:r w:rsidR="00C9563C" w:rsidRPr="00C24944">
        <w:rPr>
          <w:rFonts w:asciiTheme="minorHAnsi" w:eastAsiaTheme="minorHAnsi" w:hAnsiTheme="minorHAnsi" w:cstheme="minorHAnsi"/>
          <w:snapToGrid/>
          <w:sz w:val="24"/>
          <w:szCs w:val="22"/>
        </w:rPr>
        <w:t xml:space="preserve">, </w:t>
      </w:r>
      <w:r w:rsidR="00EE6C3C" w:rsidRPr="00C24944">
        <w:rPr>
          <w:rFonts w:asciiTheme="minorHAnsi" w:eastAsiaTheme="minorHAnsi" w:hAnsiTheme="minorHAnsi" w:cstheme="minorHAnsi"/>
          <w:snapToGrid/>
          <w:sz w:val="24"/>
          <w:szCs w:val="22"/>
        </w:rPr>
        <w:t xml:space="preserve">2009 </w:t>
      </w:r>
      <w:r w:rsidRPr="00C24944">
        <w:rPr>
          <w:rFonts w:asciiTheme="minorHAnsi" w:eastAsiaTheme="minorHAnsi" w:hAnsiTheme="minorHAnsi" w:cstheme="minorHAnsi"/>
          <w:snapToGrid/>
          <w:sz w:val="24"/>
          <w:szCs w:val="22"/>
        </w:rPr>
        <w:t xml:space="preserve">and Kelly et </w:t>
      </w:r>
      <w:r w:rsidR="008B5C56" w:rsidRPr="00C24944">
        <w:rPr>
          <w:rFonts w:asciiTheme="minorHAnsi" w:eastAsiaTheme="minorHAnsi" w:hAnsiTheme="minorHAnsi" w:cstheme="minorHAnsi"/>
          <w:snapToGrid/>
          <w:sz w:val="24"/>
          <w:szCs w:val="22"/>
        </w:rPr>
        <w:t>al</w:t>
      </w:r>
      <w:r w:rsidR="00C9563C" w:rsidRPr="00C24944">
        <w:rPr>
          <w:rFonts w:asciiTheme="minorHAnsi" w:eastAsiaTheme="minorHAnsi" w:hAnsiTheme="minorHAnsi" w:cstheme="minorHAnsi"/>
          <w:snapToGrid/>
          <w:sz w:val="24"/>
          <w:szCs w:val="22"/>
        </w:rPr>
        <w:t>,</w:t>
      </w:r>
      <w:r w:rsidR="008B5C56" w:rsidRPr="00C24944">
        <w:rPr>
          <w:rFonts w:asciiTheme="minorHAnsi" w:eastAsiaTheme="minorHAnsi" w:hAnsiTheme="minorHAnsi" w:cstheme="minorHAnsi"/>
          <w:snapToGrid/>
          <w:sz w:val="24"/>
          <w:szCs w:val="22"/>
        </w:rPr>
        <w:t xml:space="preserve"> </w:t>
      </w:r>
      <w:r w:rsidRPr="00C24944">
        <w:rPr>
          <w:rFonts w:asciiTheme="minorHAnsi" w:eastAsiaTheme="minorHAnsi" w:hAnsiTheme="minorHAnsi" w:cstheme="minorHAnsi"/>
          <w:snapToGrid/>
          <w:sz w:val="24"/>
          <w:szCs w:val="22"/>
        </w:rPr>
        <w:t>2005)</w:t>
      </w:r>
      <w:r w:rsidR="00F9222D" w:rsidRPr="00C24944">
        <w:rPr>
          <w:rFonts w:asciiTheme="minorHAnsi" w:eastAsiaTheme="minorHAnsi" w:hAnsiTheme="minorHAnsi" w:cstheme="minorHAnsi"/>
          <w:snapToGrid/>
          <w:sz w:val="24"/>
          <w:szCs w:val="22"/>
        </w:rPr>
        <w:t>, and</w:t>
      </w:r>
      <w:r w:rsidRPr="00C24944">
        <w:rPr>
          <w:rFonts w:asciiTheme="minorHAnsi" w:eastAsiaTheme="minorHAnsi" w:hAnsiTheme="minorHAnsi" w:cstheme="minorHAnsi"/>
          <w:snapToGrid/>
          <w:sz w:val="24"/>
          <w:szCs w:val="22"/>
        </w:rPr>
        <w:t xml:space="preserve"> </w:t>
      </w:r>
      <w:r w:rsidR="00EE6C3C" w:rsidRPr="00C24944">
        <w:rPr>
          <w:rFonts w:asciiTheme="minorHAnsi" w:eastAsiaTheme="minorHAnsi" w:hAnsiTheme="minorHAnsi" w:cstheme="minorHAnsi"/>
          <w:snapToGrid/>
          <w:sz w:val="24"/>
          <w:szCs w:val="22"/>
        </w:rPr>
        <w:t>found</w:t>
      </w:r>
      <w:r w:rsidRPr="00C24944">
        <w:rPr>
          <w:rFonts w:asciiTheme="minorHAnsi" w:eastAsiaTheme="minorHAnsi" w:hAnsiTheme="minorHAnsi" w:cstheme="minorHAnsi"/>
          <w:snapToGrid/>
          <w:sz w:val="24"/>
          <w:szCs w:val="22"/>
        </w:rPr>
        <w:t xml:space="preserve"> no significant difference between </w:t>
      </w:r>
      <w:r w:rsidR="00EE6C3C" w:rsidRPr="00C24944">
        <w:rPr>
          <w:rFonts w:asciiTheme="minorHAnsi" w:eastAsiaTheme="minorHAnsi" w:hAnsiTheme="minorHAnsi" w:cstheme="minorHAnsi"/>
          <w:snapToGrid/>
          <w:sz w:val="24"/>
          <w:szCs w:val="22"/>
        </w:rPr>
        <w:t>2mg IN</w:t>
      </w:r>
      <w:r w:rsidR="00C44C45" w:rsidRPr="00C24944">
        <w:rPr>
          <w:rFonts w:asciiTheme="minorHAnsi" w:eastAsiaTheme="minorHAnsi" w:hAnsiTheme="minorHAnsi" w:cstheme="minorHAnsi"/>
          <w:snapToGrid/>
          <w:sz w:val="24"/>
          <w:szCs w:val="22"/>
        </w:rPr>
        <w:t xml:space="preserve"> and</w:t>
      </w:r>
      <w:r w:rsidR="00EE6C3C" w:rsidRPr="00C24944">
        <w:rPr>
          <w:rFonts w:asciiTheme="minorHAnsi" w:eastAsiaTheme="minorHAnsi" w:hAnsiTheme="minorHAnsi" w:cstheme="minorHAnsi"/>
          <w:snapToGrid/>
          <w:sz w:val="24"/>
          <w:szCs w:val="22"/>
        </w:rPr>
        <w:t xml:space="preserve"> 2mg IM naloxone</w:t>
      </w:r>
      <w:r w:rsidRPr="00C24944">
        <w:rPr>
          <w:rFonts w:asciiTheme="minorHAnsi" w:eastAsiaTheme="minorHAnsi" w:hAnsiTheme="minorHAnsi" w:cstheme="minorHAnsi"/>
          <w:snapToGrid/>
          <w:sz w:val="24"/>
          <w:szCs w:val="22"/>
        </w:rPr>
        <w:t xml:space="preserve"> in terms of time to opioid overdose reversal and adverse events (minor, major, and acute withdrawal reactions)</w:t>
      </w:r>
      <w:r w:rsidR="008005D2" w:rsidRPr="00C24944">
        <w:rPr>
          <w:rFonts w:asciiTheme="minorHAnsi" w:eastAsiaTheme="minorHAnsi" w:hAnsiTheme="minorHAnsi" w:cstheme="minorHAnsi"/>
          <w:snapToGrid/>
          <w:sz w:val="24"/>
          <w:szCs w:val="22"/>
        </w:rPr>
        <w:t>.</w:t>
      </w:r>
      <w:r w:rsidRPr="00C24944">
        <w:rPr>
          <w:rFonts w:asciiTheme="minorHAnsi" w:eastAsiaTheme="minorHAnsi" w:hAnsiTheme="minorHAnsi" w:cstheme="minorHAnsi"/>
          <w:snapToGrid/>
          <w:sz w:val="24"/>
          <w:szCs w:val="22"/>
        </w:rPr>
        <w:t xml:space="preserve"> </w:t>
      </w:r>
      <w:r w:rsidR="008005D2" w:rsidRPr="00C24944">
        <w:rPr>
          <w:rFonts w:asciiTheme="minorHAnsi" w:eastAsiaTheme="minorHAnsi" w:hAnsiTheme="minorHAnsi" w:cstheme="minorHAnsi"/>
          <w:snapToGrid/>
          <w:sz w:val="24"/>
          <w:szCs w:val="22"/>
        </w:rPr>
        <w:t>H</w:t>
      </w:r>
      <w:r w:rsidRPr="00C24944">
        <w:rPr>
          <w:rFonts w:asciiTheme="minorHAnsi" w:eastAsiaTheme="minorHAnsi" w:hAnsiTheme="minorHAnsi" w:cstheme="minorHAnsi"/>
          <w:snapToGrid/>
          <w:sz w:val="24"/>
          <w:szCs w:val="22"/>
        </w:rPr>
        <w:t>owever</w:t>
      </w:r>
      <w:r w:rsidR="008005D2" w:rsidRPr="00C24944">
        <w:rPr>
          <w:rFonts w:asciiTheme="minorHAnsi" w:eastAsiaTheme="minorHAnsi" w:hAnsiTheme="minorHAnsi" w:cstheme="minorHAnsi"/>
          <w:snapToGrid/>
          <w:sz w:val="24"/>
          <w:szCs w:val="22"/>
        </w:rPr>
        <w:t>, the analysis</w:t>
      </w:r>
      <w:r w:rsidRPr="00C24944">
        <w:rPr>
          <w:rFonts w:asciiTheme="minorHAnsi" w:eastAsiaTheme="minorHAnsi" w:hAnsiTheme="minorHAnsi" w:cstheme="minorHAnsi"/>
          <w:snapToGrid/>
          <w:sz w:val="24"/>
          <w:szCs w:val="22"/>
        </w:rPr>
        <w:t xml:space="preserve"> indicated that </w:t>
      </w:r>
      <w:r w:rsidR="008758C5" w:rsidRPr="00C24944">
        <w:rPr>
          <w:rFonts w:asciiTheme="minorHAnsi" w:eastAsiaTheme="minorHAnsi" w:hAnsiTheme="minorHAnsi" w:cstheme="minorHAnsi"/>
          <w:snapToGrid/>
          <w:sz w:val="24"/>
          <w:szCs w:val="22"/>
        </w:rPr>
        <w:t xml:space="preserve">rescue doses were required more often after IN administration (81 per 1000 for IM, 213 per 1000 for IN). </w:t>
      </w:r>
    </w:p>
    <w:p w:rsidR="00170122" w:rsidRPr="00950D34" w:rsidRDefault="00170122" w:rsidP="00170122">
      <w:pPr>
        <w:pStyle w:val="Caption"/>
        <w:rPr>
          <w:rFonts w:cstheme="minorHAnsi"/>
        </w:rPr>
      </w:pPr>
      <w:bookmarkStart w:id="4" w:name="_Ref1542698"/>
      <w:r w:rsidRPr="00950D34">
        <w:rPr>
          <w:rFonts w:cstheme="minorHAnsi"/>
        </w:rPr>
        <w:t xml:space="preserve">Figure </w:t>
      </w:r>
      <w:r w:rsidR="002228C4" w:rsidRPr="00950D34">
        <w:rPr>
          <w:rFonts w:cstheme="minorHAnsi"/>
        </w:rPr>
        <w:t>1</w:t>
      </w:r>
      <w:bookmarkEnd w:id="4"/>
      <w:r w:rsidRPr="00950D34">
        <w:rPr>
          <w:rFonts w:cstheme="minorHAnsi"/>
        </w:rPr>
        <w:t>: Mean plasma naloxone concentrations (observed values): dosing to 120 minutes (left) an</w:t>
      </w:r>
      <w:r w:rsidR="00784E66" w:rsidRPr="00950D34">
        <w:rPr>
          <w:rFonts w:cstheme="minorHAnsi"/>
        </w:rPr>
        <w:t>d dosing to 20 minutes (right)</w:t>
      </w:r>
    </w:p>
    <w:p w:rsidR="0021166D" w:rsidRPr="00C24944" w:rsidRDefault="00F76867" w:rsidP="0021166D">
      <w:pPr>
        <w:keepNext/>
        <w:spacing w:before="120" w:after="160"/>
        <w:rPr>
          <w:rFonts w:asciiTheme="minorHAnsi" w:hAnsiTheme="minorHAnsi" w:cstheme="minorHAnsi"/>
        </w:rPr>
      </w:pPr>
      <w:r w:rsidRPr="00BB34F5">
        <w:rPr>
          <w:rFonts w:asciiTheme="minorHAnsi" w:hAnsiTheme="minorHAnsi" w:cstheme="minorHAnsi"/>
          <w:noProof/>
        </w:rPr>
        <w:drawing>
          <wp:inline distT="0" distB="0" distL="0" distR="0" wp14:anchorId="51DA16ED" wp14:editId="0CAE6B07">
            <wp:extent cx="5731510" cy="2169523"/>
            <wp:effectExtent l="0" t="0" r="2540" b="2540"/>
            <wp:docPr id="3" name="Picture 3" title="Figure 1: Mean plasma naloxone concentrations (observed values): dosing to 120 minutes (left) and dosing to 20 minutes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0" cy="2169523"/>
                    </a:xfrm>
                    <a:prstGeom prst="rect">
                      <a:avLst/>
                    </a:prstGeom>
                  </pic:spPr>
                </pic:pic>
              </a:graphicData>
            </a:graphic>
          </wp:inline>
        </w:drawing>
      </w:r>
    </w:p>
    <w:p w:rsidR="00170122" w:rsidRPr="00950D34" w:rsidRDefault="00170122" w:rsidP="00784E66">
      <w:pPr>
        <w:rPr>
          <w:rFonts w:ascii="Arial Narrow" w:hAnsi="Arial Narrow" w:cstheme="minorHAnsi"/>
          <w:sz w:val="22"/>
        </w:rPr>
      </w:pPr>
      <w:r w:rsidRPr="00950D34">
        <w:rPr>
          <w:rFonts w:ascii="Arial Narrow" w:hAnsi="Arial Narrow" w:cstheme="minorHAnsi"/>
          <w:sz w:val="18"/>
          <w:szCs w:val="20"/>
        </w:rPr>
        <w:t xml:space="preserve">Source: </w:t>
      </w:r>
      <w:r w:rsidR="00784E66" w:rsidRPr="00950D34">
        <w:rPr>
          <w:rFonts w:ascii="Arial Narrow" w:hAnsi="Arial Narrow" w:cstheme="minorHAnsi"/>
          <w:sz w:val="18"/>
          <w:szCs w:val="20"/>
        </w:rPr>
        <w:t>McDonald et al 2017, p488.</w:t>
      </w:r>
    </w:p>
    <w:p w:rsidR="003C2FB5" w:rsidRPr="00C24944" w:rsidRDefault="005A3173" w:rsidP="008306F3">
      <w:pPr>
        <w:pStyle w:val="Heading2"/>
        <w:keepLines/>
        <w:spacing w:before="240" w:after="120"/>
        <w:rPr>
          <w:rFonts w:asciiTheme="minorHAnsi" w:eastAsiaTheme="majorEastAsia" w:hAnsiTheme="minorHAnsi" w:cstheme="minorHAnsi"/>
          <w:sz w:val="28"/>
          <w:szCs w:val="28"/>
          <w:lang w:eastAsia="en-US"/>
        </w:rPr>
      </w:pPr>
      <w:r w:rsidRPr="00C24944">
        <w:rPr>
          <w:rFonts w:asciiTheme="minorHAnsi" w:eastAsiaTheme="majorEastAsia" w:hAnsiTheme="minorHAnsi" w:cstheme="minorHAnsi"/>
          <w:sz w:val="28"/>
          <w:szCs w:val="28"/>
          <w:lang w:eastAsia="en-US"/>
        </w:rPr>
        <w:t>Clinical claim</w:t>
      </w:r>
    </w:p>
    <w:p w:rsidR="002204F5" w:rsidRPr="00C24944" w:rsidRDefault="00FF2801" w:rsidP="00B84D5C">
      <w:pPr>
        <w:pStyle w:val="ListParagraph"/>
        <w:widowControl/>
        <w:numPr>
          <w:ilvl w:val="1"/>
          <w:numId w:val="14"/>
        </w:numPr>
        <w:spacing w:after="120"/>
        <w:ind w:left="709"/>
        <w:contextualSpacing w:val="0"/>
        <w:rPr>
          <w:rFonts w:asciiTheme="minorHAnsi" w:hAnsiTheme="minorHAnsi" w:cstheme="minorHAnsi"/>
          <w:sz w:val="24"/>
          <w:szCs w:val="24"/>
        </w:rPr>
      </w:pPr>
      <w:r w:rsidRPr="00C24944">
        <w:rPr>
          <w:rFonts w:asciiTheme="minorHAnsi" w:hAnsiTheme="minorHAnsi" w:cstheme="minorHAnsi"/>
          <w:sz w:val="24"/>
          <w:szCs w:val="24"/>
        </w:rPr>
        <w:t>The submission claimed</w:t>
      </w:r>
      <w:r w:rsidR="00BB7EC3" w:rsidRPr="00C24944">
        <w:rPr>
          <w:rFonts w:asciiTheme="minorHAnsi" w:hAnsiTheme="minorHAnsi" w:cstheme="minorHAnsi"/>
          <w:sz w:val="24"/>
          <w:szCs w:val="24"/>
        </w:rPr>
        <w:t xml:space="preserve"> non-inferior comparative effectiveness and superior comparative safety of </w:t>
      </w:r>
      <w:r w:rsidR="00C03E2A" w:rsidRPr="00C24944">
        <w:rPr>
          <w:rFonts w:asciiTheme="minorHAnsi" w:hAnsiTheme="minorHAnsi" w:cstheme="minorHAnsi"/>
          <w:sz w:val="24"/>
          <w:szCs w:val="24"/>
        </w:rPr>
        <w:t xml:space="preserve">IN </w:t>
      </w:r>
      <w:r w:rsidR="00BB4D7B" w:rsidRPr="00C24944">
        <w:rPr>
          <w:rFonts w:asciiTheme="minorHAnsi" w:hAnsiTheme="minorHAnsi" w:cstheme="minorHAnsi"/>
          <w:sz w:val="24"/>
          <w:szCs w:val="24"/>
        </w:rPr>
        <w:t xml:space="preserve">naloxone </w:t>
      </w:r>
      <w:r w:rsidR="00BC47B0" w:rsidRPr="00C24944">
        <w:rPr>
          <w:rFonts w:asciiTheme="minorHAnsi" w:hAnsiTheme="minorHAnsi" w:cstheme="minorHAnsi"/>
          <w:sz w:val="24"/>
          <w:szCs w:val="24"/>
        </w:rPr>
        <w:t xml:space="preserve">(2 x </w:t>
      </w:r>
      <w:r w:rsidR="00D86851" w:rsidRPr="00C24944">
        <w:rPr>
          <w:rFonts w:asciiTheme="minorHAnsi" w:hAnsiTheme="minorHAnsi" w:cstheme="minorHAnsi"/>
          <w:sz w:val="24"/>
          <w:szCs w:val="24"/>
        </w:rPr>
        <w:t>1</w:t>
      </w:r>
      <w:r w:rsidR="00BC47B0" w:rsidRPr="00C24944">
        <w:rPr>
          <w:rFonts w:asciiTheme="minorHAnsi" w:hAnsiTheme="minorHAnsi" w:cstheme="minorHAnsi"/>
          <w:sz w:val="24"/>
          <w:szCs w:val="24"/>
        </w:rPr>
        <w:t>.</w:t>
      </w:r>
      <w:r w:rsidR="00D86851" w:rsidRPr="00C24944">
        <w:rPr>
          <w:rFonts w:asciiTheme="minorHAnsi" w:hAnsiTheme="minorHAnsi" w:cstheme="minorHAnsi"/>
          <w:sz w:val="24"/>
          <w:szCs w:val="24"/>
        </w:rPr>
        <w:t>8</w:t>
      </w:r>
      <w:r w:rsidR="00BC47B0" w:rsidRPr="00C24944">
        <w:rPr>
          <w:rFonts w:asciiTheme="minorHAnsi" w:hAnsiTheme="minorHAnsi" w:cstheme="minorHAnsi"/>
          <w:sz w:val="24"/>
          <w:szCs w:val="24"/>
        </w:rPr>
        <w:t>mg)</w:t>
      </w:r>
      <w:r w:rsidR="00BB4D7B" w:rsidRPr="00C24944">
        <w:rPr>
          <w:rFonts w:asciiTheme="minorHAnsi" w:hAnsiTheme="minorHAnsi" w:cstheme="minorHAnsi"/>
          <w:sz w:val="24"/>
          <w:szCs w:val="24"/>
        </w:rPr>
        <w:t xml:space="preserve"> </w:t>
      </w:r>
      <w:r w:rsidR="00BB7EC3" w:rsidRPr="00C24944">
        <w:rPr>
          <w:rFonts w:asciiTheme="minorHAnsi" w:hAnsiTheme="minorHAnsi" w:cstheme="minorHAnsi"/>
          <w:sz w:val="24"/>
          <w:szCs w:val="24"/>
        </w:rPr>
        <w:t xml:space="preserve">compared with </w:t>
      </w:r>
      <w:r w:rsidR="00BB4D7B" w:rsidRPr="00C24944">
        <w:rPr>
          <w:rFonts w:asciiTheme="minorHAnsi" w:hAnsiTheme="minorHAnsi" w:cstheme="minorHAnsi"/>
          <w:sz w:val="24"/>
          <w:szCs w:val="24"/>
        </w:rPr>
        <w:t xml:space="preserve">naloxone </w:t>
      </w:r>
      <w:r w:rsidR="00BC47B0" w:rsidRPr="00C24944">
        <w:rPr>
          <w:rFonts w:asciiTheme="minorHAnsi" w:hAnsiTheme="minorHAnsi" w:cstheme="minorHAnsi"/>
          <w:sz w:val="24"/>
          <w:szCs w:val="24"/>
        </w:rPr>
        <w:t>ampules (5 x 400</w:t>
      </w:r>
      <w:r w:rsidR="00F52EE4" w:rsidRPr="00C24944">
        <w:rPr>
          <w:rFonts w:asciiTheme="minorHAnsi" w:hAnsiTheme="minorHAnsi" w:cstheme="minorHAnsi"/>
          <w:sz w:val="24"/>
          <w:szCs w:val="24"/>
        </w:rPr>
        <w:t>mcg</w:t>
      </w:r>
      <w:r w:rsidR="00BC47B0" w:rsidRPr="00C24944">
        <w:rPr>
          <w:rFonts w:asciiTheme="minorHAnsi" w:hAnsiTheme="minorHAnsi" w:cstheme="minorHAnsi"/>
          <w:sz w:val="24"/>
          <w:szCs w:val="24"/>
        </w:rPr>
        <w:t>)</w:t>
      </w:r>
      <w:r w:rsidR="00BB7EC3" w:rsidRPr="00C24944">
        <w:rPr>
          <w:rFonts w:asciiTheme="minorHAnsi" w:hAnsiTheme="minorHAnsi" w:cstheme="minorHAnsi"/>
          <w:sz w:val="24"/>
          <w:szCs w:val="24"/>
        </w:rPr>
        <w:t>.</w:t>
      </w:r>
      <w:r w:rsidR="006C7C74" w:rsidRPr="00C24944">
        <w:rPr>
          <w:rFonts w:asciiTheme="minorHAnsi" w:hAnsiTheme="minorHAnsi" w:cstheme="minorHAnsi"/>
          <w:sz w:val="24"/>
          <w:szCs w:val="24"/>
        </w:rPr>
        <w:t xml:space="preserve"> While no comparative safety data was provided in the submission,</w:t>
      </w:r>
      <w:r w:rsidR="000D7C7D" w:rsidRPr="00C24944">
        <w:rPr>
          <w:rFonts w:asciiTheme="minorHAnsi" w:hAnsiTheme="minorHAnsi" w:cstheme="minorHAnsi"/>
          <w:sz w:val="24"/>
          <w:szCs w:val="24"/>
        </w:rPr>
        <w:t xml:space="preserve"> </w:t>
      </w:r>
      <w:r w:rsidR="006C7C74" w:rsidRPr="00C24944">
        <w:rPr>
          <w:rFonts w:asciiTheme="minorHAnsi" w:hAnsiTheme="minorHAnsi" w:cstheme="minorHAnsi"/>
          <w:sz w:val="24"/>
          <w:szCs w:val="24"/>
        </w:rPr>
        <w:t>t</w:t>
      </w:r>
      <w:r w:rsidR="000D7C7D" w:rsidRPr="00C24944">
        <w:rPr>
          <w:rFonts w:asciiTheme="minorHAnsi" w:hAnsiTheme="minorHAnsi" w:cstheme="minorHAnsi"/>
          <w:sz w:val="24"/>
          <w:szCs w:val="24"/>
        </w:rPr>
        <w:t>he</w:t>
      </w:r>
      <w:r w:rsidR="00E82F96" w:rsidRPr="00C24944">
        <w:rPr>
          <w:rFonts w:asciiTheme="minorHAnsi" w:hAnsiTheme="minorHAnsi" w:cstheme="minorHAnsi"/>
          <w:sz w:val="24"/>
          <w:szCs w:val="24"/>
        </w:rPr>
        <w:t xml:space="preserve"> </w:t>
      </w:r>
      <w:r w:rsidR="000D7C7D" w:rsidRPr="00C24944">
        <w:rPr>
          <w:rFonts w:asciiTheme="minorHAnsi" w:hAnsiTheme="minorHAnsi" w:cstheme="minorHAnsi"/>
          <w:sz w:val="24"/>
          <w:szCs w:val="24"/>
        </w:rPr>
        <w:t xml:space="preserve">claimed safety benefits </w:t>
      </w:r>
      <w:r w:rsidR="00E82F96" w:rsidRPr="00C24944">
        <w:rPr>
          <w:rFonts w:asciiTheme="minorHAnsi" w:hAnsiTheme="minorHAnsi" w:cstheme="minorHAnsi"/>
          <w:sz w:val="24"/>
          <w:szCs w:val="24"/>
        </w:rPr>
        <w:t>relate</w:t>
      </w:r>
      <w:r w:rsidR="000D7C7D" w:rsidRPr="00C24944">
        <w:rPr>
          <w:rFonts w:asciiTheme="minorHAnsi" w:hAnsiTheme="minorHAnsi" w:cstheme="minorHAnsi"/>
          <w:sz w:val="24"/>
          <w:szCs w:val="24"/>
        </w:rPr>
        <w:t xml:space="preserve"> to the manner of administration, such as reduced time to administ</w:t>
      </w:r>
      <w:r w:rsidR="006045E1" w:rsidRPr="00C24944">
        <w:rPr>
          <w:rFonts w:asciiTheme="minorHAnsi" w:hAnsiTheme="minorHAnsi" w:cstheme="minorHAnsi"/>
          <w:sz w:val="24"/>
          <w:szCs w:val="24"/>
        </w:rPr>
        <w:t>e</w:t>
      </w:r>
      <w:r w:rsidR="000D7C7D" w:rsidRPr="00C24944">
        <w:rPr>
          <w:rFonts w:asciiTheme="minorHAnsi" w:hAnsiTheme="minorHAnsi" w:cstheme="minorHAnsi"/>
          <w:sz w:val="24"/>
          <w:szCs w:val="24"/>
        </w:rPr>
        <w:t>r versus injectable naloxone, eliminated risk of needle-stick injuries, and reduced risk of acute withdrawal-related risks to resp</w:t>
      </w:r>
      <w:r w:rsidR="00734521" w:rsidRPr="00C24944">
        <w:rPr>
          <w:rFonts w:asciiTheme="minorHAnsi" w:hAnsiTheme="minorHAnsi" w:cstheme="minorHAnsi"/>
          <w:sz w:val="24"/>
          <w:szCs w:val="24"/>
        </w:rPr>
        <w:t xml:space="preserve">onders. </w:t>
      </w:r>
    </w:p>
    <w:p w:rsidR="00F57A6D" w:rsidRPr="00C24944" w:rsidRDefault="00756BB1" w:rsidP="00942F4C">
      <w:pPr>
        <w:spacing w:after="120"/>
        <w:ind w:left="-11" w:firstLine="720"/>
        <w:rPr>
          <w:rFonts w:asciiTheme="minorHAnsi" w:hAnsiTheme="minorHAnsi" w:cstheme="minorHAnsi"/>
        </w:rPr>
      </w:pPr>
      <w:r w:rsidRPr="00C24944">
        <w:rPr>
          <w:rFonts w:asciiTheme="minorHAnsi" w:eastAsiaTheme="minorHAnsi" w:hAnsiTheme="minorHAnsi" w:cstheme="minorHAnsi"/>
          <w:i/>
          <w:szCs w:val="22"/>
        </w:rPr>
        <w:t>For more detail on PBAC’s view, see section 7 PBAC outcome.</w:t>
      </w:r>
    </w:p>
    <w:p w:rsidR="005A3173" w:rsidRPr="00C24944" w:rsidRDefault="005A3173" w:rsidP="00966D0D">
      <w:pPr>
        <w:pStyle w:val="Heading2"/>
        <w:keepLines/>
        <w:spacing w:before="240" w:after="120"/>
        <w:rPr>
          <w:rFonts w:asciiTheme="minorHAnsi" w:eastAsiaTheme="majorEastAsia" w:hAnsiTheme="minorHAnsi" w:cstheme="minorHAnsi"/>
          <w:sz w:val="28"/>
          <w:szCs w:val="28"/>
          <w:lang w:eastAsia="en-US"/>
        </w:rPr>
      </w:pPr>
      <w:r w:rsidRPr="00C24944">
        <w:rPr>
          <w:rFonts w:asciiTheme="minorHAnsi" w:eastAsiaTheme="majorEastAsia" w:hAnsiTheme="minorHAnsi" w:cstheme="minorHAnsi"/>
          <w:sz w:val="28"/>
          <w:szCs w:val="28"/>
          <w:lang w:eastAsia="en-US"/>
        </w:rPr>
        <w:lastRenderedPageBreak/>
        <w:t>Economic analysis</w:t>
      </w:r>
    </w:p>
    <w:p w:rsidR="00ED41F6" w:rsidRPr="00C24944" w:rsidRDefault="00625E4B" w:rsidP="00795991">
      <w:pPr>
        <w:pStyle w:val="ListParagraph"/>
        <w:widowControl/>
        <w:numPr>
          <w:ilvl w:val="1"/>
          <w:numId w:val="14"/>
        </w:numPr>
        <w:spacing w:after="120"/>
        <w:contextualSpacing w:val="0"/>
        <w:rPr>
          <w:rFonts w:asciiTheme="minorHAnsi" w:eastAsiaTheme="minorHAnsi" w:hAnsiTheme="minorHAnsi" w:cstheme="minorHAnsi"/>
          <w:i/>
          <w:snapToGrid/>
          <w:color w:val="FF00FF"/>
          <w:sz w:val="24"/>
          <w:szCs w:val="22"/>
        </w:rPr>
      </w:pPr>
      <w:r w:rsidRPr="00C24944">
        <w:rPr>
          <w:rFonts w:asciiTheme="minorHAnsi" w:hAnsiTheme="minorHAnsi" w:cstheme="minorHAnsi"/>
          <w:sz w:val="24"/>
          <w:szCs w:val="24"/>
        </w:rPr>
        <w:t xml:space="preserve">The submission </w:t>
      </w:r>
      <w:r w:rsidR="00570C65" w:rsidRPr="00C24944">
        <w:rPr>
          <w:rFonts w:asciiTheme="minorHAnsi" w:hAnsiTheme="minorHAnsi" w:cstheme="minorHAnsi"/>
          <w:sz w:val="24"/>
          <w:szCs w:val="24"/>
        </w:rPr>
        <w:t>propose</w:t>
      </w:r>
      <w:r w:rsidR="000A7171" w:rsidRPr="00C24944">
        <w:rPr>
          <w:rFonts w:asciiTheme="minorHAnsi" w:hAnsiTheme="minorHAnsi" w:cstheme="minorHAnsi"/>
          <w:sz w:val="24"/>
          <w:szCs w:val="24"/>
        </w:rPr>
        <w:t>d</w:t>
      </w:r>
      <w:r w:rsidR="00570C65" w:rsidRPr="00C24944">
        <w:rPr>
          <w:rFonts w:asciiTheme="minorHAnsi" w:hAnsiTheme="minorHAnsi" w:cstheme="minorHAnsi"/>
          <w:sz w:val="24"/>
          <w:szCs w:val="24"/>
        </w:rPr>
        <w:t xml:space="preserve"> an ex-manufac</w:t>
      </w:r>
      <w:r w:rsidR="00BE0177" w:rsidRPr="00C24944">
        <w:rPr>
          <w:rFonts w:asciiTheme="minorHAnsi" w:hAnsiTheme="minorHAnsi" w:cstheme="minorHAnsi"/>
          <w:sz w:val="24"/>
          <w:szCs w:val="24"/>
        </w:rPr>
        <w:t xml:space="preserve">turer price equal to the </w:t>
      </w:r>
      <w:r w:rsidR="00795991" w:rsidRPr="00C24944">
        <w:rPr>
          <w:rFonts w:asciiTheme="minorHAnsi" w:hAnsiTheme="minorHAnsi" w:cstheme="minorHAnsi"/>
          <w:sz w:val="24"/>
          <w:szCs w:val="24"/>
        </w:rPr>
        <w:t xml:space="preserve">approved </w:t>
      </w:r>
      <w:r w:rsidR="00BE0177" w:rsidRPr="00C24944">
        <w:rPr>
          <w:rFonts w:asciiTheme="minorHAnsi" w:hAnsiTheme="minorHAnsi" w:cstheme="minorHAnsi"/>
          <w:sz w:val="24"/>
          <w:szCs w:val="24"/>
        </w:rPr>
        <w:t>ex-manufacture price of naloxone hydrochloride 400 microgram/mL injection, 5 x 1 mL ampoules (PBS item 10783M) and the cost of</w:t>
      </w:r>
      <w:r w:rsidR="00570C65" w:rsidRPr="00C24944">
        <w:rPr>
          <w:rFonts w:asciiTheme="minorHAnsi" w:hAnsiTheme="minorHAnsi" w:cstheme="minorHAnsi"/>
          <w:sz w:val="24"/>
          <w:szCs w:val="24"/>
        </w:rPr>
        <w:t xml:space="preserve"> administering IM naloxone</w:t>
      </w:r>
      <w:r w:rsidR="00742D86" w:rsidRPr="00C24944">
        <w:rPr>
          <w:rFonts w:asciiTheme="minorHAnsi" w:hAnsiTheme="minorHAnsi" w:cstheme="minorHAnsi"/>
          <w:sz w:val="24"/>
          <w:szCs w:val="24"/>
        </w:rPr>
        <w:t>, based o</w:t>
      </w:r>
      <w:r w:rsidR="00BE0177" w:rsidRPr="00C24944">
        <w:rPr>
          <w:rFonts w:asciiTheme="minorHAnsi" w:hAnsiTheme="minorHAnsi" w:cstheme="minorHAnsi"/>
          <w:sz w:val="24"/>
          <w:szCs w:val="24"/>
        </w:rPr>
        <w:t>n contents of the NSW Users and AIDS Association (NUAA), Naloxone Kit</w:t>
      </w:r>
      <w:r w:rsidR="00570C65" w:rsidRPr="00C24944">
        <w:rPr>
          <w:rFonts w:asciiTheme="minorHAnsi" w:hAnsiTheme="minorHAnsi" w:cstheme="minorHAnsi"/>
          <w:sz w:val="24"/>
          <w:szCs w:val="24"/>
        </w:rPr>
        <w:t xml:space="preserve">. </w:t>
      </w:r>
      <w:r w:rsidR="00BE0177" w:rsidRPr="00C24944">
        <w:rPr>
          <w:rFonts w:asciiTheme="minorHAnsi" w:hAnsiTheme="minorHAnsi" w:cstheme="minorHAnsi"/>
          <w:sz w:val="24"/>
          <w:szCs w:val="24"/>
        </w:rPr>
        <w:t>The</w:t>
      </w:r>
      <w:r w:rsidRPr="00C24944">
        <w:rPr>
          <w:rFonts w:asciiTheme="minorHAnsi" w:hAnsiTheme="minorHAnsi" w:cstheme="minorHAnsi"/>
          <w:sz w:val="24"/>
          <w:szCs w:val="24"/>
        </w:rPr>
        <w:t xml:space="preserve"> cost-analysis</w:t>
      </w:r>
      <w:r w:rsidR="00570C65" w:rsidRPr="00C24944">
        <w:rPr>
          <w:rFonts w:asciiTheme="minorHAnsi" w:hAnsiTheme="minorHAnsi" w:cstheme="minorHAnsi"/>
          <w:sz w:val="24"/>
          <w:szCs w:val="24"/>
        </w:rPr>
        <w:t xml:space="preserve"> is presented in </w:t>
      </w:r>
      <w:r w:rsidR="002228C4" w:rsidRPr="00C24944">
        <w:rPr>
          <w:rFonts w:asciiTheme="minorHAnsi" w:hAnsiTheme="minorHAnsi" w:cstheme="minorHAnsi"/>
          <w:sz w:val="24"/>
          <w:szCs w:val="24"/>
        </w:rPr>
        <w:t xml:space="preserve">Table </w:t>
      </w:r>
      <w:r w:rsidR="002228C4" w:rsidRPr="00BB34F5">
        <w:rPr>
          <w:rFonts w:asciiTheme="minorHAnsi" w:hAnsiTheme="minorHAnsi" w:cstheme="minorHAnsi"/>
          <w:sz w:val="24"/>
          <w:szCs w:val="24"/>
        </w:rPr>
        <w:t>3</w:t>
      </w:r>
      <w:r w:rsidR="00570C65" w:rsidRPr="00C24944">
        <w:rPr>
          <w:rFonts w:asciiTheme="minorHAnsi" w:hAnsiTheme="minorHAnsi" w:cstheme="minorHAnsi"/>
          <w:sz w:val="24"/>
          <w:szCs w:val="24"/>
        </w:rPr>
        <w:t xml:space="preserve">. </w:t>
      </w:r>
    </w:p>
    <w:p w:rsidR="00D01662" w:rsidRPr="00C24944" w:rsidRDefault="00795991" w:rsidP="00795991">
      <w:pPr>
        <w:pStyle w:val="ListParagraph"/>
        <w:widowControl/>
        <w:numPr>
          <w:ilvl w:val="1"/>
          <w:numId w:val="14"/>
        </w:numPr>
        <w:spacing w:after="120"/>
        <w:contextualSpacing w:val="0"/>
        <w:rPr>
          <w:rFonts w:asciiTheme="minorHAnsi" w:eastAsiaTheme="minorHAnsi" w:hAnsiTheme="minorHAnsi" w:cstheme="minorHAnsi"/>
          <w:snapToGrid/>
          <w:color w:val="FF00FF"/>
          <w:sz w:val="24"/>
          <w:szCs w:val="22"/>
        </w:rPr>
      </w:pPr>
      <w:r w:rsidRPr="00C24944">
        <w:rPr>
          <w:rFonts w:asciiTheme="minorHAnsi" w:hAnsiTheme="minorHAnsi" w:cstheme="minorHAnsi"/>
          <w:sz w:val="24"/>
          <w:szCs w:val="24"/>
        </w:rPr>
        <w:t>A</w:t>
      </w:r>
      <w:r w:rsidR="00570C65" w:rsidRPr="00C24944">
        <w:rPr>
          <w:rFonts w:asciiTheme="minorHAnsi" w:hAnsiTheme="minorHAnsi" w:cstheme="minorHAnsi"/>
          <w:sz w:val="24"/>
          <w:szCs w:val="24"/>
        </w:rPr>
        <w:t xml:space="preserve">ncillary equipment is not a cost to </w:t>
      </w:r>
      <w:r w:rsidRPr="00C24944">
        <w:rPr>
          <w:rFonts w:asciiTheme="minorHAnsi" w:hAnsiTheme="minorHAnsi" w:cstheme="minorHAnsi"/>
          <w:sz w:val="24"/>
          <w:szCs w:val="24"/>
        </w:rPr>
        <w:t xml:space="preserve">the </w:t>
      </w:r>
      <w:r w:rsidR="00570C65" w:rsidRPr="00C24944">
        <w:rPr>
          <w:rFonts w:asciiTheme="minorHAnsi" w:hAnsiTheme="minorHAnsi" w:cstheme="minorHAnsi"/>
          <w:sz w:val="24"/>
          <w:szCs w:val="24"/>
        </w:rPr>
        <w:t>PBS for IM administration of naloxone.</w:t>
      </w:r>
      <w:r w:rsidR="00E92905" w:rsidRPr="00C24944">
        <w:rPr>
          <w:rFonts w:asciiTheme="minorHAnsi" w:hAnsiTheme="minorHAnsi" w:cstheme="minorHAnsi"/>
          <w:sz w:val="24"/>
          <w:szCs w:val="24"/>
        </w:rPr>
        <w:t xml:space="preserve"> </w:t>
      </w:r>
      <w:r w:rsidR="00130D3A" w:rsidRPr="00C24944">
        <w:rPr>
          <w:rFonts w:asciiTheme="minorHAnsi" w:hAnsiTheme="minorHAnsi" w:cstheme="minorHAnsi"/>
          <w:sz w:val="24"/>
          <w:szCs w:val="24"/>
        </w:rPr>
        <w:t xml:space="preserve">The Pre-PBAC response highlighted that this approach was consistent with the Manual of Resource Items and Associated Unit Costs </w:t>
      </w:r>
      <w:r w:rsidR="0001368F" w:rsidRPr="00C24944">
        <w:rPr>
          <w:rFonts w:asciiTheme="minorHAnsi" w:hAnsiTheme="minorHAnsi" w:cstheme="minorHAnsi"/>
          <w:sz w:val="24"/>
          <w:szCs w:val="24"/>
        </w:rPr>
        <w:t>2016</w:t>
      </w:r>
      <w:r w:rsidR="00BE439C" w:rsidRPr="00C24944">
        <w:rPr>
          <w:rFonts w:asciiTheme="minorHAnsi" w:hAnsiTheme="minorHAnsi" w:cstheme="minorHAnsi"/>
          <w:sz w:val="24"/>
          <w:szCs w:val="24"/>
        </w:rPr>
        <w:t xml:space="preserve"> (Section 4.4)</w:t>
      </w:r>
      <w:r w:rsidR="0001368F" w:rsidRPr="00C24944">
        <w:rPr>
          <w:rFonts w:asciiTheme="minorHAnsi" w:hAnsiTheme="minorHAnsi" w:cstheme="minorHAnsi"/>
          <w:sz w:val="24"/>
          <w:szCs w:val="24"/>
        </w:rPr>
        <w:t>, which</w:t>
      </w:r>
      <w:r w:rsidR="00130D3A" w:rsidRPr="00C24944">
        <w:rPr>
          <w:rFonts w:asciiTheme="minorHAnsi" w:hAnsiTheme="minorHAnsi" w:cstheme="minorHAnsi"/>
          <w:sz w:val="24"/>
          <w:szCs w:val="24"/>
        </w:rPr>
        <w:t xml:space="preserve"> state</w:t>
      </w:r>
      <w:r w:rsidR="0001368F" w:rsidRPr="00C24944">
        <w:rPr>
          <w:rFonts w:asciiTheme="minorHAnsi" w:hAnsiTheme="minorHAnsi" w:cstheme="minorHAnsi"/>
          <w:sz w:val="24"/>
          <w:szCs w:val="24"/>
        </w:rPr>
        <w:t>s</w:t>
      </w:r>
      <w:r w:rsidR="00130D3A" w:rsidRPr="00C24944">
        <w:rPr>
          <w:rFonts w:asciiTheme="minorHAnsi" w:hAnsiTheme="minorHAnsi" w:cstheme="minorHAnsi"/>
          <w:sz w:val="24"/>
          <w:szCs w:val="24"/>
        </w:rPr>
        <w:t xml:space="preserve"> that economic evaluation ‘uses a price equivalent to the average price charged to the consumer’.</w:t>
      </w:r>
    </w:p>
    <w:p w:rsidR="00625E4B" w:rsidRPr="00C24944" w:rsidRDefault="00D01662" w:rsidP="00795991">
      <w:pPr>
        <w:pStyle w:val="ListParagraph"/>
        <w:widowControl/>
        <w:numPr>
          <w:ilvl w:val="1"/>
          <w:numId w:val="14"/>
        </w:numPr>
        <w:spacing w:after="120"/>
        <w:contextualSpacing w:val="0"/>
        <w:rPr>
          <w:rFonts w:asciiTheme="minorHAnsi" w:eastAsiaTheme="minorHAnsi" w:hAnsiTheme="minorHAnsi" w:cstheme="minorHAnsi"/>
          <w:snapToGrid/>
          <w:color w:val="FF00FF"/>
          <w:sz w:val="24"/>
          <w:szCs w:val="22"/>
        </w:rPr>
      </w:pPr>
      <w:r w:rsidRPr="00C24944">
        <w:rPr>
          <w:rFonts w:asciiTheme="minorHAnsi" w:hAnsiTheme="minorHAnsi" w:cstheme="minorHAnsi"/>
          <w:sz w:val="24"/>
          <w:szCs w:val="24"/>
        </w:rPr>
        <w:t>The comparator</w:t>
      </w:r>
      <w:r w:rsidR="0089021B" w:rsidRPr="00C24944">
        <w:rPr>
          <w:rFonts w:asciiTheme="minorHAnsi" w:hAnsiTheme="minorHAnsi" w:cstheme="minorHAnsi"/>
          <w:sz w:val="24"/>
          <w:szCs w:val="24"/>
        </w:rPr>
        <w:t>,</w:t>
      </w:r>
      <w:r w:rsidRPr="00C24944">
        <w:rPr>
          <w:rFonts w:asciiTheme="minorHAnsi" w:hAnsiTheme="minorHAnsi" w:cstheme="minorHAnsi"/>
          <w:sz w:val="24"/>
          <w:szCs w:val="24"/>
        </w:rPr>
        <w:t xml:space="preserve"> </w:t>
      </w:r>
      <w:r w:rsidR="0089021B" w:rsidRPr="00C24944">
        <w:rPr>
          <w:rFonts w:asciiTheme="minorHAnsi" w:hAnsiTheme="minorHAnsi" w:cstheme="minorHAnsi"/>
          <w:sz w:val="24"/>
          <w:szCs w:val="24"/>
        </w:rPr>
        <w:t>n</w:t>
      </w:r>
      <w:r w:rsidRPr="00C24944">
        <w:rPr>
          <w:rFonts w:asciiTheme="minorHAnsi" w:hAnsiTheme="minorHAnsi" w:cstheme="minorHAnsi"/>
          <w:sz w:val="24"/>
          <w:szCs w:val="24"/>
        </w:rPr>
        <w:t>aloxone vials</w:t>
      </w:r>
      <w:r w:rsidR="0089021B" w:rsidRPr="00C24944">
        <w:rPr>
          <w:rFonts w:asciiTheme="minorHAnsi" w:hAnsiTheme="minorHAnsi" w:cstheme="minorHAnsi"/>
          <w:sz w:val="24"/>
          <w:szCs w:val="24"/>
        </w:rPr>
        <w:t>,</w:t>
      </w:r>
      <w:r w:rsidRPr="00C24944">
        <w:rPr>
          <w:rFonts w:asciiTheme="minorHAnsi" w:hAnsiTheme="minorHAnsi" w:cstheme="minorHAnsi"/>
          <w:sz w:val="24"/>
          <w:szCs w:val="24"/>
        </w:rPr>
        <w:t xml:space="preserve"> include </w:t>
      </w:r>
      <w:r w:rsidR="00C24944" w:rsidRPr="00C24944">
        <w:rPr>
          <w:rFonts w:asciiTheme="minorHAnsi" w:hAnsiTheme="minorHAnsi" w:cstheme="minorHAnsi"/>
          <w:sz w:val="24"/>
          <w:szCs w:val="24"/>
        </w:rPr>
        <w:t>five</w:t>
      </w:r>
      <w:r w:rsidRPr="00C24944">
        <w:rPr>
          <w:rFonts w:asciiTheme="minorHAnsi" w:hAnsiTheme="minorHAnsi" w:cstheme="minorHAnsi"/>
          <w:sz w:val="24"/>
          <w:szCs w:val="24"/>
        </w:rPr>
        <w:t xml:space="preserve"> vials per pack and not all vials in the pack will be used per treatment. </w:t>
      </w:r>
      <w:r w:rsidR="002204F5" w:rsidRPr="00C24944">
        <w:rPr>
          <w:rFonts w:asciiTheme="minorHAnsi" w:hAnsiTheme="minorHAnsi" w:cstheme="minorHAnsi"/>
          <w:sz w:val="24"/>
          <w:szCs w:val="24"/>
        </w:rPr>
        <w:t>This may</w:t>
      </w:r>
      <w:r w:rsidRPr="00C24944">
        <w:rPr>
          <w:rFonts w:asciiTheme="minorHAnsi" w:hAnsiTheme="minorHAnsi" w:cstheme="minorHAnsi"/>
          <w:sz w:val="24"/>
          <w:szCs w:val="24"/>
        </w:rPr>
        <w:t xml:space="preserve"> impact the </w:t>
      </w:r>
      <w:proofErr w:type="spellStart"/>
      <w:r w:rsidRPr="00C24944">
        <w:rPr>
          <w:rFonts w:asciiTheme="minorHAnsi" w:hAnsiTheme="minorHAnsi" w:cstheme="minorHAnsi"/>
          <w:sz w:val="24"/>
          <w:szCs w:val="24"/>
        </w:rPr>
        <w:t>equi</w:t>
      </w:r>
      <w:proofErr w:type="spellEnd"/>
      <w:r w:rsidRPr="00C24944">
        <w:rPr>
          <w:rFonts w:asciiTheme="minorHAnsi" w:hAnsiTheme="minorHAnsi" w:cstheme="minorHAnsi"/>
          <w:sz w:val="24"/>
          <w:szCs w:val="24"/>
        </w:rPr>
        <w:t>-effective dose in the economic analysis.</w:t>
      </w:r>
      <w:r w:rsidR="00756BB1" w:rsidRPr="00C24944">
        <w:rPr>
          <w:rFonts w:asciiTheme="minorHAnsi" w:hAnsiTheme="minorHAnsi" w:cstheme="minorHAnsi"/>
          <w:sz w:val="24"/>
          <w:szCs w:val="24"/>
        </w:rPr>
        <w:t xml:space="preserve"> </w:t>
      </w:r>
      <w:bookmarkStart w:id="5" w:name="_GoBack"/>
      <w:bookmarkEnd w:id="5"/>
    </w:p>
    <w:p w:rsidR="00625E4B" w:rsidRPr="00EE30C8" w:rsidRDefault="00625E4B" w:rsidP="00625E4B">
      <w:pPr>
        <w:pStyle w:val="Caption"/>
        <w:rPr>
          <w:rFonts w:cstheme="minorHAnsi"/>
        </w:rPr>
      </w:pPr>
      <w:bookmarkStart w:id="6" w:name="_Ref535496795"/>
      <w:r w:rsidRPr="00EE30C8">
        <w:rPr>
          <w:rFonts w:cstheme="minorHAnsi"/>
        </w:rPr>
        <w:t xml:space="preserve">Table </w:t>
      </w:r>
      <w:r w:rsidR="002228C4" w:rsidRPr="00EE30C8">
        <w:rPr>
          <w:rFonts w:cstheme="minorHAnsi"/>
        </w:rPr>
        <w:t>3</w:t>
      </w:r>
      <w:bookmarkEnd w:id="6"/>
      <w:r w:rsidRPr="00EE30C8">
        <w:rPr>
          <w:rFonts w:cstheme="minorHAnsi"/>
        </w:rPr>
        <w:t>. Cost-analysis summary for IM naloxone administration.</w:t>
      </w:r>
    </w:p>
    <w:tbl>
      <w:tblPr>
        <w:tblStyle w:val="TableGrid"/>
        <w:tblW w:w="5000" w:type="pct"/>
        <w:tblLook w:val="04A0" w:firstRow="1" w:lastRow="0" w:firstColumn="1" w:lastColumn="0" w:noHBand="0" w:noVBand="1"/>
        <w:tblCaption w:val="Table 3. Cost-analysis summary for IM naloxone administration."/>
      </w:tblPr>
      <w:tblGrid>
        <w:gridCol w:w="3084"/>
        <w:gridCol w:w="1549"/>
        <w:gridCol w:w="775"/>
        <w:gridCol w:w="1547"/>
        <w:gridCol w:w="775"/>
        <w:gridCol w:w="1286"/>
      </w:tblGrid>
      <w:tr w:rsidR="00795991" w:rsidRPr="00C24944" w:rsidTr="00323773">
        <w:trPr>
          <w:trHeight w:val="300"/>
          <w:tblHeader/>
        </w:trPr>
        <w:tc>
          <w:tcPr>
            <w:tcW w:w="1710" w:type="pct"/>
            <w:vMerge w:val="restart"/>
            <w:noWrap/>
            <w:hideMark/>
          </w:tcPr>
          <w:p w:rsidR="00795991" w:rsidRPr="00EE30C8" w:rsidRDefault="00795991" w:rsidP="00042A7B">
            <w:pPr>
              <w:keepNext/>
              <w:rPr>
                <w:rFonts w:ascii="Arial Narrow" w:hAnsi="Arial Narrow" w:cstheme="minorHAnsi"/>
                <w:b/>
                <w:bCs/>
                <w:color w:val="000000"/>
                <w:sz w:val="20"/>
                <w:szCs w:val="20"/>
              </w:rPr>
            </w:pPr>
            <w:r w:rsidRPr="00EE30C8">
              <w:rPr>
                <w:rFonts w:ascii="Arial Narrow" w:hAnsi="Arial Narrow" w:cstheme="minorHAnsi"/>
                <w:b/>
                <w:bCs/>
                <w:color w:val="000000"/>
                <w:sz w:val="20"/>
                <w:szCs w:val="20"/>
              </w:rPr>
              <w:t> </w:t>
            </w:r>
          </w:p>
          <w:p w:rsidR="00795991" w:rsidRPr="00EE30C8" w:rsidRDefault="00795991" w:rsidP="00042A7B">
            <w:pPr>
              <w:keepNext/>
              <w:rPr>
                <w:rFonts w:ascii="Arial Narrow" w:hAnsi="Arial Narrow" w:cstheme="minorHAnsi"/>
                <w:b/>
                <w:bCs/>
                <w:color w:val="000000"/>
                <w:sz w:val="20"/>
                <w:szCs w:val="20"/>
              </w:rPr>
            </w:pPr>
            <w:r w:rsidRPr="00EE30C8">
              <w:rPr>
                <w:rFonts w:ascii="Arial Narrow" w:hAnsi="Arial Narrow" w:cstheme="minorHAnsi"/>
                <w:b/>
                <w:bCs/>
                <w:color w:val="000000"/>
                <w:sz w:val="20"/>
                <w:szCs w:val="20"/>
              </w:rPr>
              <w:t>NUAA Kit:</w:t>
            </w:r>
          </w:p>
        </w:tc>
        <w:tc>
          <w:tcPr>
            <w:tcW w:w="2147" w:type="pct"/>
            <w:gridSpan w:val="3"/>
            <w:noWrap/>
            <w:hideMark/>
          </w:tcPr>
          <w:p w:rsidR="00795991" w:rsidRPr="00EE30C8" w:rsidRDefault="00795991" w:rsidP="00042A7B">
            <w:pPr>
              <w:keepNext/>
              <w:jc w:val="center"/>
              <w:rPr>
                <w:rFonts w:ascii="Arial Narrow" w:hAnsi="Arial Narrow" w:cstheme="minorHAnsi"/>
                <w:b/>
                <w:bCs/>
                <w:color w:val="000000"/>
                <w:sz w:val="20"/>
                <w:szCs w:val="20"/>
              </w:rPr>
            </w:pPr>
            <w:r w:rsidRPr="00EE30C8">
              <w:rPr>
                <w:rFonts w:ascii="Arial Narrow" w:hAnsi="Arial Narrow" w:cstheme="minorHAnsi"/>
                <w:b/>
                <w:bCs/>
                <w:color w:val="000000"/>
                <w:sz w:val="20"/>
                <w:szCs w:val="20"/>
              </w:rPr>
              <w:t>Purchasing Costs</w:t>
            </w:r>
          </w:p>
        </w:tc>
        <w:tc>
          <w:tcPr>
            <w:tcW w:w="1144" w:type="pct"/>
            <w:gridSpan w:val="2"/>
            <w:noWrap/>
            <w:hideMark/>
          </w:tcPr>
          <w:p w:rsidR="00795991" w:rsidRPr="00EE30C8" w:rsidRDefault="00795991" w:rsidP="00042A7B">
            <w:pPr>
              <w:keepNext/>
              <w:jc w:val="center"/>
              <w:rPr>
                <w:rFonts w:ascii="Arial Narrow" w:hAnsi="Arial Narrow" w:cstheme="minorHAnsi"/>
                <w:b/>
                <w:bCs/>
                <w:color w:val="000000"/>
                <w:sz w:val="20"/>
                <w:szCs w:val="20"/>
              </w:rPr>
            </w:pPr>
            <w:r w:rsidRPr="00EE30C8">
              <w:rPr>
                <w:rFonts w:ascii="Arial Narrow" w:hAnsi="Arial Narrow" w:cstheme="minorHAnsi"/>
                <w:b/>
                <w:bCs/>
                <w:color w:val="000000"/>
                <w:sz w:val="20"/>
                <w:szCs w:val="20"/>
              </w:rPr>
              <w:t>Per kit</w:t>
            </w:r>
          </w:p>
        </w:tc>
      </w:tr>
      <w:tr w:rsidR="00795991" w:rsidRPr="00C24944" w:rsidTr="00323773">
        <w:trPr>
          <w:trHeight w:val="300"/>
          <w:tblHeader/>
        </w:trPr>
        <w:tc>
          <w:tcPr>
            <w:tcW w:w="1710" w:type="pct"/>
            <w:vMerge/>
            <w:hideMark/>
          </w:tcPr>
          <w:p w:rsidR="00795991" w:rsidRPr="00EE30C8" w:rsidRDefault="00795991" w:rsidP="00042A7B">
            <w:pPr>
              <w:keepNext/>
              <w:rPr>
                <w:rFonts w:ascii="Arial Narrow" w:hAnsi="Arial Narrow" w:cstheme="minorHAnsi"/>
                <w:b/>
                <w:bCs/>
                <w:color w:val="000000"/>
                <w:sz w:val="20"/>
                <w:szCs w:val="20"/>
              </w:rPr>
            </w:pPr>
          </w:p>
        </w:tc>
        <w:tc>
          <w:tcPr>
            <w:tcW w:w="859" w:type="pct"/>
            <w:hideMark/>
          </w:tcPr>
          <w:p w:rsidR="00795991" w:rsidRPr="00EE30C8" w:rsidRDefault="00795991" w:rsidP="00042A7B">
            <w:pPr>
              <w:keepNext/>
              <w:jc w:val="center"/>
              <w:rPr>
                <w:rFonts w:ascii="Arial Narrow" w:hAnsi="Arial Narrow" w:cstheme="minorHAnsi"/>
                <w:b/>
                <w:bCs/>
                <w:color w:val="000000"/>
                <w:sz w:val="20"/>
                <w:szCs w:val="20"/>
              </w:rPr>
            </w:pPr>
            <w:r w:rsidRPr="00EE30C8">
              <w:rPr>
                <w:rFonts w:ascii="Arial Narrow" w:hAnsi="Arial Narrow" w:cstheme="minorHAnsi"/>
                <w:b/>
                <w:bCs/>
                <w:color w:val="000000"/>
                <w:sz w:val="20"/>
                <w:szCs w:val="20"/>
              </w:rPr>
              <w:t>Cost per pack</w:t>
            </w:r>
          </w:p>
        </w:tc>
        <w:tc>
          <w:tcPr>
            <w:tcW w:w="430" w:type="pct"/>
            <w:hideMark/>
          </w:tcPr>
          <w:p w:rsidR="00795991" w:rsidRPr="00EE30C8" w:rsidRDefault="00795991" w:rsidP="00042A7B">
            <w:pPr>
              <w:keepNext/>
              <w:jc w:val="center"/>
              <w:rPr>
                <w:rFonts w:ascii="Arial Narrow" w:hAnsi="Arial Narrow" w:cstheme="minorHAnsi"/>
                <w:b/>
                <w:bCs/>
                <w:color w:val="000000"/>
                <w:sz w:val="20"/>
                <w:szCs w:val="20"/>
              </w:rPr>
            </w:pPr>
            <w:proofErr w:type="spellStart"/>
            <w:r w:rsidRPr="00EE30C8">
              <w:rPr>
                <w:rFonts w:ascii="Arial Narrow" w:hAnsi="Arial Narrow" w:cstheme="minorHAnsi"/>
                <w:b/>
                <w:bCs/>
                <w:color w:val="000000"/>
                <w:sz w:val="20"/>
                <w:szCs w:val="20"/>
              </w:rPr>
              <w:t>Qty</w:t>
            </w:r>
            <w:proofErr w:type="spellEnd"/>
          </w:p>
        </w:tc>
        <w:tc>
          <w:tcPr>
            <w:tcW w:w="858" w:type="pct"/>
            <w:hideMark/>
          </w:tcPr>
          <w:p w:rsidR="00795991" w:rsidRPr="00EE30C8" w:rsidRDefault="00795991" w:rsidP="00042A7B">
            <w:pPr>
              <w:keepNext/>
              <w:jc w:val="center"/>
              <w:rPr>
                <w:rFonts w:ascii="Arial Narrow" w:hAnsi="Arial Narrow" w:cstheme="minorHAnsi"/>
                <w:b/>
                <w:bCs/>
                <w:color w:val="000000"/>
                <w:sz w:val="20"/>
                <w:szCs w:val="20"/>
              </w:rPr>
            </w:pPr>
            <w:r w:rsidRPr="00EE30C8">
              <w:rPr>
                <w:rFonts w:ascii="Arial Narrow" w:hAnsi="Arial Narrow" w:cstheme="minorHAnsi"/>
                <w:b/>
                <w:bCs/>
                <w:color w:val="000000"/>
                <w:sz w:val="20"/>
                <w:szCs w:val="20"/>
              </w:rPr>
              <w:t>Item cost</w:t>
            </w:r>
          </w:p>
        </w:tc>
        <w:tc>
          <w:tcPr>
            <w:tcW w:w="430" w:type="pct"/>
            <w:hideMark/>
          </w:tcPr>
          <w:p w:rsidR="00795991" w:rsidRPr="00EE30C8" w:rsidRDefault="00795991" w:rsidP="00042A7B">
            <w:pPr>
              <w:keepNext/>
              <w:rPr>
                <w:rFonts w:ascii="Arial Narrow" w:hAnsi="Arial Narrow" w:cstheme="minorHAnsi"/>
                <w:b/>
                <w:bCs/>
                <w:color w:val="000000"/>
                <w:sz w:val="20"/>
                <w:szCs w:val="20"/>
              </w:rPr>
            </w:pPr>
            <w:proofErr w:type="spellStart"/>
            <w:r w:rsidRPr="00EE30C8">
              <w:rPr>
                <w:rFonts w:ascii="Arial Narrow" w:hAnsi="Arial Narrow" w:cstheme="minorHAnsi"/>
                <w:b/>
                <w:bCs/>
                <w:color w:val="000000"/>
                <w:sz w:val="20"/>
                <w:szCs w:val="20"/>
              </w:rPr>
              <w:t>Qty</w:t>
            </w:r>
            <w:proofErr w:type="spellEnd"/>
          </w:p>
        </w:tc>
        <w:tc>
          <w:tcPr>
            <w:tcW w:w="714" w:type="pct"/>
            <w:hideMark/>
          </w:tcPr>
          <w:p w:rsidR="00795991" w:rsidRPr="00EE30C8" w:rsidRDefault="00795991" w:rsidP="00042A7B">
            <w:pPr>
              <w:keepNext/>
              <w:jc w:val="center"/>
              <w:rPr>
                <w:rFonts w:ascii="Arial Narrow" w:hAnsi="Arial Narrow" w:cstheme="minorHAnsi"/>
                <w:b/>
                <w:bCs/>
                <w:color w:val="000000"/>
                <w:sz w:val="20"/>
                <w:szCs w:val="20"/>
              </w:rPr>
            </w:pPr>
            <w:r w:rsidRPr="00EE30C8">
              <w:rPr>
                <w:rFonts w:ascii="Arial Narrow" w:hAnsi="Arial Narrow" w:cstheme="minorHAnsi"/>
                <w:b/>
                <w:bCs/>
                <w:color w:val="000000"/>
                <w:sz w:val="20"/>
                <w:szCs w:val="20"/>
              </w:rPr>
              <w:t>Total cost</w:t>
            </w:r>
          </w:p>
        </w:tc>
      </w:tr>
      <w:tr w:rsidR="00795991" w:rsidRPr="00C24944" w:rsidTr="00323773">
        <w:trPr>
          <w:trHeight w:val="300"/>
        </w:trPr>
        <w:tc>
          <w:tcPr>
            <w:tcW w:w="1710" w:type="pct"/>
            <w:hideMark/>
          </w:tcPr>
          <w:p w:rsidR="00795991" w:rsidRPr="00EE30C8" w:rsidRDefault="00795991" w:rsidP="00042A7B">
            <w:pPr>
              <w:keepNext/>
              <w:ind w:firstLineChars="12" w:firstLine="24"/>
              <w:rPr>
                <w:rFonts w:ascii="Arial Narrow" w:hAnsi="Arial Narrow" w:cstheme="minorHAnsi"/>
                <w:color w:val="000000"/>
                <w:sz w:val="20"/>
                <w:szCs w:val="20"/>
              </w:rPr>
            </w:pPr>
            <w:r w:rsidRPr="00EE30C8">
              <w:rPr>
                <w:rFonts w:ascii="Arial Narrow" w:hAnsi="Arial Narrow" w:cstheme="minorHAnsi"/>
                <w:color w:val="000000"/>
                <w:sz w:val="20"/>
                <w:szCs w:val="20"/>
              </w:rPr>
              <w:t>Swabs</w:t>
            </w:r>
          </w:p>
        </w:tc>
        <w:tc>
          <w:tcPr>
            <w:tcW w:w="859" w:type="pct"/>
            <w:hideMark/>
          </w:tcPr>
          <w:p w:rsidR="00795991" w:rsidRPr="00EE30C8" w:rsidRDefault="00795991" w:rsidP="00042A7B">
            <w:pPr>
              <w:keepNext/>
              <w:jc w:val="right"/>
              <w:rPr>
                <w:rFonts w:ascii="Arial Narrow" w:hAnsi="Arial Narrow" w:cstheme="minorHAnsi"/>
                <w:color w:val="000000"/>
                <w:sz w:val="20"/>
                <w:szCs w:val="20"/>
              </w:rPr>
            </w:pPr>
            <w:r w:rsidRPr="00EE30C8">
              <w:rPr>
                <w:rFonts w:ascii="Arial Narrow" w:hAnsi="Arial Narrow" w:cstheme="minorHAnsi"/>
                <w:color w:val="000000"/>
                <w:sz w:val="20"/>
                <w:szCs w:val="20"/>
              </w:rPr>
              <w:t>$</w:t>
            </w:r>
            <w:r w:rsidR="00582B97">
              <w:rPr>
                <w:rFonts w:ascii="Arial Narrow" w:hAnsi="Arial Narrow" w:cstheme="minorHAnsi"/>
                <w:noProof/>
                <w:color w:val="000000"/>
                <w:sz w:val="20"/>
                <w:szCs w:val="20"/>
                <w:highlight w:val="black"/>
              </w:rPr>
              <w:t>''''''''''''</w:t>
            </w:r>
          </w:p>
        </w:tc>
        <w:tc>
          <w:tcPr>
            <w:tcW w:w="430" w:type="pct"/>
            <w:hideMark/>
          </w:tcPr>
          <w:p w:rsidR="00795991" w:rsidRPr="00EE30C8" w:rsidRDefault="00795991" w:rsidP="00042A7B">
            <w:pPr>
              <w:keepNext/>
              <w:jc w:val="center"/>
              <w:rPr>
                <w:rFonts w:ascii="Arial Narrow" w:hAnsi="Arial Narrow" w:cstheme="minorHAnsi"/>
                <w:color w:val="000000"/>
                <w:sz w:val="20"/>
                <w:szCs w:val="20"/>
              </w:rPr>
            </w:pPr>
            <w:r w:rsidRPr="00EE30C8">
              <w:rPr>
                <w:rFonts w:ascii="Arial Narrow" w:hAnsi="Arial Narrow" w:cstheme="minorHAnsi"/>
                <w:color w:val="000000"/>
                <w:sz w:val="20"/>
                <w:szCs w:val="20"/>
              </w:rPr>
              <w:t>200</w:t>
            </w:r>
          </w:p>
        </w:tc>
        <w:tc>
          <w:tcPr>
            <w:tcW w:w="858" w:type="pct"/>
            <w:hideMark/>
          </w:tcPr>
          <w:p w:rsidR="00795991" w:rsidRPr="00EE30C8" w:rsidRDefault="00795991" w:rsidP="00042A7B">
            <w:pPr>
              <w:keepNext/>
              <w:jc w:val="right"/>
              <w:rPr>
                <w:rFonts w:ascii="Arial Narrow" w:hAnsi="Arial Narrow" w:cstheme="minorHAnsi"/>
                <w:color w:val="000000"/>
                <w:sz w:val="20"/>
                <w:szCs w:val="20"/>
              </w:rPr>
            </w:pPr>
            <w:r w:rsidRPr="00EE30C8">
              <w:rPr>
                <w:rFonts w:ascii="Arial Narrow" w:hAnsi="Arial Narrow" w:cstheme="minorHAnsi"/>
                <w:color w:val="000000"/>
                <w:sz w:val="20"/>
                <w:szCs w:val="20"/>
              </w:rPr>
              <w:t>$</w:t>
            </w:r>
            <w:r w:rsidR="00582B97">
              <w:rPr>
                <w:rFonts w:ascii="Arial Narrow" w:hAnsi="Arial Narrow" w:cstheme="minorHAnsi"/>
                <w:noProof/>
                <w:color w:val="000000"/>
                <w:sz w:val="20"/>
                <w:szCs w:val="20"/>
                <w:highlight w:val="black"/>
              </w:rPr>
              <w:t>''''''''''</w:t>
            </w:r>
          </w:p>
        </w:tc>
        <w:tc>
          <w:tcPr>
            <w:tcW w:w="430" w:type="pct"/>
            <w:hideMark/>
          </w:tcPr>
          <w:p w:rsidR="00795991" w:rsidRPr="00EE30C8" w:rsidRDefault="00795991" w:rsidP="00042A7B">
            <w:pPr>
              <w:keepNext/>
              <w:jc w:val="center"/>
              <w:rPr>
                <w:rFonts w:ascii="Arial Narrow" w:hAnsi="Arial Narrow" w:cstheme="minorHAnsi"/>
                <w:color w:val="000000"/>
                <w:sz w:val="20"/>
                <w:szCs w:val="20"/>
              </w:rPr>
            </w:pPr>
            <w:r w:rsidRPr="00EE30C8">
              <w:rPr>
                <w:rFonts w:ascii="Arial Narrow" w:hAnsi="Arial Narrow" w:cstheme="minorHAnsi"/>
                <w:color w:val="000000"/>
                <w:sz w:val="20"/>
                <w:szCs w:val="20"/>
              </w:rPr>
              <w:t>2</w:t>
            </w:r>
          </w:p>
        </w:tc>
        <w:tc>
          <w:tcPr>
            <w:tcW w:w="714" w:type="pct"/>
            <w:hideMark/>
          </w:tcPr>
          <w:p w:rsidR="00795991" w:rsidRPr="00EE30C8" w:rsidRDefault="00795991" w:rsidP="00042A7B">
            <w:pPr>
              <w:keepNext/>
              <w:jc w:val="right"/>
              <w:rPr>
                <w:rFonts w:ascii="Arial Narrow" w:hAnsi="Arial Narrow" w:cstheme="minorHAnsi"/>
                <w:color w:val="000000"/>
                <w:sz w:val="20"/>
                <w:szCs w:val="20"/>
              </w:rPr>
            </w:pPr>
            <w:r w:rsidRPr="00EE30C8">
              <w:rPr>
                <w:rFonts w:ascii="Arial Narrow" w:hAnsi="Arial Narrow" w:cstheme="minorHAnsi"/>
                <w:color w:val="000000"/>
                <w:sz w:val="20"/>
                <w:szCs w:val="20"/>
              </w:rPr>
              <w:t>$</w:t>
            </w:r>
            <w:r w:rsidR="00582B97">
              <w:rPr>
                <w:rFonts w:ascii="Arial Narrow" w:hAnsi="Arial Narrow" w:cstheme="minorHAnsi"/>
                <w:noProof/>
                <w:color w:val="000000"/>
                <w:sz w:val="20"/>
                <w:szCs w:val="20"/>
                <w:highlight w:val="black"/>
              </w:rPr>
              <w:t>''''''''''</w:t>
            </w:r>
          </w:p>
        </w:tc>
      </w:tr>
      <w:tr w:rsidR="00795991" w:rsidRPr="00C24944" w:rsidTr="00323773">
        <w:trPr>
          <w:trHeight w:val="300"/>
        </w:trPr>
        <w:tc>
          <w:tcPr>
            <w:tcW w:w="1710" w:type="pct"/>
            <w:hideMark/>
          </w:tcPr>
          <w:p w:rsidR="00795991" w:rsidRPr="00EE30C8" w:rsidRDefault="00795991" w:rsidP="00042A7B">
            <w:pPr>
              <w:keepNext/>
              <w:ind w:firstLineChars="12" w:firstLine="24"/>
              <w:rPr>
                <w:rFonts w:ascii="Arial Narrow" w:hAnsi="Arial Narrow" w:cstheme="minorHAnsi"/>
                <w:color w:val="000000"/>
                <w:sz w:val="20"/>
                <w:szCs w:val="20"/>
              </w:rPr>
            </w:pPr>
            <w:r w:rsidRPr="00EE30C8">
              <w:rPr>
                <w:rFonts w:ascii="Arial Narrow" w:hAnsi="Arial Narrow" w:cstheme="minorHAnsi"/>
                <w:color w:val="000000"/>
                <w:sz w:val="20"/>
                <w:szCs w:val="20"/>
              </w:rPr>
              <w:t>Disposable gloves</w:t>
            </w:r>
          </w:p>
        </w:tc>
        <w:tc>
          <w:tcPr>
            <w:tcW w:w="859" w:type="pct"/>
            <w:hideMark/>
          </w:tcPr>
          <w:p w:rsidR="00795991" w:rsidRPr="00EE30C8" w:rsidRDefault="00795991" w:rsidP="00042A7B">
            <w:pPr>
              <w:keepNext/>
              <w:jc w:val="right"/>
              <w:rPr>
                <w:rFonts w:ascii="Arial Narrow" w:hAnsi="Arial Narrow" w:cstheme="minorHAnsi"/>
                <w:color w:val="000000"/>
                <w:sz w:val="20"/>
                <w:szCs w:val="20"/>
              </w:rPr>
            </w:pPr>
            <w:r w:rsidRPr="00EE30C8">
              <w:rPr>
                <w:rFonts w:ascii="Arial Narrow" w:hAnsi="Arial Narrow" w:cstheme="minorHAnsi"/>
                <w:color w:val="000000"/>
                <w:sz w:val="20"/>
                <w:szCs w:val="20"/>
              </w:rPr>
              <w:t>$</w:t>
            </w:r>
            <w:r w:rsidR="00582B97">
              <w:rPr>
                <w:rFonts w:ascii="Arial Narrow" w:hAnsi="Arial Narrow" w:cstheme="minorHAnsi"/>
                <w:noProof/>
                <w:color w:val="000000"/>
                <w:sz w:val="20"/>
                <w:szCs w:val="20"/>
                <w:highlight w:val="black"/>
              </w:rPr>
              <w:t>'''''''''''''''</w:t>
            </w:r>
          </w:p>
        </w:tc>
        <w:tc>
          <w:tcPr>
            <w:tcW w:w="430" w:type="pct"/>
            <w:hideMark/>
          </w:tcPr>
          <w:p w:rsidR="00795991" w:rsidRPr="00EE30C8" w:rsidRDefault="00795991" w:rsidP="00042A7B">
            <w:pPr>
              <w:keepNext/>
              <w:jc w:val="center"/>
              <w:rPr>
                <w:rFonts w:ascii="Arial Narrow" w:hAnsi="Arial Narrow" w:cstheme="minorHAnsi"/>
                <w:color w:val="000000"/>
                <w:sz w:val="20"/>
                <w:szCs w:val="20"/>
              </w:rPr>
            </w:pPr>
            <w:r w:rsidRPr="00EE30C8">
              <w:rPr>
                <w:rFonts w:ascii="Arial Narrow" w:hAnsi="Arial Narrow" w:cstheme="minorHAnsi"/>
                <w:color w:val="000000"/>
                <w:sz w:val="20"/>
                <w:szCs w:val="20"/>
              </w:rPr>
              <w:t>100</w:t>
            </w:r>
          </w:p>
        </w:tc>
        <w:tc>
          <w:tcPr>
            <w:tcW w:w="858" w:type="pct"/>
            <w:hideMark/>
          </w:tcPr>
          <w:p w:rsidR="00795991" w:rsidRPr="00EE30C8" w:rsidRDefault="00795991" w:rsidP="00042A7B">
            <w:pPr>
              <w:keepNext/>
              <w:jc w:val="right"/>
              <w:rPr>
                <w:rFonts w:ascii="Arial Narrow" w:hAnsi="Arial Narrow" w:cstheme="minorHAnsi"/>
                <w:color w:val="000000"/>
                <w:sz w:val="20"/>
                <w:szCs w:val="20"/>
              </w:rPr>
            </w:pPr>
            <w:r w:rsidRPr="00EE30C8">
              <w:rPr>
                <w:rFonts w:ascii="Arial Narrow" w:hAnsi="Arial Narrow" w:cstheme="minorHAnsi"/>
                <w:color w:val="000000"/>
                <w:sz w:val="20"/>
                <w:szCs w:val="20"/>
              </w:rPr>
              <w:t>$</w:t>
            </w:r>
            <w:r w:rsidR="00582B97">
              <w:rPr>
                <w:rFonts w:ascii="Arial Narrow" w:hAnsi="Arial Narrow" w:cstheme="minorHAnsi"/>
                <w:noProof/>
                <w:color w:val="000000"/>
                <w:sz w:val="20"/>
                <w:szCs w:val="20"/>
                <w:highlight w:val="black"/>
              </w:rPr>
              <w:t>'''''''''''</w:t>
            </w:r>
          </w:p>
        </w:tc>
        <w:tc>
          <w:tcPr>
            <w:tcW w:w="430" w:type="pct"/>
            <w:hideMark/>
          </w:tcPr>
          <w:p w:rsidR="00795991" w:rsidRPr="00EE30C8" w:rsidRDefault="00795991" w:rsidP="00042A7B">
            <w:pPr>
              <w:keepNext/>
              <w:jc w:val="center"/>
              <w:rPr>
                <w:rFonts w:ascii="Arial Narrow" w:hAnsi="Arial Narrow" w:cstheme="minorHAnsi"/>
                <w:color w:val="000000"/>
                <w:sz w:val="20"/>
                <w:szCs w:val="20"/>
              </w:rPr>
            </w:pPr>
            <w:r w:rsidRPr="00EE30C8">
              <w:rPr>
                <w:rFonts w:ascii="Arial Narrow" w:hAnsi="Arial Narrow" w:cstheme="minorHAnsi"/>
                <w:color w:val="000000"/>
                <w:sz w:val="20"/>
                <w:szCs w:val="20"/>
              </w:rPr>
              <w:t>2</w:t>
            </w:r>
          </w:p>
        </w:tc>
        <w:tc>
          <w:tcPr>
            <w:tcW w:w="714" w:type="pct"/>
            <w:hideMark/>
          </w:tcPr>
          <w:p w:rsidR="00795991" w:rsidRPr="00EE30C8" w:rsidRDefault="00795991" w:rsidP="00042A7B">
            <w:pPr>
              <w:keepNext/>
              <w:jc w:val="right"/>
              <w:rPr>
                <w:rFonts w:ascii="Arial Narrow" w:hAnsi="Arial Narrow" w:cstheme="minorHAnsi"/>
                <w:color w:val="000000"/>
                <w:sz w:val="20"/>
                <w:szCs w:val="20"/>
              </w:rPr>
            </w:pPr>
            <w:r w:rsidRPr="00EE30C8">
              <w:rPr>
                <w:rFonts w:ascii="Arial Narrow" w:hAnsi="Arial Narrow" w:cstheme="minorHAnsi"/>
                <w:color w:val="000000"/>
                <w:sz w:val="20"/>
                <w:szCs w:val="20"/>
              </w:rPr>
              <w:t>$</w:t>
            </w:r>
            <w:r w:rsidR="00582B97">
              <w:rPr>
                <w:rFonts w:ascii="Arial Narrow" w:hAnsi="Arial Narrow" w:cstheme="minorHAnsi"/>
                <w:noProof/>
                <w:color w:val="000000"/>
                <w:sz w:val="20"/>
                <w:szCs w:val="20"/>
                <w:highlight w:val="black"/>
              </w:rPr>
              <w:t>''''''''''''</w:t>
            </w:r>
          </w:p>
        </w:tc>
      </w:tr>
      <w:tr w:rsidR="00795991" w:rsidRPr="00C24944" w:rsidTr="00323773">
        <w:trPr>
          <w:trHeight w:val="300"/>
        </w:trPr>
        <w:tc>
          <w:tcPr>
            <w:tcW w:w="1710" w:type="pct"/>
            <w:hideMark/>
          </w:tcPr>
          <w:p w:rsidR="00795991" w:rsidRPr="00EE30C8" w:rsidRDefault="00795991" w:rsidP="00042A7B">
            <w:pPr>
              <w:keepNext/>
              <w:ind w:firstLineChars="12" w:firstLine="24"/>
              <w:rPr>
                <w:rFonts w:ascii="Arial Narrow" w:hAnsi="Arial Narrow" w:cstheme="minorHAnsi"/>
                <w:color w:val="000000"/>
                <w:sz w:val="20"/>
                <w:szCs w:val="20"/>
              </w:rPr>
            </w:pPr>
            <w:r w:rsidRPr="00EE30C8">
              <w:rPr>
                <w:rFonts w:ascii="Arial Narrow" w:hAnsi="Arial Narrow" w:cstheme="minorHAnsi"/>
                <w:color w:val="000000"/>
                <w:sz w:val="20"/>
                <w:szCs w:val="20"/>
              </w:rPr>
              <w:t>Sharps container</w:t>
            </w:r>
          </w:p>
        </w:tc>
        <w:tc>
          <w:tcPr>
            <w:tcW w:w="859" w:type="pct"/>
            <w:hideMark/>
          </w:tcPr>
          <w:p w:rsidR="00795991" w:rsidRPr="00EE30C8" w:rsidRDefault="00795991" w:rsidP="00042A7B">
            <w:pPr>
              <w:keepNext/>
              <w:jc w:val="right"/>
              <w:rPr>
                <w:rFonts w:ascii="Arial Narrow" w:hAnsi="Arial Narrow" w:cstheme="minorHAnsi"/>
                <w:color w:val="000000"/>
                <w:sz w:val="20"/>
                <w:szCs w:val="20"/>
              </w:rPr>
            </w:pPr>
            <w:r w:rsidRPr="00EE30C8">
              <w:rPr>
                <w:rFonts w:ascii="Arial Narrow" w:hAnsi="Arial Narrow" w:cstheme="minorHAnsi"/>
                <w:color w:val="000000"/>
                <w:sz w:val="20"/>
                <w:szCs w:val="20"/>
              </w:rPr>
              <w:t>$</w:t>
            </w:r>
            <w:r w:rsidR="00582B97">
              <w:rPr>
                <w:rFonts w:ascii="Arial Narrow" w:hAnsi="Arial Narrow" w:cstheme="minorHAnsi"/>
                <w:noProof/>
                <w:color w:val="000000"/>
                <w:sz w:val="20"/>
                <w:szCs w:val="20"/>
                <w:highlight w:val="black"/>
              </w:rPr>
              <w:t>''''''''''</w:t>
            </w:r>
          </w:p>
        </w:tc>
        <w:tc>
          <w:tcPr>
            <w:tcW w:w="430" w:type="pct"/>
            <w:hideMark/>
          </w:tcPr>
          <w:p w:rsidR="00795991" w:rsidRPr="00EE30C8" w:rsidRDefault="00795991" w:rsidP="00042A7B">
            <w:pPr>
              <w:keepNext/>
              <w:jc w:val="center"/>
              <w:rPr>
                <w:rFonts w:ascii="Arial Narrow" w:hAnsi="Arial Narrow" w:cstheme="minorHAnsi"/>
                <w:color w:val="000000"/>
                <w:sz w:val="20"/>
                <w:szCs w:val="20"/>
              </w:rPr>
            </w:pPr>
            <w:r w:rsidRPr="00EE30C8">
              <w:rPr>
                <w:rFonts w:ascii="Arial Narrow" w:hAnsi="Arial Narrow" w:cstheme="minorHAnsi"/>
                <w:color w:val="000000"/>
                <w:sz w:val="20"/>
                <w:szCs w:val="20"/>
              </w:rPr>
              <w:t>1</w:t>
            </w:r>
          </w:p>
        </w:tc>
        <w:tc>
          <w:tcPr>
            <w:tcW w:w="858" w:type="pct"/>
            <w:hideMark/>
          </w:tcPr>
          <w:p w:rsidR="00795991" w:rsidRPr="00EE30C8" w:rsidRDefault="00795991" w:rsidP="00042A7B">
            <w:pPr>
              <w:keepNext/>
              <w:jc w:val="right"/>
              <w:rPr>
                <w:rFonts w:ascii="Arial Narrow" w:hAnsi="Arial Narrow" w:cstheme="minorHAnsi"/>
                <w:color w:val="000000"/>
                <w:sz w:val="20"/>
                <w:szCs w:val="20"/>
              </w:rPr>
            </w:pPr>
            <w:r w:rsidRPr="00EE30C8">
              <w:rPr>
                <w:rFonts w:ascii="Arial Narrow" w:hAnsi="Arial Narrow" w:cstheme="minorHAnsi"/>
                <w:color w:val="000000"/>
                <w:sz w:val="20"/>
                <w:szCs w:val="20"/>
              </w:rPr>
              <w:t>$</w:t>
            </w:r>
            <w:r w:rsidR="00582B97">
              <w:rPr>
                <w:rFonts w:ascii="Arial Narrow" w:hAnsi="Arial Narrow" w:cstheme="minorHAnsi"/>
                <w:noProof/>
                <w:color w:val="000000"/>
                <w:sz w:val="20"/>
                <w:szCs w:val="20"/>
                <w:highlight w:val="black"/>
              </w:rPr>
              <w:t>'''''''''''</w:t>
            </w:r>
          </w:p>
        </w:tc>
        <w:tc>
          <w:tcPr>
            <w:tcW w:w="430" w:type="pct"/>
            <w:hideMark/>
          </w:tcPr>
          <w:p w:rsidR="00795991" w:rsidRPr="00EE30C8" w:rsidRDefault="00795991" w:rsidP="00042A7B">
            <w:pPr>
              <w:keepNext/>
              <w:jc w:val="center"/>
              <w:rPr>
                <w:rFonts w:ascii="Arial Narrow" w:hAnsi="Arial Narrow" w:cstheme="minorHAnsi"/>
                <w:color w:val="000000"/>
                <w:sz w:val="20"/>
                <w:szCs w:val="20"/>
              </w:rPr>
            </w:pPr>
            <w:r w:rsidRPr="00EE30C8">
              <w:rPr>
                <w:rFonts w:ascii="Arial Narrow" w:hAnsi="Arial Narrow" w:cstheme="minorHAnsi"/>
                <w:color w:val="000000"/>
                <w:sz w:val="20"/>
                <w:szCs w:val="20"/>
              </w:rPr>
              <w:t>1</w:t>
            </w:r>
          </w:p>
        </w:tc>
        <w:tc>
          <w:tcPr>
            <w:tcW w:w="714" w:type="pct"/>
            <w:hideMark/>
          </w:tcPr>
          <w:p w:rsidR="00795991" w:rsidRPr="00EE30C8" w:rsidRDefault="00795991" w:rsidP="00042A7B">
            <w:pPr>
              <w:keepNext/>
              <w:jc w:val="right"/>
              <w:rPr>
                <w:rFonts w:ascii="Arial Narrow" w:hAnsi="Arial Narrow" w:cstheme="minorHAnsi"/>
                <w:color w:val="000000"/>
                <w:sz w:val="20"/>
                <w:szCs w:val="20"/>
              </w:rPr>
            </w:pPr>
            <w:r w:rsidRPr="00EE30C8">
              <w:rPr>
                <w:rFonts w:ascii="Arial Narrow" w:hAnsi="Arial Narrow" w:cstheme="minorHAnsi"/>
                <w:color w:val="000000"/>
                <w:sz w:val="20"/>
                <w:szCs w:val="20"/>
              </w:rPr>
              <w:t>$</w:t>
            </w:r>
            <w:r w:rsidR="00582B97">
              <w:rPr>
                <w:rFonts w:ascii="Arial Narrow" w:hAnsi="Arial Narrow" w:cstheme="minorHAnsi"/>
                <w:noProof/>
                <w:color w:val="000000"/>
                <w:sz w:val="20"/>
                <w:szCs w:val="20"/>
                <w:highlight w:val="black"/>
              </w:rPr>
              <w:t>''''''''''</w:t>
            </w:r>
          </w:p>
        </w:tc>
      </w:tr>
      <w:tr w:rsidR="00795991" w:rsidRPr="00C24944" w:rsidTr="00323773">
        <w:trPr>
          <w:trHeight w:val="300"/>
        </w:trPr>
        <w:tc>
          <w:tcPr>
            <w:tcW w:w="1710" w:type="pct"/>
            <w:hideMark/>
          </w:tcPr>
          <w:p w:rsidR="00795991" w:rsidRPr="00EE30C8" w:rsidRDefault="00795991" w:rsidP="00042A7B">
            <w:pPr>
              <w:keepNext/>
              <w:ind w:firstLineChars="12" w:firstLine="24"/>
              <w:rPr>
                <w:rFonts w:ascii="Arial Narrow" w:hAnsi="Arial Narrow" w:cstheme="minorHAnsi"/>
                <w:color w:val="000000"/>
                <w:sz w:val="20"/>
                <w:szCs w:val="20"/>
              </w:rPr>
            </w:pPr>
            <w:r w:rsidRPr="00EE30C8">
              <w:rPr>
                <w:rFonts w:ascii="Arial Narrow" w:hAnsi="Arial Narrow" w:cstheme="minorHAnsi"/>
                <w:color w:val="000000"/>
                <w:sz w:val="20"/>
                <w:szCs w:val="20"/>
              </w:rPr>
              <w:t>Syringes</w:t>
            </w:r>
          </w:p>
        </w:tc>
        <w:tc>
          <w:tcPr>
            <w:tcW w:w="859" w:type="pct"/>
            <w:hideMark/>
          </w:tcPr>
          <w:p w:rsidR="00795991" w:rsidRPr="00EE30C8" w:rsidRDefault="00795991" w:rsidP="00042A7B">
            <w:pPr>
              <w:keepNext/>
              <w:jc w:val="right"/>
              <w:rPr>
                <w:rFonts w:ascii="Arial Narrow" w:hAnsi="Arial Narrow" w:cstheme="minorHAnsi"/>
                <w:color w:val="000000"/>
                <w:sz w:val="20"/>
                <w:szCs w:val="20"/>
              </w:rPr>
            </w:pPr>
            <w:r w:rsidRPr="00EE30C8">
              <w:rPr>
                <w:rFonts w:ascii="Arial Narrow" w:hAnsi="Arial Narrow" w:cstheme="minorHAnsi"/>
                <w:color w:val="000000"/>
                <w:sz w:val="20"/>
                <w:szCs w:val="20"/>
              </w:rPr>
              <w:t>$</w:t>
            </w:r>
            <w:r w:rsidR="00582B97">
              <w:rPr>
                <w:rFonts w:ascii="Arial Narrow" w:hAnsi="Arial Narrow" w:cstheme="minorHAnsi"/>
                <w:noProof/>
                <w:color w:val="000000"/>
                <w:sz w:val="20"/>
                <w:szCs w:val="20"/>
                <w:highlight w:val="black"/>
              </w:rPr>
              <w:t>'''''''''''''</w:t>
            </w:r>
          </w:p>
        </w:tc>
        <w:tc>
          <w:tcPr>
            <w:tcW w:w="430" w:type="pct"/>
            <w:hideMark/>
          </w:tcPr>
          <w:p w:rsidR="00795991" w:rsidRPr="00EE30C8" w:rsidRDefault="00795991" w:rsidP="00042A7B">
            <w:pPr>
              <w:keepNext/>
              <w:jc w:val="center"/>
              <w:rPr>
                <w:rFonts w:ascii="Arial Narrow" w:hAnsi="Arial Narrow" w:cstheme="minorHAnsi"/>
                <w:color w:val="000000"/>
                <w:sz w:val="20"/>
                <w:szCs w:val="20"/>
              </w:rPr>
            </w:pPr>
            <w:r w:rsidRPr="00EE30C8">
              <w:rPr>
                <w:rFonts w:ascii="Arial Narrow" w:hAnsi="Arial Narrow" w:cstheme="minorHAnsi"/>
                <w:color w:val="000000"/>
                <w:sz w:val="20"/>
                <w:szCs w:val="20"/>
              </w:rPr>
              <w:t>100</w:t>
            </w:r>
          </w:p>
        </w:tc>
        <w:tc>
          <w:tcPr>
            <w:tcW w:w="858" w:type="pct"/>
            <w:hideMark/>
          </w:tcPr>
          <w:p w:rsidR="00795991" w:rsidRPr="00EE30C8" w:rsidRDefault="00795991" w:rsidP="00042A7B">
            <w:pPr>
              <w:keepNext/>
              <w:jc w:val="right"/>
              <w:rPr>
                <w:rFonts w:ascii="Arial Narrow" w:hAnsi="Arial Narrow" w:cstheme="minorHAnsi"/>
                <w:color w:val="000000"/>
                <w:sz w:val="20"/>
                <w:szCs w:val="20"/>
              </w:rPr>
            </w:pPr>
            <w:r w:rsidRPr="00EE30C8">
              <w:rPr>
                <w:rFonts w:ascii="Arial Narrow" w:hAnsi="Arial Narrow" w:cstheme="minorHAnsi"/>
                <w:color w:val="000000"/>
                <w:sz w:val="20"/>
                <w:szCs w:val="20"/>
              </w:rPr>
              <w:t>$</w:t>
            </w:r>
            <w:r w:rsidR="00582B97">
              <w:rPr>
                <w:rFonts w:ascii="Arial Narrow" w:hAnsi="Arial Narrow" w:cstheme="minorHAnsi"/>
                <w:noProof/>
                <w:color w:val="000000"/>
                <w:sz w:val="20"/>
                <w:szCs w:val="20"/>
                <w:highlight w:val="black"/>
              </w:rPr>
              <w:t>''''''''''</w:t>
            </w:r>
          </w:p>
        </w:tc>
        <w:tc>
          <w:tcPr>
            <w:tcW w:w="430" w:type="pct"/>
            <w:hideMark/>
          </w:tcPr>
          <w:p w:rsidR="00795991" w:rsidRPr="00EE30C8" w:rsidRDefault="00795991" w:rsidP="00042A7B">
            <w:pPr>
              <w:keepNext/>
              <w:jc w:val="center"/>
              <w:rPr>
                <w:rFonts w:ascii="Arial Narrow" w:hAnsi="Arial Narrow" w:cstheme="minorHAnsi"/>
                <w:color w:val="000000"/>
                <w:sz w:val="20"/>
                <w:szCs w:val="20"/>
              </w:rPr>
            </w:pPr>
            <w:r w:rsidRPr="00EE30C8">
              <w:rPr>
                <w:rFonts w:ascii="Arial Narrow" w:hAnsi="Arial Narrow" w:cstheme="minorHAnsi"/>
                <w:color w:val="000000"/>
                <w:sz w:val="20"/>
                <w:szCs w:val="20"/>
              </w:rPr>
              <w:t>2</w:t>
            </w:r>
          </w:p>
        </w:tc>
        <w:tc>
          <w:tcPr>
            <w:tcW w:w="714" w:type="pct"/>
            <w:hideMark/>
          </w:tcPr>
          <w:p w:rsidR="00795991" w:rsidRPr="00EE30C8" w:rsidRDefault="00795991" w:rsidP="00042A7B">
            <w:pPr>
              <w:keepNext/>
              <w:jc w:val="right"/>
              <w:rPr>
                <w:rFonts w:ascii="Arial Narrow" w:hAnsi="Arial Narrow" w:cstheme="minorHAnsi"/>
                <w:color w:val="000000"/>
                <w:sz w:val="20"/>
                <w:szCs w:val="20"/>
              </w:rPr>
            </w:pPr>
            <w:r w:rsidRPr="00EE30C8">
              <w:rPr>
                <w:rFonts w:ascii="Arial Narrow" w:hAnsi="Arial Narrow" w:cstheme="minorHAnsi"/>
                <w:color w:val="000000"/>
                <w:sz w:val="20"/>
                <w:szCs w:val="20"/>
              </w:rPr>
              <w:t>$</w:t>
            </w:r>
            <w:r w:rsidR="00582B97">
              <w:rPr>
                <w:rFonts w:ascii="Arial Narrow" w:hAnsi="Arial Narrow" w:cstheme="minorHAnsi"/>
                <w:noProof/>
                <w:color w:val="000000"/>
                <w:sz w:val="20"/>
                <w:szCs w:val="20"/>
                <w:highlight w:val="black"/>
              </w:rPr>
              <w:t>''''''''''</w:t>
            </w:r>
          </w:p>
        </w:tc>
      </w:tr>
      <w:tr w:rsidR="00795991" w:rsidRPr="00C24944" w:rsidTr="00323773">
        <w:trPr>
          <w:trHeight w:val="300"/>
        </w:trPr>
        <w:tc>
          <w:tcPr>
            <w:tcW w:w="1710" w:type="pct"/>
            <w:hideMark/>
          </w:tcPr>
          <w:p w:rsidR="00795991" w:rsidRPr="00EE30C8" w:rsidRDefault="00795991" w:rsidP="00042A7B">
            <w:pPr>
              <w:keepNext/>
              <w:ind w:firstLineChars="12" w:firstLine="24"/>
              <w:rPr>
                <w:rFonts w:ascii="Arial Narrow" w:hAnsi="Arial Narrow" w:cstheme="minorHAnsi"/>
                <w:color w:val="000000"/>
                <w:sz w:val="20"/>
                <w:szCs w:val="20"/>
              </w:rPr>
            </w:pPr>
            <w:r w:rsidRPr="00EE30C8">
              <w:rPr>
                <w:rFonts w:ascii="Arial Narrow" w:hAnsi="Arial Narrow" w:cstheme="minorHAnsi"/>
                <w:color w:val="000000"/>
                <w:sz w:val="20"/>
                <w:szCs w:val="20"/>
              </w:rPr>
              <w:t>Face shield</w:t>
            </w:r>
          </w:p>
        </w:tc>
        <w:tc>
          <w:tcPr>
            <w:tcW w:w="859" w:type="pct"/>
            <w:hideMark/>
          </w:tcPr>
          <w:p w:rsidR="00795991" w:rsidRPr="00EE30C8" w:rsidRDefault="00795991" w:rsidP="00042A7B">
            <w:pPr>
              <w:keepNext/>
              <w:jc w:val="right"/>
              <w:rPr>
                <w:rFonts w:ascii="Arial Narrow" w:hAnsi="Arial Narrow" w:cstheme="minorHAnsi"/>
                <w:color w:val="000000"/>
                <w:sz w:val="20"/>
                <w:szCs w:val="20"/>
              </w:rPr>
            </w:pPr>
            <w:r w:rsidRPr="00EE30C8">
              <w:rPr>
                <w:rFonts w:ascii="Arial Narrow" w:hAnsi="Arial Narrow" w:cstheme="minorHAnsi"/>
                <w:color w:val="000000"/>
                <w:sz w:val="20"/>
                <w:szCs w:val="20"/>
              </w:rPr>
              <w:t>$</w:t>
            </w:r>
            <w:r w:rsidR="00582B97">
              <w:rPr>
                <w:rFonts w:ascii="Arial Narrow" w:hAnsi="Arial Narrow" w:cstheme="minorHAnsi"/>
                <w:noProof/>
                <w:color w:val="000000"/>
                <w:sz w:val="20"/>
                <w:szCs w:val="20"/>
                <w:highlight w:val="black"/>
              </w:rPr>
              <w:t>''''''''''''</w:t>
            </w:r>
          </w:p>
        </w:tc>
        <w:tc>
          <w:tcPr>
            <w:tcW w:w="430" w:type="pct"/>
            <w:hideMark/>
          </w:tcPr>
          <w:p w:rsidR="00795991" w:rsidRPr="00EE30C8" w:rsidRDefault="00795991" w:rsidP="00042A7B">
            <w:pPr>
              <w:keepNext/>
              <w:jc w:val="center"/>
              <w:rPr>
                <w:rFonts w:ascii="Arial Narrow" w:hAnsi="Arial Narrow" w:cstheme="minorHAnsi"/>
                <w:color w:val="000000"/>
                <w:sz w:val="20"/>
                <w:szCs w:val="20"/>
              </w:rPr>
            </w:pPr>
            <w:r w:rsidRPr="00EE30C8">
              <w:rPr>
                <w:rFonts w:ascii="Arial Narrow" w:hAnsi="Arial Narrow" w:cstheme="minorHAnsi"/>
                <w:color w:val="000000"/>
                <w:sz w:val="20"/>
                <w:szCs w:val="20"/>
              </w:rPr>
              <w:t>1</w:t>
            </w:r>
          </w:p>
        </w:tc>
        <w:tc>
          <w:tcPr>
            <w:tcW w:w="858" w:type="pct"/>
            <w:hideMark/>
          </w:tcPr>
          <w:p w:rsidR="00795991" w:rsidRPr="00EE30C8" w:rsidRDefault="00795991" w:rsidP="00042A7B">
            <w:pPr>
              <w:keepNext/>
              <w:jc w:val="right"/>
              <w:rPr>
                <w:rFonts w:ascii="Arial Narrow" w:hAnsi="Arial Narrow" w:cstheme="minorHAnsi"/>
                <w:color w:val="000000"/>
                <w:sz w:val="20"/>
                <w:szCs w:val="20"/>
              </w:rPr>
            </w:pPr>
            <w:r w:rsidRPr="00EE30C8">
              <w:rPr>
                <w:rFonts w:ascii="Arial Narrow" w:hAnsi="Arial Narrow" w:cstheme="minorHAnsi"/>
                <w:color w:val="000000"/>
                <w:sz w:val="20"/>
                <w:szCs w:val="20"/>
              </w:rPr>
              <w:t>$</w:t>
            </w:r>
            <w:r w:rsidR="00582B97">
              <w:rPr>
                <w:rFonts w:ascii="Arial Narrow" w:hAnsi="Arial Narrow" w:cstheme="minorHAnsi"/>
                <w:noProof/>
                <w:color w:val="000000"/>
                <w:sz w:val="20"/>
                <w:szCs w:val="20"/>
                <w:highlight w:val="black"/>
              </w:rPr>
              <w:t>''''''''''</w:t>
            </w:r>
          </w:p>
        </w:tc>
        <w:tc>
          <w:tcPr>
            <w:tcW w:w="430" w:type="pct"/>
            <w:hideMark/>
          </w:tcPr>
          <w:p w:rsidR="00795991" w:rsidRPr="00EE30C8" w:rsidRDefault="00795991" w:rsidP="00042A7B">
            <w:pPr>
              <w:keepNext/>
              <w:jc w:val="center"/>
              <w:rPr>
                <w:rFonts w:ascii="Arial Narrow" w:hAnsi="Arial Narrow" w:cstheme="minorHAnsi"/>
                <w:color w:val="000000"/>
                <w:sz w:val="20"/>
                <w:szCs w:val="20"/>
              </w:rPr>
            </w:pPr>
            <w:r w:rsidRPr="00EE30C8">
              <w:rPr>
                <w:rFonts w:ascii="Arial Narrow" w:hAnsi="Arial Narrow" w:cstheme="minorHAnsi"/>
                <w:color w:val="000000"/>
                <w:sz w:val="20"/>
                <w:szCs w:val="20"/>
              </w:rPr>
              <w:t>1</w:t>
            </w:r>
          </w:p>
        </w:tc>
        <w:tc>
          <w:tcPr>
            <w:tcW w:w="714" w:type="pct"/>
            <w:hideMark/>
          </w:tcPr>
          <w:p w:rsidR="00795991" w:rsidRPr="00EE30C8" w:rsidRDefault="00795991" w:rsidP="00042A7B">
            <w:pPr>
              <w:keepNext/>
              <w:jc w:val="right"/>
              <w:rPr>
                <w:rFonts w:ascii="Arial Narrow" w:hAnsi="Arial Narrow" w:cstheme="minorHAnsi"/>
                <w:color w:val="000000"/>
                <w:sz w:val="20"/>
                <w:szCs w:val="20"/>
              </w:rPr>
            </w:pPr>
            <w:r w:rsidRPr="00EE30C8">
              <w:rPr>
                <w:rFonts w:ascii="Arial Narrow" w:hAnsi="Arial Narrow" w:cstheme="minorHAnsi"/>
                <w:color w:val="000000"/>
                <w:sz w:val="20"/>
                <w:szCs w:val="20"/>
              </w:rPr>
              <w:t>$</w:t>
            </w:r>
            <w:r w:rsidR="00582B97">
              <w:rPr>
                <w:rFonts w:ascii="Arial Narrow" w:hAnsi="Arial Narrow" w:cstheme="minorHAnsi"/>
                <w:noProof/>
                <w:color w:val="000000"/>
                <w:sz w:val="20"/>
                <w:szCs w:val="20"/>
                <w:highlight w:val="black"/>
              </w:rPr>
              <w:t>''''''''''</w:t>
            </w:r>
          </w:p>
        </w:tc>
      </w:tr>
      <w:tr w:rsidR="00795991" w:rsidRPr="00C24944" w:rsidTr="00323773">
        <w:trPr>
          <w:trHeight w:val="300"/>
        </w:trPr>
        <w:tc>
          <w:tcPr>
            <w:tcW w:w="4286" w:type="pct"/>
            <w:gridSpan w:val="5"/>
            <w:hideMark/>
          </w:tcPr>
          <w:p w:rsidR="00795991" w:rsidRPr="00EE30C8" w:rsidRDefault="00795991" w:rsidP="00042A7B">
            <w:pPr>
              <w:keepNext/>
              <w:ind w:firstLineChars="12" w:firstLine="24"/>
              <w:rPr>
                <w:rFonts w:ascii="Arial Narrow" w:hAnsi="Arial Narrow" w:cstheme="minorHAnsi"/>
                <w:b/>
                <w:bCs/>
                <w:color w:val="000000"/>
                <w:sz w:val="20"/>
                <w:szCs w:val="20"/>
              </w:rPr>
            </w:pPr>
            <w:r w:rsidRPr="00EE30C8">
              <w:rPr>
                <w:rFonts w:ascii="Arial Narrow" w:hAnsi="Arial Narrow" w:cstheme="minorHAnsi"/>
                <w:b/>
                <w:bCs/>
                <w:color w:val="000000"/>
                <w:sz w:val="20"/>
                <w:szCs w:val="20"/>
              </w:rPr>
              <w:t>Sub-Total </w:t>
            </w:r>
          </w:p>
        </w:tc>
        <w:tc>
          <w:tcPr>
            <w:tcW w:w="714" w:type="pct"/>
            <w:hideMark/>
          </w:tcPr>
          <w:p w:rsidR="00795991" w:rsidRPr="00EE30C8" w:rsidRDefault="00795991" w:rsidP="00042A7B">
            <w:pPr>
              <w:keepNext/>
              <w:jc w:val="right"/>
              <w:rPr>
                <w:rFonts w:ascii="Arial Narrow" w:hAnsi="Arial Narrow" w:cstheme="minorHAnsi"/>
                <w:b/>
                <w:bCs/>
                <w:color w:val="000000"/>
                <w:sz w:val="20"/>
                <w:szCs w:val="20"/>
              </w:rPr>
            </w:pPr>
            <w:r w:rsidRPr="00EE30C8">
              <w:rPr>
                <w:rFonts w:ascii="Arial Narrow" w:hAnsi="Arial Narrow" w:cstheme="minorHAnsi"/>
                <w:b/>
                <w:bCs/>
                <w:color w:val="000000"/>
                <w:sz w:val="20"/>
                <w:szCs w:val="20"/>
              </w:rPr>
              <w:t>$</w:t>
            </w:r>
            <w:r w:rsidR="00582B97">
              <w:rPr>
                <w:rFonts w:ascii="Arial Narrow" w:hAnsi="Arial Narrow" w:cstheme="minorHAnsi"/>
                <w:b/>
                <w:bCs/>
                <w:noProof/>
                <w:color w:val="000000"/>
                <w:sz w:val="20"/>
                <w:szCs w:val="20"/>
                <w:highlight w:val="black"/>
              </w:rPr>
              <w:t>''''''''</w:t>
            </w:r>
          </w:p>
        </w:tc>
      </w:tr>
      <w:tr w:rsidR="00795991" w:rsidRPr="00C24944" w:rsidTr="00323773">
        <w:trPr>
          <w:trHeight w:val="300"/>
        </w:trPr>
        <w:tc>
          <w:tcPr>
            <w:tcW w:w="4286" w:type="pct"/>
            <w:gridSpan w:val="5"/>
            <w:hideMark/>
          </w:tcPr>
          <w:p w:rsidR="00795991" w:rsidRPr="00EE30C8" w:rsidRDefault="00795991" w:rsidP="00042A7B">
            <w:pPr>
              <w:keepNext/>
              <w:ind w:firstLineChars="12" w:firstLine="24"/>
              <w:rPr>
                <w:rFonts w:ascii="Arial Narrow" w:hAnsi="Arial Narrow" w:cstheme="minorHAnsi"/>
                <w:color w:val="000000"/>
                <w:sz w:val="20"/>
                <w:szCs w:val="20"/>
              </w:rPr>
            </w:pPr>
            <w:r w:rsidRPr="00EE30C8">
              <w:rPr>
                <w:rFonts w:ascii="Arial Narrow" w:hAnsi="Arial Narrow" w:cstheme="minorHAnsi"/>
                <w:color w:val="000000"/>
                <w:sz w:val="20"/>
                <w:szCs w:val="20"/>
              </w:rPr>
              <w:t>Naloxone (5 vials) PBS item 10783M</w:t>
            </w:r>
            <w:r w:rsidR="003432EB" w:rsidRPr="00EE30C8">
              <w:rPr>
                <w:rFonts w:ascii="Arial Narrow" w:hAnsi="Arial Narrow" w:cstheme="minorHAnsi"/>
                <w:color w:val="000000"/>
                <w:sz w:val="20"/>
                <w:szCs w:val="20"/>
              </w:rPr>
              <w:t>- ex manufacturer price</w:t>
            </w:r>
          </w:p>
        </w:tc>
        <w:tc>
          <w:tcPr>
            <w:tcW w:w="714" w:type="pct"/>
            <w:hideMark/>
          </w:tcPr>
          <w:p w:rsidR="00795991" w:rsidRPr="00EE30C8" w:rsidRDefault="00795991" w:rsidP="006C614A">
            <w:pPr>
              <w:keepNext/>
              <w:jc w:val="right"/>
              <w:rPr>
                <w:rFonts w:ascii="Arial Narrow" w:hAnsi="Arial Narrow" w:cstheme="minorHAnsi"/>
                <w:color w:val="000000"/>
                <w:sz w:val="20"/>
                <w:szCs w:val="20"/>
              </w:rPr>
            </w:pPr>
            <w:r w:rsidRPr="00EE30C8">
              <w:rPr>
                <w:rFonts w:ascii="Arial Narrow" w:hAnsi="Arial Narrow" w:cstheme="minorHAnsi"/>
                <w:color w:val="000000"/>
                <w:sz w:val="20"/>
                <w:szCs w:val="20"/>
              </w:rPr>
              <w:t>$</w:t>
            </w:r>
            <w:r w:rsidR="002714D3">
              <w:rPr>
                <w:rFonts w:ascii="Arial Narrow" w:hAnsi="Arial Narrow" w:cstheme="minorHAnsi"/>
                <w:color w:val="000000"/>
                <w:sz w:val="20"/>
                <w:szCs w:val="20"/>
              </w:rPr>
              <w:t>48.89</w:t>
            </w:r>
          </w:p>
        </w:tc>
      </w:tr>
      <w:tr w:rsidR="00795991" w:rsidRPr="00C24944" w:rsidTr="00323773">
        <w:trPr>
          <w:trHeight w:val="300"/>
        </w:trPr>
        <w:tc>
          <w:tcPr>
            <w:tcW w:w="4286" w:type="pct"/>
            <w:gridSpan w:val="5"/>
            <w:hideMark/>
          </w:tcPr>
          <w:p w:rsidR="00795991" w:rsidRPr="00EE30C8" w:rsidRDefault="00795991" w:rsidP="00042A7B">
            <w:pPr>
              <w:rPr>
                <w:rFonts w:ascii="Arial Narrow" w:hAnsi="Arial Narrow" w:cstheme="minorHAnsi"/>
                <w:b/>
                <w:bCs/>
                <w:color w:val="000000"/>
                <w:sz w:val="20"/>
                <w:szCs w:val="20"/>
              </w:rPr>
            </w:pPr>
            <w:r w:rsidRPr="00EE30C8">
              <w:rPr>
                <w:rFonts w:ascii="Arial Narrow" w:hAnsi="Arial Narrow" w:cstheme="minorHAnsi"/>
                <w:b/>
                <w:bCs/>
                <w:color w:val="000000"/>
                <w:sz w:val="20"/>
                <w:szCs w:val="20"/>
              </w:rPr>
              <w:t>Total cost of administering naloxone IM</w:t>
            </w:r>
          </w:p>
        </w:tc>
        <w:tc>
          <w:tcPr>
            <w:tcW w:w="714" w:type="pct"/>
            <w:hideMark/>
          </w:tcPr>
          <w:p w:rsidR="00795991" w:rsidRPr="00EE30C8" w:rsidRDefault="00795991" w:rsidP="00042A7B">
            <w:pPr>
              <w:jc w:val="right"/>
              <w:rPr>
                <w:rFonts w:ascii="Arial Narrow" w:hAnsi="Arial Narrow" w:cstheme="minorHAnsi"/>
                <w:b/>
                <w:bCs/>
                <w:color w:val="000000"/>
                <w:sz w:val="20"/>
                <w:szCs w:val="20"/>
              </w:rPr>
            </w:pPr>
            <w:r w:rsidRPr="00EE30C8">
              <w:rPr>
                <w:rFonts w:ascii="Arial Narrow" w:hAnsi="Arial Narrow" w:cstheme="minorHAnsi"/>
                <w:b/>
                <w:bCs/>
                <w:color w:val="000000"/>
                <w:sz w:val="20"/>
                <w:szCs w:val="20"/>
              </w:rPr>
              <w:t>$</w:t>
            </w:r>
            <w:r w:rsidR="00582B97">
              <w:rPr>
                <w:rFonts w:ascii="Arial Narrow" w:hAnsi="Arial Narrow" w:cstheme="minorHAnsi"/>
                <w:b/>
                <w:bCs/>
                <w:noProof/>
                <w:color w:val="000000"/>
                <w:sz w:val="20"/>
                <w:szCs w:val="20"/>
                <w:highlight w:val="black"/>
              </w:rPr>
              <w:t>''''''''''''</w:t>
            </w:r>
          </w:p>
        </w:tc>
      </w:tr>
    </w:tbl>
    <w:p w:rsidR="00625E4B" w:rsidRPr="00950D34" w:rsidRDefault="00625E4B" w:rsidP="00625E4B">
      <w:pPr>
        <w:pStyle w:val="Caption"/>
        <w:rPr>
          <w:rFonts w:eastAsiaTheme="majorEastAsia" w:cstheme="minorHAnsi"/>
          <w:b w:val="0"/>
          <w:sz w:val="18"/>
          <w:lang w:eastAsia="en-US"/>
        </w:rPr>
      </w:pPr>
      <w:r w:rsidRPr="00950D34">
        <w:rPr>
          <w:rFonts w:eastAsiaTheme="majorEastAsia" w:cstheme="minorHAnsi"/>
          <w:b w:val="0"/>
          <w:sz w:val="18"/>
          <w:lang w:eastAsia="en-US"/>
        </w:rPr>
        <w:t>Source</w:t>
      </w:r>
      <w:r w:rsidRPr="00950D34">
        <w:rPr>
          <w:rFonts w:eastAsiaTheme="majorEastAsia" w:cstheme="minorHAnsi"/>
          <w:sz w:val="18"/>
          <w:lang w:eastAsia="en-US"/>
        </w:rPr>
        <w:t>: ‘</w:t>
      </w:r>
      <w:proofErr w:type="spellStart"/>
      <w:r w:rsidRPr="00950D34">
        <w:rPr>
          <w:rFonts w:eastAsiaTheme="majorEastAsia" w:cstheme="minorHAnsi"/>
          <w:b w:val="0"/>
          <w:sz w:val="18"/>
          <w:lang w:eastAsia="en-US"/>
        </w:rPr>
        <w:t>Nyxoid</w:t>
      </w:r>
      <w:proofErr w:type="spellEnd"/>
      <w:r w:rsidRPr="00950D34">
        <w:rPr>
          <w:rFonts w:eastAsiaTheme="majorEastAsia" w:cstheme="minorHAnsi"/>
          <w:b w:val="0"/>
          <w:sz w:val="18"/>
          <w:lang w:eastAsia="en-US"/>
        </w:rPr>
        <w:t xml:space="preserve"> - 2 - PBAC submission - 14 Dec 2018’, p15.</w:t>
      </w:r>
    </w:p>
    <w:p w:rsidR="003C2FB5" w:rsidRPr="00C24944" w:rsidRDefault="00795991" w:rsidP="008306F3">
      <w:pPr>
        <w:pStyle w:val="Heading2"/>
        <w:keepLines/>
        <w:spacing w:before="240" w:after="120"/>
        <w:rPr>
          <w:rFonts w:asciiTheme="minorHAnsi" w:eastAsiaTheme="majorEastAsia" w:hAnsiTheme="minorHAnsi" w:cstheme="minorHAnsi"/>
          <w:sz w:val="28"/>
          <w:szCs w:val="28"/>
          <w:lang w:eastAsia="en-US"/>
        </w:rPr>
      </w:pPr>
      <w:r w:rsidRPr="00C24944">
        <w:rPr>
          <w:rFonts w:asciiTheme="minorHAnsi" w:eastAsiaTheme="majorEastAsia" w:hAnsiTheme="minorHAnsi" w:cstheme="minorHAnsi"/>
          <w:sz w:val="28"/>
          <w:szCs w:val="28"/>
          <w:lang w:eastAsia="en-US"/>
        </w:rPr>
        <w:t>C</w:t>
      </w:r>
      <w:r w:rsidR="00A55FEE" w:rsidRPr="00C24944">
        <w:rPr>
          <w:rFonts w:asciiTheme="minorHAnsi" w:eastAsiaTheme="majorEastAsia" w:hAnsiTheme="minorHAnsi" w:cstheme="minorHAnsi"/>
          <w:sz w:val="28"/>
          <w:szCs w:val="28"/>
          <w:lang w:eastAsia="en-US"/>
        </w:rPr>
        <w:t>ost/patient/</w:t>
      </w:r>
      <w:r w:rsidR="00BB75BB" w:rsidRPr="00C24944">
        <w:rPr>
          <w:rFonts w:asciiTheme="minorHAnsi" w:eastAsiaTheme="majorEastAsia" w:hAnsiTheme="minorHAnsi" w:cstheme="minorHAnsi"/>
          <w:sz w:val="28"/>
          <w:szCs w:val="28"/>
          <w:lang w:eastAsia="en-US"/>
        </w:rPr>
        <w:t>treatment</w:t>
      </w:r>
      <w:r w:rsidR="00A55FEE" w:rsidRPr="00C24944">
        <w:rPr>
          <w:rFonts w:asciiTheme="minorHAnsi" w:eastAsiaTheme="majorEastAsia" w:hAnsiTheme="minorHAnsi" w:cstheme="minorHAnsi"/>
          <w:sz w:val="28"/>
          <w:szCs w:val="28"/>
          <w:lang w:eastAsia="en-US"/>
        </w:rPr>
        <w:t xml:space="preserve">: </w:t>
      </w:r>
      <w:r w:rsidR="00BB75BB" w:rsidRPr="00C24944">
        <w:rPr>
          <w:rFonts w:asciiTheme="minorHAnsi" w:eastAsiaTheme="majorEastAsia" w:hAnsiTheme="minorHAnsi" w:cstheme="minorHAnsi"/>
          <w:sz w:val="28"/>
          <w:szCs w:val="28"/>
          <w:lang w:eastAsia="en-US"/>
        </w:rPr>
        <w:t>$</w:t>
      </w:r>
      <w:r w:rsidR="00582B97">
        <w:rPr>
          <w:rFonts w:asciiTheme="minorHAnsi" w:eastAsiaTheme="majorEastAsia" w:hAnsiTheme="minorHAnsi" w:cstheme="minorHAnsi"/>
          <w:noProof/>
          <w:color w:val="000000"/>
          <w:sz w:val="28"/>
          <w:szCs w:val="28"/>
          <w:highlight w:val="black"/>
          <w:lang w:eastAsia="en-US"/>
        </w:rPr>
        <w:t>'''''''''''</w:t>
      </w:r>
      <w:r w:rsidR="00A40F9B" w:rsidRPr="00C24944">
        <w:rPr>
          <w:rFonts w:asciiTheme="minorHAnsi" w:eastAsiaTheme="majorEastAsia" w:hAnsiTheme="minorHAnsi" w:cstheme="minorHAnsi"/>
          <w:sz w:val="28"/>
          <w:szCs w:val="28"/>
          <w:lang w:eastAsia="en-US"/>
        </w:rPr>
        <w:t xml:space="preserve"> (DPMQ)</w:t>
      </w:r>
      <w:r w:rsidR="00A55FEE" w:rsidRPr="00C24944">
        <w:rPr>
          <w:rFonts w:asciiTheme="minorHAnsi" w:eastAsiaTheme="majorEastAsia" w:hAnsiTheme="minorHAnsi" w:cstheme="minorHAnsi"/>
          <w:sz w:val="28"/>
          <w:szCs w:val="28"/>
          <w:lang w:eastAsia="en-US"/>
        </w:rPr>
        <w:t>.</w:t>
      </w:r>
    </w:p>
    <w:p w:rsidR="00A55FEE" w:rsidRPr="00C24944" w:rsidRDefault="00A40F9B" w:rsidP="00B84D5C">
      <w:pPr>
        <w:pStyle w:val="ListParagraph"/>
        <w:widowControl/>
        <w:numPr>
          <w:ilvl w:val="1"/>
          <w:numId w:val="14"/>
        </w:numPr>
        <w:spacing w:after="120"/>
        <w:contextualSpacing w:val="0"/>
        <w:rPr>
          <w:rFonts w:asciiTheme="minorHAnsi" w:eastAsiaTheme="minorHAnsi" w:hAnsiTheme="minorHAnsi" w:cstheme="minorHAnsi"/>
          <w:snapToGrid/>
          <w:sz w:val="24"/>
          <w:szCs w:val="22"/>
        </w:rPr>
      </w:pPr>
      <w:r w:rsidRPr="00C24944">
        <w:rPr>
          <w:rFonts w:asciiTheme="minorHAnsi" w:eastAsiaTheme="minorHAnsi" w:hAnsiTheme="minorHAnsi" w:cstheme="minorHAnsi"/>
          <w:snapToGrid/>
          <w:sz w:val="24"/>
          <w:szCs w:val="22"/>
        </w:rPr>
        <w:t>Applying the relevant mark</w:t>
      </w:r>
      <w:r w:rsidR="0060791C" w:rsidRPr="00C24944">
        <w:rPr>
          <w:rFonts w:asciiTheme="minorHAnsi" w:eastAsiaTheme="minorHAnsi" w:hAnsiTheme="minorHAnsi" w:cstheme="minorHAnsi"/>
          <w:snapToGrid/>
          <w:sz w:val="24"/>
          <w:szCs w:val="22"/>
        </w:rPr>
        <w:t>-</w:t>
      </w:r>
      <w:r w:rsidRPr="00C24944">
        <w:rPr>
          <w:rFonts w:asciiTheme="minorHAnsi" w:eastAsiaTheme="minorHAnsi" w:hAnsiTheme="minorHAnsi" w:cstheme="minorHAnsi"/>
          <w:snapToGrid/>
          <w:sz w:val="24"/>
          <w:szCs w:val="22"/>
        </w:rPr>
        <w:t xml:space="preserve">ups and dispensing fees for a General Schedule item, the </w:t>
      </w:r>
      <w:r w:rsidR="002A38DA" w:rsidRPr="00C24944">
        <w:rPr>
          <w:rFonts w:asciiTheme="minorHAnsi" w:eastAsiaTheme="minorHAnsi" w:hAnsiTheme="minorHAnsi" w:cstheme="minorHAnsi"/>
          <w:snapToGrid/>
          <w:sz w:val="24"/>
          <w:szCs w:val="22"/>
        </w:rPr>
        <w:t xml:space="preserve">proposed </w:t>
      </w:r>
      <w:r w:rsidRPr="00C24944">
        <w:rPr>
          <w:rFonts w:asciiTheme="minorHAnsi" w:eastAsiaTheme="minorHAnsi" w:hAnsiTheme="minorHAnsi" w:cstheme="minorHAnsi"/>
          <w:snapToGrid/>
          <w:sz w:val="24"/>
          <w:szCs w:val="22"/>
        </w:rPr>
        <w:t>dispensed price</w:t>
      </w:r>
      <w:r w:rsidR="0060791C" w:rsidRPr="00C24944">
        <w:rPr>
          <w:rFonts w:asciiTheme="minorHAnsi" w:eastAsiaTheme="minorHAnsi" w:hAnsiTheme="minorHAnsi" w:cstheme="minorHAnsi"/>
          <w:snapToGrid/>
          <w:sz w:val="24"/>
          <w:szCs w:val="22"/>
        </w:rPr>
        <w:t xml:space="preserve"> for maximum quantity (DPMQ)</w:t>
      </w:r>
      <w:r w:rsidR="003432EB" w:rsidRPr="00C24944">
        <w:rPr>
          <w:rFonts w:asciiTheme="minorHAnsi" w:eastAsiaTheme="minorHAnsi" w:hAnsiTheme="minorHAnsi" w:cstheme="minorHAnsi"/>
          <w:snapToGrid/>
          <w:sz w:val="24"/>
          <w:szCs w:val="22"/>
        </w:rPr>
        <w:t xml:space="preserve"> for one pack of two naloxone nasal sprays</w:t>
      </w:r>
      <w:r w:rsidRPr="00C24944">
        <w:rPr>
          <w:rFonts w:asciiTheme="minorHAnsi" w:eastAsiaTheme="minorHAnsi" w:hAnsiTheme="minorHAnsi" w:cstheme="minorHAnsi"/>
          <w:snapToGrid/>
          <w:sz w:val="24"/>
          <w:szCs w:val="22"/>
        </w:rPr>
        <w:t xml:space="preserve"> would be </w:t>
      </w:r>
      <w:r w:rsidR="0060791C" w:rsidRPr="00C24944">
        <w:rPr>
          <w:rFonts w:asciiTheme="minorHAnsi" w:eastAsiaTheme="minorHAnsi" w:hAnsiTheme="minorHAnsi" w:cstheme="minorHAnsi"/>
          <w:snapToGrid/>
          <w:sz w:val="24"/>
          <w:szCs w:val="22"/>
        </w:rPr>
        <w:t>$</w:t>
      </w:r>
      <w:r w:rsidR="00582B97">
        <w:rPr>
          <w:rFonts w:asciiTheme="minorHAnsi" w:eastAsiaTheme="minorHAnsi" w:hAnsiTheme="minorHAnsi" w:cstheme="minorHAnsi"/>
          <w:noProof/>
          <w:snapToGrid/>
          <w:color w:val="000000"/>
          <w:sz w:val="24"/>
          <w:szCs w:val="22"/>
          <w:highlight w:val="black"/>
        </w:rPr>
        <w:t>'''''''''''</w:t>
      </w:r>
      <w:r w:rsidR="0060791C" w:rsidRPr="00C24944">
        <w:rPr>
          <w:rFonts w:asciiTheme="minorHAnsi" w:eastAsiaTheme="minorHAnsi" w:hAnsiTheme="minorHAnsi" w:cstheme="minorHAnsi"/>
          <w:snapToGrid/>
          <w:sz w:val="24"/>
          <w:szCs w:val="22"/>
        </w:rPr>
        <w:t>.</w:t>
      </w:r>
      <w:r w:rsidR="00756BB1" w:rsidRPr="00C24944">
        <w:rPr>
          <w:rFonts w:asciiTheme="minorHAnsi" w:eastAsiaTheme="minorHAnsi" w:hAnsiTheme="minorHAnsi" w:cstheme="minorHAnsi"/>
          <w:snapToGrid/>
          <w:sz w:val="24"/>
          <w:szCs w:val="22"/>
        </w:rPr>
        <w:t xml:space="preserve"> </w:t>
      </w:r>
    </w:p>
    <w:p w:rsidR="002204F5" w:rsidRPr="00C24944" w:rsidRDefault="00BC47B0" w:rsidP="0086638E">
      <w:pPr>
        <w:pStyle w:val="ListParagraph"/>
        <w:widowControl/>
        <w:numPr>
          <w:ilvl w:val="1"/>
          <w:numId w:val="14"/>
        </w:numPr>
        <w:spacing w:after="120"/>
        <w:contextualSpacing w:val="0"/>
        <w:rPr>
          <w:rFonts w:asciiTheme="minorHAnsi" w:eastAsiaTheme="minorHAnsi" w:hAnsiTheme="minorHAnsi" w:cstheme="minorHAnsi"/>
          <w:snapToGrid/>
          <w:sz w:val="24"/>
          <w:szCs w:val="22"/>
        </w:rPr>
      </w:pPr>
      <w:r w:rsidRPr="00C24944">
        <w:rPr>
          <w:rFonts w:asciiTheme="minorHAnsi" w:eastAsiaTheme="minorHAnsi" w:hAnsiTheme="minorHAnsi" w:cstheme="minorHAnsi"/>
          <w:snapToGrid/>
          <w:sz w:val="24"/>
          <w:szCs w:val="22"/>
        </w:rPr>
        <w:t>Naloxone</w:t>
      </w:r>
      <w:r w:rsidR="00E82F96" w:rsidRPr="00C24944">
        <w:rPr>
          <w:rFonts w:asciiTheme="minorHAnsi" w:eastAsiaTheme="minorHAnsi" w:hAnsiTheme="minorHAnsi" w:cstheme="minorHAnsi"/>
          <w:snapToGrid/>
          <w:sz w:val="24"/>
          <w:szCs w:val="22"/>
        </w:rPr>
        <w:t xml:space="preserve"> prefilled syringes</w:t>
      </w:r>
      <w:r w:rsidR="003432EB" w:rsidRPr="00C24944">
        <w:rPr>
          <w:rFonts w:asciiTheme="minorHAnsi" w:eastAsiaTheme="minorHAnsi" w:hAnsiTheme="minorHAnsi" w:cstheme="minorHAnsi"/>
          <w:snapToGrid/>
          <w:sz w:val="24"/>
          <w:szCs w:val="22"/>
        </w:rPr>
        <w:t xml:space="preserve"> (</w:t>
      </w:r>
      <w:proofErr w:type="spellStart"/>
      <w:r w:rsidR="003432EB" w:rsidRPr="00C24944">
        <w:rPr>
          <w:rFonts w:asciiTheme="minorHAnsi" w:eastAsiaTheme="minorHAnsi" w:hAnsiTheme="minorHAnsi" w:cstheme="minorHAnsi"/>
          <w:snapToGrid/>
          <w:sz w:val="24"/>
          <w:szCs w:val="22"/>
        </w:rPr>
        <w:t>Prenoxad</w:t>
      </w:r>
      <w:proofErr w:type="spellEnd"/>
      <w:r w:rsidR="003432EB" w:rsidRPr="00C24944">
        <w:rPr>
          <w:rFonts w:asciiTheme="minorHAnsi" w:eastAsiaTheme="minorHAnsi" w:hAnsiTheme="minorHAnsi" w:cstheme="minorHAnsi"/>
          <w:snapToGrid/>
          <w:sz w:val="24"/>
          <w:szCs w:val="22"/>
        </w:rPr>
        <w:t xml:space="preserve">®, 1 mg/mL injection, 2 mL prefilled syringe, providing 5 doses) is currently approved under section 19a of the </w:t>
      </w:r>
      <w:r w:rsidR="003432EB" w:rsidRPr="00C24944">
        <w:rPr>
          <w:rFonts w:asciiTheme="minorHAnsi" w:eastAsiaTheme="minorHAnsi" w:hAnsiTheme="minorHAnsi" w:cstheme="minorHAnsi"/>
          <w:i/>
          <w:snapToGrid/>
          <w:sz w:val="24"/>
          <w:szCs w:val="22"/>
        </w:rPr>
        <w:t>Therapeutic Goods Act</w:t>
      </w:r>
      <w:r w:rsidR="003432EB" w:rsidRPr="00C24944">
        <w:rPr>
          <w:rFonts w:asciiTheme="minorHAnsi" w:eastAsiaTheme="minorHAnsi" w:hAnsiTheme="minorHAnsi" w:cstheme="minorHAnsi"/>
          <w:snapToGrid/>
          <w:sz w:val="24"/>
          <w:szCs w:val="22"/>
        </w:rPr>
        <w:t xml:space="preserve"> </w:t>
      </w:r>
      <w:r w:rsidR="003432EB" w:rsidRPr="00C24944">
        <w:rPr>
          <w:rFonts w:asciiTheme="minorHAnsi" w:eastAsiaTheme="minorHAnsi" w:hAnsiTheme="minorHAnsi" w:cstheme="minorHAnsi"/>
          <w:i/>
          <w:snapToGrid/>
          <w:sz w:val="24"/>
          <w:szCs w:val="22"/>
        </w:rPr>
        <w:t>1989</w:t>
      </w:r>
      <w:r w:rsidR="003432EB" w:rsidRPr="00C24944">
        <w:rPr>
          <w:rFonts w:asciiTheme="minorHAnsi" w:eastAsiaTheme="minorHAnsi" w:hAnsiTheme="minorHAnsi" w:cstheme="minorHAnsi"/>
          <w:snapToGrid/>
          <w:sz w:val="24"/>
          <w:szCs w:val="22"/>
        </w:rPr>
        <w:t>, and is PBS listed with a</w:t>
      </w:r>
      <w:r w:rsidR="00083932" w:rsidRPr="00C24944">
        <w:rPr>
          <w:rFonts w:asciiTheme="minorHAnsi" w:eastAsiaTheme="minorHAnsi" w:hAnsiTheme="minorHAnsi" w:cstheme="minorHAnsi"/>
          <w:snapToGrid/>
          <w:sz w:val="24"/>
          <w:szCs w:val="22"/>
        </w:rPr>
        <w:t xml:space="preserve"> DPMQ of $57.69</w:t>
      </w:r>
      <w:r w:rsidR="00381F4A" w:rsidRPr="00C24944">
        <w:rPr>
          <w:rFonts w:asciiTheme="minorHAnsi" w:eastAsiaTheme="minorHAnsi" w:hAnsiTheme="minorHAnsi" w:cstheme="minorHAnsi"/>
          <w:snapToGrid/>
          <w:sz w:val="24"/>
          <w:szCs w:val="22"/>
        </w:rPr>
        <w:t xml:space="preserve"> per syringe</w:t>
      </w:r>
      <w:r w:rsidR="002A38DA" w:rsidRPr="00C24944">
        <w:rPr>
          <w:rFonts w:asciiTheme="minorHAnsi" w:eastAsiaTheme="minorHAnsi" w:hAnsiTheme="minorHAnsi" w:cstheme="minorHAnsi"/>
          <w:snapToGrid/>
          <w:sz w:val="24"/>
          <w:szCs w:val="22"/>
        </w:rPr>
        <w:t xml:space="preserve">, reducing to $48.27 on 1 April 2019, following a price disclosure price reduction. </w:t>
      </w:r>
    </w:p>
    <w:p w:rsidR="00BC47B0" w:rsidRPr="00C24944" w:rsidRDefault="00756BB1" w:rsidP="00F310F4">
      <w:pPr>
        <w:pStyle w:val="ListParagraph"/>
        <w:widowControl/>
        <w:spacing w:after="120"/>
        <w:contextualSpacing w:val="0"/>
        <w:rPr>
          <w:rFonts w:asciiTheme="minorHAnsi" w:eastAsiaTheme="minorHAnsi" w:hAnsiTheme="minorHAnsi" w:cstheme="minorHAnsi"/>
          <w:snapToGrid/>
          <w:sz w:val="24"/>
          <w:szCs w:val="22"/>
        </w:rPr>
      </w:pPr>
      <w:r w:rsidRPr="00C24944">
        <w:rPr>
          <w:rFonts w:asciiTheme="minorHAnsi" w:eastAsiaTheme="minorHAnsi" w:hAnsiTheme="minorHAnsi" w:cstheme="minorHAnsi"/>
          <w:i/>
          <w:snapToGrid/>
          <w:sz w:val="24"/>
          <w:szCs w:val="22"/>
        </w:rPr>
        <w:t>For more detail on PBAC’s view, see section 7 PBAC outcome.</w:t>
      </w:r>
    </w:p>
    <w:p w:rsidR="005A3173" w:rsidRPr="00C24944" w:rsidRDefault="005A3173" w:rsidP="008306F3">
      <w:pPr>
        <w:pStyle w:val="Heading2"/>
        <w:keepLines/>
        <w:spacing w:before="240" w:after="120"/>
        <w:rPr>
          <w:rFonts w:asciiTheme="minorHAnsi" w:eastAsiaTheme="majorEastAsia" w:hAnsiTheme="minorHAnsi" w:cstheme="minorHAnsi"/>
          <w:sz w:val="28"/>
          <w:szCs w:val="28"/>
          <w:lang w:eastAsia="en-US"/>
        </w:rPr>
      </w:pPr>
      <w:r w:rsidRPr="00C24944">
        <w:rPr>
          <w:rFonts w:asciiTheme="minorHAnsi" w:eastAsiaTheme="majorEastAsia" w:hAnsiTheme="minorHAnsi" w:cstheme="minorHAnsi"/>
          <w:sz w:val="28"/>
          <w:szCs w:val="28"/>
          <w:lang w:eastAsia="en-US"/>
        </w:rPr>
        <w:t>Estimated PBS usage &amp; financial implications</w:t>
      </w:r>
    </w:p>
    <w:p w:rsidR="00C00DA7" w:rsidRPr="00C24944" w:rsidRDefault="00FF2801" w:rsidP="00F0272A">
      <w:pPr>
        <w:pStyle w:val="ListParagraph"/>
        <w:widowControl/>
        <w:numPr>
          <w:ilvl w:val="1"/>
          <w:numId w:val="14"/>
        </w:numPr>
        <w:spacing w:after="120"/>
        <w:contextualSpacing w:val="0"/>
        <w:rPr>
          <w:rFonts w:asciiTheme="minorHAnsi" w:hAnsiTheme="minorHAnsi" w:cstheme="minorHAnsi"/>
          <w:sz w:val="24"/>
          <w:szCs w:val="24"/>
        </w:rPr>
      </w:pPr>
      <w:r w:rsidRPr="00C24944">
        <w:rPr>
          <w:rFonts w:asciiTheme="minorHAnsi" w:hAnsiTheme="minorHAnsi" w:cstheme="minorHAnsi"/>
          <w:sz w:val="24"/>
          <w:szCs w:val="24"/>
        </w:rPr>
        <w:t>The minor submission estimated</w:t>
      </w:r>
      <w:r w:rsidR="00C00DA7" w:rsidRPr="00C24944">
        <w:rPr>
          <w:rFonts w:asciiTheme="minorHAnsi" w:hAnsiTheme="minorHAnsi" w:cstheme="minorHAnsi"/>
          <w:sz w:val="24"/>
          <w:szCs w:val="24"/>
        </w:rPr>
        <w:t xml:space="preserve"> a net </w:t>
      </w:r>
      <w:r w:rsidR="00861C04" w:rsidRPr="00C24944">
        <w:rPr>
          <w:rFonts w:asciiTheme="minorHAnsi" w:hAnsiTheme="minorHAnsi" w:cstheme="minorHAnsi"/>
          <w:sz w:val="24"/>
          <w:szCs w:val="24"/>
        </w:rPr>
        <w:t>cost</w:t>
      </w:r>
      <w:r w:rsidR="00C00DA7" w:rsidRPr="00C24944">
        <w:rPr>
          <w:rFonts w:asciiTheme="minorHAnsi" w:hAnsiTheme="minorHAnsi" w:cstheme="minorHAnsi"/>
          <w:sz w:val="24"/>
          <w:szCs w:val="24"/>
        </w:rPr>
        <w:t xml:space="preserve"> to the PBS of </w:t>
      </w:r>
      <w:r w:rsidR="007E1B10">
        <w:rPr>
          <w:rFonts w:asciiTheme="minorHAnsi" w:hAnsiTheme="minorHAnsi" w:cstheme="minorHAnsi"/>
          <w:sz w:val="24"/>
          <w:szCs w:val="24"/>
        </w:rPr>
        <w:t>less than $10 million</w:t>
      </w:r>
      <w:r w:rsidR="00C540E8">
        <w:rPr>
          <w:rFonts w:asciiTheme="minorHAnsi" w:hAnsiTheme="minorHAnsi" w:cstheme="minorHAnsi"/>
          <w:sz w:val="24"/>
          <w:szCs w:val="24"/>
        </w:rPr>
        <w:t xml:space="preserve"> </w:t>
      </w:r>
      <w:r w:rsidR="00C00DA7" w:rsidRPr="00C24944">
        <w:rPr>
          <w:rFonts w:asciiTheme="minorHAnsi" w:hAnsiTheme="minorHAnsi" w:cstheme="minorHAnsi"/>
          <w:sz w:val="24"/>
          <w:szCs w:val="24"/>
        </w:rPr>
        <w:t xml:space="preserve">in Year </w:t>
      </w:r>
      <w:r w:rsidR="00F0272A" w:rsidRPr="00C24944">
        <w:rPr>
          <w:rFonts w:asciiTheme="minorHAnsi" w:hAnsiTheme="minorHAnsi" w:cstheme="minorHAnsi"/>
          <w:sz w:val="24"/>
          <w:szCs w:val="24"/>
        </w:rPr>
        <w:t>6</w:t>
      </w:r>
      <w:r w:rsidR="00C00DA7" w:rsidRPr="00C24944">
        <w:rPr>
          <w:rFonts w:asciiTheme="minorHAnsi" w:hAnsiTheme="minorHAnsi" w:cstheme="minorHAnsi"/>
          <w:sz w:val="24"/>
          <w:szCs w:val="24"/>
        </w:rPr>
        <w:t xml:space="preserve"> of listing, with a total net </w:t>
      </w:r>
      <w:r w:rsidR="00861C04" w:rsidRPr="00C24944">
        <w:rPr>
          <w:rFonts w:asciiTheme="minorHAnsi" w:hAnsiTheme="minorHAnsi" w:cstheme="minorHAnsi"/>
          <w:sz w:val="24"/>
          <w:szCs w:val="24"/>
        </w:rPr>
        <w:t>cost</w:t>
      </w:r>
      <w:r w:rsidR="00D46E29" w:rsidRPr="00C24944">
        <w:rPr>
          <w:rFonts w:asciiTheme="minorHAnsi" w:hAnsiTheme="minorHAnsi" w:cstheme="minorHAnsi"/>
          <w:sz w:val="24"/>
          <w:szCs w:val="24"/>
        </w:rPr>
        <w:t xml:space="preserve"> to the PBS of </w:t>
      </w:r>
      <w:r w:rsidR="00983A9C">
        <w:rPr>
          <w:rFonts w:asciiTheme="minorHAnsi" w:hAnsiTheme="minorHAnsi" w:cstheme="minorHAnsi"/>
          <w:sz w:val="24"/>
          <w:szCs w:val="24"/>
        </w:rPr>
        <w:t>less than $10 million</w:t>
      </w:r>
      <w:r w:rsidR="00C540E8">
        <w:rPr>
          <w:rFonts w:asciiTheme="minorHAnsi" w:hAnsiTheme="minorHAnsi" w:cstheme="minorHAnsi"/>
          <w:sz w:val="24"/>
          <w:szCs w:val="24"/>
        </w:rPr>
        <w:t xml:space="preserve"> </w:t>
      </w:r>
      <w:r w:rsidR="00C00DA7" w:rsidRPr="00C24944">
        <w:rPr>
          <w:rFonts w:asciiTheme="minorHAnsi" w:hAnsiTheme="minorHAnsi" w:cstheme="minorHAnsi"/>
          <w:sz w:val="24"/>
          <w:szCs w:val="24"/>
        </w:rPr>
        <w:t xml:space="preserve">over the first </w:t>
      </w:r>
      <w:r w:rsidR="00F0272A" w:rsidRPr="00C24944">
        <w:rPr>
          <w:rFonts w:asciiTheme="minorHAnsi" w:hAnsiTheme="minorHAnsi" w:cstheme="minorHAnsi"/>
          <w:sz w:val="24"/>
          <w:szCs w:val="24"/>
        </w:rPr>
        <w:t>6</w:t>
      </w:r>
      <w:r w:rsidR="00C00DA7" w:rsidRPr="00C24944">
        <w:rPr>
          <w:rFonts w:asciiTheme="minorHAnsi" w:hAnsiTheme="minorHAnsi" w:cstheme="minorHAnsi"/>
          <w:sz w:val="24"/>
          <w:szCs w:val="24"/>
        </w:rPr>
        <w:t xml:space="preserve"> years of listing</w:t>
      </w:r>
      <w:r w:rsidR="00C24944" w:rsidRPr="00C24944">
        <w:rPr>
          <w:rFonts w:asciiTheme="minorHAnsi" w:hAnsiTheme="minorHAnsi" w:cstheme="minorHAnsi"/>
          <w:sz w:val="24"/>
          <w:szCs w:val="24"/>
        </w:rPr>
        <w:t xml:space="preserve">. </w:t>
      </w:r>
      <w:r w:rsidR="00C00DA7" w:rsidRPr="00C24944">
        <w:rPr>
          <w:rFonts w:asciiTheme="minorHAnsi" w:hAnsiTheme="minorHAnsi" w:cstheme="minorHAnsi"/>
          <w:sz w:val="24"/>
          <w:szCs w:val="24"/>
        </w:rPr>
        <w:t>This is summarised in</w:t>
      </w:r>
      <w:r w:rsidR="00E82F96" w:rsidRPr="00C24944">
        <w:rPr>
          <w:rFonts w:asciiTheme="minorHAnsi" w:hAnsiTheme="minorHAnsi" w:cstheme="minorHAnsi"/>
          <w:sz w:val="24"/>
          <w:szCs w:val="24"/>
        </w:rPr>
        <w:t xml:space="preserve"> Table 4</w:t>
      </w:r>
      <w:r w:rsidR="00C00DA7" w:rsidRPr="00C24944">
        <w:rPr>
          <w:rFonts w:asciiTheme="minorHAnsi" w:hAnsiTheme="minorHAnsi" w:cstheme="minorHAnsi"/>
          <w:color w:val="000000" w:themeColor="text1"/>
          <w:sz w:val="24"/>
          <w:szCs w:val="24"/>
        </w:rPr>
        <w:t xml:space="preserve">. </w:t>
      </w:r>
    </w:p>
    <w:p w:rsidR="00731E80" w:rsidRPr="00C24944" w:rsidRDefault="00381F4A" w:rsidP="00731E80">
      <w:pPr>
        <w:pStyle w:val="ListParagraph"/>
        <w:widowControl/>
        <w:numPr>
          <w:ilvl w:val="1"/>
          <w:numId w:val="14"/>
        </w:numPr>
        <w:spacing w:after="120"/>
        <w:ind w:left="709"/>
        <w:contextualSpacing w:val="0"/>
        <w:rPr>
          <w:rFonts w:asciiTheme="minorHAnsi" w:hAnsiTheme="minorHAnsi" w:cstheme="minorHAnsi"/>
          <w:sz w:val="24"/>
          <w:szCs w:val="24"/>
        </w:rPr>
      </w:pPr>
      <w:r w:rsidRPr="00C24944">
        <w:rPr>
          <w:rFonts w:asciiTheme="minorHAnsi" w:hAnsiTheme="minorHAnsi" w:cstheme="minorHAnsi"/>
          <w:sz w:val="24"/>
          <w:szCs w:val="24"/>
        </w:rPr>
        <w:lastRenderedPageBreak/>
        <w:t>T</w:t>
      </w:r>
      <w:r w:rsidR="00901F8D" w:rsidRPr="00C24944">
        <w:rPr>
          <w:rFonts w:asciiTheme="minorHAnsi" w:hAnsiTheme="minorHAnsi" w:cstheme="minorHAnsi"/>
          <w:sz w:val="24"/>
          <w:szCs w:val="24"/>
        </w:rPr>
        <w:t xml:space="preserve">he net </w:t>
      </w:r>
      <w:r w:rsidR="00795991" w:rsidRPr="00C24944">
        <w:rPr>
          <w:rFonts w:asciiTheme="minorHAnsi" w:hAnsiTheme="minorHAnsi" w:cstheme="minorHAnsi"/>
          <w:sz w:val="24"/>
          <w:szCs w:val="24"/>
        </w:rPr>
        <w:t>cost to the PBS inc</w:t>
      </w:r>
      <w:r w:rsidRPr="00C24944">
        <w:rPr>
          <w:rFonts w:asciiTheme="minorHAnsi" w:hAnsiTheme="minorHAnsi" w:cstheme="minorHAnsi"/>
          <w:sz w:val="24"/>
          <w:szCs w:val="24"/>
        </w:rPr>
        <w:t>l</w:t>
      </w:r>
      <w:r w:rsidR="00795991" w:rsidRPr="00C24944">
        <w:rPr>
          <w:rFonts w:asciiTheme="minorHAnsi" w:hAnsiTheme="minorHAnsi" w:cstheme="minorHAnsi"/>
          <w:sz w:val="24"/>
          <w:szCs w:val="24"/>
        </w:rPr>
        <w:t xml:space="preserve">udes </w:t>
      </w:r>
      <w:r w:rsidR="00901F8D" w:rsidRPr="00C24944">
        <w:rPr>
          <w:rFonts w:asciiTheme="minorHAnsi" w:hAnsiTheme="minorHAnsi" w:cstheme="minorHAnsi"/>
          <w:sz w:val="24"/>
          <w:szCs w:val="24"/>
        </w:rPr>
        <w:t xml:space="preserve">reduced costs from </w:t>
      </w:r>
      <w:r w:rsidR="00BA1943" w:rsidRPr="00C24944">
        <w:rPr>
          <w:rFonts w:asciiTheme="minorHAnsi" w:hAnsiTheme="minorHAnsi" w:cstheme="minorHAnsi"/>
          <w:sz w:val="24"/>
          <w:szCs w:val="24"/>
        </w:rPr>
        <w:t xml:space="preserve">other </w:t>
      </w:r>
      <w:r w:rsidRPr="00C24944">
        <w:rPr>
          <w:rFonts w:asciiTheme="minorHAnsi" w:hAnsiTheme="minorHAnsi" w:cstheme="minorHAnsi"/>
          <w:sz w:val="24"/>
          <w:szCs w:val="24"/>
        </w:rPr>
        <w:t xml:space="preserve">naloxone </w:t>
      </w:r>
      <w:r w:rsidR="00BA1943" w:rsidRPr="00C24944">
        <w:rPr>
          <w:rFonts w:asciiTheme="minorHAnsi" w:hAnsiTheme="minorHAnsi" w:cstheme="minorHAnsi"/>
          <w:sz w:val="24"/>
          <w:szCs w:val="24"/>
        </w:rPr>
        <w:t xml:space="preserve">presentations being </w:t>
      </w:r>
      <w:r w:rsidR="0024191B" w:rsidRPr="00C24944">
        <w:rPr>
          <w:rFonts w:asciiTheme="minorHAnsi" w:hAnsiTheme="minorHAnsi" w:cstheme="minorHAnsi"/>
          <w:sz w:val="24"/>
          <w:szCs w:val="24"/>
        </w:rPr>
        <w:t xml:space="preserve">displaced </w:t>
      </w:r>
      <w:r w:rsidR="00BA1943" w:rsidRPr="00C24944">
        <w:rPr>
          <w:rFonts w:asciiTheme="minorHAnsi" w:hAnsiTheme="minorHAnsi" w:cstheme="minorHAnsi"/>
          <w:sz w:val="24"/>
          <w:szCs w:val="24"/>
        </w:rPr>
        <w:t xml:space="preserve">as well as </w:t>
      </w:r>
      <w:r w:rsidR="002C0527" w:rsidRPr="00C24944">
        <w:rPr>
          <w:rFonts w:asciiTheme="minorHAnsi" w:hAnsiTheme="minorHAnsi" w:cstheme="minorHAnsi"/>
          <w:sz w:val="24"/>
          <w:szCs w:val="24"/>
        </w:rPr>
        <w:t xml:space="preserve">IN </w:t>
      </w:r>
      <w:r w:rsidR="00BA1943" w:rsidRPr="00C24944">
        <w:rPr>
          <w:rFonts w:asciiTheme="minorHAnsi" w:hAnsiTheme="minorHAnsi" w:cstheme="minorHAnsi"/>
          <w:sz w:val="24"/>
          <w:szCs w:val="24"/>
        </w:rPr>
        <w:t xml:space="preserve">naloxone </w:t>
      </w:r>
      <w:r w:rsidR="0024191B" w:rsidRPr="00C24944">
        <w:rPr>
          <w:rFonts w:asciiTheme="minorHAnsi" w:hAnsiTheme="minorHAnsi" w:cstheme="minorHAnsi"/>
          <w:sz w:val="24"/>
          <w:szCs w:val="24"/>
        </w:rPr>
        <w:t>market growth.</w:t>
      </w:r>
      <w:r w:rsidR="00901F8D" w:rsidRPr="00C24944">
        <w:rPr>
          <w:rFonts w:asciiTheme="minorHAnsi" w:hAnsiTheme="minorHAnsi" w:cstheme="minorHAnsi"/>
          <w:sz w:val="24"/>
          <w:szCs w:val="24"/>
        </w:rPr>
        <w:t xml:space="preserve"> </w:t>
      </w:r>
      <w:r w:rsidR="00731E80" w:rsidRPr="00C24944">
        <w:rPr>
          <w:rFonts w:asciiTheme="minorHAnsi" w:hAnsiTheme="minorHAnsi" w:cstheme="minorHAnsi"/>
          <w:sz w:val="24"/>
          <w:szCs w:val="24"/>
        </w:rPr>
        <w:t xml:space="preserve">The submission assumes the following to derive the </w:t>
      </w:r>
      <w:r w:rsidR="0024191B" w:rsidRPr="00C24944">
        <w:rPr>
          <w:rFonts w:asciiTheme="minorHAnsi" w:hAnsiTheme="minorHAnsi" w:cstheme="minorHAnsi"/>
          <w:sz w:val="24"/>
          <w:szCs w:val="24"/>
        </w:rPr>
        <w:t>data</w:t>
      </w:r>
      <w:r w:rsidR="00731E80" w:rsidRPr="00C24944">
        <w:rPr>
          <w:rFonts w:asciiTheme="minorHAnsi" w:hAnsiTheme="minorHAnsi" w:cstheme="minorHAnsi"/>
          <w:sz w:val="24"/>
          <w:szCs w:val="24"/>
        </w:rPr>
        <w:t>:</w:t>
      </w:r>
    </w:p>
    <w:p w:rsidR="00731E80" w:rsidRPr="00C24944" w:rsidRDefault="00731E80" w:rsidP="00731E80">
      <w:pPr>
        <w:pStyle w:val="ListParagraph"/>
        <w:widowControl/>
        <w:numPr>
          <w:ilvl w:val="0"/>
          <w:numId w:val="22"/>
        </w:numPr>
        <w:spacing w:after="120"/>
        <w:contextualSpacing w:val="0"/>
        <w:rPr>
          <w:rFonts w:asciiTheme="minorHAnsi" w:hAnsiTheme="minorHAnsi" w:cstheme="minorHAnsi"/>
          <w:sz w:val="24"/>
          <w:szCs w:val="24"/>
        </w:rPr>
      </w:pPr>
      <w:r w:rsidRPr="00C24944">
        <w:rPr>
          <w:rFonts w:asciiTheme="minorHAnsi" w:hAnsiTheme="minorHAnsi" w:cstheme="minorHAnsi"/>
          <w:sz w:val="24"/>
          <w:szCs w:val="24"/>
        </w:rPr>
        <w:t>A 35% growth in</w:t>
      </w:r>
      <w:r w:rsidR="002C0527" w:rsidRPr="00C24944">
        <w:rPr>
          <w:rFonts w:asciiTheme="minorHAnsi" w:hAnsiTheme="minorHAnsi" w:cstheme="minorHAnsi"/>
          <w:sz w:val="24"/>
          <w:szCs w:val="24"/>
        </w:rPr>
        <w:t xml:space="preserve"> </w:t>
      </w:r>
      <w:r w:rsidR="00BA1943" w:rsidRPr="00C24944">
        <w:rPr>
          <w:rFonts w:asciiTheme="minorHAnsi" w:hAnsiTheme="minorHAnsi" w:cstheme="minorHAnsi"/>
          <w:sz w:val="24"/>
          <w:szCs w:val="24"/>
        </w:rPr>
        <w:t>n</w:t>
      </w:r>
      <w:r w:rsidRPr="00C24944">
        <w:rPr>
          <w:rFonts w:asciiTheme="minorHAnsi" w:hAnsiTheme="minorHAnsi" w:cstheme="minorHAnsi"/>
          <w:sz w:val="24"/>
          <w:szCs w:val="24"/>
        </w:rPr>
        <w:t xml:space="preserve">aloxone </w:t>
      </w:r>
      <w:r w:rsidR="004D27AE" w:rsidRPr="00C24944">
        <w:rPr>
          <w:rFonts w:asciiTheme="minorHAnsi" w:hAnsiTheme="minorHAnsi" w:cstheme="minorHAnsi"/>
          <w:sz w:val="24"/>
          <w:szCs w:val="24"/>
        </w:rPr>
        <w:t>amp</w:t>
      </w:r>
      <w:r w:rsidR="00381F4A" w:rsidRPr="00C24944">
        <w:rPr>
          <w:rFonts w:asciiTheme="minorHAnsi" w:hAnsiTheme="minorHAnsi" w:cstheme="minorHAnsi"/>
          <w:sz w:val="24"/>
          <w:szCs w:val="24"/>
        </w:rPr>
        <w:t>o</w:t>
      </w:r>
      <w:r w:rsidR="004D27AE" w:rsidRPr="00C24944">
        <w:rPr>
          <w:rFonts w:asciiTheme="minorHAnsi" w:hAnsiTheme="minorHAnsi" w:cstheme="minorHAnsi"/>
          <w:sz w:val="24"/>
          <w:szCs w:val="24"/>
        </w:rPr>
        <w:t xml:space="preserve">ules </w:t>
      </w:r>
      <w:r w:rsidRPr="00C24944">
        <w:rPr>
          <w:rFonts w:asciiTheme="minorHAnsi" w:hAnsiTheme="minorHAnsi" w:cstheme="minorHAnsi"/>
          <w:sz w:val="24"/>
          <w:szCs w:val="24"/>
        </w:rPr>
        <w:t>is assumed for 2019 based on past PBS Services data (from 2016/17 to 2018/19)</w:t>
      </w:r>
      <w:r w:rsidR="009A45B4" w:rsidRPr="00C24944">
        <w:rPr>
          <w:rFonts w:asciiTheme="minorHAnsi" w:hAnsiTheme="minorHAnsi" w:cstheme="minorHAnsi"/>
          <w:sz w:val="24"/>
          <w:szCs w:val="24"/>
        </w:rPr>
        <w:t xml:space="preserve"> and 25%, 15% and 10% </w:t>
      </w:r>
      <w:r w:rsidR="00901F8D" w:rsidRPr="00C24944">
        <w:rPr>
          <w:rFonts w:asciiTheme="minorHAnsi" w:hAnsiTheme="minorHAnsi" w:cstheme="minorHAnsi"/>
          <w:sz w:val="24"/>
          <w:szCs w:val="24"/>
        </w:rPr>
        <w:t xml:space="preserve">thereafter </w:t>
      </w:r>
      <w:r w:rsidR="009A45B4" w:rsidRPr="00C24944">
        <w:rPr>
          <w:rFonts w:asciiTheme="minorHAnsi" w:hAnsiTheme="minorHAnsi" w:cstheme="minorHAnsi"/>
          <w:sz w:val="24"/>
          <w:szCs w:val="24"/>
        </w:rPr>
        <w:t>is assumed for subsequent years where the decline in growth is anticipated based on the recent withdrawal of the prefilled syringe Naloxone pre</w:t>
      </w:r>
      <w:r w:rsidR="00E160D2" w:rsidRPr="00C24944">
        <w:rPr>
          <w:rFonts w:asciiTheme="minorHAnsi" w:hAnsiTheme="minorHAnsi" w:cstheme="minorHAnsi"/>
          <w:sz w:val="24"/>
          <w:szCs w:val="24"/>
        </w:rPr>
        <w:t>se</w:t>
      </w:r>
      <w:r w:rsidR="009A45B4" w:rsidRPr="00C24944">
        <w:rPr>
          <w:rFonts w:asciiTheme="minorHAnsi" w:hAnsiTheme="minorHAnsi" w:cstheme="minorHAnsi"/>
          <w:sz w:val="24"/>
          <w:szCs w:val="24"/>
        </w:rPr>
        <w:t xml:space="preserve">ntation, </w:t>
      </w:r>
      <w:proofErr w:type="spellStart"/>
      <w:r w:rsidR="009A45B4" w:rsidRPr="00C24944">
        <w:rPr>
          <w:rFonts w:asciiTheme="minorHAnsi" w:hAnsiTheme="minorHAnsi" w:cstheme="minorHAnsi"/>
          <w:sz w:val="24"/>
          <w:szCs w:val="24"/>
        </w:rPr>
        <w:t>Minijet</w:t>
      </w:r>
      <w:proofErr w:type="spellEnd"/>
      <w:r w:rsidR="009A45B4" w:rsidRPr="00C24944">
        <w:rPr>
          <w:rFonts w:asciiTheme="minorHAnsi" w:hAnsiTheme="minorHAnsi" w:cstheme="minorHAnsi"/>
          <w:sz w:val="24"/>
          <w:szCs w:val="24"/>
        </w:rPr>
        <w:t xml:space="preserve">. </w:t>
      </w:r>
    </w:p>
    <w:p w:rsidR="00901F8D" w:rsidRPr="00C24944" w:rsidRDefault="009A45B4" w:rsidP="009A45B4">
      <w:pPr>
        <w:pStyle w:val="ListParagraph"/>
        <w:widowControl/>
        <w:numPr>
          <w:ilvl w:val="0"/>
          <w:numId w:val="22"/>
        </w:numPr>
        <w:spacing w:after="120"/>
        <w:contextualSpacing w:val="0"/>
        <w:rPr>
          <w:rFonts w:asciiTheme="minorHAnsi" w:hAnsiTheme="minorHAnsi" w:cstheme="minorHAnsi"/>
          <w:sz w:val="24"/>
          <w:szCs w:val="24"/>
        </w:rPr>
      </w:pPr>
      <w:proofErr w:type="spellStart"/>
      <w:r w:rsidRPr="00C24944">
        <w:rPr>
          <w:rFonts w:asciiTheme="minorHAnsi" w:hAnsiTheme="minorHAnsi" w:cstheme="minorHAnsi"/>
          <w:sz w:val="24"/>
          <w:szCs w:val="24"/>
        </w:rPr>
        <w:t>Nyxoid</w:t>
      </w:r>
      <w:proofErr w:type="spellEnd"/>
      <w:r w:rsidRPr="00C24944">
        <w:rPr>
          <w:rFonts w:asciiTheme="minorHAnsi" w:hAnsiTheme="minorHAnsi" w:cstheme="minorHAnsi"/>
          <w:sz w:val="24"/>
          <w:szCs w:val="24"/>
        </w:rPr>
        <w:t xml:space="preserve"> is assumed to displace 10%</w:t>
      </w:r>
      <w:r w:rsidR="00D304F5" w:rsidRPr="00C24944">
        <w:rPr>
          <w:rFonts w:asciiTheme="minorHAnsi" w:hAnsiTheme="minorHAnsi" w:cstheme="minorHAnsi"/>
          <w:sz w:val="24"/>
          <w:szCs w:val="24"/>
        </w:rPr>
        <w:t xml:space="preserve"> of naloxone ampoule prescriptions in the first year,</w:t>
      </w:r>
      <w:r w:rsidR="0032077E" w:rsidRPr="00C24944">
        <w:rPr>
          <w:rFonts w:asciiTheme="minorHAnsi" w:hAnsiTheme="minorHAnsi" w:cstheme="minorHAnsi"/>
          <w:sz w:val="24"/>
          <w:szCs w:val="24"/>
        </w:rPr>
        <w:t xml:space="preserve"> rising to 45% in years 5 and 6</w:t>
      </w:r>
      <w:r w:rsidRPr="00C24944">
        <w:rPr>
          <w:rFonts w:asciiTheme="minorHAnsi" w:hAnsiTheme="minorHAnsi" w:cstheme="minorHAnsi"/>
          <w:sz w:val="24"/>
          <w:szCs w:val="24"/>
        </w:rPr>
        <w:t xml:space="preserve">, and 5%, </w:t>
      </w:r>
      <w:r w:rsidR="0032077E" w:rsidRPr="00C24944">
        <w:rPr>
          <w:rFonts w:asciiTheme="minorHAnsi" w:hAnsiTheme="minorHAnsi" w:cstheme="minorHAnsi"/>
          <w:sz w:val="24"/>
          <w:szCs w:val="24"/>
        </w:rPr>
        <w:t xml:space="preserve">of prefilled syringe prescriptions in the first year, rising to </w:t>
      </w:r>
      <w:r w:rsidR="00901F8D" w:rsidRPr="00C24944">
        <w:rPr>
          <w:rFonts w:asciiTheme="minorHAnsi" w:hAnsiTheme="minorHAnsi" w:cstheme="minorHAnsi"/>
          <w:sz w:val="24"/>
          <w:szCs w:val="24"/>
        </w:rPr>
        <w:t>22.5%</w:t>
      </w:r>
      <w:r w:rsidRPr="00C24944">
        <w:rPr>
          <w:rFonts w:asciiTheme="minorHAnsi" w:hAnsiTheme="minorHAnsi" w:cstheme="minorHAnsi"/>
          <w:sz w:val="24"/>
          <w:szCs w:val="24"/>
        </w:rPr>
        <w:t xml:space="preserve"> </w:t>
      </w:r>
      <w:r w:rsidR="0032077E" w:rsidRPr="00C24944">
        <w:rPr>
          <w:rFonts w:asciiTheme="minorHAnsi" w:hAnsiTheme="minorHAnsi" w:cstheme="minorHAnsi"/>
          <w:sz w:val="24"/>
          <w:szCs w:val="24"/>
        </w:rPr>
        <w:t>in years 5 and 6</w:t>
      </w:r>
      <w:r w:rsidRPr="00C24944">
        <w:rPr>
          <w:rFonts w:asciiTheme="minorHAnsi" w:hAnsiTheme="minorHAnsi" w:cstheme="minorHAnsi"/>
          <w:sz w:val="24"/>
          <w:szCs w:val="24"/>
        </w:rPr>
        <w:t xml:space="preserve">. </w:t>
      </w:r>
    </w:p>
    <w:p w:rsidR="009A45B4" w:rsidRPr="00C24944" w:rsidRDefault="00BA1943" w:rsidP="00381F4A">
      <w:pPr>
        <w:pStyle w:val="ListParagraph"/>
        <w:widowControl/>
        <w:numPr>
          <w:ilvl w:val="1"/>
          <w:numId w:val="14"/>
        </w:numPr>
        <w:spacing w:after="120"/>
        <w:ind w:left="709"/>
        <w:contextualSpacing w:val="0"/>
        <w:rPr>
          <w:rFonts w:asciiTheme="minorHAnsi" w:hAnsiTheme="minorHAnsi" w:cstheme="minorHAnsi"/>
          <w:sz w:val="24"/>
        </w:rPr>
      </w:pPr>
      <w:r w:rsidRPr="00C24944">
        <w:rPr>
          <w:rFonts w:asciiTheme="minorHAnsi" w:hAnsiTheme="minorHAnsi" w:cstheme="minorHAnsi"/>
          <w:sz w:val="24"/>
        </w:rPr>
        <w:t>T</w:t>
      </w:r>
      <w:r w:rsidR="009A45B4" w:rsidRPr="00C24944">
        <w:rPr>
          <w:rFonts w:asciiTheme="minorHAnsi" w:hAnsiTheme="minorHAnsi" w:cstheme="minorHAnsi"/>
          <w:sz w:val="24"/>
        </w:rPr>
        <w:t xml:space="preserve">he submission has not provided </w:t>
      </w:r>
      <w:r w:rsidR="00901F8D" w:rsidRPr="00C24944">
        <w:rPr>
          <w:rFonts w:asciiTheme="minorHAnsi" w:hAnsiTheme="minorHAnsi" w:cstheme="minorHAnsi"/>
          <w:sz w:val="24"/>
        </w:rPr>
        <w:t xml:space="preserve">data to substantiate the growth and displacement estimates </w:t>
      </w:r>
      <w:r w:rsidR="0024191B" w:rsidRPr="00C24944">
        <w:rPr>
          <w:rFonts w:asciiTheme="minorHAnsi" w:hAnsiTheme="minorHAnsi" w:cstheme="minorHAnsi"/>
          <w:sz w:val="24"/>
        </w:rPr>
        <w:t>of</w:t>
      </w:r>
      <w:r w:rsidR="00901F8D" w:rsidRPr="00C24944">
        <w:rPr>
          <w:rFonts w:asciiTheme="minorHAnsi" w:hAnsiTheme="minorHAnsi" w:cstheme="minorHAnsi"/>
          <w:sz w:val="24"/>
        </w:rPr>
        <w:t xml:space="preserve"> naloxone</w:t>
      </w:r>
      <w:r w:rsidR="00E442A7" w:rsidRPr="00C24944">
        <w:rPr>
          <w:rFonts w:asciiTheme="minorHAnsi" w:hAnsiTheme="minorHAnsi" w:cstheme="minorHAnsi"/>
          <w:sz w:val="24"/>
        </w:rPr>
        <w:t xml:space="preserve"> ampules</w:t>
      </w:r>
      <w:r w:rsidR="00901F8D" w:rsidRPr="00C24944">
        <w:rPr>
          <w:rFonts w:asciiTheme="minorHAnsi" w:hAnsiTheme="minorHAnsi" w:cstheme="minorHAnsi"/>
          <w:sz w:val="24"/>
        </w:rPr>
        <w:t xml:space="preserve"> and </w:t>
      </w:r>
      <w:r w:rsidR="00E442A7" w:rsidRPr="00C24944">
        <w:rPr>
          <w:rFonts w:asciiTheme="minorHAnsi" w:hAnsiTheme="minorHAnsi" w:cstheme="minorHAnsi"/>
          <w:sz w:val="24"/>
        </w:rPr>
        <w:t xml:space="preserve">IN naloxone </w:t>
      </w:r>
      <w:r w:rsidR="00901F8D" w:rsidRPr="00C24944">
        <w:rPr>
          <w:rFonts w:asciiTheme="minorHAnsi" w:hAnsiTheme="minorHAnsi" w:cstheme="minorHAnsi"/>
          <w:sz w:val="24"/>
        </w:rPr>
        <w:t>respectively.</w:t>
      </w:r>
      <w:r w:rsidR="0024191B" w:rsidRPr="00C24944">
        <w:rPr>
          <w:rFonts w:asciiTheme="minorHAnsi" w:hAnsiTheme="minorHAnsi" w:cstheme="minorHAnsi"/>
          <w:sz w:val="24"/>
        </w:rPr>
        <w:t xml:space="preserve"> </w:t>
      </w:r>
    </w:p>
    <w:p w:rsidR="00845E0C" w:rsidRPr="00EE30C8" w:rsidRDefault="00845E0C" w:rsidP="00845E0C">
      <w:pPr>
        <w:pStyle w:val="Caption"/>
        <w:rPr>
          <w:rFonts w:cstheme="minorHAnsi"/>
        </w:rPr>
      </w:pPr>
      <w:r w:rsidRPr="00EE30C8">
        <w:rPr>
          <w:rFonts w:cstheme="minorHAnsi"/>
        </w:rPr>
        <w:t xml:space="preserve">Table </w:t>
      </w:r>
      <w:r w:rsidR="002228C4" w:rsidRPr="00EE30C8">
        <w:rPr>
          <w:rFonts w:cstheme="minorHAnsi"/>
        </w:rPr>
        <w:t>4</w:t>
      </w:r>
      <w:r w:rsidRPr="00EE30C8">
        <w:rPr>
          <w:rFonts w:cstheme="minorHAnsi"/>
        </w:rPr>
        <w:t xml:space="preserve">. </w:t>
      </w:r>
      <w:r w:rsidR="00381F4A" w:rsidRPr="00EE30C8">
        <w:rPr>
          <w:rFonts w:cstheme="minorHAnsi"/>
        </w:rPr>
        <w:t>Estimated use and financial implications</w:t>
      </w:r>
    </w:p>
    <w:tbl>
      <w:tblPr>
        <w:tblStyle w:val="TableGrid"/>
        <w:tblW w:w="5000" w:type="pct"/>
        <w:tblLook w:val="04A0" w:firstRow="1" w:lastRow="0" w:firstColumn="1" w:lastColumn="0" w:noHBand="0" w:noVBand="1"/>
        <w:tblCaption w:val="Table 4. Estimated use and financial implications"/>
      </w:tblPr>
      <w:tblGrid>
        <w:gridCol w:w="1833"/>
        <w:gridCol w:w="1198"/>
        <w:gridCol w:w="1197"/>
        <w:gridCol w:w="1197"/>
        <w:gridCol w:w="1197"/>
        <w:gridCol w:w="1197"/>
        <w:gridCol w:w="1197"/>
      </w:tblGrid>
      <w:tr w:rsidR="00504638" w:rsidRPr="00C24944" w:rsidTr="00323773">
        <w:trPr>
          <w:tblHeader/>
        </w:trPr>
        <w:tc>
          <w:tcPr>
            <w:tcW w:w="1016" w:type="pct"/>
          </w:tcPr>
          <w:p w:rsidR="00504638" w:rsidRPr="00EE30C8" w:rsidRDefault="00504638" w:rsidP="00504638">
            <w:pPr>
              <w:rPr>
                <w:rFonts w:ascii="Arial Narrow" w:hAnsi="Arial Narrow"/>
                <w:sz w:val="20"/>
                <w:szCs w:val="22"/>
                <w:lang w:eastAsia="en-US"/>
              </w:rPr>
            </w:pPr>
          </w:p>
        </w:tc>
        <w:tc>
          <w:tcPr>
            <w:tcW w:w="664" w:type="pct"/>
          </w:tcPr>
          <w:p w:rsidR="00504638" w:rsidRPr="00EE30C8" w:rsidRDefault="00504638" w:rsidP="00504638">
            <w:pPr>
              <w:jc w:val="center"/>
              <w:rPr>
                <w:rFonts w:ascii="Arial Narrow" w:hAnsi="Arial Narrow"/>
                <w:b/>
                <w:sz w:val="20"/>
                <w:szCs w:val="22"/>
                <w:lang w:eastAsia="en-US"/>
              </w:rPr>
            </w:pPr>
            <w:r w:rsidRPr="00EE30C8">
              <w:rPr>
                <w:rFonts w:ascii="Arial Narrow" w:hAnsi="Arial Narrow"/>
                <w:b/>
                <w:sz w:val="20"/>
                <w:szCs w:val="22"/>
                <w:lang w:eastAsia="en-US"/>
              </w:rPr>
              <w:t>Year 1</w:t>
            </w:r>
          </w:p>
        </w:tc>
        <w:tc>
          <w:tcPr>
            <w:tcW w:w="664" w:type="pct"/>
          </w:tcPr>
          <w:p w:rsidR="00504638" w:rsidRPr="00EE30C8" w:rsidRDefault="00504638" w:rsidP="00504638">
            <w:pPr>
              <w:jc w:val="center"/>
              <w:rPr>
                <w:rFonts w:ascii="Arial Narrow" w:hAnsi="Arial Narrow"/>
                <w:b/>
                <w:sz w:val="20"/>
                <w:szCs w:val="22"/>
                <w:lang w:eastAsia="en-US"/>
              </w:rPr>
            </w:pPr>
            <w:r w:rsidRPr="00EE30C8">
              <w:rPr>
                <w:rFonts w:ascii="Arial Narrow" w:hAnsi="Arial Narrow"/>
                <w:b/>
                <w:sz w:val="20"/>
                <w:szCs w:val="22"/>
                <w:lang w:eastAsia="en-US"/>
              </w:rPr>
              <w:t>Year 2</w:t>
            </w:r>
          </w:p>
        </w:tc>
        <w:tc>
          <w:tcPr>
            <w:tcW w:w="664" w:type="pct"/>
          </w:tcPr>
          <w:p w:rsidR="00504638" w:rsidRPr="00EE30C8" w:rsidRDefault="00504638" w:rsidP="00504638">
            <w:pPr>
              <w:jc w:val="center"/>
              <w:rPr>
                <w:rFonts w:ascii="Arial Narrow" w:hAnsi="Arial Narrow"/>
                <w:b/>
                <w:sz w:val="20"/>
                <w:szCs w:val="22"/>
                <w:lang w:eastAsia="en-US"/>
              </w:rPr>
            </w:pPr>
            <w:r w:rsidRPr="00EE30C8">
              <w:rPr>
                <w:rFonts w:ascii="Arial Narrow" w:hAnsi="Arial Narrow"/>
                <w:b/>
                <w:sz w:val="20"/>
                <w:szCs w:val="22"/>
                <w:lang w:eastAsia="en-US"/>
              </w:rPr>
              <w:t>Year 3</w:t>
            </w:r>
          </w:p>
        </w:tc>
        <w:tc>
          <w:tcPr>
            <w:tcW w:w="664" w:type="pct"/>
          </w:tcPr>
          <w:p w:rsidR="00504638" w:rsidRPr="00EE30C8" w:rsidRDefault="00504638" w:rsidP="00504638">
            <w:pPr>
              <w:jc w:val="center"/>
              <w:rPr>
                <w:rFonts w:ascii="Arial Narrow" w:hAnsi="Arial Narrow"/>
                <w:b/>
                <w:sz w:val="20"/>
                <w:szCs w:val="22"/>
                <w:lang w:eastAsia="en-US"/>
              </w:rPr>
            </w:pPr>
            <w:r w:rsidRPr="00EE30C8">
              <w:rPr>
                <w:rFonts w:ascii="Arial Narrow" w:hAnsi="Arial Narrow"/>
                <w:b/>
                <w:sz w:val="20"/>
                <w:szCs w:val="22"/>
                <w:lang w:eastAsia="en-US"/>
              </w:rPr>
              <w:t>Year 4</w:t>
            </w:r>
          </w:p>
        </w:tc>
        <w:tc>
          <w:tcPr>
            <w:tcW w:w="664" w:type="pct"/>
          </w:tcPr>
          <w:p w:rsidR="00504638" w:rsidRPr="00EE30C8" w:rsidRDefault="00504638" w:rsidP="00504638">
            <w:pPr>
              <w:jc w:val="center"/>
              <w:rPr>
                <w:rFonts w:ascii="Arial Narrow" w:hAnsi="Arial Narrow"/>
                <w:b/>
                <w:sz w:val="20"/>
                <w:szCs w:val="22"/>
                <w:lang w:eastAsia="en-US"/>
              </w:rPr>
            </w:pPr>
            <w:r w:rsidRPr="00EE30C8">
              <w:rPr>
                <w:rFonts w:ascii="Arial Narrow" w:hAnsi="Arial Narrow"/>
                <w:b/>
                <w:sz w:val="20"/>
                <w:szCs w:val="22"/>
                <w:lang w:eastAsia="en-US"/>
              </w:rPr>
              <w:t>Year 5</w:t>
            </w:r>
          </w:p>
        </w:tc>
        <w:tc>
          <w:tcPr>
            <w:tcW w:w="664" w:type="pct"/>
          </w:tcPr>
          <w:p w:rsidR="00504638" w:rsidRPr="00EE30C8" w:rsidRDefault="00504638" w:rsidP="00504638">
            <w:pPr>
              <w:jc w:val="center"/>
              <w:rPr>
                <w:rFonts w:ascii="Arial Narrow" w:hAnsi="Arial Narrow"/>
                <w:b/>
                <w:sz w:val="20"/>
                <w:szCs w:val="22"/>
                <w:lang w:eastAsia="en-US"/>
              </w:rPr>
            </w:pPr>
            <w:r w:rsidRPr="00EE30C8">
              <w:rPr>
                <w:rFonts w:ascii="Arial Narrow" w:hAnsi="Arial Narrow"/>
                <w:b/>
                <w:sz w:val="20"/>
                <w:szCs w:val="22"/>
                <w:lang w:eastAsia="en-US"/>
              </w:rPr>
              <w:t>Year 6</w:t>
            </w:r>
          </w:p>
        </w:tc>
      </w:tr>
      <w:tr w:rsidR="00504638" w:rsidRPr="00C24944" w:rsidTr="00950D34">
        <w:tc>
          <w:tcPr>
            <w:tcW w:w="5000" w:type="pct"/>
            <w:gridSpan w:val="7"/>
          </w:tcPr>
          <w:p w:rsidR="00504638" w:rsidRPr="00EE30C8" w:rsidRDefault="00504638" w:rsidP="00504638">
            <w:pPr>
              <w:rPr>
                <w:rFonts w:ascii="Arial Narrow" w:hAnsi="Arial Narrow"/>
                <w:b/>
                <w:bCs/>
                <w:color w:val="000000"/>
                <w:sz w:val="20"/>
                <w:szCs w:val="22"/>
                <w:lang w:eastAsia="en-US"/>
              </w:rPr>
            </w:pPr>
            <w:r w:rsidRPr="00EE30C8">
              <w:rPr>
                <w:rFonts w:ascii="Arial Narrow" w:hAnsi="Arial Narrow"/>
                <w:b/>
                <w:bCs/>
                <w:color w:val="000000"/>
                <w:sz w:val="20"/>
                <w:szCs w:val="22"/>
                <w:lang w:eastAsia="en-US"/>
              </w:rPr>
              <w:t>Estimated extent of use</w:t>
            </w:r>
          </w:p>
        </w:tc>
      </w:tr>
      <w:tr w:rsidR="00695B00" w:rsidRPr="00C24944" w:rsidTr="00950D34">
        <w:tc>
          <w:tcPr>
            <w:tcW w:w="1016" w:type="pct"/>
          </w:tcPr>
          <w:p w:rsidR="00695B00" w:rsidRPr="00EE30C8" w:rsidRDefault="00695B00" w:rsidP="00695B00">
            <w:pPr>
              <w:rPr>
                <w:rFonts w:ascii="Arial Narrow" w:hAnsi="Arial Narrow"/>
                <w:sz w:val="20"/>
                <w:szCs w:val="22"/>
                <w:lang w:eastAsia="en-US"/>
              </w:rPr>
            </w:pPr>
            <w:r w:rsidRPr="00EE30C8">
              <w:rPr>
                <w:rFonts w:ascii="Arial Narrow" w:hAnsi="Arial Narrow"/>
                <w:sz w:val="20"/>
                <w:szCs w:val="22"/>
                <w:lang w:eastAsia="en-US"/>
              </w:rPr>
              <w:t xml:space="preserve">Number of scripts </w:t>
            </w:r>
            <w:proofErr w:type="spellStart"/>
            <w:r w:rsidRPr="00EE30C8">
              <w:rPr>
                <w:rFonts w:ascii="Arial Narrow" w:hAnsi="Arial Narrow"/>
                <w:sz w:val="20"/>
                <w:szCs w:val="22"/>
                <w:lang w:eastAsia="en-US"/>
              </w:rPr>
              <w:t>dispensed</w:t>
            </w:r>
            <w:r w:rsidRPr="00EE30C8">
              <w:rPr>
                <w:rFonts w:ascii="Arial Narrow" w:hAnsi="Arial Narrow"/>
                <w:sz w:val="20"/>
                <w:szCs w:val="22"/>
                <w:vertAlign w:val="superscript"/>
                <w:lang w:eastAsia="en-US"/>
              </w:rPr>
              <w:t>a</w:t>
            </w:r>
            <w:proofErr w:type="spellEnd"/>
          </w:p>
        </w:tc>
        <w:tc>
          <w:tcPr>
            <w:tcW w:w="664" w:type="pct"/>
          </w:tcPr>
          <w:p w:rsidR="00695B00" w:rsidRPr="00582B97" w:rsidRDefault="00582B97" w:rsidP="00695B00">
            <w:pPr>
              <w:jc w:val="center"/>
              <w:rPr>
                <w:rFonts w:ascii="Arial Narrow" w:hAnsi="Arial Narrow" w:cstheme="minorHAnsi"/>
                <w:bCs/>
                <w:color w:val="000000"/>
                <w:sz w:val="20"/>
                <w:szCs w:val="20"/>
                <w:highlight w:val="black"/>
                <w:lang w:eastAsia="en-US"/>
              </w:rPr>
            </w:pPr>
            <w:r>
              <w:rPr>
                <w:rFonts w:ascii="Arial Narrow" w:hAnsi="Arial Narrow" w:cstheme="minorHAnsi"/>
                <w:noProof/>
                <w:color w:val="000000"/>
                <w:sz w:val="20"/>
                <w:szCs w:val="20"/>
                <w:highlight w:val="black"/>
              </w:rPr>
              <w:t>''''''''''</w:t>
            </w:r>
            <w:r w:rsidR="00695B00" w:rsidRPr="00582B97">
              <w:rPr>
                <w:rFonts w:ascii="Arial Narrow" w:hAnsi="Arial Narrow" w:cstheme="minorHAnsi"/>
                <w:sz w:val="20"/>
                <w:szCs w:val="20"/>
                <w:highlight w:val="black"/>
              </w:rPr>
              <w:t xml:space="preserve"> </w:t>
            </w:r>
          </w:p>
        </w:tc>
        <w:tc>
          <w:tcPr>
            <w:tcW w:w="664" w:type="pct"/>
          </w:tcPr>
          <w:p w:rsidR="00695B00" w:rsidRPr="00582B97" w:rsidRDefault="00582B97" w:rsidP="00695B00">
            <w:pPr>
              <w:jc w:val="center"/>
              <w:rPr>
                <w:rFonts w:ascii="Arial Narrow" w:hAnsi="Arial Narrow" w:cstheme="minorHAnsi"/>
                <w:bCs/>
                <w:color w:val="000000"/>
                <w:sz w:val="20"/>
                <w:szCs w:val="20"/>
                <w:highlight w:val="black"/>
                <w:lang w:eastAsia="en-US"/>
              </w:rPr>
            </w:pPr>
            <w:r>
              <w:rPr>
                <w:rFonts w:ascii="Arial Narrow" w:hAnsi="Arial Narrow" w:cstheme="minorHAnsi"/>
                <w:noProof/>
                <w:color w:val="000000"/>
                <w:sz w:val="20"/>
                <w:szCs w:val="20"/>
                <w:highlight w:val="black"/>
              </w:rPr>
              <w:t>''''''''''''''</w:t>
            </w:r>
            <w:r w:rsidR="00695B00" w:rsidRPr="00582B97">
              <w:rPr>
                <w:rFonts w:ascii="Arial Narrow" w:hAnsi="Arial Narrow" w:cstheme="minorHAnsi"/>
                <w:sz w:val="20"/>
                <w:szCs w:val="20"/>
                <w:highlight w:val="black"/>
              </w:rPr>
              <w:t xml:space="preserve"> </w:t>
            </w:r>
          </w:p>
        </w:tc>
        <w:tc>
          <w:tcPr>
            <w:tcW w:w="664" w:type="pct"/>
          </w:tcPr>
          <w:p w:rsidR="00695B00" w:rsidRPr="00582B97" w:rsidRDefault="00582B97" w:rsidP="00695B00">
            <w:pPr>
              <w:jc w:val="center"/>
              <w:rPr>
                <w:rFonts w:ascii="Arial Narrow" w:hAnsi="Arial Narrow" w:cstheme="minorHAnsi"/>
                <w:bCs/>
                <w:color w:val="000000"/>
                <w:sz w:val="20"/>
                <w:szCs w:val="20"/>
                <w:highlight w:val="black"/>
                <w:lang w:eastAsia="en-US"/>
              </w:rPr>
            </w:pPr>
            <w:r>
              <w:rPr>
                <w:rFonts w:ascii="Arial Narrow" w:hAnsi="Arial Narrow" w:cstheme="minorHAnsi"/>
                <w:noProof/>
                <w:color w:val="000000"/>
                <w:sz w:val="20"/>
                <w:szCs w:val="20"/>
                <w:highlight w:val="black"/>
              </w:rPr>
              <w:t>''''''''''''''</w:t>
            </w:r>
            <w:r w:rsidR="00695B00" w:rsidRPr="00582B97">
              <w:rPr>
                <w:rFonts w:ascii="Arial Narrow" w:hAnsi="Arial Narrow" w:cstheme="minorHAnsi"/>
                <w:sz w:val="20"/>
                <w:szCs w:val="20"/>
                <w:highlight w:val="black"/>
              </w:rPr>
              <w:t xml:space="preserve"> </w:t>
            </w:r>
          </w:p>
        </w:tc>
        <w:tc>
          <w:tcPr>
            <w:tcW w:w="664" w:type="pct"/>
          </w:tcPr>
          <w:p w:rsidR="00695B00" w:rsidRPr="00582B97" w:rsidRDefault="00582B97" w:rsidP="00695B00">
            <w:pPr>
              <w:jc w:val="center"/>
              <w:rPr>
                <w:rFonts w:ascii="Arial Narrow" w:hAnsi="Arial Narrow" w:cstheme="minorHAnsi"/>
                <w:bCs/>
                <w:color w:val="000000"/>
                <w:sz w:val="20"/>
                <w:szCs w:val="20"/>
                <w:highlight w:val="black"/>
                <w:lang w:eastAsia="en-US"/>
              </w:rPr>
            </w:pPr>
            <w:r>
              <w:rPr>
                <w:rFonts w:ascii="Arial Narrow" w:hAnsi="Arial Narrow" w:cstheme="minorHAnsi"/>
                <w:noProof/>
                <w:color w:val="000000"/>
                <w:sz w:val="20"/>
                <w:szCs w:val="20"/>
                <w:highlight w:val="black"/>
              </w:rPr>
              <w:t>'''''''''''''</w:t>
            </w:r>
            <w:r w:rsidR="00695B00" w:rsidRPr="00582B97">
              <w:rPr>
                <w:rFonts w:ascii="Arial Narrow" w:hAnsi="Arial Narrow" w:cstheme="minorHAnsi"/>
                <w:sz w:val="20"/>
                <w:szCs w:val="20"/>
                <w:highlight w:val="black"/>
              </w:rPr>
              <w:t xml:space="preserve"> </w:t>
            </w:r>
          </w:p>
        </w:tc>
        <w:tc>
          <w:tcPr>
            <w:tcW w:w="664" w:type="pct"/>
          </w:tcPr>
          <w:p w:rsidR="00695B00" w:rsidRPr="00582B97" w:rsidRDefault="00582B97" w:rsidP="00695B00">
            <w:pPr>
              <w:jc w:val="center"/>
              <w:rPr>
                <w:rFonts w:ascii="Arial Narrow" w:hAnsi="Arial Narrow" w:cstheme="minorHAnsi"/>
                <w:bCs/>
                <w:color w:val="000000"/>
                <w:sz w:val="20"/>
                <w:szCs w:val="20"/>
                <w:highlight w:val="black"/>
                <w:lang w:eastAsia="en-US"/>
              </w:rPr>
            </w:pPr>
            <w:r>
              <w:rPr>
                <w:rFonts w:ascii="Arial Narrow" w:hAnsi="Arial Narrow" w:cstheme="minorHAnsi"/>
                <w:noProof/>
                <w:color w:val="000000"/>
                <w:sz w:val="20"/>
                <w:szCs w:val="20"/>
                <w:highlight w:val="black"/>
              </w:rPr>
              <w:t>'''''''''''''</w:t>
            </w:r>
            <w:r w:rsidR="00695B00" w:rsidRPr="00582B97">
              <w:rPr>
                <w:rFonts w:ascii="Arial Narrow" w:hAnsi="Arial Narrow" w:cstheme="minorHAnsi"/>
                <w:sz w:val="20"/>
                <w:szCs w:val="20"/>
                <w:highlight w:val="black"/>
              </w:rPr>
              <w:t xml:space="preserve"> </w:t>
            </w:r>
          </w:p>
        </w:tc>
        <w:tc>
          <w:tcPr>
            <w:tcW w:w="664" w:type="pct"/>
          </w:tcPr>
          <w:p w:rsidR="00695B00" w:rsidRPr="00582B97" w:rsidRDefault="00582B97" w:rsidP="00695B00">
            <w:pPr>
              <w:jc w:val="center"/>
              <w:rPr>
                <w:rFonts w:ascii="Arial Narrow" w:hAnsi="Arial Narrow" w:cstheme="minorHAnsi"/>
                <w:bCs/>
                <w:color w:val="000000"/>
                <w:sz w:val="20"/>
                <w:szCs w:val="20"/>
                <w:highlight w:val="black"/>
                <w:lang w:eastAsia="en-US"/>
              </w:rPr>
            </w:pPr>
            <w:r>
              <w:rPr>
                <w:rFonts w:ascii="Arial Narrow" w:hAnsi="Arial Narrow" w:cstheme="minorHAnsi"/>
                <w:noProof/>
                <w:color w:val="000000"/>
                <w:sz w:val="20"/>
                <w:szCs w:val="20"/>
                <w:highlight w:val="black"/>
              </w:rPr>
              <w:t>'''''''''''''</w:t>
            </w:r>
            <w:r w:rsidR="00695B00" w:rsidRPr="00582B97">
              <w:rPr>
                <w:rFonts w:ascii="Arial Narrow" w:hAnsi="Arial Narrow" w:cstheme="minorHAnsi"/>
                <w:sz w:val="20"/>
                <w:szCs w:val="20"/>
                <w:highlight w:val="black"/>
              </w:rPr>
              <w:t xml:space="preserve"> </w:t>
            </w:r>
          </w:p>
        </w:tc>
      </w:tr>
      <w:tr w:rsidR="00504638" w:rsidRPr="00C24944" w:rsidTr="00950D34">
        <w:tc>
          <w:tcPr>
            <w:tcW w:w="5000" w:type="pct"/>
            <w:gridSpan w:val="7"/>
          </w:tcPr>
          <w:p w:rsidR="00504638" w:rsidRPr="00EE30C8" w:rsidRDefault="00504638" w:rsidP="009F05F5">
            <w:pPr>
              <w:rPr>
                <w:rFonts w:ascii="Arial Narrow" w:hAnsi="Arial Narrow" w:cstheme="minorHAnsi"/>
                <w:b/>
                <w:bCs/>
                <w:color w:val="000000"/>
                <w:sz w:val="20"/>
                <w:szCs w:val="20"/>
                <w:lang w:eastAsia="en-US"/>
              </w:rPr>
            </w:pPr>
            <w:r w:rsidRPr="00EE30C8">
              <w:rPr>
                <w:rFonts w:ascii="Arial Narrow" w:hAnsi="Arial Narrow" w:cstheme="minorHAnsi"/>
                <w:b/>
                <w:bCs/>
                <w:color w:val="000000"/>
                <w:sz w:val="20"/>
                <w:szCs w:val="20"/>
                <w:lang w:eastAsia="en-US"/>
              </w:rPr>
              <w:t xml:space="preserve">Estimated </w:t>
            </w:r>
            <w:r w:rsidR="009F05F5" w:rsidRPr="00EE30C8">
              <w:rPr>
                <w:rFonts w:ascii="Arial Narrow" w:hAnsi="Arial Narrow" w:cstheme="minorHAnsi"/>
                <w:b/>
                <w:bCs/>
                <w:color w:val="000000"/>
                <w:sz w:val="20"/>
                <w:szCs w:val="20"/>
                <w:lang w:eastAsia="en-US"/>
              </w:rPr>
              <w:t xml:space="preserve">financial implications of </w:t>
            </w:r>
            <w:proofErr w:type="spellStart"/>
            <w:r w:rsidR="009F05F5" w:rsidRPr="00EE30C8">
              <w:rPr>
                <w:rFonts w:ascii="Arial Narrow" w:hAnsi="Arial Narrow" w:cstheme="minorHAnsi"/>
                <w:b/>
                <w:bCs/>
                <w:color w:val="000000"/>
                <w:sz w:val="20"/>
                <w:szCs w:val="20"/>
                <w:lang w:eastAsia="en-US"/>
              </w:rPr>
              <w:t>Nyxoid</w:t>
            </w:r>
            <w:proofErr w:type="spellEnd"/>
          </w:p>
        </w:tc>
      </w:tr>
      <w:tr w:rsidR="009F05F5" w:rsidRPr="00C24944" w:rsidTr="00950D34">
        <w:tc>
          <w:tcPr>
            <w:tcW w:w="1016" w:type="pct"/>
          </w:tcPr>
          <w:p w:rsidR="009F05F5" w:rsidRPr="00EE30C8" w:rsidRDefault="009F05F5" w:rsidP="009F05F5">
            <w:pPr>
              <w:rPr>
                <w:rFonts w:ascii="Arial Narrow" w:hAnsi="Arial Narrow"/>
                <w:sz w:val="20"/>
                <w:szCs w:val="22"/>
                <w:lang w:eastAsia="en-US"/>
              </w:rPr>
            </w:pPr>
            <w:r w:rsidRPr="00EE30C8">
              <w:rPr>
                <w:rFonts w:ascii="Arial Narrow" w:hAnsi="Arial Narrow"/>
                <w:sz w:val="19"/>
                <w:szCs w:val="19"/>
                <w:lang w:eastAsia="en-US"/>
              </w:rPr>
              <w:t>Cost to PBS/RPBS</w:t>
            </w:r>
          </w:p>
        </w:tc>
        <w:tc>
          <w:tcPr>
            <w:tcW w:w="664" w:type="pct"/>
          </w:tcPr>
          <w:p w:rsidR="009F05F5" w:rsidRPr="00EE30C8" w:rsidRDefault="009F05F5" w:rsidP="009F05F5">
            <w:pPr>
              <w:jc w:val="center"/>
              <w:rPr>
                <w:rFonts w:ascii="Arial Narrow" w:hAnsi="Arial Narrow" w:cstheme="minorHAnsi"/>
                <w:bCs/>
                <w:color w:val="000000"/>
                <w:sz w:val="20"/>
                <w:szCs w:val="20"/>
                <w:lang w:eastAsia="en-US"/>
              </w:rPr>
            </w:pPr>
            <w:r w:rsidRPr="00EE30C8">
              <w:rPr>
                <w:rFonts w:ascii="Arial Narrow" w:hAnsi="Arial Narrow" w:cstheme="minorHAnsi"/>
                <w:b/>
                <w:color w:val="000000"/>
                <w:sz w:val="20"/>
                <w:szCs w:val="20"/>
                <w:lang w:eastAsia="en-US"/>
              </w:rPr>
              <w:t>$</w:t>
            </w:r>
            <w:r w:rsidR="00582B97">
              <w:rPr>
                <w:rFonts w:ascii="Arial Narrow" w:hAnsi="Arial Narrow" w:cstheme="minorHAnsi"/>
                <w:b/>
                <w:noProof/>
                <w:color w:val="000000"/>
                <w:sz w:val="20"/>
                <w:szCs w:val="20"/>
                <w:highlight w:val="black"/>
                <w:lang w:eastAsia="en-US"/>
              </w:rPr>
              <w:t>'''''''''''''</w:t>
            </w:r>
          </w:p>
        </w:tc>
        <w:tc>
          <w:tcPr>
            <w:tcW w:w="664" w:type="pct"/>
          </w:tcPr>
          <w:p w:rsidR="009F05F5" w:rsidRPr="00EE30C8" w:rsidRDefault="009F05F5" w:rsidP="009F05F5">
            <w:pPr>
              <w:jc w:val="center"/>
              <w:rPr>
                <w:rFonts w:ascii="Arial Narrow" w:hAnsi="Arial Narrow" w:cstheme="minorHAnsi"/>
                <w:bCs/>
                <w:color w:val="000000"/>
                <w:sz w:val="20"/>
                <w:szCs w:val="20"/>
                <w:lang w:eastAsia="en-US"/>
              </w:rPr>
            </w:pPr>
            <w:r w:rsidRPr="00EE30C8">
              <w:rPr>
                <w:rFonts w:ascii="Arial Narrow" w:hAnsi="Arial Narrow" w:cstheme="minorHAnsi"/>
                <w:b/>
                <w:color w:val="000000"/>
                <w:sz w:val="20"/>
                <w:szCs w:val="20"/>
                <w:lang w:eastAsia="en-US"/>
              </w:rPr>
              <w:t>$</w:t>
            </w:r>
            <w:r w:rsidR="00582B97">
              <w:rPr>
                <w:rFonts w:ascii="Arial Narrow" w:hAnsi="Arial Narrow" w:cstheme="minorHAnsi"/>
                <w:b/>
                <w:noProof/>
                <w:color w:val="000000"/>
                <w:sz w:val="20"/>
                <w:szCs w:val="20"/>
                <w:highlight w:val="black"/>
                <w:lang w:eastAsia="en-US"/>
              </w:rPr>
              <w:t>''''''''''''</w:t>
            </w:r>
          </w:p>
        </w:tc>
        <w:tc>
          <w:tcPr>
            <w:tcW w:w="664" w:type="pct"/>
          </w:tcPr>
          <w:p w:rsidR="009F05F5" w:rsidRPr="00EE30C8" w:rsidRDefault="009F05F5" w:rsidP="009F05F5">
            <w:pPr>
              <w:jc w:val="center"/>
              <w:rPr>
                <w:rFonts w:ascii="Arial Narrow" w:hAnsi="Arial Narrow" w:cstheme="minorHAnsi"/>
                <w:bCs/>
                <w:color w:val="000000"/>
                <w:sz w:val="20"/>
                <w:szCs w:val="20"/>
                <w:lang w:eastAsia="en-US"/>
              </w:rPr>
            </w:pPr>
            <w:r w:rsidRPr="00EE30C8">
              <w:rPr>
                <w:rFonts w:ascii="Arial Narrow" w:hAnsi="Arial Narrow" w:cstheme="minorHAnsi"/>
                <w:b/>
                <w:color w:val="000000"/>
                <w:sz w:val="20"/>
                <w:szCs w:val="20"/>
                <w:lang w:eastAsia="en-US"/>
              </w:rPr>
              <w:t>$</w:t>
            </w:r>
            <w:r w:rsidR="00582B97">
              <w:rPr>
                <w:rFonts w:ascii="Arial Narrow" w:hAnsi="Arial Narrow" w:cstheme="minorHAnsi"/>
                <w:b/>
                <w:noProof/>
                <w:color w:val="000000"/>
                <w:sz w:val="20"/>
                <w:szCs w:val="20"/>
                <w:highlight w:val="black"/>
                <w:lang w:eastAsia="en-US"/>
              </w:rPr>
              <w:t>'''''''''''''''</w:t>
            </w:r>
          </w:p>
        </w:tc>
        <w:tc>
          <w:tcPr>
            <w:tcW w:w="664" w:type="pct"/>
          </w:tcPr>
          <w:p w:rsidR="009F05F5" w:rsidRPr="00EE30C8" w:rsidRDefault="009F05F5" w:rsidP="009F05F5">
            <w:pPr>
              <w:jc w:val="center"/>
              <w:rPr>
                <w:rFonts w:ascii="Arial Narrow" w:hAnsi="Arial Narrow" w:cstheme="minorHAnsi"/>
                <w:bCs/>
                <w:color w:val="000000"/>
                <w:sz w:val="20"/>
                <w:szCs w:val="20"/>
                <w:lang w:eastAsia="en-US"/>
              </w:rPr>
            </w:pPr>
            <w:r w:rsidRPr="00EE30C8">
              <w:rPr>
                <w:rFonts w:ascii="Arial Narrow" w:hAnsi="Arial Narrow" w:cstheme="minorHAnsi"/>
                <w:b/>
                <w:color w:val="000000"/>
                <w:sz w:val="20"/>
                <w:szCs w:val="20"/>
                <w:lang w:eastAsia="en-US"/>
              </w:rPr>
              <w:t>$</w:t>
            </w:r>
            <w:r w:rsidR="00582B97">
              <w:rPr>
                <w:rFonts w:ascii="Arial Narrow" w:hAnsi="Arial Narrow" w:cstheme="minorHAnsi"/>
                <w:b/>
                <w:noProof/>
                <w:color w:val="000000"/>
                <w:sz w:val="20"/>
                <w:szCs w:val="20"/>
                <w:highlight w:val="black"/>
                <w:lang w:eastAsia="en-US"/>
              </w:rPr>
              <w:t>'''''''''''''''''</w:t>
            </w:r>
          </w:p>
        </w:tc>
        <w:tc>
          <w:tcPr>
            <w:tcW w:w="664" w:type="pct"/>
          </w:tcPr>
          <w:p w:rsidR="009F05F5" w:rsidRPr="00EE30C8" w:rsidRDefault="009F05F5" w:rsidP="009F05F5">
            <w:pPr>
              <w:jc w:val="center"/>
              <w:rPr>
                <w:rFonts w:ascii="Arial Narrow" w:hAnsi="Arial Narrow" w:cstheme="minorHAnsi"/>
                <w:bCs/>
                <w:color w:val="000000"/>
                <w:sz w:val="20"/>
                <w:szCs w:val="20"/>
                <w:lang w:eastAsia="en-US"/>
              </w:rPr>
            </w:pPr>
            <w:r w:rsidRPr="00EE30C8">
              <w:rPr>
                <w:rFonts w:ascii="Arial Narrow" w:hAnsi="Arial Narrow" w:cstheme="minorHAnsi"/>
                <w:b/>
                <w:color w:val="000000"/>
                <w:sz w:val="20"/>
                <w:szCs w:val="20"/>
                <w:lang w:eastAsia="en-US"/>
              </w:rPr>
              <w:t>$</w:t>
            </w:r>
            <w:r w:rsidR="00582B97">
              <w:rPr>
                <w:rFonts w:ascii="Arial Narrow" w:hAnsi="Arial Narrow" w:cstheme="minorHAnsi"/>
                <w:b/>
                <w:noProof/>
                <w:color w:val="000000"/>
                <w:sz w:val="20"/>
                <w:szCs w:val="20"/>
                <w:highlight w:val="black"/>
                <w:lang w:eastAsia="en-US"/>
              </w:rPr>
              <w:t>''''''''''''''''</w:t>
            </w:r>
          </w:p>
        </w:tc>
        <w:tc>
          <w:tcPr>
            <w:tcW w:w="664" w:type="pct"/>
          </w:tcPr>
          <w:p w:rsidR="009F05F5" w:rsidRPr="00EE30C8" w:rsidRDefault="009F05F5" w:rsidP="009F05F5">
            <w:pPr>
              <w:jc w:val="center"/>
              <w:rPr>
                <w:rFonts w:ascii="Arial Narrow" w:hAnsi="Arial Narrow" w:cstheme="minorHAnsi"/>
                <w:bCs/>
                <w:color w:val="000000"/>
                <w:sz w:val="20"/>
                <w:szCs w:val="20"/>
                <w:lang w:eastAsia="en-US"/>
              </w:rPr>
            </w:pPr>
            <w:r w:rsidRPr="00EE30C8">
              <w:rPr>
                <w:rFonts w:ascii="Arial Narrow" w:hAnsi="Arial Narrow" w:cstheme="minorHAnsi"/>
                <w:b/>
                <w:color w:val="000000"/>
                <w:sz w:val="20"/>
                <w:szCs w:val="20"/>
                <w:lang w:eastAsia="en-US"/>
              </w:rPr>
              <w:t>$</w:t>
            </w:r>
            <w:r w:rsidR="00582B97">
              <w:rPr>
                <w:rFonts w:ascii="Arial Narrow" w:hAnsi="Arial Narrow" w:cstheme="minorHAnsi"/>
                <w:b/>
                <w:noProof/>
                <w:color w:val="000000"/>
                <w:sz w:val="20"/>
                <w:szCs w:val="20"/>
                <w:highlight w:val="black"/>
                <w:lang w:eastAsia="en-US"/>
              </w:rPr>
              <w:t>'''''''''''''''''</w:t>
            </w:r>
          </w:p>
        </w:tc>
      </w:tr>
      <w:tr w:rsidR="009F05F5" w:rsidRPr="00C24944" w:rsidTr="00950D34">
        <w:tc>
          <w:tcPr>
            <w:tcW w:w="1016" w:type="pct"/>
          </w:tcPr>
          <w:p w:rsidR="009F05F5" w:rsidRPr="00EE30C8" w:rsidRDefault="00E20A10" w:rsidP="009F05F5">
            <w:pPr>
              <w:rPr>
                <w:rFonts w:ascii="Arial Narrow" w:hAnsi="Arial Narrow"/>
                <w:sz w:val="19"/>
                <w:szCs w:val="19"/>
                <w:lang w:eastAsia="en-US"/>
              </w:rPr>
            </w:pPr>
            <w:r w:rsidRPr="00EE30C8">
              <w:rPr>
                <w:rFonts w:ascii="Arial Narrow" w:hAnsi="Arial Narrow"/>
                <w:sz w:val="19"/>
                <w:szCs w:val="19"/>
                <w:lang w:eastAsia="en-US"/>
              </w:rPr>
              <w:t>Co-payments</w:t>
            </w:r>
          </w:p>
        </w:tc>
        <w:tc>
          <w:tcPr>
            <w:tcW w:w="664" w:type="pct"/>
          </w:tcPr>
          <w:p w:rsidR="009F05F5" w:rsidRPr="00EE30C8" w:rsidRDefault="009F05F5" w:rsidP="009F05F5">
            <w:pPr>
              <w:jc w:val="center"/>
              <w:rPr>
                <w:rFonts w:ascii="Arial Narrow" w:hAnsi="Arial Narrow" w:cstheme="minorHAnsi"/>
                <w:bCs/>
                <w:color w:val="000000"/>
                <w:sz w:val="20"/>
                <w:szCs w:val="20"/>
                <w:lang w:eastAsia="en-US"/>
              </w:rPr>
            </w:pPr>
            <w:r w:rsidRPr="00EE30C8">
              <w:rPr>
                <w:rFonts w:ascii="Arial Narrow" w:hAnsi="Arial Narrow" w:cstheme="minorHAnsi"/>
                <w:color w:val="000000"/>
                <w:sz w:val="20"/>
                <w:szCs w:val="20"/>
                <w:lang w:eastAsia="en-US"/>
              </w:rPr>
              <w:t>$</w:t>
            </w:r>
            <w:r w:rsidR="00582B97">
              <w:rPr>
                <w:rFonts w:ascii="Arial Narrow" w:hAnsi="Arial Narrow" w:cstheme="minorHAnsi"/>
                <w:noProof/>
                <w:color w:val="000000"/>
                <w:sz w:val="20"/>
                <w:szCs w:val="20"/>
                <w:highlight w:val="black"/>
                <w:lang w:eastAsia="en-US"/>
              </w:rPr>
              <w:t>'''''''''''''</w:t>
            </w:r>
          </w:p>
        </w:tc>
        <w:tc>
          <w:tcPr>
            <w:tcW w:w="664" w:type="pct"/>
          </w:tcPr>
          <w:p w:rsidR="009F05F5" w:rsidRPr="00EE30C8" w:rsidRDefault="009F05F5" w:rsidP="009F05F5">
            <w:pPr>
              <w:jc w:val="center"/>
              <w:rPr>
                <w:rFonts w:ascii="Arial Narrow" w:hAnsi="Arial Narrow" w:cstheme="minorHAnsi"/>
                <w:bCs/>
                <w:color w:val="000000"/>
                <w:sz w:val="20"/>
                <w:szCs w:val="20"/>
                <w:lang w:eastAsia="en-US"/>
              </w:rPr>
            </w:pPr>
            <w:r w:rsidRPr="00EE30C8">
              <w:rPr>
                <w:rFonts w:ascii="Arial Narrow" w:hAnsi="Arial Narrow" w:cstheme="minorHAnsi"/>
                <w:color w:val="000000"/>
                <w:sz w:val="20"/>
                <w:szCs w:val="20"/>
                <w:lang w:eastAsia="en-US"/>
              </w:rPr>
              <w:t>$</w:t>
            </w:r>
            <w:r w:rsidR="00582B97">
              <w:rPr>
                <w:rFonts w:ascii="Arial Narrow" w:hAnsi="Arial Narrow" w:cstheme="minorHAnsi"/>
                <w:noProof/>
                <w:color w:val="000000"/>
                <w:sz w:val="20"/>
                <w:szCs w:val="20"/>
                <w:highlight w:val="black"/>
                <w:lang w:eastAsia="en-US"/>
              </w:rPr>
              <w:t>''''''''''''''''</w:t>
            </w:r>
          </w:p>
        </w:tc>
        <w:tc>
          <w:tcPr>
            <w:tcW w:w="664" w:type="pct"/>
          </w:tcPr>
          <w:p w:rsidR="009F05F5" w:rsidRPr="00EE30C8" w:rsidRDefault="009F05F5" w:rsidP="009F05F5">
            <w:pPr>
              <w:jc w:val="center"/>
              <w:rPr>
                <w:rFonts w:ascii="Arial Narrow" w:hAnsi="Arial Narrow" w:cstheme="minorHAnsi"/>
                <w:bCs/>
                <w:color w:val="000000"/>
                <w:sz w:val="20"/>
                <w:szCs w:val="20"/>
                <w:lang w:eastAsia="en-US"/>
              </w:rPr>
            </w:pPr>
            <w:r w:rsidRPr="00EE30C8">
              <w:rPr>
                <w:rFonts w:ascii="Arial Narrow" w:hAnsi="Arial Narrow" w:cstheme="minorHAnsi"/>
                <w:color w:val="000000"/>
                <w:sz w:val="20"/>
                <w:szCs w:val="20"/>
                <w:lang w:eastAsia="en-US"/>
              </w:rPr>
              <w:t>$</w:t>
            </w:r>
            <w:r w:rsidR="00582B97">
              <w:rPr>
                <w:rFonts w:ascii="Arial Narrow" w:hAnsi="Arial Narrow" w:cstheme="minorHAnsi"/>
                <w:noProof/>
                <w:color w:val="000000"/>
                <w:sz w:val="20"/>
                <w:szCs w:val="20"/>
                <w:highlight w:val="black"/>
                <w:lang w:eastAsia="en-US"/>
              </w:rPr>
              <w:t>''''''''''''''''</w:t>
            </w:r>
          </w:p>
        </w:tc>
        <w:tc>
          <w:tcPr>
            <w:tcW w:w="664" w:type="pct"/>
          </w:tcPr>
          <w:p w:rsidR="009F05F5" w:rsidRPr="00EE30C8" w:rsidRDefault="009F05F5" w:rsidP="009F05F5">
            <w:pPr>
              <w:jc w:val="center"/>
              <w:rPr>
                <w:rFonts w:ascii="Arial Narrow" w:hAnsi="Arial Narrow" w:cstheme="minorHAnsi"/>
                <w:bCs/>
                <w:color w:val="000000"/>
                <w:sz w:val="20"/>
                <w:szCs w:val="20"/>
                <w:lang w:eastAsia="en-US"/>
              </w:rPr>
            </w:pPr>
            <w:r w:rsidRPr="00EE30C8">
              <w:rPr>
                <w:rFonts w:ascii="Arial Narrow" w:hAnsi="Arial Narrow" w:cstheme="minorHAnsi"/>
                <w:color w:val="000000"/>
                <w:sz w:val="20"/>
                <w:szCs w:val="20"/>
                <w:lang w:eastAsia="en-US"/>
              </w:rPr>
              <w:t>$</w:t>
            </w:r>
            <w:r w:rsidR="00582B97">
              <w:rPr>
                <w:rFonts w:ascii="Arial Narrow" w:hAnsi="Arial Narrow" w:cstheme="minorHAnsi"/>
                <w:noProof/>
                <w:color w:val="000000"/>
                <w:sz w:val="20"/>
                <w:szCs w:val="20"/>
                <w:highlight w:val="black"/>
                <w:lang w:eastAsia="en-US"/>
              </w:rPr>
              <w:t>''''''''''''''''</w:t>
            </w:r>
          </w:p>
        </w:tc>
        <w:tc>
          <w:tcPr>
            <w:tcW w:w="664" w:type="pct"/>
          </w:tcPr>
          <w:p w:rsidR="009F05F5" w:rsidRPr="00EE30C8" w:rsidRDefault="009F05F5" w:rsidP="009F05F5">
            <w:pPr>
              <w:jc w:val="center"/>
              <w:rPr>
                <w:rFonts w:ascii="Arial Narrow" w:hAnsi="Arial Narrow" w:cstheme="minorHAnsi"/>
                <w:bCs/>
                <w:color w:val="000000"/>
                <w:sz w:val="20"/>
                <w:szCs w:val="20"/>
                <w:lang w:eastAsia="en-US"/>
              </w:rPr>
            </w:pPr>
            <w:r w:rsidRPr="00EE30C8">
              <w:rPr>
                <w:rFonts w:ascii="Arial Narrow" w:hAnsi="Arial Narrow" w:cstheme="minorHAnsi"/>
                <w:color w:val="000000"/>
                <w:sz w:val="20"/>
                <w:szCs w:val="20"/>
                <w:lang w:eastAsia="en-US"/>
              </w:rPr>
              <w:t>$</w:t>
            </w:r>
            <w:r w:rsidR="00582B97">
              <w:rPr>
                <w:rFonts w:ascii="Arial Narrow" w:hAnsi="Arial Narrow" w:cstheme="minorHAnsi"/>
                <w:noProof/>
                <w:color w:val="000000"/>
                <w:sz w:val="20"/>
                <w:szCs w:val="20"/>
                <w:highlight w:val="black"/>
                <w:lang w:eastAsia="en-US"/>
              </w:rPr>
              <w:t>''''''''''''''''</w:t>
            </w:r>
          </w:p>
        </w:tc>
        <w:tc>
          <w:tcPr>
            <w:tcW w:w="664" w:type="pct"/>
          </w:tcPr>
          <w:p w:rsidR="009F05F5" w:rsidRPr="00EE30C8" w:rsidRDefault="009F05F5" w:rsidP="009F05F5">
            <w:pPr>
              <w:jc w:val="center"/>
              <w:rPr>
                <w:rFonts w:ascii="Arial Narrow" w:hAnsi="Arial Narrow" w:cstheme="minorHAnsi"/>
                <w:bCs/>
                <w:color w:val="000000"/>
                <w:sz w:val="20"/>
                <w:szCs w:val="20"/>
                <w:lang w:eastAsia="en-US"/>
              </w:rPr>
            </w:pPr>
            <w:r w:rsidRPr="00EE30C8">
              <w:rPr>
                <w:rFonts w:ascii="Arial Narrow" w:hAnsi="Arial Narrow" w:cstheme="minorHAnsi"/>
                <w:color w:val="000000"/>
                <w:sz w:val="20"/>
                <w:szCs w:val="20"/>
                <w:lang w:eastAsia="en-US"/>
              </w:rPr>
              <w:t>$</w:t>
            </w:r>
            <w:r w:rsidR="00582B97">
              <w:rPr>
                <w:rFonts w:ascii="Arial Narrow" w:hAnsi="Arial Narrow" w:cstheme="minorHAnsi"/>
                <w:noProof/>
                <w:color w:val="000000"/>
                <w:sz w:val="20"/>
                <w:szCs w:val="20"/>
                <w:highlight w:val="black"/>
                <w:lang w:eastAsia="en-US"/>
              </w:rPr>
              <w:t>'''''''''''''''''</w:t>
            </w:r>
          </w:p>
        </w:tc>
      </w:tr>
      <w:tr w:rsidR="00B74279" w:rsidRPr="00C24944" w:rsidTr="00950D34">
        <w:tc>
          <w:tcPr>
            <w:tcW w:w="1016" w:type="pct"/>
          </w:tcPr>
          <w:p w:rsidR="00B74279" w:rsidRPr="00EE30C8" w:rsidRDefault="00B74279" w:rsidP="00B74279">
            <w:pPr>
              <w:rPr>
                <w:rFonts w:ascii="Arial Narrow" w:hAnsi="Arial Narrow"/>
                <w:sz w:val="19"/>
                <w:szCs w:val="19"/>
                <w:lang w:eastAsia="en-US"/>
              </w:rPr>
            </w:pPr>
            <w:r w:rsidRPr="00EE30C8">
              <w:rPr>
                <w:rFonts w:ascii="Arial Narrow" w:hAnsi="Arial Narrow"/>
                <w:sz w:val="19"/>
                <w:szCs w:val="19"/>
                <w:lang w:eastAsia="en-US"/>
              </w:rPr>
              <w:t xml:space="preserve">Cost to PBS/RPBS less </w:t>
            </w:r>
            <w:r w:rsidR="00E20A10" w:rsidRPr="00EE30C8">
              <w:rPr>
                <w:rFonts w:ascii="Arial Narrow" w:hAnsi="Arial Narrow"/>
                <w:sz w:val="19"/>
                <w:szCs w:val="19"/>
                <w:lang w:eastAsia="en-US"/>
              </w:rPr>
              <w:t>co-payments</w:t>
            </w:r>
          </w:p>
        </w:tc>
        <w:tc>
          <w:tcPr>
            <w:tcW w:w="664" w:type="pct"/>
          </w:tcPr>
          <w:p w:rsidR="00B74279" w:rsidRPr="00EE30C8" w:rsidRDefault="00B74279" w:rsidP="00B74279">
            <w:pPr>
              <w:jc w:val="center"/>
              <w:rPr>
                <w:rFonts w:ascii="Arial Narrow" w:hAnsi="Arial Narrow" w:cstheme="minorHAnsi"/>
                <w:bCs/>
                <w:color w:val="000000"/>
                <w:sz w:val="20"/>
                <w:szCs w:val="20"/>
                <w:lang w:eastAsia="en-US"/>
              </w:rPr>
            </w:pPr>
            <w:r w:rsidRPr="00EE30C8">
              <w:rPr>
                <w:rFonts w:ascii="Arial Narrow" w:hAnsi="Arial Narrow" w:cstheme="minorHAnsi"/>
                <w:color w:val="000000"/>
                <w:sz w:val="20"/>
                <w:szCs w:val="20"/>
              </w:rPr>
              <w:t>$</w:t>
            </w:r>
            <w:r w:rsidR="00582B97">
              <w:rPr>
                <w:rFonts w:ascii="Arial Narrow" w:hAnsi="Arial Narrow" w:cstheme="minorHAnsi"/>
                <w:noProof/>
                <w:color w:val="000000"/>
                <w:sz w:val="20"/>
                <w:szCs w:val="20"/>
                <w:highlight w:val="black"/>
              </w:rPr>
              <w:t>''''''''''''''''''</w:t>
            </w:r>
          </w:p>
        </w:tc>
        <w:tc>
          <w:tcPr>
            <w:tcW w:w="664" w:type="pct"/>
          </w:tcPr>
          <w:p w:rsidR="00B74279" w:rsidRPr="00EE30C8" w:rsidRDefault="00B74279" w:rsidP="00B74279">
            <w:pPr>
              <w:jc w:val="center"/>
              <w:rPr>
                <w:rFonts w:ascii="Arial Narrow" w:hAnsi="Arial Narrow" w:cstheme="minorHAnsi"/>
                <w:bCs/>
                <w:color w:val="000000"/>
                <w:sz w:val="20"/>
                <w:szCs w:val="20"/>
                <w:lang w:eastAsia="en-US"/>
              </w:rPr>
            </w:pPr>
            <w:r w:rsidRPr="00EE30C8">
              <w:rPr>
                <w:rFonts w:ascii="Arial Narrow" w:hAnsi="Arial Narrow" w:cstheme="minorHAnsi"/>
                <w:color w:val="000000"/>
                <w:sz w:val="20"/>
                <w:szCs w:val="20"/>
              </w:rPr>
              <w:t>$</w:t>
            </w:r>
            <w:r w:rsidR="00582B97">
              <w:rPr>
                <w:rFonts w:ascii="Arial Narrow" w:hAnsi="Arial Narrow" w:cstheme="minorHAnsi"/>
                <w:noProof/>
                <w:color w:val="000000"/>
                <w:sz w:val="20"/>
                <w:szCs w:val="20"/>
                <w:highlight w:val="black"/>
              </w:rPr>
              <w:t>'''''''''''''''''</w:t>
            </w:r>
          </w:p>
        </w:tc>
        <w:tc>
          <w:tcPr>
            <w:tcW w:w="664" w:type="pct"/>
          </w:tcPr>
          <w:p w:rsidR="00B74279" w:rsidRPr="00EE30C8" w:rsidRDefault="00B74279" w:rsidP="00B74279">
            <w:pPr>
              <w:jc w:val="center"/>
              <w:rPr>
                <w:rFonts w:ascii="Arial Narrow" w:hAnsi="Arial Narrow" w:cstheme="minorHAnsi"/>
                <w:bCs/>
                <w:color w:val="000000"/>
                <w:sz w:val="20"/>
                <w:szCs w:val="20"/>
                <w:lang w:eastAsia="en-US"/>
              </w:rPr>
            </w:pPr>
            <w:r w:rsidRPr="00EE30C8">
              <w:rPr>
                <w:rFonts w:ascii="Arial Narrow" w:hAnsi="Arial Narrow" w:cstheme="minorHAnsi"/>
                <w:color w:val="000000"/>
                <w:sz w:val="20"/>
                <w:szCs w:val="20"/>
              </w:rPr>
              <w:t>$</w:t>
            </w:r>
            <w:r w:rsidR="00582B97">
              <w:rPr>
                <w:rFonts w:ascii="Arial Narrow" w:hAnsi="Arial Narrow" w:cstheme="minorHAnsi"/>
                <w:noProof/>
                <w:color w:val="000000"/>
                <w:sz w:val="20"/>
                <w:szCs w:val="20"/>
                <w:highlight w:val="black"/>
              </w:rPr>
              <w:t>'''''''''''''''''''''</w:t>
            </w:r>
          </w:p>
        </w:tc>
        <w:tc>
          <w:tcPr>
            <w:tcW w:w="664" w:type="pct"/>
          </w:tcPr>
          <w:p w:rsidR="00B74279" w:rsidRPr="00EE30C8" w:rsidRDefault="00B74279" w:rsidP="00B74279">
            <w:pPr>
              <w:jc w:val="center"/>
              <w:rPr>
                <w:rFonts w:ascii="Arial Narrow" w:hAnsi="Arial Narrow" w:cstheme="minorHAnsi"/>
                <w:bCs/>
                <w:color w:val="000000"/>
                <w:sz w:val="20"/>
                <w:szCs w:val="20"/>
                <w:lang w:eastAsia="en-US"/>
              </w:rPr>
            </w:pPr>
            <w:r w:rsidRPr="00EE30C8">
              <w:rPr>
                <w:rFonts w:ascii="Arial Narrow" w:hAnsi="Arial Narrow" w:cstheme="minorHAnsi"/>
                <w:color w:val="000000"/>
                <w:sz w:val="20"/>
                <w:szCs w:val="20"/>
              </w:rPr>
              <w:t>$</w:t>
            </w:r>
            <w:r w:rsidR="00582B97">
              <w:rPr>
                <w:rFonts w:ascii="Arial Narrow" w:hAnsi="Arial Narrow" w:cstheme="minorHAnsi"/>
                <w:noProof/>
                <w:color w:val="000000"/>
                <w:sz w:val="20"/>
                <w:szCs w:val="20"/>
                <w:highlight w:val="black"/>
              </w:rPr>
              <w:t>'''''''''''''''''''''</w:t>
            </w:r>
          </w:p>
        </w:tc>
        <w:tc>
          <w:tcPr>
            <w:tcW w:w="664" w:type="pct"/>
          </w:tcPr>
          <w:p w:rsidR="00B74279" w:rsidRPr="00EE30C8" w:rsidRDefault="00B74279" w:rsidP="00B74279">
            <w:pPr>
              <w:jc w:val="center"/>
              <w:rPr>
                <w:rFonts w:ascii="Arial Narrow" w:hAnsi="Arial Narrow" w:cstheme="minorHAnsi"/>
                <w:bCs/>
                <w:color w:val="000000"/>
                <w:sz w:val="20"/>
                <w:szCs w:val="20"/>
                <w:lang w:eastAsia="en-US"/>
              </w:rPr>
            </w:pPr>
            <w:r w:rsidRPr="00EE30C8">
              <w:rPr>
                <w:rFonts w:ascii="Arial Narrow" w:hAnsi="Arial Narrow" w:cstheme="minorHAnsi"/>
                <w:color w:val="000000"/>
                <w:sz w:val="20"/>
                <w:szCs w:val="20"/>
              </w:rPr>
              <w:t>$</w:t>
            </w:r>
            <w:r w:rsidR="00582B97">
              <w:rPr>
                <w:rFonts w:ascii="Arial Narrow" w:hAnsi="Arial Narrow" w:cstheme="minorHAnsi"/>
                <w:noProof/>
                <w:color w:val="000000"/>
                <w:sz w:val="20"/>
                <w:szCs w:val="20"/>
                <w:highlight w:val="black"/>
              </w:rPr>
              <w:t>'''''''''''''''''''''</w:t>
            </w:r>
          </w:p>
        </w:tc>
        <w:tc>
          <w:tcPr>
            <w:tcW w:w="664" w:type="pct"/>
          </w:tcPr>
          <w:p w:rsidR="00B74279" w:rsidRPr="00EE30C8" w:rsidRDefault="00B74279" w:rsidP="00B74279">
            <w:pPr>
              <w:jc w:val="center"/>
              <w:rPr>
                <w:rFonts w:ascii="Arial Narrow" w:hAnsi="Arial Narrow" w:cstheme="minorHAnsi"/>
                <w:bCs/>
                <w:color w:val="000000"/>
                <w:sz w:val="20"/>
                <w:szCs w:val="20"/>
                <w:lang w:eastAsia="en-US"/>
              </w:rPr>
            </w:pPr>
            <w:r w:rsidRPr="00EE30C8">
              <w:rPr>
                <w:rFonts w:ascii="Arial Narrow" w:hAnsi="Arial Narrow" w:cstheme="minorHAnsi"/>
                <w:color w:val="000000"/>
                <w:sz w:val="20"/>
                <w:szCs w:val="20"/>
              </w:rPr>
              <w:t>$</w:t>
            </w:r>
            <w:r w:rsidR="00582B97">
              <w:rPr>
                <w:rFonts w:ascii="Arial Narrow" w:hAnsi="Arial Narrow" w:cstheme="minorHAnsi"/>
                <w:noProof/>
                <w:color w:val="000000"/>
                <w:sz w:val="20"/>
                <w:szCs w:val="20"/>
                <w:highlight w:val="black"/>
              </w:rPr>
              <w:t>'''''''''''''''''''</w:t>
            </w:r>
          </w:p>
        </w:tc>
      </w:tr>
      <w:tr w:rsidR="009F05F5" w:rsidRPr="00C24944" w:rsidTr="00950D34">
        <w:tc>
          <w:tcPr>
            <w:tcW w:w="5000" w:type="pct"/>
            <w:gridSpan w:val="7"/>
          </w:tcPr>
          <w:p w:rsidR="009F05F5" w:rsidRPr="00EE30C8" w:rsidRDefault="009F05F5" w:rsidP="009F05F5">
            <w:pPr>
              <w:rPr>
                <w:rFonts w:ascii="Arial Narrow" w:hAnsi="Arial Narrow" w:cstheme="minorHAnsi"/>
                <w:bCs/>
                <w:color w:val="000000"/>
                <w:sz w:val="20"/>
                <w:szCs w:val="20"/>
                <w:lang w:eastAsia="en-US"/>
              </w:rPr>
            </w:pPr>
            <w:r w:rsidRPr="00EE30C8">
              <w:rPr>
                <w:rFonts w:ascii="Arial Narrow" w:hAnsi="Arial Narrow" w:cstheme="minorHAnsi"/>
                <w:b/>
                <w:bCs/>
                <w:color w:val="000000"/>
                <w:sz w:val="20"/>
                <w:szCs w:val="20"/>
                <w:lang w:eastAsia="en-US"/>
              </w:rPr>
              <w:t xml:space="preserve">Estimated financial implications </w:t>
            </w:r>
            <w:r w:rsidR="00381F4A" w:rsidRPr="00EE30C8">
              <w:rPr>
                <w:rFonts w:ascii="Arial Narrow" w:hAnsi="Arial Narrow" w:cstheme="minorHAnsi"/>
                <w:b/>
                <w:bCs/>
                <w:color w:val="000000"/>
                <w:sz w:val="20"/>
                <w:szCs w:val="20"/>
                <w:lang w:eastAsia="en-US"/>
              </w:rPr>
              <w:t>for other n</w:t>
            </w:r>
            <w:r w:rsidRPr="00EE30C8">
              <w:rPr>
                <w:rFonts w:ascii="Arial Narrow" w:hAnsi="Arial Narrow" w:cstheme="minorHAnsi"/>
                <w:b/>
                <w:bCs/>
                <w:color w:val="000000"/>
                <w:sz w:val="20"/>
                <w:szCs w:val="20"/>
                <w:lang w:eastAsia="en-US"/>
              </w:rPr>
              <w:t>aloxone presentations</w:t>
            </w:r>
          </w:p>
        </w:tc>
      </w:tr>
      <w:tr w:rsidR="00B74279" w:rsidRPr="00C24944" w:rsidTr="00950D34">
        <w:tc>
          <w:tcPr>
            <w:tcW w:w="1016" w:type="pct"/>
          </w:tcPr>
          <w:p w:rsidR="00B74279" w:rsidRPr="00EE30C8" w:rsidRDefault="00695B00" w:rsidP="00B74279">
            <w:pPr>
              <w:rPr>
                <w:rFonts w:ascii="Arial Narrow" w:hAnsi="Arial Narrow"/>
                <w:sz w:val="19"/>
                <w:szCs w:val="19"/>
                <w:lang w:eastAsia="en-US"/>
              </w:rPr>
            </w:pPr>
            <w:r w:rsidRPr="00EE30C8">
              <w:rPr>
                <w:rFonts w:ascii="Arial Narrow" w:hAnsi="Arial Narrow"/>
                <w:sz w:val="19"/>
                <w:szCs w:val="19"/>
                <w:lang w:eastAsia="en-US"/>
              </w:rPr>
              <w:t>Savings</w:t>
            </w:r>
            <w:r w:rsidR="00B74279" w:rsidRPr="00EE30C8">
              <w:rPr>
                <w:rFonts w:ascii="Arial Narrow" w:hAnsi="Arial Narrow"/>
                <w:sz w:val="19"/>
                <w:szCs w:val="19"/>
                <w:lang w:eastAsia="en-US"/>
              </w:rPr>
              <w:t xml:space="preserve"> to PBS/RPBS</w:t>
            </w:r>
          </w:p>
        </w:tc>
        <w:tc>
          <w:tcPr>
            <w:tcW w:w="664" w:type="pct"/>
          </w:tcPr>
          <w:p w:rsidR="00B74279" w:rsidRPr="00EE30C8" w:rsidRDefault="00B74279" w:rsidP="00B74279">
            <w:pPr>
              <w:jc w:val="center"/>
              <w:rPr>
                <w:rFonts w:ascii="Arial Narrow" w:hAnsi="Arial Narrow" w:cstheme="minorHAnsi"/>
                <w:b/>
                <w:bCs/>
                <w:color w:val="000000"/>
                <w:sz w:val="20"/>
                <w:szCs w:val="20"/>
                <w:lang w:eastAsia="en-US"/>
              </w:rPr>
            </w:pPr>
            <w:r w:rsidRPr="00EE30C8">
              <w:rPr>
                <w:rFonts w:ascii="Arial Narrow" w:hAnsi="Arial Narrow" w:cstheme="minorHAnsi"/>
                <w:b/>
                <w:color w:val="000000"/>
                <w:sz w:val="20"/>
                <w:szCs w:val="20"/>
                <w:lang w:eastAsia="en-US"/>
              </w:rPr>
              <w:t>$</w:t>
            </w:r>
            <w:r w:rsidR="00582B97">
              <w:rPr>
                <w:rFonts w:ascii="Arial Narrow" w:hAnsi="Arial Narrow" w:cstheme="minorHAnsi"/>
                <w:b/>
                <w:noProof/>
                <w:color w:val="000000"/>
                <w:sz w:val="20"/>
                <w:szCs w:val="20"/>
                <w:highlight w:val="black"/>
                <w:lang w:eastAsia="en-US"/>
              </w:rPr>
              <w:t>'''''''''''</w:t>
            </w:r>
          </w:p>
        </w:tc>
        <w:tc>
          <w:tcPr>
            <w:tcW w:w="664" w:type="pct"/>
          </w:tcPr>
          <w:p w:rsidR="00B74279" w:rsidRPr="00EE30C8" w:rsidRDefault="00B74279" w:rsidP="00B74279">
            <w:pPr>
              <w:jc w:val="center"/>
              <w:rPr>
                <w:rFonts w:ascii="Arial Narrow" w:hAnsi="Arial Narrow" w:cstheme="minorHAnsi"/>
                <w:b/>
                <w:bCs/>
                <w:color w:val="000000"/>
                <w:sz w:val="20"/>
                <w:szCs w:val="20"/>
                <w:lang w:eastAsia="en-US"/>
              </w:rPr>
            </w:pPr>
            <w:r w:rsidRPr="00EE30C8">
              <w:rPr>
                <w:rFonts w:ascii="Arial Narrow" w:hAnsi="Arial Narrow" w:cstheme="minorHAnsi"/>
                <w:b/>
                <w:color w:val="000000"/>
                <w:sz w:val="20"/>
                <w:szCs w:val="20"/>
                <w:lang w:eastAsia="en-US"/>
              </w:rPr>
              <w:t>$</w:t>
            </w:r>
            <w:r w:rsidR="00582B97">
              <w:rPr>
                <w:rFonts w:ascii="Arial Narrow" w:hAnsi="Arial Narrow" w:cstheme="minorHAnsi"/>
                <w:b/>
                <w:noProof/>
                <w:color w:val="000000"/>
                <w:sz w:val="20"/>
                <w:szCs w:val="20"/>
                <w:highlight w:val="black"/>
                <w:lang w:eastAsia="en-US"/>
              </w:rPr>
              <w:t>'''''''''''''</w:t>
            </w:r>
          </w:p>
        </w:tc>
        <w:tc>
          <w:tcPr>
            <w:tcW w:w="664" w:type="pct"/>
          </w:tcPr>
          <w:p w:rsidR="00B74279" w:rsidRPr="00EE30C8" w:rsidRDefault="00B74279" w:rsidP="00B74279">
            <w:pPr>
              <w:jc w:val="center"/>
              <w:rPr>
                <w:rFonts w:ascii="Arial Narrow" w:hAnsi="Arial Narrow" w:cstheme="minorHAnsi"/>
                <w:b/>
                <w:bCs/>
                <w:color w:val="000000"/>
                <w:sz w:val="20"/>
                <w:szCs w:val="20"/>
                <w:lang w:eastAsia="en-US"/>
              </w:rPr>
            </w:pPr>
            <w:r w:rsidRPr="00EE30C8">
              <w:rPr>
                <w:rFonts w:ascii="Arial Narrow" w:hAnsi="Arial Narrow" w:cstheme="minorHAnsi"/>
                <w:b/>
                <w:color w:val="000000"/>
                <w:sz w:val="20"/>
                <w:szCs w:val="20"/>
                <w:lang w:eastAsia="en-US"/>
              </w:rPr>
              <w:t>$</w:t>
            </w:r>
            <w:r w:rsidR="00582B97">
              <w:rPr>
                <w:rFonts w:ascii="Arial Narrow" w:hAnsi="Arial Narrow" w:cstheme="minorHAnsi"/>
                <w:b/>
                <w:noProof/>
                <w:color w:val="000000"/>
                <w:sz w:val="20"/>
                <w:szCs w:val="20"/>
                <w:highlight w:val="black"/>
                <w:lang w:eastAsia="en-US"/>
              </w:rPr>
              <w:t>'''''''''''''</w:t>
            </w:r>
          </w:p>
        </w:tc>
        <w:tc>
          <w:tcPr>
            <w:tcW w:w="664" w:type="pct"/>
          </w:tcPr>
          <w:p w:rsidR="00B74279" w:rsidRPr="00EE30C8" w:rsidRDefault="00B74279" w:rsidP="00B74279">
            <w:pPr>
              <w:jc w:val="center"/>
              <w:rPr>
                <w:rFonts w:ascii="Arial Narrow" w:hAnsi="Arial Narrow" w:cstheme="minorHAnsi"/>
                <w:b/>
                <w:bCs/>
                <w:color w:val="000000"/>
                <w:sz w:val="20"/>
                <w:szCs w:val="20"/>
                <w:lang w:eastAsia="en-US"/>
              </w:rPr>
            </w:pPr>
            <w:r w:rsidRPr="00EE30C8">
              <w:rPr>
                <w:rFonts w:ascii="Arial Narrow" w:hAnsi="Arial Narrow" w:cstheme="minorHAnsi"/>
                <w:b/>
                <w:color w:val="000000"/>
                <w:sz w:val="20"/>
                <w:szCs w:val="20"/>
                <w:lang w:eastAsia="en-US"/>
              </w:rPr>
              <w:t>$</w:t>
            </w:r>
            <w:r w:rsidR="00582B97">
              <w:rPr>
                <w:rFonts w:ascii="Arial Narrow" w:hAnsi="Arial Narrow" w:cstheme="minorHAnsi"/>
                <w:b/>
                <w:noProof/>
                <w:color w:val="000000"/>
                <w:sz w:val="20"/>
                <w:szCs w:val="20"/>
                <w:highlight w:val="black"/>
                <w:lang w:eastAsia="en-US"/>
              </w:rPr>
              <w:t>'''''''''''''</w:t>
            </w:r>
          </w:p>
        </w:tc>
        <w:tc>
          <w:tcPr>
            <w:tcW w:w="664" w:type="pct"/>
          </w:tcPr>
          <w:p w:rsidR="00B74279" w:rsidRPr="00EE30C8" w:rsidRDefault="00B74279" w:rsidP="00B74279">
            <w:pPr>
              <w:jc w:val="center"/>
              <w:rPr>
                <w:rFonts w:ascii="Arial Narrow" w:hAnsi="Arial Narrow" w:cstheme="minorHAnsi"/>
                <w:b/>
                <w:bCs/>
                <w:color w:val="000000"/>
                <w:sz w:val="20"/>
                <w:szCs w:val="20"/>
                <w:lang w:eastAsia="en-US"/>
              </w:rPr>
            </w:pPr>
            <w:r w:rsidRPr="00EE30C8">
              <w:rPr>
                <w:rFonts w:ascii="Arial Narrow" w:hAnsi="Arial Narrow" w:cstheme="minorHAnsi"/>
                <w:b/>
                <w:color w:val="000000"/>
                <w:sz w:val="20"/>
                <w:szCs w:val="20"/>
                <w:lang w:eastAsia="en-US"/>
              </w:rPr>
              <w:t>$</w:t>
            </w:r>
            <w:r w:rsidR="00582B97">
              <w:rPr>
                <w:rFonts w:ascii="Arial Narrow" w:hAnsi="Arial Narrow" w:cstheme="minorHAnsi"/>
                <w:b/>
                <w:noProof/>
                <w:color w:val="000000"/>
                <w:sz w:val="20"/>
                <w:szCs w:val="20"/>
                <w:highlight w:val="black"/>
                <w:lang w:eastAsia="en-US"/>
              </w:rPr>
              <w:t>'''''''''''''</w:t>
            </w:r>
          </w:p>
        </w:tc>
        <w:tc>
          <w:tcPr>
            <w:tcW w:w="664" w:type="pct"/>
          </w:tcPr>
          <w:p w:rsidR="00B74279" w:rsidRPr="00EE30C8" w:rsidRDefault="00B74279" w:rsidP="00B74279">
            <w:pPr>
              <w:jc w:val="center"/>
              <w:rPr>
                <w:rFonts w:ascii="Arial Narrow" w:hAnsi="Arial Narrow" w:cstheme="minorHAnsi"/>
                <w:b/>
                <w:bCs/>
                <w:color w:val="000000"/>
                <w:sz w:val="20"/>
                <w:szCs w:val="20"/>
                <w:lang w:eastAsia="en-US"/>
              </w:rPr>
            </w:pPr>
            <w:r w:rsidRPr="00EE30C8">
              <w:rPr>
                <w:rFonts w:ascii="Arial Narrow" w:hAnsi="Arial Narrow" w:cstheme="minorHAnsi"/>
                <w:b/>
                <w:color w:val="000000"/>
                <w:sz w:val="20"/>
                <w:szCs w:val="20"/>
                <w:lang w:eastAsia="en-US"/>
              </w:rPr>
              <w:t>$</w:t>
            </w:r>
            <w:r w:rsidR="00582B97">
              <w:rPr>
                <w:rFonts w:ascii="Arial Narrow" w:hAnsi="Arial Narrow" w:cstheme="minorHAnsi"/>
                <w:b/>
                <w:noProof/>
                <w:color w:val="000000"/>
                <w:sz w:val="20"/>
                <w:szCs w:val="20"/>
                <w:highlight w:val="black"/>
                <w:lang w:eastAsia="en-US"/>
              </w:rPr>
              <w:t>'''''''''''''</w:t>
            </w:r>
          </w:p>
        </w:tc>
      </w:tr>
      <w:tr w:rsidR="00B74279" w:rsidRPr="00C24944" w:rsidTr="00950D34">
        <w:tc>
          <w:tcPr>
            <w:tcW w:w="1016" w:type="pct"/>
          </w:tcPr>
          <w:p w:rsidR="00B74279" w:rsidRPr="00EE30C8" w:rsidRDefault="00E20A10" w:rsidP="00B74279">
            <w:pPr>
              <w:rPr>
                <w:rFonts w:ascii="Arial Narrow" w:hAnsi="Arial Narrow"/>
                <w:sz w:val="19"/>
                <w:szCs w:val="19"/>
                <w:lang w:eastAsia="en-US"/>
              </w:rPr>
            </w:pPr>
            <w:r w:rsidRPr="00EE30C8">
              <w:rPr>
                <w:rFonts w:ascii="Arial Narrow" w:hAnsi="Arial Narrow"/>
                <w:sz w:val="19"/>
                <w:szCs w:val="19"/>
                <w:lang w:eastAsia="en-US"/>
              </w:rPr>
              <w:t>Co-payments</w:t>
            </w:r>
          </w:p>
        </w:tc>
        <w:tc>
          <w:tcPr>
            <w:tcW w:w="664" w:type="pct"/>
          </w:tcPr>
          <w:p w:rsidR="00B74279" w:rsidRPr="00EE30C8" w:rsidRDefault="00B74279" w:rsidP="00B74279">
            <w:pPr>
              <w:jc w:val="center"/>
              <w:rPr>
                <w:rFonts w:ascii="Arial Narrow" w:hAnsi="Arial Narrow" w:cstheme="minorHAnsi"/>
                <w:bCs/>
                <w:color w:val="000000"/>
                <w:sz w:val="20"/>
                <w:szCs w:val="20"/>
                <w:lang w:eastAsia="en-US"/>
              </w:rPr>
            </w:pPr>
            <w:r w:rsidRPr="00EE30C8">
              <w:rPr>
                <w:rFonts w:ascii="Arial Narrow" w:hAnsi="Arial Narrow" w:cstheme="minorHAnsi"/>
                <w:color w:val="000000"/>
                <w:sz w:val="20"/>
                <w:szCs w:val="20"/>
                <w:lang w:eastAsia="en-US"/>
              </w:rPr>
              <w:t>$</w:t>
            </w:r>
            <w:r w:rsidR="00582B97">
              <w:rPr>
                <w:rFonts w:ascii="Arial Narrow" w:hAnsi="Arial Narrow" w:cstheme="minorHAnsi"/>
                <w:noProof/>
                <w:color w:val="000000"/>
                <w:sz w:val="20"/>
                <w:szCs w:val="20"/>
                <w:highlight w:val="black"/>
                <w:lang w:eastAsia="en-US"/>
              </w:rPr>
              <w:t>''''''''''''</w:t>
            </w:r>
          </w:p>
        </w:tc>
        <w:tc>
          <w:tcPr>
            <w:tcW w:w="664" w:type="pct"/>
          </w:tcPr>
          <w:p w:rsidR="00B74279" w:rsidRPr="00EE30C8" w:rsidRDefault="00B74279" w:rsidP="00B74279">
            <w:pPr>
              <w:jc w:val="center"/>
              <w:rPr>
                <w:rFonts w:ascii="Arial Narrow" w:hAnsi="Arial Narrow" w:cstheme="minorHAnsi"/>
                <w:bCs/>
                <w:color w:val="000000"/>
                <w:sz w:val="20"/>
                <w:szCs w:val="20"/>
                <w:lang w:eastAsia="en-US"/>
              </w:rPr>
            </w:pPr>
            <w:r w:rsidRPr="00EE30C8">
              <w:rPr>
                <w:rFonts w:ascii="Arial Narrow" w:hAnsi="Arial Narrow" w:cstheme="minorHAnsi"/>
                <w:color w:val="000000"/>
                <w:sz w:val="20"/>
                <w:szCs w:val="20"/>
                <w:lang w:eastAsia="en-US"/>
              </w:rPr>
              <w:t>$</w:t>
            </w:r>
            <w:r w:rsidR="00582B97">
              <w:rPr>
                <w:rFonts w:ascii="Arial Narrow" w:hAnsi="Arial Narrow" w:cstheme="minorHAnsi"/>
                <w:noProof/>
                <w:color w:val="000000"/>
                <w:sz w:val="20"/>
                <w:szCs w:val="20"/>
                <w:highlight w:val="black"/>
                <w:lang w:eastAsia="en-US"/>
              </w:rPr>
              <w:t>'''''''''''''</w:t>
            </w:r>
          </w:p>
        </w:tc>
        <w:tc>
          <w:tcPr>
            <w:tcW w:w="664" w:type="pct"/>
          </w:tcPr>
          <w:p w:rsidR="00B74279" w:rsidRPr="00EE30C8" w:rsidRDefault="00B74279" w:rsidP="00B74279">
            <w:pPr>
              <w:jc w:val="center"/>
              <w:rPr>
                <w:rFonts w:ascii="Arial Narrow" w:hAnsi="Arial Narrow" w:cstheme="minorHAnsi"/>
                <w:bCs/>
                <w:color w:val="000000"/>
                <w:sz w:val="20"/>
                <w:szCs w:val="20"/>
                <w:lang w:eastAsia="en-US"/>
              </w:rPr>
            </w:pPr>
            <w:r w:rsidRPr="00EE30C8">
              <w:rPr>
                <w:rFonts w:ascii="Arial Narrow" w:hAnsi="Arial Narrow" w:cstheme="minorHAnsi"/>
                <w:color w:val="000000"/>
                <w:sz w:val="20"/>
                <w:szCs w:val="20"/>
                <w:lang w:eastAsia="en-US"/>
              </w:rPr>
              <w:t>$</w:t>
            </w:r>
            <w:r w:rsidR="00582B97">
              <w:rPr>
                <w:rFonts w:ascii="Arial Narrow" w:hAnsi="Arial Narrow" w:cstheme="minorHAnsi"/>
                <w:noProof/>
                <w:color w:val="000000"/>
                <w:sz w:val="20"/>
                <w:szCs w:val="20"/>
                <w:highlight w:val="black"/>
                <w:lang w:eastAsia="en-US"/>
              </w:rPr>
              <w:t>''''''''''''</w:t>
            </w:r>
          </w:p>
        </w:tc>
        <w:tc>
          <w:tcPr>
            <w:tcW w:w="664" w:type="pct"/>
          </w:tcPr>
          <w:p w:rsidR="00B74279" w:rsidRPr="00EE30C8" w:rsidRDefault="00B74279" w:rsidP="00B74279">
            <w:pPr>
              <w:jc w:val="center"/>
              <w:rPr>
                <w:rFonts w:ascii="Arial Narrow" w:hAnsi="Arial Narrow" w:cstheme="minorHAnsi"/>
                <w:bCs/>
                <w:color w:val="000000"/>
                <w:sz w:val="20"/>
                <w:szCs w:val="20"/>
                <w:lang w:eastAsia="en-US"/>
              </w:rPr>
            </w:pPr>
            <w:r w:rsidRPr="00EE30C8">
              <w:rPr>
                <w:rFonts w:ascii="Arial Narrow" w:hAnsi="Arial Narrow" w:cstheme="minorHAnsi"/>
                <w:color w:val="000000"/>
                <w:sz w:val="20"/>
                <w:szCs w:val="20"/>
                <w:lang w:eastAsia="en-US"/>
              </w:rPr>
              <w:t>$</w:t>
            </w:r>
            <w:r w:rsidR="00582B97">
              <w:rPr>
                <w:rFonts w:ascii="Arial Narrow" w:hAnsi="Arial Narrow" w:cstheme="minorHAnsi"/>
                <w:noProof/>
                <w:color w:val="000000"/>
                <w:sz w:val="20"/>
                <w:szCs w:val="20"/>
                <w:highlight w:val="black"/>
                <w:lang w:eastAsia="en-US"/>
              </w:rPr>
              <w:t>'''''''''''''''</w:t>
            </w:r>
          </w:p>
        </w:tc>
        <w:tc>
          <w:tcPr>
            <w:tcW w:w="664" w:type="pct"/>
          </w:tcPr>
          <w:p w:rsidR="00B74279" w:rsidRPr="00EE30C8" w:rsidRDefault="00B74279" w:rsidP="00B74279">
            <w:pPr>
              <w:jc w:val="center"/>
              <w:rPr>
                <w:rFonts w:ascii="Arial Narrow" w:hAnsi="Arial Narrow" w:cstheme="minorHAnsi"/>
                <w:bCs/>
                <w:color w:val="000000"/>
                <w:sz w:val="20"/>
                <w:szCs w:val="20"/>
                <w:lang w:eastAsia="en-US"/>
              </w:rPr>
            </w:pPr>
            <w:r w:rsidRPr="00EE30C8">
              <w:rPr>
                <w:rFonts w:ascii="Arial Narrow" w:hAnsi="Arial Narrow" w:cstheme="minorHAnsi"/>
                <w:color w:val="000000"/>
                <w:sz w:val="20"/>
                <w:szCs w:val="20"/>
                <w:lang w:eastAsia="en-US"/>
              </w:rPr>
              <w:t>$</w:t>
            </w:r>
            <w:r w:rsidR="00582B97">
              <w:rPr>
                <w:rFonts w:ascii="Arial Narrow" w:hAnsi="Arial Narrow" w:cstheme="minorHAnsi"/>
                <w:noProof/>
                <w:color w:val="000000"/>
                <w:sz w:val="20"/>
                <w:szCs w:val="20"/>
                <w:highlight w:val="black"/>
                <w:lang w:eastAsia="en-US"/>
              </w:rPr>
              <w:t>''''''''''''''''</w:t>
            </w:r>
          </w:p>
        </w:tc>
        <w:tc>
          <w:tcPr>
            <w:tcW w:w="664" w:type="pct"/>
          </w:tcPr>
          <w:p w:rsidR="00B74279" w:rsidRPr="00EE30C8" w:rsidRDefault="00B74279" w:rsidP="00B74279">
            <w:pPr>
              <w:jc w:val="center"/>
              <w:rPr>
                <w:rFonts w:ascii="Arial Narrow" w:hAnsi="Arial Narrow" w:cstheme="minorHAnsi"/>
                <w:bCs/>
                <w:color w:val="000000"/>
                <w:sz w:val="20"/>
                <w:szCs w:val="20"/>
                <w:lang w:eastAsia="en-US"/>
              </w:rPr>
            </w:pPr>
            <w:r w:rsidRPr="00EE30C8">
              <w:rPr>
                <w:rFonts w:ascii="Arial Narrow" w:hAnsi="Arial Narrow" w:cstheme="minorHAnsi"/>
                <w:color w:val="000000"/>
                <w:sz w:val="20"/>
                <w:szCs w:val="20"/>
                <w:lang w:eastAsia="en-US"/>
              </w:rPr>
              <w:t>$</w:t>
            </w:r>
            <w:r w:rsidR="00582B97">
              <w:rPr>
                <w:rFonts w:ascii="Arial Narrow" w:hAnsi="Arial Narrow" w:cstheme="minorHAnsi"/>
                <w:noProof/>
                <w:color w:val="000000"/>
                <w:sz w:val="20"/>
                <w:szCs w:val="20"/>
                <w:highlight w:val="black"/>
                <w:lang w:eastAsia="en-US"/>
              </w:rPr>
              <w:t>'''''''''''''''''</w:t>
            </w:r>
          </w:p>
        </w:tc>
      </w:tr>
      <w:tr w:rsidR="00B74279" w:rsidRPr="00C24944" w:rsidTr="00950D34">
        <w:tc>
          <w:tcPr>
            <w:tcW w:w="1016" w:type="pct"/>
          </w:tcPr>
          <w:p w:rsidR="00B74279" w:rsidRPr="00EE30C8" w:rsidRDefault="00695B00" w:rsidP="00B74279">
            <w:pPr>
              <w:rPr>
                <w:rFonts w:ascii="Arial Narrow" w:hAnsi="Arial Narrow"/>
                <w:sz w:val="19"/>
                <w:szCs w:val="19"/>
                <w:lang w:eastAsia="en-US"/>
              </w:rPr>
            </w:pPr>
            <w:r w:rsidRPr="00EE30C8">
              <w:rPr>
                <w:rFonts w:ascii="Arial Narrow" w:hAnsi="Arial Narrow"/>
                <w:sz w:val="19"/>
                <w:szCs w:val="19"/>
                <w:lang w:eastAsia="en-US"/>
              </w:rPr>
              <w:t>Savings</w:t>
            </w:r>
            <w:r w:rsidR="00B74279" w:rsidRPr="00EE30C8">
              <w:rPr>
                <w:rFonts w:ascii="Arial Narrow" w:hAnsi="Arial Narrow"/>
                <w:sz w:val="19"/>
                <w:szCs w:val="19"/>
                <w:lang w:eastAsia="en-US"/>
              </w:rPr>
              <w:t xml:space="preserve"> to PBS/RPBS less </w:t>
            </w:r>
            <w:r w:rsidR="00E20A10" w:rsidRPr="00EE30C8">
              <w:rPr>
                <w:rFonts w:ascii="Arial Narrow" w:hAnsi="Arial Narrow"/>
                <w:sz w:val="19"/>
                <w:szCs w:val="19"/>
                <w:lang w:eastAsia="en-US"/>
              </w:rPr>
              <w:t>co-payments</w:t>
            </w:r>
          </w:p>
        </w:tc>
        <w:tc>
          <w:tcPr>
            <w:tcW w:w="664" w:type="pct"/>
          </w:tcPr>
          <w:p w:rsidR="00B74279" w:rsidRPr="00EE30C8" w:rsidRDefault="00B74279" w:rsidP="00B74279">
            <w:pPr>
              <w:jc w:val="center"/>
              <w:rPr>
                <w:rFonts w:ascii="Arial Narrow" w:hAnsi="Arial Narrow" w:cstheme="minorHAnsi"/>
                <w:bCs/>
                <w:color w:val="000000"/>
                <w:sz w:val="20"/>
                <w:szCs w:val="20"/>
                <w:lang w:eastAsia="en-US"/>
              </w:rPr>
            </w:pPr>
            <w:r w:rsidRPr="00EE30C8">
              <w:rPr>
                <w:rFonts w:ascii="Arial Narrow" w:hAnsi="Arial Narrow" w:cstheme="minorHAnsi"/>
                <w:color w:val="000000"/>
                <w:sz w:val="20"/>
                <w:szCs w:val="20"/>
              </w:rPr>
              <w:t>$</w:t>
            </w:r>
            <w:r w:rsidR="00582B97">
              <w:rPr>
                <w:rFonts w:ascii="Arial Narrow" w:hAnsi="Arial Narrow" w:cstheme="minorHAnsi"/>
                <w:noProof/>
                <w:color w:val="000000"/>
                <w:sz w:val="20"/>
                <w:szCs w:val="20"/>
                <w:highlight w:val="black"/>
              </w:rPr>
              <w:t>'''''''''''''</w:t>
            </w:r>
          </w:p>
        </w:tc>
        <w:tc>
          <w:tcPr>
            <w:tcW w:w="664" w:type="pct"/>
          </w:tcPr>
          <w:p w:rsidR="00B74279" w:rsidRPr="00EE30C8" w:rsidRDefault="00B74279" w:rsidP="00B74279">
            <w:pPr>
              <w:jc w:val="center"/>
              <w:rPr>
                <w:rFonts w:ascii="Arial Narrow" w:hAnsi="Arial Narrow" w:cstheme="minorHAnsi"/>
                <w:bCs/>
                <w:color w:val="000000"/>
                <w:sz w:val="20"/>
                <w:szCs w:val="20"/>
                <w:lang w:eastAsia="en-US"/>
              </w:rPr>
            </w:pPr>
            <w:r w:rsidRPr="00EE30C8">
              <w:rPr>
                <w:rFonts w:ascii="Arial Narrow" w:hAnsi="Arial Narrow" w:cstheme="minorHAnsi"/>
                <w:color w:val="000000"/>
                <w:sz w:val="20"/>
                <w:szCs w:val="20"/>
              </w:rPr>
              <w:t>$</w:t>
            </w:r>
            <w:r w:rsidR="00582B97">
              <w:rPr>
                <w:rFonts w:ascii="Arial Narrow" w:hAnsi="Arial Narrow" w:cstheme="minorHAnsi"/>
                <w:noProof/>
                <w:color w:val="000000"/>
                <w:sz w:val="20"/>
                <w:szCs w:val="20"/>
                <w:highlight w:val="black"/>
              </w:rPr>
              <w:t>'''''''''''''''''</w:t>
            </w:r>
          </w:p>
        </w:tc>
        <w:tc>
          <w:tcPr>
            <w:tcW w:w="664" w:type="pct"/>
          </w:tcPr>
          <w:p w:rsidR="00B74279" w:rsidRPr="00EE30C8" w:rsidRDefault="00B74279" w:rsidP="00B74279">
            <w:pPr>
              <w:jc w:val="center"/>
              <w:rPr>
                <w:rFonts w:ascii="Arial Narrow" w:hAnsi="Arial Narrow" w:cstheme="minorHAnsi"/>
                <w:bCs/>
                <w:color w:val="000000"/>
                <w:sz w:val="20"/>
                <w:szCs w:val="20"/>
                <w:lang w:eastAsia="en-US"/>
              </w:rPr>
            </w:pPr>
            <w:r w:rsidRPr="00EE30C8">
              <w:rPr>
                <w:rFonts w:ascii="Arial Narrow" w:hAnsi="Arial Narrow" w:cstheme="minorHAnsi"/>
                <w:color w:val="000000"/>
                <w:sz w:val="20"/>
                <w:szCs w:val="20"/>
              </w:rPr>
              <w:t>$</w:t>
            </w:r>
            <w:r w:rsidR="00582B97">
              <w:rPr>
                <w:rFonts w:ascii="Arial Narrow" w:hAnsi="Arial Narrow" w:cstheme="minorHAnsi"/>
                <w:noProof/>
                <w:color w:val="000000"/>
                <w:sz w:val="20"/>
                <w:szCs w:val="20"/>
                <w:highlight w:val="black"/>
              </w:rPr>
              <w:t>'''''''''''''''''</w:t>
            </w:r>
          </w:p>
        </w:tc>
        <w:tc>
          <w:tcPr>
            <w:tcW w:w="664" w:type="pct"/>
          </w:tcPr>
          <w:p w:rsidR="00B74279" w:rsidRPr="00EE30C8" w:rsidRDefault="00B74279" w:rsidP="00B74279">
            <w:pPr>
              <w:jc w:val="center"/>
              <w:rPr>
                <w:rFonts w:ascii="Arial Narrow" w:hAnsi="Arial Narrow" w:cstheme="minorHAnsi"/>
                <w:bCs/>
                <w:color w:val="000000"/>
                <w:sz w:val="20"/>
                <w:szCs w:val="20"/>
                <w:lang w:eastAsia="en-US"/>
              </w:rPr>
            </w:pPr>
            <w:r w:rsidRPr="00EE30C8">
              <w:rPr>
                <w:rFonts w:ascii="Arial Narrow" w:hAnsi="Arial Narrow" w:cstheme="minorHAnsi"/>
                <w:color w:val="000000"/>
                <w:sz w:val="20"/>
                <w:szCs w:val="20"/>
              </w:rPr>
              <w:t>$</w:t>
            </w:r>
            <w:r w:rsidR="00582B97">
              <w:rPr>
                <w:rFonts w:ascii="Arial Narrow" w:hAnsi="Arial Narrow" w:cstheme="minorHAnsi"/>
                <w:noProof/>
                <w:color w:val="000000"/>
                <w:sz w:val="20"/>
                <w:szCs w:val="20"/>
                <w:highlight w:val="black"/>
              </w:rPr>
              <w:t>'''''''''''''''''</w:t>
            </w:r>
          </w:p>
        </w:tc>
        <w:tc>
          <w:tcPr>
            <w:tcW w:w="664" w:type="pct"/>
          </w:tcPr>
          <w:p w:rsidR="00B74279" w:rsidRPr="00EE30C8" w:rsidRDefault="00B74279" w:rsidP="00B74279">
            <w:pPr>
              <w:jc w:val="center"/>
              <w:rPr>
                <w:rFonts w:ascii="Arial Narrow" w:hAnsi="Arial Narrow" w:cstheme="minorHAnsi"/>
                <w:bCs/>
                <w:color w:val="000000"/>
                <w:sz w:val="20"/>
                <w:szCs w:val="20"/>
                <w:lang w:eastAsia="en-US"/>
              </w:rPr>
            </w:pPr>
            <w:r w:rsidRPr="00EE30C8">
              <w:rPr>
                <w:rFonts w:ascii="Arial Narrow" w:hAnsi="Arial Narrow" w:cstheme="minorHAnsi"/>
                <w:color w:val="000000"/>
                <w:sz w:val="20"/>
                <w:szCs w:val="20"/>
              </w:rPr>
              <w:t>$</w:t>
            </w:r>
            <w:r w:rsidR="00582B97">
              <w:rPr>
                <w:rFonts w:ascii="Arial Narrow" w:hAnsi="Arial Narrow" w:cstheme="minorHAnsi"/>
                <w:noProof/>
                <w:color w:val="000000"/>
                <w:sz w:val="20"/>
                <w:szCs w:val="20"/>
                <w:highlight w:val="black"/>
              </w:rPr>
              <w:t>''''''''''''''''</w:t>
            </w:r>
          </w:p>
        </w:tc>
        <w:tc>
          <w:tcPr>
            <w:tcW w:w="664" w:type="pct"/>
          </w:tcPr>
          <w:p w:rsidR="00B74279" w:rsidRPr="00EE30C8" w:rsidRDefault="00B74279" w:rsidP="00B74279">
            <w:pPr>
              <w:jc w:val="center"/>
              <w:rPr>
                <w:rFonts w:ascii="Arial Narrow" w:hAnsi="Arial Narrow" w:cstheme="minorHAnsi"/>
                <w:bCs/>
                <w:color w:val="000000"/>
                <w:sz w:val="20"/>
                <w:szCs w:val="20"/>
                <w:lang w:eastAsia="en-US"/>
              </w:rPr>
            </w:pPr>
            <w:r w:rsidRPr="00EE30C8">
              <w:rPr>
                <w:rFonts w:ascii="Arial Narrow" w:hAnsi="Arial Narrow" w:cstheme="minorHAnsi"/>
                <w:color w:val="000000"/>
                <w:sz w:val="20"/>
                <w:szCs w:val="20"/>
              </w:rPr>
              <w:t>$</w:t>
            </w:r>
            <w:r w:rsidR="00582B97">
              <w:rPr>
                <w:rFonts w:ascii="Arial Narrow" w:hAnsi="Arial Narrow" w:cstheme="minorHAnsi"/>
                <w:noProof/>
                <w:color w:val="000000"/>
                <w:sz w:val="20"/>
                <w:szCs w:val="20"/>
                <w:highlight w:val="black"/>
              </w:rPr>
              <w:t>''''''''''''''''</w:t>
            </w:r>
          </w:p>
        </w:tc>
      </w:tr>
      <w:tr w:rsidR="009F05F5" w:rsidRPr="00C24944" w:rsidTr="00950D34">
        <w:tc>
          <w:tcPr>
            <w:tcW w:w="5000" w:type="pct"/>
            <w:gridSpan w:val="7"/>
          </w:tcPr>
          <w:p w:rsidR="009F05F5" w:rsidRPr="00EE30C8" w:rsidRDefault="009F05F5" w:rsidP="00695B00">
            <w:pPr>
              <w:rPr>
                <w:rFonts w:ascii="Arial Narrow" w:hAnsi="Arial Narrow"/>
                <w:b/>
                <w:bCs/>
                <w:color w:val="000000"/>
                <w:sz w:val="20"/>
                <w:szCs w:val="22"/>
                <w:lang w:eastAsia="en-US"/>
              </w:rPr>
            </w:pPr>
            <w:r w:rsidRPr="00EE30C8">
              <w:rPr>
                <w:rFonts w:ascii="Arial Narrow" w:hAnsi="Arial Narrow"/>
                <w:b/>
                <w:bCs/>
                <w:color w:val="000000"/>
                <w:sz w:val="20"/>
                <w:szCs w:val="22"/>
                <w:lang w:eastAsia="en-US"/>
              </w:rPr>
              <w:t>Net financial implications</w:t>
            </w:r>
          </w:p>
        </w:tc>
      </w:tr>
      <w:tr w:rsidR="003A69EF" w:rsidRPr="00C24944" w:rsidTr="00950D34">
        <w:tc>
          <w:tcPr>
            <w:tcW w:w="1016" w:type="pct"/>
          </w:tcPr>
          <w:p w:rsidR="003A69EF" w:rsidRPr="00EE30C8" w:rsidRDefault="003A69EF" w:rsidP="003A69EF">
            <w:pPr>
              <w:rPr>
                <w:rFonts w:ascii="Arial Narrow" w:hAnsi="Arial Narrow"/>
                <w:sz w:val="19"/>
                <w:szCs w:val="19"/>
                <w:lang w:eastAsia="en-US"/>
              </w:rPr>
            </w:pPr>
            <w:r w:rsidRPr="00EE30C8">
              <w:rPr>
                <w:rFonts w:ascii="Arial Narrow" w:hAnsi="Arial Narrow"/>
                <w:sz w:val="19"/>
                <w:szCs w:val="19"/>
                <w:lang w:eastAsia="en-US"/>
              </w:rPr>
              <w:t>Net cost to PBS/RPBS</w:t>
            </w:r>
          </w:p>
        </w:tc>
        <w:tc>
          <w:tcPr>
            <w:tcW w:w="664" w:type="pct"/>
          </w:tcPr>
          <w:p w:rsidR="003A69EF" w:rsidRPr="00EE30C8" w:rsidRDefault="003A69EF" w:rsidP="003A69EF">
            <w:pPr>
              <w:jc w:val="center"/>
              <w:rPr>
                <w:rFonts w:ascii="Arial Narrow" w:hAnsi="Arial Narrow" w:cstheme="minorHAnsi"/>
                <w:b/>
                <w:bCs/>
                <w:color w:val="000000"/>
                <w:sz w:val="20"/>
                <w:szCs w:val="20"/>
                <w:lang w:eastAsia="en-US"/>
              </w:rPr>
            </w:pPr>
            <w:r w:rsidRPr="00EE30C8">
              <w:rPr>
                <w:rFonts w:ascii="Arial Narrow" w:hAnsi="Arial Narrow" w:cstheme="minorHAnsi"/>
                <w:b/>
                <w:sz w:val="20"/>
                <w:szCs w:val="20"/>
              </w:rPr>
              <w:t>$</w:t>
            </w:r>
            <w:r w:rsidR="00582B97">
              <w:rPr>
                <w:rFonts w:ascii="Arial Narrow" w:hAnsi="Arial Narrow" w:cstheme="minorHAnsi"/>
                <w:b/>
                <w:noProof/>
                <w:color w:val="000000"/>
                <w:sz w:val="20"/>
                <w:szCs w:val="20"/>
                <w:highlight w:val="black"/>
              </w:rPr>
              <w:t>''''''''''''</w:t>
            </w:r>
          </w:p>
        </w:tc>
        <w:tc>
          <w:tcPr>
            <w:tcW w:w="664" w:type="pct"/>
          </w:tcPr>
          <w:p w:rsidR="003A69EF" w:rsidRPr="00EE30C8" w:rsidRDefault="003A69EF" w:rsidP="003A69EF">
            <w:pPr>
              <w:jc w:val="center"/>
              <w:rPr>
                <w:rFonts w:ascii="Arial Narrow" w:hAnsi="Arial Narrow" w:cstheme="minorHAnsi"/>
                <w:b/>
                <w:bCs/>
                <w:color w:val="000000"/>
                <w:sz w:val="20"/>
                <w:szCs w:val="20"/>
                <w:lang w:eastAsia="en-US"/>
              </w:rPr>
            </w:pPr>
            <w:r w:rsidRPr="00EE30C8">
              <w:rPr>
                <w:rFonts w:ascii="Arial Narrow" w:hAnsi="Arial Narrow" w:cstheme="minorHAnsi"/>
                <w:b/>
                <w:sz w:val="20"/>
                <w:szCs w:val="20"/>
              </w:rPr>
              <w:t>$</w:t>
            </w:r>
            <w:r w:rsidR="00582B97">
              <w:rPr>
                <w:rFonts w:ascii="Arial Narrow" w:hAnsi="Arial Narrow" w:cstheme="minorHAnsi"/>
                <w:b/>
                <w:noProof/>
                <w:color w:val="000000"/>
                <w:sz w:val="20"/>
                <w:szCs w:val="20"/>
                <w:highlight w:val="black"/>
              </w:rPr>
              <w:t>''''''''''''</w:t>
            </w:r>
          </w:p>
        </w:tc>
        <w:tc>
          <w:tcPr>
            <w:tcW w:w="664" w:type="pct"/>
          </w:tcPr>
          <w:p w:rsidR="003A69EF" w:rsidRPr="00EE30C8" w:rsidRDefault="003A69EF" w:rsidP="003A69EF">
            <w:pPr>
              <w:jc w:val="center"/>
              <w:rPr>
                <w:rFonts w:ascii="Arial Narrow" w:hAnsi="Arial Narrow" w:cstheme="minorHAnsi"/>
                <w:b/>
                <w:bCs/>
                <w:color w:val="000000"/>
                <w:sz w:val="20"/>
                <w:szCs w:val="20"/>
                <w:lang w:eastAsia="en-US"/>
              </w:rPr>
            </w:pPr>
            <w:r w:rsidRPr="00EE30C8">
              <w:rPr>
                <w:rFonts w:ascii="Arial Narrow" w:hAnsi="Arial Narrow" w:cstheme="minorHAnsi"/>
                <w:b/>
                <w:sz w:val="20"/>
                <w:szCs w:val="20"/>
              </w:rPr>
              <w:t>$</w:t>
            </w:r>
            <w:r w:rsidR="00582B97">
              <w:rPr>
                <w:rFonts w:ascii="Arial Narrow" w:hAnsi="Arial Narrow" w:cstheme="minorHAnsi"/>
                <w:b/>
                <w:noProof/>
                <w:color w:val="000000"/>
                <w:sz w:val="20"/>
                <w:szCs w:val="20"/>
                <w:highlight w:val="black"/>
              </w:rPr>
              <w:t>''''''''''''''</w:t>
            </w:r>
          </w:p>
        </w:tc>
        <w:tc>
          <w:tcPr>
            <w:tcW w:w="664" w:type="pct"/>
          </w:tcPr>
          <w:p w:rsidR="003A69EF" w:rsidRPr="00EE30C8" w:rsidRDefault="003A69EF" w:rsidP="003A69EF">
            <w:pPr>
              <w:jc w:val="center"/>
              <w:rPr>
                <w:rFonts w:ascii="Arial Narrow" w:hAnsi="Arial Narrow" w:cstheme="minorHAnsi"/>
                <w:b/>
                <w:bCs/>
                <w:color w:val="000000"/>
                <w:sz w:val="20"/>
                <w:szCs w:val="20"/>
                <w:lang w:eastAsia="en-US"/>
              </w:rPr>
            </w:pPr>
            <w:r w:rsidRPr="00EE30C8">
              <w:rPr>
                <w:rFonts w:ascii="Arial Narrow" w:hAnsi="Arial Narrow" w:cstheme="minorHAnsi"/>
                <w:b/>
                <w:sz w:val="20"/>
                <w:szCs w:val="20"/>
              </w:rPr>
              <w:t>$</w:t>
            </w:r>
            <w:r w:rsidR="00582B97">
              <w:rPr>
                <w:rFonts w:ascii="Arial Narrow" w:hAnsi="Arial Narrow" w:cstheme="minorHAnsi"/>
                <w:b/>
                <w:noProof/>
                <w:color w:val="000000"/>
                <w:sz w:val="20"/>
                <w:szCs w:val="20"/>
                <w:highlight w:val="black"/>
              </w:rPr>
              <w:t>''''''''''''''''</w:t>
            </w:r>
          </w:p>
        </w:tc>
        <w:tc>
          <w:tcPr>
            <w:tcW w:w="664" w:type="pct"/>
          </w:tcPr>
          <w:p w:rsidR="003A69EF" w:rsidRPr="00EE30C8" w:rsidRDefault="003A69EF" w:rsidP="003A69EF">
            <w:pPr>
              <w:jc w:val="center"/>
              <w:rPr>
                <w:rFonts w:ascii="Arial Narrow" w:hAnsi="Arial Narrow" w:cstheme="minorHAnsi"/>
                <w:b/>
                <w:bCs/>
                <w:color w:val="000000"/>
                <w:sz w:val="20"/>
                <w:szCs w:val="20"/>
                <w:lang w:eastAsia="en-US"/>
              </w:rPr>
            </w:pPr>
            <w:r w:rsidRPr="00EE30C8">
              <w:rPr>
                <w:rFonts w:ascii="Arial Narrow" w:hAnsi="Arial Narrow" w:cstheme="minorHAnsi"/>
                <w:b/>
                <w:sz w:val="20"/>
                <w:szCs w:val="20"/>
              </w:rPr>
              <w:t>$</w:t>
            </w:r>
            <w:r w:rsidR="00582B97">
              <w:rPr>
                <w:rFonts w:ascii="Arial Narrow" w:hAnsi="Arial Narrow" w:cstheme="minorHAnsi"/>
                <w:b/>
                <w:noProof/>
                <w:color w:val="000000"/>
                <w:sz w:val="20"/>
                <w:szCs w:val="20"/>
                <w:highlight w:val="black"/>
              </w:rPr>
              <w:t>''''''''''''''''</w:t>
            </w:r>
          </w:p>
        </w:tc>
        <w:tc>
          <w:tcPr>
            <w:tcW w:w="664" w:type="pct"/>
          </w:tcPr>
          <w:p w:rsidR="003A69EF" w:rsidRPr="00EE30C8" w:rsidRDefault="003A69EF" w:rsidP="003A69EF">
            <w:pPr>
              <w:jc w:val="center"/>
              <w:rPr>
                <w:rFonts w:ascii="Arial Narrow" w:hAnsi="Arial Narrow" w:cstheme="minorHAnsi"/>
                <w:b/>
                <w:bCs/>
                <w:color w:val="000000"/>
                <w:sz w:val="20"/>
                <w:szCs w:val="20"/>
                <w:lang w:eastAsia="en-US"/>
              </w:rPr>
            </w:pPr>
            <w:r w:rsidRPr="00EE30C8">
              <w:rPr>
                <w:rFonts w:ascii="Arial Narrow" w:hAnsi="Arial Narrow" w:cstheme="minorHAnsi"/>
                <w:b/>
                <w:sz w:val="20"/>
                <w:szCs w:val="20"/>
              </w:rPr>
              <w:t>$</w:t>
            </w:r>
            <w:r w:rsidR="00582B97">
              <w:rPr>
                <w:rFonts w:ascii="Arial Narrow" w:hAnsi="Arial Narrow" w:cstheme="minorHAnsi"/>
                <w:b/>
                <w:noProof/>
                <w:color w:val="000000"/>
                <w:sz w:val="20"/>
                <w:szCs w:val="20"/>
                <w:highlight w:val="black"/>
              </w:rPr>
              <w:t>'''''''''''''''</w:t>
            </w:r>
          </w:p>
        </w:tc>
      </w:tr>
    </w:tbl>
    <w:p w:rsidR="00695B00" w:rsidRPr="00BB34F5" w:rsidRDefault="00695B00" w:rsidP="00695B00">
      <w:pPr>
        <w:pStyle w:val="TableFooter"/>
        <w:rPr>
          <w:rStyle w:val="CommentReference"/>
        </w:rPr>
      </w:pPr>
      <w:r w:rsidRPr="00BB34F5">
        <w:t>Source: Adapted from Table 6 of minor submission, page 20.</w:t>
      </w:r>
    </w:p>
    <w:p w:rsidR="00BD0DBF" w:rsidRPr="00AD139D" w:rsidRDefault="00BD0DBF" w:rsidP="00AD139D">
      <w:pPr>
        <w:spacing w:after="120"/>
        <w:jc w:val="both"/>
        <w:rPr>
          <w:rFonts w:asciiTheme="minorHAnsi" w:hAnsiTheme="minorHAnsi" w:cstheme="minorHAnsi"/>
          <w:i/>
        </w:rPr>
      </w:pPr>
      <w:r w:rsidRPr="00AD139D">
        <w:rPr>
          <w:rFonts w:asciiTheme="minorHAnsi" w:hAnsiTheme="minorHAnsi" w:cstheme="minorHAnsi"/>
          <w:i/>
        </w:rPr>
        <w:t xml:space="preserve">The redated table shows that at Year 6, the estimated number of prescriptions was less than 10,000 and the net cost to </w:t>
      </w:r>
      <w:r w:rsidR="009E764A" w:rsidRPr="00AD139D">
        <w:rPr>
          <w:rFonts w:asciiTheme="minorHAnsi" w:hAnsiTheme="minorHAnsi" w:cstheme="minorHAnsi"/>
          <w:i/>
        </w:rPr>
        <w:t xml:space="preserve">the </w:t>
      </w:r>
      <w:r w:rsidRPr="00AD139D">
        <w:rPr>
          <w:rFonts w:asciiTheme="minorHAnsi" w:hAnsiTheme="minorHAnsi" w:cstheme="minorHAnsi"/>
          <w:i/>
        </w:rPr>
        <w:t xml:space="preserve">PBS/RPBS would be less than $10 million. </w:t>
      </w:r>
    </w:p>
    <w:p w:rsidR="00F3054D" w:rsidRPr="00C24944" w:rsidRDefault="00F3054D" w:rsidP="00AD139D">
      <w:pPr>
        <w:pStyle w:val="ListParagraph"/>
        <w:widowControl/>
        <w:spacing w:after="120"/>
        <w:contextualSpacing w:val="0"/>
        <w:rPr>
          <w:rFonts w:asciiTheme="minorHAnsi" w:eastAsiaTheme="minorHAnsi" w:hAnsiTheme="minorHAnsi" w:cstheme="minorHAnsi"/>
          <w:snapToGrid/>
          <w:sz w:val="24"/>
          <w:szCs w:val="22"/>
        </w:rPr>
      </w:pPr>
      <w:r w:rsidRPr="00C24944">
        <w:rPr>
          <w:rFonts w:asciiTheme="minorHAnsi" w:eastAsiaTheme="minorHAnsi" w:hAnsiTheme="minorHAnsi" w:cstheme="minorHAnsi"/>
          <w:i/>
          <w:snapToGrid/>
          <w:sz w:val="24"/>
          <w:szCs w:val="22"/>
        </w:rPr>
        <w:t>For more detail on PBAC’s view, see section 7 PBAC outcome.</w:t>
      </w:r>
    </w:p>
    <w:p w:rsidR="001B4C65" w:rsidRPr="00323773" w:rsidRDefault="001B4C65" w:rsidP="00323773">
      <w:pPr>
        <w:pStyle w:val="PBACHeading1"/>
        <w:spacing w:before="240" w:after="120"/>
        <w:ind w:left="709" w:hanging="709"/>
        <w:rPr>
          <w:rFonts w:asciiTheme="minorHAnsi" w:hAnsiTheme="minorHAnsi" w:cstheme="minorHAnsi"/>
          <w:sz w:val="32"/>
          <w:szCs w:val="32"/>
        </w:rPr>
      </w:pPr>
      <w:r w:rsidRPr="00C24944">
        <w:rPr>
          <w:rFonts w:asciiTheme="minorHAnsi" w:hAnsiTheme="minorHAnsi" w:cstheme="minorHAnsi"/>
          <w:sz w:val="32"/>
          <w:szCs w:val="32"/>
        </w:rPr>
        <w:t>PBAC Outcome</w:t>
      </w:r>
    </w:p>
    <w:p w:rsidR="009C5DE4" w:rsidRPr="00BB34F5" w:rsidRDefault="008F0A6B" w:rsidP="00D23307">
      <w:pPr>
        <w:widowControl w:val="0"/>
        <w:numPr>
          <w:ilvl w:val="1"/>
          <w:numId w:val="5"/>
        </w:numPr>
        <w:spacing w:after="120"/>
        <w:jc w:val="both"/>
        <w:rPr>
          <w:rFonts w:asciiTheme="minorHAnsi" w:hAnsiTheme="minorHAnsi" w:cstheme="minorHAnsi"/>
          <w:bCs/>
          <w:snapToGrid w:val="0"/>
        </w:rPr>
      </w:pPr>
      <w:r w:rsidRPr="00BB34F5">
        <w:rPr>
          <w:rFonts w:asciiTheme="minorHAnsi" w:hAnsiTheme="minorHAnsi" w:cstheme="minorHAnsi"/>
          <w:bCs/>
          <w:snapToGrid w:val="0"/>
        </w:rPr>
        <w:t xml:space="preserve">The PBAC recommended </w:t>
      </w:r>
      <w:r w:rsidR="002204F5" w:rsidRPr="00BB34F5">
        <w:rPr>
          <w:rFonts w:asciiTheme="minorHAnsi" w:hAnsiTheme="minorHAnsi" w:cstheme="minorHAnsi"/>
          <w:bCs/>
          <w:snapToGrid w:val="0"/>
        </w:rPr>
        <w:t xml:space="preserve">the dual General Schedule and Section 100 listing of </w:t>
      </w:r>
      <w:r w:rsidR="00F3054D" w:rsidRPr="00BB34F5">
        <w:rPr>
          <w:rFonts w:asciiTheme="minorHAnsi" w:hAnsiTheme="minorHAnsi" w:cstheme="minorHAnsi"/>
          <w:bCs/>
          <w:snapToGrid w:val="0"/>
        </w:rPr>
        <w:t>intranasal</w:t>
      </w:r>
      <w:r w:rsidR="00256590" w:rsidRPr="00BB34F5">
        <w:rPr>
          <w:rFonts w:asciiTheme="minorHAnsi" w:hAnsiTheme="minorHAnsi" w:cstheme="minorHAnsi"/>
          <w:bCs/>
          <w:snapToGrid w:val="0"/>
        </w:rPr>
        <w:t xml:space="preserve"> </w:t>
      </w:r>
      <w:r w:rsidR="002204F5" w:rsidRPr="00BB34F5">
        <w:rPr>
          <w:rFonts w:asciiTheme="minorHAnsi" w:hAnsiTheme="minorHAnsi" w:cstheme="minorHAnsi"/>
          <w:bCs/>
          <w:snapToGrid w:val="0"/>
        </w:rPr>
        <w:t>n</w:t>
      </w:r>
      <w:r w:rsidRPr="00BB34F5">
        <w:rPr>
          <w:rFonts w:asciiTheme="minorHAnsi" w:hAnsiTheme="minorHAnsi" w:cstheme="minorHAnsi"/>
          <w:bCs/>
          <w:snapToGrid w:val="0"/>
        </w:rPr>
        <w:t xml:space="preserve">aloxone </w:t>
      </w:r>
      <w:r w:rsidR="00481704" w:rsidRPr="00BB34F5">
        <w:rPr>
          <w:rFonts w:asciiTheme="minorHAnsi" w:hAnsiTheme="minorHAnsi" w:cstheme="minorHAnsi"/>
          <w:bCs/>
          <w:snapToGrid w:val="0"/>
        </w:rPr>
        <w:t xml:space="preserve">on a cost-minimisation basis </w:t>
      </w:r>
      <w:r w:rsidR="00742CA1" w:rsidRPr="00BB34F5">
        <w:rPr>
          <w:rFonts w:asciiTheme="minorHAnsi" w:hAnsiTheme="minorHAnsi" w:cstheme="minorHAnsi"/>
          <w:bCs/>
          <w:snapToGrid w:val="0"/>
        </w:rPr>
        <w:t>to</w:t>
      </w:r>
      <w:r w:rsidR="00481704" w:rsidRPr="00BB34F5">
        <w:rPr>
          <w:rFonts w:asciiTheme="minorHAnsi" w:hAnsiTheme="minorHAnsi" w:cstheme="minorHAnsi"/>
          <w:bCs/>
          <w:snapToGrid w:val="0"/>
        </w:rPr>
        <w:t xml:space="preserve"> injectable naloxone</w:t>
      </w:r>
      <w:r w:rsidR="00681023" w:rsidRPr="00BB34F5">
        <w:rPr>
          <w:rFonts w:asciiTheme="minorHAnsi" w:hAnsiTheme="minorHAnsi" w:cstheme="minorHAnsi"/>
          <w:bCs/>
          <w:snapToGrid w:val="0"/>
        </w:rPr>
        <w:t>, at equivalent cost per treatment</w:t>
      </w:r>
      <w:r w:rsidRPr="00BB34F5">
        <w:rPr>
          <w:rFonts w:asciiTheme="minorHAnsi" w:hAnsiTheme="minorHAnsi" w:cstheme="minorHAnsi"/>
          <w:bCs/>
          <w:snapToGrid w:val="0"/>
        </w:rPr>
        <w:t xml:space="preserve">. </w:t>
      </w:r>
      <w:r w:rsidR="003B4246" w:rsidRPr="00C24944">
        <w:rPr>
          <w:rFonts w:asciiTheme="minorHAnsi" w:hAnsiTheme="minorHAnsi" w:cstheme="minorHAnsi"/>
        </w:rPr>
        <w:t>The PBAC considered that there was a public health need to increase use of naloxone</w:t>
      </w:r>
      <w:r w:rsidR="0046799E" w:rsidRPr="00C24944">
        <w:rPr>
          <w:rFonts w:asciiTheme="minorHAnsi" w:hAnsiTheme="minorHAnsi" w:cstheme="minorHAnsi"/>
        </w:rPr>
        <w:t>, as outlined in the consumer comments received,</w:t>
      </w:r>
      <w:r w:rsidR="003B4246" w:rsidRPr="00C24944">
        <w:rPr>
          <w:rFonts w:asciiTheme="minorHAnsi" w:hAnsiTheme="minorHAnsi" w:cstheme="minorHAnsi"/>
        </w:rPr>
        <w:t xml:space="preserve"> and considered that while the clinical benefits of </w:t>
      </w:r>
      <w:r w:rsidR="00C03E2A" w:rsidRPr="00C24944">
        <w:rPr>
          <w:rFonts w:asciiTheme="minorHAnsi" w:hAnsiTheme="minorHAnsi" w:cstheme="minorHAnsi"/>
        </w:rPr>
        <w:t>IN</w:t>
      </w:r>
      <w:r w:rsidR="003B4246" w:rsidRPr="00C24944">
        <w:rPr>
          <w:rFonts w:asciiTheme="minorHAnsi" w:hAnsiTheme="minorHAnsi" w:cstheme="minorHAnsi"/>
        </w:rPr>
        <w:t xml:space="preserve"> naloxone were similar to injectable naloxone, availability of the </w:t>
      </w:r>
      <w:r w:rsidR="00C03E2A" w:rsidRPr="00C24944">
        <w:rPr>
          <w:rFonts w:asciiTheme="minorHAnsi" w:hAnsiTheme="minorHAnsi" w:cstheme="minorHAnsi"/>
        </w:rPr>
        <w:t>IN</w:t>
      </w:r>
      <w:r w:rsidR="003B4246" w:rsidRPr="00C24944">
        <w:rPr>
          <w:rFonts w:asciiTheme="minorHAnsi" w:hAnsiTheme="minorHAnsi" w:cstheme="minorHAnsi"/>
        </w:rPr>
        <w:t xml:space="preserve"> formulation could contribute to increasing use due to ease of administration. </w:t>
      </w:r>
    </w:p>
    <w:p w:rsidR="00356C2A" w:rsidRPr="00BB34F5" w:rsidRDefault="00356C2A" w:rsidP="00D23307">
      <w:pPr>
        <w:widowControl w:val="0"/>
        <w:numPr>
          <w:ilvl w:val="1"/>
          <w:numId w:val="5"/>
        </w:numPr>
        <w:spacing w:after="120"/>
        <w:jc w:val="both"/>
        <w:rPr>
          <w:rFonts w:asciiTheme="minorHAnsi" w:hAnsiTheme="minorHAnsi" w:cstheme="minorHAnsi"/>
          <w:bCs/>
          <w:snapToGrid w:val="0"/>
        </w:rPr>
      </w:pPr>
      <w:r w:rsidRPr="00BB34F5">
        <w:rPr>
          <w:rFonts w:asciiTheme="minorHAnsi" w:hAnsiTheme="minorHAnsi" w:cstheme="minorHAnsi"/>
          <w:bCs/>
          <w:snapToGrid w:val="0"/>
        </w:rPr>
        <w:t xml:space="preserve">The PBAC agreed with the submission that IN naloxone was likely to be easier to administer than injectable forms in some scenarios, did not carry any risk of needle </w:t>
      </w:r>
      <w:r w:rsidRPr="00BB34F5">
        <w:rPr>
          <w:rFonts w:asciiTheme="minorHAnsi" w:hAnsiTheme="minorHAnsi" w:cstheme="minorHAnsi"/>
          <w:bCs/>
          <w:snapToGrid w:val="0"/>
        </w:rPr>
        <w:lastRenderedPageBreak/>
        <w:t>stick injury, and ma</w:t>
      </w:r>
      <w:r w:rsidR="00A44BC4" w:rsidRPr="00BB34F5">
        <w:rPr>
          <w:rFonts w:asciiTheme="minorHAnsi" w:hAnsiTheme="minorHAnsi" w:cstheme="minorHAnsi"/>
          <w:bCs/>
          <w:snapToGrid w:val="0"/>
        </w:rPr>
        <w:t>y contribute to improved uptake</w:t>
      </w:r>
      <w:r w:rsidRPr="00BB34F5">
        <w:rPr>
          <w:rFonts w:asciiTheme="minorHAnsi" w:hAnsiTheme="minorHAnsi" w:cstheme="minorHAnsi"/>
          <w:bCs/>
          <w:snapToGrid w:val="0"/>
        </w:rPr>
        <w:t xml:space="preserve"> as the person administering the drug in an emergency does not require specific training.</w:t>
      </w:r>
      <w:r w:rsidR="00C540E8">
        <w:rPr>
          <w:rFonts w:asciiTheme="minorHAnsi" w:hAnsiTheme="minorHAnsi" w:cstheme="minorHAnsi"/>
          <w:bCs/>
          <w:snapToGrid w:val="0"/>
        </w:rPr>
        <w:t xml:space="preserve"> </w:t>
      </w:r>
    </w:p>
    <w:p w:rsidR="00356C2A" w:rsidRPr="00BB34F5" w:rsidRDefault="00356C2A" w:rsidP="00D23307">
      <w:pPr>
        <w:widowControl w:val="0"/>
        <w:numPr>
          <w:ilvl w:val="1"/>
          <w:numId w:val="5"/>
        </w:numPr>
        <w:spacing w:after="120"/>
        <w:jc w:val="both"/>
        <w:rPr>
          <w:rFonts w:asciiTheme="minorHAnsi" w:hAnsiTheme="minorHAnsi" w:cstheme="minorHAnsi"/>
          <w:bCs/>
          <w:snapToGrid w:val="0"/>
        </w:rPr>
      </w:pPr>
      <w:r w:rsidRPr="00BB34F5">
        <w:rPr>
          <w:rFonts w:asciiTheme="minorHAnsi" w:hAnsiTheme="minorHAnsi" w:cstheme="minorHAnsi"/>
          <w:bCs/>
          <w:snapToGrid w:val="0"/>
        </w:rPr>
        <w:t xml:space="preserve">The PBAC considered that </w:t>
      </w:r>
      <w:r w:rsidR="00BE439C" w:rsidRPr="00BB34F5">
        <w:rPr>
          <w:rFonts w:asciiTheme="minorHAnsi" w:hAnsiTheme="minorHAnsi" w:cstheme="minorHAnsi"/>
          <w:bCs/>
          <w:snapToGrid w:val="0"/>
        </w:rPr>
        <w:t>an</w:t>
      </w:r>
      <w:r w:rsidRPr="00BB34F5">
        <w:rPr>
          <w:rFonts w:asciiTheme="minorHAnsi" w:hAnsiTheme="minorHAnsi" w:cstheme="minorHAnsi"/>
          <w:bCs/>
          <w:snapToGrid w:val="0"/>
        </w:rPr>
        <w:t xml:space="preserve"> unrestricted</w:t>
      </w:r>
      <w:r w:rsidR="00BE439C" w:rsidRPr="00BB34F5">
        <w:rPr>
          <w:rFonts w:asciiTheme="minorHAnsi" w:hAnsiTheme="minorHAnsi" w:cstheme="minorHAnsi"/>
          <w:bCs/>
          <w:snapToGrid w:val="0"/>
        </w:rPr>
        <w:t xml:space="preserve"> benefit</w:t>
      </w:r>
      <w:r w:rsidRPr="00BB34F5">
        <w:rPr>
          <w:rFonts w:asciiTheme="minorHAnsi" w:hAnsiTheme="minorHAnsi" w:cstheme="minorHAnsi"/>
          <w:bCs/>
          <w:snapToGrid w:val="0"/>
        </w:rPr>
        <w:t xml:space="preserve"> listing was appropriate as this is consistent with PBS listings of other naloxo</w:t>
      </w:r>
      <w:r w:rsidR="00BE439C" w:rsidRPr="00BB34F5">
        <w:rPr>
          <w:rFonts w:asciiTheme="minorHAnsi" w:hAnsiTheme="minorHAnsi" w:cstheme="minorHAnsi"/>
          <w:bCs/>
          <w:snapToGrid w:val="0"/>
        </w:rPr>
        <w:t xml:space="preserve">ne formulations. The PBAC acknowledged IN naloxone exhibited different maximum plasma concentrations per dose compared with injectable forms, however it considered two naloxone nasal sprays to be sufficient in the take-home setting, </w:t>
      </w:r>
      <w:r w:rsidR="00434FC5" w:rsidRPr="00BB34F5">
        <w:rPr>
          <w:rFonts w:asciiTheme="minorHAnsi" w:hAnsiTheme="minorHAnsi" w:cstheme="minorHAnsi"/>
          <w:bCs/>
          <w:snapToGrid w:val="0"/>
        </w:rPr>
        <w:t>an</w:t>
      </w:r>
      <w:r w:rsidR="001866E2" w:rsidRPr="00BB34F5">
        <w:rPr>
          <w:rFonts w:asciiTheme="minorHAnsi" w:hAnsiTheme="minorHAnsi" w:cstheme="minorHAnsi"/>
          <w:bCs/>
          <w:snapToGrid w:val="0"/>
        </w:rPr>
        <w:t xml:space="preserve">d </w:t>
      </w:r>
      <w:r w:rsidR="00BE439C" w:rsidRPr="00BB34F5">
        <w:rPr>
          <w:rFonts w:asciiTheme="minorHAnsi" w:hAnsiTheme="minorHAnsi" w:cstheme="minorHAnsi"/>
          <w:bCs/>
          <w:snapToGrid w:val="0"/>
        </w:rPr>
        <w:t xml:space="preserve">therefore </w:t>
      </w:r>
      <w:r w:rsidR="001866E2" w:rsidRPr="00BB34F5">
        <w:rPr>
          <w:rFonts w:asciiTheme="minorHAnsi" w:hAnsiTheme="minorHAnsi" w:cstheme="minorHAnsi"/>
          <w:bCs/>
          <w:snapToGrid w:val="0"/>
        </w:rPr>
        <w:t>that the maximum quantity of one</w:t>
      </w:r>
      <w:r w:rsidR="00434FC5" w:rsidRPr="00BB34F5">
        <w:rPr>
          <w:rFonts w:asciiTheme="minorHAnsi" w:hAnsiTheme="minorHAnsi" w:cstheme="minorHAnsi"/>
          <w:bCs/>
          <w:snapToGrid w:val="0"/>
        </w:rPr>
        <w:t xml:space="preserve"> pack w</w:t>
      </w:r>
      <w:r w:rsidR="001866E2" w:rsidRPr="00BB34F5">
        <w:rPr>
          <w:rFonts w:asciiTheme="minorHAnsi" w:hAnsiTheme="minorHAnsi" w:cstheme="minorHAnsi"/>
          <w:bCs/>
          <w:snapToGrid w:val="0"/>
        </w:rPr>
        <w:t xml:space="preserve">ith no repeats was appropriate. </w:t>
      </w:r>
      <w:r w:rsidR="002311C5">
        <w:rPr>
          <w:rFonts w:asciiTheme="minorHAnsi" w:hAnsiTheme="minorHAnsi" w:cstheme="minorHAnsi"/>
          <w:bCs/>
          <w:snapToGrid w:val="0"/>
        </w:rPr>
        <w:t xml:space="preserve">The PBAC considered that naloxone nasal spray would be suitable for continued dispensing to further improve subsidised medicine access for some patients. </w:t>
      </w:r>
    </w:p>
    <w:p w:rsidR="00DF3820" w:rsidRPr="00BB34F5" w:rsidRDefault="00EA131B" w:rsidP="00D23307">
      <w:pPr>
        <w:widowControl w:val="0"/>
        <w:numPr>
          <w:ilvl w:val="1"/>
          <w:numId w:val="5"/>
        </w:numPr>
        <w:spacing w:after="120"/>
        <w:jc w:val="both"/>
        <w:rPr>
          <w:rFonts w:asciiTheme="minorHAnsi" w:hAnsiTheme="minorHAnsi" w:cstheme="minorHAnsi"/>
          <w:bCs/>
          <w:snapToGrid w:val="0"/>
        </w:rPr>
      </w:pPr>
      <w:r w:rsidRPr="00BB34F5">
        <w:rPr>
          <w:rFonts w:asciiTheme="minorHAnsi" w:hAnsiTheme="minorHAnsi" w:cstheme="minorHAnsi"/>
          <w:bCs/>
          <w:snapToGrid w:val="0"/>
        </w:rPr>
        <w:t xml:space="preserve">The PBAC </w:t>
      </w:r>
      <w:r w:rsidR="00A978D6" w:rsidRPr="00BB34F5">
        <w:rPr>
          <w:rFonts w:asciiTheme="minorHAnsi" w:hAnsiTheme="minorHAnsi" w:cstheme="minorHAnsi"/>
          <w:bCs/>
          <w:snapToGrid w:val="0"/>
        </w:rPr>
        <w:t>consider</w:t>
      </w:r>
      <w:r w:rsidR="0046799E" w:rsidRPr="00BB34F5">
        <w:rPr>
          <w:rFonts w:asciiTheme="minorHAnsi" w:hAnsiTheme="minorHAnsi" w:cstheme="minorHAnsi"/>
          <w:bCs/>
          <w:snapToGrid w:val="0"/>
        </w:rPr>
        <w:t xml:space="preserve">ed that, while the nominated comparator </w:t>
      </w:r>
      <w:r w:rsidR="00891C95" w:rsidRPr="00C24944">
        <w:rPr>
          <w:rFonts w:asciiTheme="minorHAnsi" w:eastAsiaTheme="minorHAnsi" w:hAnsiTheme="minorHAnsi" w:cstheme="minorHAnsi"/>
        </w:rPr>
        <w:t>400</w:t>
      </w:r>
      <w:r w:rsidR="00003515" w:rsidRPr="00C24944">
        <w:rPr>
          <w:rFonts w:asciiTheme="minorHAnsi" w:eastAsiaTheme="minorHAnsi" w:hAnsiTheme="minorHAnsi" w:cstheme="minorHAnsi"/>
        </w:rPr>
        <w:t xml:space="preserve"> m</w:t>
      </w:r>
      <w:r w:rsidR="00891C95" w:rsidRPr="00C24944">
        <w:rPr>
          <w:rFonts w:asciiTheme="minorHAnsi" w:eastAsiaTheme="minorHAnsi" w:hAnsiTheme="minorHAnsi" w:cstheme="minorHAnsi"/>
        </w:rPr>
        <w:t>cg</w:t>
      </w:r>
      <w:r w:rsidR="0046799E" w:rsidRPr="00C24944">
        <w:rPr>
          <w:rFonts w:asciiTheme="minorHAnsi" w:eastAsiaTheme="minorHAnsi" w:hAnsiTheme="minorHAnsi" w:cstheme="minorHAnsi"/>
        </w:rPr>
        <w:t xml:space="preserve">/mL injection ampoules would be replaced to some extent in practice, this is predominantly administered by health professionals and is less appropriate as a comparator in the “take home” setting. As such, the PBAC considered that </w:t>
      </w:r>
      <w:r w:rsidR="0046799E" w:rsidRPr="00BB34F5">
        <w:rPr>
          <w:rFonts w:asciiTheme="minorHAnsi" w:hAnsiTheme="minorHAnsi" w:cstheme="minorHAnsi"/>
          <w:bCs/>
          <w:snapToGrid w:val="0"/>
        </w:rPr>
        <w:t xml:space="preserve">the more appropriate comparator was naloxone </w:t>
      </w:r>
      <w:r w:rsidR="00506C06" w:rsidRPr="00BB34F5">
        <w:rPr>
          <w:rFonts w:asciiTheme="minorHAnsi" w:hAnsiTheme="minorHAnsi" w:cstheme="minorHAnsi"/>
          <w:bCs/>
          <w:snapToGrid w:val="0"/>
        </w:rPr>
        <w:t>1m</w:t>
      </w:r>
      <w:r w:rsidR="00F617F3" w:rsidRPr="00BB34F5">
        <w:rPr>
          <w:rFonts w:asciiTheme="minorHAnsi" w:hAnsiTheme="minorHAnsi" w:cstheme="minorHAnsi"/>
          <w:bCs/>
          <w:snapToGrid w:val="0"/>
        </w:rPr>
        <w:t>g/mL prefilled syringe</w:t>
      </w:r>
      <w:r w:rsidR="0046799E" w:rsidRPr="00BB34F5">
        <w:rPr>
          <w:rFonts w:asciiTheme="minorHAnsi" w:hAnsiTheme="minorHAnsi" w:cstheme="minorHAnsi"/>
          <w:bCs/>
          <w:snapToGrid w:val="0"/>
        </w:rPr>
        <w:t xml:space="preserve"> as</w:t>
      </w:r>
      <w:r w:rsidR="00DF3820" w:rsidRPr="00BB34F5">
        <w:rPr>
          <w:rFonts w:asciiTheme="minorHAnsi" w:hAnsiTheme="minorHAnsi" w:cstheme="minorHAnsi"/>
          <w:bCs/>
          <w:snapToGrid w:val="0"/>
        </w:rPr>
        <w:t xml:space="preserve"> th</w:t>
      </w:r>
      <w:r w:rsidR="0046799E" w:rsidRPr="00BB34F5">
        <w:rPr>
          <w:rFonts w:asciiTheme="minorHAnsi" w:hAnsiTheme="minorHAnsi" w:cstheme="minorHAnsi"/>
          <w:bCs/>
          <w:snapToGrid w:val="0"/>
        </w:rPr>
        <w:t>is presentation</w:t>
      </w:r>
      <w:r w:rsidR="00DF3820" w:rsidRPr="00BB34F5">
        <w:rPr>
          <w:rFonts w:asciiTheme="minorHAnsi" w:hAnsiTheme="minorHAnsi" w:cstheme="minorHAnsi"/>
          <w:bCs/>
          <w:snapToGrid w:val="0"/>
        </w:rPr>
        <w:t xml:space="preserve"> syringe was </w:t>
      </w:r>
      <w:r w:rsidR="0066329E" w:rsidRPr="00BB34F5">
        <w:rPr>
          <w:rFonts w:asciiTheme="minorHAnsi" w:hAnsiTheme="minorHAnsi" w:cstheme="minorHAnsi"/>
          <w:bCs/>
          <w:snapToGrid w:val="0"/>
        </w:rPr>
        <w:t>intended</w:t>
      </w:r>
      <w:r w:rsidR="00DF3820" w:rsidRPr="00BB34F5">
        <w:rPr>
          <w:rFonts w:asciiTheme="minorHAnsi" w:hAnsiTheme="minorHAnsi" w:cstheme="minorHAnsi"/>
          <w:bCs/>
          <w:snapToGrid w:val="0"/>
        </w:rPr>
        <w:t xml:space="preserve"> for bystander administration</w:t>
      </w:r>
      <w:r w:rsidR="00506C06" w:rsidRPr="00BB34F5">
        <w:rPr>
          <w:rFonts w:asciiTheme="minorHAnsi" w:hAnsiTheme="minorHAnsi" w:cstheme="minorHAnsi"/>
          <w:bCs/>
          <w:snapToGrid w:val="0"/>
        </w:rPr>
        <w:t xml:space="preserve"> and </w:t>
      </w:r>
      <w:r w:rsidR="0066329E" w:rsidRPr="00BB34F5">
        <w:rPr>
          <w:rFonts w:asciiTheme="minorHAnsi" w:hAnsiTheme="minorHAnsi" w:cstheme="minorHAnsi"/>
          <w:bCs/>
          <w:snapToGrid w:val="0"/>
        </w:rPr>
        <w:t xml:space="preserve">was </w:t>
      </w:r>
      <w:r w:rsidR="00506C06" w:rsidRPr="00BB34F5">
        <w:rPr>
          <w:rFonts w:asciiTheme="minorHAnsi" w:hAnsiTheme="minorHAnsi" w:cstheme="minorHAnsi"/>
          <w:bCs/>
          <w:snapToGrid w:val="0"/>
        </w:rPr>
        <w:t xml:space="preserve">therefore </w:t>
      </w:r>
      <w:r w:rsidR="0066329E" w:rsidRPr="00BB34F5">
        <w:rPr>
          <w:rFonts w:asciiTheme="minorHAnsi" w:hAnsiTheme="minorHAnsi" w:cstheme="minorHAnsi"/>
          <w:bCs/>
          <w:snapToGrid w:val="0"/>
        </w:rPr>
        <w:t xml:space="preserve">most likely to be replaced in practice. </w:t>
      </w:r>
    </w:p>
    <w:p w:rsidR="00732851" w:rsidRPr="00BB34F5" w:rsidRDefault="0066329E" w:rsidP="00D23307">
      <w:pPr>
        <w:widowControl w:val="0"/>
        <w:numPr>
          <w:ilvl w:val="1"/>
          <w:numId w:val="5"/>
        </w:numPr>
        <w:spacing w:after="120"/>
        <w:jc w:val="both"/>
        <w:rPr>
          <w:rFonts w:asciiTheme="minorHAnsi" w:hAnsiTheme="minorHAnsi" w:cstheme="minorHAnsi"/>
          <w:bCs/>
          <w:snapToGrid w:val="0"/>
        </w:rPr>
      </w:pPr>
      <w:r w:rsidRPr="00BB34F5">
        <w:rPr>
          <w:rFonts w:asciiTheme="minorHAnsi" w:hAnsiTheme="minorHAnsi" w:cstheme="minorHAnsi"/>
          <w:bCs/>
          <w:snapToGrid w:val="0"/>
        </w:rPr>
        <w:t xml:space="preserve">The </w:t>
      </w:r>
      <w:r w:rsidR="00796787" w:rsidRPr="00BB34F5">
        <w:rPr>
          <w:rFonts w:asciiTheme="minorHAnsi" w:hAnsiTheme="minorHAnsi" w:cstheme="minorHAnsi"/>
          <w:bCs/>
          <w:snapToGrid w:val="0"/>
        </w:rPr>
        <w:t xml:space="preserve">PBAC were satisfied that, despite slight </w:t>
      </w:r>
      <w:r w:rsidR="000B5B7E" w:rsidRPr="00BB34F5">
        <w:rPr>
          <w:rFonts w:asciiTheme="minorHAnsi" w:hAnsiTheme="minorHAnsi" w:cstheme="minorHAnsi"/>
          <w:bCs/>
          <w:snapToGrid w:val="0"/>
        </w:rPr>
        <w:t>pharmacokinetic differences</w:t>
      </w:r>
      <w:r w:rsidR="00796787" w:rsidRPr="00BB34F5">
        <w:rPr>
          <w:rFonts w:asciiTheme="minorHAnsi" w:hAnsiTheme="minorHAnsi" w:cstheme="minorHAnsi"/>
          <w:bCs/>
          <w:snapToGrid w:val="0"/>
        </w:rPr>
        <w:t xml:space="preserve">, the clinical benefit of </w:t>
      </w:r>
      <w:r w:rsidR="00C03E2A" w:rsidRPr="00BB34F5">
        <w:rPr>
          <w:rFonts w:asciiTheme="minorHAnsi" w:hAnsiTheme="minorHAnsi" w:cstheme="minorHAnsi"/>
          <w:bCs/>
          <w:snapToGrid w:val="0"/>
        </w:rPr>
        <w:t>IN</w:t>
      </w:r>
      <w:r w:rsidR="00796787" w:rsidRPr="00BB34F5">
        <w:rPr>
          <w:rFonts w:asciiTheme="minorHAnsi" w:hAnsiTheme="minorHAnsi" w:cstheme="minorHAnsi"/>
          <w:bCs/>
          <w:snapToGrid w:val="0"/>
        </w:rPr>
        <w:t xml:space="preserve"> naloxone was comparable to the clinical benefit of injectable naloxone. While the clinical claim of superior safety is not quantifiable, the PBAC considered it reasonable that there were</w:t>
      </w:r>
      <w:r w:rsidR="0046799E" w:rsidRPr="00BB34F5">
        <w:rPr>
          <w:rFonts w:asciiTheme="minorHAnsi" w:hAnsiTheme="minorHAnsi" w:cstheme="minorHAnsi"/>
          <w:bCs/>
          <w:snapToGrid w:val="0"/>
        </w:rPr>
        <w:t xml:space="preserve"> likely to be</w:t>
      </w:r>
      <w:r w:rsidR="00796787" w:rsidRPr="00BB34F5">
        <w:rPr>
          <w:rFonts w:asciiTheme="minorHAnsi" w:hAnsiTheme="minorHAnsi" w:cstheme="minorHAnsi"/>
          <w:bCs/>
          <w:snapToGrid w:val="0"/>
        </w:rPr>
        <w:t xml:space="preserve"> safety benefits of </w:t>
      </w:r>
      <w:r w:rsidR="00C03E2A" w:rsidRPr="00BB34F5">
        <w:rPr>
          <w:rFonts w:asciiTheme="minorHAnsi" w:hAnsiTheme="minorHAnsi" w:cstheme="minorHAnsi"/>
          <w:bCs/>
          <w:snapToGrid w:val="0"/>
        </w:rPr>
        <w:t>IN</w:t>
      </w:r>
      <w:r w:rsidR="00796787" w:rsidRPr="00BB34F5">
        <w:rPr>
          <w:rFonts w:asciiTheme="minorHAnsi" w:hAnsiTheme="minorHAnsi" w:cstheme="minorHAnsi"/>
          <w:bCs/>
          <w:snapToGrid w:val="0"/>
        </w:rPr>
        <w:t xml:space="preserve"> naloxone including a r</w:t>
      </w:r>
      <w:r w:rsidR="0046799E" w:rsidRPr="00BB34F5">
        <w:rPr>
          <w:rFonts w:asciiTheme="minorHAnsi" w:hAnsiTheme="minorHAnsi" w:cstheme="minorHAnsi"/>
          <w:bCs/>
          <w:snapToGrid w:val="0"/>
        </w:rPr>
        <w:t xml:space="preserve">eduction in needle stick injury and a potential reduction in withdrawal-related harms. </w:t>
      </w:r>
    </w:p>
    <w:p w:rsidR="0046799E" w:rsidRPr="00BB34F5" w:rsidRDefault="0046799E" w:rsidP="00D23307">
      <w:pPr>
        <w:widowControl w:val="0"/>
        <w:numPr>
          <w:ilvl w:val="1"/>
          <w:numId w:val="5"/>
        </w:numPr>
        <w:spacing w:after="120"/>
        <w:jc w:val="both"/>
        <w:rPr>
          <w:rFonts w:asciiTheme="minorHAnsi" w:hAnsiTheme="minorHAnsi" w:cstheme="minorHAnsi"/>
          <w:bCs/>
          <w:snapToGrid w:val="0"/>
        </w:rPr>
      </w:pPr>
      <w:r w:rsidRPr="00BB34F5">
        <w:rPr>
          <w:rFonts w:asciiTheme="minorHAnsi" w:hAnsiTheme="minorHAnsi" w:cstheme="minorHAnsi"/>
          <w:bCs/>
          <w:snapToGrid w:val="0"/>
        </w:rPr>
        <w:t>The PBAC did not consider it appropriate to include the costs of ancillary equipment cost in the cost-</w:t>
      </w:r>
      <w:r w:rsidR="00C24944" w:rsidRPr="00C24944">
        <w:rPr>
          <w:rFonts w:asciiTheme="minorHAnsi" w:hAnsiTheme="minorHAnsi" w:cstheme="minorHAnsi"/>
          <w:bCs/>
          <w:snapToGrid w:val="0"/>
        </w:rPr>
        <w:t>minimisation,</w:t>
      </w:r>
      <w:r w:rsidRPr="00BB34F5">
        <w:rPr>
          <w:rFonts w:asciiTheme="minorHAnsi" w:hAnsiTheme="minorHAnsi" w:cstheme="minorHAnsi"/>
          <w:bCs/>
          <w:snapToGrid w:val="0"/>
        </w:rPr>
        <w:t xml:space="preserve"> as th</w:t>
      </w:r>
      <w:r w:rsidR="00BE439C" w:rsidRPr="00BB34F5">
        <w:rPr>
          <w:rFonts w:asciiTheme="minorHAnsi" w:hAnsiTheme="minorHAnsi" w:cstheme="minorHAnsi"/>
          <w:bCs/>
          <w:snapToGrid w:val="0"/>
        </w:rPr>
        <w:t xml:space="preserve">ese are not PBS costs. As naloxone pre-filled syringe was considered the most appropriate comparator, </w:t>
      </w:r>
      <w:r w:rsidRPr="00BB34F5">
        <w:rPr>
          <w:rFonts w:asciiTheme="minorHAnsi" w:hAnsiTheme="minorHAnsi" w:cstheme="minorHAnsi"/>
          <w:bCs/>
          <w:snapToGrid w:val="0"/>
        </w:rPr>
        <w:t xml:space="preserve">the PBAC considered </w:t>
      </w:r>
      <w:r w:rsidR="00BE439C" w:rsidRPr="00BB34F5">
        <w:rPr>
          <w:rFonts w:asciiTheme="minorHAnsi" w:hAnsiTheme="minorHAnsi" w:cstheme="minorHAnsi"/>
          <w:bCs/>
          <w:snapToGrid w:val="0"/>
        </w:rPr>
        <w:t>that the cost-minimisation should be based on the equivalence of</w:t>
      </w:r>
      <w:r w:rsidRPr="00BB34F5">
        <w:rPr>
          <w:rFonts w:asciiTheme="minorHAnsi" w:hAnsiTheme="minorHAnsi" w:cstheme="minorHAnsi"/>
          <w:bCs/>
          <w:snapToGrid w:val="0"/>
        </w:rPr>
        <w:t xml:space="preserve"> one pack of IN naloxone (containing 2 x 1.8mg doses) to one pre-filled syringe (containing up to 5 x 0.4mg doses). </w:t>
      </w:r>
    </w:p>
    <w:p w:rsidR="00C33176" w:rsidRPr="00BB34F5" w:rsidRDefault="00F617F3" w:rsidP="00D23307">
      <w:pPr>
        <w:widowControl w:val="0"/>
        <w:numPr>
          <w:ilvl w:val="1"/>
          <w:numId w:val="5"/>
        </w:numPr>
        <w:spacing w:after="120"/>
        <w:jc w:val="both"/>
        <w:rPr>
          <w:rFonts w:asciiTheme="minorHAnsi" w:hAnsiTheme="minorHAnsi" w:cstheme="minorHAnsi"/>
          <w:bCs/>
          <w:snapToGrid w:val="0"/>
        </w:rPr>
      </w:pPr>
      <w:r w:rsidRPr="00BB34F5">
        <w:rPr>
          <w:rFonts w:asciiTheme="minorHAnsi" w:hAnsiTheme="minorHAnsi" w:cstheme="minorHAnsi"/>
          <w:bCs/>
          <w:snapToGrid w:val="0"/>
        </w:rPr>
        <w:t xml:space="preserve">The PBAC </w:t>
      </w:r>
      <w:r w:rsidR="00C33176" w:rsidRPr="00BB34F5">
        <w:rPr>
          <w:rFonts w:asciiTheme="minorHAnsi" w:hAnsiTheme="minorHAnsi" w:cstheme="minorHAnsi"/>
          <w:bCs/>
          <w:snapToGrid w:val="0"/>
        </w:rPr>
        <w:t>noted</w:t>
      </w:r>
      <w:r w:rsidR="00696842" w:rsidRPr="00BB34F5">
        <w:rPr>
          <w:rFonts w:asciiTheme="minorHAnsi" w:hAnsiTheme="minorHAnsi" w:cstheme="minorHAnsi"/>
          <w:bCs/>
          <w:snapToGrid w:val="0"/>
        </w:rPr>
        <w:t xml:space="preserve"> that the estimated PBS </w:t>
      </w:r>
      <w:r w:rsidR="00C33176" w:rsidRPr="00BB34F5">
        <w:rPr>
          <w:rFonts w:asciiTheme="minorHAnsi" w:hAnsiTheme="minorHAnsi" w:cstheme="minorHAnsi"/>
          <w:bCs/>
          <w:snapToGrid w:val="0"/>
        </w:rPr>
        <w:t xml:space="preserve">usage and financial implications </w:t>
      </w:r>
      <w:r w:rsidR="00BE439C" w:rsidRPr="00BB34F5">
        <w:rPr>
          <w:rFonts w:asciiTheme="minorHAnsi" w:hAnsiTheme="minorHAnsi" w:cstheme="minorHAnsi"/>
          <w:bCs/>
          <w:snapToGrid w:val="0"/>
        </w:rPr>
        <w:t>presented in the submission</w:t>
      </w:r>
      <w:r w:rsidR="00696842" w:rsidRPr="00BB34F5">
        <w:rPr>
          <w:rFonts w:asciiTheme="minorHAnsi" w:hAnsiTheme="minorHAnsi" w:cstheme="minorHAnsi"/>
          <w:bCs/>
          <w:snapToGrid w:val="0"/>
        </w:rPr>
        <w:t xml:space="preserve"> </w:t>
      </w:r>
      <w:r w:rsidR="00C33176" w:rsidRPr="00BB34F5">
        <w:rPr>
          <w:rFonts w:asciiTheme="minorHAnsi" w:hAnsiTheme="minorHAnsi" w:cstheme="minorHAnsi"/>
          <w:bCs/>
          <w:snapToGrid w:val="0"/>
        </w:rPr>
        <w:t>were uncertain</w:t>
      </w:r>
      <w:r w:rsidR="00696842" w:rsidRPr="00BB34F5">
        <w:rPr>
          <w:rFonts w:asciiTheme="minorHAnsi" w:hAnsiTheme="minorHAnsi" w:cstheme="minorHAnsi"/>
          <w:bCs/>
          <w:snapToGrid w:val="0"/>
        </w:rPr>
        <w:t xml:space="preserve">, </w:t>
      </w:r>
      <w:r w:rsidR="00C33176" w:rsidRPr="00BB34F5">
        <w:rPr>
          <w:rFonts w:asciiTheme="minorHAnsi" w:hAnsiTheme="minorHAnsi" w:cstheme="minorHAnsi"/>
          <w:bCs/>
          <w:snapToGrid w:val="0"/>
        </w:rPr>
        <w:t>but agreed with the submission that the</w:t>
      </w:r>
      <w:r w:rsidR="00696842" w:rsidRPr="00BB34F5">
        <w:rPr>
          <w:rFonts w:asciiTheme="minorHAnsi" w:hAnsiTheme="minorHAnsi" w:cstheme="minorHAnsi"/>
          <w:bCs/>
          <w:snapToGrid w:val="0"/>
        </w:rPr>
        <w:t xml:space="preserve"> introduction of IN naloxone </w:t>
      </w:r>
      <w:r w:rsidR="00C33176" w:rsidRPr="00BB34F5">
        <w:rPr>
          <w:rFonts w:asciiTheme="minorHAnsi" w:hAnsiTheme="minorHAnsi" w:cstheme="minorHAnsi"/>
          <w:bCs/>
          <w:snapToGrid w:val="0"/>
        </w:rPr>
        <w:t>wa</w:t>
      </w:r>
      <w:r w:rsidR="0027120B" w:rsidRPr="00BB34F5">
        <w:rPr>
          <w:rFonts w:asciiTheme="minorHAnsi" w:hAnsiTheme="minorHAnsi" w:cstheme="minorHAnsi"/>
          <w:bCs/>
          <w:snapToGrid w:val="0"/>
        </w:rPr>
        <w:t xml:space="preserve">s likely to </w:t>
      </w:r>
      <w:r w:rsidR="00696842" w:rsidRPr="00BB34F5">
        <w:rPr>
          <w:rFonts w:asciiTheme="minorHAnsi" w:hAnsiTheme="minorHAnsi" w:cstheme="minorHAnsi"/>
          <w:bCs/>
          <w:snapToGrid w:val="0"/>
        </w:rPr>
        <w:t>result in increased uptake of naloxone in the community</w:t>
      </w:r>
      <w:r w:rsidR="00A44BC4" w:rsidRPr="00BB34F5">
        <w:rPr>
          <w:rFonts w:asciiTheme="minorHAnsi" w:hAnsiTheme="minorHAnsi" w:cstheme="minorHAnsi"/>
          <w:bCs/>
          <w:snapToGrid w:val="0"/>
        </w:rPr>
        <w:t xml:space="preserve"> setting</w:t>
      </w:r>
      <w:r w:rsidR="00C33176" w:rsidRPr="00BB34F5">
        <w:rPr>
          <w:rFonts w:asciiTheme="minorHAnsi" w:hAnsiTheme="minorHAnsi" w:cstheme="minorHAnsi"/>
          <w:bCs/>
          <w:snapToGrid w:val="0"/>
        </w:rPr>
        <w:t xml:space="preserve"> and displace some existing use of naloxone pre-filled syringes. The PBAC considered that any such increased use of naloxone would contribute to reducing the current high rates of</w:t>
      </w:r>
      <w:r w:rsidR="00050224">
        <w:rPr>
          <w:rFonts w:asciiTheme="minorHAnsi" w:hAnsiTheme="minorHAnsi" w:cstheme="minorHAnsi"/>
          <w:bCs/>
          <w:snapToGrid w:val="0"/>
        </w:rPr>
        <w:t xml:space="preserve"> harm from</w:t>
      </w:r>
      <w:r w:rsidR="00C33176" w:rsidRPr="00BB34F5">
        <w:rPr>
          <w:rFonts w:asciiTheme="minorHAnsi" w:hAnsiTheme="minorHAnsi" w:cstheme="minorHAnsi"/>
          <w:bCs/>
          <w:snapToGrid w:val="0"/>
        </w:rPr>
        <w:t xml:space="preserve"> opioid overdose. </w:t>
      </w:r>
    </w:p>
    <w:p w:rsidR="00C33176" w:rsidRPr="00BB34F5" w:rsidRDefault="00C33176" w:rsidP="00D23307">
      <w:pPr>
        <w:widowControl w:val="0"/>
        <w:numPr>
          <w:ilvl w:val="1"/>
          <w:numId w:val="5"/>
        </w:numPr>
        <w:spacing w:after="120"/>
        <w:jc w:val="both"/>
        <w:rPr>
          <w:rFonts w:asciiTheme="minorHAnsi" w:hAnsiTheme="minorHAnsi" w:cs="Arial"/>
          <w:bCs/>
          <w:snapToGrid w:val="0"/>
        </w:rPr>
      </w:pPr>
      <w:r w:rsidRPr="00BB34F5">
        <w:rPr>
          <w:rFonts w:asciiTheme="minorHAnsi" w:hAnsiTheme="minorHAnsi" w:cs="Arial"/>
          <w:bCs/>
          <w:snapToGrid w:val="0"/>
        </w:rPr>
        <w:t>The PBAC recommended that naloxone should not be treated as interchangeable with any other drugs.</w:t>
      </w:r>
    </w:p>
    <w:p w:rsidR="00C33176" w:rsidRPr="00BB34F5" w:rsidRDefault="00C33176" w:rsidP="00D23307">
      <w:pPr>
        <w:widowControl w:val="0"/>
        <w:numPr>
          <w:ilvl w:val="1"/>
          <w:numId w:val="5"/>
        </w:numPr>
        <w:spacing w:after="120"/>
        <w:jc w:val="both"/>
        <w:rPr>
          <w:rFonts w:asciiTheme="minorHAnsi" w:hAnsiTheme="minorHAnsi" w:cs="Arial"/>
          <w:bCs/>
          <w:snapToGrid w:val="0"/>
        </w:rPr>
      </w:pPr>
      <w:r w:rsidRPr="00BB34F5">
        <w:rPr>
          <w:rFonts w:asciiTheme="minorHAnsi" w:hAnsiTheme="minorHAnsi" w:cs="Arial"/>
          <w:bCs/>
          <w:snapToGrid w:val="0"/>
        </w:rPr>
        <w:t>The PBAC advised that IN naloxone is suitable for prescribing by nurse practitioners and dental practitioners.</w:t>
      </w:r>
      <w:r w:rsidR="00C540E8">
        <w:rPr>
          <w:rFonts w:asciiTheme="minorHAnsi" w:hAnsiTheme="minorHAnsi" w:cs="Arial"/>
          <w:bCs/>
          <w:snapToGrid w:val="0"/>
        </w:rPr>
        <w:t xml:space="preserve"> </w:t>
      </w:r>
    </w:p>
    <w:p w:rsidR="00C33176" w:rsidRPr="00BB34F5" w:rsidRDefault="00C33176" w:rsidP="00D23307">
      <w:pPr>
        <w:widowControl w:val="0"/>
        <w:numPr>
          <w:ilvl w:val="1"/>
          <w:numId w:val="5"/>
        </w:numPr>
        <w:spacing w:after="120"/>
        <w:jc w:val="both"/>
        <w:rPr>
          <w:rFonts w:asciiTheme="minorHAnsi" w:hAnsiTheme="minorHAnsi" w:cs="Arial"/>
          <w:bCs/>
          <w:snapToGrid w:val="0"/>
        </w:rPr>
      </w:pPr>
      <w:r w:rsidRPr="00BB34F5">
        <w:rPr>
          <w:rFonts w:asciiTheme="minorHAnsi" w:hAnsiTheme="minorHAnsi" w:cs="Arial"/>
          <w:bCs/>
          <w:snapToGrid w:val="0"/>
        </w:rPr>
        <w:t xml:space="preserve">The PBAC recommended that the Early Supply Rule should apply. </w:t>
      </w:r>
    </w:p>
    <w:p w:rsidR="00032B35" w:rsidRPr="00BB34F5" w:rsidRDefault="00C33176" w:rsidP="00D23307">
      <w:pPr>
        <w:widowControl w:val="0"/>
        <w:numPr>
          <w:ilvl w:val="1"/>
          <w:numId w:val="5"/>
        </w:numPr>
        <w:spacing w:after="120"/>
        <w:jc w:val="both"/>
        <w:rPr>
          <w:rFonts w:asciiTheme="minorHAnsi" w:hAnsiTheme="minorHAnsi" w:cs="Arial"/>
          <w:bCs/>
          <w:snapToGrid w:val="0"/>
        </w:rPr>
      </w:pPr>
      <w:r w:rsidRPr="00BB34F5">
        <w:rPr>
          <w:rFonts w:asciiTheme="minorHAnsi" w:hAnsiTheme="minorHAnsi" w:cs="Arial"/>
          <w:bCs/>
          <w:snapToGrid w:val="0"/>
        </w:rPr>
        <w:t xml:space="preserve">The PBAC noted that this submission is not eligible for an Independent Review as it </w:t>
      </w:r>
      <w:r w:rsidRPr="00BB34F5">
        <w:rPr>
          <w:rFonts w:asciiTheme="minorHAnsi" w:hAnsiTheme="minorHAnsi" w:cs="Arial"/>
          <w:bCs/>
          <w:snapToGrid w:val="0"/>
        </w:rPr>
        <w:lastRenderedPageBreak/>
        <w:t xml:space="preserve">received a positive </w:t>
      </w:r>
      <w:r w:rsidR="005A1DC3" w:rsidRPr="00BB34F5">
        <w:rPr>
          <w:rFonts w:asciiTheme="minorHAnsi" w:hAnsiTheme="minorHAnsi" w:cs="Arial"/>
          <w:bCs/>
          <w:snapToGrid w:val="0"/>
        </w:rPr>
        <w:t>recommendation</w:t>
      </w:r>
      <w:r w:rsidRPr="00BB34F5">
        <w:rPr>
          <w:rFonts w:asciiTheme="minorHAnsi" w:hAnsiTheme="minorHAnsi" w:cs="Arial"/>
          <w:bCs/>
          <w:snapToGrid w:val="0"/>
        </w:rPr>
        <w:t>.</w:t>
      </w:r>
    </w:p>
    <w:p w:rsidR="001B4C65" w:rsidRPr="00950D34" w:rsidRDefault="001B4C65" w:rsidP="00D23307">
      <w:pPr>
        <w:spacing w:after="120"/>
        <w:rPr>
          <w:rFonts w:asciiTheme="minorHAnsi" w:hAnsiTheme="minorHAnsi" w:cstheme="minorHAnsi"/>
          <w:b/>
          <w:snapToGrid w:val="0"/>
        </w:rPr>
      </w:pPr>
      <w:r w:rsidRPr="00950D34">
        <w:rPr>
          <w:rFonts w:asciiTheme="minorHAnsi" w:hAnsiTheme="minorHAnsi" w:cstheme="minorHAnsi"/>
          <w:b/>
          <w:snapToGrid w:val="0"/>
        </w:rPr>
        <w:t>Outcome:</w:t>
      </w:r>
    </w:p>
    <w:p w:rsidR="001B4C65" w:rsidRPr="00BB34F5" w:rsidRDefault="001B4C65" w:rsidP="00D23307">
      <w:pPr>
        <w:spacing w:after="120"/>
        <w:jc w:val="both"/>
        <w:rPr>
          <w:rFonts w:asciiTheme="minorHAnsi" w:hAnsiTheme="minorHAnsi" w:cs="Arial"/>
          <w:bCs/>
          <w:snapToGrid w:val="0"/>
        </w:rPr>
      </w:pPr>
      <w:r w:rsidRPr="00BB34F5">
        <w:rPr>
          <w:rFonts w:asciiTheme="minorHAnsi" w:hAnsiTheme="minorHAnsi" w:cs="Arial"/>
          <w:bCs/>
          <w:snapToGrid w:val="0"/>
        </w:rPr>
        <w:t xml:space="preserve">Recommended </w:t>
      </w:r>
    </w:p>
    <w:p w:rsidR="0066329E" w:rsidRPr="00C24944" w:rsidRDefault="00942408" w:rsidP="00323773">
      <w:pPr>
        <w:pStyle w:val="PBACHeading1"/>
        <w:spacing w:before="240" w:after="120"/>
        <w:ind w:left="709" w:hanging="709"/>
        <w:rPr>
          <w:rFonts w:asciiTheme="minorHAnsi" w:hAnsiTheme="minorHAnsi" w:cstheme="minorHAnsi"/>
          <w:sz w:val="32"/>
          <w:szCs w:val="32"/>
        </w:rPr>
      </w:pPr>
      <w:r w:rsidRPr="00C24944">
        <w:rPr>
          <w:rFonts w:asciiTheme="minorHAnsi" w:hAnsiTheme="minorHAnsi" w:cstheme="minorHAnsi"/>
          <w:sz w:val="32"/>
          <w:szCs w:val="32"/>
        </w:rPr>
        <w:t>Recommended Listings</w:t>
      </w:r>
    </w:p>
    <w:p w:rsidR="00942408" w:rsidRPr="00BB34F5" w:rsidRDefault="0066329E" w:rsidP="001B4C65">
      <w:pPr>
        <w:widowControl w:val="0"/>
        <w:numPr>
          <w:ilvl w:val="1"/>
          <w:numId w:val="5"/>
        </w:numPr>
        <w:spacing w:after="120"/>
        <w:jc w:val="both"/>
        <w:rPr>
          <w:rFonts w:asciiTheme="minorHAnsi" w:hAnsiTheme="minorHAnsi" w:cstheme="minorHAnsi"/>
          <w:bCs/>
          <w:snapToGrid w:val="0"/>
        </w:rPr>
      </w:pPr>
      <w:r w:rsidRPr="00BB34F5">
        <w:rPr>
          <w:rFonts w:asciiTheme="minorHAnsi" w:hAnsiTheme="minorHAnsi" w:cstheme="minorHAnsi"/>
          <w:bCs/>
          <w:snapToGrid w:val="0"/>
        </w:rPr>
        <w:t>Add new item:</w:t>
      </w:r>
    </w:p>
    <w:tbl>
      <w:tblPr>
        <w:tblW w:w="5000" w:type="pct"/>
        <w:tblCellMar>
          <w:left w:w="28" w:type="dxa"/>
          <w:right w:w="28" w:type="dxa"/>
        </w:tblCellMar>
        <w:tblLook w:val="0000" w:firstRow="0" w:lastRow="0" w:firstColumn="0" w:lastColumn="0" w:noHBand="0" w:noVBand="0"/>
      </w:tblPr>
      <w:tblGrid>
        <w:gridCol w:w="32"/>
        <w:gridCol w:w="3340"/>
        <w:gridCol w:w="262"/>
        <w:gridCol w:w="1159"/>
        <w:gridCol w:w="899"/>
        <w:gridCol w:w="3334"/>
      </w:tblGrid>
      <w:tr w:rsidR="00AC5C36" w:rsidRPr="00950D34" w:rsidTr="00950D34">
        <w:trPr>
          <w:gridBefore w:val="1"/>
          <w:wBefore w:w="18" w:type="pct"/>
          <w:cantSplit/>
          <w:trHeight w:val="463"/>
        </w:trPr>
        <w:tc>
          <w:tcPr>
            <w:tcW w:w="1995" w:type="pct"/>
            <w:gridSpan w:val="2"/>
            <w:tcBorders>
              <w:top w:val="single" w:sz="4" w:space="0" w:color="auto"/>
              <w:bottom w:val="single" w:sz="4" w:space="0" w:color="auto"/>
            </w:tcBorders>
            <w:vAlign w:val="center"/>
          </w:tcPr>
          <w:p w:rsidR="00AC5C36" w:rsidRPr="00950D34" w:rsidRDefault="00AC5C36" w:rsidP="00AC5C36">
            <w:pPr>
              <w:keepNext/>
              <w:rPr>
                <w:rFonts w:ascii="Arial Narrow" w:hAnsi="Arial Narrow"/>
                <w:b/>
                <w:sz w:val="20"/>
              </w:rPr>
            </w:pPr>
            <w:r w:rsidRPr="00950D34">
              <w:rPr>
                <w:rFonts w:ascii="Arial Narrow" w:hAnsi="Arial Narrow"/>
                <w:b/>
                <w:sz w:val="20"/>
              </w:rPr>
              <w:t>Name, Restriction,</w:t>
            </w:r>
          </w:p>
          <w:p w:rsidR="00AC5C36" w:rsidRPr="00950D34" w:rsidRDefault="00AC5C36" w:rsidP="00AC5C36">
            <w:pPr>
              <w:keepNext/>
              <w:rPr>
                <w:rFonts w:ascii="Arial Narrow" w:hAnsi="Arial Narrow"/>
                <w:b/>
                <w:sz w:val="20"/>
              </w:rPr>
            </w:pPr>
            <w:r w:rsidRPr="00950D34">
              <w:rPr>
                <w:rFonts w:ascii="Arial Narrow" w:hAnsi="Arial Narrow"/>
                <w:b/>
                <w:sz w:val="20"/>
              </w:rPr>
              <w:t>Manner of administration and form</w:t>
            </w:r>
          </w:p>
        </w:tc>
        <w:tc>
          <w:tcPr>
            <w:tcW w:w="642" w:type="pct"/>
            <w:tcBorders>
              <w:top w:val="single" w:sz="4" w:space="0" w:color="auto"/>
              <w:bottom w:val="single" w:sz="4" w:space="0" w:color="auto"/>
            </w:tcBorders>
            <w:vAlign w:val="center"/>
          </w:tcPr>
          <w:p w:rsidR="00AC5C36" w:rsidRPr="00950D34" w:rsidRDefault="00AC5C36" w:rsidP="00AC5C36">
            <w:pPr>
              <w:keepNext/>
              <w:jc w:val="center"/>
              <w:rPr>
                <w:rFonts w:ascii="Arial Narrow" w:hAnsi="Arial Narrow"/>
                <w:b/>
                <w:sz w:val="20"/>
              </w:rPr>
            </w:pPr>
            <w:r w:rsidRPr="00950D34">
              <w:rPr>
                <w:rFonts w:ascii="Arial Narrow" w:hAnsi="Arial Narrow"/>
                <w:b/>
                <w:sz w:val="20"/>
              </w:rPr>
              <w:t>Max.</w:t>
            </w:r>
          </w:p>
          <w:p w:rsidR="00AC5C36" w:rsidRPr="00950D34" w:rsidRDefault="00AC5C36" w:rsidP="00AC5C36">
            <w:pPr>
              <w:keepNext/>
              <w:jc w:val="center"/>
              <w:rPr>
                <w:rFonts w:ascii="Arial Narrow" w:hAnsi="Arial Narrow"/>
                <w:b/>
                <w:sz w:val="20"/>
              </w:rPr>
            </w:pPr>
            <w:proofErr w:type="spellStart"/>
            <w:r w:rsidRPr="00950D34">
              <w:rPr>
                <w:rFonts w:ascii="Arial Narrow" w:hAnsi="Arial Narrow"/>
                <w:b/>
                <w:sz w:val="20"/>
              </w:rPr>
              <w:t>Qty</w:t>
            </w:r>
            <w:proofErr w:type="spellEnd"/>
            <w:r w:rsidRPr="00950D34">
              <w:rPr>
                <w:rFonts w:ascii="Arial Narrow" w:hAnsi="Arial Narrow"/>
                <w:b/>
                <w:sz w:val="20"/>
              </w:rPr>
              <w:t xml:space="preserve"> </w:t>
            </w:r>
          </w:p>
        </w:tc>
        <w:tc>
          <w:tcPr>
            <w:tcW w:w="498" w:type="pct"/>
            <w:tcBorders>
              <w:top w:val="single" w:sz="4" w:space="0" w:color="auto"/>
              <w:bottom w:val="single" w:sz="4" w:space="0" w:color="auto"/>
            </w:tcBorders>
            <w:vAlign w:val="center"/>
          </w:tcPr>
          <w:p w:rsidR="00AC5C36" w:rsidRPr="00950D34" w:rsidRDefault="00AC5C36" w:rsidP="00AC5C36">
            <w:pPr>
              <w:keepNext/>
              <w:jc w:val="center"/>
              <w:rPr>
                <w:rFonts w:ascii="Arial Narrow" w:hAnsi="Arial Narrow"/>
                <w:b/>
                <w:sz w:val="20"/>
              </w:rPr>
            </w:pPr>
            <w:r w:rsidRPr="00950D34">
              <w:rPr>
                <w:rFonts w:ascii="Arial Narrow" w:hAnsi="Arial Narrow"/>
                <w:b/>
                <w:sz w:val="20"/>
              </w:rPr>
              <w:t>№.of</w:t>
            </w:r>
          </w:p>
          <w:p w:rsidR="00AC5C36" w:rsidRPr="00950D34" w:rsidRDefault="00AC5C36" w:rsidP="00AC5C36">
            <w:pPr>
              <w:keepNext/>
              <w:jc w:val="center"/>
              <w:rPr>
                <w:rFonts w:ascii="Arial Narrow" w:hAnsi="Arial Narrow"/>
                <w:b/>
                <w:sz w:val="20"/>
              </w:rPr>
            </w:pPr>
            <w:proofErr w:type="spellStart"/>
            <w:r w:rsidRPr="00950D34">
              <w:rPr>
                <w:rFonts w:ascii="Arial Narrow" w:hAnsi="Arial Narrow"/>
                <w:b/>
                <w:sz w:val="20"/>
              </w:rPr>
              <w:t>Rpts</w:t>
            </w:r>
            <w:proofErr w:type="spellEnd"/>
          </w:p>
        </w:tc>
        <w:tc>
          <w:tcPr>
            <w:tcW w:w="1847" w:type="pct"/>
            <w:tcBorders>
              <w:top w:val="single" w:sz="4" w:space="0" w:color="auto"/>
              <w:bottom w:val="single" w:sz="4" w:space="0" w:color="auto"/>
            </w:tcBorders>
            <w:vAlign w:val="center"/>
          </w:tcPr>
          <w:p w:rsidR="00AC5C36" w:rsidRPr="00950D34" w:rsidRDefault="00AC5C36" w:rsidP="00AC5C36">
            <w:pPr>
              <w:keepNext/>
              <w:jc w:val="center"/>
              <w:rPr>
                <w:rFonts w:ascii="Arial Narrow" w:hAnsi="Arial Narrow"/>
                <w:b/>
                <w:sz w:val="20"/>
              </w:rPr>
            </w:pPr>
            <w:r w:rsidRPr="00950D34">
              <w:rPr>
                <w:rFonts w:ascii="Arial Narrow" w:hAnsi="Arial Narrow"/>
                <w:b/>
                <w:sz w:val="20"/>
              </w:rPr>
              <w:t>Proprietary Name and Manufacturer</w:t>
            </w:r>
          </w:p>
        </w:tc>
      </w:tr>
      <w:tr w:rsidR="00AC5C36" w:rsidRPr="00950D34" w:rsidTr="00950D34">
        <w:trPr>
          <w:gridBefore w:val="1"/>
          <w:wBefore w:w="18" w:type="pct"/>
          <w:cantSplit/>
          <w:trHeight w:val="567"/>
        </w:trPr>
        <w:tc>
          <w:tcPr>
            <w:tcW w:w="1995" w:type="pct"/>
            <w:gridSpan w:val="2"/>
          </w:tcPr>
          <w:p w:rsidR="00AC5C36" w:rsidRPr="00950D34" w:rsidRDefault="00AC5C36" w:rsidP="00AC5C36">
            <w:pPr>
              <w:pStyle w:val="Tabletext"/>
              <w:keepNext/>
              <w:keepLines/>
              <w:adjustRightInd w:val="0"/>
              <w:snapToGrid w:val="0"/>
              <w:rPr>
                <w:rFonts w:ascii="Arial Narrow" w:eastAsia="SimSun" w:hAnsi="Arial Narrow"/>
                <w:lang w:eastAsia="zh-CN"/>
              </w:rPr>
            </w:pPr>
            <w:r w:rsidRPr="00950D34">
              <w:rPr>
                <w:rFonts w:ascii="Arial Narrow" w:eastAsia="SimSun" w:hAnsi="Arial Narrow"/>
                <w:lang w:eastAsia="zh-CN"/>
              </w:rPr>
              <w:t>NALOXONE</w:t>
            </w:r>
          </w:p>
          <w:p w:rsidR="00AC5C36" w:rsidRPr="00950D34" w:rsidRDefault="00AC5C36" w:rsidP="00AC5C36">
            <w:pPr>
              <w:keepNext/>
              <w:rPr>
                <w:rFonts w:ascii="Arial Narrow" w:eastAsia="SimSun" w:hAnsi="Arial Narrow"/>
                <w:sz w:val="20"/>
                <w:szCs w:val="20"/>
                <w:lang w:eastAsia="zh-CN"/>
              </w:rPr>
            </w:pPr>
            <w:r w:rsidRPr="00950D34">
              <w:rPr>
                <w:rFonts w:ascii="Arial Narrow" w:eastAsia="SimSun" w:hAnsi="Arial Narrow"/>
                <w:sz w:val="20"/>
                <w:szCs w:val="20"/>
                <w:lang w:eastAsia="zh-CN"/>
              </w:rPr>
              <w:t xml:space="preserve">Nasal spray containing naloxone hydrochloride </w:t>
            </w:r>
            <w:proofErr w:type="spellStart"/>
            <w:r w:rsidRPr="00950D34">
              <w:rPr>
                <w:rFonts w:ascii="Arial Narrow" w:eastAsia="SimSun" w:hAnsi="Arial Narrow"/>
                <w:sz w:val="20"/>
                <w:szCs w:val="20"/>
                <w:lang w:eastAsia="zh-CN"/>
              </w:rPr>
              <w:t>dihydrate</w:t>
            </w:r>
            <w:proofErr w:type="spellEnd"/>
            <w:r w:rsidRPr="00950D34">
              <w:rPr>
                <w:rFonts w:ascii="Arial Narrow" w:eastAsia="SimSun" w:hAnsi="Arial Narrow"/>
                <w:sz w:val="20"/>
                <w:szCs w:val="20"/>
                <w:lang w:eastAsia="zh-CN"/>
              </w:rPr>
              <w:t xml:space="preserve"> 1.8mg, 2</w:t>
            </w:r>
          </w:p>
          <w:p w:rsidR="00AC5C36" w:rsidRPr="00950D34" w:rsidRDefault="00AC5C36" w:rsidP="00AC5C36">
            <w:pPr>
              <w:keepNext/>
              <w:rPr>
                <w:rFonts w:ascii="Arial Narrow" w:hAnsi="Arial Narrow"/>
                <w:sz w:val="20"/>
                <w:szCs w:val="20"/>
              </w:rPr>
            </w:pPr>
          </w:p>
        </w:tc>
        <w:tc>
          <w:tcPr>
            <w:tcW w:w="642" w:type="pct"/>
            <w:vAlign w:val="center"/>
          </w:tcPr>
          <w:p w:rsidR="00AC5C36" w:rsidRPr="00950D34" w:rsidRDefault="00AC5C36" w:rsidP="00AC5C36">
            <w:pPr>
              <w:keepNext/>
              <w:jc w:val="center"/>
              <w:rPr>
                <w:rFonts w:ascii="Arial Narrow" w:hAnsi="Arial Narrow"/>
                <w:sz w:val="20"/>
                <w:szCs w:val="20"/>
              </w:rPr>
            </w:pPr>
            <w:r w:rsidRPr="00950D34">
              <w:rPr>
                <w:rFonts w:ascii="Arial Narrow" w:eastAsia="SimSun" w:hAnsi="Arial Narrow"/>
                <w:sz w:val="20"/>
                <w:szCs w:val="20"/>
                <w:lang w:eastAsia="zh-CN"/>
              </w:rPr>
              <w:t>1</w:t>
            </w:r>
          </w:p>
        </w:tc>
        <w:tc>
          <w:tcPr>
            <w:tcW w:w="498" w:type="pct"/>
            <w:vAlign w:val="center"/>
          </w:tcPr>
          <w:p w:rsidR="00AC5C36" w:rsidRPr="00950D34" w:rsidRDefault="00AC5C36" w:rsidP="00AC5C36">
            <w:pPr>
              <w:keepNext/>
              <w:jc w:val="center"/>
              <w:rPr>
                <w:rFonts w:ascii="Arial Narrow" w:hAnsi="Arial Narrow"/>
                <w:sz w:val="20"/>
                <w:szCs w:val="20"/>
              </w:rPr>
            </w:pPr>
            <w:r w:rsidRPr="00950D34">
              <w:rPr>
                <w:rFonts w:ascii="Arial Narrow" w:eastAsia="SimSun" w:hAnsi="Arial Narrow"/>
                <w:sz w:val="20"/>
                <w:szCs w:val="20"/>
                <w:lang w:eastAsia="zh-CN"/>
              </w:rPr>
              <w:t>0</w:t>
            </w:r>
          </w:p>
        </w:tc>
        <w:tc>
          <w:tcPr>
            <w:tcW w:w="1847" w:type="pct"/>
            <w:vAlign w:val="center"/>
          </w:tcPr>
          <w:p w:rsidR="00AC5C36" w:rsidRPr="00950D34" w:rsidRDefault="00AC5C36" w:rsidP="00AC5C36">
            <w:pPr>
              <w:pStyle w:val="Tabletext"/>
              <w:jc w:val="center"/>
              <w:rPr>
                <w:rFonts w:ascii="Arial Narrow" w:eastAsia="SimSun" w:hAnsi="Arial Narrow"/>
                <w:lang w:eastAsia="zh-CN"/>
              </w:rPr>
            </w:pPr>
            <w:proofErr w:type="spellStart"/>
            <w:r w:rsidRPr="00950D34">
              <w:rPr>
                <w:rFonts w:ascii="Arial Narrow" w:eastAsia="SimSun" w:hAnsi="Arial Narrow"/>
                <w:lang w:eastAsia="zh-CN"/>
              </w:rPr>
              <w:t>Nyxoid</w:t>
            </w:r>
            <w:proofErr w:type="spellEnd"/>
          </w:p>
          <w:p w:rsidR="00AC5C36" w:rsidRPr="00950D34" w:rsidRDefault="00AC5C36" w:rsidP="00AC5C36">
            <w:pPr>
              <w:keepNext/>
              <w:jc w:val="center"/>
              <w:rPr>
                <w:rFonts w:ascii="Arial Narrow" w:hAnsi="Arial Narrow"/>
                <w:sz w:val="20"/>
                <w:szCs w:val="20"/>
              </w:rPr>
            </w:pPr>
            <w:proofErr w:type="spellStart"/>
            <w:r w:rsidRPr="00950D34">
              <w:rPr>
                <w:rFonts w:ascii="Arial Narrow" w:eastAsia="SimSun" w:hAnsi="Arial Narrow"/>
                <w:sz w:val="20"/>
                <w:szCs w:val="20"/>
                <w:lang w:eastAsia="zh-CN"/>
              </w:rPr>
              <w:t>Mundipharma</w:t>
            </w:r>
            <w:proofErr w:type="spellEnd"/>
            <w:r w:rsidRPr="00950D34">
              <w:rPr>
                <w:rFonts w:ascii="Arial Narrow" w:eastAsia="SimSun" w:hAnsi="Arial Narrow"/>
                <w:sz w:val="20"/>
                <w:szCs w:val="20"/>
                <w:lang w:eastAsia="zh-CN"/>
              </w:rPr>
              <w:t xml:space="preserve"> Pty</w:t>
            </w:r>
            <w:r w:rsidRPr="00950D34">
              <w:rPr>
                <w:rFonts w:ascii="Arial Narrow" w:hAnsi="Arial Narrow" w:cstheme="minorHAnsi"/>
                <w:sz w:val="20"/>
              </w:rPr>
              <w:t xml:space="preserve"> </w:t>
            </w:r>
            <w:r w:rsidRPr="00950D34">
              <w:rPr>
                <w:rFonts w:ascii="Arial Narrow" w:eastAsia="SimSun" w:hAnsi="Arial Narrow"/>
                <w:sz w:val="20"/>
                <w:szCs w:val="20"/>
                <w:lang w:eastAsia="zh-CN"/>
              </w:rPr>
              <w:t>Ltd</w:t>
            </w:r>
          </w:p>
        </w:tc>
      </w:tr>
      <w:tr w:rsidR="00AC5C36" w:rsidRPr="00950D34" w:rsidTr="00950D34">
        <w:tblPrEx>
          <w:tblCellMar>
            <w:left w:w="108" w:type="dxa"/>
            <w:right w:w="108" w:type="dxa"/>
          </w:tblCellMar>
        </w:tblPrEx>
        <w:trPr>
          <w:cantSplit/>
        </w:trPr>
        <w:tc>
          <w:tcPr>
            <w:tcW w:w="1868" w:type="pct"/>
            <w:gridSpan w:val="2"/>
            <w:tcBorders>
              <w:top w:val="single" w:sz="4" w:space="0" w:color="auto"/>
              <w:left w:val="single" w:sz="4" w:space="0" w:color="auto"/>
              <w:bottom w:val="single" w:sz="4" w:space="0" w:color="auto"/>
              <w:right w:val="single" w:sz="4" w:space="0" w:color="auto"/>
            </w:tcBorders>
            <w:vAlign w:val="center"/>
          </w:tcPr>
          <w:p w:rsidR="00AC5C36" w:rsidRPr="00950D34" w:rsidRDefault="00AC5C36" w:rsidP="00AC5C36">
            <w:pPr>
              <w:rPr>
                <w:rFonts w:ascii="Arial Narrow" w:hAnsi="Arial Narrow"/>
                <w:b/>
                <w:sz w:val="20"/>
              </w:rPr>
            </w:pPr>
            <w:r w:rsidRPr="00950D34">
              <w:rPr>
                <w:rFonts w:ascii="Arial Narrow" w:hAnsi="Arial Narrow"/>
                <w:b/>
                <w:sz w:val="20"/>
              </w:rPr>
              <w:t xml:space="preserve">Category/Program </w:t>
            </w:r>
          </w:p>
        </w:tc>
        <w:tc>
          <w:tcPr>
            <w:tcW w:w="3132" w:type="pct"/>
            <w:gridSpan w:val="4"/>
            <w:tcBorders>
              <w:top w:val="single" w:sz="4" w:space="0" w:color="auto"/>
              <w:left w:val="single" w:sz="4" w:space="0" w:color="auto"/>
              <w:bottom w:val="single" w:sz="4" w:space="0" w:color="auto"/>
              <w:right w:val="single" w:sz="4" w:space="0" w:color="auto"/>
            </w:tcBorders>
            <w:vAlign w:val="center"/>
          </w:tcPr>
          <w:p w:rsidR="00AC5C36" w:rsidRPr="00950D34" w:rsidRDefault="00AC5C36" w:rsidP="00AC5C36">
            <w:pPr>
              <w:rPr>
                <w:rFonts w:ascii="Arial Narrow" w:hAnsi="Arial Narrow"/>
                <w:sz w:val="20"/>
              </w:rPr>
            </w:pPr>
            <w:r w:rsidRPr="00950D34">
              <w:rPr>
                <w:rFonts w:ascii="Arial Narrow" w:hAnsi="Arial Narrow"/>
                <w:sz w:val="20"/>
              </w:rPr>
              <w:t>General Schedule</w:t>
            </w:r>
          </w:p>
        </w:tc>
      </w:tr>
      <w:tr w:rsidR="00AC5C36" w:rsidRPr="00950D34" w:rsidTr="00950D34">
        <w:tblPrEx>
          <w:tblCellMar>
            <w:left w:w="108" w:type="dxa"/>
            <w:right w:w="108" w:type="dxa"/>
          </w:tblCellMar>
        </w:tblPrEx>
        <w:trPr>
          <w:cantSplit/>
        </w:trPr>
        <w:tc>
          <w:tcPr>
            <w:tcW w:w="1868" w:type="pct"/>
            <w:gridSpan w:val="2"/>
            <w:tcBorders>
              <w:top w:val="single" w:sz="4" w:space="0" w:color="auto"/>
              <w:left w:val="single" w:sz="4" w:space="0" w:color="auto"/>
              <w:bottom w:val="single" w:sz="4" w:space="0" w:color="auto"/>
              <w:right w:val="single" w:sz="4" w:space="0" w:color="auto"/>
            </w:tcBorders>
            <w:vAlign w:val="center"/>
          </w:tcPr>
          <w:p w:rsidR="00AC5C36" w:rsidRPr="00950D34" w:rsidRDefault="00AC5C36" w:rsidP="00AC5C36">
            <w:pPr>
              <w:rPr>
                <w:rFonts w:ascii="Arial Narrow" w:hAnsi="Arial Narrow"/>
                <w:b/>
                <w:sz w:val="20"/>
              </w:rPr>
            </w:pPr>
            <w:r w:rsidRPr="00950D34">
              <w:rPr>
                <w:rFonts w:ascii="Arial Narrow" w:hAnsi="Arial Narrow"/>
                <w:b/>
                <w:sz w:val="20"/>
              </w:rPr>
              <w:t>Prescriber type:</w:t>
            </w:r>
          </w:p>
        </w:tc>
        <w:tc>
          <w:tcPr>
            <w:tcW w:w="3132" w:type="pct"/>
            <w:gridSpan w:val="4"/>
            <w:tcBorders>
              <w:top w:val="single" w:sz="4" w:space="0" w:color="auto"/>
              <w:left w:val="single" w:sz="4" w:space="0" w:color="auto"/>
              <w:bottom w:val="single" w:sz="4" w:space="0" w:color="auto"/>
              <w:right w:val="single" w:sz="4" w:space="0" w:color="auto"/>
            </w:tcBorders>
            <w:vAlign w:val="center"/>
          </w:tcPr>
          <w:p w:rsidR="00AC5C36" w:rsidRPr="00950D34" w:rsidRDefault="00AC5C36" w:rsidP="00AC5C36">
            <w:pPr>
              <w:rPr>
                <w:rFonts w:ascii="Arial Narrow" w:hAnsi="Arial Narrow" w:cstheme="minorHAnsi"/>
                <w:sz w:val="20"/>
                <w:szCs w:val="20"/>
              </w:rPr>
            </w:pPr>
            <w:r w:rsidRPr="00950D34">
              <w:rPr>
                <w:rFonts w:ascii="Arial Narrow" w:hAnsi="Arial Narrow" w:cstheme="minorHAnsi"/>
                <w:sz w:val="20"/>
                <w:szCs w:val="20"/>
              </w:rPr>
              <w:fldChar w:fldCharType="begin">
                <w:ffData>
                  <w:name w:val="Check1"/>
                  <w:enabled/>
                  <w:calcOnExit w:val="0"/>
                  <w:checkBox>
                    <w:sizeAuto/>
                    <w:default w:val="1"/>
                  </w:checkBox>
                </w:ffData>
              </w:fldChar>
            </w:r>
            <w:r w:rsidRPr="00950D34">
              <w:rPr>
                <w:rFonts w:ascii="Arial Narrow" w:hAnsi="Arial Narrow" w:cstheme="minorHAnsi"/>
                <w:sz w:val="20"/>
                <w:szCs w:val="20"/>
              </w:rPr>
              <w:instrText xml:space="preserve"> FORMCHECKBOX </w:instrText>
            </w:r>
            <w:r w:rsidR="00C540E8">
              <w:rPr>
                <w:rFonts w:ascii="Arial Narrow" w:hAnsi="Arial Narrow" w:cstheme="minorHAnsi"/>
                <w:sz w:val="20"/>
                <w:szCs w:val="20"/>
              </w:rPr>
            </w:r>
            <w:r w:rsidR="00C540E8">
              <w:rPr>
                <w:rFonts w:ascii="Arial Narrow" w:hAnsi="Arial Narrow" w:cstheme="minorHAnsi"/>
                <w:sz w:val="20"/>
                <w:szCs w:val="20"/>
              </w:rPr>
              <w:fldChar w:fldCharType="separate"/>
            </w:r>
            <w:r w:rsidRPr="00950D34">
              <w:rPr>
                <w:rFonts w:ascii="Arial Narrow" w:hAnsi="Arial Narrow" w:cstheme="minorHAnsi"/>
                <w:sz w:val="20"/>
                <w:szCs w:val="20"/>
              </w:rPr>
              <w:fldChar w:fldCharType="end"/>
            </w:r>
            <w:r w:rsidRPr="00950D34">
              <w:rPr>
                <w:rFonts w:ascii="Arial Narrow" w:hAnsi="Arial Narrow" w:cstheme="minorHAnsi"/>
                <w:sz w:val="20"/>
                <w:szCs w:val="20"/>
              </w:rPr>
              <w:t xml:space="preserve">Dental </w:t>
            </w:r>
            <w:r w:rsidRPr="00950D34">
              <w:rPr>
                <w:rFonts w:ascii="Arial Narrow" w:hAnsi="Arial Narrow" w:cstheme="minorHAnsi"/>
                <w:sz w:val="20"/>
                <w:szCs w:val="20"/>
              </w:rPr>
              <w:fldChar w:fldCharType="begin">
                <w:ffData>
                  <w:name w:val=""/>
                  <w:enabled/>
                  <w:calcOnExit w:val="0"/>
                  <w:checkBox>
                    <w:sizeAuto/>
                    <w:default w:val="1"/>
                  </w:checkBox>
                </w:ffData>
              </w:fldChar>
            </w:r>
            <w:r w:rsidRPr="00950D34">
              <w:rPr>
                <w:rFonts w:ascii="Arial Narrow" w:hAnsi="Arial Narrow" w:cstheme="minorHAnsi"/>
                <w:sz w:val="20"/>
                <w:szCs w:val="20"/>
              </w:rPr>
              <w:instrText xml:space="preserve"> FORMCHECKBOX </w:instrText>
            </w:r>
            <w:r w:rsidR="00C540E8">
              <w:rPr>
                <w:rFonts w:ascii="Arial Narrow" w:hAnsi="Arial Narrow" w:cstheme="minorHAnsi"/>
                <w:sz w:val="20"/>
                <w:szCs w:val="20"/>
              </w:rPr>
            </w:r>
            <w:r w:rsidR="00C540E8">
              <w:rPr>
                <w:rFonts w:ascii="Arial Narrow" w:hAnsi="Arial Narrow" w:cstheme="minorHAnsi"/>
                <w:sz w:val="20"/>
                <w:szCs w:val="20"/>
              </w:rPr>
              <w:fldChar w:fldCharType="separate"/>
            </w:r>
            <w:r w:rsidRPr="00950D34">
              <w:rPr>
                <w:rFonts w:ascii="Arial Narrow" w:hAnsi="Arial Narrow" w:cstheme="minorHAnsi"/>
                <w:sz w:val="20"/>
                <w:szCs w:val="20"/>
              </w:rPr>
              <w:fldChar w:fldCharType="end"/>
            </w:r>
            <w:r w:rsidRPr="00950D34">
              <w:rPr>
                <w:rFonts w:ascii="Arial Narrow" w:hAnsi="Arial Narrow" w:cstheme="minorHAnsi"/>
                <w:sz w:val="20"/>
                <w:szCs w:val="20"/>
              </w:rPr>
              <w:t xml:space="preserve">Medical Practitioners </w:t>
            </w:r>
            <w:r w:rsidRPr="00950D34">
              <w:rPr>
                <w:rFonts w:ascii="Arial Narrow" w:hAnsi="Arial Narrow" w:cstheme="minorHAnsi"/>
                <w:sz w:val="20"/>
                <w:szCs w:val="20"/>
              </w:rPr>
              <w:fldChar w:fldCharType="begin">
                <w:ffData>
                  <w:name w:val="Check3"/>
                  <w:enabled/>
                  <w:calcOnExit w:val="0"/>
                  <w:checkBox>
                    <w:sizeAuto/>
                    <w:default w:val="1"/>
                  </w:checkBox>
                </w:ffData>
              </w:fldChar>
            </w:r>
            <w:r w:rsidRPr="00950D34">
              <w:rPr>
                <w:rFonts w:ascii="Arial Narrow" w:hAnsi="Arial Narrow" w:cstheme="minorHAnsi"/>
                <w:sz w:val="20"/>
                <w:szCs w:val="20"/>
              </w:rPr>
              <w:instrText xml:space="preserve"> FORMCHECKBOX </w:instrText>
            </w:r>
            <w:r w:rsidR="00C540E8">
              <w:rPr>
                <w:rFonts w:ascii="Arial Narrow" w:hAnsi="Arial Narrow" w:cstheme="minorHAnsi"/>
                <w:sz w:val="20"/>
                <w:szCs w:val="20"/>
              </w:rPr>
            </w:r>
            <w:r w:rsidR="00C540E8">
              <w:rPr>
                <w:rFonts w:ascii="Arial Narrow" w:hAnsi="Arial Narrow" w:cstheme="minorHAnsi"/>
                <w:sz w:val="20"/>
                <w:szCs w:val="20"/>
              </w:rPr>
              <w:fldChar w:fldCharType="separate"/>
            </w:r>
            <w:r w:rsidRPr="00950D34">
              <w:rPr>
                <w:rFonts w:ascii="Arial Narrow" w:hAnsi="Arial Narrow" w:cstheme="minorHAnsi"/>
                <w:sz w:val="20"/>
                <w:szCs w:val="20"/>
              </w:rPr>
              <w:fldChar w:fldCharType="end"/>
            </w:r>
            <w:r w:rsidRPr="00950D34">
              <w:rPr>
                <w:rFonts w:ascii="Arial Narrow" w:hAnsi="Arial Narrow" w:cstheme="minorHAnsi"/>
                <w:sz w:val="20"/>
                <w:szCs w:val="20"/>
              </w:rPr>
              <w:t xml:space="preserve">Nurse practitioners </w:t>
            </w:r>
          </w:p>
          <w:p w:rsidR="00AC5C36" w:rsidRPr="00950D34" w:rsidRDefault="00AC5C36" w:rsidP="00AC5C36">
            <w:pPr>
              <w:rPr>
                <w:rFonts w:ascii="Arial Narrow" w:hAnsi="Arial Narrow"/>
                <w:sz w:val="20"/>
              </w:rPr>
            </w:pPr>
            <w:r w:rsidRPr="00950D34">
              <w:rPr>
                <w:rFonts w:ascii="Arial Narrow" w:hAnsi="Arial Narrow" w:cstheme="minorHAnsi"/>
                <w:sz w:val="20"/>
                <w:szCs w:val="20"/>
              </w:rPr>
              <w:fldChar w:fldCharType="begin">
                <w:ffData>
                  <w:name w:val=""/>
                  <w:enabled/>
                  <w:calcOnExit w:val="0"/>
                  <w:checkBox>
                    <w:sizeAuto/>
                    <w:default w:val="0"/>
                  </w:checkBox>
                </w:ffData>
              </w:fldChar>
            </w:r>
            <w:r w:rsidRPr="00950D34">
              <w:rPr>
                <w:rFonts w:ascii="Arial Narrow" w:hAnsi="Arial Narrow" w:cstheme="minorHAnsi"/>
                <w:sz w:val="20"/>
                <w:szCs w:val="20"/>
              </w:rPr>
              <w:instrText xml:space="preserve"> FORMCHECKBOX </w:instrText>
            </w:r>
            <w:r w:rsidR="00C540E8">
              <w:rPr>
                <w:rFonts w:ascii="Arial Narrow" w:hAnsi="Arial Narrow" w:cstheme="minorHAnsi"/>
                <w:sz w:val="20"/>
                <w:szCs w:val="20"/>
              </w:rPr>
            </w:r>
            <w:r w:rsidR="00C540E8">
              <w:rPr>
                <w:rFonts w:ascii="Arial Narrow" w:hAnsi="Arial Narrow" w:cstheme="minorHAnsi"/>
                <w:sz w:val="20"/>
                <w:szCs w:val="20"/>
              </w:rPr>
              <w:fldChar w:fldCharType="separate"/>
            </w:r>
            <w:r w:rsidRPr="00950D34">
              <w:rPr>
                <w:rFonts w:ascii="Arial Narrow" w:hAnsi="Arial Narrow" w:cstheme="minorHAnsi"/>
                <w:sz w:val="20"/>
                <w:szCs w:val="20"/>
              </w:rPr>
              <w:fldChar w:fldCharType="end"/>
            </w:r>
            <w:r w:rsidRPr="00950D34">
              <w:rPr>
                <w:rFonts w:ascii="Arial Narrow" w:hAnsi="Arial Narrow" w:cstheme="minorHAnsi"/>
                <w:sz w:val="20"/>
                <w:szCs w:val="20"/>
              </w:rPr>
              <w:t xml:space="preserve">Optometrists </w:t>
            </w:r>
            <w:r w:rsidRPr="00950D34">
              <w:rPr>
                <w:rFonts w:ascii="Arial Narrow" w:hAnsi="Arial Narrow" w:cstheme="minorHAnsi"/>
                <w:sz w:val="20"/>
                <w:szCs w:val="20"/>
              </w:rPr>
              <w:fldChar w:fldCharType="begin">
                <w:ffData>
                  <w:name w:val="Check5"/>
                  <w:enabled/>
                  <w:calcOnExit w:val="0"/>
                  <w:checkBox>
                    <w:sizeAuto/>
                    <w:default w:val="0"/>
                  </w:checkBox>
                </w:ffData>
              </w:fldChar>
            </w:r>
            <w:r w:rsidRPr="00950D34">
              <w:rPr>
                <w:rFonts w:ascii="Arial Narrow" w:hAnsi="Arial Narrow" w:cstheme="minorHAnsi"/>
                <w:sz w:val="20"/>
                <w:szCs w:val="20"/>
              </w:rPr>
              <w:instrText xml:space="preserve"> FORMCHECKBOX </w:instrText>
            </w:r>
            <w:r w:rsidR="00C540E8">
              <w:rPr>
                <w:rFonts w:ascii="Arial Narrow" w:hAnsi="Arial Narrow" w:cstheme="minorHAnsi"/>
                <w:sz w:val="20"/>
                <w:szCs w:val="20"/>
              </w:rPr>
            </w:r>
            <w:r w:rsidR="00C540E8">
              <w:rPr>
                <w:rFonts w:ascii="Arial Narrow" w:hAnsi="Arial Narrow" w:cstheme="minorHAnsi"/>
                <w:sz w:val="20"/>
                <w:szCs w:val="20"/>
              </w:rPr>
              <w:fldChar w:fldCharType="separate"/>
            </w:r>
            <w:r w:rsidRPr="00950D34">
              <w:rPr>
                <w:rFonts w:ascii="Arial Narrow" w:hAnsi="Arial Narrow" w:cstheme="minorHAnsi"/>
                <w:sz w:val="20"/>
                <w:szCs w:val="20"/>
              </w:rPr>
              <w:fldChar w:fldCharType="end"/>
            </w:r>
            <w:r w:rsidRPr="00950D34">
              <w:rPr>
                <w:rFonts w:ascii="Arial Narrow" w:hAnsi="Arial Narrow" w:cstheme="minorHAnsi"/>
                <w:sz w:val="20"/>
                <w:szCs w:val="20"/>
              </w:rPr>
              <w:t>Midwives</w:t>
            </w:r>
          </w:p>
          <w:p w:rsidR="00AC5C36" w:rsidRPr="00950D34" w:rsidRDefault="00AC5C36" w:rsidP="00AC5C36">
            <w:pPr>
              <w:rPr>
                <w:rFonts w:ascii="Arial Narrow" w:hAnsi="Arial Narrow"/>
                <w:sz w:val="20"/>
              </w:rPr>
            </w:pPr>
          </w:p>
        </w:tc>
      </w:tr>
      <w:tr w:rsidR="00AC5C36" w:rsidRPr="00950D34" w:rsidTr="00950D34">
        <w:tblPrEx>
          <w:tblCellMar>
            <w:left w:w="108" w:type="dxa"/>
            <w:right w:w="108" w:type="dxa"/>
          </w:tblCellMar>
        </w:tblPrEx>
        <w:trPr>
          <w:cantSplit/>
        </w:trPr>
        <w:tc>
          <w:tcPr>
            <w:tcW w:w="1868" w:type="pct"/>
            <w:gridSpan w:val="2"/>
            <w:tcBorders>
              <w:top w:val="single" w:sz="4" w:space="0" w:color="auto"/>
              <w:left w:val="single" w:sz="4" w:space="0" w:color="auto"/>
              <w:bottom w:val="single" w:sz="4" w:space="0" w:color="auto"/>
              <w:right w:val="single" w:sz="4" w:space="0" w:color="auto"/>
            </w:tcBorders>
            <w:vAlign w:val="center"/>
          </w:tcPr>
          <w:p w:rsidR="00AC5C36" w:rsidRPr="00950D34" w:rsidRDefault="00AC5C36" w:rsidP="00AC5C36">
            <w:pPr>
              <w:rPr>
                <w:rFonts w:ascii="Arial Narrow" w:hAnsi="Arial Narrow"/>
                <w:b/>
                <w:sz w:val="20"/>
              </w:rPr>
            </w:pPr>
            <w:r w:rsidRPr="00950D34">
              <w:rPr>
                <w:rFonts w:ascii="Arial Narrow" w:hAnsi="Arial Narrow"/>
                <w:b/>
                <w:sz w:val="20"/>
              </w:rPr>
              <w:t>PBS Indication:</w:t>
            </w:r>
          </w:p>
        </w:tc>
        <w:tc>
          <w:tcPr>
            <w:tcW w:w="3132" w:type="pct"/>
            <w:gridSpan w:val="4"/>
            <w:tcBorders>
              <w:top w:val="single" w:sz="4" w:space="0" w:color="auto"/>
              <w:left w:val="single" w:sz="4" w:space="0" w:color="auto"/>
              <w:bottom w:val="single" w:sz="4" w:space="0" w:color="auto"/>
              <w:right w:val="single" w:sz="4" w:space="0" w:color="auto"/>
            </w:tcBorders>
            <w:vAlign w:val="center"/>
          </w:tcPr>
          <w:p w:rsidR="00AC5C36" w:rsidRPr="00950D34" w:rsidRDefault="00AC5C36" w:rsidP="00AC5C36">
            <w:pPr>
              <w:rPr>
                <w:rFonts w:ascii="Arial Narrow" w:hAnsi="Arial Narrow"/>
                <w:sz w:val="20"/>
              </w:rPr>
            </w:pPr>
            <w:r w:rsidRPr="00950D34">
              <w:rPr>
                <w:rFonts w:ascii="Arial Narrow" w:hAnsi="Arial Narrow"/>
                <w:sz w:val="20"/>
              </w:rPr>
              <w:t>-</w:t>
            </w:r>
          </w:p>
        </w:tc>
      </w:tr>
      <w:tr w:rsidR="00AC5C36" w:rsidRPr="00950D34" w:rsidTr="00950D34">
        <w:tblPrEx>
          <w:tblCellMar>
            <w:left w:w="108" w:type="dxa"/>
            <w:right w:w="108" w:type="dxa"/>
          </w:tblCellMar>
        </w:tblPrEx>
        <w:trPr>
          <w:cantSplit/>
        </w:trPr>
        <w:tc>
          <w:tcPr>
            <w:tcW w:w="1868" w:type="pct"/>
            <w:gridSpan w:val="2"/>
            <w:tcBorders>
              <w:top w:val="single" w:sz="4" w:space="0" w:color="auto"/>
              <w:left w:val="single" w:sz="4" w:space="0" w:color="auto"/>
              <w:bottom w:val="single" w:sz="4" w:space="0" w:color="auto"/>
              <w:right w:val="single" w:sz="4" w:space="0" w:color="auto"/>
            </w:tcBorders>
            <w:vAlign w:val="center"/>
          </w:tcPr>
          <w:p w:rsidR="00AC5C36" w:rsidRPr="00950D34" w:rsidRDefault="00AC5C36" w:rsidP="00AC5C36">
            <w:pPr>
              <w:rPr>
                <w:rFonts w:ascii="Arial Narrow" w:hAnsi="Arial Narrow"/>
                <w:b/>
                <w:sz w:val="20"/>
              </w:rPr>
            </w:pPr>
            <w:r w:rsidRPr="00950D34">
              <w:rPr>
                <w:rFonts w:ascii="Arial Narrow" w:hAnsi="Arial Narrow"/>
                <w:b/>
                <w:sz w:val="20"/>
              </w:rPr>
              <w:t>Restriction:</w:t>
            </w:r>
          </w:p>
          <w:p w:rsidR="00AC5C36" w:rsidRPr="00950D34" w:rsidRDefault="00AC5C36" w:rsidP="00AC5C36">
            <w:pPr>
              <w:rPr>
                <w:rFonts w:ascii="Arial Narrow" w:hAnsi="Arial Narrow"/>
                <w:b/>
                <w:sz w:val="20"/>
              </w:rPr>
            </w:pPr>
          </w:p>
        </w:tc>
        <w:tc>
          <w:tcPr>
            <w:tcW w:w="3132" w:type="pct"/>
            <w:gridSpan w:val="4"/>
            <w:tcBorders>
              <w:top w:val="single" w:sz="4" w:space="0" w:color="auto"/>
              <w:left w:val="single" w:sz="4" w:space="0" w:color="auto"/>
              <w:bottom w:val="single" w:sz="4" w:space="0" w:color="auto"/>
              <w:right w:val="single" w:sz="4" w:space="0" w:color="auto"/>
            </w:tcBorders>
            <w:vAlign w:val="center"/>
          </w:tcPr>
          <w:p w:rsidR="00AC5C36" w:rsidRPr="00950D34" w:rsidRDefault="00AC5C36" w:rsidP="00950D34">
            <w:pPr>
              <w:spacing w:line="276" w:lineRule="auto"/>
              <w:rPr>
                <w:rFonts w:ascii="Arial Narrow" w:hAnsi="Arial Narrow" w:cstheme="minorHAnsi"/>
                <w:sz w:val="20"/>
                <w:szCs w:val="20"/>
              </w:rPr>
            </w:pPr>
            <w:r w:rsidRPr="00950D34">
              <w:rPr>
                <w:rFonts w:ascii="Arial Narrow" w:hAnsi="Arial Narrow" w:cstheme="minorHAnsi"/>
                <w:sz w:val="20"/>
                <w:szCs w:val="20"/>
              </w:rPr>
              <w:fldChar w:fldCharType="begin">
                <w:ffData>
                  <w:name w:val=""/>
                  <w:enabled/>
                  <w:calcOnExit w:val="0"/>
                  <w:checkBox>
                    <w:sizeAuto/>
                    <w:default w:val="1"/>
                  </w:checkBox>
                </w:ffData>
              </w:fldChar>
            </w:r>
            <w:r w:rsidRPr="00950D34">
              <w:rPr>
                <w:rFonts w:ascii="Arial Narrow" w:hAnsi="Arial Narrow" w:cstheme="minorHAnsi"/>
                <w:sz w:val="20"/>
                <w:szCs w:val="20"/>
              </w:rPr>
              <w:instrText xml:space="preserve"> FORMCHECKBOX </w:instrText>
            </w:r>
            <w:r w:rsidR="00C540E8">
              <w:rPr>
                <w:rFonts w:ascii="Arial Narrow" w:hAnsi="Arial Narrow" w:cstheme="minorHAnsi"/>
                <w:sz w:val="20"/>
                <w:szCs w:val="20"/>
              </w:rPr>
            </w:r>
            <w:r w:rsidR="00C540E8">
              <w:rPr>
                <w:rFonts w:ascii="Arial Narrow" w:hAnsi="Arial Narrow" w:cstheme="minorHAnsi"/>
                <w:sz w:val="20"/>
                <w:szCs w:val="20"/>
              </w:rPr>
              <w:fldChar w:fldCharType="separate"/>
            </w:r>
            <w:r w:rsidRPr="00950D34">
              <w:rPr>
                <w:rFonts w:ascii="Arial Narrow" w:hAnsi="Arial Narrow" w:cstheme="minorHAnsi"/>
                <w:sz w:val="20"/>
                <w:szCs w:val="20"/>
              </w:rPr>
              <w:fldChar w:fldCharType="end"/>
            </w:r>
            <w:r w:rsidRPr="00950D34">
              <w:rPr>
                <w:rFonts w:ascii="Arial Narrow" w:hAnsi="Arial Narrow" w:cstheme="minorHAnsi"/>
                <w:sz w:val="20"/>
                <w:szCs w:val="20"/>
              </w:rPr>
              <w:t xml:space="preserve"> Unrestricted benefit</w:t>
            </w:r>
          </w:p>
          <w:p w:rsidR="00AC5C36" w:rsidRPr="00950D34" w:rsidRDefault="00AC5C36" w:rsidP="00950D34">
            <w:pPr>
              <w:spacing w:line="276" w:lineRule="auto"/>
              <w:rPr>
                <w:rFonts w:ascii="Arial Narrow" w:hAnsi="Arial Narrow" w:cstheme="minorHAnsi"/>
                <w:sz w:val="20"/>
                <w:szCs w:val="20"/>
              </w:rPr>
            </w:pPr>
            <w:r w:rsidRPr="00950D34">
              <w:rPr>
                <w:rFonts w:ascii="Arial Narrow" w:hAnsi="Arial Narrow" w:cstheme="minorHAnsi"/>
                <w:sz w:val="20"/>
                <w:szCs w:val="20"/>
              </w:rPr>
              <w:fldChar w:fldCharType="begin">
                <w:ffData>
                  <w:name w:val=""/>
                  <w:enabled/>
                  <w:calcOnExit w:val="0"/>
                  <w:checkBox>
                    <w:sizeAuto/>
                    <w:default w:val="0"/>
                  </w:checkBox>
                </w:ffData>
              </w:fldChar>
            </w:r>
            <w:r w:rsidRPr="00950D34">
              <w:rPr>
                <w:rFonts w:ascii="Arial Narrow" w:hAnsi="Arial Narrow" w:cstheme="minorHAnsi"/>
                <w:sz w:val="20"/>
                <w:szCs w:val="20"/>
              </w:rPr>
              <w:instrText xml:space="preserve"> FORMCHECKBOX </w:instrText>
            </w:r>
            <w:r w:rsidR="00C540E8">
              <w:rPr>
                <w:rFonts w:ascii="Arial Narrow" w:hAnsi="Arial Narrow" w:cstheme="minorHAnsi"/>
                <w:sz w:val="20"/>
                <w:szCs w:val="20"/>
              </w:rPr>
            </w:r>
            <w:r w:rsidR="00C540E8">
              <w:rPr>
                <w:rFonts w:ascii="Arial Narrow" w:hAnsi="Arial Narrow" w:cstheme="minorHAnsi"/>
                <w:sz w:val="20"/>
                <w:szCs w:val="20"/>
              </w:rPr>
              <w:fldChar w:fldCharType="separate"/>
            </w:r>
            <w:r w:rsidRPr="00950D34">
              <w:rPr>
                <w:rFonts w:ascii="Arial Narrow" w:hAnsi="Arial Narrow" w:cstheme="minorHAnsi"/>
                <w:sz w:val="20"/>
                <w:szCs w:val="20"/>
              </w:rPr>
              <w:fldChar w:fldCharType="end"/>
            </w:r>
            <w:r w:rsidRPr="00950D34">
              <w:rPr>
                <w:rFonts w:ascii="Arial Narrow" w:hAnsi="Arial Narrow" w:cstheme="minorHAnsi"/>
                <w:sz w:val="20"/>
                <w:szCs w:val="20"/>
              </w:rPr>
              <w:t>Authority Required - In Writing</w:t>
            </w:r>
          </w:p>
          <w:p w:rsidR="00AC5C36" w:rsidRPr="00950D34" w:rsidRDefault="00AC5C36" w:rsidP="00950D34">
            <w:pPr>
              <w:spacing w:line="276" w:lineRule="auto"/>
              <w:rPr>
                <w:rFonts w:ascii="Arial Narrow" w:hAnsi="Arial Narrow" w:cstheme="minorHAnsi"/>
                <w:sz w:val="20"/>
                <w:szCs w:val="20"/>
              </w:rPr>
            </w:pPr>
            <w:r w:rsidRPr="00950D34">
              <w:rPr>
                <w:rFonts w:ascii="Arial Narrow" w:hAnsi="Arial Narrow" w:cstheme="minorHAnsi"/>
                <w:sz w:val="20"/>
                <w:szCs w:val="20"/>
              </w:rPr>
              <w:fldChar w:fldCharType="begin">
                <w:ffData>
                  <w:name w:val="Check3"/>
                  <w:enabled/>
                  <w:calcOnExit w:val="0"/>
                  <w:checkBox>
                    <w:sizeAuto/>
                    <w:default w:val="0"/>
                  </w:checkBox>
                </w:ffData>
              </w:fldChar>
            </w:r>
            <w:r w:rsidRPr="00950D34">
              <w:rPr>
                <w:rFonts w:ascii="Arial Narrow" w:hAnsi="Arial Narrow" w:cstheme="minorHAnsi"/>
                <w:sz w:val="20"/>
                <w:szCs w:val="20"/>
              </w:rPr>
              <w:instrText xml:space="preserve"> FORMCHECKBOX </w:instrText>
            </w:r>
            <w:r w:rsidR="00C540E8">
              <w:rPr>
                <w:rFonts w:ascii="Arial Narrow" w:hAnsi="Arial Narrow" w:cstheme="minorHAnsi"/>
                <w:sz w:val="20"/>
                <w:szCs w:val="20"/>
              </w:rPr>
            </w:r>
            <w:r w:rsidR="00C540E8">
              <w:rPr>
                <w:rFonts w:ascii="Arial Narrow" w:hAnsi="Arial Narrow" w:cstheme="minorHAnsi"/>
                <w:sz w:val="20"/>
                <w:szCs w:val="20"/>
              </w:rPr>
              <w:fldChar w:fldCharType="separate"/>
            </w:r>
            <w:r w:rsidRPr="00950D34">
              <w:rPr>
                <w:rFonts w:ascii="Arial Narrow" w:hAnsi="Arial Narrow" w:cstheme="minorHAnsi"/>
                <w:sz w:val="20"/>
                <w:szCs w:val="20"/>
              </w:rPr>
              <w:fldChar w:fldCharType="end"/>
            </w:r>
            <w:r w:rsidRPr="00950D34">
              <w:rPr>
                <w:rFonts w:ascii="Arial Narrow" w:hAnsi="Arial Narrow" w:cstheme="minorHAnsi"/>
                <w:sz w:val="20"/>
                <w:szCs w:val="20"/>
              </w:rPr>
              <w:t>Authority Required - Telephone</w:t>
            </w:r>
          </w:p>
          <w:p w:rsidR="00AC5C36" w:rsidRPr="00950D34" w:rsidRDefault="00AC5C36" w:rsidP="00950D34">
            <w:pPr>
              <w:spacing w:line="276" w:lineRule="auto"/>
              <w:rPr>
                <w:rFonts w:ascii="Arial Narrow" w:hAnsi="Arial Narrow" w:cstheme="minorHAnsi"/>
                <w:sz w:val="20"/>
                <w:szCs w:val="20"/>
              </w:rPr>
            </w:pPr>
            <w:r w:rsidRPr="00950D34">
              <w:rPr>
                <w:rFonts w:ascii="Arial Narrow" w:hAnsi="Arial Narrow" w:cstheme="minorHAnsi"/>
                <w:sz w:val="20"/>
                <w:szCs w:val="20"/>
              </w:rPr>
              <w:fldChar w:fldCharType="begin">
                <w:ffData>
                  <w:name w:val=""/>
                  <w:enabled/>
                  <w:calcOnExit w:val="0"/>
                  <w:checkBox>
                    <w:sizeAuto/>
                    <w:default w:val="0"/>
                  </w:checkBox>
                </w:ffData>
              </w:fldChar>
            </w:r>
            <w:r w:rsidRPr="00950D34">
              <w:rPr>
                <w:rFonts w:ascii="Arial Narrow" w:hAnsi="Arial Narrow" w:cstheme="minorHAnsi"/>
                <w:sz w:val="20"/>
                <w:szCs w:val="20"/>
              </w:rPr>
              <w:instrText xml:space="preserve"> FORMCHECKBOX </w:instrText>
            </w:r>
            <w:r w:rsidR="00C540E8">
              <w:rPr>
                <w:rFonts w:ascii="Arial Narrow" w:hAnsi="Arial Narrow" w:cstheme="minorHAnsi"/>
                <w:sz w:val="20"/>
                <w:szCs w:val="20"/>
              </w:rPr>
            </w:r>
            <w:r w:rsidR="00C540E8">
              <w:rPr>
                <w:rFonts w:ascii="Arial Narrow" w:hAnsi="Arial Narrow" w:cstheme="minorHAnsi"/>
                <w:sz w:val="20"/>
                <w:szCs w:val="20"/>
              </w:rPr>
              <w:fldChar w:fldCharType="separate"/>
            </w:r>
            <w:r w:rsidRPr="00950D34">
              <w:rPr>
                <w:rFonts w:ascii="Arial Narrow" w:hAnsi="Arial Narrow" w:cstheme="minorHAnsi"/>
                <w:sz w:val="20"/>
                <w:szCs w:val="20"/>
              </w:rPr>
              <w:fldChar w:fldCharType="end"/>
            </w:r>
            <w:r w:rsidRPr="00950D34">
              <w:rPr>
                <w:rFonts w:ascii="Arial Narrow" w:hAnsi="Arial Narrow" w:cstheme="minorHAnsi"/>
                <w:sz w:val="20"/>
                <w:szCs w:val="20"/>
              </w:rPr>
              <w:t>Authority Required – Emergency</w:t>
            </w:r>
          </w:p>
          <w:p w:rsidR="00AC5C36" w:rsidRPr="00950D34" w:rsidRDefault="00AC5C36" w:rsidP="00950D34">
            <w:pPr>
              <w:spacing w:line="276" w:lineRule="auto"/>
              <w:rPr>
                <w:rFonts w:ascii="Arial Narrow" w:hAnsi="Arial Narrow" w:cstheme="minorHAnsi"/>
                <w:sz w:val="20"/>
                <w:szCs w:val="20"/>
              </w:rPr>
            </w:pPr>
            <w:r w:rsidRPr="00950D34">
              <w:rPr>
                <w:rFonts w:ascii="Arial Narrow" w:hAnsi="Arial Narrow" w:cstheme="minorHAnsi"/>
                <w:sz w:val="20"/>
                <w:szCs w:val="20"/>
              </w:rPr>
              <w:fldChar w:fldCharType="begin">
                <w:ffData>
                  <w:name w:val="Check5"/>
                  <w:enabled/>
                  <w:calcOnExit w:val="0"/>
                  <w:checkBox>
                    <w:sizeAuto/>
                    <w:default w:val="0"/>
                  </w:checkBox>
                </w:ffData>
              </w:fldChar>
            </w:r>
            <w:r w:rsidRPr="00950D34">
              <w:rPr>
                <w:rFonts w:ascii="Arial Narrow" w:hAnsi="Arial Narrow" w:cstheme="minorHAnsi"/>
                <w:sz w:val="20"/>
                <w:szCs w:val="20"/>
              </w:rPr>
              <w:instrText xml:space="preserve"> FORMCHECKBOX </w:instrText>
            </w:r>
            <w:r w:rsidR="00C540E8">
              <w:rPr>
                <w:rFonts w:ascii="Arial Narrow" w:hAnsi="Arial Narrow" w:cstheme="minorHAnsi"/>
                <w:sz w:val="20"/>
                <w:szCs w:val="20"/>
              </w:rPr>
            </w:r>
            <w:r w:rsidR="00C540E8">
              <w:rPr>
                <w:rFonts w:ascii="Arial Narrow" w:hAnsi="Arial Narrow" w:cstheme="minorHAnsi"/>
                <w:sz w:val="20"/>
                <w:szCs w:val="20"/>
              </w:rPr>
              <w:fldChar w:fldCharType="separate"/>
            </w:r>
            <w:r w:rsidRPr="00950D34">
              <w:rPr>
                <w:rFonts w:ascii="Arial Narrow" w:hAnsi="Arial Narrow" w:cstheme="minorHAnsi"/>
                <w:sz w:val="20"/>
                <w:szCs w:val="20"/>
              </w:rPr>
              <w:fldChar w:fldCharType="end"/>
            </w:r>
            <w:r w:rsidRPr="00950D34">
              <w:rPr>
                <w:rFonts w:ascii="Arial Narrow" w:hAnsi="Arial Narrow" w:cstheme="minorHAnsi"/>
                <w:sz w:val="20"/>
                <w:szCs w:val="20"/>
              </w:rPr>
              <w:t>Authority Required - Electronic</w:t>
            </w:r>
          </w:p>
          <w:p w:rsidR="00AC5C36" w:rsidRPr="00950D34" w:rsidRDefault="00AC5C36" w:rsidP="00950D34">
            <w:pPr>
              <w:spacing w:line="276" w:lineRule="auto"/>
              <w:rPr>
                <w:rFonts w:ascii="Arial Narrow" w:hAnsi="Arial Narrow"/>
                <w:sz w:val="20"/>
              </w:rPr>
            </w:pPr>
            <w:r w:rsidRPr="00950D34">
              <w:rPr>
                <w:rFonts w:ascii="Arial Narrow" w:hAnsi="Arial Narrow" w:cstheme="minorHAnsi"/>
                <w:sz w:val="20"/>
                <w:szCs w:val="20"/>
              </w:rPr>
              <w:fldChar w:fldCharType="begin">
                <w:ffData>
                  <w:name w:val="Check5"/>
                  <w:enabled/>
                  <w:calcOnExit w:val="0"/>
                  <w:checkBox>
                    <w:sizeAuto/>
                    <w:default w:val="0"/>
                  </w:checkBox>
                </w:ffData>
              </w:fldChar>
            </w:r>
            <w:r w:rsidRPr="00950D34">
              <w:rPr>
                <w:rFonts w:ascii="Arial Narrow" w:hAnsi="Arial Narrow" w:cstheme="minorHAnsi"/>
                <w:sz w:val="20"/>
                <w:szCs w:val="20"/>
              </w:rPr>
              <w:instrText xml:space="preserve"> FORMCHECKBOX </w:instrText>
            </w:r>
            <w:r w:rsidR="00C540E8">
              <w:rPr>
                <w:rFonts w:ascii="Arial Narrow" w:hAnsi="Arial Narrow" w:cstheme="minorHAnsi"/>
                <w:sz w:val="20"/>
                <w:szCs w:val="20"/>
              </w:rPr>
            </w:r>
            <w:r w:rsidR="00C540E8">
              <w:rPr>
                <w:rFonts w:ascii="Arial Narrow" w:hAnsi="Arial Narrow" w:cstheme="minorHAnsi"/>
                <w:sz w:val="20"/>
                <w:szCs w:val="20"/>
              </w:rPr>
              <w:fldChar w:fldCharType="separate"/>
            </w:r>
            <w:r w:rsidRPr="00950D34">
              <w:rPr>
                <w:rFonts w:ascii="Arial Narrow" w:hAnsi="Arial Narrow" w:cstheme="minorHAnsi"/>
                <w:sz w:val="20"/>
                <w:szCs w:val="20"/>
              </w:rPr>
              <w:fldChar w:fldCharType="end"/>
            </w:r>
            <w:r w:rsidRPr="00950D34">
              <w:rPr>
                <w:rFonts w:ascii="Arial Narrow" w:hAnsi="Arial Narrow" w:cstheme="minorHAnsi"/>
                <w:sz w:val="20"/>
                <w:szCs w:val="20"/>
              </w:rPr>
              <w:t>Streamlined</w:t>
            </w:r>
          </w:p>
        </w:tc>
      </w:tr>
    </w:tbl>
    <w:p w:rsidR="00501236" w:rsidRPr="00C07617" w:rsidRDefault="00501236" w:rsidP="006724DB">
      <w:pPr>
        <w:pStyle w:val="Heading1"/>
        <w:keepNext/>
        <w:keepLines/>
        <w:widowControl/>
        <w:numPr>
          <w:ilvl w:val="0"/>
          <w:numId w:val="14"/>
        </w:numPr>
        <w:spacing w:before="240" w:after="120"/>
        <w:ind w:left="709" w:hanging="709"/>
        <w:contextualSpacing w:val="0"/>
        <w:jc w:val="left"/>
        <w:rPr>
          <w:rFonts w:asciiTheme="minorHAnsi" w:hAnsiTheme="minorHAnsi"/>
          <w:b w:val="0"/>
          <w:sz w:val="32"/>
        </w:rPr>
      </w:pPr>
      <w:r w:rsidRPr="00501236">
        <w:rPr>
          <w:rFonts w:asciiTheme="minorHAnsi" w:hAnsiTheme="minorHAnsi" w:cstheme="minorHAnsi"/>
          <w:sz w:val="32"/>
          <w:szCs w:val="32"/>
        </w:rPr>
        <w:t>Context</w:t>
      </w:r>
      <w:r w:rsidRPr="00C07617">
        <w:rPr>
          <w:rFonts w:asciiTheme="minorHAnsi" w:hAnsiTheme="minorHAnsi"/>
          <w:sz w:val="32"/>
        </w:rPr>
        <w:t xml:space="preserve"> for Decision</w:t>
      </w:r>
    </w:p>
    <w:p w:rsidR="00501236" w:rsidRPr="008929C5" w:rsidRDefault="00501236" w:rsidP="008929C5">
      <w:pPr>
        <w:widowControl w:val="0"/>
        <w:spacing w:after="120"/>
        <w:ind w:left="720"/>
        <w:jc w:val="both"/>
        <w:rPr>
          <w:rFonts w:asciiTheme="minorHAnsi" w:hAnsiTheme="minorHAnsi" w:cstheme="minorHAnsi"/>
          <w:bCs/>
          <w:snapToGrid w:val="0"/>
        </w:rPr>
      </w:pPr>
      <w:r w:rsidRPr="008929C5">
        <w:rPr>
          <w:rFonts w:asciiTheme="minorHAnsi" w:hAnsiTheme="minorHAnsi" w:cstheme="minorHAnsi"/>
          <w:bCs/>
          <w:snapToGrid w:val="0"/>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01236" w:rsidRPr="00323773" w:rsidRDefault="00501236" w:rsidP="00323773">
      <w:pPr>
        <w:pStyle w:val="PBACHeading1"/>
        <w:spacing w:before="240" w:after="120"/>
        <w:ind w:left="709" w:hanging="709"/>
        <w:rPr>
          <w:rFonts w:asciiTheme="minorHAnsi" w:hAnsiTheme="minorHAnsi" w:cstheme="minorHAnsi"/>
          <w:sz w:val="32"/>
          <w:szCs w:val="32"/>
        </w:rPr>
      </w:pPr>
      <w:r w:rsidRPr="00323773">
        <w:rPr>
          <w:rFonts w:asciiTheme="minorHAnsi" w:hAnsiTheme="minorHAnsi" w:cstheme="minorHAnsi"/>
          <w:sz w:val="32"/>
          <w:szCs w:val="32"/>
        </w:rPr>
        <w:t xml:space="preserve">Sponsor’s </w:t>
      </w:r>
      <w:r w:rsidRPr="00501236">
        <w:rPr>
          <w:rFonts w:asciiTheme="minorHAnsi" w:hAnsiTheme="minorHAnsi" w:cstheme="minorHAnsi"/>
          <w:sz w:val="32"/>
          <w:szCs w:val="32"/>
        </w:rPr>
        <w:t>Comment</w:t>
      </w:r>
    </w:p>
    <w:p w:rsidR="00501236" w:rsidRPr="008929C5" w:rsidRDefault="00501236" w:rsidP="008929C5">
      <w:pPr>
        <w:widowControl w:val="0"/>
        <w:spacing w:after="120"/>
        <w:ind w:left="720"/>
        <w:jc w:val="both"/>
        <w:rPr>
          <w:rFonts w:asciiTheme="minorHAnsi" w:hAnsiTheme="minorHAnsi" w:cstheme="minorHAnsi"/>
          <w:bCs/>
          <w:snapToGrid w:val="0"/>
        </w:rPr>
      </w:pPr>
      <w:r w:rsidRPr="008929C5">
        <w:rPr>
          <w:rFonts w:asciiTheme="minorHAnsi" w:hAnsiTheme="minorHAnsi" w:cstheme="minorHAnsi"/>
          <w:bCs/>
          <w:snapToGrid w:val="0"/>
        </w:rPr>
        <w:t>The sponsor had no comment.</w:t>
      </w:r>
    </w:p>
    <w:sectPr w:rsidR="00501236" w:rsidRPr="008929C5"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B97" w:rsidRDefault="00582B97">
      <w:r>
        <w:separator/>
      </w:r>
    </w:p>
    <w:p w:rsidR="00582B97" w:rsidRDefault="00582B97"/>
  </w:endnote>
  <w:endnote w:type="continuationSeparator" w:id="0">
    <w:p w:rsidR="00582B97" w:rsidRDefault="00582B97">
      <w:r>
        <w:continuationSeparator/>
      </w:r>
    </w:p>
    <w:p w:rsidR="00582B97" w:rsidRDefault="00582B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52886" w:rsidTr="005A3173">
      <w:trPr>
        <w:trHeight w:val="151"/>
      </w:trPr>
      <w:tc>
        <w:tcPr>
          <w:tcW w:w="2250" w:type="pct"/>
          <w:tcBorders>
            <w:top w:val="nil"/>
            <w:left w:val="nil"/>
            <w:bottom w:val="single" w:sz="4" w:space="0" w:color="4F81BD"/>
            <w:right w:val="nil"/>
          </w:tcBorders>
        </w:tcPr>
        <w:p w:rsidR="00E52886" w:rsidRPr="005A3173" w:rsidRDefault="00E5288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52886" w:rsidRPr="005A3173" w:rsidRDefault="00E5288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52886" w:rsidRPr="005A3173" w:rsidRDefault="00E52886" w:rsidP="005A3173">
          <w:pPr>
            <w:pStyle w:val="Header"/>
            <w:spacing w:line="276" w:lineRule="auto"/>
            <w:rPr>
              <w:rFonts w:ascii="Calibri" w:eastAsia="MS Gothic" w:hAnsi="Calibri"/>
              <w:b/>
              <w:bCs/>
              <w:color w:val="4F81BD"/>
            </w:rPr>
          </w:pPr>
        </w:p>
      </w:tc>
    </w:tr>
    <w:tr w:rsidR="00E52886" w:rsidTr="005A3173">
      <w:trPr>
        <w:trHeight w:val="150"/>
      </w:trPr>
      <w:tc>
        <w:tcPr>
          <w:tcW w:w="2250" w:type="pct"/>
          <w:tcBorders>
            <w:top w:val="single" w:sz="4" w:space="0" w:color="4F81BD"/>
            <w:left w:val="nil"/>
            <w:bottom w:val="nil"/>
            <w:right w:val="nil"/>
          </w:tcBorders>
        </w:tcPr>
        <w:p w:rsidR="00E52886" w:rsidRPr="005A3173" w:rsidRDefault="00E52886" w:rsidP="005A3173">
          <w:pPr>
            <w:pStyle w:val="Header"/>
            <w:spacing w:line="276" w:lineRule="auto"/>
            <w:rPr>
              <w:rFonts w:ascii="Calibri" w:eastAsia="MS Gothic" w:hAnsi="Calibri"/>
              <w:b/>
              <w:bCs/>
              <w:color w:val="4F81BD"/>
            </w:rPr>
          </w:pPr>
        </w:p>
      </w:tc>
      <w:tc>
        <w:tcPr>
          <w:tcW w:w="0" w:type="auto"/>
          <w:vMerge/>
          <w:vAlign w:val="center"/>
          <w:hideMark/>
        </w:tcPr>
        <w:p w:rsidR="00E52886" w:rsidRPr="005A3173" w:rsidRDefault="00E52886" w:rsidP="005A3173">
          <w:pPr>
            <w:rPr>
              <w:rFonts w:ascii="Calibri" w:hAnsi="Calibri"/>
              <w:color w:val="365F91"/>
              <w:sz w:val="22"/>
              <w:szCs w:val="22"/>
            </w:rPr>
          </w:pPr>
        </w:p>
      </w:tc>
      <w:tc>
        <w:tcPr>
          <w:tcW w:w="2250" w:type="pct"/>
          <w:tcBorders>
            <w:top w:val="single" w:sz="4" w:space="0" w:color="4F81BD"/>
            <w:left w:val="nil"/>
            <w:bottom w:val="nil"/>
            <w:right w:val="nil"/>
          </w:tcBorders>
        </w:tcPr>
        <w:p w:rsidR="00E52886" w:rsidRPr="005A3173" w:rsidRDefault="00E52886" w:rsidP="005A3173">
          <w:pPr>
            <w:pStyle w:val="Header"/>
            <w:spacing w:line="276" w:lineRule="auto"/>
            <w:rPr>
              <w:rFonts w:ascii="Calibri" w:eastAsia="MS Gothic" w:hAnsi="Calibri"/>
              <w:b/>
              <w:bCs/>
              <w:color w:val="4F81BD"/>
            </w:rPr>
          </w:pPr>
        </w:p>
      </w:tc>
    </w:tr>
  </w:tbl>
  <w:p w:rsidR="00E52886" w:rsidRDefault="00E52886"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2886" w:rsidRDefault="00E52886">
    <w:pPr>
      <w:pStyle w:val="Footer"/>
    </w:pPr>
  </w:p>
  <w:p w:rsidR="00E52886" w:rsidRDefault="00E5288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377516"/>
      <w:docPartObj>
        <w:docPartGallery w:val="Page Numbers (Bottom of Page)"/>
        <w:docPartUnique/>
      </w:docPartObj>
    </w:sdtPr>
    <w:sdtEndPr>
      <w:rPr>
        <w:rFonts w:asciiTheme="minorHAnsi" w:hAnsiTheme="minorHAnsi" w:cstheme="minorHAnsi"/>
        <w:b/>
        <w:noProof/>
      </w:rPr>
    </w:sdtEndPr>
    <w:sdtContent>
      <w:p w:rsidR="00E52886" w:rsidRPr="00323773" w:rsidRDefault="00E52886" w:rsidP="00323773">
        <w:pPr>
          <w:pStyle w:val="Footer"/>
          <w:jc w:val="center"/>
          <w:rPr>
            <w:rFonts w:asciiTheme="minorHAnsi" w:hAnsiTheme="minorHAnsi" w:cstheme="minorHAnsi"/>
            <w:b/>
          </w:rPr>
        </w:pPr>
        <w:r w:rsidRPr="00950D34">
          <w:rPr>
            <w:rFonts w:asciiTheme="minorHAnsi" w:hAnsiTheme="minorHAnsi" w:cstheme="minorHAnsi"/>
            <w:b/>
          </w:rPr>
          <w:fldChar w:fldCharType="begin"/>
        </w:r>
        <w:r w:rsidRPr="00950D34">
          <w:rPr>
            <w:rFonts w:asciiTheme="minorHAnsi" w:hAnsiTheme="minorHAnsi" w:cstheme="minorHAnsi"/>
            <w:b/>
          </w:rPr>
          <w:instrText xml:space="preserve"> PAGE   \* MERGEFORMAT </w:instrText>
        </w:r>
        <w:r w:rsidRPr="00950D34">
          <w:rPr>
            <w:rFonts w:asciiTheme="minorHAnsi" w:hAnsiTheme="minorHAnsi" w:cstheme="minorHAnsi"/>
            <w:b/>
          </w:rPr>
          <w:fldChar w:fldCharType="separate"/>
        </w:r>
        <w:r w:rsidR="00C540E8">
          <w:rPr>
            <w:rFonts w:asciiTheme="minorHAnsi" w:hAnsiTheme="minorHAnsi" w:cstheme="minorHAnsi"/>
            <w:b/>
            <w:noProof/>
          </w:rPr>
          <w:t>9</w:t>
        </w:r>
        <w:r w:rsidRPr="00950D34">
          <w:rPr>
            <w:rFonts w:asciiTheme="minorHAnsi" w:hAnsiTheme="minorHAnsi" w:cstheme="minorHAnsi"/>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E52886" w:rsidTr="005A3173">
      <w:trPr>
        <w:trHeight w:val="151"/>
      </w:trPr>
      <w:tc>
        <w:tcPr>
          <w:tcW w:w="2250" w:type="pct"/>
          <w:tcBorders>
            <w:top w:val="nil"/>
            <w:left w:val="nil"/>
            <w:bottom w:val="single" w:sz="4" w:space="0" w:color="4F81BD"/>
            <w:right w:val="nil"/>
          </w:tcBorders>
        </w:tcPr>
        <w:p w:rsidR="00E52886" w:rsidRPr="005A3173" w:rsidRDefault="00E5288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52886" w:rsidRPr="005A3173" w:rsidRDefault="00E5288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52886" w:rsidRPr="005A3173" w:rsidRDefault="00E52886" w:rsidP="005A3173">
          <w:pPr>
            <w:pStyle w:val="Header"/>
            <w:spacing w:line="276" w:lineRule="auto"/>
            <w:rPr>
              <w:rFonts w:ascii="Calibri" w:eastAsia="MS Gothic" w:hAnsi="Calibri"/>
              <w:b/>
              <w:bCs/>
              <w:color w:val="4F81BD"/>
            </w:rPr>
          </w:pPr>
        </w:p>
      </w:tc>
    </w:tr>
    <w:tr w:rsidR="00E52886" w:rsidTr="005A3173">
      <w:trPr>
        <w:trHeight w:val="150"/>
      </w:trPr>
      <w:tc>
        <w:tcPr>
          <w:tcW w:w="2250" w:type="pct"/>
          <w:tcBorders>
            <w:top w:val="single" w:sz="4" w:space="0" w:color="4F81BD"/>
            <w:left w:val="nil"/>
            <w:bottom w:val="nil"/>
            <w:right w:val="nil"/>
          </w:tcBorders>
        </w:tcPr>
        <w:p w:rsidR="00E52886" w:rsidRPr="005A3173" w:rsidRDefault="00E52886" w:rsidP="005A3173">
          <w:pPr>
            <w:pStyle w:val="Header"/>
            <w:spacing w:line="276" w:lineRule="auto"/>
            <w:rPr>
              <w:rFonts w:ascii="Calibri" w:eastAsia="MS Gothic" w:hAnsi="Calibri"/>
              <w:b/>
              <w:bCs/>
              <w:color w:val="4F81BD"/>
            </w:rPr>
          </w:pPr>
        </w:p>
      </w:tc>
      <w:tc>
        <w:tcPr>
          <w:tcW w:w="0" w:type="auto"/>
          <w:vMerge/>
          <w:vAlign w:val="center"/>
          <w:hideMark/>
        </w:tcPr>
        <w:p w:rsidR="00E52886" w:rsidRPr="005A3173" w:rsidRDefault="00E52886" w:rsidP="005A3173">
          <w:pPr>
            <w:rPr>
              <w:rFonts w:ascii="Calibri" w:hAnsi="Calibri"/>
              <w:color w:val="365F91"/>
              <w:sz w:val="22"/>
              <w:szCs w:val="22"/>
            </w:rPr>
          </w:pPr>
        </w:p>
      </w:tc>
      <w:tc>
        <w:tcPr>
          <w:tcW w:w="2250" w:type="pct"/>
          <w:tcBorders>
            <w:top w:val="single" w:sz="4" w:space="0" w:color="4F81BD"/>
            <w:left w:val="nil"/>
            <w:bottom w:val="nil"/>
            <w:right w:val="nil"/>
          </w:tcBorders>
        </w:tcPr>
        <w:p w:rsidR="00E52886" w:rsidRPr="005A3173" w:rsidRDefault="00E52886"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52886" w:rsidTr="005A3173">
      <w:trPr>
        <w:trHeight w:val="151"/>
      </w:trPr>
      <w:tc>
        <w:tcPr>
          <w:tcW w:w="2250" w:type="pct"/>
          <w:tcBorders>
            <w:top w:val="nil"/>
            <w:left w:val="nil"/>
            <w:bottom w:val="single" w:sz="4" w:space="0" w:color="4F81BD"/>
            <w:right w:val="nil"/>
          </w:tcBorders>
        </w:tcPr>
        <w:p w:rsidR="00E52886" w:rsidRPr="005A3173" w:rsidRDefault="00E5288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52886" w:rsidRPr="005A3173" w:rsidRDefault="00E5288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52886" w:rsidRPr="005A3173" w:rsidRDefault="00E52886" w:rsidP="005A3173">
          <w:pPr>
            <w:pStyle w:val="Header"/>
            <w:spacing w:line="276" w:lineRule="auto"/>
            <w:rPr>
              <w:rFonts w:ascii="Calibri" w:eastAsia="MS Gothic" w:hAnsi="Calibri"/>
              <w:b/>
              <w:bCs/>
              <w:color w:val="4F81BD"/>
            </w:rPr>
          </w:pPr>
        </w:p>
      </w:tc>
    </w:tr>
    <w:tr w:rsidR="00E52886" w:rsidTr="005A3173">
      <w:trPr>
        <w:trHeight w:val="150"/>
      </w:trPr>
      <w:tc>
        <w:tcPr>
          <w:tcW w:w="2250" w:type="pct"/>
          <w:tcBorders>
            <w:top w:val="single" w:sz="4" w:space="0" w:color="4F81BD"/>
            <w:left w:val="nil"/>
            <w:bottom w:val="nil"/>
            <w:right w:val="nil"/>
          </w:tcBorders>
        </w:tcPr>
        <w:p w:rsidR="00E52886" w:rsidRPr="005A3173" w:rsidRDefault="00E52886" w:rsidP="005A3173">
          <w:pPr>
            <w:pStyle w:val="Header"/>
            <w:spacing w:line="276" w:lineRule="auto"/>
            <w:rPr>
              <w:rFonts w:ascii="Calibri" w:eastAsia="MS Gothic" w:hAnsi="Calibri"/>
              <w:b/>
              <w:bCs/>
              <w:color w:val="4F81BD"/>
            </w:rPr>
          </w:pPr>
        </w:p>
      </w:tc>
      <w:tc>
        <w:tcPr>
          <w:tcW w:w="0" w:type="auto"/>
          <w:vMerge/>
          <w:vAlign w:val="center"/>
          <w:hideMark/>
        </w:tcPr>
        <w:p w:rsidR="00E52886" w:rsidRPr="005A3173" w:rsidRDefault="00E52886" w:rsidP="005A3173">
          <w:pPr>
            <w:rPr>
              <w:rFonts w:ascii="Calibri" w:hAnsi="Calibri"/>
              <w:color w:val="365F91"/>
              <w:sz w:val="22"/>
              <w:szCs w:val="22"/>
            </w:rPr>
          </w:pPr>
        </w:p>
      </w:tc>
      <w:tc>
        <w:tcPr>
          <w:tcW w:w="2250" w:type="pct"/>
          <w:tcBorders>
            <w:top w:val="single" w:sz="4" w:space="0" w:color="4F81BD"/>
            <w:left w:val="nil"/>
            <w:bottom w:val="nil"/>
            <w:right w:val="nil"/>
          </w:tcBorders>
        </w:tcPr>
        <w:p w:rsidR="00E52886" w:rsidRPr="005A3173" w:rsidRDefault="00E52886" w:rsidP="005A3173">
          <w:pPr>
            <w:pStyle w:val="Header"/>
            <w:spacing w:line="276" w:lineRule="auto"/>
            <w:rPr>
              <w:rFonts w:ascii="Calibri" w:eastAsia="MS Gothic" w:hAnsi="Calibri"/>
              <w:b/>
              <w:bCs/>
              <w:color w:val="4F81BD"/>
            </w:rPr>
          </w:pPr>
        </w:p>
      </w:tc>
    </w:tr>
  </w:tbl>
  <w:p w:rsidR="00E52886" w:rsidRPr="007C0F57" w:rsidRDefault="00E52886"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E52886" w:rsidRPr="007C0F57" w:rsidRDefault="00E52886" w:rsidP="007C0F57">
    <w:pPr>
      <w:pStyle w:val="Footer"/>
      <w:jc w:val="center"/>
      <w:rPr>
        <w:b/>
        <w:i/>
        <w:sz w:val="20"/>
        <w:szCs w:val="20"/>
      </w:rPr>
    </w:pPr>
    <w:r w:rsidRPr="007C0F57">
      <w:rPr>
        <w:b/>
        <w:i/>
        <w:sz w:val="20"/>
        <w:szCs w:val="20"/>
      </w:rPr>
      <w:t>Commercial-in-Confidence</w:t>
    </w:r>
  </w:p>
  <w:p w:rsidR="00E52886" w:rsidRDefault="00E5288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B97" w:rsidRDefault="00582B97">
      <w:r>
        <w:separator/>
      </w:r>
    </w:p>
    <w:p w:rsidR="00582B97" w:rsidRDefault="00582B97"/>
  </w:footnote>
  <w:footnote w:type="continuationSeparator" w:id="0">
    <w:p w:rsidR="00582B97" w:rsidRDefault="00582B97">
      <w:r>
        <w:continuationSeparator/>
      </w:r>
    </w:p>
    <w:p w:rsidR="00582B97" w:rsidRDefault="00582B9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E52886" w:rsidRPr="008E0D90" w:rsidTr="00A06225">
      <w:trPr>
        <w:trHeight w:val="151"/>
      </w:trPr>
      <w:tc>
        <w:tcPr>
          <w:tcW w:w="2389" w:type="pct"/>
          <w:tcBorders>
            <w:top w:val="nil"/>
            <w:left w:val="nil"/>
            <w:bottom w:val="single" w:sz="4" w:space="0" w:color="4F81BD"/>
            <w:right w:val="nil"/>
          </w:tcBorders>
        </w:tcPr>
        <w:p w:rsidR="00E52886" w:rsidRPr="00A06225" w:rsidRDefault="00E52886">
          <w:pPr>
            <w:pStyle w:val="Header"/>
            <w:spacing w:line="276" w:lineRule="auto"/>
            <w:rPr>
              <w:rFonts w:ascii="Cambria" w:eastAsia="MS Gothic" w:hAnsi="Cambria"/>
              <w:b/>
              <w:bCs/>
              <w:color w:val="4F81BD"/>
            </w:rPr>
          </w:pPr>
        </w:p>
      </w:tc>
      <w:tc>
        <w:tcPr>
          <w:tcW w:w="333" w:type="pct"/>
          <w:vMerge w:val="restart"/>
          <w:noWrap/>
          <w:vAlign w:val="center"/>
          <w:hideMark/>
        </w:tcPr>
        <w:p w:rsidR="00E52886" w:rsidRPr="00A06225" w:rsidRDefault="00E52886"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E52886" w:rsidRPr="00A06225" w:rsidRDefault="00E52886">
          <w:pPr>
            <w:pStyle w:val="Header"/>
            <w:spacing w:line="276" w:lineRule="auto"/>
            <w:rPr>
              <w:rFonts w:ascii="Cambria" w:eastAsia="MS Gothic" w:hAnsi="Cambria"/>
              <w:b/>
              <w:bCs/>
              <w:color w:val="4F81BD"/>
            </w:rPr>
          </w:pPr>
        </w:p>
      </w:tc>
    </w:tr>
    <w:tr w:rsidR="00E52886" w:rsidRPr="008E0D90" w:rsidTr="00A06225">
      <w:trPr>
        <w:trHeight w:val="150"/>
      </w:trPr>
      <w:tc>
        <w:tcPr>
          <w:tcW w:w="2389" w:type="pct"/>
          <w:tcBorders>
            <w:top w:val="single" w:sz="4" w:space="0" w:color="4F81BD"/>
            <w:left w:val="nil"/>
            <w:bottom w:val="nil"/>
            <w:right w:val="nil"/>
          </w:tcBorders>
        </w:tcPr>
        <w:p w:rsidR="00E52886" w:rsidRPr="00A06225" w:rsidRDefault="00E52886">
          <w:pPr>
            <w:pStyle w:val="Header"/>
            <w:spacing w:line="276" w:lineRule="auto"/>
            <w:rPr>
              <w:rFonts w:ascii="Cambria" w:eastAsia="MS Gothic" w:hAnsi="Cambria"/>
              <w:b/>
              <w:bCs/>
              <w:color w:val="4F81BD"/>
            </w:rPr>
          </w:pPr>
        </w:p>
      </w:tc>
      <w:tc>
        <w:tcPr>
          <w:tcW w:w="0" w:type="auto"/>
          <w:vMerge/>
          <w:vAlign w:val="center"/>
          <w:hideMark/>
        </w:tcPr>
        <w:p w:rsidR="00E52886" w:rsidRPr="00A06225" w:rsidRDefault="00E52886">
          <w:pPr>
            <w:rPr>
              <w:rFonts w:ascii="Cambria" w:hAnsi="Cambria"/>
              <w:color w:val="4F81BD"/>
              <w:sz w:val="22"/>
              <w:szCs w:val="22"/>
            </w:rPr>
          </w:pPr>
        </w:p>
      </w:tc>
      <w:tc>
        <w:tcPr>
          <w:tcW w:w="2278" w:type="pct"/>
          <w:tcBorders>
            <w:top w:val="single" w:sz="4" w:space="0" w:color="4F81BD"/>
            <w:left w:val="nil"/>
            <w:bottom w:val="nil"/>
            <w:right w:val="nil"/>
          </w:tcBorders>
        </w:tcPr>
        <w:p w:rsidR="00E52886" w:rsidRPr="00A06225" w:rsidRDefault="00E52886">
          <w:pPr>
            <w:pStyle w:val="Header"/>
            <w:spacing w:line="276" w:lineRule="auto"/>
            <w:rPr>
              <w:rFonts w:ascii="Cambria" w:eastAsia="MS Gothic" w:hAnsi="Cambria"/>
              <w:b/>
              <w:bCs/>
              <w:color w:val="4F81BD"/>
            </w:rPr>
          </w:pPr>
        </w:p>
      </w:tc>
    </w:tr>
  </w:tbl>
  <w:p w:rsidR="00E52886" w:rsidRDefault="00E52886">
    <w:pPr>
      <w:pStyle w:val="Header"/>
    </w:pPr>
  </w:p>
  <w:p w:rsidR="00E52886" w:rsidRDefault="00E5288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886" w:rsidRDefault="00E52886" w:rsidP="00323773">
    <w:pPr>
      <w:pStyle w:val="Header"/>
      <w:ind w:left="360"/>
      <w:jc w:val="center"/>
      <w:rPr>
        <w:rFonts w:asciiTheme="minorHAnsi" w:hAnsiTheme="minorHAnsi" w:cs="Arial"/>
        <w:i/>
        <w:color w:val="808080"/>
      </w:rPr>
    </w:pPr>
    <w:r>
      <w:rPr>
        <w:rFonts w:asciiTheme="minorHAnsi" w:hAnsiTheme="minorHAnsi" w:cs="Arial"/>
        <w:i/>
        <w:color w:val="808080"/>
      </w:rPr>
      <w:t xml:space="preserve">Public Summary Document </w:t>
    </w:r>
    <w:r w:rsidRPr="00950D34">
      <w:rPr>
        <w:rFonts w:asciiTheme="minorHAnsi" w:hAnsiTheme="minorHAnsi" w:cs="Arial"/>
        <w:i/>
        <w:color w:val="808080"/>
      </w:rPr>
      <w:t>– March 2019 PBAC Meeting</w:t>
    </w:r>
  </w:p>
  <w:p w:rsidR="00323773" w:rsidRPr="00323773" w:rsidRDefault="00323773" w:rsidP="00323773">
    <w:pPr>
      <w:pStyle w:val="Header"/>
      <w:ind w:left="360"/>
      <w:jc w:val="center"/>
      <w:rPr>
        <w:rFonts w:asciiTheme="minorHAnsi" w:hAnsiTheme="minorHAnsi" w:cs="Arial"/>
        <w:i/>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D60FC5"/>
    <w:multiLevelType w:val="hybridMultilevel"/>
    <w:tmpl w:val="7282506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B73B33"/>
    <w:multiLevelType w:val="hybridMultilevel"/>
    <w:tmpl w:val="901293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90A1139"/>
    <w:multiLevelType w:val="hybridMultilevel"/>
    <w:tmpl w:val="CC7072B6"/>
    <w:lvl w:ilvl="0" w:tplc="0C09000F">
      <w:start w:val="1"/>
      <w:numFmt w:val="decimal"/>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D45E45"/>
    <w:multiLevelType w:val="hybridMultilevel"/>
    <w:tmpl w:val="C7C2FA8E"/>
    <w:lvl w:ilvl="0" w:tplc="F39E844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997434"/>
    <w:multiLevelType w:val="hybridMultilevel"/>
    <w:tmpl w:val="A4E8C4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D97F4A"/>
    <w:multiLevelType w:val="hybridMultilevel"/>
    <w:tmpl w:val="4B1263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C99CEA8A">
      <w:numFmt w:val="bullet"/>
      <w:lvlText w:val="·"/>
      <w:lvlJc w:val="left"/>
      <w:pPr>
        <w:ind w:left="3600" w:hanging="360"/>
      </w:pPr>
      <w:rPr>
        <w:rFonts w:ascii="Calibri" w:eastAsiaTheme="minorHAnsi" w:hAnsi="Calibri"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2C2EAE"/>
    <w:multiLevelType w:val="hybridMultilevel"/>
    <w:tmpl w:val="FB4416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E695E2E"/>
    <w:multiLevelType w:val="multilevel"/>
    <w:tmpl w:val="B102075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C430CE"/>
    <w:multiLevelType w:val="hybridMultilevel"/>
    <w:tmpl w:val="0D2830A8"/>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93074C"/>
    <w:multiLevelType w:val="multilevel"/>
    <w:tmpl w:val="45CE58E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1D5A04"/>
    <w:multiLevelType w:val="hybridMultilevel"/>
    <w:tmpl w:val="1598C7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6C2762D"/>
    <w:multiLevelType w:val="hybridMultilevel"/>
    <w:tmpl w:val="CBAC0C82"/>
    <w:lvl w:ilvl="0" w:tplc="0C090001">
      <w:start w:val="1"/>
      <w:numFmt w:val="bullet"/>
      <w:lvlText w:val=""/>
      <w:lvlJc w:val="left"/>
      <w:pPr>
        <w:ind w:left="1483" w:hanging="360"/>
      </w:pPr>
      <w:rPr>
        <w:rFonts w:ascii="Symbol" w:hAnsi="Symbol" w:hint="default"/>
      </w:rPr>
    </w:lvl>
    <w:lvl w:ilvl="1" w:tplc="0C090003" w:tentative="1">
      <w:start w:val="1"/>
      <w:numFmt w:val="bullet"/>
      <w:lvlText w:val="o"/>
      <w:lvlJc w:val="left"/>
      <w:pPr>
        <w:ind w:left="2203" w:hanging="360"/>
      </w:pPr>
      <w:rPr>
        <w:rFonts w:ascii="Courier New" w:hAnsi="Courier New" w:cs="Courier New" w:hint="default"/>
      </w:rPr>
    </w:lvl>
    <w:lvl w:ilvl="2" w:tplc="0C090005" w:tentative="1">
      <w:start w:val="1"/>
      <w:numFmt w:val="bullet"/>
      <w:lvlText w:val=""/>
      <w:lvlJc w:val="left"/>
      <w:pPr>
        <w:ind w:left="2923" w:hanging="360"/>
      </w:pPr>
      <w:rPr>
        <w:rFonts w:ascii="Wingdings" w:hAnsi="Wingdings" w:hint="default"/>
      </w:rPr>
    </w:lvl>
    <w:lvl w:ilvl="3" w:tplc="0C090001" w:tentative="1">
      <w:start w:val="1"/>
      <w:numFmt w:val="bullet"/>
      <w:lvlText w:val=""/>
      <w:lvlJc w:val="left"/>
      <w:pPr>
        <w:ind w:left="3643" w:hanging="360"/>
      </w:pPr>
      <w:rPr>
        <w:rFonts w:ascii="Symbol" w:hAnsi="Symbol" w:hint="default"/>
      </w:rPr>
    </w:lvl>
    <w:lvl w:ilvl="4" w:tplc="0C090003" w:tentative="1">
      <w:start w:val="1"/>
      <w:numFmt w:val="bullet"/>
      <w:lvlText w:val="o"/>
      <w:lvlJc w:val="left"/>
      <w:pPr>
        <w:ind w:left="4363" w:hanging="360"/>
      </w:pPr>
      <w:rPr>
        <w:rFonts w:ascii="Courier New" w:hAnsi="Courier New" w:cs="Courier New" w:hint="default"/>
      </w:rPr>
    </w:lvl>
    <w:lvl w:ilvl="5" w:tplc="0C090005" w:tentative="1">
      <w:start w:val="1"/>
      <w:numFmt w:val="bullet"/>
      <w:lvlText w:val=""/>
      <w:lvlJc w:val="left"/>
      <w:pPr>
        <w:ind w:left="5083" w:hanging="360"/>
      </w:pPr>
      <w:rPr>
        <w:rFonts w:ascii="Wingdings" w:hAnsi="Wingdings" w:hint="default"/>
      </w:rPr>
    </w:lvl>
    <w:lvl w:ilvl="6" w:tplc="0C090001" w:tentative="1">
      <w:start w:val="1"/>
      <w:numFmt w:val="bullet"/>
      <w:lvlText w:val=""/>
      <w:lvlJc w:val="left"/>
      <w:pPr>
        <w:ind w:left="5803" w:hanging="360"/>
      </w:pPr>
      <w:rPr>
        <w:rFonts w:ascii="Symbol" w:hAnsi="Symbol" w:hint="default"/>
      </w:rPr>
    </w:lvl>
    <w:lvl w:ilvl="7" w:tplc="0C090003" w:tentative="1">
      <w:start w:val="1"/>
      <w:numFmt w:val="bullet"/>
      <w:lvlText w:val="o"/>
      <w:lvlJc w:val="left"/>
      <w:pPr>
        <w:ind w:left="6523" w:hanging="360"/>
      </w:pPr>
      <w:rPr>
        <w:rFonts w:ascii="Courier New" w:hAnsi="Courier New" w:cs="Courier New" w:hint="default"/>
      </w:rPr>
    </w:lvl>
    <w:lvl w:ilvl="8" w:tplc="0C090005" w:tentative="1">
      <w:start w:val="1"/>
      <w:numFmt w:val="bullet"/>
      <w:lvlText w:val=""/>
      <w:lvlJc w:val="left"/>
      <w:pPr>
        <w:ind w:left="7243" w:hanging="360"/>
      </w:pPr>
      <w:rPr>
        <w:rFonts w:ascii="Wingdings" w:hAnsi="Wingdings" w:hint="default"/>
      </w:rPr>
    </w:lvl>
  </w:abstractNum>
  <w:abstractNum w:abstractNumId="28" w15:restartNumberingAfterBreak="0">
    <w:nsid w:val="6E1C71D4"/>
    <w:multiLevelType w:val="hybridMultilevel"/>
    <w:tmpl w:val="DC66C07E"/>
    <w:lvl w:ilvl="0" w:tplc="9CB2C4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784D033C"/>
    <w:multiLevelType w:val="multilevel"/>
    <w:tmpl w:val="0B9E28C8"/>
    <w:lvl w:ilvl="0">
      <w:start w:val="1"/>
      <w:numFmt w:val="decimal"/>
      <w:pStyle w:val="PBACHeading1"/>
      <w:lvlText w:val="%1"/>
      <w:lvlJc w:val="left"/>
      <w:pPr>
        <w:ind w:left="720" w:hanging="720"/>
      </w:pPr>
      <w:rPr>
        <w:rFonts w:asciiTheme="minorHAnsi" w:hAnsiTheme="minorHAnsi" w:cstheme="minorHAnsi" w:hint="default"/>
        <w:b/>
        <w:sz w:val="32"/>
        <w:szCs w:val="32"/>
      </w:rPr>
    </w:lvl>
    <w:lvl w:ilvl="1">
      <w:start w:val="1"/>
      <w:numFmt w:val="decimal"/>
      <w:lvlText w:val="%1.%2"/>
      <w:lvlJc w:val="left"/>
      <w:pPr>
        <w:ind w:left="720" w:hanging="720"/>
      </w:pPr>
      <w:rPr>
        <w:rFonts w:hint="default"/>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3"/>
  </w:num>
  <w:num w:numId="3">
    <w:abstractNumId w:val="7"/>
  </w:num>
  <w:num w:numId="4">
    <w:abstractNumId w:val="20"/>
  </w:num>
  <w:num w:numId="5">
    <w:abstractNumId w:val="29"/>
  </w:num>
  <w:num w:numId="6">
    <w:abstractNumId w:val="9"/>
  </w:num>
  <w:num w:numId="7">
    <w:abstractNumId w:val="18"/>
  </w:num>
  <w:num w:numId="8">
    <w:abstractNumId w:val="5"/>
  </w:num>
  <w:num w:numId="9">
    <w:abstractNumId w:val="16"/>
  </w:num>
  <w:num w:numId="10">
    <w:abstractNumId w:val="14"/>
  </w:num>
  <w:num w:numId="11">
    <w:abstractNumId w:val="13"/>
  </w:num>
  <w:num w:numId="12">
    <w:abstractNumId w:val="1"/>
  </w:num>
  <w:num w:numId="13">
    <w:abstractNumId w:val="0"/>
  </w:num>
  <w:num w:numId="14">
    <w:abstractNumId w:val="29"/>
  </w:num>
  <w:num w:numId="15">
    <w:abstractNumId w:val="28"/>
  </w:num>
  <w:num w:numId="16">
    <w:abstractNumId w:val="4"/>
  </w:num>
  <w:num w:numId="17">
    <w:abstractNumId w:val="19"/>
  </w:num>
  <w:num w:numId="18">
    <w:abstractNumId w:val="8"/>
  </w:num>
  <w:num w:numId="19">
    <w:abstractNumId w:val="17"/>
  </w:num>
  <w:num w:numId="20">
    <w:abstractNumId w:val="26"/>
  </w:num>
  <w:num w:numId="21">
    <w:abstractNumId w:val="21"/>
  </w:num>
  <w:num w:numId="22">
    <w:abstractNumId w:val="27"/>
  </w:num>
  <w:num w:numId="23">
    <w:abstractNumId w:val="1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4"/>
  </w:num>
  <w:num w:numId="27">
    <w:abstractNumId w:val="6"/>
  </w:num>
  <w:num w:numId="28">
    <w:abstractNumId w:val="2"/>
  </w:num>
  <w:num w:numId="29">
    <w:abstractNumId w:val="11"/>
  </w:num>
  <w:num w:numId="30">
    <w:abstractNumId w:val="25"/>
  </w:num>
  <w:num w:numId="31">
    <w:abstractNumId w:val="15"/>
  </w:num>
  <w:num w:numId="32">
    <w:abstractNumId w:val="22"/>
  </w:num>
  <w:num w:numId="33">
    <w:abstractNumId w:val="29"/>
  </w:num>
  <w:num w:numId="34">
    <w:abstractNumId w:val="29"/>
  </w:num>
  <w:num w:numId="35">
    <w:abstractNumId w:val="29"/>
  </w:num>
  <w:num w:numId="36">
    <w:abstractNumId w:val="29"/>
  </w:num>
  <w:num w:numId="37">
    <w:abstractNumId w:val="29"/>
  </w:num>
  <w:num w:numId="38">
    <w:abstractNumId w:val="29"/>
  </w:num>
  <w:num w:numId="39">
    <w:abstractNumId w:val="29"/>
  </w:num>
  <w:num w:numId="40">
    <w:abstractNumId w:val="29"/>
  </w:num>
  <w:num w:numId="41">
    <w:abstractNumId w:val="29"/>
  </w:num>
  <w:num w:numId="42">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03515"/>
    <w:rsid w:val="00011DC9"/>
    <w:rsid w:val="0001356C"/>
    <w:rsid w:val="0001368F"/>
    <w:rsid w:val="0002464A"/>
    <w:rsid w:val="0003106B"/>
    <w:rsid w:val="00032B35"/>
    <w:rsid w:val="000421A1"/>
    <w:rsid w:val="0004240E"/>
    <w:rsid w:val="00042A7B"/>
    <w:rsid w:val="00045E26"/>
    <w:rsid w:val="00047811"/>
    <w:rsid w:val="00050224"/>
    <w:rsid w:val="000514B5"/>
    <w:rsid w:val="00060E64"/>
    <w:rsid w:val="00062E46"/>
    <w:rsid w:val="00066755"/>
    <w:rsid w:val="000720B8"/>
    <w:rsid w:val="00075A11"/>
    <w:rsid w:val="00077143"/>
    <w:rsid w:val="00082169"/>
    <w:rsid w:val="00083932"/>
    <w:rsid w:val="000847E5"/>
    <w:rsid w:val="000969AD"/>
    <w:rsid w:val="000A60C6"/>
    <w:rsid w:val="000A7171"/>
    <w:rsid w:val="000B558D"/>
    <w:rsid w:val="000B5B7E"/>
    <w:rsid w:val="000C1419"/>
    <w:rsid w:val="000C6996"/>
    <w:rsid w:val="000C6E7E"/>
    <w:rsid w:val="000C7DAB"/>
    <w:rsid w:val="000D01C1"/>
    <w:rsid w:val="000D23BA"/>
    <w:rsid w:val="000D7C7D"/>
    <w:rsid w:val="000E681E"/>
    <w:rsid w:val="000F0003"/>
    <w:rsid w:val="000F4E6A"/>
    <w:rsid w:val="00101B83"/>
    <w:rsid w:val="00104227"/>
    <w:rsid w:val="00110683"/>
    <w:rsid w:val="0011070A"/>
    <w:rsid w:val="001107BF"/>
    <w:rsid w:val="00111618"/>
    <w:rsid w:val="001147EA"/>
    <w:rsid w:val="0012417C"/>
    <w:rsid w:val="00130D3A"/>
    <w:rsid w:val="00131D05"/>
    <w:rsid w:val="00142395"/>
    <w:rsid w:val="00142714"/>
    <w:rsid w:val="001452ED"/>
    <w:rsid w:val="00155DD4"/>
    <w:rsid w:val="00163329"/>
    <w:rsid w:val="001643B3"/>
    <w:rsid w:val="00164623"/>
    <w:rsid w:val="00165B64"/>
    <w:rsid w:val="00170122"/>
    <w:rsid w:val="00170290"/>
    <w:rsid w:val="00172C69"/>
    <w:rsid w:val="0017407D"/>
    <w:rsid w:val="00175018"/>
    <w:rsid w:val="00180713"/>
    <w:rsid w:val="001830CE"/>
    <w:rsid w:val="00184C44"/>
    <w:rsid w:val="0018643B"/>
    <w:rsid w:val="001866E2"/>
    <w:rsid w:val="0018756D"/>
    <w:rsid w:val="00196307"/>
    <w:rsid w:val="001A1902"/>
    <w:rsid w:val="001A33EA"/>
    <w:rsid w:val="001A48AA"/>
    <w:rsid w:val="001A5DBF"/>
    <w:rsid w:val="001B017F"/>
    <w:rsid w:val="001B098F"/>
    <w:rsid w:val="001B2BBC"/>
    <w:rsid w:val="001B4C65"/>
    <w:rsid w:val="001B5129"/>
    <w:rsid w:val="001B567A"/>
    <w:rsid w:val="001B62C1"/>
    <w:rsid w:val="001C1195"/>
    <w:rsid w:val="001C6807"/>
    <w:rsid w:val="001D6C04"/>
    <w:rsid w:val="001E3701"/>
    <w:rsid w:val="001E75F8"/>
    <w:rsid w:val="001F1850"/>
    <w:rsid w:val="00203FAC"/>
    <w:rsid w:val="0021166D"/>
    <w:rsid w:val="00213CFB"/>
    <w:rsid w:val="00217BE1"/>
    <w:rsid w:val="002204F5"/>
    <w:rsid w:val="002228C4"/>
    <w:rsid w:val="00222E12"/>
    <w:rsid w:val="002240A5"/>
    <w:rsid w:val="002311C5"/>
    <w:rsid w:val="00241637"/>
    <w:rsid w:val="0024191B"/>
    <w:rsid w:val="00255664"/>
    <w:rsid w:val="002564F4"/>
    <w:rsid w:val="00256590"/>
    <w:rsid w:val="0027120B"/>
    <w:rsid w:val="002714D3"/>
    <w:rsid w:val="00271BA1"/>
    <w:rsid w:val="00272791"/>
    <w:rsid w:val="002762FA"/>
    <w:rsid w:val="00277505"/>
    <w:rsid w:val="00280B42"/>
    <w:rsid w:val="00284159"/>
    <w:rsid w:val="00292812"/>
    <w:rsid w:val="00293750"/>
    <w:rsid w:val="00293B85"/>
    <w:rsid w:val="0029458F"/>
    <w:rsid w:val="002A104C"/>
    <w:rsid w:val="002A38DA"/>
    <w:rsid w:val="002A4960"/>
    <w:rsid w:val="002B0DC9"/>
    <w:rsid w:val="002B1AE6"/>
    <w:rsid w:val="002B1F86"/>
    <w:rsid w:val="002B21B4"/>
    <w:rsid w:val="002B2DE8"/>
    <w:rsid w:val="002B30F8"/>
    <w:rsid w:val="002B3377"/>
    <w:rsid w:val="002B5596"/>
    <w:rsid w:val="002C0527"/>
    <w:rsid w:val="002C212F"/>
    <w:rsid w:val="002C32C4"/>
    <w:rsid w:val="002C3583"/>
    <w:rsid w:val="002D2955"/>
    <w:rsid w:val="002D4543"/>
    <w:rsid w:val="002E3153"/>
    <w:rsid w:val="002E6CAB"/>
    <w:rsid w:val="002E72CA"/>
    <w:rsid w:val="002E7D1C"/>
    <w:rsid w:val="002F600D"/>
    <w:rsid w:val="00300AD6"/>
    <w:rsid w:val="00314E75"/>
    <w:rsid w:val="0031514B"/>
    <w:rsid w:val="00317C6C"/>
    <w:rsid w:val="0032077E"/>
    <w:rsid w:val="00323773"/>
    <w:rsid w:val="00323AC1"/>
    <w:rsid w:val="00326E79"/>
    <w:rsid w:val="0033518A"/>
    <w:rsid w:val="003363E3"/>
    <w:rsid w:val="003367EF"/>
    <w:rsid w:val="00340D99"/>
    <w:rsid w:val="00341AE4"/>
    <w:rsid w:val="003432EB"/>
    <w:rsid w:val="003508F8"/>
    <w:rsid w:val="00356C2A"/>
    <w:rsid w:val="00376556"/>
    <w:rsid w:val="003807C4"/>
    <w:rsid w:val="00381F4A"/>
    <w:rsid w:val="003872CF"/>
    <w:rsid w:val="00394F94"/>
    <w:rsid w:val="0039782C"/>
    <w:rsid w:val="003A5B4A"/>
    <w:rsid w:val="003A69EF"/>
    <w:rsid w:val="003B23C5"/>
    <w:rsid w:val="003B2A75"/>
    <w:rsid w:val="003B4246"/>
    <w:rsid w:val="003B6124"/>
    <w:rsid w:val="003C2FB5"/>
    <w:rsid w:val="003D4AC4"/>
    <w:rsid w:val="003D63B7"/>
    <w:rsid w:val="003E07EE"/>
    <w:rsid w:val="003E468B"/>
    <w:rsid w:val="003F3228"/>
    <w:rsid w:val="003F57ED"/>
    <w:rsid w:val="003F5C8C"/>
    <w:rsid w:val="003F7687"/>
    <w:rsid w:val="004252EC"/>
    <w:rsid w:val="004331A7"/>
    <w:rsid w:val="00434FC5"/>
    <w:rsid w:val="004465BD"/>
    <w:rsid w:val="00464A16"/>
    <w:rsid w:val="00466ADA"/>
    <w:rsid w:val="0046799E"/>
    <w:rsid w:val="00476245"/>
    <w:rsid w:val="00476D54"/>
    <w:rsid w:val="00481704"/>
    <w:rsid w:val="00483035"/>
    <w:rsid w:val="00484170"/>
    <w:rsid w:val="00485940"/>
    <w:rsid w:val="00491501"/>
    <w:rsid w:val="004919BB"/>
    <w:rsid w:val="004A2484"/>
    <w:rsid w:val="004A32B7"/>
    <w:rsid w:val="004A3562"/>
    <w:rsid w:val="004A5A85"/>
    <w:rsid w:val="004A71D1"/>
    <w:rsid w:val="004B0150"/>
    <w:rsid w:val="004B1043"/>
    <w:rsid w:val="004B3C8E"/>
    <w:rsid w:val="004B5640"/>
    <w:rsid w:val="004C15F2"/>
    <w:rsid w:val="004C1BD7"/>
    <w:rsid w:val="004C258C"/>
    <w:rsid w:val="004C31FE"/>
    <w:rsid w:val="004C4B4D"/>
    <w:rsid w:val="004C576D"/>
    <w:rsid w:val="004C691D"/>
    <w:rsid w:val="004C6C07"/>
    <w:rsid w:val="004D0723"/>
    <w:rsid w:val="004D27AE"/>
    <w:rsid w:val="004E692D"/>
    <w:rsid w:val="00501236"/>
    <w:rsid w:val="00501554"/>
    <w:rsid w:val="00504638"/>
    <w:rsid w:val="00504FA0"/>
    <w:rsid w:val="00506C06"/>
    <w:rsid w:val="00514CD7"/>
    <w:rsid w:val="0052407D"/>
    <w:rsid w:val="005319B2"/>
    <w:rsid w:val="00532402"/>
    <w:rsid w:val="00532AD0"/>
    <w:rsid w:val="00532C74"/>
    <w:rsid w:val="00532F39"/>
    <w:rsid w:val="00534E2E"/>
    <w:rsid w:val="00540B88"/>
    <w:rsid w:val="00544552"/>
    <w:rsid w:val="00550B48"/>
    <w:rsid w:val="00553E24"/>
    <w:rsid w:val="0056114B"/>
    <w:rsid w:val="00570C65"/>
    <w:rsid w:val="00572A1E"/>
    <w:rsid w:val="00577C4D"/>
    <w:rsid w:val="00580ACC"/>
    <w:rsid w:val="00581932"/>
    <w:rsid w:val="00582B97"/>
    <w:rsid w:val="005844B7"/>
    <w:rsid w:val="00593133"/>
    <w:rsid w:val="00595ADF"/>
    <w:rsid w:val="005963BB"/>
    <w:rsid w:val="005A1DC3"/>
    <w:rsid w:val="005A3173"/>
    <w:rsid w:val="005A3223"/>
    <w:rsid w:val="005A3DA3"/>
    <w:rsid w:val="005A52C4"/>
    <w:rsid w:val="005D03AB"/>
    <w:rsid w:val="005D5017"/>
    <w:rsid w:val="005E1333"/>
    <w:rsid w:val="005F0955"/>
    <w:rsid w:val="005F59D6"/>
    <w:rsid w:val="00601A91"/>
    <w:rsid w:val="00602BA3"/>
    <w:rsid w:val="006045E1"/>
    <w:rsid w:val="00606EED"/>
    <w:rsid w:val="0060791C"/>
    <w:rsid w:val="00612E34"/>
    <w:rsid w:val="00613228"/>
    <w:rsid w:val="00614159"/>
    <w:rsid w:val="00617C00"/>
    <w:rsid w:val="00624217"/>
    <w:rsid w:val="00625E4B"/>
    <w:rsid w:val="006263BF"/>
    <w:rsid w:val="0062748A"/>
    <w:rsid w:val="00630A2C"/>
    <w:rsid w:val="0063319A"/>
    <w:rsid w:val="0063682E"/>
    <w:rsid w:val="006436CD"/>
    <w:rsid w:val="006504DE"/>
    <w:rsid w:val="00651169"/>
    <w:rsid w:val="00653D69"/>
    <w:rsid w:val="006554AB"/>
    <w:rsid w:val="00655817"/>
    <w:rsid w:val="0066329E"/>
    <w:rsid w:val="006669FA"/>
    <w:rsid w:val="006670BE"/>
    <w:rsid w:val="00667B6E"/>
    <w:rsid w:val="00670A76"/>
    <w:rsid w:val="006711AA"/>
    <w:rsid w:val="006724DB"/>
    <w:rsid w:val="00672B57"/>
    <w:rsid w:val="00675622"/>
    <w:rsid w:val="0067747D"/>
    <w:rsid w:val="00681023"/>
    <w:rsid w:val="006906DB"/>
    <w:rsid w:val="00691E6C"/>
    <w:rsid w:val="00695B00"/>
    <w:rsid w:val="00696129"/>
    <w:rsid w:val="00696842"/>
    <w:rsid w:val="00697CC8"/>
    <w:rsid w:val="00697CF2"/>
    <w:rsid w:val="006A12A5"/>
    <w:rsid w:val="006A1D57"/>
    <w:rsid w:val="006A60B1"/>
    <w:rsid w:val="006B0D94"/>
    <w:rsid w:val="006B452A"/>
    <w:rsid w:val="006B485D"/>
    <w:rsid w:val="006B72A5"/>
    <w:rsid w:val="006C614A"/>
    <w:rsid w:val="006C6299"/>
    <w:rsid w:val="006C708E"/>
    <w:rsid w:val="006C719A"/>
    <w:rsid w:val="006C7C74"/>
    <w:rsid w:val="006D14E7"/>
    <w:rsid w:val="006D6493"/>
    <w:rsid w:val="006D6EC7"/>
    <w:rsid w:val="006F1AFD"/>
    <w:rsid w:val="006F4CCA"/>
    <w:rsid w:val="006F5125"/>
    <w:rsid w:val="00700392"/>
    <w:rsid w:val="00700E0E"/>
    <w:rsid w:val="00702B6F"/>
    <w:rsid w:val="00705B3D"/>
    <w:rsid w:val="0070731B"/>
    <w:rsid w:val="0071340B"/>
    <w:rsid w:val="0071640A"/>
    <w:rsid w:val="007174BB"/>
    <w:rsid w:val="007178E6"/>
    <w:rsid w:val="0072025D"/>
    <w:rsid w:val="007278D4"/>
    <w:rsid w:val="00731E80"/>
    <w:rsid w:val="00732851"/>
    <w:rsid w:val="00734521"/>
    <w:rsid w:val="007353D3"/>
    <w:rsid w:val="007400DD"/>
    <w:rsid w:val="00742CA1"/>
    <w:rsid w:val="00742D86"/>
    <w:rsid w:val="00756BB1"/>
    <w:rsid w:val="007609DE"/>
    <w:rsid w:val="0076420C"/>
    <w:rsid w:val="00767486"/>
    <w:rsid w:val="00767960"/>
    <w:rsid w:val="007753C2"/>
    <w:rsid w:val="007772C2"/>
    <w:rsid w:val="00780790"/>
    <w:rsid w:val="007838B8"/>
    <w:rsid w:val="00784644"/>
    <w:rsid w:val="00784E66"/>
    <w:rsid w:val="00795991"/>
    <w:rsid w:val="00796787"/>
    <w:rsid w:val="007A7902"/>
    <w:rsid w:val="007C0F57"/>
    <w:rsid w:val="007C2242"/>
    <w:rsid w:val="007C40B6"/>
    <w:rsid w:val="007C68FA"/>
    <w:rsid w:val="007C729F"/>
    <w:rsid w:val="007D179F"/>
    <w:rsid w:val="007E1B10"/>
    <w:rsid w:val="007E1D28"/>
    <w:rsid w:val="007E4E4A"/>
    <w:rsid w:val="007E66A2"/>
    <w:rsid w:val="007F08F5"/>
    <w:rsid w:val="007F2641"/>
    <w:rsid w:val="007F7C36"/>
    <w:rsid w:val="008005D2"/>
    <w:rsid w:val="008006C5"/>
    <w:rsid w:val="00806796"/>
    <w:rsid w:val="00811423"/>
    <w:rsid w:val="008151D6"/>
    <w:rsid w:val="00826F6D"/>
    <w:rsid w:val="008306F3"/>
    <w:rsid w:val="008322A3"/>
    <w:rsid w:val="00845E0C"/>
    <w:rsid w:val="008475A2"/>
    <w:rsid w:val="00851EC4"/>
    <w:rsid w:val="00856DDD"/>
    <w:rsid w:val="00861C04"/>
    <w:rsid w:val="00861D3E"/>
    <w:rsid w:val="00863E68"/>
    <w:rsid w:val="00863F19"/>
    <w:rsid w:val="0086638E"/>
    <w:rsid w:val="00870F63"/>
    <w:rsid w:val="008758C5"/>
    <w:rsid w:val="00882085"/>
    <w:rsid w:val="00883188"/>
    <w:rsid w:val="00887BF8"/>
    <w:rsid w:val="0089021B"/>
    <w:rsid w:val="00891C95"/>
    <w:rsid w:val="008929C5"/>
    <w:rsid w:val="00897D58"/>
    <w:rsid w:val="00897F22"/>
    <w:rsid w:val="008A1956"/>
    <w:rsid w:val="008A4937"/>
    <w:rsid w:val="008A50F1"/>
    <w:rsid w:val="008B5C56"/>
    <w:rsid w:val="008C5F6D"/>
    <w:rsid w:val="008D08DA"/>
    <w:rsid w:val="008D1B5C"/>
    <w:rsid w:val="008D3C82"/>
    <w:rsid w:val="008D447E"/>
    <w:rsid w:val="008D7A41"/>
    <w:rsid w:val="008E3680"/>
    <w:rsid w:val="008E5870"/>
    <w:rsid w:val="008E66FC"/>
    <w:rsid w:val="008F0A6B"/>
    <w:rsid w:val="008F1434"/>
    <w:rsid w:val="008F65AA"/>
    <w:rsid w:val="008F7355"/>
    <w:rsid w:val="00901F8D"/>
    <w:rsid w:val="009067B7"/>
    <w:rsid w:val="00910DD0"/>
    <w:rsid w:val="009139F7"/>
    <w:rsid w:val="00920BF6"/>
    <w:rsid w:val="00921CBA"/>
    <w:rsid w:val="00927D35"/>
    <w:rsid w:val="0093058C"/>
    <w:rsid w:val="00930937"/>
    <w:rsid w:val="00933E6C"/>
    <w:rsid w:val="00937958"/>
    <w:rsid w:val="00942160"/>
    <w:rsid w:val="00942408"/>
    <w:rsid w:val="00942F4C"/>
    <w:rsid w:val="00944A03"/>
    <w:rsid w:val="00944CA5"/>
    <w:rsid w:val="00950D34"/>
    <w:rsid w:val="0095146F"/>
    <w:rsid w:val="00951AB0"/>
    <w:rsid w:val="00955BF5"/>
    <w:rsid w:val="009602C5"/>
    <w:rsid w:val="00962223"/>
    <w:rsid w:val="00966D0D"/>
    <w:rsid w:val="00973911"/>
    <w:rsid w:val="00974C21"/>
    <w:rsid w:val="00977A63"/>
    <w:rsid w:val="00977AC6"/>
    <w:rsid w:val="00983A9C"/>
    <w:rsid w:val="009A45B4"/>
    <w:rsid w:val="009B0F67"/>
    <w:rsid w:val="009B4B0E"/>
    <w:rsid w:val="009C5DE4"/>
    <w:rsid w:val="009C703C"/>
    <w:rsid w:val="009D3CAA"/>
    <w:rsid w:val="009E1D4B"/>
    <w:rsid w:val="009E40E1"/>
    <w:rsid w:val="009E764A"/>
    <w:rsid w:val="009F05F5"/>
    <w:rsid w:val="009F4AC9"/>
    <w:rsid w:val="009F4E46"/>
    <w:rsid w:val="009F5B65"/>
    <w:rsid w:val="009F5F2E"/>
    <w:rsid w:val="00A06225"/>
    <w:rsid w:val="00A06876"/>
    <w:rsid w:val="00A128E6"/>
    <w:rsid w:val="00A3174B"/>
    <w:rsid w:val="00A31C93"/>
    <w:rsid w:val="00A31DA5"/>
    <w:rsid w:val="00A34E6C"/>
    <w:rsid w:val="00A35B10"/>
    <w:rsid w:val="00A37C66"/>
    <w:rsid w:val="00A37C8D"/>
    <w:rsid w:val="00A40F9B"/>
    <w:rsid w:val="00A44BC4"/>
    <w:rsid w:val="00A5273B"/>
    <w:rsid w:val="00A53A9D"/>
    <w:rsid w:val="00A55FEE"/>
    <w:rsid w:val="00A62C1A"/>
    <w:rsid w:val="00A6426D"/>
    <w:rsid w:val="00A665C1"/>
    <w:rsid w:val="00A70622"/>
    <w:rsid w:val="00A70977"/>
    <w:rsid w:val="00A74439"/>
    <w:rsid w:val="00A77613"/>
    <w:rsid w:val="00A77ADC"/>
    <w:rsid w:val="00A8390C"/>
    <w:rsid w:val="00A928BD"/>
    <w:rsid w:val="00A955F9"/>
    <w:rsid w:val="00A978D6"/>
    <w:rsid w:val="00AA29E6"/>
    <w:rsid w:val="00AA4D1C"/>
    <w:rsid w:val="00AB0A99"/>
    <w:rsid w:val="00AB1C71"/>
    <w:rsid w:val="00AC193C"/>
    <w:rsid w:val="00AC5206"/>
    <w:rsid w:val="00AC5C36"/>
    <w:rsid w:val="00AD139D"/>
    <w:rsid w:val="00AE000D"/>
    <w:rsid w:val="00AE11A5"/>
    <w:rsid w:val="00AE13E2"/>
    <w:rsid w:val="00AE22D3"/>
    <w:rsid w:val="00AF62DF"/>
    <w:rsid w:val="00AF68CC"/>
    <w:rsid w:val="00B1059E"/>
    <w:rsid w:val="00B107C6"/>
    <w:rsid w:val="00B176C8"/>
    <w:rsid w:val="00B205AA"/>
    <w:rsid w:val="00B22E84"/>
    <w:rsid w:val="00B25F75"/>
    <w:rsid w:val="00B26B3F"/>
    <w:rsid w:val="00B327AB"/>
    <w:rsid w:val="00B43E90"/>
    <w:rsid w:val="00B4601A"/>
    <w:rsid w:val="00B467DC"/>
    <w:rsid w:val="00B46AF1"/>
    <w:rsid w:val="00B478CD"/>
    <w:rsid w:val="00B56118"/>
    <w:rsid w:val="00B5709E"/>
    <w:rsid w:val="00B62314"/>
    <w:rsid w:val="00B6773F"/>
    <w:rsid w:val="00B74263"/>
    <w:rsid w:val="00B74279"/>
    <w:rsid w:val="00B75487"/>
    <w:rsid w:val="00B801BA"/>
    <w:rsid w:val="00B81B7D"/>
    <w:rsid w:val="00B84D5C"/>
    <w:rsid w:val="00B87885"/>
    <w:rsid w:val="00B9113C"/>
    <w:rsid w:val="00BA1943"/>
    <w:rsid w:val="00BA51D1"/>
    <w:rsid w:val="00BB34F5"/>
    <w:rsid w:val="00BB4D7B"/>
    <w:rsid w:val="00BB69F5"/>
    <w:rsid w:val="00BB75BB"/>
    <w:rsid w:val="00BB7EC3"/>
    <w:rsid w:val="00BC47B0"/>
    <w:rsid w:val="00BC4B9A"/>
    <w:rsid w:val="00BC7FA0"/>
    <w:rsid w:val="00BD0DBF"/>
    <w:rsid w:val="00BD784C"/>
    <w:rsid w:val="00BE0177"/>
    <w:rsid w:val="00BE439C"/>
    <w:rsid w:val="00BF4CB6"/>
    <w:rsid w:val="00C00DA7"/>
    <w:rsid w:val="00C020D5"/>
    <w:rsid w:val="00C03E2A"/>
    <w:rsid w:val="00C06DE4"/>
    <w:rsid w:val="00C10FCA"/>
    <w:rsid w:val="00C12768"/>
    <w:rsid w:val="00C22A02"/>
    <w:rsid w:val="00C24944"/>
    <w:rsid w:val="00C27B58"/>
    <w:rsid w:val="00C33176"/>
    <w:rsid w:val="00C3440A"/>
    <w:rsid w:val="00C35996"/>
    <w:rsid w:val="00C44C45"/>
    <w:rsid w:val="00C4747E"/>
    <w:rsid w:val="00C50725"/>
    <w:rsid w:val="00C5342C"/>
    <w:rsid w:val="00C540E8"/>
    <w:rsid w:val="00C603D4"/>
    <w:rsid w:val="00C6256A"/>
    <w:rsid w:val="00C65049"/>
    <w:rsid w:val="00C77891"/>
    <w:rsid w:val="00C8337E"/>
    <w:rsid w:val="00C83EFE"/>
    <w:rsid w:val="00C84C29"/>
    <w:rsid w:val="00C91449"/>
    <w:rsid w:val="00C92D10"/>
    <w:rsid w:val="00C9563C"/>
    <w:rsid w:val="00CA25A8"/>
    <w:rsid w:val="00CB3153"/>
    <w:rsid w:val="00CD0FEE"/>
    <w:rsid w:val="00CE10C4"/>
    <w:rsid w:val="00CE20D3"/>
    <w:rsid w:val="00CE27B5"/>
    <w:rsid w:val="00CF621F"/>
    <w:rsid w:val="00D01662"/>
    <w:rsid w:val="00D0321E"/>
    <w:rsid w:val="00D04D10"/>
    <w:rsid w:val="00D06C97"/>
    <w:rsid w:val="00D12EBA"/>
    <w:rsid w:val="00D1455A"/>
    <w:rsid w:val="00D23307"/>
    <w:rsid w:val="00D304F5"/>
    <w:rsid w:val="00D31150"/>
    <w:rsid w:val="00D3138B"/>
    <w:rsid w:val="00D3280C"/>
    <w:rsid w:val="00D3406A"/>
    <w:rsid w:val="00D429B7"/>
    <w:rsid w:val="00D4572C"/>
    <w:rsid w:val="00D469B2"/>
    <w:rsid w:val="00D46E29"/>
    <w:rsid w:val="00D554D4"/>
    <w:rsid w:val="00D65293"/>
    <w:rsid w:val="00D741EB"/>
    <w:rsid w:val="00D745EA"/>
    <w:rsid w:val="00D7571F"/>
    <w:rsid w:val="00D812BA"/>
    <w:rsid w:val="00D83605"/>
    <w:rsid w:val="00D84934"/>
    <w:rsid w:val="00D86851"/>
    <w:rsid w:val="00D86E85"/>
    <w:rsid w:val="00D90613"/>
    <w:rsid w:val="00D91271"/>
    <w:rsid w:val="00D919F5"/>
    <w:rsid w:val="00D94F03"/>
    <w:rsid w:val="00DA01BD"/>
    <w:rsid w:val="00DA24D1"/>
    <w:rsid w:val="00DA2CB5"/>
    <w:rsid w:val="00DA3B4B"/>
    <w:rsid w:val="00DA4BAC"/>
    <w:rsid w:val="00DB1C2C"/>
    <w:rsid w:val="00DC589D"/>
    <w:rsid w:val="00DC694A"/>
    <w:rsid w:val="00DD6ADE"/>
    <w:rsid w:val="00DE0AF6"/>
    <w:rsid w:val="00DE656B"/>
    <w:rsid w:val="00DE6D27"/>
    <w:rsid w:val="00DF217D"/>
    <w:rsid w:val="00DF26A7"/>
    <w:rsid w:val="00DF3820"/>
    <w:rsid w:val="00E15627"/>
    <w:rsid w:val="00E160D2"/>
    <w:rsid w:val="00E164B3"/>
    <w:rsid w:val="00E16910"/>
    <w:rsid w:val="00E20A10"/>
    <w:rsid w:val="00E26589"/>
    <w:rsid w:val="00E42BDB"/>
    <w:rsid w:val="00E442A7"/>
    <w:rsid w:val="00E52886"/>
    <w:rsid w:val="00E57EEB"/>
    <w:rsid w:val="00E62D94"/>
    <w:rsid w:val="00E64BC7"/>
    <w:rsid w:val="00E65E54"/>
    <w:rsid w:val="00E7663F"/>
    <w:rsid w:val="00E80155"/>
    <w:rsid w:val="00E81F28"/>
    <w:rsid w:val="00E82F96"/>
    <w:rsid w:val="00E848C0"/>
    <w:rsid w:val="00E85661"/>
    <w:rsid w:val="00E87D5D"/>
    <w:rsid w:val="00E91A97"/>
    <w:rsid w:val="00E91B96"/>
    <w:rsid w:val="00E92905"/>
    <w:rsid w:val="00E93578"/>
    <w:rsid w:val="00E93935"/>
    <w:rsid w:val="00E941A1"/>
    <w:rsid w:val="00E95CE3"/>
    <w:rsid w:val="00EA131B"/>
    <w:rsid w:val="00EA2825"/>
    <w:rsid w:val="00EA6D8B"/>
    <w:rsid w:val="00EB0B63"/>
    <w:rsid w:val="00EB1936"/>
    <w:rsid w:val="00EB455B"/>
    <w:rsid w:val="00EB5088"/>
    <w:rsid w:val="00EB6A3D"/>
    <w:rsid w:val="00EC1718"/>
    <w:rsid w:val="00EC7AF3"/>
    <w:rsid w:val="00ED1644"/>
    <w:rsid w:val="00ED1718"/>
    <w:rsid w:val="00ED199A"/>
    <w:rsid w:val="00ED2593"/>
    <w:rsid w:val="00ED41F6"/>
    <w:rsid w:val="00ED7D9C"/>
    <w:rsid w:val="00EE30C8"/>
    <w:rsid w:val="00EE5739"/>
    <w:rsid w:val="00EE6C3C"/>
    <w:rsid w:val="00EF0DA1"/>
    <w:rsid w:val="00EF44A0"/>
    <w:rsid w:val="00EF4FED"/>
    <w:rsid w:val="00F01033"/>
    <w:rsid w:val="00F0272A"/>
    <w:rsid w:val="00F050BD"/>
    <w:rsid w:val="00F05657"/>
    <w:rsid w:val="00F25578"/>
    <w:rsid w:val="00F258E5"/>
    <w:rsid w:val="00F27F10"/>
    <w:rsid w:val="00F300BC"/>
    <w:rsid w:val="00F3018F"/>
    <w:rsid w:val="00F3054D"/>
    <w:rsid w:val="00F310F4"/>
    <w:rsid w:val="00F3154E"/>
    <w:rsid w:val="00F3334E"/>
    <w:rsid w:val="00F34D80"/>
    <w:rsid w:val="00F36CCB"/>
    <w:rsid w:val="00F374E5"/>
    <w:rsid w:val="00F4174C"/>
    <w:rsid w:val="00F43AF2"/>
    <w:rsid w:val="00F5007E"/>
    <w:rsid w:val="00F50EC4"/>
    <w:rsid w:val="00F52EE4"/>
    <w:rsid w:val="00F550CF"/>
    <w:rsid w:val="00F57A6D"/>
    <w:rsid w:val="00F611F0"/>
    <w:rsid w:val="00F617F3"/>
    <w:rsid w:val="00F638CC"/>
    <w:rsid w:val="00F64CC1"/>
    <w:rsid w:val="00F708C7"/>
    <w:rsid w:val="00F708ED"/>
    <w:rsid w:val="00F72317"/>
    <w:rsid w:val="00F76867"/>
    <w:rsid w:val="00F80475"/>
    <w:rsid w:val="00F8247A"/>
    <w:rsid w:val="00F9222D"/>
    <w:rsid w:val="00F9629A"/>
    <w:rsid w:val="00F97E2B"/>
    <w:rsid w:val="00F97EFC"/>
    <w:rsid w:val="00FA5883"/>
    <w:rsid w:val="00FA6055"/>
    <w:rsid w:val="00FB0040"/>
    <w:rsid w:val="00FB24DB"/>
    <w:rsid w:val="00FB2D04"/>
    <w:rsid w:val="00FB322F"/>
    <w:rsid w:val="00FB442F"/>
    <w:rsid w:val="00FC16BF"/>
    <w:rsid w:val="00FC1929"/>
    <w:rsid w:val="00FC5B46"/>
    <w:rsid w:val="00FD6D8E"/>
    <w:rsid w:val="00FE0E94"/>
    <w:rsid w:val="00FE16B6"/>
    <w:rsid w:val="00FE7150"/>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E27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0C8"/>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character" w:styleId="FollowedHyperlink">
    <w:name w:val="FollowedHyperlink"/>
    <w:basedOn w:val="DefaultParagraphFont"/>
    <w:rsid w:val="000720B8"/>
    <w:rPr>
      <w:color w:val="800080" w:themeColor="followedHyperlink"/>
      <w:u w:val="single"/>
    </w:rPr>
  </w:style>
  <w:style w:type="paragraph" w:styleId="FootnoteText">
    <w:name w:val="footnote text"/>
    <w:basedOn w:val="Normal"/>
    <w:link w:val="FootnoteTextChar"/>
    <w:rsid w:val="00111618"/>
    <w:rPr>
      <w:sz w:val="20"/>
      <w:szCs w:val="20"/>
    </w:rPr>
  </w:style>
  <w:style w:type="character" w:customStyle="1" w:styleId="FootnoteTextChar">
    <w:name w:val="Footnote Text Char"/>
    <w:basedOn w:val="DefaultParagraphFont"/>
    <w:link w:val="FootnoteText"/>
    <w:rsid w:val="00111618"/>
  </w:style>
  <w:style w:type="character" w:styleId="FootnoteReference">
    <w:name w:val="footnote reference"/>
    <w:basedOn w:val="DefaultParagraphFont"/>
    <w:rsid w:val="00111618"/>
    <w:rPr>
      <w:vertAlign w:val="superscript"/>
    </w:rPr>
  </w:style>
  <w:style w:type="paragraph" w:styleId="Caption">
    <w:name w:val="caption"/>
    <w:basedOn w:val="Normal"/>
    <w:next w:val="Normal"/>
    <w:unhideWhenUsed/>
    <w:qFormat/>
    <w:rsid w:val="008C5F6D"/>
    <w:pPr>
      <w:keepNext/>
    </w:pPr>
    <w:rPr>
      <w:rFonts w:ascii="Arial Narrow" w:hAnsi="Arial Narrow"/>
      <w:b/>
      <w:bCs/>
      <w:color w:val="000000" w:themeColor="text1"/>
      <w:sz w:val="20"/>
      <w:szCs w:val="20"/>
    </w:rPr>
  </w:style>
  <w:style w:type="table" w:styleId="TableClassic1">
    <w:name w:val="Table Classic 1"/>
    <w:basedOn w:val="TableNormal"/>
    <w:rsid w:val="008E66F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
    <w:name w:val="Body Text"/>
    <w:basedOn w:val="Normal"/>
    <w:link w:val="BodyTextChar"/>
    <w:rsid w:val="00D46E29"/>
    <w:pPr>
      <w:spacing w:after="120"/>
    </w:pPr>
  </w:style>
  <w:style w:type="character" w:customStyle="1" w:styleId="BodyTextChar">
    <w:name w:val="Body Text Char"/>
    <w:basedOn w:val="DefaultParagraphFont"/>
    <w:link w:val="BodyText"/>
    <w:rsid w:val="00D46E29"/>
    <w:rPr>
      <w:sz w:val="24"/>
      <w:szCs w:val="24"/>
    </w:rPr>
  </w:style>
  <w:style w:type="table" w:customStyle="1" w:styleId="TableGridLight1">
    <w:name w:val="Table Grid Light1"/>
    <w:basedOn w:val="TableNormal"/>
    <w:uiPriority w:val="40"/>
    <w:rsid w:val="007C68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Footer">
    <w:name w:val="Table Footer"/>
    <w:basedOn w:val="Normal"/>
    <w:link w:val="TableFooterChar"/>
    <w:qFormat/>
    <w:rsid w:val="00695B00"/>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695B00"/>
    <w:rPr>
      <w:rFonts w:ascii="Arial Narrow" w:hAnsi="Arial Narrow" w:cs="Arial"/>
      <w:snapToGrid w:val="0"/>
      <w:sz w:val="18"/>
      <w:szCs w:val="22"/>
      <w:lang w:eastAsia="en-US"/>
    </w:rPr>
  </w:style>
  <w:style w:type="character" w:styleId="PlaceholderText">
    <w:name w:val="Placeholder Text"/>
    <w:basedOn w:val="DefaultParagraphFont"/>
    <w:uiPriority w:val="99"/>
    <w:unhideWhenUsed/>
    <w:rsid w:val="00A74439"/>
    <w:rPr>
      <w:color w:val="808080"/>
    </w:rPr>
  </w:style>
  <w:style w:type="character" w:customStyle="1" w:styleId="TabletextChar">
    <w:name w:val="Table text Char"/>
    <w:link w:val="Tabletext"/>
    <w:uiPriority w:val="2"/>
    <w:rsid w:val="00AC5C36"/>
    <w:rPr>
      <w:rFonts w:ascii="Arial" w:hAnsi="Arial"/>
      <w:lang w:eastAsia="en-US"/>
    </w:rPr>
  </w:style>
  <w:style w:type="paragraph" w:styleId="Revision">
    <w:name w:val="Revision"/>
    <w:hidden/>
    <w:uiPriority w:val="71"/>
    <w:semiHidden/>
    <w:rsid w:val="00861D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23084777">
      <w:bodyDiv w:val="1"/>
      <w:marLeft w:val="0"/>
      <w:marRight w:val="0"/>
      <w:marTop w:val="0"/>
      <w:marBottom w:val="0"/>
      <w:divBdr>
        <w:top w:val="none" w:sz="0" w:space="0" w:color="auto"/>
        <w:left w:val="none" w:sz="0" w:space="0" w:color="auto"/>
        <w:bottom w:val="none" w:sz="0" w:space="0" w:color="auto"/>
        <w:right w:val="none" w:sz="0" w:space="0" w:color="auto"/>
      </w:divBdr>
    </w:div>
    <w:div w:id="1110199592">
      <w:bodyDiv w:val="1"/>
      <w:marLeft w:val="0"/>
      <w:marRight w:val="0"/>
      <w:marTop w:val="0"/>
      <w:marBottom w:val="0"/>
      <w:divBdr>
        <w:top w:val="none" w:sz="0" w:space="0" w:color="auto"/>
        <w:left w:val="none" w:sz="0" w:space="0" w:color="auto"/>
        <w:bottom w:val="none" w:sz="0" w:space="0" w:color="auto"/>
        <w:right w:val="none" w:sz="0" w:space="0" w:color="auto"/>
      </w:divBdr>
    </w:div>
    <w:div w:id="131159438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35082141">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00DB1-AEF1-4AFC-A3BC-A5F21E72F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2700</Words>
  <Characters>15548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2019-06-24T23:30:00Z</dcterms:created>
  <dcterms:modified xsi:type="dcterms:W3CDTF">2019-07-01T04:27:00Z</dcterms:modified>
</cp:coreProperties>
</file>