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AE" w:rsidRPr="00D439EE" w:rsidRDefault="003B02AE" w:rsidP="00313D08">
      <w:pPr>
        <w:pStyle w:val="Title"/>
        <w:spacing w:before="120" w:after="360"/>
        <w:ind w:left="720" w:hanging="720"/>
        <w:contextualSpacing w:val="0"/>
        <w:rPr>
          <w:rFonts w:asciiTheme="minorHAnsi" w:hAnsiTheme="minorHAnsi"/>
          <w:sz w:val="36"/>
          <w:szCs w:val="36"/>
        </w:rPr>
      </w:pPr>
      <w:r w:rsidRPr="00D439EE">
        <w:rPr>
          <w:rFonts w:asciiTheme="minorHAnsi" w:hAnsiTheme="minorHAnsi"/>
          <w:sz w:val="36"/>
          <w:szCs w:val="36"/>
        </w:rPr>
        <w:t>6.14</w:t>
      </w:r>
      <w:r w:rsidRPr="00D439EE">
        <w:rPr>
          <w:rFonts w:asciiTheme="minorHAnsi" w:hAnsiTheme="minorHAnsi"/>
          <w:sz w:val="36"/>
          <w:szCs w:val="36"/>
        </w:rPr>
        <w:tab/>
      </w:r>
      <w:r w:rsidR="007D60F5" w:rsidRPr="00D439EE">
        <w:rPr>
          <w:rFonts w:asciiTheme="minorHAnsi" w:hAnsiTheme="minorHAnsi"/>
          <w:sz w:val="36"/>
          <w:szCs w:val="36"/>
        </w:rPr>
        <w:t xml:space="preserve">NIVOLUMAB </w:t>
      </w:r>
      <w:r w:rsidR="007D60F5" w:rsidRPr="00D439EE">
        <w:rPr>
          <w:rFonts w:asciiTheme="minorHAnsi" w:hAnsiTheme="minorHAnsi"/>
          <w:sz w:val="36"/>
          <w:szCs w:val="36"/>
        </w:rPr>
        <w:br/>
        <w:t>Injection concentrate for I</w:t>
      </w:r>
      <w:r w:rsidR="00EB49A4">
        <w:rPr>
          <w:rFonts w:asciiTheme="minorHAnsi" w:hAnsiTheme="minorHAnsi"/>
          <w:sz w:val="36"/>
          <w:szCs w:val="36"/>
        </w:rPr>
        <w:t>.</w:t>
      </w:r>
      <w:r w:rsidR="007D60F5" w:rsidRPr="00D439EE">
        <w:rPr>
          <w:rFonts w:asciiTheme="minorHAnsi" w:hAnsiTheme="minorHAnsi"/>
          <w:sz w:val="36"/>
          <w:szCs w:val="36"/>
        </w:rPr>
        <w:t>V</w:t>
      </w:r>
      <w:r w:rsidR="00EB49A4">
        <w:rPr>
          <w:rFonts w:asciiTheme="minorHAnsi" w:hAnsiTheme="minorHAnsi"/>
          <w:sz w:val="36"/>
          <w:szCs w:val="36"/>
        </w:rPr>
        <w:t>.</w:t>
      </w:r>
      <w:r w:rsidR="007D60F5" w:rsidRPr="00D439EE">
        <w:rPr>
          <w:rFonts w:asciiTheme="minorHAnsi" w:hAnsiTheme="minorHAnsi"/>
          <w:sz w:val="36"/>
          <w:szCs w:val="36"/>
        </w:rPr>
        <w:t xml:space="preserve"> infusion</w:t>
      </w:r>
      <w:r w:rsidRPr="00D439EE">
        <w:rPr>
          <w:rFonts w:asciiTheme="minorHAnsi" w:hAnsiTheme="minorHAnsi"/>
          <w:sz w:val="36"/>
          <w:szCs w:val="36"/>
        </w:rPr>
        <w:t xml:space="preserve">, </w:t>
      </w:r>
      <w:r w:rsidR="007D60F5" w:rsidRPr="00D439EE">
        <w:rPr>
          <w:rFonts w:asciiTheme="minorHAnsi" w:hAnsiTheme="minorHAnsi"/>
          <w:sz w:val="36"/>
          <w:szCs w:val="36"/>
        </w:rPr>
        <w:t xml:space="preserve">40 mg in </w:t>
      </w:r>
      <w:r w:rsidRPr="00D439EE">
        <w:rPr>
          <w:rFonts w:asciiTheme="minorHAnsi" w:hAnsiTheme="minorHAnsi"/>
          <w:sz w:val="36"/>
          <w:szCs w:val="36"/>
        </w:rPr>
        <w:t>4 mL,</w:t>
      </w:r>
      <w:r w:rsidR="007D60F5" w:rsidRPr="00D439EE">
        <w:rPr>
          <w:rFonts w:asciiTheme="minorHAnsi" w:hAnsiTheme="minorHAnsi"/>
          <w:sz w:val="36"/>
          <w:szCs w:val="36"/>
        </w:rPr>
        <w:t xml:space="preserve"> 100 mg in</w:t>
      </w:r>
      <w:r w:rsidRPr="00D439EE">
        <w:rPr>
          <w:rFonts w:asciiTheme="minorHAnsi" w:hAnsiTheme="minorHAnsi"/>
          <w:sz w:val="36"/>
          <w:szCs w:val="36"/>
        </w:rPr>
        <w:t xml:space="preserve"> 10 mL</w:t>
      </w:r>
      <w:r w:rsidR="007D60F5" w:rsidRPr="00D439EE">
        <w:rPr>
          <w:rFonts w:asciiTheme="minorHAnsi" w:hAnsiTheme="minorHAnsi"/>
          <w:sz w:val="36"/>
          <w:szCs w:val="36"/>
        </w:rPr>
        <w:t xml:space="preserve"> </w:t>
      </w:r>
      <w:r w:rsidR="007D60F5" w:rsidRPr="00D439EE">
        <w:rPr>
          <w:rFonts w:asciiTheme="minorHAnsi" w:hAnsiTheme="minorHAnsi"/>
          <w:sz w:val="36"/>
          <w:szCs w:val="36"/>
        </w:rPr>
        <w:br/>
      </w:r>
      <w:proofErr w:type="spellStart"/>
      <w:r w:rsidR="007D60F5" w:rsidRPr="00D439EE">
        <w:rPr>
          <w:rFonts w:asciiTheme="minorHAnsi" w:hAnsiTheme="minorHAnsi"/>
          <w:sz w:val="36"/>
          <w:szCs w:val="36"/>
        </w:rPr>
        <w:t>Opdivo</w:t>
      </w:r>
      <w:proofErr w:type="spellEnd"/>
      <w:r w:rsidRPr="00D439EE">
        <w:rPr>
          <w:rFonts w:asciiTheme="minorHAnsi" w:hAnsiTheme="minorHAnsi"/>
          <w:sz w:val="36"/>
          <w:szCs w:val="36"/>
          <w:vertAlign w:val="superscript"/>
        </w:rPr>
        <w:t>®</w:t>
      </w:r>
      <w:r w:rsidRPr="00D439EE">
        <w:rPr>
          <w:rFonts w:asciiTheme="minorHAnsi" w:hAnsiTheme="minorHAnsi"/>
          <w:sz w:val="36"/>
          <w:szCs w:val="36"/>
        </w:rPr>
        <w:t xml:space="preserve">, Bristol-Myers Squibb </w:t>
      </w:r>
      <w:r w:rsidR="00B97EAD" w:rsidRPr="00D439EE">
        <w:rPr>
          <w:rFonts w:asciiTheme="minorHAnsi" w:hAnsiTheme="minorHAnsi"/>
          <w:sz w:val="36"/>
          <w:szCs w:val="36"/>
        </w:rPr>
        <w:t>Australia Pty Ltd</w:t>
      </w:r>
    </w:p>
    <w:p w:rsidR="008A50F1" w:rsidRPr="00D439EE" w:rsidRDefault="00CE10C4" w:rsidP="004C08A9">
      <w:pPr>
        <w:pStyle w:val="PBACHeading1"/>
        <w:spacing w:before="120" w:after="120"/>
        <w:ind w:left="709" w:hanging="709"/>
        <w:rPr>
          <w:rFonts w:asciiTheme="minorHAnsi" w:hAnsiTheme="minorHAnsi"/>
          <w:sz w:val="32"/>
          <w:szCs w:val="32"/>
        </w:rPr>
      </w:pPr>
      <w:r w:rsidRPr="00D439EE">
        <w:rPr>
          <w:rFonts w:asciiTheme="minorHAnsi" w:hAnsiTheme="minorHAnsi"/>
          <w:sz w:val="32"/>
          <w:szCs w:val="32"/>
        </w:rPr>
        <w:t xml:space="preserve">Purpose of </w:t>
      </w:r>
      <w:r w:rsidR="0004240E" w:rsidRPr="00D439EE">
        <w:rPr>
          <w:rFonts w:asciiTheme="minorHAnsi" w:hAnsiTheme="minorHAnsi"/>
          <w:sz w:val="32"/>
          <w:szCs w:val="32"/>
        </w:rPr>
        <w:t>Application</w:t>
      </w:r>
    </w:p>
    <w:p w:rsidR="003B02AE" w:rsidRPr="00D439EE" w:rsidRDefault="003B02AE" w:rsidP="004C08A9">
      <w:pPr>
        <w:pStyle w:val="ListParagraph"/>
        <w:widowControl/>
        <w:numPr>
          <w:ilvl w:val="1"/>
          <w:numId w:val="5"/>
        </w:numPr>
        <w:spacing w:before="120" w:after="120"/>
        <w:contextualSpacing w:val="0"/>
        <w:rPr>
          <w:rFonts w:asciiTheme="minorHAnsi" w:hAnsiTheme="minorHAnsi"/>
          <w:sz w:val="24"/>
          <w:szCs w:val="24"/>
        </w:rPr>
      </w:pPr>
      <w:r w:rsidRPr="00D439EE">
        <w:rPr>
          <w:rFonts w:asciiTheme="minorHAnsi" w:eastAsiaTheme="minorHAnsi" w:hAnsiTheme="minorHAnsi" w:cstheme="minorBidi"/>
          <w:snapToGrid/>
          <w:sz w:val="24"/>
          <w:szCs w:val="22"/>
        </w:rPr>
        <w:t xml:space="preserve">The minor submission requested </w:t>
      </w:r>
      <w:r w:rsidR="00B87A1D" w:rsidRPr="00D439EE">
        <w:rPr>
          <w:rFonts w:asciiTheme="minorHAnsi" w:eastAsiaTheme="minorHAnsi" w:hAnsiTheme="minorHAnsi" w:cstheme="minorBidi"/>
          <w:snapToGrid/>
          <w:sz w:val="24"/>
          <w:szCs w:val="22"/>
        </w:rPr>
        <w:t xml:space="preserve">the addition of two </w:t>
      </w:r>
      <w:r w:rsidR="00932DBF" w:rsidRPr="00D439EE">
        <w:rPr>
          <w:rFonts w:asciiTheme="minorHAnsi" w:eastAsiaTheme="minorHAnsi" w:hAnsiTheme="minorHAnsi" w:cstheme="minorBidi"/>
          <w:snapToGrid/>
          <w:sz w:val="24"/>
          <w:szCs w:val="22"/>
        </w:rPr>
        <w:t xml:space="preserve">flat </w:t>
      </w:r>
      <w:r w:rsidR="00B87A1D" w:rsidRPr="00D439EE">
        <w:rPr>
          <w:rFonts w:asciiTheme="minorHAnsi" w:eastAsiaTheme="minorHAnsi" w:hAnsiTheme="minorHAnsi" w:cstheme="minorBidi"/>
          <w:snapToGrid/>
          <w:sz w:val="24"/>
          <w:szCs w:val="22"/>
        </w:rPr>
        <w:t xml:space="preserve">dosing regimens </w:t>
      </w:r>
      <w:r w:rsidRPr="00D439EE">
        <w:rPr>
          <w:rFonts w:asciiTheme="minorHAnsi" w:eastAsiaTheme="minorHAnsi" w:hAnsiTheme="minorHAnsi" w:cstheme="minorBidi"/>
          <w:snapToGrid/>
          <w:sz w:val="24"/>
          <w:szCs w:val="22"/>
        </w:rPr>
        <w:t xml:space="preserve">to </w:t>
      </w:r>
      <w:r w:rsidRPr="00D439EE">
        <w:rPr>
          <w:rFonts w:asciiTheme="minorHAnsi" w:hAnsiTheme="minorHAnsi"/>
          <w:sz w:val="24"/>
          <w:szCs w:val="24"/>
        </w:rPr>
        <w:t>the curre</w:t>
      </w:r>
      <w:r w:rsidR="00B87A1D" w:rsidRPr="00D439EE">
        <w:rPr>
          <w:rFonts w:asciiTheme="minorHAnsi" w:hAnsiTheme="minorHAnsi"/>
          <w:sz w:val="24"/>
          <w:szCs w:val="24"/>
        </w:rPr>
        <w:t>nt 3</w:t>
      </w:r>
      <w:r w:rsidR="00B97EAD" w:rsidRPr="00D439EE">
        <w:rPr>
          <w:rFonts w:asciiTheme="minorHAnsi" w:hAnsiTheme="minorHAnsi"/>
          <w:sz w:val="24"/>
          <w:szCs w:val="24"/>
        </w:rPr>
        <w:t xml:space="preserve"> </w:t>
      </w:r>
      <w:r w:rsidR="00B87A1D" w:rsidRPr="00D439EE">
        <w:rPr>
          <w:rFonts w:asciiTheme="minorHAnsi" w:hAnsiTheme="minorHAnsi"/>
          <w:sz w:val="24"/>
          <w:szCs w:val="24"/>
        </w:rPr>
        <w:t xml:space="preserve">mg/kg every two weeks (Q2W) weight based </w:t>
      </w:r>
      <w:r w:rsidRPr="00D439EE">
        <w:rPr>
          <w:rFonts w:asciiTheme="minorHAnsi" w:hAnsiTheme="minorHAnsi"/>
          <w:sz w:val="24"/>
          <w:szCs w:val="24"/>
        </w:rPr>
        <w:t>dosing regimen to</w:t>
      </w:r>
      <w:r w:rsidR="00B87A1D" w:rsidRPr="00D439EE">
        <w:rPr>
          <w:rFonts w:asciiTheme="minorHAnsi" w:hAnsiTheme="minorHAnsi"/>
          <w:sz w:val="24"/>
          <w:szCs w:val="24"/>
        </w:rPr>
        <w:t xml:space="preserve"> </w:t>
      </w:r>
      <w:r w:rsidRPr="00D439EE">
        <w:rPr>
          <w:rFonts w:asciiTheme="minorHAnsi" w:hAnsiTheme="minorHAnsi"/>
          <w:sz w:val="24"/>
          <w:szCs w:val="24"/>
        </w:rPr>
        <w:t>allow clinician</w:t>
      </w:r>
      <w:r w:rsidR="00641CF2" w:rsidRPr="00D439EE">
        <w:rPr>
          <w:rFonts w:asciiTheme="minorHAnsi" w:hAnsiTheme="minorHAnsi"/>
          <w:sz w:val="24"/>
          <w:szCs w:val="24"/>
        </w:rPr>
        <w:t>s</w:t>
      </w:r>
      <w:r w:rsidRPr="00D439EE">
        <w:rPr>
          <w:rFonts w:asciiTheme="minorHAnsi" w:hAnsiTheme="minorHAnsi"/>
          <w:sz w:val="24"/>
          <w:szCs w:val="24"/>
        </w:rPr>
        <w:t xml:space="preserve"> choice of either:</w:t>
      </w:r>
    </w:p>
    <w:p w:rsidR="003B02AE" w:rsidRPr="00D439EE" w:rsidRDefault="003B02AE" w:rsidP="004C08A9">
      <w:pPr>
        <w:pStyle w:val="ListParagraph"/>
        <w:widowControl/>
        <w:numPr>
          <w:ilvl w:val="0"/>
          <w:numId w:val="34"/>
        </w:numPr>
        <w:spacing w:before="120" w:after="120"/>
        <w:rPr>
          <w:rFonts w:asciiTheme="minorHAnsi" w:hAnsiTheme="minorHAnsi"/>
          <w:sz w:val="24"/>
          <w:szCs w:val="24"/>
        </w:rPr>
      </w:pPr>
      <w:r w:rsidRPr="00D439EE">
        <w:rPr>
          <w:rFonts w:asciiTheme="minorHAnsi" w:hAnsiTheme="minorHAnsi"/>
          <w:sz w:val="24"/>
          <w:szCs w:val="24"/>
        </w:rPr>
        <w:t>weight-based 3</w:t>
      </w:r>
      <w:r w:rsidR="00B97EAD" w:rsidRPr="00D439EE">
        <w:rPr>
          <w:rFonts w:asciiTheme="minorHAnsi" w:hAnsiTheme="minorHAnsi"/>
          <w:sz w:val="24"/>
          <w:szCs w:val="24"/>
        </w:rPr>
        <w:t xml:space="preserve"> </w:t>
      </w:r>
      <w:r w:rsidRPr="00D439EE">
        <w:rPr>
          <w:rFonts w:asciiTheme="minorHAnsi" w:hAnsiTheme="minorHAnsi"/>
          <w:sz w:val="24"/>
          <w:szCs w:val="24"/>
        </w:rPr>
        <w:t>mg/kg Q2W dosing, or</w:t>
      </w:r>
    </w:p>
    <w:p w:rsidR="003B02AE" w:rsidRPr="00D439EE" w:rsidRDefault="00932DBF" w:rsidP="004C08A9">
      <w:pPr>
        <w:pStyle w:val="ListParagraph"/>
        <w:widowControl/>
        <w:numPr>
          <w:ilvl w:val="0"/>
          <w:numId w:val="34"/>
        </w:numPr>
        <w:spacing w:before="120" w:after="120"/>
        <w:rPr>
          <w:rFonts w:asciiTheme="minorHAnsi" w:hAnsiTheme="minorHAnsi"/>
          <w:sz w:val="24"/>
          <w:szCs w:val="24"/>
        </w:rPr>
      </w:pPr>
      <w:r w:rsidRPr="00D439EE">
        <w:rPr>
          <w:rFonts w:asciiTheme="minorHAnsi" w:hAnsiTheme="minorHAnsi"/>
          <w:sz w:val="24"/>
          <w:szCs w:val="24"/>
        </w:rPr>
        <w:t>flat</w:t>
      </w:r>
      <w:r w:rsidR="003B02AE" w:rsidRPr="00D439EE">
        <w:rPr>
          <w:rFonts w:asciiTheme="minorHAnsi" w:hAnsiTheme="minorHAnsi"/>
          <w:sz w:val="24"/>
          <w:szCs w:val="24"/>
        </w:rPr>
        <w:t xml:space="preserve"> 240</w:t>
      </w:r>
      <w:r w:rsidR="00B97EAD" w:rsidRPr="00D439EE">
        <w:rPr>
          <w:rFonts w:asciiTheme="minorHAnsi" w:hAnsiTheme="minorHAnsi"/>
          <w:sz w:val="24"/>
          <w:szCs w:val="24"/>
        </w:rPr>
        <w:t xml:space="preserve"> </w:t>
      </w:r>
      <w:r w:rsidR="003B02AE" w:rsidRPr="00D439EE">
        <w:rPr>
          <w:rFonts w:asciiTheme="minorHAnsi" w:hAnsiTheme="minorHAnsi"/>
          <w:sz w:val="24"/>
          <w:szCs w:val="24"/>
        </w:rPr>
        <w:t xml:space="preserve">mg Q2W dosing, or </w:t>
      </w:r>
    </w:p>
    <w:p w:rsidR="003B02AE" w:rsidRPr="00D439EE" w:rsidRDefault="00932DBF" w:rsidP="004C08A9">
      <w:pPr>
        <w:pStyle w:val="ListParagraph"/>
        <w:widowControl/>
        <w:numPr>
          <w:ilvl w:val="0"/>
          <w:numId w:val="34"/>
        </w:numPr>
        <w:spacing w:before="120" w:after="120"/>
        <w:contextualSpacing w:val="0"/>
        <w:rPr>
          <w:rFonts w:asciiTheme="minorHAnsi" w:hAnsiTheme="minorHAnsi"/>
          <w:sz w:val="24"/>
          <w:szCs w:val="24"/>
        </w:rPr>
      </w:pPr>
      <w:r w:rsidRPr="00D439EE">
        <w:rPr>
          <w:rFonts w:asciiTheme="minorHAnsi" w:hAnsiTheme="minorHAnsi"/>
          <w:sz w:val="24"/>
          <w:szCs w:val="24"/>
        </w:rPr>
        <w:t xml:space="preserve">flat </w:t>
      </w:r>
      <w:r w:rsidR="003B02AE" w:rsidRPr="00D439EE">
        <w:rPr>
          <w:rFonts w:asciiTheme="minorHAnsi" w:hAnsiTheme="minorHAnsi"/>
          <w:sz w:val="24"/>
          <w:szCs w:val="24"/>
        </w:rPr>
        <w:t>480</w:t>
      </w:r>
      <w:r w:rsidR="00B97EAD" w:rsidRPr="00D439EE">
        <w:rPr>
          <w:rFonts w:asciiTheme="minorHAnsi" w:hAnsiTheme="minorHAnsi"/>
          <w:sz w:val="24"/>
          <w:szCs w:val="24"/>
        </w:rPr>
        <w:t xml:space="preserve"> </w:t>
      </w:r>
      <w:r w:rsidR="003B02AE" w:rsidRPr="00D439EE">
        <w:rPr>
          <w:rFonts w:asciiTheme="minorHAnsi" w:hAnsiTheme="minorHAnsi"/>
          <w:sz w:val="24"/>
          <w:szCs w:val="24"/>
        </w:rPr>
        <w:t xml:space="preserve">mg Q4W dosing </w:t>
      </w:r>
    </w:p>
    <w:p w:rsidR="00641CF2" w:rsidRPr="00D439EE" w:rsidRDefault="003B02AE" w:rsidP="004C08A9">
      <w:pPr>
        <w:pStyle w:val="ListParagraph"/>
        <w:widowControl/>
        <w:numPr>
          <w:ilvl w:val="1"/>
          <w:numId w:val="5"/>
        </w:numPr>
        <w:spacing w:before="120" w:after="120"/>
        <w:contextualSpacing w:val="0"/>
        <w:rPr>
          <w:rFonts w:asciiTheme="minorHAnsi" w:hAnsiTheme="minorHAnsi"/>
          <w:sz w:val="24"/>
          <w:szCs w:val="24"/>
        </w:rPr>
      </w:pPr>
      <w:r w:rsidRPr="00D439EE">
        <w:rPr>
          <w:rFonts w:asciiTheme="minorHAnsi" w:hAnsiTheme="minorHAnsi"/>
          <w:sz w:val="24"/>
          <w:szCs w:val="24"/>
        </w:rPr>
        <w:t xml:space="preserve">The </w:t>
      </w:r>
      <w:r w:rsidR="00360931" w:rsidRPr="00D439EE">
        <w:rPr>
          <w:rFonts w:asciiTheme="minorHAnsi" w:hAnsiTheme="minorHAnsi"/>
          <w:sz w:val="24"/>
          <w:szCs w:val="24"/>
        </w:rPr>
        <w:t xml:space="preserve">minor </w:t>
      </w:r>
      <w:r w:rsidR="00641CF2" w:rsidRPr="00D439EE">
        <w:rPr>
          <w:rFonts w:asciiTheme="minorHAnsi" w:hAnsiTheme="minorHAnsi"/>
          <w:sz w:val="24"/>
          <w:szCs w:val="24"/>
        </w:rPr>
        <w:t xml:space="preserve">submission </w:t>
      </w:r>
      <w:r w:rsidRPr="00D439EE">
        <w:rPr>
          <w:rFonts w:asciiTheme="minorHAnsi" w:hAnsiTheme="minorHAnsi"/>
          <w:sz w:val="24"/>
          <w:szCs w:val="24"/>
        </w:rPr>
        <w:t xml:space="preserve">requested that all three dosing </w:t>
      </w:r>
      <w:r w:rsidR="00641CF2" w:rsidRPr="00D439EE">
        <w:rPr>
          <w:rFonts w:asciiTheme="minorHAnsi" w:hAnsiTheme="minorHAnsi"/>
          <w:sz w:val="24"/>
          <w:szCs w:val="24"/>
        </w:rPr>
        <w:t>regimens</w:t>
      </w:r>
      <w:r w:rsidRPr="00D439EE">
        <w:rPr>
          <w:rFonts w:asciiTheme="minorHAnsi" w:hAnsiTheme="minorHAnsi"/>
          <w:sz w:val="24"/>
          <w:szCs w:val="24"/>
        </w:rPr>
        <w:t xml:space="preserve"> be made available for </w:t>
      </w:r>
      <w:r w:rsidR="00F215B6" w:rsidRPr="00D439EE">
        <w:rPr>
          <w:rFonts w:asciiTheme="minorHAnsi" w:hAnsiTheme="minorHAnsi"/>
          <w:sz w:val="24"/>
          <w:szCs w:val="24"/>
        </w:rPr>
        <w:t>all</w:t>
      </w:r>
      <w:r w:rsidRPr="00D439EE">
        <w:rPr>
          <w:rFonts w:asciiTheme="minorHAnsi" w:hAnsiTheme="minorHAnsi"/>
          <w:sz w:val="24"/>
          <w:szCs w:val="24"/>
        </w:rPr>
        <w:t xml:space="preserve"> </w:t>
      </w:r>
      <w:r w:rsidR="00E62715" w:rsidRPr="00D439EE">
        <w:rPr>
          <w:rFonts w:asciiTheme="minorHAnsi" w:hAnsiTheme="minorHAnsi"/>
          <w:sz w:val="24"/>
          <w:szCs w:val="24"/>
        </w:rPr>
        <w:t>existing nivolumab PBS</w:t>
      </w:r>
      <w:r w:rsidR="00641CF2" w:rsidRPr="00D439EE">
        <w:rPr>
          <w:rFonts w:asciiTheme="minorHAnsi" w:hAnsiTheme="minorHAnsi"/>
          <w:sz w:val="24"/>
          <w:szCs w:val="24"/>
        </w:rPr>
        <w:t xml:space="preserve"> listed indications </w:t>
      </w:r>
      <w:r w:rsidRPr="00D439EE">
        <w:rPr>
          <w:rFonts w:asciiTheme="minorHAnsi" w:hAnsiTheme="minorHAnsi"/>
          <w:sz w:val="24"/>
          <w:szCs w:val="24"/>
        </w:rPr>
        <w:t>for the treatment of unresectable Stage III or Stage IV malignant melanoma</w:t>
      </w:r>
      <w:r w:rsidR="00481765" w:rsidRPr="00D439EE">
        <w:rPr>
          <w:rFonts w:asciiTheme="minorHAnsi" w:hAnsiTheme="minorHAnsi"/>
          <w:sz w:val="24"/>
          <w:szCs w:val="24"/>
        </w:rPr>
        <w:t xml:space="preserve"> (</w:t>
      </w:r>
      <w:r w:rsidR="00755189" w:rsidRPr="00D439EE">
        <w:rPr>
          <w:rFonts w:asciiTheme="minorHAnsi" w:hAnsiTheme="minorHAnsi"/>
          <w:sz w:val="24"/>
          <w:szCs w:val="24"/>
        </w:rPr>
        <w:t xml:space="preserve">both as monotherapy and in the maintenance phase </w:t>
      </w:r>
      <w:r w:rsidR="00481765" w:rsidRPr="00D439EE">
        <w:rPr>
          <w:rFonts w:asciiTheme="minorHAnsi" w:hAnsiTheme="minorHAnsi"/>
          <w:sz w:val="24"/>
          <w:szCs w:val="24"/>
        </w:rPr>
        <w:t xml:space="preserve">following </w:t>
      </w:r>
      <w:r w:rsidR="00992490" w:rsidRPr="00D439EE">
        <w:rPr>
          <w:rFonts w:asciiTheme="minorHAnsi" w:hAnsiTheme="minorHAnsi"/>
          <w:sz w:val="24"/>
          <w:szCs w:val="24"/>
        </w:rPr>
        <w:t xml:space="preserve">treatment with </w:t>
      </w:r>
      <w:proofErr w:type="spellStart"/>
      <w:r w:rsidR="00992490" w:rsidRPr="00D439EE">
        <w:rPr>
          <w:rFonts w:asciiTheme="minorHAnsi" w:hAnsiTheme="minorHAnsi"/>
          <w:sz w:val="24"/>
          <w:szCs w:val="24"/>
        </w:rPr>
        <w:t>ipilimumab</w:t>
      </w:r>
      <w:proofErr w:type="spellEnd"/>
      <w:r w:rsidR="00992490" w:rsidRPr="00D439EE">
        <w:rPr>
          <w:rFonts w:asciiTheme="minorHAnsi" w:hAnsiTheme="minorHAnsi"/>
          <w:sz w:val="24"/>
          <w:szCs w:val="24"/>
        </w:rPr>
        <w:t>)</w:t>
      </w:r>
      <w:r w:rsidRPr="00D439EE">
        <w:rPr>
          <w:rFonts w:asciiTheme="minorHAnsi" w:hAnsiTheme="minorHAnsi"/>
          <w:sz w:val="24"/>
          <w:szCs w:val="24"/>
        </w:rPr>
        <w:t>, second li</w:t>
      </w:r>
      <w:r w:rsidR="001C6D41" w:rsidRPr="00D439EE">
        <w:rPr>
          <w:rFonts w:asciiTheme="minorHAnsi" w:hAnsiTheme="minorHAnsi"/>
          <w:sz w:val="24"/>
          <w:szCs w:val="24"/>
        </w:rPr>
        <w:t>ne non-small cell lung cancer (2</w:t>
      </w:r>
      <w:r w:rsidRPr="00D439EE">
        <w:rPr>
          <w:rFonts w:asciiTheme="minorHAnsi" w:hAnsiTheme="minorHAnsi"/>
          <w:sz w:val="24"/>
          <w:szCs w:val="24"/>
        </w:rPr>
        <w:t>L NSCLC), second line renal cell carcinoma (2L RCC) and recurrent or metastatic squamous cell carcinoma of the head and neck (R/M SCCHN)</w:t>
      </w:r>
      <w:r w:rsidR="00641CF2" w:rsidRPr="00D439EE">
        <w:rPr>
          <w:rFonts w:asciiTheme="minorHAnsi" w:hAnsiTheme="minorHAnsi"/>
          <w:sz w:val="24"/>
          <w:szCs w:val="24"/>
        </w:rPr>
        <w:t xml:space="preserve">. </w:t>
      </w:r>
    </w:p>
    <w:p w:rsidR="003B02AE" w:rsidRPr="00D439EE" w:rsidRDefault="00641CF2" w:rsidP="004C08A9">
      <w:pPr>
        <w:pStyle w:val="ListParagraph"/>
        <w:widowControl/>
        <w:numPr>
          <w:ilvl w:val="1"/>
          <w:numId w:val="5"/>
        </w:numPr>
        <w:spacing w:before="120" w:after="120"/>
        <w:contextualSpacing w:val="0"/>
        <w:rPr>
          <w:rFonts w:asciiTheme="minorHAnsi" w:hAnsiTheme="minorHAnsi"/>
          <w:sz w:val="24"/>
          <w:szCs w:val="24"/>
        </w:rPr>
      </w:pPr>
      <w:r w:rsidRPr="00D439EE">
        <w:rPr>
          <w:rFonts w:asciiTheme="minorHAnsi" w:hAnsiTheme="minorHAnsi"/>
          <w:sz w:val="24"/>
          <w:szCs w:val="24"/>
        </w:rPr>
        <w:t>The</w:t>
      </w:r>
      <w:r w:rsidR="00360931" w:rsidRPr="00D439EE">
        <w:rPr>
          <w:rFonts w:asciiTheme="minorHAnsi" w:hAnsiTheme="minorHAnsi"/>
          <w:sz w:val="24"/>
          <w:szCs w:val="24"/>
        </w:rPr>
        <w:t xml:space="preserve"> minor</w:t>
      </w:r>
      <w:r w:rsidRPr="00D439EE">
        <w:rPr>
          <w:rFonts w:asciiTheme="minorHAnsi" w:hAnsiTheme="minorHAnsi"/>
          <w:sz w:val="24"/>
          <w:szCs w:val="24"/>
        </w:rPr>
        <w:t xml:space="preserve"> submission also requested that the three dosing regimens be made available </w:t>
      </w:r>
      <w:r w:rsidR="003B02AE" w:rsidRPr="00D439EE">
        <w:rPr>
          <w:rFonts w:asciiTheme="minorHAnsi" w:hAnsiTheme="minorHAnsi"/>
          <w:sz w:val="24"/>
          <w:szCs w:val="24"/>
        </w:rPr>
        <w:t>for all future PBS listed indications wher</w:t>
      </w:r>
      <w:r w:rsidR="00986EA2" w:rsidRPr="00D439EE">
        <w:rPr>
          <w:rFonts w:asciiTheme="minorHAnsi" w:hAnsiTheme="minorHAnsi"/>
          <w:sz w:val="24"/>
          <w:szCs w:val="24"/>
        </w:rPr>
        <w:t xml:space="preserve">e nivolumab monotherapy is used, including the </w:t>
      </w:r>
      <w:r w:rsidR="008818F9" w:rsidRPr="00D439EE">
        <w:rPr>
          <w:rFonts w:asciiTheme="minorHAnsi" w:hAnsiTheme="minorHAnsi"/>
          <w:sz w:val="24"/>
          <w:szCs w:val="24"/>
        </w:rPr>
        <w:t xml:space="preserve">indication for the </w:t>
      </w:r>
      <w:r w:rsidR="00986EA2" w:rsidRPr="00D439EE">
        <w:rPr>
          <w:rFonts w:asciiTheme="minorHAnsi" w:hAnsiTheme="minorHAnsi"/>
          <w:sz w:val="24"/>
          <w:szCs w:val="24"/>
        </w:rPr>
        <w:t xml:space="preserve">treatment of first line renal cell carcinoma </w:t>
      </w:r>
      <w:r w:rsidR="003A545F" w:rsidRPr="00D439EE">
        <w:rPr>
          <w:rFonts w:asciiTheme="minorHAnsi" w:hAnsiTheme="minorHAnsi"/>
          <w:sz w:val="24"/>
          <w:szCs w:val="24"/>
        </w:rPr>
        <w:t>(</w:t>
      </w:r>
      <w:r w:rsidR="003D333C" w:rsidRPr="00D439EE">
        <w:rPr>
          <w:rFonts w:asciiTheme="minorHAnsi" w:hAnsiTheme="minorHAnsi"/>
          <w:sz w:val="24"/>
          <w:szCs w:val="24"/>
        </w:rPr>
        <w:t xml:space="preserve">1L RCC, in the </w:t>
      </w:r>
      <w:r w:rsidR="003A545F" w:rsidRPr="00D439EE">
        <w:rPr>
          <w:rFonts w:asciiTheme="minorHAnsi" w:hAnsiTheme="minorHAnsi"/>
          <w:sz w:val="24"/>
          <w:szCs w:val="24"/>
        </w:rPr>
        <w:t xml:space="preserve">maintenance phase following </w:t>
      </w:r>
      <w:proofErr w:type="spellStart"/>
      <w:r w:rsidR="003A545F" w:rsidRPr="00D439EE">
        <w:rPr>
          <w:rFonts w:asciiTheme="minorHAnsi" w:hAnsiTheme="minorHAnsi"/>
          <w:sz w:val="24"/>
          <w:szCs w:val="24"/>
        </w:rPr>
        <w:t>ipilimumab</w:t>
      </w:r>
      <w:proofErr w:type="spellEnd"/>
      <w:r w:rsidR="003A545F" w:rsidRPr="00D439EE">
        <w:rPr>
          <w:rFonts w:asciiTheme="minorHAnsi" w:hAnsiTheme="minorHAnsi"/>
          <w:sz w:val="24"/>
          <w:szCs w:val="24"/>
        </w:rPr>
        <w:t>)</w:t>
      </w:r>
      <w:r w:rsidR="001F6B81" w:rsidRPr="00D439EE">
        <w:rPr>
          <w:rFonts w:asciiTheme="minorHAnsi" w:hAnsiTheme="minorHAnsi"/>
          <w:sz w:val="24"/>
          <w:szCs w:val="24"/>
        </w:rPr>
        <w:t xml:space="preserve"> to be listed on 1 March 2019</w:t>
      </w:r>
      <w:r w:rsidR="00986EA2" w:rsidRPr="00D439EE">
        <w:rPr>
          <w:rFonts w:asciiTheme="minorHAnsi" w:hAnsiTheme="minorHAnsi"/>
          <w:sz w:val="24"/>
          <w:szCs w:val="24"/>
        </w:rPr>
        <w:t>.</w:t>
      </w:r>
    </w:p>
    <w:p w:rsidR="006A12A5" w:rsidRPr="00D439EE" w:rsidRDefault="006A12A5" w:rsidP="004C08A9">
      <w:pPr>
        <w:pStyle w:val="PBACHeading1"/>
        <w:spacing w:before="120" w:after="120"/>
        <w:ind w:left="709" w:hanging="709"/>
        <w:rPr>
          <w:rFonts w:asciiTheme="minorHAnsi" w:hAnsiTheme="minorHAnsi"/>
          <w:sz w:val="32"/>
          <w:szCs w:val="32"/>
        </w:rPr>
      </w:pPr>
      <w:r w:rsidRPr="00D439EE">
        <w:rPr>
          <w:rFonts w:asciiTheme="minorHAnsi" w:hAnsiTheme="minorHAnsi"/>
          <w:sz w:val="32"/>
          <w:szCs w:val="32"/>
        </w:rPr>
        <w:t>Requested listing</w:t>
      </w:r>
    </w:p>
    <w:p w:rsidR="007D60F5" w:rsidRPr="00D439EE" w:rsidRDefault="007D60F5" w:rsidP="004C08A9">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The minor submission requested a change </w:t>
      </w:r>
      <w:r w:rsidR="006C032B" w:rsidRPr="00D439EE">
        <w:rPr>
          <w:rFonts w:asciiTheme="minorHAnsi" w:eastAsiaTheme="minorHAnsi" w:hAnsiTheme="minorHAnsi" w:cstheme="minorBidi"/>
          <w:snapToGrid/>
          <w:sz w:val="24"/>
          <w:szCs w:val="24"/>
        </w:rPr>
        <w:t xml:space="preserve">in </w:t>
      </w:r>
      <w:r w:rsidRPr="00D439EE">
        <w:rPr>
          <w:rFonts w:asciiTheme="minorHAnsi" w:eastAsiaTheme="minorHAnsi" w:hAnsiTheme="minorHAnsi" w:cstheme="minorBidi"/>
          <w:snapToGrid/>
          <w:sz w:val="24"/>
          <w:szCs w:val="24"/>
        </w:rPr>
        <w:t xml:space="preserve">the maximum </w:t>
      </w:r>
      <w:r w:rsidR="00312202" w:rsidRPr="00D439EE">
        <w:rPr>
          <w:rFonts w:asciiTheme="minorHAnsi" w:eastAsiaTheme="minorHAnsi" w:hAnsiTheme="minorHAnsi" w:cstheme="minorBidi"/>
          <w:snapToGrid/>
          <w:sz w:val="24"/>
          <w:szCs w:val="24"/>
        </w:rPr>
        <w:t xml:space="preserve">amount </w:t>
      </w:r>
      <w:r w:rsidRPr="00D439EE">
        <w:rPr>
          <w:rFonts w:asciiTheme="minorHAnsi" w:eastAsiaTheme="minorHAnsi" w:hAnsiTheme="minorHAnsi" w:cstheme="minorBidi"/>
          <w:snapToGrid/>
          <w:sz w:val="24"/>
          <w:szCs w:val="24"/>
        </w:rPr>
        <w:t>from 360</w:t>
      </w:r>
      <w:r w:rsidR="00312202" w:rsidRPr="00D439EE">
        <w:rPr>
          <w:rFonts w:asciiTheme="minorHAnsi" w:eastAsiaTheme="minorHAnsi" w:hAnsiTheme="minorHAnsi" w:cstheme="minorBidi"/>
          <w:snapToGrid/>
          <w:sz w:val="24"/>
          <w:szCs w:val="24"/>
        </w:rPr>
        <w:t xml:space="preserve"> </w:t>
      </w:r>
      <w:r w:rsidRPr="00D439EE">
        <w:rPr>
          <w:rFonts w:asciiTheme="minorHAnsi" w:eastAsiaTheme="minorHAnsi" w:hAnsiTheme="minorHAnsi" w:cstheme="minorBidi"/>
          <w:snapToGrid/>
          <w:sz w:val="24"/>
          <w:szCs w:val="24"/>
        </w:rPr>
        <w:t>mg to 480</w:t>
      </w:r>
      <w:r w:rsidR="00312202" w:rsidRPr="00D439EE">
        <w:rPr>
          <w:rFonts w:asciiTheme="minorHAnsi" w:eastAsiaTheme="minorHAnsi" w:hAnsiTheme="minorHAnsi" w:cstheme="minorBidi"/>
          <w:snapToGrid/>
          <w:sz w:val="24"/>
          <w:szCs w:val="24"/>
        </w:rPr>
        <w:t xml:space="preserve"> </w:t>
      </w:r>
      <w:r w:rsidRPr="00D439EE">
        <w:rPr>
          <w:rFonts w:asciiTheme="minorHAnsi" w:eastAsiaTheme="minorHAnsi" w:hAnsiTheme="minorHAnsi" w:cstheme="minorBidi"/>
          <w:snapToGrid/>
          <w:sz w:val="24"/>
          <w:szCs w:val="24"/>
        </w:rPr>
        <w:t xml:space="preserve">mg and </w:t>
      </w:r>
      <w:r w:rsidR="006C032B" w:rsidRPr="00D439EE">
        <w:rPr>
          <w:rFonts w:asciiTheme="minorHAnsi" w:eastAsiaTheme="minorHAnsi" w:hAnsiTheme="minorHAnsi" w:cstheme="minorBidi"/>
          <w:snapToGrid/>
          <w:sz w:val="24"/>
          <w:szCs w:val="24"/>
        </w:rPr>
        <w:t>an amendment to the criterion</w:t>
      </w:r>
      <w:r w:rsidR="009B01DF" w:rsidRPr="00D439EE">
        <w:rPr>
          <w:rFonts w:asciiTheme="minorHAnsi" w:eastAsiaTheme="minorHAnsi" w:hAnsiTheme="minorHAnsi" w:cstheme="minorBidi"/>
          <w:snapToGrid/>
          <w:sz w:val="24"/>
          <w:szCs w:val="24"/>
        </w:rPr>
        <w:t xml:space="preserve"> specifying that “treatment must not exceed a maximum dose of 3 mg per kg every 2 weeks”</w:t>
      </w:r>
      <w:r w:rsidR="006C032B" w:rsidRPr="00D439EE">
        <w:rPr>
          <w:rFonts w:asciiTheme="minorHAnsi" w:eastAsiaTheme="minorHAnsi" w:hAnsiTheme="minorHAnsi" w:cstheme="minorBidi"/>
          <w:snapToGrid/>
          <w:sz w:val="24"/>
          <w:szCs w:val="24"/>
        </w:rPr>
        <w:t xml:space="preserve"> in the </w:t>
      </w:r>
      <w:r w:rsidR="009B01DF" w:rsidRPr="00D439EE">
        <w:rPr>
          <w:rFonts w:asciiTheme="minorHAnsi" w:eastAsiaTheme="minorHAnsi" w:hAnsiTheme="minorHAnsi" w:cstheme="minorBidi"/>
          <w:snapToGrid/>
          <w:sz w:val="24"/>
          <w:szCs w:val="24"/>
        </w:rPr>
        <w:t xml:space="preserve">initial and continuing treatment </w:t>
      </w:r>
      <w:r w:rsidR="006C032B" w:rsidRPr="00D439EE">
        <w:rPr>
          <w:rFonts w:asciiTheme="minorHAnsi" w:eastAsiaTheme="minorHAnsi" w:hAnsiTheme="minorHAnsi" w:cstheme="minorBidi"/>
          <w:snapToGrid/>
          <w:sz w:val="24"/>
          <w:szCs w:val="24"/>
        </w:rPr>
        <w:t>restrictions for unresectable Stage III or Stage IV malignant melanoma.</w:t>
      </w:r>
    </w:p>
    <w:p w:rsidR="009B01DF" w:rsidRPr="00D439EE" w:rsidRDefault="00D1190F" w:rsidP="004C08A9">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Additions proposed by the minor submission</w:t>
      </w:r>
      <w:r w:rsidR="002C095D" w:rsidRPr="00D439EE">
        <w:rPr>
          <w:rFonts w:asciiTheme="minorHAnsi" w:eastAsiaTheme="minorHAnsi" w:hAnsiTheme="minorHAnsi" w:cstheme="minorBidi"/>
          <w:snapToGrid/>
          <w:sz w:val="24"/>
          <w:szCs w:val="24"/>
        </w:rPr>
        <w:t xml:space="preserve"> to the </w:t>
      </w:r>
      <w:r w:rsidR="00B97EAD" w:rsidRPr="00D439EE">
        <w:rPr>
          <w:rFonts w:asciiTheme="minorHAnsi" w:eastAsiaTheme="minorHAnsi" w:hAnsiTheme="minorHAnsi" w:cstheme="minorBidi"/>
          <w:snapToGrid/>
          <w:sz w:val="24"/>
          <w:szCs w:val="24"/>
        </w:rPr>
        <w:t xml:space="preserve">existing </w:t>
      </w:r>
      <w:r w:rsidR="002C095D" w:rsidRPr="00D439EE">
        <w:rPr>
          <w:rFonts w:asciiTheme="minorHAnsi" w:eastAsiaTheme="minorHAnsi" w:hAnsiTheme="minorHAnsi" w:cstheme="minorBidi"/>
          <w:snapToGrid/>
          <w:sz w:val="24"/>
          <w:szCs w:val="24"/>
        </w:rPr>
        <w:t>listing</w:t>
      </w:r>
      <w:r w:rsidR="00B97EAD" w:rsidRPr="00D439EE">
        <w:rPr>
          <w:rFonts w:asciiTheme="minorHAnsi" w:eastAsiaTheme="minorHAnsi" w:hAnsiTheme="minorHAnsi" w:cstheme="minorBidi"/>
          <w:snapToGrid/>
          <w:sz w:val="24"/>
          <w:szCs w:val="24"/>
        </w:rPr>
        <w:t>s</w:t>
      </w:r>
      <w:r w:rsidR="002C095D" w:rsidRPr="00D439EE">
        <w:rPr>
          <w:rFonts w:asciiTheme="minorHAnsi" w:eastAsiaTheme="minorHAnsi" w:hAnsiTheme="minorHAnsi" w:cstheme="minorBidi"/>
          <w:snapToGrid/>
          <w:sz w:val="24"/>
          <w:szCs w:val="24"/>
        </w:rPr>
        <w:t xml:space="preserve"> are </w:t>
      </w:r>
      <w:r w:rsidR="008B7868" w:rsidRPr="00D439EE">
        <w:rPr>
          <w:rFonts w:asciiTheme="minorHAnsi" w:eastAsiaTheme="minorHAnsi" w:hAnsiTheme="minorHAnsi" w:cstheme="minorBidi"/>
          <w:snapToGrid/>
          <w:sz w:val="24"/>
          <w:szCs w:val="24"/>
        </w:rPr>
        <w:t xml:space="preserve">added in italics and suggested deletions are </w:t>
      </w:r>
      <w:r w:rsidR="00543A42" w:rsidRPr="00D439EE">
        <w:rPr>
          <w:rFonts w:asciiTheme="minorHAnsi" w:eastAsiaTheme="minorHAnsi" w:hAnsiTheme="minorHAnsi" w:cstheme="minorBidi"/>
          <w:snapToGrid/>
          <w:sz w:val="24"/>
          <w:szCs w:val="24"/>
        </w:rPr>
        <w:t>crossed out with strikethrough.</w:t>
      </w:r>
      <w:r w:rsidR="00940F41" w:rsidRPr="00D439EE">
        <w:rPr>
          <w:rFonts w:asciiTheme="minorHAnsi" w:eastAsiaTheme="minorHAnsi" w:hAnsiTheme="minorHAnsi" w:cstheme="minorBidi"/>
          <w:snapToGrid/>
          <w:sz w:val="24"/>
          <w:szCs w:val="24"/>
        </w:rPr>
        <w:t xml:space="preserve"> </w:t>
      </w:r>
      <w:r w:rsidR="002B0A75" w:rsidRPr="00D439EE">
        <w:rPr>
          <w:rFonts w:asciiTheme="minorHAnsi" w:eastAsiaTheme="minorHAnsi" w:hAnsiTheme="minorHAnsi" w:cstheme="minorBidi"/>
          <w:snapToGrid/>
          <w:sz w:val="24"/>
          <w:szCs w:val="24"/>
        </w:rPr>
        <w:t>Due to the size and number of restrictions that the requested changes apply to,</w:t>
      </w:r>
      <w:r w:rsidR="0096176E" w:rsidRPr="00D439EE">
        <w:rPr>
          <w:rFonts w:asciiTheme="minorHAnsi" w:eastAsiaTheme="minorHAnsi" w:hAnsiTheme="minorHAnsi" w:cstheme="minorBidi"/>
          <w:snapToGrid/>
          <w:sz w:val="24"/>
          <w:szCs w:val="24"/>
        </w:rPr>
        <w:t xml:space="preserve"> abbreviated versions of the restricti</w:t>
      </w:r>
      <w:r w:rsidR="00BF26CE" w:rsidRPr="00D439EE">
        <w:rPr>
          <w:rFonts w:asciiTheme="minorHAnsi" w:eastAsiaTheme="minorHAnsi" w:hAnsiTheme="minorHAnsi" w:cstheme="minorBidi"/>
          <w:snapToGrid/>
          <w:sz w:val="24"/>
          <w:szCs w:val="24"/>
        </w:rPr>
        <w:t>ons</w:t>
      </w:r>
      <w:r w:rsidR="00F36956" w:rsidRPr="00D439EE">
        <w:rPr>
          <w:rFonts w:asciiTheme="minorHAnsi" w:eastAsiaTheme="minorHAnsi" w:hAnsiTheme="minorHAnsi" w:cstheme="minorBidi"/>
          <w:snapToGrid/>
          <w:sz w:val="24"/>
          <w:szCs w:val="24"/>
        </w:rPr>
        <w:t xml:space="preserve"> including only the requested changes are shown below</w:t>
      </w:r>
      <w:r w:rsidR="00D439EE">
        <w:rPr>
          <w:rFonts w:asciiTheme="minorHAnsi" w:eastAsiaTheme="minorHAnsi" w:hAnsiTheme="minorHAnsi" w:cstheme="minorBidi"/>
          <w:snapToGrid/>
          <w:sz w:val="24"/>
          <w:szCs w:val="24"/>
        </w:rPr>
        <w:t xml:space="preserve">. </w:t>
      </w:r>
    </w:p>
    <w:tbl>
      <w:tblPr>
        <w:tblW w:w="9072" w:type="dxa"/>
        <w:tblInd w:w="108" w:type="dxa"/>
        <w:tblLayout w:type="fixed"/>
        <w:tblLook w:val="04A0" w:firstRow="1" w:lastRow="0" w:firstColumn="1" w:lastColumn="0" w:noHBand="0" w:noVBand="1"/>
      </w:tblPr>
      <w:tblGrid>
        <w:gridCol w:w="3261"/>
        <w:gridCol w:w="459"/>
        <w:gridCol w:w="1134"/>
        <w:gridCol w:w="992"/>
        <w:gridCol w:w="1134"/>
        <w:gridCol w:w="2092"/>
      </w:tblGrid>
      <w:tr w:rsidR="004675B8" w:rsidRPr="00D439EE" w:rsidTr="002F56B1">
        <w:trPr>
          <w:cantSplit/>
          <w:trHeight w:val="20"/>
        </w:trPr>
        <w:tc>
          <w:tcPr>
            <w:tcW w:w="3720" w:type="dxa"/>
            <w:gridSpan w:val="2"/>
            <w:tcBorders>
              <w:top w:val="nil"/>
              <w:left w:val="nil"/>
              <w:bottom w:val="single" w:sz="4" w:space="0" w:color="auto"/>
              <w:right w:val="nil"/>
            </w:tcBorders>
            <w:vAlign w:val="center"/>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Name, Restriction,</w:t>
            </w:r>
          </w:p>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Manner of administration and form</w:t>
            </w:r>
          </w:p>
        </w:tc>
        <w:tc>
          <w:tcPr>
            <w:tcW w:w="1134" w:type="dxa"/>
            <w:tcBorders>
              <w:top w:val="nil"/>
              <w:left w:val="nil"/>
              <w:bottom w:val="single" w:sz="4" w:space="0" w:color="auto"/>
              <w:right w:val="nil"/>
            </w:tcBorders>
            <w:vAlign w:val="center"/>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Max.</w:t>
            </w:r>
          </w:p>
          <w:p w:rsidR="004675B8" w:rsidRPr="00D439EE" w:rsidRDefault="004675B8" w:rsidP="00313D08">
            <w:pPr>
              <w:rPr>
                <w:rFonts w:ascii="Arial Narrow" w:hAnsi="Arial Narrow" w:cstheme="minorHAnsi"/>
                <w:b/>
                <w:sz w:val="20"/>
                <w:szCs w:val="20"/>
              </w:rPr>
            </w:pPr>
            <w:proofErr w:type="spellStart"/>
            <w:r w:rsidRPr="00D439EE">
              <w:rPr>
                <w:rFonts w:ascii="Arial Narrow" w:hAnsi="Arial Narrow" w:cstheme="minorHAnsi"/>
                <w:b/>
                <w:strike/>
                <w:sz w:val="20"/>
                <w:szCs w:val="20"/>
              </w:rPr>
              <w:t>Qty</w:t>
            </w:r>
            <w:proofErr w:type="spellEnd"/>
            <w:r w:rsidRPr="00D439EE">
              <w:rPr>
                <w:rFonts w:ascii="Arial Narrow" w:hAnsi="Arial Narrow" w:cstheme="minorHAnsi"/>
                <w:b/>
                <w:sz w:val="20"/>
                <w:szCs w:val="20"/>
              </w:rPr>
              <w:t xml:space="preserve"> </w:t>
            </w:r>
            <w:proofErr w:type="spellStart"/>
            <w:r w:rsidRPr="00D439EE">
              <w:rPr>
                <w:rFonts w:ascii="Arial Narrow" w:hAnsi="Arial Narrow" w:cstheme="minorHAnsi"/>
                <w:b/>
                <w:sz w:val="20"/>
                <w:szCs w:val="20"/>
              </w:rPr>
              <w:t>Amt</w:t>
            </w:r>
            <w:proofErr w:type="spellEnd"/>
          </w:p>
        </w:tc>
        <w:tc>
          <w:tcPr>
            <w:tcW w:w="992" w:type="dxa"/>
            <w:tcBorders>
              <w:top w:val="nil"/>
              <w:left w:val="nil"/>
              <w:bottom w:val="single" w:sz="4" w:space="0" w:color="auto"/>
              <w:right w:val="nil"/>
            </w:tcBorders>
            <w:vAlign w:val="center"/>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№.of</w:t>
            </w:r>
          </w:p>
          <w:p w:rsidR="004675B8" w:rsidRPr="00D439EE" w:rsidRDefault="004675B8" w:rsidP="00313D08">
            <w:pPr>
              <w:rPr>
                <w:rFonts w:ascii="Arial Narrow" w:hAnsi="Arial Narrow" w:cstheme="minorHAnsi"/>
                <w:b/>
                <w:sz w:val="20"/>
                <w:szCs w:val="20"/>
              </w:rPr>
            </w:pPr>
            <w:proofErr w:type="spellStart"/>
            <w:r w:rsidRPr="00D439EE">
              <w:rPr>
                <w:rFonts w:ascii="Arial Narrow" w:hAnsi="Arial Narrow" w:cstheme="minorHAnsi"/>
                <w:b/>
                <w:sz w:val="20"/>
                <w:szCs w:val="20"/>
              </w:rPr>
              <w:t>Rpts</w:t>
            </w:r>
            <w:proofErr w:type="spellEnd"/>
          </w:p>
        </w:tc>
        <w:tc>
          <w:tcPr>
            <w:tcW w:w="3226" w:type="dxa"/>
            <w:gridSpan w:val="2"/>
            <w:tcBorders>
              <w:top w:val="nil"/>
              <w:left w:val="nil"/>
              <w:bottom w:val="single" w:sz="4" w:space="0" w:color="auto"/>
              <w:right w:val="nil"/>
            </w:tcBorders>
            <w:vAlign w:val="center"/>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Proprietary Name and Manufacturer</w:t>
            </w:r>
          </w:p>
        </w:tc>
      </w:tr>
      <w:tr w:rsidR="004675B8" w:rsidRPr="00D439EE" w:rsidTr="002F56B1">
        <w:trPr>
          <w:cantSplit/>
          <w:trHeight w:val="20"/>
        </w:trPr>
        <w:tc>
          <w:tcPr>
            <w:tcW w:w="3720" w:type="dxa"/>
            <w:gridSpan w:val="2"/>
          </w:tcPr>
          <w:p w:rsidR="004675B8" w:rsidRPr="00D439EE" w:rsidRDefault="00755189" w:rsidP="00313D08">
            <w:pPr>
              <w:rPr>
                <w:rFonts w:ascii="Arial Narrow" w:hAnsi="Arial Narrow" w:cstheme="minorHAnsi"/>
                <w:sz w:val="20"/>
                <w:szCs w:val="20"/>
              </w:rPr>
            </w:pPr>
            <w:r w:rsidRPr="00D439EE">
              <w:rPr>
                <w:rFonts w:ascii="Arial Narrow" w:hAnsi="Arial Narrow" w:cstheme="minorHAnsi"/>
                <w:sz w:val="20"/>
                <w:szCs w:val="20"/>
              </w:rPr>
              <w:t>NIVOLUMAB</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40 mg/4 mL injection 1 x 4mL vial</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100 mg/10 mL injection 1 x 4mL vial</w:t>
            </w:r>
          </w:p>
        </w:tc>
        <w:tc>
          <w:tcPr>
            <w:tcW w:w="1134" w:type="dxa"/>
          </w:tcPr>
          <w:p w:rsidR="004675B8" w:rsidRPr="00D439EE" w:rsidRDefault="004675B8" w:rsidP="00313D08">
            <w:pPr>
              <w:rPr>
                <w:rFonts w:ascii="Arial Narrow" w:hAnsi="Arial Narrow" w:cstheme="minorHAnsi"/>
                <w:sz w:val="20"/>
                <w:szCs w:val="20"/>
              </w:rPr>
            </w:pPr>
          </w:p>
          <w:p w:rsidR="004675B8" w:rsidRPr="00D439EE" w:rsidRDefault="004675B8" w:rsidP="00313D08">
            <w:pPr>
              <w:rPr>
                <w:rFonts w:ascii="Arial Narrow" w:hAnsi="Arial Narrow" w:cstheme="minorHAnsi"/>
                <w:strike/>
                <w:sz w:val="20"/>
                <w:szCs w:val="20"/>
              </w:rPr>
            </w:pPr>
            <w:r w:rsidRPr="00D439EE">
              <w:rPr>
                <w:rFonts w:ascii="Arial Narrow" w:hAnsi="Arial Narrow" w:cstheme="minorHAnsi"/>
                <w:strike/>
                <w:sz w:val="20"/>
                <w:szCs w:val="20"/>
              </w:rPr>
              <w:t>360mg</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480mg</w:t>
            </w:r>
          </w:p>
        </w:tc>
        <w:tc>
          <w:tcPr>
            <w:tcW w:w="992" w:type="dxa"/>
          </w:tcPr>
          <w:p w:rsidR="004675B8" w:rsidRPr="00D439EE" w:rsidRDefault="004675B8" w:rsidP="00313D08">
            <w:pPr>
              <w:rPr>
                <w:rFonts w:ascii="Arial Narrow" w:hAnsi="Arial Narrow" w:cstheme="minorHAnsi"/>
                <w:sz w:val="20"/>
                <w:szCs w:val="20"/>
              </w:rPr>
            </w:pP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8</w:t>
            </w:r>
          </w:p>
        </w:tc>
        <w:tc>
          <w:tcPr>
            <w:tcW w:w="1134" w:type="dxa"/>
          </w:tcPr>
          <w:p w:rsidR="004675B8" w:rsidRPr="00D439EE" w:rsidRDefault="00B97EAD" w:rsidP="00313D08">
            <w:pPr>
              <w:jc w:val="center"/>
              <w:rPr>
                <w:rFonts w:ascii="Arial Narrow" w:hAnsi="Arial Narrow" w:cstheme="minorHAnsi"/>
                <w:sz w:val="20"/>
                <w:szCs w:val="20"/>
              </w:rPr>
            </w:pPr>
            <w:proofErr w:type="spellStart"/>
            <w:r w:rsidRPr="00D439EE">
              <w:rPr>
                <w:rFonts w:ascii="Arial Narrow" w:hAnsi="Arial Narrow" w:cstheme="minorHAnsi"/>
                <w:sz w:val="20"/>
                <w:szCs w:val="20"/>
              </w:rPr>
              <w:t>Opdivo</w:t>
            </w:r>
            <w:proofErr w:type="spellEnd"/>
            <w:r w:rsidRPr="00D439EE">
              <w:rPr>
                <w:rFonts w:ascii="Arial Narrow" w:hAnsi="Arial Narrow" w:cstheme="minorHAnsi"/>
                <w:sz w:val="20"/>
                <w:szCs w:val="20"/>
              </w:rPr>
              <w:t>®</w:t>
            </w:r>
          </w:p>
        </w:tc>
        <w:tc>
          <w:tcPr>
            <w:tcW w:w="2092" w:type="dxa"/>
            <w:hideMark/>
          </w:tcPr>
          <w:p w:rsidR="004675B8" w:rsidRPr="00D439EE" w:rsidRDefault="004675B8" w:rsidP="00313D08">
            <w:pPr>
              <w:jc w:val="center"/>
              <w:rPr>
                <w:rFonts w:ascii="Arial Narrow" w:hAnsi="Arial Narrow" w:cstheme="minorHAnsi"/>
                <w:sz w:val="20"/>
                <w:szCs w:val="20"/>
              </w:rPr>
            </w:pPr>
            <w:r w:rsidRPr="00D439EE">
              <w:rPr>
                <w:rFonts w:ascii="Arial Narrow" w:hAnsi="Arial Narrow" w:cstheme="minorHAnsi"/>
                <w:sz w:val="20"/>
                <w:szCs w:val="20"/>
              </w:rPr>
              <w:t>Bristol-Myers Squibb Australia Pty Ltd</w:t>
            </w:r>
          </w:p>
        </w:tc>
      </w:tr>
      <w:tr w:rsidR="004675B8" w:rsidRPr="00D439EE" w:rsidTr="002F56B1">
        <w:trPr>
          <w:cantSplit/>
          <w:trHeight w:val="20"/>
        </w:trPr>
        <w:tc>
          <w:tcPr>
            <w:tcW w:w="9072" w:type="dxa"/>
            <w:gridSpan w:val="6"/>
            <w:tcBorders>
              <w:top w:val="nil"/>
              <w:left w:val="nil"/>
              <w:bottom w:val="single" w:sz="4" w:space="0" w:color="auto"/>
              <w:right w:val="nil"/>
            </w:tcBorders>
          </w:tcPr>
          <w:p w:rsidR="004675B8" w:rsidRPr="00D439EE" w:rsidRDefault="004675B8" w:rsidP="00313D08">
            <w:pPr>
              <w:rPr>
                <w:rFonts w:ascii="Arial Narrow" w:hAnsi="Arial Narrow" w:cstheme="minorHAnsi"/>
                <w:sz w:val="20"/>
                <w:szCs w:val="20"/>
              </w:rPr>
            </w:pP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lastRenderedPageBreak/>
              <w:t>Severity:</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malignant melanoma</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t>Initial treatment 1</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gridSpan w:val="5"/>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4675B8" w:rsidRPr="00D439EE" w:rsidRDefault="004675B8"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4675B8"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4675B8" w:rsidRPr="00D439EE" w:rsidRDefault="004675B8" w:rsidP="00313D08">
            <w:pPr>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gridSpan w:val="5"/>
            <w:tcBorders>
              <w:top w:val="single" w:sz="4" w:space="0" w:color="auto"/>
              <w:left w:val="single" w:sz="4" w:space="0" w:color="auto"/>
              <w:bottom w:val="single" w:sz="4" w:space="0" w:color="auto"/>
              <w:right w:val="single" w:sz="4" w:space="0" w:color="auto"/>
            </w:tcBorders>
          </w:tcPr>
          <w:p w:rsidR="004675B8" w:rsidRPr="00D439EE" w:rsidRDefault="004675B8" w:rsidP="00313D08">
            <w:pPr>
              <w:rPr>
                <w:rFonts w:ascii="Arial Narrow" w:hAnsi="Arial Narrow" w:cstheme="minorHAnsi"/>
                <w:strike/>
                <w:sz w:val="20"/>
                <w:szCs w:val="20"/>
              </w:rPr>
            </w:pPr>
            <w:r w:rsidRPr="00D439EE">
              <w:rPr>
                <w:rFonts w:ascii="Arial Narrow" w:hAnsi="Arial Narrow" w:cstheme="minorHAnsi"/>
                <w:sz w:val="20"/>
                <w:szCs w:val="20"/>
              </w:rPr>
              <w:t xml:space="preserve">The treatment must not exceed a total of </w:t>
            </w:r>
            <w:r w:rsidRPr="00D439EE">
              <w:rPr>
                <w:rFonts w:ascii="Arial Narrow" w:hAnsi="Arial Narrow" w:cstheme="minorHAnsi"/>
                <w:strike/>
                <w:sz w:val="20"/>
                <w:szCs w:val="20"/>
              </w:rPr>
              <w:t>9 doses</w:t>
            </w:r>
            <w:r w:rsidRPr="00D439EE">
              <w:rPr>
                <w:rFonts w:ascii="Arial Narrow" w:hAnsi="Arial Narrow" w:cstheme="minorHAnsi"/>
                <w:sz w:val="20"/>
                <w:szCs w:val="20"/>
              </w:rPr>
              <w:t xml:space="preserve"> 18 weeks </w:t>
            </w:r>
            <w:r w:rsidRPr="00D439EE">
              <w:rPr>
                <w:rFonts w:ascii="Arial Narrow" w:hAnsi="Arial Narrow" w:cstheme="minorHAnsi"/>
                <w:strike/>
                <w:sz w:val="20"/>
                <w:szCs w:val="20"/>
              </w:rPr>
              <w:t>at a maximum dose of 3 mg per kg every 2 weeks</w:t>
            </w:r>
          </w:p>
          <w:p w:rsidR="004675B8" w:rsidRPr="00D439EE" w:rsidRDefault="004675B8" w:rsidP="00313D08">
            <w:pPr>
              <w:rPr>
                <w:rFonts w:ascii="Arial Narrow" w:hAnsi="Arial Narrow" w:cstheme="minorHAnsi"/>
                <w:i/>
                <w:sz w:val="20"/>
                <w:szCs w:val="20"/>
              </w:rPr>
            </w:pPr>
            <w:r w:rsidRPr="00D439EE">
              <w:rPr>
                <w:rFonts w:ascii="Arial Narrow" w:hAnsi="Arial Narrow" w:cstheme="minorHAnsi"/>
                <w:i/>
                <w:sz w:val="20"/>
                <w:szCs w:val="20"/>
              </w:rPr>
              <w:t>The treatment must not exceed a total of 18 weeks at a dose of 3mg/kg or 240mg every two weeks or 480mg every four weeks</w:t>
            </w:r>
          </w:p>
        </w:tc>
      </w:tr>
    </w:tbl>
    <w:p w:rsidR="004675B8" w:rsidRPr="00D439EE" w:rsidRDefault="00B6079B" w:rsidP="00313D08">
      <w:pPr>
        <w:rPr>
          <w:rFonts w:ascii="Arial Narrow" w:hAnsi="Arial Narrow"/>
          <w:sz w:val="18"/>
          <w:szCs w:val="22"/>
        </w:rPr>
      </w:pPr>
      <w:r w:rsidRPr="00D439EE">
        <w:rPr>
          <w:rFonts w:ascii="Arial Narrow" w:hAnsi="Arial Narrow"/>
          <w:sz w:val="18"/>
          <w:szCs w:val="22"/>
        </w:rPr>
        <w:t>Item codes 10764M and 10775D</w:t>
      </w:r>
    </w:p>
    <w:p w:rsidR="00B6079B" w:rsidRPr="00D439EE" w:rsidRDefault="00B6079B" w:rsidP="00313D08">
      <w:pPr>
        <w:rPr>
          <w:rFonts w:ascii="Arial Narrow" w:hAnsi="Arial Narrow"/>
          <w:sz w:val="18"/>
          <w:szCs w:val="22"/>
        </w:rPr>
      </w:pPr>
    </w:p>
    <w:tbl>
      <w:tblPr>
        <w:tblW w:w="9072" w:type="dxa"/>
        <w:tblInd w:w="108" w:type="dxa"/>
        <w:tblLayout w:type="fixed"/>
        <w:tblLook w:val="04A0" w:firstRow="1" w:lastRow="0" w:firstColumn="1" w:lastColumn="0" w:noHBand="0" w:noVBand="1"/>
      </w:tblPr>
      <w:tblGrid>
        <w:gridCol w:w="3261"/>
        <w:gridCol w:w="5811"/>
      </w:tblGrid>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malignant melanoma</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 xml:space="preserve">Initial treatment 2 </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B6079B" w:rsidRPr="00D439EE" w:rsidRDefault="00B6079B" w:rsidP="00313D08">
            <w:pPr>
              <w:rPr>
                <w:rFonts w:ascii="Arial Narrow" w:hAnsi="Arial Narrow" w:cstheme="minorHAnsi"/>
                <w:strike/>
                <w:sz w:val="20"/>
                <w:szCs w:val="20"/>
              </w:rPr>
            </w:pPr>
            <w:r w:rsidRPr="00D439EE">
              <w:rPr>
                <w:rFonts w:ascii="Arial Narrow" w:hAnsi="Arial Narrow" w:cstheme="minorHAnsi"/>
                <w:sz w:val="20"/>
                <w:szCs w:val="20"/>
              </w:rPr>
              <w:t xml:space="preserve">The treatment must not exceed a total of </w:t>
            </w:r>
            <w:r w:rsidRPr="00D439EE">
              <w:rPr>
                <w:rFonts w:ascii="Arial Narrow" w:hAnsi="Arial Narrow" w:cstheme="minorHAnsi"/>
                <w:strike/>
                <w:sz w:val="20"/>
                <w:szCs w:val="20"/>
              </w:rPr>
              <w:t>9 doses</w:t>
            </w:r>
            <w:r w:rsidRPr="00D439EE">
              <w:rPr>
                <w:rFonts w:ascii="Arial Narrow" w:hAnsi="Arial Narrow" w:cstheme="minorHAnsi"/>
                <w:sz w:val="20"/>
                <w:szCs w:val="20"/>
              </w:rPr>
              <w:t xml:space="preserve"> 18 weeks </w:t>
            </w:r>
            <w:r w:rsidRPr="00D439EE">
              <w:rPr>
                <w:rFonts w:ascii="Arial Narrow" w:hAnsi="Arial Narrow" w:cstheme="minorHAnsi"/>
                <w:strike/>
                <w:sz w:val="20"/>
                <w:szCs w:val="20"/>
              </w:rPr>
              <w:t>at a maximum dose of 3 mg per kg every 2 weeks</w:t>
            </w:r>
          </w:p>
          <w:p w:rsidR="00B6079B" w:rsidRPr="00D439EE" w:rsidRDefault="00B6079B" w:rsidP="00313D08">
            <w:pPr>
              <w:rPr>
                <w:rFonts w:ascii="Arial Narrow" w:hAnsi="Arial Narrow" w:cstheme="minorHAnsi"/>
                <w:i/>
                <w:sz w:val="20"/>
                <w:szCs w:val="20"/>
              </w:rPr>
            </w:pPr>
            <w:r w:rsidRPr="00D439EE">
              <w:rPr>
                <w:rFonts w:ascii="Arial Narrow" w:hAnsi="Arial Narrow" w:cstheme="minorHAnsi"/>
                <w:i/>
                <w:sz w:val="20"/>
                <w:szCs w:val="20"/>
              </w:rPr>
              <w:t>The treatment must not exceed a total of 18 weeks at a dose of 3mg/kg or 240mg every two weeks or 480mg every four weeks</w:t>
            </w:r>
          </w:p>
        </w:tc>
      </w:tr>
    </w:tbl>
    <w:p w:rsidR="00B6079B" w:rsidRPr="00D439EE" w:rsidRDefault="00B6079B" w:rsidP="00313D08">
      <w:pPr>
        <w:rPr>
          <w:rFonts w:ascii="Arial Narrow" w:hAnsi="Arial Narrow"/>
          <w:sz w:val="18"/>
          <w:szCs w:val="22"/>
        </w:rPr>
      </w:pPr>
      <w:r w:rsidRPr="00D439EE">
        <w:rPr>
          <w:rFonts w:ascii="Arial Narrow" w:hAnsi="Arial Narrow"/>
          <w:sz w:val="18"/>
          <w:szCs w:val="22"/>
        </w:rPr>
        <w:t>Item codes 10764M and 10775D</w:t>
      </w:r>
    </w:p>
    <w:tbl>
      <w:tblPr>
        <w:tblW w:w="9072" w:type="dxa"/>
        <w:tblInd w:w="108" w:type="dxa"/>
        <w:tblLayout w:type="fixed"/>
        <w:tblLook w:val="04A0" w:firstRow="1" w:lastRow="0" w:firstColumn="1" w:lastColumn="0" w:noHBand="0" w:noVBand="1"/>
      </w:tblPr>
      <w:tblGrid>
        <w:gridCol w:w="3261"/>
        <w:gridCol w:w="5811"/>
      </w:tblGrid>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t>malignant melanoma</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t xml:space="preserve">Continuing treatment </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C73B90" w:rsidRPr="00D439EE" w:rsidRDefault="00C73B90"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C73B90"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C73B90" w:rsidRPr="00D439EE" w:rsidRDefault="00C73B90" w:rsidP="00313D08">
            <w:pPr>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C73B90" w:rsidRPr="00D439EE" w:rsidRDefault="00C73B90" w:rsidP="00313D08">
            <w:pPr>
              <w:rPr>
                <w:rFonts w:ascii="Arial Narrow" w:hAnsi="Arial Narrow" w:cstheme="minorHAnsi"/>
                <w:strike/>
                <w:sz w:val="20"/>
                <w:szCs w:val="20"/>
              </w:rPr>
            </w:pPr>
            <w:r w:rsidRPr="00D439EE">
              <w:rPr>
                <w:rFonts w:ascii="Arial Narrow" w:hAnsi="Arial Narrow" w:cstheme="minorHAnsi"/>
                <w:sz w:val="20"/>
                <w:szCs w:val="20"/>
              </w:rPr>
              <w:t xml:space="preserve">The treatment must not exceed a total of </w:t>
            </w:r>
            <w:r w:rsidRPr="00D439EE">
              <w:rPr>
                <w:rFonts w:ascii="Arial Narrow" w:hAnsi="Arial Narrow" w:cstheme="minorHAnsi"/>
                <w:strike/>
                <w:sz w:val="20"/>
                <w:szCs w:val="20"/>
              </w:rPr>
              <w:t>9 doses</w:t>
            </w:r>
            <w:r w:rsidRPr="00D439EE">
              <w:rPr>
                <w:rFonts w:ascii="Arial Narrow" w:hAnsi="Arial Narrow" w:cstheme="minorHAnsi"/>
                <w:sz w:val="20"/>
                <w:szCs w:val="20"/>
              </w:rPr>
              <w:t xml:space="preserve"> 18 weeks </w:t>
            </w:r>
            <w:r w:rsidRPr="00D439EE">
              <w:rPr>
                <w:rFonts w:ascii="Arial Narrow" w:hAnsi="Arial Narrow" w:cstheme="minorHAnsi"/>
                <w:strike/>
                <w:sz w:val="20"/>
                <w:szCs w:val="20"/>
              </w:rPr>
              <w:t>at a maximum dose of 3 mg per kg every 2 weeks</w:t>
            </w:r>
          </w:p>
          <w:p w:rsidR="00C73B90" w:rsidRPr="00D439EE" w:rsidRDefault="00C73B90" w:rsidP="00313D08">
            <w:pPr>
              <w:rPr>
                <w:rFonts w:ascii="Arial Narrow" w:hAnsi="Arial Narrow" w:cstheme="minorHAnsi"/>
                <w:i/>
                <w:sz w:val="20"/>
                <w:szCs w:val="20"/>
              </w:rPr>
            </w:pPr>
            <w:r w:rsidRPr="00D439EE">
              <w:rPr>
                <w:rFonts w:ascii="Arial Narrow" w:hAnsi="Arial Narrow" w:cstheme="minorHAnsi"/>
                <w:i/>
                <w:sz w:val="20"/>
                <w:szCs w:val="20"/>
              </w:rPr>
              <w:t>The treatment must not exceed a total of 18 weeks at a dose of 3mg/kg or 240mg every two weeks or 480mg every four weeks</w:t>
            </w:r>
          </w:p>
        </w:tc>
      </w:tr>
    </w:tbl>
    <w:p w:rsidR="003C4C1F" w:rsidRPr="00D439EE" w:rsidRDefault="003C4C1F" w:rsidP="00313D08">
      <w:pPr>
        <w:rPr>
          <w:rFonts w:ascii="Arial Narrow" w:hAnsi="Arial Narrow"/>
          <w:sz w:val="18"/>
          <w:szCs w:val="22"/>
        </w:rPr>
      </w:pPr>
      <w:r w:rsidRPr="00D439EE">
        <w:rPr>
          <w:rFonts w:ascii="Arial Narrow" w:hAnsi="Arial Narrow"/>
          <w:sz w:val="18"/>
          <w:szCs w:val="22"/>
        </w:rPr>
        <w:t>Item codes 10745M and 10748Q</w:t>
      </w:r>
    </w:p>
    <w:p w:rsidR="00C73B90" w:rsidRPr="00D439EE" w:rsidRDefault="00C73B90" w:rsidP="00313D08">
      <w:pPr>
        <w:rPr>
          <w:szCs w:val="22"/>
        </w:rPr>
      </w:pPr>
    </w:p>
    <w:tbl>
      <w:tblPr>
        <w:tblW w:w="9072" w:type="dxa"/>
        <w:tblInd w:w="108" w:type="dxa"/>
        <w:tblLayout w:type="fixed"/>
        <w:tblLook w:val="04A0" w:firstRow="1" w:lastRow="0" w:firstColumn="1" w:lastColumn="0" w:noHBand="0" w:noVBand="1"/>
      </w:tblPr>
      <w:tblGrid>
        <w:gridCol w:w="3261"/>
        <w:gridCol w:w="5811"/>
      </w:tblGrid>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malignant melanoma</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lastRenderedPageBreak/>
              <w:t>Treatment phase:</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t xml:space="preserve">Maintenance treatment  </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B6079B" w:rsidRPr="00D439EE" w:rsidRDefault="00B6079B"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B6079B" w:rsidRPr="00D439EE" w:rsidTr="002F56B1">
        <w:trPr>
          <w:trHeight w:val="20"/>
        </w:trPr>
        <w:tc>
          <w:tcPr>
            <w:tcW w:w="3261" w:type="dxa"/>
            <w:tcBorders>
              <w:top w:val="single" w:sz="4" w:space="0" w:color="auto"/>
              <w:left w:val="single" w:sz="4" w:space="0" w:color="auto"/>
              <w:bottom w:val="single" w:sz="4" w:space="0" w:color="auto"/>
              <w:right w:val="single" w:sz="4" w:space="0" w:color="auto"/>
            </w:tcBorders>
            <w:hideMark/>
          </w:tcPr>
          <w:p w:rsidR="00B6079B" w:rsidRPr="00D439EE" w:rsidRDefault="00B6079B" w:rsidP="00313D08">
            <w:pPr>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B6079B" w:rsidRPr="00D439EE" w:rsidRDefault="00B6079B" w:rsidP="00313D08">
            <w:pPr>
              <w:rPr>
                <w:rFonts w:ascii="Arial Narrow" w:hAnsi="Arial Narrow" w:cstheme="minorHAnsi"/>
                <w:strike/>
                <w:sz w:val="20"/>
                <w:szCs w:val="20"/>
              </w:rPr>
            </w:pPr>
            <w:r w:rsidRPr="00D439EE">
              <w:rPr>
                <w:rFonts w:ascii="Arial Narrow" w:hAnsi="Arial Narrow" w:cstheme="minorHAnsi"/>
                <w:sz w:val="20"/>
                <w:szCs w:val="20"/>
              </w:rPr>
              <w:t xml:space="preserve">The treatment must not exceed a total of </w:t>
            </w:r>
            <w:r w:rsidRPr="00D439EE">
              <w:rPr>
                <w:rFonts w:ascii="Arial Narrow" w:hAnsi="Arial Narrow" w:cstheme="minorHAnsi"/>
                <w:strike/>
                <w:sz w:val="20"/>
                <w:szCs w:val="20"/>
              </w:rPr>
              <w:t>9 doses</w:t>
            </w:r>
            <w:r w:rsidRPr="00D439EE">
              <w:rPr>
                <w:rFonts w:ascii="Arial Narrow" w:hAnsi="Arial Narrow" w:cstheme="minorHAnsi"/>
                <w:sz w:val="20"/>
                <w:szCs w:val="20"/>
              </w:rPr>
              <w:t xml:space="preserve"> 18 weeks </w:t>
            </w:r>
            <w:r w:rsidRPr="00D439EE">
              <w:rPr>
                <w:rFonts w:ascii="Arial Narrow" w:hAnsi="Arial Narrow" w:cstheme="minorHAnsi"/>
                <w:strike/>
                <w:sz w:val="20"/>
                <w:szCs w:val="20"/>
              </w:rPr>
              <w:t>at a maximum dose of 3 mg per kg every 2 weeks</w:t>
            </w:r>
          </w:p>
          <w:p w:rsidR="00B6079B" w:rsidRPr="00D439EE" w:rsidRDefault="00B6079B" w:rsidP="00313D08">
            <w:pPr>
              <w:rPr>
                <w:rFonts w:ascii="Arial Narrow" w:hAnsi="Arial Narrow" w:cstheme="minorHAnsi"/>
                <w:i/>
                <w:sz w:val="20"/>
                <w:szCs w:val="20"/>
              </w:rPr>
            </w:pPr>
            <w:r w:rsidRPr="00D439EE">
              <w:rPr>
                <w:rFonts w:ascii="Arial Narrow" w:hAnsi="Arial Narrow" w:cstheme="minorHAnsi"/>
                <w:i/>
                <w:sz w:val="20"/>
                <w:szCs w:val="20"/>
              </w:rPr>
              <w:t>The treatment must not exceed a total of 18 weeks at a dose of 3mg/kg or 240mg every two weeks or 480mg every four weeks</w:t>
            </w:r>
          </w:p>
        </w:tc>
      </w:tr>
    </w:tbl>
    <w:p w:rsidR="003C4C1F" w:rsidRPr="00D439EE" w:rsidRDefault="003C4C1F" w:rsidP="00313D08">
      <w:pPr>
        <w:rPr>
          <w:rFonts w:ascii="Arial Narrow" w:hAnsi="Arial Narrow"/>
          <w:sz w:val="18"/>
          <w:szCs w:val="22"/>
        </w:rPr>
      </w:pPr>
      <w:r w:rsidRPr="00D439EE">
        <w:rPr>
          <w:rFonts w:ascii="Arial Narrow" w:hAnsi="Arial Narrow"/>
          <w:sz w:val="18"/>
          <w:szCs w:val="22"/>
        </w:rPr>
        <w:t>Item codes 10745M and 10748Q</w:t>
      </w:r>
    </w:p>
    <w:p w:rsidR="00C603D4" w:rsidRPr="00D439EE" w:rsidRDefault="00CE10C4" w:rsidP="00AE276F">
      <w:pPr>
        <w:pStyle w:val="PBACHeading1"/>
        <w:spacing w:before="120" w:after="120"/>
        <w:ind w:left="709" w:hanging="709"/>
        <w:rPr>
          <w:rFonts w:asciiTheme="minorHAnsi" w:hAnsiTheme="minorHAnsi"/>
          <w:sz w:val="32"/>
          <w:szCs w:val="32"/>
        </w:rPr>
      </w:pPr>
      <w:r w:rsidRPr="00D439EE">
        <w:rPr>
          <w:rFonts w:asciiTheme="minorHAnsi" w:hAnsiTheme="minorHAnsi"/>
          <w:sz w:val="32"/>
          <w:szCs w:val="32"/>
        </w:rPr>
        <w:t>Background</w:t>
      </w:r>
    </w:p>
    <w:p w:rsidR="00B74BF9" w:rsidRPr="00D439EE" w:rsidRDefault="003B02AE" w:rsidP="00AE276F">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Nivolumab </w:t>
      </w:r>
      <w:r w:rsidR="00B74BF9" w:rsidRPr="00D439EE">
        <w:rPr>
          <w:rFonts w:asciiTheme="minorHAnsi" w:eastAsiaTheme="minorHAnsi" w:hAnsiTheme="minorHAnsi" w:cstheme="minorBidi"/>
          <w:snapToGrid/>
          <w:sz w:val="24"/>
          <w:szCs w:val="24"/>
        </w:rPr>
        <w:t>is currently TGA</w:t>
      </w:r>
      <w:r w:rsidR="004675B8" w:rsidRPr="00D439EE">
        <w:rPr>
          <w:rFonts w:asciiTheme="minorHAnsi" w:eastAsiaTheme="minorHAnsi" w:hAnsiTheme="minorHAnsi" w:cstheme="minorBidi"/>
          <w:snapToGrid/>
          <w:sz w:val="24"/>
          <w:szCs w:val="24"/>
        </w:rPr>
        <w:t xml:space="preserve"> </w:t>
      </w:r>
      <w:r w:rsidRPr="00D439EE">
        <w:rPr>
          <w:rFonts w:asciiTheme="minorHAnsi" w:eastAsiaTheme="minorHAnsi" w:hAnsiTheme="minorHAnsi" w:cstheme="minorBidi"/>
          <w:snapToGrid/>
          <w:sz w:val="24"/>
          <w:szCs w:val="24"/>
        </w:rPr>
        <w:t xml:space="preserve">registered </w:t>
      </w:r>
      <w:r w:rsidR="004675B8" w:rsidRPr="00D439EE">
        <w:rPr>
          <w:rFonts w:asciiTheme="minorHAnsi" w:eastAsiaTheme="minorHAnsi" w:hAnsiTheme="minorHAnsi" w:cstheme="minorBidi"/>
          <w:snapToGrid/>
          <w:sz w:val="24"/>
          <w:szCs w:val="24"/>
        </w:rPr>
        <w:t>for</w:t>
      </w:r>
      <w:r w:rsidR="00B74BF9" w:rsidRPr="00D439EE">
        <w:rPr>
          <w:rFonts w:asciiTheme="minorHAnsi" w:eastAsiaTheme="minorHAnsi" w:hAnsiTheme="minorHAnsi" w:cstheme="minorBidi"/>
          <w:snapToGrid/>
          <w:sz w:val="24"/>
          <w:szCs w:val="24"/>
        </w:rPr>
        <w:t xml:space="preserve"> the following indications:</w:t>
      </w:r>
    </w:p>
    <w:p w:rsidR="00B74BF9" w:rsidRPr="00D439EE" w:rsidRDefault="00B35A66"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Adjuvant treatment of patients with melanoma with involvement of lymph nodes or metastatic disease who have undergone complete resection</w:t>
      </w:r>
      <w:r w:rsidR="009C22B1" w:rsidRPr="00D439EE">
        <w:rPr>
          <w:rFonts w:asciiTheme="minorHAnsi" w:eastAsiaTheme="minorHAnsi" w:hAnsiTheme="minorHAnsi" w:cstheme="minorBidi"/>
          <w:snapToGrid/>
          <w:sz w:val="24"/>
          <w:szCs w:val="24"/>
        </w:rPr>
        <w:t>;</w:t>
      </w:r>
    </w:p>
    <w:p w:rsidR="00B35A66" w:rsidRPr="00D439EE" w:rsidRDefault="00B35A66"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Treatment of patients with unresectable or metastatic melanoma</w:t>
      </w:r>
      <w:r w:rsidR="009C22B1" w:rsidRPr="00D439EE">
        <w:rPr>
          <w:rFonts w:asciiTheme="minorHAnsi" w:eastAsiaTheme="minorHAnsi" w:hAnsiTheme="minorHAnsi" w:cstheme="minorBidi"/>
          <w:snapToGrid/>
          <w:sz w:val="24"/>
          <w:szCs w:val="24"/>
        </w:rPr>
        <w:t xml:space="preserve"> as monotherapy or  </w:t>
      </w:r>
      <w:r w:rsidRPr="00D439EE">
        <w:rPr>
          <w:rFonts w:asciiTheme="minorHAnsi" w:eastAsiaTheme="minorHAnsi" w:hAnsiTheme="minorHAnsi" w:cstheme="minorBidi"/>
          <w:snapToGrid/>
          <w:sz w:val="24"/>
          <w:szCs w:val="24"/>
        </w:rPr>
        <w:t xml:space="preserve">in combination with </w:t>
      </w:r>
      <w:proofErr w:type="spellStart"/>
      <w:r w:rsidRPr="00D439EE">
        <w:rPr>
          <w:rFonts w:asciiTheme="minorHAnsi" w:eastAsiaTheme="minorHAnsi" w:hAnsiTheme="minorHAnsi" w:cstheme="minorBidi"/>
          <w:snapToGrid/>
          <w:sz w:val="24"/>
          <w:szCs w:val="24"/>
        </w:rPr>
        <w:t>ipilimumab</w:t>
      </w:r>
      <w:proofErr w:type="spellEnd"/>
      <w:r w:rsidR="009C22B1" w:rsidRPr="00D439EE">
        <w:rPr>
          <w:rFonts w:asciiTheme="minorHAnsi" w:eastAsiaTheme="minorHAnsi" w:hAnsiTheme="minorHAnsi" w:cstheme="minorBidi"/>
          <w:snapToGrid/>
          <w:sz w:val="24"/>
          <w:szCs w:val="24"/>
        </w:rPr>
        <w:t>;</w:t>
      </w:r>
    </w:p>
    <w:p w:rsidR="009C22B1" w:rsidRPr="00D439EE" w:rsidRDefault="009C22B1"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Treatment of locally advanced or metastatic squamous and non-squamous non-small cell lung cancer with progression on or after prior chemotherapy;</w:t>
      </w:r>
    </w:p>
    <w:p w:rsidR="009C22B1" w:rsidRPr="00D439EE" w:rsidRDefault="009C22B1"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Treatment of patients with </w:t>
      </w:r>
      <w:r w:rsidR="00391A83" w:rsidRPr="00D439EE">
        <w:rPr>
          <w:rFonts w:asciiTheme="minorHAnsi" w:eastAsiaTheme="minorHAnsi" w:hAnsiTheme="minorHAnsi" w:cstheme="minorBidi"/>
          <w:snapToGrid/>
          <w:sz w:val="24"/>
          <w:szCs w:val="24"/>
        </w:rPr>
        <w:t>intermediate</w:t>
      </w:r>
      <w:r w:rsidRPr="00D439EE">
        <w:rPr>
          <w:rFonts w:asciiTheme="minorHAnsi" w:eastAsiaTheme="minorHAnsi" w:hAnsiTheme="minorHAnsi" w:cstheme="minorBidi"/>
          <w:snapToGrid/>
          <w:sz w:val="24"/>
          <w:szCs w:val="24"/>
        </w:rPr>
        <w:t xml:space="preserve">/poor-risk, previously untreated advanced renal cell carcinoma in combination with </w:t>
      </w:r>
      <w:proofErr w:type="spellStart"/>
      <w:r w:rsidRPr="00D439EE">
        <w:rPr>
          <w:rFonts w:asciiTheme="minorHAnsi" w:eastAsiaTheme="minorHAnsi" w:hAnsiTheme="minorHAnsi" w:cstheme="minorBidi"/>
          <w:snapToGrid/>
          <w:sz w:val="24"/>
          <w:szCs w:val="24"/>
        </w:rPr>
        <w:t>ipilimumab</w:t>
      </w:r>
      <w:proofErr w:type="spellEnd"/>
      <w:r w:rsidRPr="00D439EE">
        <w:rPr>
          <w:rFonts w:asciiTheme="minorHAnsi" w:eastAsiaTheme="minorHAnsi" w:hAnsiTheme="minorHAnsi" w:cstheme="minorBidi"/>
          <w:snapToGrid/>
          <w:sz w:val="24"/>
          <w:szCs w:val="24"/>
        </w:rPr>
        <w:t>;</w:t>
      </w:r>
    </w:p>
    <w:p w:rsidR="009C22B1" w:rsidRPr="00D439EE" w:rsidRDefault="009C22B1"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Treatment of patients with advanced clear cell renal cell carcinoma after prior anti-angiogenic therapy;</w:t>
      </w:r>
    </w:p>
    <w:p w:rsidR="009C22B1" w:rsidRPr="00D439EE" w:rsidRDefault="005D56B2"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Treatment of patients with relapsed or refractory Hodgkin lymphoma after autologous stem cell transplant and treatment with </w:t>
      </w:r>
      <w:proofErr w:type="spellStart"/>
      <w:r w:rsidRPr="00D439EE">
        <w:rPr>
          <w:rFonts w:asciiTheme="minorHAnsi" w:eastAsiaTheme="minorHAnsi" w:hAnsiTheme="minorHAnsi" w:cstheme="minorBidi"/>
          <w:snapToGrid/>
          <w:sz w:val="24"/>
          <w:szCs w:val="24"/>
        </w:rPr>
        <w:t>brentuximab</w:t>
      </w:r>
      <w:proofErr w:type="spellEnd"/>
      <w:r w:rsidRPr="00D439EE">
        <w:rPr>
          <w:rFonts w:asciiTheme="minorHAnsi" w:eastAsiaTheme="minorHAnsi" w:hAnsiTheme="minorHAnsi" w:cstheme="minorBidi"/>
          <w:snapToGrid/>
          <w:sz w:val="24"/>
          <w:szCs w:val="24"/>
        </w:rPr>
        <w:t xml:space="preserve"> </w:t>
      </w:r>
      <w:proofErr w:type="spellStart"/>
      <w:r w:rsidRPr="00D439EE">
        <w:rPr>
          <w:rFonts w:asciiTheme="minorHAnsi" w:eastAsiaTheme="minorHAnsi" w:hAnsiTheme="minorHAnsi" w:cstheme="minorBidi"/>
          <w:snapToGrid/>
          <w:sz w:val="24"/>
          <w:szCs w:val="24"/>
        </w:rPr>
        <w:t>vedotin</w:t>
      </w:r>
      <w:proofErr w:type="spellEnd"/>
      <w:r w:rsidRPr="00D439EE">
        <w:rPr>
          <w:rFonts w:asciiTheme="minorHAnsi" w:eastAsiaTheme="minorHAnsi" w:hAnsiTheme="minorHAnsi" w:cstheme="minorBidi"/>
          <w:snapToGrid/>
          <w:sz w:val="24"/>
          <w:szCs w:val="24"/>
        </w:rPr>
        <w:t>;</w:t>
      </w:r>
    </w:p>
    <w:p w:rsidR="005D56B2" w:rsidRPr="00D439EE" w:rsidRDefault="005D56B2"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Treatment of recurrent or metastatic squamous cell cancer of the head and neck patients progressing on or after platinum based therapy;</w:t>
      </w:r>
    </w:p>
    <w:p w:rsidR="005D56B2" w:rsidRPr="00D439EE" w:rsidRDefault="005D56B2"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Treatment of patients with locally advanced unresectable or metastatic urothelial carcinoma after prior platinum-containing therapy; and </w:t>
      </w:r>
    </w:p>
    <w:p w:rsidR="005D56B2" w:rsidRPr="00D439EE" w:rsidRDefault="005D56B2" w:rsidP="00AE276F">
      <w:pPr>
        <w:pStyle w:val="ListParagraph"/>
        <w:widowControl/>
        <w:numPr>
          <w:ilvl w:val="0"/>
          <w:numId w:val="2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Treatment of patients with hepatocellular carcinoma after prior </w:t>
      </w:r>
      <w:proofErr w:type="spellStart"/>
      <w:r w:rsidRPr="00D439EE">
        <w:rPr>
          <w:rFonts w:asciiTheme="minorHAnsi" w:eastAsiaTheme="minorHAnsi" w:hAnsiTheme="minorHAnsi" w:cstheme="minorBidi"/>
          <w:snapToGrid/>
          <w:sz w:val="24"/>
          <w:szCs w:val="24"/>
        </w:rPr>
        <w:t>sorafenib</w:t>
      </w:r>
      <w:proofErr w:type="spellEnd"/>
      <w:r w:rsidRPr="00D439EE">
        <w:rPr>
          <w:rFonts w:asciiTheme="minorHAnsi" w:eastAsiaTheme="minorHAnsi" w:hAnsiTheme="minorHAnsi" w:cstheme="minorBidi"/>
          <w:snapToGrid/>
          <w:sz w:val="24"/>
          <w:szCs w:val="24"/>
        </w:rPr>
        <w:t xml:space="preserve"> therapy.</w:t>
      </w:r>
    </w:p>
    <w:p w:rsidR="00AE276F" w:rsidRDefault="00252D9C" w:rsidP="00AE276F">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Nivolumab </w:t>
      </w:r>
      <w:proofErr w:type="gramStart"/>
      <w:r w:rsidRPr="00D439EE">
        <w:rPr>
          <w:rFonts w:asciiTheme="minorHAnsi" w:eastAsiaTheme="minorHAnsi" w:hAnsiTheme="minorHAnsi" w:cstheme="minorBidi"/>
          <w:snapToGrid/>
          <w:sz w:val="24"/>
          <w:szCs w:val="24"/>
        </w:rPr>
        <w:t>has previously been recommended</w:t>
      </w:r>
      <w:proofErr w:type="gramEnd"/>
      <w:r w:rsidRPr="00D439EE">
        <w:rPr>
          <w:rFonts w:asciiTheme="minorHAnsi" w:eastAsiaTheme="minorHAnsi" w:hAnsiTheme="minorHAnsi" w:cstheme="minorBidi"/>
          <w:snapToGrid/>
          <w:sz w:val="24"/>
          <w:szCs w:val="24"/>
        </w:rPr>
        <w:t xml:space="preserve"> by the PBAC for the indications </w:t>
      </w:r>
      <w:r w:rsidR="00B73C93" w:rsidRPr="00D439EE">
        <w:rPr>
          <w:rFonts w:asciiTheme="minorHAnsi" w:eastAsiaTheme="minorHAnsi" w:hAnsiTheme="minorHAnsi" w:cstheme="minorBidi"/>
          <w:snapToGrid/>
          <w:sz w:val="24"/>
          <w:szCs w:val="24"/>
        </w:rPr>
        <w:t>shown in</w:t>
      </w:r>
      <w:r w:rsidRPr="00D439EE">
        <w:rPr>
          <w:rFonts w:asciiTheme="minorHAnsi" w:eastAsiaTheme="minorHAnsi" w:hAnsiTheme="minorHAnsi" w:cstheme="minorBidi"/>
          <w:snapToGrid/>
          <w:sz w:val="24"/>
          <w:szCs w:val="24"/>
        </w:rPr>
        <w:t xml:space="preserve"> Table 1.</w:t>
      </w:r>
      <w:r w:rsidR="005D56B2" w:rsidRPr="00D439EE">
        <w:rPr>
          <w:rFonts w:asciiTheme="minorHAnsi" w:eastAsiaTheme="minorHAnsi" w:hAnsiTheme="minorHAnsi" w:cstheme="minorBidi"/>
          <w:snapToGrid/>
          <w:sz w:val="24"/>
          <w:szCs w:val="24"/>
        </w:rPr>
        <w:t xml:space="preserve"> </w:t>
      </w:r>
    </w:p>
    <w:p w:rsidR="005D56B2" w:rsidRPr="00AE276F" w:rsidRDefault="00AE276F" w:rsidP="00AE276F">
      <w:pPr>
        <w:rPr>
          <w:rFonts w:eastAsiaTheme="minorHAnsi"/>
          <w:lang w:eastAsia="en-US"/>
        </w:rPr>
      </w:pPr>
      <w:r>
        <w:rPr>
          <w:rFonts w:eastAsiaTheme="minorHAnsi"/>
        </w:rPr>
        <w:br w:type="page"/>
      </w:r>
    </w:p>
    <w:p w:rsidR="00A464AA" w:rsidRPr="00D439EE" w:rsidRDefault="00A464AA" w:rsidP="00313D08">
      <w:pPr>
        <w:keepNext/>
        <w:rPr>
          <w:rFonts w:ascii="Arial Narrow" w:eastAsiaTheme="minorHAnsi" w:hAnsi="Arial Narrow" w:cstheme="minorBidi"/>
          <w:b/>
          <w:sz w:val="20"/>
          <w:szCs w:val="22"/>
        </w:rPr>
      </w:pPr>
      <w:r w:rsidRPr="00D439EE">
        <w:rPr>
          <w:rFonts w:ascii="Arial Narrow" w:eastAsiaTheme="minorHAnsi" w:hAnsi="Arial Narrow" w:cstheme="minorBidi"/>
          <w:b/>
          <w:sz w:val="20"/>
          <w:szCs w:val="22"/>
        </w:rPr>
        <w:lastRenderedPageBreak/>
        <w:t xml:space="preserve">Table 1: </w:t>
      </w:r>
      <w:r w:rsidR="00992490" w:rsidRPr="00D439EE">
        <w:rPr>
          <w:rFonts w:ascii="Arial Narrow" w:eastAsiaTheme="minorHAnsi" w:hAnsi="Arial Narrow" w:cstheme="minorBidi"/>
          <w:b/>
          <w:sz w:val="20"/>
          <w:szCs w:val="22"/>
        </w:rPr>
        <w:t xml:space="preserve">Summary of PBAC </w:t>
      </w:r>
      <w:r w:rsidR="00EE2D14" w:rsidRPr="00D439EE">
        <w:rPr>
          <w:rFonts w:ascii="Arial Narrow" w:eastAsiaTheme="minorHAnsi" w:hAnsi="Arial Narrow" w:cstheme="minorBidi"/>
          <w:b/>
          <w:sz w:val="20"/>
          <w:szCs w:val="22"/>
        </w:rPr>
        <w:t>recommendations for listing</w:t>
      </w:r>
      <w:r w:rsidR="00992490" w:rsidRPr="00D439EE">
        <w:rPr>
          <w:rFonts w:ascii="Arial Narrow" w:eastAsiaTheme="minorHAnsi" w:hAnsi="Arial Narrow" w:cstheme="minorBidi"/>
          <w:b/>
          <w:sz w:val="20"/>
          <w:szCs w:val="22"/>
        </w:rPr>
        <w:t xml:space="preserve"> nivolumab </w:t>
      </w:r>
    </w:p>
    <w:tbl>
      <w:tblPr>
        <w:tblStyle w:val="TableGrid"/>
        <w:tblW w:w="5000" w:type="pct"/>
        <w:tblLook w:val="04A0" w:firstRow="1" w:lastRow="0" w:firstColumn="1" w:lastColumn="0" w:noHBand="0" w:noVBand="1"/>
        <w:tblCaption w:val="Summary of PBAC recommendations for listing nivolumab "/>
      </w:tblPr>
      <w:tblGrid>
        <w:gridCol w:w="5098"/>
        <w:gridCol w:w="2153"/>
        <w:gridCol w:w="1765"/>
      </w:tblGrid>
      <w:tr w:rsidR="00B73C93" w:rsidRPr="00D439EE" w:rsidTr="00DD129C">
        <w:trPr>
          <w:tblHeader/>
        </w:trPr>
        <w:tc>
          <w:tcPr>
            <w:tcW w:w="2827" w:type="pct"/>
            <w:vAlign w:val="center"/>
          </w:tcPr>
          <w:p w:rsidR="00FB4875" w:rsidRPr="00D439EE" w:rsidRDefault="002A0BC0" w:rsidP="00313D08">
            <w:pPr>
              <w:pStyle w:val="ListParagraph"/>
              <w:keepNext/>
              <w:widowControl/>
              <w:spacing w:after="120"/>
              <w:ind w:left="0"/>
              <w:contextualSpacing w:val="0"/>
              <w:jc w:val="left"/>
              <w:rPr>
                <w:rFonts w:ascii="Arial Narrow" w:eastAsiaTheme="minorHAnsi" w:hAnsi="Arial Narrow" w:cstheme="minorBidi"/>
                <w:b/>
                <w:snapToGrid/>
                <w:sz w:val="20"/>
                <w:szCs w:val="22"/>
              </w:rPr>
            </w:pPr>
            <w:r w:rsidRPr="00D439EE">
              <w:rPr>
                <w:rFonts w:ascii="Arial Narrow" w:eastAsiaTheme="minorHAnsi" w:hAnsi="Arial Narrow" w:cstheme="minorBidi"/>
                <w:b/>
                <w:snapToGrid/>
                <w:sz w:val="20"/>
                <w:szCs w:val="22"/>
              </w:rPr>
              <w:t xml:space="preserve">PBS </w:t>
            </w:r>
            <w:r w:rsidR="00FB4875" w:rsidRPr="00D439EE">
              <w:rPr>
                <w:rFonts w:ascii="Arial Narrow" w:eastAsiaTheme="minorHAnsi" w:hAnsi="Arial Narrow" w:cstheme="minorBidi"/>
                <w:b/>
                <w:snapToGrid/>
                <w:sz w:val="20"/>
                <w:szCs w:val="22"/>
              </w:rPr>
              <w:t>Indication</w:t>
            </w:r>
          </w:p>
        </w:tc>
        <w:tc>
          <w:tcPr>
            <w:tcW w:w="1194" w:type="pct"/>
            <w:vAlign w:val="center"/>
          </w:tcPr>
          <w:p w:rsidR="00FB4875" w:rsidRPr="00D439EE" w:rsidRDefault="00FB4875" w:rsidP="00313D08">
            <w:pPr>
              <w:pStyle w:val="ListParagraph"/>
              <w:keepNext/>
              <w:widowControl/>
              <w:spacing w:after="120"/>
              <w:ind w:left="0"/>
              <w:contextualSpacing w:val="0"/>
              <w:jc w:val="center"/>
              <w:rPr>
                <w:rFonts w:ascii="Arial Narrow" w:eastAsiaTheme="minorHAnsi" w:hAnsi="Arial Narrow" w:cstheme="minorBidi"/>
                <w:b/>
                <w:snapToGrid/>
                <w:sz w:val="20"/>
                <w:szCs w:val="22"/>
              </w:rPr>
            </w:pPr>
            <w:r w:rsidRPr="00D439EE">
              <w:rPr>
                <w:rFonts w:ascii="Arial Narrow" w:eastAsiaTheme="minorHAnsi" w:hAnsi="Arial Narrow" w:cstheme="minorBidi"/>
                <w:b/>
                <w:snapToGrid/>
                <w:sz w:val="20"/>
                <w:szCs w:val="22"/>
              </w:rPr>
              <w:t>PBAC meeting</w:t>
            </w:r>
            <w:r w:rsidR="00B73C93" w:rsidRPr="00D439EE">
              <w:rPr>
                <w:rFonts w:ascii="Arial Narrow" w:eastAsiaTheme="minorHAnsi" w:hAnsi="Arial Narrow" w:cstheme="minorBidi"/>
                <w:b/>
                <w:snapToGrid/>
                <w:sz w:val="20"/>
                <w:szCs w:val="22"/>
              </w:rPr>
              <w:t xml:space="preserve"> recommended</w:t>
            </w:r>
          </w:p>
        </w:tc>
        <w:tc>
          <w:tcPr>
            <w:tcW w:w="979" w:type="pct"/>
            <w:vAlign w:val="center"/>
          </w:tcPr>
          <w:p w:rsidR="00FB4875" w:rsidRPr="00D439EE" w:rsidRDefault="00FB4875" w:rsidP="00313D08">
            <w:pPr>
              <w:pStyle w:val="ListParagraph"/>
              <w:keepNext/>
              <w:widowControl/>
              <w:spacing w:after="120"/>
              <w:ind w:left="0"/>
              <w:contextualSpacing w:val="0"/>
              <w:jc w:val="center"/>
              <w:rPr>
                <w:rFonts w:ascii="Arial Narrow" w:eastAsiaTheme="minorHAnsi" w:hAnsi="Arial Narrow" w:cstheme="minorBidi"/>
                <w:b/>
                <w:snapToGrid/>
                <w:sz w:val="20"/>
                <w:szCs w:val="22"/>
              </w:rPr>
            </w:pPr>
            <w:r w:rsidRPr="00D439EE">
              <w:rPr>
                <w:rFonts w:ascii="Arial Narrow" w:eastAsiaTheme="minorHAnsi" w:hAnsi="Arial Narrow" w:cstheme="minorBidi"/>
                <w:b/>
                <w:snapToGrid/>
                <w:sz w:val="20"/>
                <w:szCs w:val="22"/>
              </w:rPr>
              <w:t>Date listed</w:t>
            </w:r>
          </w:p>
        </w:tc>
      </w:tr>
      <w:tr w:rsidR="00B73C93" w:rsidRPr="00D439EE" w:rsidTr="00DD129C">
        <w:trPr>
          <w:tblHeader/>
        </w:trPr>
        <w:tc>
          <w:tcPr>
            <w:tcW w:w="2827" w:type="pct"/>
          </w:tcPr>
          <w:p w:rsidR="00FB4875" w:rsidRPr="00D439EE" w:rsidRDefault="00B73C93" w:rsidP="00313D08">
            <w:pPr>
              <w:pStyle w:val="ListParagraph"/>
              <w:widowControl/>
              <w:spacing w:after="120"/>
              <w:ind w:left="0"/>
              <w:contextualSpacing w:val="0"/>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Unresectable Stage III or Stage IV malignant melanoma (monotherapy)</w:t>
            </w:r>
          </w:p>
        </w:tc>
        <w:tc>
          <w:tcPr>
            <w:tcW w:w="1194" w:type="pct"/>
            <w:vAlign w:val="center"/>
          </w:tcPr>
          <w:p w:rsidR="00FB4875" w:rsidRPr="00D439EE" w:rsidRDefault="00B73C93"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November 2015</w:t>
            </w:r>
          </w:p>
        </w:tc>
        <w:tc>
          <w:tcPr>
            <w:tcW w:w="979" w:type="pct"/>
            <w:vAlign w:val="center"/>
          </w:tcPr>
          <w:p w:rsidR="00FB4875" w:rsidRPr="00D439EE" w:rsidRDefault="00B73C93"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1 May 2016</w:t>
            </w:r>
          </w:p>
        </w:tc>
      </w:tr>
      <w:tr w:rsidR="00B73C93" w:rsidRPr="00D439EE" w:rsidTr="00DD129C">
        <w:trPr>
          <w:tblHeader/>
        </w:trPr>
        <w:tc>
          <w:tcPr>
            <w:tcW w:w="2827" w:type="pct"/>
          </w:tcPr>
          <w:p w:rsidR="00FB4875" w:rsidRPr="00D439EE" w:rsidRDefault="00DD2454" w:rsidP="00313D08">
            <w:pPr>
              <w:pStyle w:val="ListParagraph"/>
              <w:widowControl/>
              <w:spacing w:after="120"/>
              <w:ind w:left="0"/>
              <w:contextualSpacing w:val="0"/>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Locally advance</w:t>
            </w:r>
            <w:r w:rsidR="0007319F" w:rsidRPr="00D439EE">
              <w:rPr>
                <w:rFonts w:ascii="Arial Narrow" w:eastAsiaTheme="minorHAnsi" w:hAnsi="Arial Narrow" w:cstheme="minorBidi"/>
                <w:snapToGrid/>
                <w:sz w:val="20"/>
                <w:szCs w:val="22"/>
              </w:rPr>
              <w:t>d</w:t>
            </w:r>
            <w:r w:rsidRPr="00D439EE">
              <w:rPr>
                <w:rFonts w:ascii="Arial Narrow" w:eastAsiaTheme="minorHAnsi" w:hAnsi="Arial Narrow" w:cstheme="minorBidi"/>
                <w:snapToGrid/>
                <w:sz w:val="20"/>
                <w:szCs w:val="22"/>
              </w:rPr>
              <w:t xml:space="preserve"> or metastatic non-small cell lung cancer </w:t>
            </w:r>
          </w:p>
        </w:tc>
        <w:tc>
          <w:tcPr>
            <w:tcW w:w="1194" w:type="pct"/>
            <w:vAlign w:val="center"/>
          </w:tcPr>
          <w:p w:rsidR="00FB4875" w:rsidRPr="00D439EE" w:rsidRDefault="00DD2454"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March 2017</w:t>
            </w:r>
          </w:p>
        </w:tc>
        <w:tc>
          <w:tcPr>
            <w:tcW w:w="979" w:type="pct"/>
            <w:vAlign w:val="center"/>
          </w:tcPr>
          <w:p w:rsidR="00FB4875" w:rsidRPr="00D439EE" w:rsidRDefault="00F40FFC"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 xml:space="preserve">1 </w:t>
            </w:r>
            <w:r w:rsidR="00DD2454" w:rsidRPr="00D439EE">
              <w:rPr>
                <w:rFonts w:ascii="Arial Narrow" w:eastAsiaTheme="minorHAnsi" w:hAnsi="Arial Narrow" w:cstheme="minorBidi"/>
                <w:snapToGrid/>
                <w:sz w:val="20"/>
                <w:szCs w:val="22"/>
              </w:rPr>
              <w:t>August 2017</w:t>
            </w:r>
          </w:p>
        </w:tc>
      </w:tr>
      <w:tr w:rsidR="00B73C93" w:rsidRPr="00D439EE" w:rsidTr="00DD129C">
        <w:trPr>
          <w:tblHeader/>
        </w:trPr>
        <w:tc>
          <w:tcPr>
            <w:tcW w:w="2827" w:type="pct"/>
          </w:tcPr>
          <w:p w:rsidR="00FB4875" w:rsidRPr="00D439EE" w:rsidRDefault="00DD2454" w:rsidP="00313D08">
            <w:pPr>
              <w:pStyle w:val="ListParagraph"/>
              <w:widowControl/>
              <w:spacing w:after="120"/>
              <w:ind w:left="0"/>
              <w:contextualSpacing w:val="0"/>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 xml:space="preserve">Stage IV clear cell variant renal cell carcinoma </w:t>
            </w:r>
            <w:r w:rsidR="002A0BC0" w:rsidRPr="00D439EE">
              <w:rPr>
                <w:rFonts w:ascii="Arial Narrow" w:eastAsiaTheme="minorHAnsi" w:hAnsi="Arial Narrow" w:cstheme="minorBidi"/>
                <w:snapToGrid/>
                <w:sz w:val="20"/>
                <w:szCs w:val="22"/>
              </w:rPr>
              <w:t>(following TKI treatment)</w:t>
            </w:r>
          </w:p>
        </w:tc>
        <w:tc>
          <w:tcPr>
            <w:tcW w:w="1194" w:type="pct"/>
            <w:vAlign w:val="center"/>
          </w:tcPr>
          <w:p w:rsidR="00FB4875" w:rsidRPr="00D439EE" w:rsidRDefault="00DD2454"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March 2017</w:t>
            </w:r>
          </w:p>
        </w:tc>
        <w:tc>
          <w:tcPr>
            <w:tcW w:w="979" w:type="pct"/>
            <w:vAlign w:val="center"/>
          </w:tcPr>
          <w:p w:rsidR="00FB4875" w:rsidRPr="00D439EE" w:rsidRDefault="00F40FFC"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 xml:space="preserve">1 </w:t>
            </w:r>
            <w:r w:rsidR="00DD2454" w:rsidRPr="00D439EE">
              <w:rPr>
                <w:rFonts w:ascii="Arial Narrow" w:eastAsiaTheme="minorHAnsi" w:hAnsi="Arial Narrow" w:cstheme="minorBidi"/>
                <w:snapToGrid/>
                <w:sz w:val="20"/>
                <w:szCs w:val="22"/>
              </w:rPr>
              <w:t>August 2017</w:t>
            </w:r>
          </w:p>
        </w:tc>
      </w:tr>
      <w:tr w:rsidR="00DD2454" w:rsidRPr="00D439EE" w:rsidTr="00DD129C">
        <w:trPr>
          <w:tblHeader/>
        </w:trPr>
        <w:tc>
          <w:tcPr>
            <w:tcW w:w="2827" w:type="pct"/>
          </w:tcPr>
          <w:p w:rsidR="00DD2454" w:rsidRPr="00D439EE" w:rsidRDefault="00DD2454" w:rsidP="00313D08">
            <w:pPr>
              <w:pStyle w:val="ListParagraph"/>
              <w:widowControl/>
              <w:spacing w:after="120"/>
              <w:ind w:left="0"/>
              <w:contextualSpacing w:val="0"/>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Recurrent or metastatic squamous cell carcinoma of the oral cavity, pharynx or larynx</w:t>
            </w:r>
          </w:p>
        </w:tc>
        <w:tc>
          <w:tcPr>
            <w:tcW w:w="1194" w:type="pct"/>
            <w:vAlign w:val="center"/>
          </w:tcPr>
          <w:p w:rsidR="00DD2454" w:rsidRPr="00D439EE" w:rsidRDefault="00F40FFC"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March 2018</w:t>
            </w:r>
          </w:p>
        </w:tc>
        <w:tc>
          <w:tcPr>
            <w:tcW w:w="979" w:type="pct"/>
            <w:vAlign w:val="center"/>
          </w:tcPr>
          <w:p w:rsidR="00DD2454" w:rsidRPr="00D439EE" w:rsidRDefault="00F40FFC"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1 August 2018</w:t>
            </w:r>
          </w:p>
        </w:tc>
      </w:tr>
      <w:tr w:rsidR="00DD2454" w:rsidRPr="00D439EE" w:rsidTr="00DD129C">
        <w:trPr>
          <w:tblHeader/>
        </w:trPr>
        <w:tc>
          <w:tcPr>
            <w:tcW w:w="2827" w:type="pct"/>
          </w:tcPr>
          <w:p w:rsidR="00DD2454" w:rsidRPr="00D439EE" w:rsidRDefault="00DD2454" w:rsidP="00313D08">
            <w:pPr>
              <w:pStyle w:val="ListParagraph"/>
              <w:widowControl/>
              <w:spacing w:after="120"/>
              <w:ind w:left="0"/>
              <w:contextualSpacing w:val="0"/>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 xml:space="preserve">Unresectable Stage III or Stage IV malignant melanoma (in combination with </w:t>
            </w:r>
            <w:proofErr w:type="spellStart"/>
            <w:r w:rsidRPr="00D439EE">
              <w:rPr>
                <w:rFonts w:ascii="Arial Narrow" w:eastAsiaTheme="minorHAnsi" w:hAnsi="Arial Narrow" w:cstheme="minorBidi"/>
                <w:snapToGrid/>
                <w:sz w:val="20"/>
                <w:szCs w:val="22"/>
              </w:rPr>
              <w:t>ipilimumab</w:t>
            </w:r>
            <w:proofErr w:type="spellEnd"/>
            <w:r w:rsidRPr="00D439EE">
              <w:rPr>
                <w:rFonts w:ascii="Arial Narrow" w:eastAsiaTheme="minorHAnsi" w:hAnsi="Arial Narrow" w:cstheme="minorBidi"/>
                <w:snapToGrid/>
                <w:sz w:val="20"/>
                <w:szCs w:val="22"/>
              </w:rPr>
              <w:t>)</w:t>
            </w:r>
          </w:p>
        </w:tc>
        <w:tc>
          <w:tcPr>
            <w:tcW w:w="1194" w:type="pct"/>
            <w:vAlign w:val="center"/>
          </w:tcPr>
          <w:p w:rsidR="00DD2454" w:rsidRPr="00D439EE" w:rsidRDefault="00DD2454"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July 2018</w:t>
            </w:r>
          </w:p>
        </w:tc>
        <w:tc>
          <w:tcPr>
            <w:tcW w:w="979" w:type="pct"/>
            <w:vAlign w:val="center"/>
          </w:tcPr>
          <w:p w:rsidR="00DD2454" w:rsidRPr="00D439EE" w:rsidRDefault="00DD2454"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1 December 2018</w:t>
            </w:r>
          </w:p>
        </w:tc>
      </w:tr>
      <w:tr w:rsidR="00DD2454" w:rsidRPr="00D439EE" w:rsidTr="00DD129C">
        <w:trPr>
          <w:tblHeader/>
        </w:trPr>
        <w:tc>
          <w:tcPr>
            <w:tcW w:w="2827" w:type="pct"/>
          </w:tcPr>
          <w:p w:rsidR="00DD2454" w:rsidRPr="00D439EE" w:rsidRDefault="002A0BC0" w:rsidP="00313D08">
            <w:pPr>
              <w:pStyle w:val="ListParagraph"/>
              <w:widowControl/>
              <w:spacing w:after="120"/>
              <w:ind w:left="0"/>
              <w:contextualSpacing w:val="0"/>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 xml:space="preserve">Stage IV clear cell variant renal cell carcinoma (first line, in combination with </w:t>
            </w:r>
            <w:proofErr w:type="spellStart"/>
            <w:r w:rsidR="007B2B98" w:rsidRPr="00D439EE">
              <w:rPr>
                <w:rFonts w:ascii="Arial Narrow" w:eastAsiaTheme="minorHAnsi" w:hAnsi="Arial Narrow" w:cstheme="minorBidi"/>
                <w:snapToGrid/>
                <w:sz w:val="20"/>
                <w:szCs w:val="22"/>
              </w:rPr>
              <w:t>ipilimumab</w:t>
            </w:r>
            <w:proofErr w:type="spellEnd"/>
            <w:r w:rsidRPr="00D439EE">
              <w:rPr>
                <w:rFonts w:ascii="Arial Narrow" w:eastAsiaTheme="minorHAnsi" w:hAnsi="Arial Narrow" w:cstheme="minorBidi"/>
                <w:snapToGrid/>
                <w:sz w:val="20"/>
                <w:szCs w:val="22"/>
              </w:rPr>
              <w:t xml:space="preserve">) </w:t>
            </w:r>
          </w:p>
        </w:tc>
        <w:tc>
          <w:tcPr>
            <w:tcW w:w="1194" w:type="pct"/>
            <w:vAlign w:val="center"/>
          </w:tcPr>
          <w:p w:rsidR="00DD2454" w:rsidRPr="00D439EE" w:rsidRDefault="00E15BD2"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November 2018</w:t>
            </w:r>
          </w:p>
        </w:tc>
        <w:tc>
          <w:tcPr>
            <w:tcW w:w="979" w:type="pct"/>
            <w:vAlign w:val="center"/>
          </w:tcPr>
          <w:p w:rsidR="00DD2454" w:rsidRPr="00D439EE" w:rsidRDefault="00F175E5" w:rsidP="00313D08">
            <w:pPr>
              <w:pStyle w:val="ListParagraph"/>
              <w:widowControl/>
              <w:spacing w:after="120"/>
              <w:ind w:left="0"/>
              <w:contextualSpacing w:val="0"/>
              <w:jc w:val="center"/>
              <w:rPr>
                <w:rFonts w:ascii="Arial Narrow" w:eastAsiaTheme="minorHAnsi" w:hAnsi="Arial Narrow" w:cstheme="minorBidi"/>
                <w:snapToGrid/>
                <w:sz w:val="20"/>
                <w:szCs w:val="22"/>
              </w:rPr>
            </w:pPr>
            <w:r w:rsidRPr="00D439EE">
              <w:rPr>
                <w:rFonts w:ascii="Arial Narrow" w:eastAsiaTheme="minorHAnsi" w:hAnsi="Arial Narrow" w:cstheme="minorBidi"/>
                <w:snapToGrid/>
                <w:sz w:val="20"/>
                <w:szCs w:val="22"/>
              </w:rPr>
              <w:t>1 March 2019</w:t>
            </w:r>
          </w:p>
        </w:tc>
      </w:tr>
    </w:tbl>
    <w:p w:rsidR="002A0BC0" w:rsidRPr="00D439EE" w:rsidRDefault="008D16E6" w:rsidP="00AE276F">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D439EE">
        <w:rPr>
          <w:rFonts w:asciiTheme="minorHAnsi" w:eastAsiaTheme="minorHAnsi" w:hAnsiTheme="minorHAnsi" w:cstheme="minorBidi"/>
          <w:snapToGrid/>
          <w:sz w:val="24"/>
          <w:szCs w:val="22"/>
        </w:rPr>
        <w:t>A resubmission requesting listing for the adjuvant treatment of patients who have had completely surgically resected Stage III or Stage IV malignant melanoma will be considered by the PBAC at the March 2019 meeting</w:t>
      </w:r>
      <w:r w:rsidR="00EE2D14" w:rsidRPr="00D439EE">
        <w:rPr>
          <w:rFonts w:asciiTheme="minorHAnsi" w:eastAsiaTheme="minorHAnsi" w:hAnsiTheme="minorHAnsi" w:cstheme="minorBidi"/>
          <w:snapToGrid/>
          <w:sz w:val="24"/>
          <w:szCs w:val="22"/>
        </w:rPr>
        <w:t xml:space="preserve"> (item 7.09 refers)</w:t>
      </w:r>
      <w:r w:rsidRPr="00D439EE">
        <w:rPr>
          <w:rFonts w:asciiTheme="minorHAnsi" w:eastAsiaTheme="minorHAnsi" w:hAnsiTheme="minorHAnsi" w:cstheme="minorBidi"/>
          <w:snapToGrid/>
          <w:sz w:val="24"/>
          <w:szCs w:val="22"/>
        </w:rPr>
        <w:t xml:space="preserve">. </w:t>
      </w:r>
    </w:p>
    <w:p w:rsidR="00494113" w:rsidRDefault="00F960E0" w:rsidP="00AE276F">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D439EE">
        <w:rPr>
          <w:rFonts w:asciiTheme="minorHAnsi" w:eastAsiaTheme="minorHAnsi" w:hAnsiTheme="minorHAnsi" w:cstheme="minorBidi"/>
          <w:snapToGrid/>
          <w:sz w:val="24"/>
          <w:szCs w:val="22"/>
        </w:rPr>
        <w:t>R</w:t>
      </w:r>
      <w:r w:rsidR="00555CF0" w:rsidRPr="00D439EE">
        <w:rPr>
          <w:rFonts w:asciiTheme="minorHAnsi" w:eastAsiaTheme="minorHAnsi" w:hAnsiTheme="minorHAnsi" w:cstheme="minorBidi"/>
          <w:snapToGrid/>
          <w:sz w:val="24"/>
          <w:szCs w:val="22"/>
        </w:rPr>
        <w:t>isk sharing arrangement</w:t>
      </w:r>
      <w:r w:rsidRPr="00D439EE">
        <w:rPr>
          <w:rFonts w:asciiTheme="minorHAnsi" w:eastAsiaTheme="minorHAnsi" w:hAnsiTheme="minorHAnsi" w:cstheme="minorBidi"/>
          <w:snapToGrid/>
          <w:sz w:val="24"/>
          <w:szCs w:val="22"/>
        </w:rPr>
        <w:t>s (RSAs)</w:t>
      </w:r>
      <w:r w:rsidR="00555CF0" w:rsidRPr="00D439EE">
        <w:rPr>
          <w:rFonts w:asciiTheme="minorHAnsi" w:eastAsiaTheme="minorHAnsi" w:hAnsiTheme="minorHAnsi" w:cstheme="minorBidi"/>
          <w:snapToGrid/>
          <w:sz w:val="24"/>
          <w:szCs w:val="22"/>
        </w:rPr>
        <w:t xml:space="preserve"> in the form of expenditure caps</w:t>
      </w:r>
      <w:r w:rsidRPr="00D439EE">
        <w:rPr>
          <w:rFonts w:asciiTheme="minorHAnsi" w:eastAsiaTheme="minorHAnsi" w:hAnsiTheme="minorHAnsi" w:cstheme="minorBidi"/>
          <w:snapToGrid/>
          <w:sz w:val="24"/>
          <w:szCs w:val="22"/>
        </w:rPr>
        <w:t xml:space="preserve"> are currently</w:t>
      </w:r>
      <w:r w:rsidR="00555CF0" w:rsidRPr="00D439EE">
        <w:rPr>
          <w:rFonts w:asciiTheme="minorHAnsi" w:eastAsiaTheme="minorHAnsi" w:hAnsiTheme="minorHAnsi" w:cstheme="minorBidi"/>
          <w:snapToGrid/>
          <w:sz w:val="24"/>
          <w:szCs w:val="22"/>
        </w:rPr>
        <w:t xml:space="preserve"> in place for </w:t>
      </w:r>
      <w:r w:rsidR="00E62715" w:rsidRPr="00D439EE">
        <w:rPr>
          <w:rFonts w:asciiTheme="minorHAnsi" w:eastAsiaTheme="minorHAnsi" w:hAnsiTheme="minorHAnsi" w:cstheme="minorBidi"/>
          <w:snapToGrid/>
          <w:sz w:val="24"/>
          <w:szCs w:val="22"/>
        </w:rPr>
        <w:t>all</w:t>
      </w:r>
      <w:r w:rsidR="00C24CFE" w:rsidRPr="00D439EE">
        <w:rPr>
          <w:rFonts w:asciiTheme="minorHAnsi" w:eastAsiaTheme="minorHAnsi" w:hAnsiTheme="minorHAnsi" w:cstheme="minorBidi"/>
          <w:snapToGrid/>
          <w:sz w:val="24"/>
          <w:szCs w:val="22"/>
        </w:rPr>
        <w:t xml:space="preserve"> </w:t>
      </w:r>
      <w:r w:rsidR="00555CF0" w:rsidRPr="00D439EE">
        <w:rPr>
          <w:rFonts w:asciiTheme="minorHAnsi" w:eastAsiaTheme="minorHAnsi" w:hAnsiTheme="minorHAnsi" w:cstheme="minorBidi"/>
          <w:snapToGrid/>
          <w:sz w:val="24"/>
          <w:szCs w:val="22"/>
        </w:rPr>
        <w:t>PBS subsidised indications</w:t>
      </w:r>
      <w:r w:rsidR="00C24CFE" w:rsidRPr="00D439EE">
        <w:rPr>
          <w:rFonts w:asciiTheme="minorHAnsi" w:eastAsiaTheme="minorHAnsi" w:hAnsiTheme="minorHAnsi" w:cstheme="minorBidi"/>
          <w:snapToGrid/>
          <w:sz w:val="24"/>
          <w:szCs w:val="22"/>
        </w:rPr>
        <w:t>. The RSA</w:t>
      </w:r>
      <w:r w:rsidR="00CE5995" w:rsidRPr="00D439EE">
        <w:rPr>
          <w:rFonts w:asciiTheme="minorHAnsi" w:eastAsiaTheme="minorHAnsi" w:hAnsiTheme="minorHAnsi" w:cstheme="minorBidi"/>
          <w:snapToGrid/>
          <w:sz w:val="24"/>
          <w:szCs w:val="22"/>
        </w:rPr>
        <w:t xml:space="preserve"> </w:t>
      </w:r>
      <w:r w:rsidR="00C24CFE" w:rsidRPr="00D439EE">
        <w:rPr>
          <w:rFonts w:asciiTheme="minorHAnsi" w:eastAsiaTheme="minorHAnsi" w:hAnsiTheme="minorHAnsi" w:cstheme="minorBidi"/>
          <w:snapToGrid/>
          <w:sz w:val="24"/>
          <w:szCs w:val="22"/>
        </w:rPr>
        <w:t xml:space="preserve">in place for the treatment of </w:t>
      </w:r>
      <w:r w:rsidR="00EE2D14" w:rsidRPr="00D439EE">
        <w:rPr>
          <w:rFonts w:asciiTheme="minorHAnsi" w:eastAsiaTheme="minorHAnsi" w:hAnsiTheme="minorHAnsi" w:cstheme="minorBidi"/>
          <w:snapToGrid/>
          <w:sz w:val="24"/>
          <w:szCs w:val="22"/>
        </w:rPr>
        <w:t>u</w:t>
      </w:r>
      <w:r w:rsidR="00607B61" w:rsidRPr="00D439EE">
        <w:rPr>
          <w:rFonts w:asciiTheme="minorHAnsi" w:eastAsiaTheme="minorHAnsi" w:hAnsiTheme="minorHAnsi" w:cstheme="minorBidi"/>
          <w:snapToGrid/>
          <w:sz w:val="24"/>
          <w:szCs w:val="22"/>
        </w:rPr>
        <w:t>nresectable Stage III or Stage IV malignant melanoma</w:t>
      </w:r>
      <w:r w:rsidR="009A5CD9" w:rsidRPr="00D439EE">
        <w:rPr>
          <w:rFonts w:asciiTheme="minorHAnsi" w:eastAsiaTheme="minorHAnsi" w:hAnsiTheme="minorHAnsi" w:cstheme="minorBidi"/>
          <w:snapToGrid/>
          <w:sz w:val="24"/>
          <w:szCs w:val="22"/>
        </w:rPr>
        <w:t xml:space="preserve"> is shared with the sponsor for pembrolizumab while the RSA in place for the treatment of</w:t>
      </w:r>
      <w:r w:rsidR="00607B61" w:rsidRPr="00D439EE">
        <w:rPr>
          <w:rFonts w:asciiTheme="minorHAnsi" w:eastAsiaTheme="minorHAnsi" w:hAnsiTheme="minorHAnsi" w:cstheme="minorBidi"/>
          <w:snapToGrid/>
          <w:sz w:val="24"/>
          <w:szCs w:val="22"/>
        </w:rPr>
        <w:t xml:space="preserve"> </w:t>
      </w:r>
      <w:r w:rsidR="009A5CD9" w:rsidRPr="00D439EE">
        <w:rPr>
          <w:rFonts w:asciiTheme="minorHAnsi" w:eastAsiaTheme="minorHAnsi" w:hAnsiTheme="minorHAnsi" w:cstheme="minorBidi"/>
          <w:snapToGrid/>
          <w:sz w:val="24"/>
          <w:szCs w:val="22"/>
        </w:rPr>
        <w:t>non-small cell lung cancer is shared with the sponsor for pembrolizumab and the sponsor for atezolizumab</w:t>
      </w:r>
      <w:r w:rsidR="00CE5995" w:rsidRPr="00D439EE">
        <w:rPr>
          <w:rFonts w:asciiTheme="minorHAnsi" w:eastAsiaTheme="minorHAnsi" w:hAnsiTheme="minorHAnsi" w:cstheme="minorBidi"/>
          <w:snapToGrid/>
          <w:sz w:val="24"/>
          <w:szCs w:val="22"/>
        </w:rPr>
        <w:t>.</w:t>
      </w:r>
      <w:r w:rsidR="00C96CB0" w:rsidRPr="00D439EE">
        <w:rPr>
          <w:rFonts w:asciiTheme="minorHAnsi" w:eastAsiaTheme="minorHAnsi" w:hAnsiTheme="minorHAnsi" w:cstheme="minorBidi"/>
          <w:snapToGrid/>
          <w:sz w:val="24"/>
          <w:szCs w:val="22"/>
        </w:rPr>
        <w:t xml:space="preserve"> The RSAs for the treatment</w:t>
      </w:r>
      <w:r w:rsidR="00555CF0" w:rsidRPr="00D439EE">
        <w:rPr>
          <w:rFonts w:asciiTheme="minorHAnsi" w:eastAsiaTheme="minorHAnsi" w:hAnsiTheme="minorHAnsi" w:cstheme="minorBidi"/>
          <w:snapToGrid/>
          <w:sz w:val="24"/>
          <w:szCs w:val="22"/>
        </w:rPr>
        <w:t xml:space="preserve"> </w:t>
      </w:r>
      <w:r w:rsidR="00C96CB0" w:rsidRPr="00D439EE">
        <w:rPr>
          <w:rFonts w:asciiTheme="minorHAnsi" w:eastAsiaTheme="minorHAnsi" w:hAnsiTheme="minorHAnsi" w:cstheme="minorBidi"/>
          <w:snapToGrid/>
          <w:sz w:val="24"/>
          <w:szCs w:val="22"/>
        </w:rPr>
        <w:t xml:space="preserve">of </w:t>
      </w:r>
      <w:r w:rsidR="00EE2D14" w:rsidRPr="00D439EE">
        <w:rPr>
          <w:rFonts w:asciiTheme="minorHAnsi" w:eastAsiaTheme="minorHAnsi" w:hAnsiTheme="minorHAnsi" w:cstheme="minorBidi"/>
          <w:snapToGrid/>
          <w:sz w:val="24"/>
          <w:szCs w:val="22"/>
        </w:rPr>
        <w:t>r</w:t>
      </w:r>
      <w:r w:rsidR="00C96CB0" w:rsidRPr="00D439EE">
        <w:rPr>
          <w:rFonts w:asciiTheme="minorHAnsi" w:eastAsiaTheme="minorHAnsi" w:hAnsiTheme="minorHAnsi" w:cstheme="minorBidi"/>
          <w:snapToGrid/>
          <w:sz w:val="24"/>
          <w:szCs w:val="22"/>
        </w:rPr>
        <w:t>ecurrent or metastatic squamous cell carcinoma of the oral cavity, pharynx or larynx</w:t>
      </w:r>
      <w:r w:rsidR="00C96CB0" w:rsidRPr="00D439EE" w:rsidDel="009A5CD9">
        <w:rPr>
          <w:rFonts w:asciiTheme="minorHAnsi" w:eastAsiaTheme="minorHAnsi" w:hAnsiTheme="minorHAnsi" w:cstheme="minorBidi"/>
          <w:snapToGrid/>
          <w:sz w:val="24"/>
          <w:szCs w:val="22"/>
        </w:rPr>
        <w:t xml:space="preserve"> </w:t>
      </w:r>
      <w:r w:rsidR="00C96CB0" w:rsidRPr="00D439EE">
        <w:rPr>
          <w:rFonts w:asciiTheme="minorHAnsi" w:eastAsiaTheme="minorHAnsi" w:hAnsiTheme="minorHAnsi" w:cstheme="minorBidi"/>
          <w:snapToGrid/>
          <w:sz w:val="24"/>
          <w:szCs w:val="22"/>
        </w:rPr>
        <w:t>and the treatment of  Stage IV clear cell variant renal cell carcinoma (following TKI treatment) are currently not shared with any other sponsor</w:t>
      </w:r>
      <w:r w:rsidR="00090E5F" w:rsidRPr="00D439EE">
        <w:rPr>
          <w:rFonts w:asciiTheme="minorHAnsi" w:eastAsiaTheme="minorHAnsi" w:hAnsiTheme="minorHAnsi" w:cstheme="minorBidi"/>
          <w:snapToGrid/>
          <w:sz w:val="24"/>
          <w:szCs w:val="22"/>
        </w:rPr>
        <w:t>.</w:t>
      </w:r>
    </w:p>
    <w:p w:rsidR="00494113" w:rsidRDefault="00494113">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494113" w:rsidRDefault="00494113" w:rsidP="00494113">
      <w:pPr>
        <w:pStyle w:val="ListParagraph"/>
        <w:widowControl/>
        <w:spacing w:after="120"/>
        <w:ind w:left="709"/>
        <w:jc w:val="center"/>
        <w:rPr>
          <w:rFonts w:asciiTheme="minorHAnsi" w:hAnsiTheme="minorHAnsi"/>
          <w:b/>
          <w:i/>
          <w:sz w:val="24"/>
          <w:szCs w:val="24"/>
          <w:u w:val="single"/>
        </w:rPr>
      </w:pPr>
      <w:r w:rsidRPr="00BD33A4">
        <w:rPr>
          <w:rFonts w:asciiTheme="minorHAnsi" w:hAnsiTheme="minorHAnsi"/>
          <w:b/>
          <w:i/>
          <w:sz w:val="24"/>
          <w:szCs w:val="24"/>
          <w:u w:val="single"/>
        </w:rPr>
        <w:lastRenderedPageBreak/>
        <w:t>Committee-in-Confidence information</w:t>
      </w:r>
    </w:p>
    <w:p w:rsidR="00494113" w:rsidRPr="00BD33A4" w:rsidRDefault="00494113" w:rsidP="00494113">
      <w:pPr>
        <w:pStyle w:val="ListParagraph"/>
        <w:widowControl/>
        <w:spacing w:after="120"/>
        <w:ind w:left="709"/>
        <w:jc w:val="center"/>
        <w:rPr>
          <w:rFonts w:asciiTheme="minorHAnsi" w:hAnsiTheme="minorHAnsi"/>
          <w:b/>
          <w:i/>
          <w:sz w:val="24"/>
          <w:szCs w:val="24"/>
          <w:u w:val="single"/>
        </w:rPr>
      </w:pPr>
    </w:p>
    <w:p w:rsidR="00B3331B" w:rsidRPr="00494113" w:rsidRDefault="00090E5F" w:rsidP="00AE276F">
      <w:pPr>
        <w:pStyle w:val="ListParagraph"/>
        <w:widowControl/>
        <w:numPr>
          <w:ilvl w:val="1"/>
          <w:numId w:val="5"/>
        </w:numPr>
        <w:spacing w:before="120" w:after="120"/>
        <w:contextualSpacing w:val="0"/>
        <w:rPr>
          <w:rFonts w:asciiTheme="minorHAnsi" w:eastAsiaTheme="minorHAnsi" w:hAnsiTheme="minorHAnsi" w:cstheme="minorBidi"/>
          <w:sz w:val="24"/>
          <w:szCs w:val="24"/>
        </w:rPr>
      </w:pPr>
      <w:r w:rsidRPr="00D439EE">
        <w:rPr>
          <w:rFonts w:asciiTheme="minorHAnsi" w:eastAsiaTheme="minorHAnsi" w:hAnsiTheme="minorHAnsi" w:cstheme="minorBidi"/>
          <w:sz w:val="24"/>
          <w:szCs w:val="24"/>
        </w:rPr>
        <w:t xml:space="preserve">At </w:t>
      </w:r>
      <w:r w:rsidR="0091684D" w:rsidRPr="00D439EE">
        <w:rPr>
          <w:rFonts w:asciiTheme="minorHAnsi" w:eastAsiaTheme="minorHAnsi" w:hAnsiTheme="minorHAnsi" w:cstheme="minorBidi"/>
          <w:sz w:val="24"/>
          <w:szCs w:val="24"/>
        </w:rPr>
        <w:t xml:space="preserve">its March 2018 meeting, </w:t>
      </w:r>
      <w:r w:rsidR="0091684D" w:rsidRPr="00D439EE">
        <w:rPr>
          <w:rFonts w:asciiTheme="minorHAnsi" w:eastAsiaTheme="minorHAnsi" w:hAnsiTheme="minorHAnsi" w:cstheme="minorHAnsi"/>
          <w:sz w:val="24"/>
          <w:szCs w:val="24"/>
        </w:rPr>
        <w:t>t</w:t>
      </w:r>
      <w:r w:rsidR="00FD7809" w:rsidRPr="00D439EE">
        <w:rPr>
          <w:rFonts w:asciiTheme="minorHAnsi" w:eastAsiaTheme="minorHAnsi" w:hAnsiTheme="minorHAnsi" w:cstheme="minorHAnsi"/>
          <w:sz w:val="24"/>
          <w:szCs w:val="24"/>
        </w:rPr>
        <w:t xml:space="preserve">he PBAC recommended an amendment to the existing PBS restrictions for pembrolizumab, for the treatment of unresectable Stage III or Stage IV malignant melanoma, to allow either a weight-based dose of 2 mg/kg or a </w:t>
      </w:r>
      <w:r w:rsidR="00932DBF" w:rsidRPr="00D439EE">
        <w:rPr>
          <w:rFonts w:asciiTheme="minorHAnsi" w:eastAsiaTheme="minorHAnsi" w:hAnsiTheme="minorHAnsi" w:cstheme="minorHAnsi"/>
          <w:sz w:val="24"/>
          <w:szCs w:val="24"/>
        </w:rPr>
        <w:t xml:space="preserve">flat </w:t>
      </w:r>
      <w:r w:rsidR="00FD7809" w:rsidRPr="00D439EE">
        <w:rPr>
          <w:rFonts w:asciiTheme="minorHAnsi" w:eastAsiaTheme="minorHAnsi" w:hAnsiTheme="minorHAnsi" w:cstheme="minorHAnsi"/>
          <w:sz w:val="24"/>
          <w:szCs w:val="24"/>
        </w:rPr>
        <w:t xml:space="preserve">dose of 200 mg, every three weeks. </w:t>
      </w:r>
      <w:r w:rsidR="0091684D" w:rsidRPr="00D439EE">
        <w:rPr>
          <w:rFonts w:asciiTheme="minorHAnsi" w:eastAsiaTheme="minorHAnsi" w:hAnsiTheme="minorHAnsi" w:cstheme="minorHAnsi"/>
          <w:sz w:val="24"/>
          <w:szCs w:val="24"/>
        </w:rPr>
        <w:t xml:space="preserve">The PBAC noted </w:t>
      </w:r>
      <w:r w:rsidR="00F552FE">
        <w:rPr>
          <w:rFonts w:asciiTheme="minorHAnsi" w:eastAsiaTheme="minorHAnsi" w:hAnsiTheme="minorHAnsi" w:cstheme="minorHAnsi"/>
          <w:noProof/>
          <w:color w:val="000000"/>
          <w:sz w:val="24"/>
          <w:szCs w:val="24"/>
          <w:highlight w:val="black"/>
        </w:rPr>
        <w:t>''''''''' ''''''' '''''''''''''''''' '''''''''''''''' '''' ''''''''''''' ''''''''''''' '''''''''' '''''''''''''' '''''''''''' '''' '''''' ''''''''''''' '''''''' ''''''''''''''''''' ''''' ''''''' '''''''''''''' '''' '''''''''''' ''''''''''''''''''''''''' '''' ''''''' ''''' '''''' ''''''' ''''' ''''''''''''''''''''''''''''</w:t>
      </w:r>
      <w:r w:rsidR="0091684D" w:rsidRPr="00D439EE">
        <w:rPr>
          <w:rFonts w:asciiTheme="minorHAnsi" w:eastAsiaTheme="minorHAnsi" w:hAnsiTheme="minorHAnsi" w:cstheme="minorHAnsi"/>
          <w:sz w:val="24"/>
          <w:szCs w:val="24"/>
        </w:rPr>
        <w:t xml:space="preserve"> </w:t>
      </w:r>
      <w:r w:rsidR="009C2515" w:rsidRPr="00D439EE">
        <w:rPr>
          <w:rFonts w:asciiTheme="minorHAnsi" w:eastAsiaTheme="minorHAnsi" w:hAnsiTheme="minorHAnsi" w:cstheme="minorHAnsi"/>
          <w:sz w:val="24"/>
          <w:szCs w:val="24"/>
        </w:rPr>
        <w:t xml:space="preserve">The PBAC noted that the </w:t>
      </w:r>
      <w:r w:rsidR="0091684D" w:rsidRPr="00D439EE">
        <w:rPr>
          <w:rFonts w:asciiTheme="minorHAnsi" w:eastAsiaTheme="minorHAnsi" w:hAnsiTheme="minorHAnsi" w:cstheme="minorHAnsi"/>
          <w:sz w:val="24"/>
          <w:szCs w:val="24"/>
        </w:rPr>
        <w:t xml:space="preserve">change in dosing has the effect of wasting on average 25% of the drug because the </w:t>
      </w:r>
      <w:r w:rsidR="00932DBF" w:rsidRPr="00D439EE">
        <w:rPr>
          <w:rFonts w:asciiTheme="minorHAnsi" w:eastAsiaTheme="minorHAnsi" w:hAnsiTheme="minorHAnsi" w:cstheme="minorHAnsi"/>
          <w:sz w:val="24"/>
          <w:szCs w:val="24"/>
        </w:rPr>
        <w:t xml:space="preserve">flat </w:t>
      </w:r>
      <w:r w:rsidR="0091684D" w:rsidRPr="00D439EE">
        <w:rPr>
          <w:rFonts w:asciiTheme="minorHAnsi" w:eastAsiaTheme="minorHAnsi" w:hAnsiTheme="minorHAnsi" w:cstheme="minorHAnsi"/>
          <w:sz w:val="24"/>
          <w:szCs w:val="24"/>
        </w:rPr>
        <w:t xml:space="preserve">dosing results in a higher administered dose without any additional patient benefit. For this reason, the PBAC concluded that a change from the weight-based to </w:t>
      </w:r>
      <w:r w:rsidR="00932DBF" w:rsidRPr="00D439EE">
        <w:rPr>
          <w:rFonts w:asciiTheme="minorHAnsi" w:eastAsiaTheme="minorHAnsi" w:hAnsiTheme="minorHAnsi" w:cstheme="minorHAnsi"/>
          <w:sz w:val="24"/>
          <w:szCs w:val="24"/>
        </w:rPr>
        <w:t xml:space="preserve">flat </w:t>
      </w:r>
      <w:r w:rsidR="0091684D" w:rsidRPr="00D439EE">
        <w:rPr>
          <w:rFonts w:asciiTheme="minorHAnsi" w:eastAsiaTheme="minorHAnsi" w:hAnsiTheme="minorHAnsi" w:cstheme="minorHAnsi"/>
          <w:sz w:val="24"/>
          <w:szCs w:val="24"/>
        </w:rPr>
        <w:t xml:space="preserve">dose regimen would not be cost-effective on a per-patient basis, as currently the mean dose of pembrolizumab is significantly less than 200 mg. However, the PBAC noted that there is currently a relevant risk sharing arrangement in place, </w:t>
      </w:r>
      <w:r w:rsidR="00F552FE">
        <w:rPr>
          <w:rFonts w:asciiTheme="minorHAnsi" w:eastAsiaTheme="minorHAnsi" w:hAnsiTheme="minorHAnsi" w:cstheme="minorHAnsi"/>
          <w:noProof/>
          <w:color w:val="000000"/>
          <w:sz w:val="24"/>
          <w:szCs w:val="24"/>
          <w:highlight w:val="black"/>
        </w:rPr>
        <w:t>''''''''' ''' '''''''''' '''''''''''' ''''''''' ''''''' '''''''''''''' '''''''''''''''''''''' ''''''''</w:t>
      </w:r>
      <w:r w:rsidR="0091684D" w:rsidRPr="00D439EE">
        <w:rPr>
          <w:rFonts w:asciiTheme="minorHAnsi" w:eastAsiaTheme="minorHAnsi" w:hAnsiTheme="minorHAnsi" w:cstheme="minorHAnsi"/>
          <w:sz w:val="24"/>
          <w:szCs w:val="24"/>
        </w:rPr>
        <w:t>. These caps have been exceeded in previous years. If the caps continue to be exceeded, the overall net cost to Government with the restriction amendment would remain the same as it would be contained by the risk sharing arrangement. The PBAC therefore advised that subsequent annual expenditure caps for this melanoma-based Deed of Agreement should be negotiated with the sponsor for pembrolizumab based on the weight-based dosing regimen, to ensure that the PBS listing re</w:t>
      </w:r>
      <w:r w:rsidR="002221D8" w:rsidRPr="00D439EE">
        <w:rPr>
          <w:rFonts w:asciiTheme="minorHAnsi" w:eastAsiaTheme="minorHAnsi" w:hAnsiTheme="minorHAnsi" w:cstheme="minorHAnsi"/>
          <w:sz w:val="24"/>
          <w:szCs w:val="24"/>
        </w:rPr>
        <w:t>mains acceptably cost-effective</w:t>
      </w:r>
      <w:r w:rsidR="009F19A8" w:rsidRPr="00D439EE">
        <w:rPr>
          <w:rFonts w:asciiTheme="minorHAnsi" w:eastAsiaTheme="minorHAnsi" w:hAnsiTheme="minorHAnsi" w:cstheme="minorHAnsi"/>
          <w:sz w:val="24"/>
          <w:szCs w:val="24"/>
        </w:rPr>
        <w:t xml:space="preserve"> (</w:t>
      </w:r>
      <w:r w:rsidR="00D17A51" w:rsidRPr="00D439EE">
        <w:rPr>
          <w:rFonts w:asciiTheme="minorHAnsi" w:eastAsiaTheme="minorHAnsi" w:hAnsiTheme="minorHAnsi" w:cstheme="minorHAnsi"/>
          <w:sz w:val="24"/>
          <w:szCs w:val="24"/>
        </w:rPr>
        <w:t>March 2018 pembrolizumab minutes, paragraph</w:t>
      </w:r>
      <w:r w:rsidR="009F19A8" w:rsidRPr="00D439EE">
        <w:rPr>
          <w:rFonts w:asciiTheme="minorHAnsi" w:eastAsiaTheme="minorHAnsi" w:hAnsiTheme="minorHAnsi" w:cstheme="minorHAnsi"/>
          <w:sz w:val="24"/>
          <w:szCs w:val="24"/>
        </w:rPr>
        <w:t xml:space="preserve"> </w:t>
      </w:r>
      <w:r w:rsidR="009C2515" w:rsidRPr="00D439EE">
        <w:rPr>
          <w:rFonts w:asciiTheme="minorHAnsi" w:eastAsiaTheme="minorHAnsi" w:hAnsiTheme="minorHAnsi" w:cstheme="minorHAnsi"/>
          <w:sz w:val="24"/>
          <w:szCs w:val="24"/>
        </w:rPr>
        <w:t>5.3</w:t>
      </w:r>
      <w:r w:rsidR="009F19A8" w:rsidRPr="00D439EE">
        <w:rPr>
          <w:rFonts w:asciiTheme="minorHAnsi" w:eastAsiaTheme="minorHAnsi" w:hAnsiTheme="minorHAnsi" w:cstheme="minorHAnsi"/>
          <w:sz w:val="24"/>
          <w:szCs w:val="24"/>
        </w:rPr>
        <w:t>)</w:t>
      </w:r>
      <w:r w:rsidR="002221D8" w:rsidRPr="00D439EE">
        <w:rPr>
          <w:rFonts w:asciiTheme="minorHAnsi" w:eastAsiaTheme="minorHAnsi" w:hAnsiTheme="minorHAnsi" w:cstheme="minorHAnsi"/>
          <w:sz w:val="24"/>
          <w:szCs w:val="24"/>
        </w:rPr>
        <w:t>.</w:t>
      </w:r>
    </w:p>
    <w:p w:rsidR="00494113" w:rsidRPr="00494113" w:rsidRDefault="00494113" w:rsidP="00AE276F">
      <w:pPr>
        <w:pStyle w:val="ListParagraph"/>
        <w:widowControl/>
        <w:spacing w:before="120" w:after="120"/>
        <w:ind w:left="709"/>
        <w:jc w:val="center"/>
        <w:rPr>
          <w:rFonts w:asciiTheme="minorHAnsi" w:hAnsiTheme="minorHAnsi"/>
          <w:b/>
          <w:i/>
          <w:sz w:val="24"/>
          <w:szCs w:val="24"/>
          <w:u w:val="single"/>
        </w:rPr>
      </w:pPr>
      <w:r w:rsidRPr="00494113">
        <w:rPr>
          <w:rFonts w:asciiTheme="minorHAnsi" w:hAnsiTheme="minorHAnsi"/>
          <w:b/>
          <w:i/>
          <w:sz w:val="24"/>
          <w:szCs w:val="24"/>
          <w:u w:val="single"/>
        </w:rPr>
        <w:t>End Committee-in-Confidence information</w:t>
      </w:r>
    </w:p>
    <w:p w:rsidR="00494113" w:rsidRPr="00494113" w:rsidRDefault="00494113" w:rsidP="00AE276F">
      <w:pPr>
        <w:pStyle w:val="ListParagraph"/>
        <w:widowControl/>
        <w:spacing w:before="120" w:after="120"/>
        <w:ind w:left="709"/>
        <w:jc w:val="center"/>
        <w:rPr>
          <w:rFonts w:asciiTheme="minorHAnsi" w:hAnsiTheme="minorHAnsi"/>
          <w:b/>
          <w:i/>
          <w:sz w:val="24"/>
          <w:szCs w:val="24"/>
          <w:u w:val="single"/>
        </w:rPr>
      </w:pPr>
    </w:p>
    <w:p w:rsidR="00367CA2" w:rsidRPr="00D439EE" w:rsidRDefault="00367CA2" w:rsidP="00AE276F">
      <w:pPr>
        <w:pStyle w:val="ListParagraph"/>
        <w:widowControl/>
        <w:spacing w:before="120" w:after="120"/>
        <w:contextualSpacing w:val="0"/>
        <w:rPr>
          <w:rFonts w:asciiTheme="minorHAnsi" w:eastAsiaTheme="minorHAnsi" w:hAnsiTheme="minorHAnsi" w:cstheme="minorBidi"/>
          <w:i/>
          <w:sz w:val="24"/>
          <w:szCs w:val="24"/>
        </w:rPr>
      </w:pPr>
      <w:r w:rsidRPr="00D439EE">
        <w:rPr>
          <w:rFonts w:asciiTheme="minorHAnsi" w:eastAsiaTheme="minorHAnsi" w:hAnsiTheme="minorHAnsi" w:cstheme="minorBidi"/>
          <w:i/>
          <w:sz w:val="24"/>
          <w:szCs w:val="24"/>
        </w:rPr>
        <w:t>For more detail on PBAC’s view, see section 5 PBAC outcome.</w:t>
      </w:r>
    </w:p>
    <w:p w:rsidR="000B558D" w:rsidRPr="00D439EE" w:rsidRDefault="008D7A41" w:rsidP="00AE276F">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D439EE">
        <w:rPr>
          <w:rFonts w:asciiTheme="minorHAnsi" w:hAnsiTheme="minorHAnsi"/>
          <w:sz w:val="32"/>
          <w:szCs w:val="32"/>
        </w:rPr>
        <w:t>C</w:t>
      </w:r>
      <w:r w:rsidR="00B31545" w:rsidRPr="00D439EE">
        <w:rPr>
          <w:rFonts w:asciiTheme="minorHAnsi" w:hAnsiTheme="minorHAnsi"/>
          <w:sz w:val="32"/>
          <w:szCs w:val="32"/>
        </w:rPr>
        <w:t>onsideration of the evidence</w:t>
      </w:r>
    </w:p>
    <w:p w:rsidR="007574A9" w:rsidRPr="00F31049" w:rsidRDefault="00003E49" w:rsidP="00AE276F">
      <w:pPr>
        <w:pStyle w:val="Heading2"/>
        <w:spacing w:before="120"/>
      </w:pPr>
      <w:r w:rsidRPr="00F31049">
        <w:t>Sponsor hearing</w:t>
      </w:r>
    </w:p>
    <w:p w:rsidR="00003E49" w:rsidRPr="00D439EE" w:rsidRDefault="00003E49" w:rsidP="00AE276F">
      <w:pPr>
        <w:pStyle w:val="ListParagraph"/>
        <w:widowControl/>
        <w:numPr>
          <w:ilvl w:val="1"/>
          <w:numId w:val="14"/>
        </w:numPr>
        <w:spacing w:before="120" w:after="120"/>
        <w:rPr>
          <w:rFonts w:asciiTheme="minorHAnsi" w:eastAsiaTheme="majorEastAsia" w:hAnsiTheme="minorHAnsi" w:cstheme="minorHAnsi"/>
          <w:sz w:val="24"/>
          <w:szCs w:val="24"/>
        </w:rPr>
      </w:pPr>
      <w:r w:rsidRPr="00D439EE">
        <w:rPr>
          <w:rFonts w:asciiTheme="minorHAnsi" w:eastAsiaTheme="majorEastAsia" w:hAnsiTheme="minorHAnsi" w:cstheme="minorHAnsi"/>
          <w:sz w:val="24"/>
          <w:szCs w:val="24"/>
        </w:rPr>
        <w:t>There was no hearing for this item as it was a minor submission.</w:t>
      </w:r>
    </w:p>
    <w:p w:rsidR="00003E49" w:rsidRPr="00F31049" w:rsidRDefault="00003E49" w:rsidP="00AE276F">
      <w:pPr>
        <w:pStyle w:val="Heading2"/>
        <w:spacing w:before="120"/>
      </w:pPr>
      <w:r w:rsidRPr="00F31049">
        <w:t>Consumer comments</w:t>
      </w:r>
    </w:p>
    <w:p w:rsidR="00003E49" w:rsidRPr="00D439EE" w:rsidRDefault="00003E49" w:rsidP="00AE276F">
      <w:pPr>
        <w:pStyle w:val="ListParagraph"/>
        <w:widowControl/>
        <w:numPr>
          <w:ilvl w:val="1"/>
          <w:numId w:val="14"/>
        </w:numPr>
        <w:spacing w:before="120" w:after="120"/>
        <w:rPr>
          <w:rFonts w:asciiTheme="minorHAnsi" w:eastAsiaTheme="majorEastAsia" w:hAnsiTheme="minorHAnsi" w:cstheme="minorHAnsi"/>
          <w:sz w:val="24"/>
          <w:szCs w:val="24"/>
        </w:rPr>
      </w:pPr>
      <w:r w:rsidRPr="00D439EE">
        <w:rPr>
          <w:rFonts w:asciiTheme="minorHAnsi" w:eastAsiaTheme="majorEastAsia" w:hAnsiTheme="minorHAnsi" w:cstheme="minorHAnsi"/>
          <w:sz w:val="24"/>
          <w:szCs w:val="24"/>
        </w:rPr>
        <w:t>The PBAC noted that there was no consumer comment for this submission.</w:t>
      </w:r>
    </w:p>
    <w:p w:rsidR="001A3FD7" w:rsidRPr="00D439EE" w:rsidRDefault="001A3FD7" w:rsidP="00AE276F">
      <w:pPr>
        <w:pStyle w:val="Heading2"/>
        <w:spacing w:before="120"/>
        <w:rPr>
          <w:lang w:eastAsia="en-US"/>
        </w:rPr>
      </w:pPr>
      <w:r w:rsidRPr="00D439EE">
        <w:t>Clinical</w:t>
      </w:r>
      <w:r w:rsidRPr="00D439EE">
        <w:rPr>
          <w:lang w:eastAsia="en-US"/>
        </w:rPr>
        <w:t xml:space="preserve"> trials</w:t>
      </w:r>
    </w:p>
    <w:p w:rsidR="001A3FD7" w:rsidRPr="00D439EE" w:rsidRDefault="001A3FD7" w:rsidP="00AE276F">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D439EE">
        <w:rPr>
          <w:rFonts w:asciiTheme="minorHAnsi" w:eastAsiaTheme="minorHAnsi" w:hAnsiTheme="minorHAnsi" w:cstheme="minorBidi"/>
          <w:snapToGrid/>
          <w:sz w:val="24"/>
          <w:szCs w:val="22"/>
        </w:rPr>
        <w:t>The minor submission</w:t>
      </w:r>
      <w:r w:rsidR="00C149FD" w:rsidRPr="00D439EE">
        <w:rPr>
          <w:rFonts w:asciiTheme="minorHAnsi" w:eastAsiaTheme="minorHAnsi" w:hAnsiTheme="minorHAnsi" w:cstheme="minorBidi"/>
          <w:snapToGrid/>
          <w:sz w:val="24"/>
          <w:szCs w:val="22"/>
        </w:rPr>
        <w:t xml:space="preserve"> did not present</w:t>
      </w:r>
      <w:r w:rsidRPr="00D439EE">
        <w:rPr>
          <w:rFonts w:asciiTheme="minorHAnsi" w:eastAsiaTheme="minorHAnsi" w:hAnsiTheme="minorHAnsi" w:cstheme="minorBidi"/>
          <w:snapToGrid/>
          <w:sz w:val="24"/>
          <w:szCs w:val="22"/>
        </w:rPr>
        <w:t xml:space="preserve"> any new clinical evidence, however,</w:t>
      </w:r>
      <w:r w:rsidR="00C149FD" w:rsidRPr="00D439EE">
        <w:rPr>
          <w:rFonts w:asciiTheme="minorHAnsi" w:eastAsiaTheme="minorHAnsi" w:hAnsiTheme="minorHAnsi" w:cstheme="minorBidi"/>
          <w:snapToGrid/>
          <w:sz w:val="24"/>
          <w:szCs w:val="22"/>
        </w:rPr>
        <w:t xml:space="preserve"> it</w:t>
      </w:r>
      <w:r w:rsidR="00061F43" w:rsidRPr="00D439EE">
        <w:rPr>
          <w:rFonts w:asciiTheme="minorHAnsi" w:eastAsiaTheme="minorHAnsi" w:hAnsiTheme="minorHAnsi" w:cstheme="minorBidi"/>
          <w:snapToGrid/>
          <w:sz w:val="24"/>
          <w:szCs w:val="22"/>
        </w:rPr>
        <w:t xml:space="preserve"> included </w:t>
      </w:r>
      <w:r w:rsidR="00447ECA" w:rsidRPr="00D439EE">
        <w:rPr>
          <w:rFonts w:asciiTheme="minorHAnsi" w:eastAsiaTheme="minorHAnsi" w:hAnsiTheme="minorHAnsi" w:cstheme="minorBidi"/>
          <w:snapToGrid/>
          <w:sz w:val="24"/>
          <w:szCs w:val="22"/>
        </w:rPr>
        <w:t xml:space="preserve">a </w:t>
      </w:r>
      <w:r w:rsidR="00061F43" w:rsidRPr="00D439EE">
        <w:rPr>
          <w:rFonts w:asciiTheme="minorHAnsi" w:eastAsiaTheme="minorHAnsi" w:hAnsiTheme="minorHAnsi" w:cstheme="minorBidi"/>
          <w:snapToGrid/>
          <w:sz w:val="24"/>
          <w:szCs w:val="22"/>
        </w:rPr>
        <w:t xml:space="preserve">description of </w:t>
      </w:r>
      <w:r w:rsidR="007D2FD1" w:rsidRPr="00D439EE">
        <w:rPr>
          <w:rFonts w:asciiTheme="minorHAnsi" w:eastAsiaTheme="minorHAnsi" w:hAnsiTheme="minorHAnsi" w:cstheme="minorBidi"/>
          <w:snapToGrid/>
          <w:sz w:val="24"/>
          <w:szCs w:val="22"/>
        </w:rPr>
        <w:t>the pharmacokinetic</w:t>
      </w:r>
      <w:r w:rsidR="00061F43" w:rsidRPr="00D439EE">
        <w:rPr>
          <w:rFonts w:asciiTheme="minorHAnsi" w:eastAsiaTheme="minorHAnsi" w:hAnsiTheme="minorHAnsi" w:cstheme="minorBidi"/>
          <w:snapToGrid/>
          <w:sz w:val="24"/>
          <w:szCs w:val="22"/>
        </w:rPr>
        <w:t>/</w:t>
      </w:r>
      <w:proofErr w:type="spellStart"/>
      <w:r w:rsidR="007D2FD1" w:rsidRPr="00D439EE">
        <w:rPr>
          <w:rFonts w:asciiTheme="minorHAnsi" w:eastAsiaTheme="minorHAnsi" w:hAnsiTheme="minorHAnsi" w:cstheme="minorBidi"/>
          <w:snapToGrid/>
          <w:sz w:val="24"/>
          <w:szCs w:val="22"/>
        </w:rPr>
        <w:t>pharmacodynamic</w:t>
      </w:r>
      <w:proofErr w:type="spellEnd"/>
      <w:r w:rsidR="00061F43" w:rsidRPr="00D439EE">
        <w:rPr>
          <w:rFonts w:asciiTheme="minorHAnsi" w:eastAsiaTheme="minorHAnsi" w:hAnsiTheme="minorHAnsi" w:cstheme="minorBidi"/>
          <w:snapToGrid/>
          <w:sz w:val="24"/>
          <w:szCs w:val="22"/>
        </w:rPr>
        <w:t xml:space="preserve">/efficacy/safety analysis </w:t>
      </w:r>
      <w:r w:rsidR="007D2FD1" w:rsidRPr="00D439EE">
        <w:rPr>
          <w:rFonts w:asciiTheme="minorHAnsi" w:eastAsiaTheme="minorHAnsi" w:hAnsiTheme="minorHAnsi" w:cstheme="minorBidi"/>
          <w:snapToGrid/>
          <w:sz w:val="24"/>
          <w:szCs w:val="22"/>
        </w:rPr>
        <w:t xml:space="preserve">used </w:t>
      </w:r>
      <w:r w:rsidR="00061F43" w:rsidRPr="00D439EE">
        <w:rPr>
          <w:rFonts w:asciiTheme="minorHAnsi" w:eastAsiaTheme="minorHAnsi" w:hAnsiTheme="minorHAnsi" w:cstheme="minorBidi"/>
          <w:snapToGrid/>
          <w:sz w:val="24"/>
          <w:szCs w:val="22"/>
        </w:rPr>
        <w:t>to support</w:t>
      </w:r>
      <w:r w:rsidR="00456F10" w:rsidRPr="00D439EE">
        <w:rPr>
          <w:rFonts w:asciiTheme="minorHAnsi" w:eastAsiaTheme="minorHAnsi" w:hAnsiTheme="minorHAnsi" w:cstheme="minorBidi"/>
          <w:snapToGrid/>
          <w:sz w:val="24"/>
          <w:szCs w:val="22"/>
        </w:rPr>
        <w:t xml:space="preserve"> the TGA approvals of</w:t>
      </w:r>
      <w:r w:rsidR="00061F43" w:rsidRPr="00D439EE">
        <w:rPr>
          <w:rFonts w:asciiTheme="minorHAnsi" w:eastAsiaTheme="minorHAnsi" w:hAnsiTheme="minorHAnsi" w:cstheme="minorBidi"/>
          <w:snapToGrid/>
          <w:sz w:val="24"/>
          <w:szCs w:val="22"/>
        </w:rPr>
        <w:t xml:space="preserve"> 240</w:t>
      </w:r>
      <w:r w:rsidR="00090E5F" w:rsidRPr="00D439EE">
        <w:rPr>
          <w:rFonts w:asciiTheme="minorHAnsi" w:eastAsiaTheme="minorHAnsi" w:hAnsiTheme="minorHAnsi" w:cstheme="minorBidi"/>
          <w:snapToGrid/>
          <w:sz w:val="24"/>
          <w:szCs w:val="22"/>
        </w:rPr>
        <w:t xml:space="preserve"> </w:t>
      </w:r>
      <w:r w:rsidR="00061F43" w:rsidRPr="00D439EE">
        <w:rPr>
          <w:rFonts w:asciiTheme="minorHAnsi" w:eastAsiaTheme="minorHAnsi" w:hAnsiTheme="minorHAnsi" w:cstheme="minorBidi"/>
          <w:snapToGrid/>
          <w:sz w:val="24"/>
          <w:szCs w:val="22"/>
        </w:rPr>
        <w:t xml:space="preserve">mg Q2W and 480 </w:t>
      </w:r>
      <w:r w:rsidR="00090E5F" w:rsidRPr="00D439EE">
        <w:rPr>
          <w:rFonts w:asciiTheme="minorHAnsi" w:eastAsiaTheme="minorHAnsi" w:hAnsiTheme="minorHAnsi" w:cstheme="minorBidi"/>
          <w:snapToGrid/>
          <w:sz w:val="24"/>
          <w:szCs w:val="22"/>
        </w:rPr>
        <w:t xml:space="preserve">mg </w:t>
      </w:r>
      <w:r w:rsidR="00061F43" w:rsidRPr="00D439EE">
        <w:rPr>
          <w:rFonts w:asciiTheme="minorHAnsi" w:eastAsiaTheme="minorHAnsi" w:hAnsiTheme="minorHAnsi" w:cstheme="minorBidi"/>
          <w:snapToGrid/>
          <w:sz w:val="24"/>
          <w:szCs w:val="22"/>
        </w:rPr>
        <w:t>Q4W</w:t>
      </w:r>
      <w:r w:rsidR="00000715" w:rsidRPr="00D439EE">
        <w:rPr>
          <w:rFonts w:asciiTheme="minorHAnsi" w:eastAsiaTheme="minorHAnsi" w:hAnsiTheme="minorHAnsi" w:cstheme="minorBidi"/>
          <w:snapToGrid/>
          <w:sz w:val="24"/>
          <w:szCs w:val="22"/>
        </w:rPr>
        <w:t xml:space="preserve"> flat</w:t>
      </w:r>
      <w:r w:rsidR="00061F43" w:rsidRPr="00D439EE">
        <w:rPr>
          <w:rFonts w:asciiTheme="minorHAnsi" w:eastAsiaTheme="minorHAnsi" w:hAnsiTheme="minorHAnsi" w:cstheme="minorBidi"/>
          <w:snapToGrid/>
          <w:sz w:val="24"/>
          <w:szCs w:val="22"/>
        </w:rPr>
        <w:t xml:space="preserve"> dosing</w:t>
      </w:r>
      <w:r w:rsidR="00456F10" w:rsidRPr="00D439EE">
        <w:rPr>
          <w:rFonts w:asciiTheme="minorHAnsi" w:eastAsiaTheme="minorHAnsi" w:hAnsiTheme="minorHAnsi" w:cstheme="minorBidi"/>
          <w:snapToGrid/>
          <w:sz w:val="24"/>
          <w:szCs w:val="22"/>
        </w:rPr>
        <w:t xml:space="preserve"> regimens. </w:t>
      </w:r>
      <w:r w:rsidRPr="00D439EE">
        <w:rPr>
          <w:rFonts w:asciiTheme="minorHAnsi" w:eastAsiaTheme="minorHAnsi" w:hAnsiTheme="minorHAnsi" w:cstheme="minorBidi"/>
          <w:snapToGrid/>
          <w:sz w:val="24"/>
          <w:szCs w:val="22"/>
        </w:rPr>
        <w:t>The minor submissi</w:t>
      </w:r>
      <w:r w:rsidR="00567623" w:rsidRPr="00D439EE">
        <w:rPr>
          <w:rFonts w:asciiTheme="minorHAnsi" w:eastAsiaTheme="minorHAnsi" w:hAnsiTheme="minorHAnsi" w:cstheme="minorBidi"/>
          <w:snapToGrid/>
          <w:sz w:val="24"/>
          <w:szCs w:val="22"/>
        </w:rPr>
        <w:t>on</w:t>
      </w:r>
      <w:r w:rsidR="00BD7ECB" w:rsidRPr="00D439EE">
        <w:rPr>
          <w:rFonts w:asciiTheme="minorHAnsi" w:eastAsiaTheme="minorHAnsi" w:hAnsiTheme="minorHAnsi" w:cstheme="minorBidi"/>
          <w:snapToGrid/>
          <w:sz w:val="24"/>
          <w:szCs w:val="22"/>
        </w:rPr>
        <w:t xml:space="preserve"> </w:t>
      </w:r>
      <w:r w:rsidR="00D439EE" w:rsidRPr="00D439EE">
        <w:rPr>
          <w:rFonts w:asciiTheme="minorHAnsi" w:eastAsiaTheme="minorHAnsi" w:hAnsiTheme="minorHAnsi" w:cstheme="minorBidi"/>
          <w:snapToGrid/>
          <w:sz w:val="24"/>
          <w:szCs w:val="22"/>
        </w:rPr>
        <w:t>claimed</w:t>
      </w:r>
      <w:r w:rsidR="002F56B1">
        <w:rPr>
          <w:rFonts w:asciiTheme="minorHAnsi" w:eastAsiaTheme="minorHAnsi" w:hAnsiTheme="minorHAnsi" w:cstheme="minorBidi"/>
          <w:snapToGrid/>
          <w:sz w:val="24"/>
          <w:szCs w:val="22"/>
        </w:rPr>
        <w:t>,</w:t>
      </w:r>
      <w:r w:rsidRPr="00D439EE">
        <w:rPr>
          <w:rFonts w:asciiTheme="minorHAnsi" w:eastAsiaTheme="minorHAnsi" w:hAnsiTheme="minorHAnsi" w:cstheme="minorBidi"/>
          <w:snapToGrid/>
          <w:sz w:val="24"/>
          <w:szCs w:val="22"/>
        </w:rPr>
        <w:t xml:space="preserve"> “</w:t>
      </w:r>
      <w:r w:rsidR="002F56B1" w:rsidRPr="00D439EE">
        <w:rPr>
          <w:rFonts w:asciiTheme="minorHAnsi" w:eastAsiaTheme="minorHAnsi" w:hAnsiTheme="minorHAnsi" w:cstheme="minorBidi"/>
          <w:snapToGrid/>
          <w:sz w:val="24"/>
          <w:szCs w:val="22"/>
        </w:rPr>
        <w:t>These</w:t>
      </w:r>
      <w:r w:rsidR="00BD7ECB" w:rsidRPr="00D439EE">
        <w:rPr>
          <w:rFonts w:asciiTheme="minorHAnsi" w:eastAsiaTheme="minorHAnsi" w:hAnsiTheme="minorHAnsi" w:cstheme="minorBidi"/>
          <w:snapToGrid/>
          <w:sz w:val="24"/>
          <w:szCs w:val="22"/>
        </w:rPr>
        <w:t xml:space="preserve"> analyses indicate that any differences in nivolumab exposures resulting from dosing at 240 mg Q2W or 480</w:t>
      </w:r>
      <w:r w:rsidR="00090E5F" w:rsidRPr="00D439EE">
        <w:rPr>
          <w:rFonts w:asciiTheme="minorHAnsi" w:eastAsiaTheme="minorHAnsi" w:hAnsiTheme="minorHAnsi" w:cstheme="minorBidi"/>
          <w:snapToGrid/>
          <w:sz w:val="24"/>
          <w:szCs w:val="22"/>
        </w:rPr>
        <w:t> </w:t>
      </w:r>
      <w:r w:rsidR="00BD7ECB" w:rsidRPr="00D439EE">
        <w:rPr>
          <w:rFonts w:asciiTheme="minorHAnsi" w:eastAsiaTheme="minorHAnsi" w:hAnsiTheme="minorHAnsi" w:cstheme="minorBidi"/>
          <w:snapToGrid/>
          <w:sz w:val="24"/>
          <w:szCs w:val="22"/>
        </w:rPr>
        <w:t>mg</w:t>
      </w:r>
      <w:r w:rsidR="00090E5F" w:rsidRPr="00D439EE">
        <w:rPr>
          <w:rFonts w:asciiTheme="minorHAnsi" w:eastAsiaTheme="minorHAnsi" w:hAnsiTheme="minorHAnsi" w:cstheme="minorBidi"/>
          <w:snapToGrid/>
          <w:sz w:val="24"/>
          <w:szCs w:val="22"/>
        </w:rPr>
        <w:t> </w:t>
      </w:r>
      <w:r w:rsidR="00BD7ECB" w:rsidRPr="00D439EE">
        <w:rPr>
          <w:rFonts w:asciiTheme="minorHAnsi" w:eastAsiaTheme="minorHAnsi" w:hAnsiTheme="minorHAnsi" w:cstheme="minorBidi"/>
          <w:snapToGrid/>
          <w:sz w:val="24"/>
          <w:szCs w:val="22"/>
        </w:rPr>
        <w:t>Q4W would not alter the safety and efficacy profile established with the approved 3mg/kg Q2W</w:t>
      </w:r>
      <w:r w:rsidR="00567623" w:rsidRPr="00D439EE">
        <w:rPr>
          <w:rFonts w:asciiTheme="minorHAnsi" w:eastAsiaTheme="minorHAnsi" w:hAnsiTheme="minorHAnsi" w:cstheme="minorBidi"/>
          <w:snapToGrid/>
          <w:sz w:val="24"/>
          <w:szCs w:val="22"/>
        </w:rPr>
        <w:t>”</w:t>
      </w:r>
      <w:r w:rsidRPr="00D439EE">
        <w:rPr>
          <w:rFonts w:asciiTheme="minorHAnsi" w:eastAsiaTheme="minorHAnsi" w:hAnsiTheme="minorHAnsi" w:cstheme="minorBidi"/>
          <w:snapToGrid/>
          <w:sz w:val="24"/>
          <w:szCs w:val="22"/>
        </w:rPr>
        <w:t>.</w:t>
      </w:r>
      <w:r w:rsidR="00456F10" w:rsidRPr="00D439EE">
        <w:rPr>
          <w:rFonts w:asciiTheme="minorHAnsi" w:eastAsiaTheme="minorHAnsi" w:hAnsiTheme="minorHAnsi" w:cstheme="minorBidi"/>
          <w:snapToGrid/>
          <w:sz w:val="24"/>
          <w:szCs w:val="22"/>
        </w:rPr>
        <w:t xml:space="preserve"> The minor submission also provided a list of active clinical trials investigating nivolumab monotherapy or combination with </w:t>
      </w:r>
      <w:proofErr w:type="spellStart"/>
      <w:r w:rsidR="00456F10" w:rsidRPr="00D439EE">
        <w:rPr>
          <w:rFonts w:asciiTheme="minorHAnsi" w:eastAsiaTheme="minorHAnsi" w:hAnsiTheme="minorHAnsi" w:cstheme="minorBidi"/>
          <w:snapToGrid/>
          <w:sz w:val="24"/>
          <w:szCs w:val="22"/>
        </w:rPr>
        <w:t>ipilimumab</w:t>
      </w:r>
      <w:proofErr w:type="spellEnd"/>
      <w:r w:rsidR="00456F10" w:rsidRPr="00D439EE">
        <w:rPr>
          <w:rFonts w:asciiTheme="minorHAnsi" w:eastAsiaTheme="minorHAnsi" w:hAnsiTheme="minorHAnsi" w:cstheme="minorBidi"/>
          <w:snapToGrid/>
          <w:sz w:val="24"/>
          <w:szCs w:val="22"/>
        </w:rPr>
        <w:t xml:space="preserve"> using the 480</w:t>
      </w:r>
      <w:r w:rsidR="00090E5F" w:rsidRPr="00D439EE">
        <w:rPr>
          <w:rFonts w:asciiTheme="minorHAnsi" w:eastAsiaTheme="minorHAnsi" w:hAnsiTheme="minorHAnsi" w:cstheme="minorBidi"/>
          <w:snapToGrid/>
          <w:sz w:val="24"/>
          <w:szCs w:val="22"/>
        </w:rPr>
        <w:t> </w:t>
      </w:r>
      <w:r w:rsidR="00456F10" w:rsidRPr="00D439EE">
        <w:rPr>
          <w:rFonts w:asciiTheme="minorHAnsi" w:eastAsiaTheme="minorHAnsi" w:hAnsiTheme="minorHAnsi" w:cstheme="minorBidi"/>
          <w:snapToGrid/>
          <w:sz w:val="24"/>
          <w:szCs w:val="22"/>
        </w:rPr>
        <w:t>mg Q4W</w:t>
      </w:r>
      <w:r w:rsidR="00196DDC" w:rsidRPr="00D439EE">
        <w:rPr>
          <w:rFonts w:asciiTheme="minorHAnsi" w:eastAsiaTheme="minorHAnsi" w:hAnsiTheme="minorHAnsi" w:cstheme="minorBidi"/>
          <w:snapToGrid/>
          <w:sz w:val="24"/>
          <w:szCs w:val="22"/>
        </w:rPr>
        <w:t xml:space="preserve"> dosing regimen anticipated to report within the next two years</w:t>
      </w:r>
      <w:r w:rsidR="00456F10" w:rsidRPr="00D439EE">
        <w:rPr>
          <w:rFonts w:asciiTheme="minorHAnsi" w:eastAsiaTheme="minorHAnsi" w:hAnsiTheme="minorHAnsi" w:cstheme="minorBidi"/>
          <w:snapToGrid/>
          <w:sz w:val="24"/>
          <w:szCs w:val="22"/>
        </w:rPr>
        <w:t xml:space="preserve">. </w:t>
      </w:r>
    </w:p>
    <w:p w:rsidR="00124EBB" w:rsidRPr="00D439EE" w:rsidRDefault="00124EBB" w:rsidP="00AE276F">
      <w:pPr>
        <w:pStyle w:val="Heading2"/>
        <w:spacing w:before="120"/>
        <w:rPr>
          <w:lang w:eastAsia="en-US"/>
        </w:rPr>
      </w:pPr>
      <w:r w:rsidRPr="00D439EE">
        <w:rPr>
          <w:lang w:eastAsia="en-US"/>
        </w:rPr>
        <w:lastRenderedPageBreak/>
        <w:t xml:space="preserve">Clinical </w:t>
      </w:r>
      <w:r w:rsidRPr="00D439EE">
        <w:t>claim</w:t>
      </w:r>
      <w:r w:rsidRPr="00D439EE">
        <w:rPr>
          <w:lang w:eastAsia="en-US"/>
        </w:rPr>
        <w:t xml:space="preserve"> </w:t>
      </w:r>
    </w:p>
    <w:p w:rsidR="00124EBB" w:rsidRPr="00D439EE" w:rsidRDefault="00124EBB" w:rsidP="00AE276F">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D439EE">
        <w:rPr>
          <w:rFonts w:asciiTheme="minorHAnsi" w:eastAsiaTheme="minorHAnsi" w:hAnsiTheme="minorHAnsi" w:cstheme="minorBidi"/>
          <w:snapToGrid/>
          <w:sz w:val="24"/>
          <w:szCs w:val="22"/>
        </w:rPr>
        <w:t>The</w:t>
      </w:r>
      <w:r w:rsidR="00C31999" w:rsidRPr="00D439EE">
        <w:rPr>
          <w:rFonts w:asciiTheme="minorHAnsi" w:eastAsiaTheme="minorHAnsi" w:hAnsiTheme="minorHAnsi" w:cstheme="minorBidi"/>
          <w:snapToGrid/>
          <w:sz w:val="24"/>
          <w:szCs w:val="22"/>
        </w:rPr>
        <w:t xml:space="preserve"> minor submission claimed that the nivolumab flat dosing regimens of 240</w:t>
      </w:r>
      <w:r w:rsidR="00090E5F" w:rsidRPr="00D439EE">
        <w:rPr>
          <w:rFonts w:asciiTheme="minorHAnsi" w:eastAsiaTheme="minorHAnsi" w:hAnsiTheme="minorHAnsi" w:cstheme="minorBidi"/>
          <w:snapToGrid/>
          <w:sz w:val="24"/>
          <w:szCs w:val="22"/>
        </w:rPr>
        <w:t> </w:t>
      </w:r>
      <w:r w:rsidR="00C31999" w:rsidRPr="00D439EE">
        <w:rPr>
          <w:rFonts w:asciiTheme="minorHAnsi" w:eastAsiaTheme="minorHAnsi" w:hAnsiTheme="minorHAnsi" w:cstheme="minorBidi"/>
          <w:snapToGrid/>
          <w:sz w:val="24"/>
          <w:szCs w:val="22"/>
        </w:rPr>
        <w:t>mg</w:t>
      </w:r>
      <w:r w:rsidR="00090E5F" w:rsidRPr="00D439EE">
        <w:rPr>
          <w:rFonts w:asciiTheme="minorHAnsi" w:eastAsiaTheme="minorHAnsi" w:hAnsiTheme="minorHAnsi" w:cstheme="minorBidi"/>
          <w:snapToGrid/>
          <w:sz w:val="24"/>
          <w:szCs w:val="22"/>
        </w:rPr>
        <w:t> </w:t>
      </w:r>
      <w:r w:rsidR="00C31999" w:rsidRPr="00D439EE">
        <w:rPr>
          <w:rFonts w:asciiTheme="minorHAnsi" w:eastAsiaTheme="minorHAnsi" w:hAnsiTheme="minorHAnsi" w:cstheme="minorBidi"/>
          <w:snapToGrid/>
          <w:sz w:val="24"/>
          <w:szCs w:val="22"/>
        </w:rPr>
        <w:t xml:space="preserve">Q2W and 480 mg Q4W are non-inferior to the weight based dosing regimen of 3 mg/kg Q2W in terms of safety and efficacy. </w:t>
      </w:r>
      <w:r w:rsidR="00783B8A" w:rsidRPr="00D439EE">
        <w:rPr>
          <w:rFonts w:asciiTheme="minorHAnsi" w:eastAsiaTheme="minorHAnsi" w:hAnsiTheme="minorHAnsi" w:cstheme="minorBidi"/>
          <w:snapToGrid/>
          <w:sz w:val="24"/>
          <w:szCs w:val="22"/>
        </w:rPr>
        <w:t xml:space="preserve">The PBAC noted that these claims were largely </w:t>
      </w:r>
      <w:r w:rsidR="004806BC" w:rsidRPr="00D439EE">
        <w:rPr>
          <w:rFonts w:asciiTheme="minorHAnsi" w:eastAsiaTheme="minorHAnsi" w:hAnsiTheme="minorHAnsi" w:cstheme="minorBidi"/>
          <w:snapToGrid/>
          <w:sz w:val="24"/>
          <w:szCs w:val="22"/>
        </w:rPr>
        <w:t xml:space="preserve">based on pharmacokinetic and </w:t>
      </w:r>
      <w:proofErr w:type="spellStart"/>
      <w:r w:rsidR="004806BC" w:rsidRPr="00D439EE">
        <w:rPr>
          <w:rFonts w:asciiTheme="minorHAnsi" w:eastAsiaTheme="minorHAnsi" w:hAnsiTheme="minorHAnsi" w:cstheme="minorBidi"/>
          <w:snapToGrid/>
          <w:sz w:val="24"/>
          <w:szCs w:val="22"/>
        </w:rPr>
        <w:t>pharmacodynamic</w:t>
      </w:r>
      <w:proofErr w:type="spellEnd"/>
      <w:r w:rsidR="004806BC" w:rsidRPr="00D439EE">
        <w:rPr>
          <w:rFonts w:asciiTheme="minorHAnsi" w:eastAsiaTheme="minorHAnsi" w:hAnsiTheme="minorHAnsi" w:cstheme="minorBidi"/>
          <w:snapToGrid/>
          <w:sz w:val="24"/>
          <w:szCs w:val="22"/>
        </w:rPr>
        <w:t xml:space="preserve"> data rather than clinical trial data</w:t>
      </w:r>
      <w:r w:rsidR="00D439EE">
        <w:rPr>
          <w:rFonts w:asciiTheme="minorHAnsi" w:eastAsiaTheme="minorHAnsi" w:hAnsiTheme="minorHAnsi" w:cstheme="minorBidi"/>
          <w:snapToGrid/>
          <w:sz w:val="24"/>
          <w:szCs w:val="22"/>
        </w:rPr>
        <w:t xml:space="preserve">. </w:t>
      </w:r>
    </w:p>
    <w:p w:rsidR="00CF5838" w:rsidRPr="00D439EE" w:rsidRDefault="00CF5838" w:rsidP="00936063">
      <w:pPr>
        <w:pStyle w:val="Heading2"/>
        <w:spacing w:before="120"/>
        <w:rPr>
          <w:lang w:eastAsia="en-US"/>
        </w:rPr>
      </w:pPr>
      <w:r w:rsidRPr="00D439EE">
        <w:t>Economic</w:t>
      </w:r>
      <w:r w:rsidRPr="00D439EE">
        <w:rPr>
          <w:lang w:eastAsia="en-US"/>
        </w:rPr>
        <w:t xml:space="preserve"> analysis</w:t>
      </w:r>
    </w:p>
    <w:p w:rsidR="00CA5313" w:rsidRPr="00D439EE" w:rsidRDefault="00CA5313"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A comparison of the costs per 4 week treatment course with each nivolumab dosing regimen is presented below in Table 2.</w:t>
      </w:r>
      <w:r w:rsidR="0041028A" w:rsidRPr="00D439EE">
        <w:rPr>
          <w:rFonts w:asciiTheme="minorHAnsi" w:eastAsiaTheme="minorHAnsi" w:hAnsiTheme="minorHAnsi" w:cstheme="minorBidi"/>
          <w:snapToGrid/>
          <w:sz w:val="24"/>
          <w:szCs w:val="24"/>
        </w:rPr>
        <w:t xml:space="preserve"> </w:t>
      </w:r>
    </w:p>
    <w:p w:rsidR="00895B01" w:rsidRPr="00D439EE" w:rsidRDefault="00862483" w:rsidP="00313D08">
      <w:pPr>
        <w:rPr>
          <w:rFonts w:ascii="Arial Narrow" w:eastAsiaTheme="minorHAnsi" w:hAnsi="Arial Narrow" w:cstheme="minorBidi"/>
          <w:b/>
          <w:sz w:val="20"/>
        </w:rPr>
      </w:pPr>
      <w:r w:rsidRPr="00D439EE">
        <w:rPr>
          <w:rFonts w:ascii="Arial Narrow" w:eastAsiaTheme="minorHAnsi" w:hAnsi="Arial Narrow" w:cstheme="minorBidi"/>
          <w:b/>
          <w:sz w:val="20"/>
        </w:rPr>
        <w:t xml:space="preserve">Table 2: </w:t>
      </w:r>
      <w:r w:rsidR="00F026CD" w:rsidRPr="00D439EE">
        <w:rPr>
          <w:rFonts w:ascii="Arial Narrow" w:eastAsiaTheme="minorHAnsi" w:hAnsi="Arial Narrow" w:cstheme="minorBidi"/>
          <w:b/>
          <w:sz w:val="20"/>
        </w:rPr>
        <w:t>Cost comparison of the 480 mg Q4W, 240 mg Q2W and 3 mg/kg Q2W nivolumab dosing regimens</w:t>
      </w:r>
    </w:p>
    <w:tbl>
      <w:tblPr>
        <w:tblStyle w:val="TableGrid1"/>
        <w:tblW w:w="5000" w:type="pct"/>
        <w:tblLook w:val="04A0" w:firstRow="1" w:lastRow="0" w:firstColumn="1" w:lastColumn="0" w:noHBand="0" w:noVBand="1"/>
        <w:tblCaption w:val="Cost comparison of the 480 mg Q4W, 240 mg Q2W and 3 mg/kg Q2W nivolumab dosing regimens"/>
      </w:tblPr>
      <w:tblGrid>
        <w:gridCol w:w="2992"/>
        <w:gridCol w:w="2036"/>
        <w:gridCol w:w="1994"/>
        <w:gridCol w:w="1994"/>
      </w:tblGrid>
      <w:tr w:rsidR="00895B01" w:rsidRPr="00D439EE" w:rsidTr="00E60869">
        <w:trPr>
          <w:trHeight w:val="380"/>
          <w:tblHeader/>
        </w:trPr>
        <w:tc>
          <w:tcPr>
            <w:tcW w:w="1659" w:type="pct"/>
            <w:shd w:val="clear" w:color="auto" w:fill="auto"/>
            <w:vAlign w:val="center"/>
          </w:tcPr>
          <w:p w:rsidR="00895B01" w:rsidRPr="00D439EE" w:rsidRDefault="00895B01" w:rsidP="00313D08">
            <w:pPr>
              <w:jc w:val="center"/>
              <w:rPr>
                <w:rFonts w:ascii="Arial Narrow" w:hAnsi="Arial Narrow" w:cs="Arial"/>
                <w:b/>
                <w:color w:val="000000"/>
                <w:sz w:val="20"/>
                <w:szCs w:val="20"/>
              </w:rPr>
            </w:pPr>
            <w:r w:rsidRPr="00D439EE">
              <w:rPr>
                <w:rFonts w:ascii="Arial Narrow" w:hAnsi="Arial Narrow" w:cs="Arial"/>
                <w:b/>
                <w:color w:val="000000"/>
                <w:sz w:val="20"/>
                <w:szCs w:val="20"/>
              </w:rPr>
              <w:t>Cost per 4 weeks of therapy</w:t>
            </w:r>
          </w:p>
        </w:tc>
        <w:tc>
          <w:tcPr>
            <w:tcW w:w="1129" w:type="pct"/>
            <w:shd w:val="clear" w:color="auto" w:fill="auto"/>
            <w:vAlign w:val="center"/>
          </w:tcPr>
          <w:p w:rsidR="00895B01" w:rsidRPr="00D439EE" w:rsidRDefault="00895B01" w:rsidP="00313D08">
            <w:pPr>
              <w:jc w:val="center"/>
              <w:rPr>
                <w:rFonts w:ascii="Arial Narrow" w:hAnsi="Arial Narrow" w:cs="Arial"/>
                <w:b/>
                <w:color w:val="000000"/>
                <w:sz w:val="20"/>
                <w:szCs w:val="20"/>
              </w:rPr>
            </w:pPr>
            <w:r w:rsidRPr="00D439EE">
              <w:rPr>
                <w:rFonts w:ascii="Arial Narrow" w:hAnsi="Arial Narrow" w:cs="Arial"/>
                <w:b/>
                <w:color w:val="000000"/>
                <w:sz w:val="20"/>
                <w:szCs w:val="20"/>
              </w:rPr>
              <w:t>3</w:t>
            </w:r>
            <w:r w:rsidR="00090E5F" w:rsidRPr="00D439EE">
              <w:rPr>
                <w:rFonts w:ascii="Arial Narrow" w:hAnsi="Arial Narrow" w:cs="Arial"/>
                <w:b/>
                <w:color w:val="000000"/>
                <w:sz w:val="20"/>
                <w:szCs w:val="20"/>
              </w:rPr>
              <w:t xml:space="preserve"> </w:t>
            </w:r>
            <w:r w:rsidRPr="00D439EE">
              <w:rPr>
                <w:rFonts w:ascii="Arial Narrow" w:hAnsi="Arial Narrow" w:cs="Arial"/>
                <w:b/>
                <w:color w:val="000000"/>
                <w:sz w:val="20"/>
                <w:szCs w:val="20"/>
              </w:rPr>
              <w:t>mg/kg Q2W</w:t>
            </w:r>
          </w:p>
        </w:tc>
        <w:tc>
          <w:tcPr>
            <w:tcW w:w="1106" w:type="pct"/>
            <w:shd w:val="clear" w:color="auto" w:fill="auto"/>
            <w:vAlign w:val="center"/>
          </w:tcPr>
          <w:p w:rsidR="00895B01" w:rsidRPr="00D439EE" w:rsidRDefault="00895B01" w:rsidP="00313D08">
            <w:pPr>
              <w:jc w:val="center"/>
              <w:rPr>
                <w:rFonts w:ascii="Arial Narrow" w:hAnsi="Arial Narrow" w:cs="Arial"/>
                <w:b/>
                <w:color w:val="000000"/>
                <w:sz w:val="20"/>
                <w:szCs w:val="20"/>
              </w:rPr>
            </w:pPr>
            <w:r w:rsidRPr="00D439EE">
              <w:rPr>
                <w:rFonts w:ascii="Arial Narrow" w:hAnsi="Arial Narrow" w:cs="Arial"/>
                <w:b/>
                <w:color w:val="000000"/>
                <w:sz w:val="20"/>
                <w:szCs w:val="20"/>
              </w:rPr>
              <w:t>240</w:t>
            </w:r>
            <w:r w:rsidR="00090E5F" w:rsidRPr="00D439EE">
              <w:rPr>
                <w:rFonts w:ascii="Arial Narrow" w:hAnsi="Arial Narrow" w:cs="Arial"/>
                <w:b/>
                <w:color w:val="000000"/>
                <w:sz w:val="20"/>
                <w:szCs w:val="20"/>
              </w:rPr>
              <w:t xml:space="preserve"> </w:t>
            </w:r>
            <w:r w:rsidRPr="00D439EE">
              <w:rPr>
                <w:rFonts w:ascii="Arial Narrow" w:hAnsi="Arial Narrow" w:cs="Arial"/>
                <w:b/>
                <w:color w:val="000000"/>
                <w:sz w:val="20"/>
                <w:szCs w:val="20"/>
              </w:rPr>
              <w:t>mg Q2W flat dose</w:t>
            </w:r>
          </w:p>
        </w:tc>
        <w:tc>
          <w:tcPr>
            <w:tcW w:w="1106" w:type="pct"/>
            <w:shd w:val="clear" w:color="auto" w:fill="auto"/>
            <w:vAlign w:val="center"/>
          </w:tcPr>
          <w:p w:rsidR="00895B01" w:rsidRPr="00D439EE" w:rsidRDefault="00895B01" w:rsidP="00313D08">
            <w:pPr>
              <w:jc w:val="center"/>
              <w:rPr>
                <w:rFonts w:ascii="Arial Narrow" w:hAnsi="Arial Narrow" w:cs="Arial"/>
                <w:b/>
                <w:color w:val="000000"/>
                <w:sz w:val="20"/>
                <w:szCs w:val="20"/>
              </w:rPr>
            </w:pPr>
            <w:r w:rsidRPr="00D439EE">
              <w:rPr>
                <w:rFonts w:ascii="Arial Narrow" w:hAnsi="Arial Narrow" w:cs="Arial"/>
                <w:b/>
                <w:color w:val="000000"/>
                <w:sz w:val="20"/>
                <w:szCs w:val="20"/>
              </w:rPr>
              <w:t>480</w:t>
            </w:r>
            <w:r w:rsidR="00090E5F" w:rsidRPr="00D439EE">
              <w:rPr>
                <w:rFonts w:ascii="Arial Narrow" w:hAnsi="Arial Narrow" w:cs="Arial"/>
                <w:b/>
                <w:color w:val="000000"/>
                <w:sz w:val="20"/>
                <w:szCs w:val="20"/>
              </w:rPr>
              <w:t xml:space="preserve"> </w:t>
            </w:r>
            <w:r w:rsidRPr="00D439EE">
              <w:rPr>
                <w:rFonts w:ascii="Arial Narrow" w:hAnsi="Arial Narrow" w:cs="Arial"/>
                <w:b/>
                <w:color w:val="000000"/>
                <w:sz w:val="20"/>
                <w:szCs w:val="20"/>
              </w:rPr>
              <w:t>mg Q4W flat dose</w:t>
            </w:r>
          </w:p>
        </w:tc>
      </w:tr>
      <w:tr w:rsidR="00895B01" w:rsidRPr="00D439EE" w:rsidTr="00E60869">
        <w:trPr>
          <w:trHeight w:val="229"/>
        </w:trPr>
        <w:tc>
          <w:tcPr>
            <w:tcW w:w="1659" w:type="pct"/>
            <w:vAlign w:val="center"/>
          </w:tcPr>
          <w:p w:rsidR="00895B01" w:rsidRPr="00D439EE" w:rsidRDefault="00895B01" w:rsidP="00313D08">
            <w:pPr>
              <w:rPr>
                <w:rFonts w:ascii="Arial Narrow" w:hAnsi="Arial Narrow" w:cs="Arial"/>
                <w:color w:val="000000"/>
                <w:sz w:val="20"/>
                <w:szCs w:val="20"/>
                <w:vertAlign w:val="superscript"/>
              </w:rPr>
            </w:pPr>
            <w:r w:rsidRPr="00D439EE">
              <w:rPr>
                <w:rFonts w:ascii="Arial Narrow" w:hAnsi="Arial Narrow" w:cs="Arial"/>
                <w:color w:val="000000"/>
                <w:sz w:val="20"/>
                <w:szCs w:val="20"/>
              </w:rPr>
              <w:t>AEMP drug cost /</w:t>
            </w:r>
            <w:proofErr w:type="spellStart"/>
            <w:r w:rsidRPr="00D439EE">
              <w:rPr>
                <w:rFonts w:ascii="Arial Narrow" w:hAnsi="Arial Narrow" w:cs="Arial"/>
                <w:color w:val="000000"/>
                <w:sz w:val="20"/>
                <w:szCs w:val="20"/>
              </w:rPr>
              <w:t>mg</w:t>
            </w:r>
            <w:r w:rsidR="003547BA" w:rsidRPr="00D439EE">
              <w:rPr>
                <w:rFonts w:ascii="Arial Narrow" w:hAnsi="Arial Narrow" w:cs="Arial"/>
                <w:color w:val="000000"/>
                <w:sz w:val="20"/>
                <w:szCs w:val="20"/>
                <w:vertAlign w:val="superscript"/>
              </w:rPr>
              <w:t>a</w:t>
            </w:r>
            <w:proofErr w:type="spellEnd"/>
          </w:p>
        </w:tc>
        <w:tc>
          <w:tcPr>
            <w:tcW w:w="1129"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$20.77</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$20.77</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$20.77</w:t>
            </w:r>
          </w:p>
        </w:tc>
      </w:tr>
      <w:tr w:rsidR="00895B01" w:rsidRPr="00D439EE" w:rsidTr="00E60869">
        <w:trPr>
          <w:trHeight w:val="190"/>
        </w:trPr>
        <w:tc>
          <w:tcPr>
            <w:tcW w:w="1659" w:type="pct"/>
            <w:vAlign w:val="center"/>
          </w:tcPr>
          <w:p w:rsidR="00895B01" w:rsidRPr="00D439EE" w:rsidRDefault="00895B01" w:rsidP="00313D08">
            <w:pPr>
              <w:rPr>
                <w:rFonts w:ascii="Arial Narrow" w:hAnsi="Arial Narrow" w:cs="Arial"/>
                <w:color w:val="000000"/>
                <w:sz w:val="20"/>
                <w:szCs w:val="20"/>
              </w:rPr>
            </w:pPr>
            <w:r w:rsidRPr="00D439EE">
              <w:rPr>
                <w:rFonts w:ascii="Arial Narrow" w:hAnsi="Arial Narrow" w:cs="Arial"/>
                <w:color w:val="000000"/>
                <w:sz w:val="20"/>
                <w:szCs w:val="20"/>
              </w:rPr>
              <w:t xml:space="preserve">AEMP drug </w:t>
            </w:r>
            <w:proofErr w:type="spellStart"/>
            <w:r w:rsidRPr="00D439EE">
              <w:rPr>
                <w:rFonts w:ascii="Arial Narrow" w:hAnsi="Arial Narrow" w:cs="Arial"/>
                <w:color w:val="000000"/>
                <w:sz w:val="20"/>
                <w:szCs w:val="20"/>
              </w:rPr>
              <w:t>cost</w:t>
            </w:r>
            <w:r w:rsidR="003547BA" w:rsidRPr="00D439EE">
              <w:rPr>
                <w:rFonts w:ascii="Arial Narrow" w:hAnsi="Arial Narrow" w:cs="Arial"/>
                <w:color w:val="000000"/>
                <w:sz w:val="20"/>
                <w:szCs w:val="20"/>
                <w:vertAlign w:val="superscript"/>
              </w:rPr>
              <w:t>b</w:t>
            </w:r>
            <w:proofErr w:type="spellEnd"/>
          </w:p>
        </w:tc>
        <w:tc>
          <w:tcPr>
            <w:tcW w:w="1129"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r>
      <w:tr w:rsidR="00895B01" w:rsidRPr="00D439EE" w:rsidTr="00E60869">
        <w:trPr>
          <w:trHeight w:val="190"/>
        </w:trPr>
        <w:tc>
          <w:tcPr>
            <w:tcW w:w="1659" w:type="pct"/>
            <w:vAlign w:val="center"/>
          </w:tcPr>
          <w:p w:rsidR="00895B01" w:rsidRPr="00D439EE" w:rsidRDefault="00895B01" w:rsidP="00313D08">
            <w:pPr>
              <w:rPr>
                <w:rFonts w:ascii="Arial Narrow" w:hAnsi="Arial Narrow" w:cs="Arial"/>
                <w:color w:val="000000"/>
                <w:sz w:val="20"/>
                <w:szCs w:val="20"/>
              </w:rPr>
            </w:pPr>
            <w:r w:rsidRPr="00D439EE">
              <w:rPr>
                <w:rFonts w:ascii="Arial Narrow" w:hAnsi="Arial Narrow" w:cs="Arial"/>
                <w:color w:val="000000"/>
                <w:sz w:val="20"/>
                <w:szCs w:val="20"/>
              </w:rPr>
              <w:t>Mark-up costs</w:t>
            </w:r>
          </w:p>
        </w:tc>
        <w:tc>
          <w:tcPr>
            <w:tcW w:w="1129"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r>
      <w:tr w:rsidR="00895B01" w:rsidRPr="00D439EE" w:rsidTr="00E60869">
        <w:trPr>
          <w:trHeight w:val="190"/>
        </w:trPr>
        <w:tc>
          <w:tcPr>
            <w:tcW w:w="1659" w:type="pct"/>
            <w:vAlign w:val="center"/>
          </w:tcPr>
          <w:p w:rsidR="00895B01" w:rsidRPr="00D439EE" w:rsidRDefault="00895B01" w:rsidP="00313D08">
            <w:pPr>
              <w:rPr>
                <w:rFonts w:ascii="Arial Narrow" w:hAnsi="Arial Narrow" w:cs="Arial"/>
                <w:color w:val="000000"/>
                <w:sz w:val="20"/>
                <w:szCs w:val="20"/>
                <w:vertAlign w:val="superscript"/>
              </w:rPr>
            </w:pPr>
            <w:r w:rsidRPr="00D439EE">
              <w:rPr>
                <w:rFonts w:ascii="Arial Narrow" w:hAnsi="Arial Narrow" w:cs="Arial"/>
                <w:color w:val="000000"/>
                <w:sz w:val="20"/>
                <w:szCs w:val="20"/>
              </w:rPr>
              <w:t xml:space="preserve">Administration/infusion </w:t>
            </w:r>
            <w:proofErr w:type="spellStart"/>
            <w:r w:rsidRPr="00D439EE">
              <w:rPr>
                <w:rFonts w:ascii="Arial Narrow" w:hAnsi="Arial Narrow" w:cs="Arial"/>
                <w:color w:val="000000"/>
                <w:sz w:val="20"/>
                <w:szCs w:val="20"/>
              </w:rPr>
              <w:t>costs</w:t>
            </w:r>
            <w:r w:rsidR="003547BA" w:rsidRPr="00D439EE">
              <w:rPr>
                <w:rFonts w:ascii="Arial Narrow" w:hAnsi="Arial Narrow" w:cs="Arial"/>
                <w:color w:val="000000"/>
                <w:sz w:val="20"/>
                <w:szCs w:val="20"/>
                <w:vertAlign w:val="superscript"/>
              </w:rPr>
              <w:t>c</w:t>
            </w:r>
            <w:proofErr w:type="spellEnd"/>
          </w:p>
        </w:tc>
        <w:tc>
          <w:tcPr>
            <w:tcW w:w="1129"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r>
      <w:tr w:rsidR="00895B01" w:rsidRPr="00D439EE" w:rsidTr="00E60869">
        <w:trPr>
          <w:trHeight w:val="190"/>
        </w:trPr>
        <w:tc>
          <w:tcPr>
            <w:tcW w:w="1659" w:type="pct"/>
            <w:vAlign w:val="center"/>
          </w:tcPr>
          <w:p w:rsidR="00895B01" w:rsidRPr="00D439EE" w:rsidRDefault="00895B01" w:rsidP="00313D08">
            <w:pPr>
              <w:rPr>
                <w:rFonts w:ascii="Arial Narrow" w:hAnsi="Arial Narrow" w:cs="Arial"/>
                <w:color w:val="000000"/>
                <w:sz w:val="20"/>
                <w:szCs w:val="20"/>
              </w:rPr>
            </w:pPr>
            <w:r w:rsidRPr="00D439EE">
              <w:rPr>
                <w:rFonts w:ascii="Arial Narrow" w:hAnsi="Arial Narrow" w:cs="Arial"/>
                <w:color w:val="000000"/>
                <w:sz w:val="20"/>
                <w:szCs w:val="20"/>
              </w:rPr>
              <w:t>Total cost difference</w:t>
            </w:r>
          </w:p>
        </w:tc>
        <w:tc>
          <w:tcPr>
            <w:tcW w:w="1129" w:type="pct"/>
            <w:vAlign w:val="center"/>
          </w:tcPr>
          <w:p w:rsidR="00895B01" w:rsidRPr="00C20FEC" w:rsidRDefault="00C20FEC" w:rsidP="00313D08">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FF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FF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r>
      <w:tr w:rsidR="00895B01" w:rsidRPr="00D439EE" w:rsidTr="00E60869">
        <w:trPr>
          <w:trHeight w:val="190"/>
        </w:trPr>
        <w:tc>
          <w:tcPr>
            <w:tcW w:w="1659" w:type="pct"/>
            <w:vAlign w:val="center"/>
          </w:tcPr>
          <w:p w:rsidR="00895B01" w:rsidRPr="00D439EE" w:rsidRDefault="00895B01" w:rsidP="00313D08">
            <w:pPr>
              <w:rPr>
                <w:rFonts w:ascii="Arial Narrow" w:hAnsi="Arial Narrow" w:cs="Arial"/>
                <w:color w:val="000000"/>
                <w:sz w:val="20"/>
                <w:szCs w:val="20"/>
              </w:rPr>
            </w:pPr>
            <w:r w:rsidRPr="00D439EE">
              <w:rPr>
                <w:rFonts w:ascii="Arial Narrow" w:hAnsi="Arial Narrow" w:cs="Arial"/>
                <w:color w:val="000000"/>
                <w:sz w:val="20"/>
                <w:szCs w:val="20"/>
              </w:rPr>
              <w:t>Total cost (@DPMA) per 4 weeks</w:t>
            </w:r>
          </w:p>
        </w:tc>
        <w:tc>
          <w:tcPr>
            <w:tcW w:w="1129" w:type="pct"/>
            <w:vAlign w:val="center"/>
          </w:tcPr>
          <w:p w:rsidR="00895B01" w:rsidRPr="00D439EE" w:rsidRDefault="00895B01" w:rsidP="00313D08">
            <w:pPr>
              <w:jc w:val="center"/>
              <w:rPr>
                <w:rFonts w:ascii="Arial Narrow" w:hAnsi="Arial Narrow" w:cs="Arial"/>
                <w:color w:val="00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FF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c>
          <w:tcPr>
            <w:tcW w:w="1106" w:type="pct"/>
            <w:vAlign w:val="center"/>
          </w:tcPr>
          <w:p w:rsidR="00895B01" w:rsidRPr="00D439EE" w:rsidRDefault="00895B01" w:rsidP="00313D08">
            <w:pPr>
              <w:jc w:val="center"/>
              <w:rPr>
                <w:rFonts w:ascii="Arial Narrow" w:hAnsi="Arial Narrow" w:cs="Arial"/>
                <w:color w:val="FF0000"/>
                <w:sz w:val="20"/>
                <w:szCs w:val="20"/>
              </w:rPr>
            </w:pPr>
            <w:r w:rsidRPr="00D439EE">
              <w:rPr>
                <w:rFonts w:ascii="Arial Narrow" w:hAnsi="Arial Narrow" w:cs="Arial"/>
                <w:color w:val="000000"/>
                <w:sz w:val="20"/>
                <w:szCs w:val="20"/>
              </w:rPr>
              <w:t>$</w:t>
            </w:r>
            <w:r w:rsidR="00C20FEC">
              <w:rPr>
                <w:rFonts w:ascii="Arial Narrow" w:hAnsi="Arial Narrow" w:cs="Arial"/>
                <w:noProof/>
                <w:color w:val="000000"/>
                <w:sz w:val="20"/>
                <w:szCs w:val="20"/>
                <w:highlight w:val="black"/>
              </w:rPr>
              <w:t>''''''''''''''''''''''''</w:t>
            </w:r>
          </w:p>
        </w:tc>
      </w:tr>
      <w:tr w:rsidR="00AC7B42" w:rsidRPr="00D439EE" w:rsidTr="00E60869">
        <w:trPr>
          <w:trHeight w:val="190"/>
        </w:trPr>
        <w:tc>
          <w:tcPr>
            <w:tcW w:w="1659" w:type="pct"/>
            <w:vAlign w:val="center"/>
          </w:tcPr>
          <w:p w:rsidR="00AC7B42" w:rsidRPr="00D439EE" w:rsidRDefault="00AC7B42" w:rsidP="00AC7B42">
            <w:pPr>
              <w:rPr>
                <w:rFonts w:ascii="Arial Narrow" w:hAnsi="Arial Narrow" w:cs="Arial"/>
                <w:color w:val="000000"/>
                <w:sz w:val="20"/>
                <w:szCs w:val="20"/>
              </w:rPr>
            </w:pPr>
            <w:r w:rsidRPr="00D439EE">
              <w:rPr>
                <w:rFonts w:ascii="Arial Narrow" w:hAnsi="Arial Narrow" w:cs="Arial"/>
                <w:color w:val="000000"/>
                <w:sz w:val="20"/>
                <w:szCs w:val="20"/>
              </w:rPr>
              <w:t>% reduction from DPMA</w:t>
            </w:r>
          </w:p>
        </w:tc>
        <w:tc>
          <w:tcPr>
            <w:tcW w:w="1129" w:type="pct"/>
            <w:vAlign w:val="center"/>
          </w:tcPr>
          <w:p w:rsidR="00AC7B42" w:rsidRPr="00D439EE" w:rsidRDefault="00AC7B42" w:rsidP="00AC7B42">
            <w:pPr>
              <w:jc w:val="center"/>
              <w:rPr>
                <w:rFonts w:ascii="Arial Narrow" w:hAnsi="Arial Narrow" w:cs="Arial"/>
                <w:color w:val="000000"/>
                <w:sz w:val="20"/>
                <w:szCs w:val="20"/>
              </w:rPr>
            </w:pPr>
          </w:p>
        </w:tc>
        <w:tc>
          <w:tcPr>
            <w:tcW w:w="1106" w:type="pct"/>
            <w:vAlign w:val="center"/>
          </w:tcPr>
          <w:p w:rsidR="00AC7B42" w:rsidRPr="00D439EE" w:rsidRDefault="00C20FEC" w:rsidP="00AC7B42">
            <w:pPr>
              <w:jc w:val="center"/>
              <w:rPr>
                <w:rFonts w:ascii="Arial Narrow" w:hAnsi="Arial Narrow" w:cs="Arial"/>
                <w:sz w:val="20"/>
                <w:szCs w:val="20"/>
              </w:rPr>
            </w:pPr>
            <w:r>
              <w:rPr>
                <w:rFonts w:ascii="Arial Narrow" w:hAnsi="Arial Narrow" w:cs="Arial"/>
                <w:noProof/>
                <w:color w:val="000000"/>
                <w:sz w:val="20"/>
                <w:szCs w:val="20"/>
                <w:highlight w:val="black"/>
              </w:rPr>
              <w:t>''''''''</w:t>
            </w:r>
            <w:r w:rsidR="00AC7B42" w:rsidRPr="00A23C15">
              <w:rPr>
                <w:rFonts w:ascii="Arial Narrow" w:hAnsi="Arial Narrow" w:cs="Arial"/>
                <w:sz w:val="20"/>
                <w:szCs w:val="20"/>
              </w:rPr>
              <w:t>%</w:t>
            </w:r>
          </w:p>
        </w:tc>
        <w:tc>
          <w:tcPr>
            <w:tcW w:w="1106" w:type="pct"/>
            <w:vAlign w:val="center"/>
          </w:tcPr>
          <w:p w:rsidR="00AC7B42" w:rsidRPr="00D439EE" w:rsidRDefault="00C20FEC" w:rsidP="00AC7B42">
            <w:pPr>
              <w:jc w:val="center"/>
              <w:rPr>
                <w:rFonts w:ascii="Arial Narrow" w:hAnsi="Arial Narrow" w:cs="Arial"/>
                <w:sz w:val="20"/>
                <w:szCs w:val="20"/>
              </w:rPr>
            </w:pPr>
            <w:r>
              <w:rPr>
                <w:rFonts w:ascii="Arial Narrow" w:hAnsi="Arial Narrow" w:cs="Arial"/>
                <w:noProof/>
                <w:color w:val="000000"/>
                <w:sz w:val="20"/>
                <w:szCs w:val="20"/>
                <w:highlight w:val="black"/>
              </w:rPr>
              <w:t>''''''''</w:t>
            </w:r>
            <w:r w:rsidR="00AC7B42" w:rsidRPr="00A23C15">
              <w:rPr>
                <w:rFonts w:ascii="Arial Narrow" w:hAnsi="Arial Narrow" w:cs="Arial"/>
                <w:sz w:val="20"/>
                <w:szCs w:val="20"/>
              </w:rPr>
              <w:t>%</w:t>
            </w:r>
          </w:p>
        </w:tc>
      </w:tr>
    </w:tbl>
    <w:p w:rsidR="00CA5313" w:rsidRPr="00D439EE" w:rsidRDefault="00895B01" w:rsidP="00313D08">
      <w:pPr>
        <w:rPr>
          <w:rFonts w:ascii="Arial Narrow" w:eastAsiaTheme="minorHAnsi" w:hAnsi="Arial Narrow" w:cstheme="minorBidi"/>
          <w:sz w:val="18"/>
        </w:rPr>
      </w:pPr>
      <w:r w:rsidRPr="00D439EE">
        <w:rPr>
          <w:rFonts w:ascii="Arial Narrow" w:eastAsiaTheme="minorHAnsi" w:hAnsi="Arial Narrow" w:cstheme="minorBidi"/>
          <w:sz w:val="18"/>
        </w:rPr>
        <w:t>Source: Table 11, p34 of the minor submission</w:t>
      </w:r>
    </w:p>
    <w:p w:rsidR="00895B01" w:rsidRPr="00D439EE" w:rsidRDefault="00895B01" w:rsidP="00313D08">
      <w:pPr>
        <w:rPr>
          <w:rFonts w:ascii="Arial Narrow" w:eastAsiaTheme="minorHAnsi" w:hAnsi="Arial Narrow" w:cstheme="minorBidi"/>
          <w:sz w:val="18"/>
        </w:rPr>
      </w:pPr>
      <w:r w:rsidRPr="00D439EE">
        <w:rPr>
          <w:rFonts w:ascii="Arial Narrow" w:eastAsiaTheme="minorHAnsi" w:hAnsi="Arial Narrow" w:cstheme="minorBidi"/>
          <w:sz w:val="18"/>
        </w:rPr>
        <w:t>Abbreviations: AEMP: approved ex-manufacturer price; DPMA: dispensed price for maximum amount</w:t>
      </w:r>
    </w:p>
    <w:p w:rsidR="002F56B1" w:rsidRDefault="003547BA" w:rsidP="00313D08">
      <w:pPr>
        <w:rPr>
          <w:rFonts w:ascii="Arial Narrow" w:eastAsiaTheme="minorHAnsi" w:hAnsi="Arial Narrow" w:cstheme="minorBidi"/>
          <w:sz w:val="18"/>
        </w:rPr>
      </w:pPr>
      <w:proofErr w:type="gramStart"/>
      <w:r w:rsidRPr="00D439EE">
        <w:rPr>
          <w:rFonts w:ascii="Arial Narrow" w:eastAsiaTheme="minorHAnsi" w:hAnsi="Arial Narrow" w:cstheme="minorBidi"/>
          <w:sz w:val="18"/>
          <w:vertAlign w:val="superscript"/>
        </w:rPr>
        <w:t>a</w:t>
      </w:r>
      <w:proofErr w:type="gramEnd"/>
      <w:r w:rsidR="002F56B1">
        <w:rPr>
          <w:rFonts w:ascii="Arial Narrow" w:eastAsiaTheme="minorHAnsi" w:hAnsi="Arial Narrow" w:cstheme="minorBidi"/>
          <w:sz w:val="18"/>
        </w:rPr>
        <w:t xml:space="preserve"> Based on published prices.</w:t>
      </w:r>
    </w:p>
    <w:p w:rsidR="002F56B1" w:rsidRDefault="003547BA" w:rsidP="00313D08">
      <w:pPr>
        <w:rPr>
          <w:rFonts w:ascii="Arial Narrow" w:eastAsiaTheme="minorHAnsi" w:hAnsi="Arial Narrow" w:cstheme="minorBidi"/>
          <w:sz w:val="18"/>
        </w:rPr>
      </w:pPr>
      <w:proofErr w:type="gramStart"/>
      <w:r w:rsidRPr="00D439EE">
        <w:rPr>
          <w:rFonts w:ascii="Arial Narrow" w:eastAsiaTheme="minorHAnsi" w:hAnsi="Arial Narrow" w:cstheme="minorBidi"/>
          <w:sz w:val="18"/>
          <w:vertAlign w:val="superscript"/>
        </w:rPr>
        <w:t>b</w:t>
      </w:r>
      <w:proofErr w:type="gramEnd"/>
      <w:r w:rsidR="00895B01" w:rsidRPr="00D439EE">
        <w:rPr>
          <w:rFonts w:ascii="Arial Narrow" w:eastAsiaTheme="minorHAnsi" w:hAnsi="Arial Narrow" w:cstheme="minorBidi"/>
          <w:sz w:val="18"/>
          <w:vertAlign w:val="superscript"/>
        </w:rPr>
        <w:t xml:space="preserve"> </w:t>
      </w:r>
      <w:r w:rsidR="00895B01" w:rsidRPr="00D439EE">
        <w:rPr>
          <w:rFonts w:ascii="Arial Narrow" w:eastAsiaTheme="minorHAnsi" w:hAnsi="Arial Narrow" w:cstheme="minorBidi"/>
          <w:sz w:val="18"/>
        </w:rPr>
        <w:t xml:space="preserve">AEMP drug costs </w:t>
      </w:r>
      <w:r w:rsidR="00805B3D" w:rsidRPr="00D439EE">
        <w:rPr>
          <w:rFonts w:ascii="Arial Narrow" w:eastAsiaTheme="minorHAnsi" w:hAnsi="Arial Narrow" w:cstheme="minorBidi"/>
          <w:sz w:val="18"/>
        </w:rPr>
        <w:t>derived from</w:t>
      </w:r>
      <w:r w:rsidR="00895B01" w:rsidRPr="00D439EE">
        <w:rPr>
          <w:rFonts w:ascii="Arial Narrow" w:eastAsiaTheme="minorHAnsi" w:hAnsi="Arial Narrow" w:cstheme="minorBidi"/>
          <w:sz w:val="18"/>
        </w:rPr>
        <w:t xml:space="preserve"> </w:t>
      </w:r>
      <w:r w:rsidR="00D77CBD" w:rsidRPr="00D439EE">
        <w:rPr>
          <w:rFonts w:ascii="Arial Narrow" w:eastAsiaTheme="minorHAnsi" w:hAnsi="Arial Narrow" w:cstheme="minorBidi"/>
          <w:sz w:val="18"/>
        </w:rPr>
        <w:t>DPMA</w:t>
      </w:r>
      <w:r w:rsidR="00805B3D" w:rsidRPr="00D439EE">
        <w:rPr>
          <w:rFonts w:ascii="Arial Narrow" w:eastAsiaTheme="minorHAnsi" w:hAnsi="Arial Narrow" w:cstheme="minorBidi"/>
          <w:sz w:val="18"/>
        </w:rPr>
        <w:t xml:space="preserve"> weighted across</w:t>
      </w:r>
      <w:r w:rsidR="00D77CBD" w:rsidRPr="00D439EE">
        <w:rPr>
          <w:rFonts w:ascii="Arial Narrow" w:eastAsiaTheme="minorHAnsi" w:hAnsi="Arial Narrow" w:cstheme="minorBidi"/>
          <w:sz w:val="18"/>
        </w:rPr>
        <w:t xml:space="preserve"> private/public hospital </w:t>
      </w:r>
      <w:r w:rsidR="00805B3D" w:rsidRPr="00D439EE">
        <w:rPr>
          <w:rFonts w:ascii="Arial Narrow" w:eastAsiaTheme="minorHAnsi" w:hAnsi="Arial Narrow" w:cstheme="minorBidi"/>
          <w:sz w:val="18"/>
        </w:rPr>
        <w:t>use</w:t>
      </w:r>
      <w:r w:rsidR="00D77CBD" w:rsidRPr="00D439EE">
        <w:rPr>
          <w:rFonts w:ascii="Arial Narrow" w:eastAsiaTheme="minorHAnsi" w:hAnsi="Arial Narrow" w:cstheme="minorBidi"/>
          <w:sz w:val="18"/>
        </w:rPr>
        <w:t xml:space="preserve"> </w:t>
      </w:r>
      <w:r w:rsidR="00805B3D" w:rsidRPr="00D439EE">
        <w:rPr>
          <w:rFonts w:ascii="Arial Narrow" w:eastAsiaTheme="minorHAnsi" w:hAnsi="Arial Narrow" w:cstheme="minorBidi"/>
          <w:sz w:val="18"/>
        </w:rPr>
        <w:t xml:space="preserve">from </w:t>
      </w:r>
      <w:r w:rsidR="00D77CBD" w:rsidRPr="00D439EE">
        <w:rPr>
          <w:rFonts w:ascii="Arial Narrow" w:eastAsiaTheme="minorHAnsi" w:hAnsi="Arial Narrow" w:cstheme="minorBidi"/>
          <w:sz w:val="18"/>
        </w:rPr>
        <w:t>PBS expendit</w:t>
      </w:r>
      <w:r w:rsidR="002F56B1">
        <w:rPr>
          <w:rFonts w:ascii="Arial Narrow" w:eastAsiaTheme="minorHAnsi" w:hAnsi="Arial Narrow" w:cstheme="minorBidi"/>
          <w:sz w:val="18"/>
        </w:rPr>
        <w:t>ure from July 2017 to June 2018.</w:t>
      </w:r>
    </w:p>
    <w:p w:rsidR="00895B01" w:rsidRPr="00D439EE" w:rsidRDefault="003547BA" w:rsidP="00313D08">
      <w:pPr>
        <w:rPr>
          <w:rFonts w:ascii="Arial Narrow" w:eastAsiaTheme="minorHAnsi" w:hAnsi="Arial Narrow" w:cstheme="minorBidi"/>
          <w:sz w:val="18"/>
        </w:rPr>
      </w:pPr>
      <w:proofErr w:type="gramStart"/>
      <w:r w:rsidRPr="00D439EE">
        <w:rPr>
          <w:rFonts w:ascii="Arial Narrow" w:eastAsiaTheme="minorHAnsi" w:hAnsi="Arial Narrow" w:cstheme="minorBidi"/>
          <w:sz w:val="18"/>
          <w:vertAlign w:val="superscript"/>
        </w:rPr>
        <w:t>c</w:t>
      </w:r>
      <w:proofErr w:type="gramEnd"/>
      <w:r w:rsidR="002F56B1">
        <w:rPr>
          <w:rFonts w:ascii="Arial Narrow" w:eastAsiaTheme="minorHAnsi" w:hAnsi="Arial Narrow" w:cstheme="minorBidi"/>
          <w:sz w:val="18"/>
          <w:vertAlign w:val="superscript"/>
        </w:rPr>
        <w:t xml:space="preserve"> </w:t>
      </w:r>
      <w:r w:rsidR="00862483" w:rsidRPr="00D439EE">
        <w:rPr>
          <w:rFonts w:ascii="Arial Narrow" w:eastAsiaTheme="minorHAnsi" w:hAnsi="Arial Narrow" w:cstheme="minorBidi"/>
          <w:sz w:val="18"/>
        </w:rPr>
        <w:t>Administration/infusion costs based on MBS item 13915</w:t>
      </w:r>
      <w:r w:rsidR="002F56B1">
        <w:rPr>
          <w:rFonts w:ascii="Arial Narrow" w:eastAsiaTheme="minorHAnsi" w:hAnsi="Arial Narrow" w:cstheme="minorBidi"/>
          <w:sz w:val="18"/>
        </w:rPr>
        <w:t>.</w:t>
      </w:r>
    </w:p>
    <w:p w:rsidR="00612BFD" w:rsidRPr="00D439EE" w:rsidRDefault="00612BFD"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hAnsiTheme="minorHAnsi"/>
          <w:sz w:val="24"/>
          <w:szCs w:val="24"/>
        </w:rPr>
        <w:t>The minor submission calculated the mean drug cost per infusion for the 3 mg/kg dosing regimen based on</w:t>
      </w:r>
      <w:r w:rsidR="008177B5" w:rsidRPr="00D439EE">
        <w:rPr>
          <w:rFonts w:asciiTheme="minorHAnsi" w:hAnsiTheme="minorHAnsi"/>
          <w:sz w:val="24"/>
          <w:szCs w:val="24"/>
        </w:rPr>
        <w:t xml:space="preserve"> a mean </w:t>
      </w:r>
      <w:r w:rsidR="00C20FEC">
        <w:rPr>
          <w:rFonts w:asciiTheme="minorHAnsi" w:hAnsiTheme="minorHAnsi"/>
          <w:noProof/>
          <w:color w:val="000000"/>
          <w:sz w:val="24"/>
          <w:szCs w:val="24"/>
          <w:highlight w:val="black"/>
        </w:rPr>
        <w:t>'''''''''''</w:t>
      </w:r>
      <w:r w:rsidR="00422B80" w:rsidRPr="001252E0">
        <w:rPr>
          <w:rFonts w:asciiTheme="minorHAnsi" w:hAnsiTheme="minorHAnsi"/>
          <w:sz w:val="24"/>
          <w:szCs w:val="24"/>
        </w:rPr>
        <w:t xml:space="preserve"> mg/infusion </w:t>
      </w:r>
      <w:r w:rsidR="008177B5" w:rsidRPr="001252E0">
        <w:rPr>
          <w:rFonts w:asciiTheme="minorHAnsi" w:hAnsiTheme="minorHAnsi"/>
          <w:sz w:val="24"/>
          <w:szCs w:val="24"/>
        </w:rPr>
        <w:t>informed</w:t>
      </w:r>
      <w:r w:rsidR="008177B5" w:rsidRPr="00D439EE">
        <w:rPr>
          <w:rFonts w:asciiTheme="minorHAnsi" w:hAnsiTheme="minorHAnsi"/>
          <w:sz w:val="24"/>
          <w:szCs w:val="24"/>
        </w:rPr>
        <w:t xml:space="preserve"> by</w:t>
      </w:r>
      <w:r w:rsidRPr="00D439EE">
        <w:rPr>
          <w:rFonts w:asciiTheme="minorHAnsi" w:hAnsiTheme="minorHAnsi"/>
          <w:sz w:val="24"/>
          <w:szCs w:val="24"/>
        </w:rPr>
        <w:t xml:space="preserve"> Australian population weight data (ABS Weight Data). This approach implicitly assumes that the ABS Australian population data is representative of the distribution of population weight of patients accessing nivolumab on the PBS. </w:t>
      </w:r>
      <w:r w:rsidR="007771CF" w:rsidRPr="00D439EE">
        <w:rPr>
          <w:rFonts w:asciiTheme="minorHAnsi" w:hAnsiTheme="minorHAnsi"/>
          <w:sz w:val="24"/>
          <w:szCs w:val="24"/>
        </w:rPr>
        <w:t>The sponsor</w:t>
      </w:r>
      <w:r w:rsidRPr="00D439EE">
        <w:rPr>
          <w:rFonts w:asciiTheme="minorHAnsi" w:hAnsiTheme="minorHAnsi"/>
          <w:sz w:val="24"/>
          <w:szCs w:val="24"/>
        </w:rPr>
        <w:t xml:space="preserve"> considered that the ABS population data was the most representative sample of the Australian population</w:t>
      </w:r>
      <w:r w:rsidR="00D439EE">
        <w:rPr>
          <w:rFonts w:asciiTheme="minorHAnsi" w:hAnsiTheme="minorHAnsi"/>
          <w:sz w:val="24"/>
          <w:szCs w:val="24"/>
        </w:rPr>
        <w:t xml:space="preserve">. </w:t>
      </w:r>
      <w:r w:rsidR="009C2341" w:rsidRPr="00D439EE">
        <w:rPr>
          <w:rFonts w:asciiTheme="minorHAnsi" w:hAnsiTheme="minorHAnsi"/>
          <w:sz w:val="24"/>
          <w:szCs w:val="24"/>
        </w:rPr>
        <w:t xml:space="preserve">The submission </w:t>
      </w:r>
      <w:r w:rsidR="000607CA" w:rsidRPr="00D439EE">
        <w:rPr>
          <w:rFonts w:asciiTheme="minorHAnsi" w:hAnsiTheme="minorHAnsi"/>
          <w:sz w:val="24"/>
          <w:szCs w:val="24"/>
        </w:rPr>
        <w:t xml:space="preserve">indicated </w:t>
      </w:r>
      <w:r w:rsidR="009C2341" w:rsidRPr="00D439EE">
        <w:rPr>
          <w:rFonts w:asciiTheme="minorHAnsi" w:hAnsiTheme="minorHAnsi"/>
          <w:sz w:val="24"/>
          <w:szCs w:val="24"/>
        </w:rPr>
        <w:t>that as nivolumab may be reimbursed in a number of different tumour types in the future, applying the ABS reported population weight distribution provides the most reasonable estimate of average patient weight for nivolumab on the PBS</w:t>
      </w:r>
      <w:r w:rsidR="009D4700" w:rsidRPr="00D439EE">
        <w:rPr>
          <w:rFonts w:asciiTheme="minorHAnsi" w:hAnsiTheme="minorHAnsi"/>
          <w:sz w:val="24"/>
          <w:szCs w:val="24"/>
        </w:rPr>
        <w:t>.</w:t>
      </w:r>
      <w:r w:rsidR="009C2341" w:rsidRPr="00D439EE">
        <w:rPr>
          <w:rFonts w:asciiTheme="minorHAnsi" w:hAnsiTheme="minorHAnsi"/>
          <w:sz w:val="24"/>
          <w:szCs w:val="24"/>
        </w:rPr>
        <w:t xml:space="preserve"> </w:t>
      </w:r>
    </w:p>
    <w:p w:rsidR="008D0C1A" w:rsidRPr="00D439EE" w:rsidRDefault="0041028A"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hAnsiTheme="minorHAnsi" w:cstheme="minorHAnsi"/>
          <w:sz w:val="24"/>
          <w:szCs w:val="24"/>
        </w:rPr>
        <w:t xml:space="preserve">The </w:t>
      </w:r>
      <w:r w:rsidR="0036022B" w:rsidRPr="00D439EE">
        <w:rPr>
          <w:rFonts w:asciiTheme="minorHAnsi" w:hAnsiTheme="minorHAnsi" w:cstheme="minorHAnsi"/>
          <w:sz w:val="24"/>
          <w:szCs w:val="24"/>
        </w:rPr>
        <w:t xml:space="preserve">minor submission </w:t>
      </w:r>
      <w:r w:rsidR="00612BFD" w:rsidRPr="00D439EE">
        <w:rPr>
          <w:rFonts w:asciiTheme="minorHAnsi" w:hAnsiTheme="minorHAnsi" w:cstheme="minorHAnsi"/>
          <w:sz w:val="24"/>
          <w:szCs w:val="24"/>
        </w:rPr>
        <w:t>estimated a</w:t>
      </w:r>
      <w:r w:rsidR="0036022B" w:rsidRPr="00D439EE">
        <w:rPr>
          <w:rFonts w:asciiTheme="minorHAnsi" w:hAnsiTheme="minorHAnsi" w:cstheme="minorHAnsi"/>
          <w:sz w:val="24"/>
          <w:szCs w:val="24"/>
        </w:rPr>
        <w:t xml:space="preserve"> </w:t>
      </w:r>
      <w:r w:rsidRPr="001252E0">
        <w:rPr>
          <w:rFonts w:asciiTheme="minorHAnsi" w:hAnsiTheme="minorHAnsi" w:cstheme="minorHAnsi"/>
          <w:sz w:val="24"/>
          <w:szCs w:val="24"/>
        </w:rPr>
        <w:t>cost of $</w:t>
      </w:r>
      <w:r w:rsidR="00C20FEC">
        <w:rPr>
          <w:rFonts w:asciiTheme="minorHAnsi" w:hAnsiTheme="minorHAnsi" w:cstheme="minorHAnsi"/>
          <w:noProof/>
          <w:color w:val="000000"/>
          <w:sz w:val="24"/>
          <w:szCs w:val="24"/>
          <w:highlight w:val="black"/>
        </w:rPr>
        <w:t>'''''''''''''''''''</w:t>
      </w:r>
      <w:r w:rsidR="00422B80" w:rsidRPr="001252E0">
        <w:rPr>
          <w:rFonts w:asciiTheme="minorHAnsi" w:hAnsiTheme="minorHAnsi" w:cstheme="minorHAnsi"/>
          <w:sz w:val="24"/>
          <w:szCs w:val="24"/>
        </w:rPr>
        <w:t xml:space="preserve"> (</w:t>
      </w:r>
      <w:r w:rsidR="00612BFD" w:rsidRPr="00D439EE">
        <w:rPr>
          <w:rFonts w:asciiTheme="minorHAnsi" w:hAnsiTheme="minorHAnsi" w:cstheme="minorHAnsi"/>
          <w:sz w:val="24"/>
          <w:szCs w:val="24"/>
        </w:rPr>
        <w:t>difference of $</w:t>
      </w:r>
      <w:r w:rsidR="00C20FEC">
        <w:rPr>
          <w:rFonts w:asciiTheme="minorHAnsi" w:hAnsiTheme="minorHAnsi" w:cstheme="minorHAnsi"/>
          <w:noProof/>
          <w:color w:val="000000"/>
          <w:sz w:val="24"/>
          <w:szCs w:val="24"/>
          <w:highlight w:val="black"/>
        </w:rPr>
        <w:t>''''''''</w:t>
      </w:r>
      <w:r w:rsidR="00612BFD" w:rsidRPr="00D439EE">
        <w:rPr>
          <w:rFonts w:asciiTheme="minorHAnsi" w:hAnsiTheme="minorHAnsi" w:cstheme="minorHAnsi"/>
          <w:sz w:val="24"/>
          <w:szCs w:val="24"/>
        </w:rPr>
        <w:t xml:space="preserve"> compared </w:t>
      </w:r>
      <w:r w:rsidR="00DE73B8" w:rsidRPr="00D439EE">
        <w:rPr>
          <w:rFonts w:asciiTheme="minorHAnsi" w:hAnsiTheme="minorHAnsi" w:cstheme="minorHAnsi"/>
          <w:sz w:val="24"/>
          <w:szCs w:val="24"/>
        </w:rPr>
        <w:t>to</w:t>
      </w:r>
      <w:r w:rsidR="00612BFD" w:rsidRPr="00D439EE">
        <w:rPr>
          <w:rFonts w:asciiTheme="minorHAnsi" w:hAnsiTheme="minorHAnsi" w:cstheme="minorHAnsi"/>
          <w:sz w:val="24"/>
          <w:szCs w:val="24"/>
        </w:rPr>
        <w:t xml:space="preserve"> the estimated 4-week treatment cost for the 3 mg/kg dosing regimen of $</w:t>
      </w:r>
      <w:r w:rsidR="00C20FEC">
        <w:rPr>
          <w:rFonts w:asciiTheme="minorHAnsi" w:hAnsiTheme="minorHAnsi" w:cstheme="minorHAnsi"/>
          <w:noProof/>
          <w:color w:val="000000"/>
          <w:sz w:val="24"/>
          <w:szCs w:val="24"/>
          <w:highlight w:val="black"/>
        </w:rPr>
        <w:t>''''''''''''''''''</w:t>
      </w:r>
      <w:r w:rsidR="00612BFD" w:rsidRPr="00D439EE">
        <w:rPr>
          <w:rFonts w:asciiTheme="minorHAnsi" w:hAnsiTheme="minorHAnsi" w:cstheme="minorHAnsi"/>
          <w:sz w:val="24"/>
          <w:szCs w:val="24"/>
        </w:rPr>
        <w:t>)</w:t>
      </w:r>
      <w:r w:rsidRPr="00D439EE">
        <w:rPr>
          <w:rFonts w:asciiTheme="minorHAnsi" w:hAnsiTheme="minorHAnsi" w:cstheme="minorHAnsi"/>
          <w:sz w:val="24"/>
          <w:szCs w:val="24"/>
        </w:rPr>
        <w:t xml:space="preserve"> for</w:t>
      </w:r>
      <w:r w:rsidR="0036022B" w:rsidRPr="00D439EE">
        <w:rPr>
          <w:rFonts w:asciiTheme="minorHAnsi" w:hAnsiTheme="minorHAnsi" w:cstheme="minorHAnsi"/>
          <w:sz w:val="24"/>
          <w:szCs w:val="24"/>
        </w:rPr>
        <w:t xml:space="preserve"> a </w:t>
      </w:r>
      <w:r w:rsidR="00612BFD" w:rsidRPr="00D439EE">
        <w:rPr>
          <w:rFonts w:asciiTheme="minorHAnsi" w:hAnsiTheme="minorHAnsi" w:cstheme="minorHAnsi"/>
          <w:sz w:val="24"/>
          <w:szCs w:val="24"/>
        </w:rPr>
        <w:t>4-week</w:t>
      </w:r>
      <w:r w:rsidR="0036022B" w:rsidRPr="00D439EE">
        <w:rPr>
          <w:rFonts w:asciiTheme="minorHAnsi" w:hAnsiTheme="minorHAnsi" w:cstheme="minorHAnsi"/>
          <w:sz w:val="24"/>
          <w:szCs w:val="24"/>
        </w:rPr>
        <w:t xml:space="preserve"> treatment course of nivolumab </w:t>
      </w:r>
      <w:r w:rsidR="00612BFD" w:rsidRPr="00D439EE">
        <w:rPr>
          <w:rFonts w:asciiTheme="minorHAnsi" w:hAnsiTheme="minorHAnsi" w:cstheme="minorHAnsi"/>
          <w:sz w:val="24"/>
          <w:szCs w:val="24"/>
        </w:rPr>
        <w:t>weighted across</w:t>
      </w:r>
      <w:r w:rsidR="0036022B" w:rsidRPr="00D439EE">
        <w:rPr>
          <w:rFonts w:asciiTheme="minorHAnsi" w:hAnsiTheme="minorHAnsi" w:cstheme="minorHAnsi"/>
          <w:sz w:val="24"/>
          <w:szCs w:val="24"/>
        </w:rPr>
        <w:t xml:space="preserve"> the estimated utilisation of </w:t>
      </w:r>
      <w:r w:rsidR="00612BFD" w:rsidRPr="00D439EE">
        <w:rPr>
          <w:rFonts w:asciiTheme="minorHAnsi" w:hAnsiTheme="minorHAnsi" w:cstheme="minorHAnsi"/>
          <w:sz w:val="24"/>
          <w:szCs w:val="24"/>
        </w:rPr>
        <w:t>each dosing regimen</w:t>
      </w:r>
      <w:r w:rsidR="00217D99" w:rsidRPr="00D439EE">
        <w:rPr>
          <w:rFonts w:asciiTheme="minorHAnsi" w:hAnsiTheme="minorHAnsi" w:cstheme="minorHAnsi"/>
          <w:sz w:val="24"/>
          <w:szCs w:val="24"/>
        </w:rPr>
        <w:t xml:space="preserve"> (see paragraph</w:t>
      </w:r>
      <w:r w:rsidR="007F70E9" w:rsidRPr="00D439EE">
        <w:rPr>
          <w:rFonts w:asciiTheme="minorHAnsi" w:hAnsiTheme="minorHAnsi" w:cstheme="minorHAnsi"/>
          <w:sz w:val="24"/>
          <w:szCs w:val="24"/>
        </w:rPr>
        <w:t xml:space="preserve"> 4.3</w:t>
      </w:r>
      <w:r w:rsidR="00217D99" w:rsidRPr="00D439EE">
        <w:rPr>
          <w:rFonts w:asciiTheme="minorHAnsi" w:hAnsiTheme="minorHAnsi" w:cstheme="minorHAnsi"/>
          <w:sz w:val="24"/>
          <w:szCs w:val="24"/>
        </w:rPr>
        <w:t xml:space="preserve"> below)</w:t>
      </w:r>
      <w:r w:rsidR="0036022B" w:rsidRPr="00D439EE">
        <w:rPr>
          <w:rFonts w:asciiTheme="minorHAnsi" w:hAnsiTheme="minorHAnsi" w:cstheme="minorHAnsi"/>
          <w:sz w:val="24"/>
          <w:szCs w:val="24"/>
        </w:rPr>
        <w:t xml:space="preserve">. The </w:t>
      </w:r>
      <w:r w:rsidR="00612BFD" w:rsidRPr="00D439EE">
        <w:rPr>
          <w:rFonts w:asciiTheme="minorHAnsi" w:hAnsiTheme="minorHAnsi" w:cstheme="minorHAnsi"/>
          <w:sz w:val="24"/>
          <w:szCs w:val="24"/>
        </w:rPr>
        <w:t xml:space="preserve">minor submission claimed that allowing for </w:t>
      </w:r>
      <w:r w:rsidR="00932DBF" w:rsidRPr="00D439EE">
        <w:rPr>
          <w:rFonts w:asciiTheme="minorHAnsi" w:hAnsiTheme="minorHAnsi" w:cstheme="minorHAnsi"/>
          <w:sz w:val="24"/>
          <w:szCs w:val="24"/>
        </w:rPr>
        <w:t xml:space="preserve">flat </w:t>
      </w:r>
      <w:r w:rsidR="00612BFD" w:rsidRPr="00D439EE">
        <w:rPr>
          <w:rFonts w:asciiTheme="minorHAnsi" w:hAnsiTheme="minorHAnsi" w:cstheme="minorHAnsi"/>
          <w:sz w:val="24"/>
          <w:szCs w:val="24"/>
        </w:rPr>
        <w:t>dosing would reduce the cost of nivolumab per 4 weeks of therapy</w:t>
      </w:r>
      <w:r w:rsidR="009C2341" w:rsidRPr="00D439EE">
        <w:rPr>
          <w:rFonts w:asciiTheme="minorHAnsi" w:hAnsiTheme="minorHAnsi" w:cstheme="minorHAnsi"/>
          <w:sz w:val="24"/>
          <w:szCs w:val="24"/>
        </w:rPr>
        <w:t>, and the saving was primarily</w:t>
      </w:r>
      <w:r w:rsidR="00612BFD" w:rsidRPr="00D439EE">
        <w:rPr>
          <w:rFonts w:asciiTheme="minorHAnsi" w:hAnsiTheme="minorHAnsi" w:cstheme="minorHAnsi"/>
          <w:sz w:val="24"/>
          <w:szCs w:val="24"/>
        </w:rPr>
        <w:t xml:space="preserve"> driven by</w:t>
      </w:r>
      <w:r w:rsidR="009C2341" w:rsidRPr="00D439EE">
        <w:rPr>
          <w:rFonts w:asciiTheme="minorHAnsi" w:hAnsiTheme="minorHAnsi" w:cstheme="minorHAnsi"/>
          <w:sz w:val="24"/>
          <w:szCs w:val="24"/>
        </w:rPr>
        <w:t xml:space="preserve"> savings in EFC mark-ups and</w:t>
      </w:r>
      <w:r w:rsidR="00612BFD" w:rsidRPr="00D439EE">
        <w:rPr>
          <w:rFonts w:asciiTheme="minorHAnsi" w:hAnsiTheme="minorHAnsi" w:cstheme="minorHAnsi"/>
          <w:sz w:val="24"/>
          <w:szCs w:val="24"/>
        </w:rPr>
        <w:t xml:space="preserve"> infusion</w:t>
      </w:r>
      <w:r w:rsidR="009C2341" w:rsidRPr="00D439EE">
        <w:rPr>
          <w:rFonts w:asciiTheme="minorHAnsi" w:hAnsiTheme="minorHAnsi" w:cstheme="minorHAnsi"/>
          <w:sz w:val="24"/>
          <w:szCs w:val="24"/>
        </w:rPr>
        <w:t xml:space="preserve"> administration</w:t>
      </w:r>
      <w:r w:rsidR="00612BFD" w:rsidRPr="00D439EE">
        <w:rPr>
          <w:rFonts w:asciiTheme="minorHAnsi" w:hAnsiTheme="minorHAnsi" w:cstheme="minorHAnsi"/>
          <w:sz w:val="24"/>
          <w:szCs w:val="24"/>
        </w:rPr>
        <w:t xml:space="preserve"> fees associated with high utilisation of the nivolumab 480 mg Q4W dosing regimen. </w:t>
      </w:r>
      <w:r w:rsidR="00C364BF" w:rsidRPr="00D439EE">
        <w:rPr>
          <w:rFonts w:asciiTheme="minorHAnsi" w:hAnsiTheme="minorHAnsi" w:cstheme="minorHAnsi"/>
          <w:sz w:val="24"/>
          <w:szCs w:val="24"/>
        </w:rPr>
        <w:t>In the absence of any evidence demonstrating</w:t>
      </w:r>
      <w:r w:rsidR="00FC4FA5" w:rsidRPr="00D439EE">
        <w:rPr>
          <w:rFonts w:asciiTheme="minorHAnsi" w:hAnsiTheme="minorHAnsi" w:cstheme="minorHAnsi"/>
          <w:sz w:val="24"/>
          <w:szCs w:val="24"/>
        </w:rPr>
        <w:t xml:space="preserve"> an additional benefit of </w:t>
      </w:r>
      <w:r w:rsidR="00CC4C29" w:rsidRPr="00D439EE">
        <w:rPr>
          <w:rFonts w:asciiTheme="minorHAnsi" w:hAnsiTheme="minorHAnsi" w:cstheme="minorHAnsi"/>
          <w:sz w:val="24"/>
          <w:szCs w:val="24"/>
        </w:rPr>
        <w:t xml:space="preserve">the </w:t>
      </w:r>
      <w:r w:rsidR="00FC4FA5" w:rsidRPr="00D439EE">
        <w:rPr>
          <w:rFonts w:asciiTheme="minorHAnsi" w:hAnsiTheme="minorHAnsi" w:cstheme="minorHAnsi"/>
          <w:sz w:val="24"/>
          <w:szCs w:val="24"/>
        </w:rPr>
        <w:t xml:space="preserve">weight based </w:t>
      </w:r>
      <w:r w:rsidR="00CC4C29" w:rsidRPr="00D439EE">
        <w:rPr>
          <w:rFonts w:asciiTheme="minorHAnsi" w:hAnsiTheme="minorHAnsi" w:cstheme="minorHAnsi"/>
          <w:sz w:val="24"/>
          <w:szCs w:val="24"/>
        </w:rPr>
        <w:t>dosing regimen</w:t>
      </w:r>
      <w:r w:rsidR="00C364BF" w:rsidRPr="00D439EE">
        <w:rPr>
          <w:rFonts w:asciiTheme="minorHAnsi" w:hAnsiTheme="minorHAnsi" w:cstheme="minorHAnsi"/>
          <w:sz w:val="24"/>
          <w:szCs w:val="24"/>
        </w:rPr>
        <w:t xml:space="preserve"> it may be reasonable for the price paid for patients on the </w:t>
      </w:r>
      <w:r w:rsidR="00FC4FA5" w:rsidRPr="00D439EE">
        <w:rPr>
          <w:rFonts w:asciiTheme="minorHAnsi" w:hAnsiTheme="minorHAnsi" w:cstheme="minorHAnsi"/>
          <w:sz w:val="24"/>
          <w:szCs w:val="24"/>
        </w:rPr>
        <w:t xml:space="preserve">weight based </w:t>
      </w:r>
      <w:r w:rsidR="00C364BF" w:rsidRPr="00D439EE">
        <w:rPr>
          <w:rFonts w:asciiTheme="minorHAnsi" w:hAnsiTheme="minorHAnsi" w:cstheme="minorHAnsi"/>
          <w:sz w:val="24"/>
          <w:szCs w:val="24"/>
        </w:rPr>
        <w:t xml:space="preserve">dosing regimen to be no higher than the </w:t>
      </w:r>
      <w:r w:rsidR="00FC4FA5" w:rsidRPr="00D439EE">
        <w:rPr>
          <w:rFonts w:asciiTheme="minorHAnsi" w:hAnsiTheme="minorHAnsi" w:cstheme="minorHAnsi"/>
          <w:sz w:val="24"/>
          <w:szCs w:val="24"/>
        </w:rPr>
        <w:t xml:space="preserve">than the cost if flat dosing was used. </w:t>
      </w:r>
    </w:p>
    <w:p w:rsidR="00D95B97" w:rsidRPr="00D439EE" w:rsidRDefault="00B10BFE"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hAnsiTheme="minorHAnsi" w:cstheme="minorHAnsi"/>
          <w:sz w:val="24"/>
          <w:szCs w:val="24"/>
        </w:rPr>
        <w:lastRenderedPageBreak/>
        <w:t>The minor submission estimated</w:t>
      </w:r>
      <w:r w:rsidR="008D401A" w:rsidRPr="00D439EE">
        <w:rPr>
          <w:rFonts w:asciiTheme="minorHAnsi" w:hAnsiTheme="minorHAnsi" w:cstheme="minorHAnsi"/>
          <w:sz w:val="24"/>
          <w:szCs w:val="24"/>
        </w:rPr>
        <w:t xml:space="preserve"> </w:t>
      </w:r>
      <w:r w:rsidR="0041028A" w:rsidRPr="00D439EE">
        <w:rPr>
          <w:rFonts w:asciiTheme="minorHAnsi" w:hAnsiTheme="minorHAnsi" w:cstheme="minorHAnsi"/>
          <w:sz w:val="24"/>
          <w:szCs w:val="24"/>
        </w:rPr>
        <w:t xml:space="preserve">utilisation </w:t>
      </w:r>
      <w:r w:rsidRPr="00D439EE">
        <w:rPr>
          <w:rFonts w:asciiTheme="minorHAnsi" w:hAnsiTheme="minorHAnsi" w:cstheme="minorHAnsi"/>
          <w:sz w:val="24"/>
          <w:szCs w:val="24"/>
        </w:rPr>
        <w:t xml:space="preserve">of dosing </w:t>
      </w:r>
      <w:r w:rsidRPr="001252E0">
        <w:rPr>
          <w:rFonts w:asciiTheme="minorHAnsi" w:hAnsiTheme="minorHAnsi" w:cstheme="minorHAnsi"/>
          <w:sz w:val="24"/>
          <w:szCs w:val="24"/>
        </w:rPr>
        <w:t>regimens</w:t>
      </w:r>
      <w:r w:rsidR="008D401A" w:rsidRPr="001252E0">
        <w:rPr>
          <w:rFonts w:asciiTheme="minorHAnsi" w:hAnsiTheme="minorHAnsi" w:cstheme="minorHAnsi"/>
          <w:sz w:val="24"/>
          <w:szCs w:val="24"/>
        </w:rPr>
        <w:t xml:space="preserve"> </w:t>
      </w:r>
      <w:r w:rsidR="00C4572E" w:rsidRPr="001252E0">
        <w:rPr>
          <w:rFonts w:asciiTheme="minorHAnsi" w:hAnsiTheme="minorHAnsi" w:cstheme="minorHAnsi"/>
          <w:sz w:val="24"/>
          <w:szCs w:val="24"/>
        </w:rPr>
        <w:t xml:space="preserve">to be </w:t>
      </w:r>
      <w:r w:rsidR="00C20FEC">
        <w:rPr>
          <w:rFonts w:asciiTheme="minorHAnsi" w:hAnsiTheme="minorHAnsi" w:cstheme="minorHAnsi"/>
          <w:noProof/>
          <w:color w:val="000000"/>
          <w:sz w:val="24"/>
          <w:szCs w:val="24"/>
          <w:highlight w:val="black"/>
        </w:rPr>
        <w:t>'''''</w:t>
      </w:r>
      <w:r w:rsidR="00AF7412" w:rsidRPr="001252E0">
        <w:rPr>
          <w:rFonts w:asciiTheme="minorHAnsi" w:hAnsiTheme="minorHAnsi" w:cstheme="minorHAnsi"/>
          <w:sz w:val="24"/>
          <w:szCs w:val="24"/>
        </w:rPr>
        <w:t xml:space="preserve">%, </w:t>
      </w:r>
      <w:r w:rsidR="00C20FEC">
        <w:rPr>
          <w:rFonts w:asciiTheme="minorHAnsi" w:hAnsiTheme="minorHAnsi" w:cstheme="minorHAnsi"/>
          <w:noProof/>
          <w:color w:val="000000"/>
          <w:sz w:val="24"/>
          <w:szCs w:val="24"/>
          <w:highlight w:val="black"/>
        </w:rPr>
        <w:t>'''</w:t>
      </w:r>
      <w:r w:rsidR="00AF7412" w:rsidRPr="001252E0">
        <w:rPr>
          <w:rFonts w:asciiTheme="minorHAnsi" w:hAnsiTheme="minorHAnsi" w:cstheme="minorHAnsi"/>
          <w:sz w:val="24"/>
          <w:szCs w:val="24"/>
        </w:rPr>
        <w:t>% and</w:t>
      </w:r>
      <w:r w:rsidR="00C20FEC">
        <w:rPr>
          <w:rFonts w:asciiTheme="minorHAnsi" w:hAnsiTheme="minorHAnsi" w:cstheme="minorHAnsi"/>
          <w:noProof/>
          <w:color w:val="000000"/>
          <w:sz w:val="24"/>
          <w:szCs w:val="24"/>
          <w:highlight w:val="black"/>
        </w:rPr>
        <w:t xml:space="preserve"> '''</w:t>
      </w:r>
      <w:r w:rsidR="00AF7412" w:rsidRPr="001252E0">
        <w:rPr>
          <w:rFonts w:asciiTheme="minorHAnsi" w:hAnsiTheme="minorHAnsi" w:cstheme="minorHAnsi"/>
          <w:sz w:val="24"/>
          <w:szCs w:val="24"/>
        </w:rPr>
        <w:t>%</w:t>
      </w:r>
      <w:r w:rsidR="00AF7412" w:rsidRPr="00D439EE">
        <w:rPr>
          <w:rFonts w:asciiTheme="minorHAnsi" w:hAnsiTheme="minorHAnsi" w:cstheme="minorHAnsi"/>
          <w:sz w:val="24"/>
          <w:szCs w:val="24"/>
        </w:rPr>
        <w:t xml:space="preserve"> </w:t>
      </w:r>
      <w:r w:rsidR="00C4572E" w:rsidRPr="00D439EE">
        <w:rPr>
          <w:rFonts w:asciiTheme="minorHAnsi" w:hAnsiTheme="minorHAnsi" w:cstheme="minorHAnsi"/>
          <w:sz w:val="24"/>
          <w:szCs w:val="24"/>
        </w:rPr>
        <w:t xml:space="preserve">for the 480 mg Q4W, 240 mg Q2W and 3 mg/kg dosing regimens respectively. The estimated uptake was </w:t>
      </w:r>
      <w:r w:rsidR="008D401A" w:rsidRPr="00D439EE">
        <w:rPr>
          <w:rFonts w:asciiTheme="minorHAnsi" w:hAnsiTheme="minorHAnsi" w:cstheme="minorHAnsi"/>
          <w:sz w:val="24"/>
          <w:szCs w:val="24"/>
        </w:rPr>
        <w:t xml:space="preserve">based on results from an online voluntary survey which was opened to 43 clinicians </w:t>
      </w:r>
      <w:r w:rsidR="00C4794B" w:rsidRPr="00D439EE">
        <w:rPr>
          <w:rFonts w:asciiTheme="minorHAnsi" w:hAnsiTheme="minorHAnsi" w:cstheme="minorHAnsi"/>
          <w:sz w:val="24"/>
          <w:szCs w:val="24"/>
        </w:rPr>
        <w:t xml:space="preserve">who participated in </w:t>
      </w:r>
      <w:r w:rsidR="008D401A" w:rsidRPr="00D439EE">
        <w:rPr>
          <w:rFonts w:asciiTheme="minorHAnsi" w:hAnsiTheme="minorHAnsi" w:cstheme="minorHAnsi"/>
          <w:sz w:val="24"/>
          <w:szCs w:val="24"/>
        </w:rPr>
        <w:t>5 BMS advisory boards (</w:t>
      </w:r>
      <w:r w:rsidR="00C4794B" w:rsidRPr="00D439EE">
        <w:rPr>
          <w:rFonts w:asciiTheme="minorHAnsi" w:hAnsiTheme="minorHAnsi" w:cstheme="minorHAnsi"/>
          <w:sz w:val="24"/>
          <w:szCs w:val="24"/>
        </w:rPr>
        <w:t xml:space="preserve">malignant </w:t>
      </w:r>
      <w:r w:rsidR="008D401A" w:rsidRPr="00D439EE">
        <w:rPr>
          <w:rFonts w:asciiTheme="minorHAnsi" w:hAnsiTheme="minorHAnsi" w:cstheme="minorHAnsi"/>
          <w:sz w:val="24"/>
          <w:szCs w:val="24"/>
        </w:rPr>
        <w:t xml:space="preserve">melanoma, </w:t>
      </w:r>
      <w:r w:rsidR="00C4794B" w:rsidRPr="00D439EE">
        <w:rPr>
          <w:rFonts w:asciiTheme="minorHAnsi" w:hAnsiTheme="minorHAnsi" w:cstheme="minorHAnsi"/>
          <w:sz w:val="24"/>
          <w:szCs w:val="24"/>
        </w:rPr>
        <w:t>second line non-small cell lung cancer</w:t>
      </w:r>
      <w:r w:rsidR="008D401A" w:rsidRPr="00D439EE">
        <w:rPr>
          <w:rFonts w:asciiTheme="minorHAnsi" w:hAnsiTheme="minorHAnsi" w:cstheme="minorHAnsi"/>
          <w:sz w:val="24"/>
          <w:szCs w:val="24"/>
        </w:rPr>
        <w:t xml:space="preserve">, </w:t>
      </w:r>
      <w:r w:rsidR="00C4794B" w:rsidRPr="00D439EE">
        <w:rPr>
          <w:rFonts w:asciiTheme="minorHAnsi" w:hAnsiTheme="minorHAnsi" w:cstheme="minorHAnsi"/>
          <w:sz w:val="24"/>
          <w:szCs w:val="24"/>
        </w:rPr>
        <w:t>second line renal cell carcinoma</w:t>
      </w:r>
      <w:r w:rsidR="008D401A" w:rsidRPr="00D439EE">
        <w:rPr>
          <w:rFonts w:asciiTheme="minorHAnsi" w:hAnsiTheme="minorHAnsi" w:cstheme="minorHAnsi"/>
          <w:sz w:val="24"/>
          <w:szCs w:val="24"/>
        </w:rPr>
        <w:t xml:space="preserve">, </w:t>
      </w:r>
      <w:r w:rsidR="000D372A" w:rsidRPr="00D439EE">
        <w:rPr>
          <w:rFonts w:asciiTheme="minorHAnsi" w:hAnsiTheme="minorHAnsi" w:cstheme="minorHAnsi"/>
          <w:sz w:val="24"/>
          <w:szCs w:val="24"/>
        </w:rPr>
        <w:t>relapse/remitting squamous cell carcinoma of the head and neck,</w:t>
      </w:r>
      <w:r w:rsidR="008D401A" w:rsidRPr="00D439EE">
        <w:rPr>
          <w:rFonts w:asciiTheme="minorHAnsi" w:hAnsiTheme="minorHAnsi" w:cstheme="minorHAnsi"/>
          <w:sz w:val="24"/>
          <w:szCs w:val="24"/>
        </w:rPr>
        <w:t xml:space="preserve"> and </w:t>
      </w:r>
      <w:r w:rsidR="000D372A" w:rsidRPr="00D439EE">
        <w:rPr>
          <w:rFonts w:asciiTheme="minorHAnsi" w:hAnsiTheme="minorHAnsi" w:cstheme="minorHAnsi"/>
          <w:sz w:val="24"/>
          <w:szCs w:val="24"/>
        </w:rPr>
        <w:t>hepatocellular carcinoma</w:t>
      </w:r>
      <w:r w:rsidR="008D401A" w:rsidRPr="00D439EE">
        <w:rPr>
          <w:rFonts w:asciiTheme="minorHAnsi" w:hAnsiTheme="minorHAnsi" w:cstheme="minorHAnsi"/>
          <w:sz w:val="24"/>
          <w:szCs w:val="24"/>
        </w:rPr>
        <w:t xml:space="preserve">). </w:t>
      </w:r>
      <w:r w:rsidR="001A539F" w:rsidRPr="00D439EE">
        <w:rPr>
          <w:rFonts w:asciiTheme="minorHAnsi" w:hAnsiTheme="minorHAnsi" w:cstheme="minorHAnsi"/>
          <w:sz w:val="24"/>
          <w:szCs w:val="24"/>
        </w:rPr>
        <w:t>O</w:t>
      </w:r>
      <w:r w:rsidR="008D401A" w:rsidRPr="00D439EE">
        <w:rPr>
          <w:rFonts w:asciiTheme="minorHAnsi" w:hAnsiTheme="minorHAnsi" w:cstheme="minorHAnsi"/>
          <w:sz w:val="24"/>
          <w:szCs w:val="24"/>
        </w:rPr>
        <w:t xml:space="preserve">nly 18 out of 43 clinicians provided responses to the survey. </w:t>
      </w:r>
      <w:r w:rsidR="00C4572E" w:rsidRPr="00D439EE">
        <w:rPr>
          <w:rFonts w:asciiTheme="minorHAnsi" w:hAnsiTheme="minorHAnsi" w:cstheme="minorHAnsi"/>
          <w:sz w:val="24"/>
          <w:szCs w:val="24"/>
        </w:rPr>
        <w:t>The</w:t>
      </w:r>
      <w:r w:rsidR="006033FE" w:rsidRPr="00D439EE">
        <w:rPr>
          <w:rFonts w:asciiTheme="minorHAnsi" w:hAnsiTheme="minorHAnsi" w:cstheme="minorHAnsi"/>
          <w:sz w:val="24"/>
          <w:szCs w:val="24"/>
        </w:rPr>
        <w:t xml:space="preserve"> extent to which the </w:t>
      </w:r>
      <w:r w:rsidR="008D401A" w:rsidRPr="00D439EE">
        <w:rPr>
          <w:rFonts w:asciiTheme="minorHAnsi" w:hAnsiTheme="minorHAnsi" w:cstheme="minorHAnsi"/>
          <w:sz w:val="24"/>
          <w:szCs w:val="24"/>
        </w:rPr>
        <w:t>voluntary survey data</w:t>
      </w:r>
      <w:r w:rsidR="006033FE" w:rsidRPr="00D439EE">
        <w:rPr>
          <w:rFonts w:asciiTheme="minorHAnsi" w:hAnsiTheme="minorHAnsi" w:cstheme="minorHAnsi"/>
          <w:sz w:val="24"/>
          <w:szCs w:val="24"/>
        </w:rPr>
        <w:t xml:space="preserve"> is</w:t>
      </w:r>
      <w:r w:rsidR="008D401A" w:rsidRPr="00D439EE">
        <w:rPr>
          <w:rFonts w:asciiTheme="minorHAnsi" w:hAnsiTheme="minorHAnsi" w:cstheme="minorHAnsi"/>
          <w:sz w:val="24"/>
          <w:szCs w:val="24"/>
        </w:rPr>
        <w:t xml:space="preserve"> representative of </w:t>
      </w:r>
      <w:r w:rsidR="006033FE" w:rsidRPr="00D439EE">
        <w:rPr>
          <w:rFonts w:asciiTheme="minorHAnsi" w:hAnsiTheme="minorHAnsi" w:cstheme="minorHAnsi"/>
          <w:sz w:val="24"/>
          <w:szCs w:val="24"/>
        </w:rPr>
        <w:t xml:space="preserve">Australian </w:t>
      </w:r>
      <w:r w:rsidR="008D401A" w:rsidRPr="00D439EE">
        <w:rPr>
          <w:rFonts w:asciiTheme="minorHAnsi" w:hAnsiTheme="minorHAnsi" w:cstheme="minorHAnsi"/>
          <w:sz w:val="24"/>
          <w:szCs w:val="24"/>
        </w:rPr>
        <w:t>clinical practice</w:t>
      </w:r>
      <w:r w:rsidR="00C4572E" w:rsidRPr="00D439EE">
        <w:rPr>
          <w:rFonts w:asciiTheme="minorHAnsi" w:hAnsiTheme="minorHAnsi" w:cstheme="minorHAnsi"/>
          <w:sz w:val="24"/>
          <w:szCs w:val="24"/>
        </w:rPr>
        <w:t xml:space="preserve"> is uncertain</w:t>
      </w:r>
      <w:r w:rsidR="006033FE" w:rsidRPr="00D439EE">
        <w:rPr>
          <w:rFonts w:asciiTheme="minorHAnsi" w:hAnsiTheme="minorHAnsi" w:cstheme="minorHAnsi"/>
          <w:sz w:val="24"/>
          <w:szCs w:val="24"/>
        </w:rPr>
        <w:t>.</w:t>
      </w:r>
      <w:r w:rsidR="00F17D86" w:rsidRPr="00D439EE" w:rsidDel="00F17D86">
        <w:rPr>
          <w:rFonts w:asciiTheme="minorHAnsi" w:hAnsiTheme="minorHAnsi" w:cstheme="minorHAnsi"/>
          <w:sz w:val="24"/>
          <w:szCs w:val="24"/>
        </w:rPr>
        <w:t xml:space="preserve"> </w:t>
      </w:r>
    </w:p>
    <w:p w:rsidR="00CF1B22" w:rsidRPr="00D439EE" w:rsidRDefault="00DE73B8"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The minor submission presented a range of </w:t>
      </w:r>
      <w:r w:rsidR="0030238A" w:rsidRPr="00D439EE">
        <w:rPr>
          <w:rFonts w:asciiTheme="minorHAnsi" w:eastAsiaTheme="minorHAnsi" w:hAnsiTheme="minorHAnsi" w:cstheme="minorBidi"/>
          <w:snapToGrid/>
          <w:sz w:val="24"/>
          <w:szCs w:val="24"/>
        </w:rPr>
        <w:t xml:space="preserve">univariate </w:t>
      </w:r>
      <w:r w:rsidRPr="00D439EE">
        <w:rPr>
          <w:rFonts w:asciiTheme="minorHAnsi" w:eastAsiaTheme="minorHAnsi" w:hAnsiTheme="minorHAnsi" w:cstheme="minorBidi"/>
          <w:snapToGrid/>
          <w:sz w:val="24"/>
          <w:szCs w:val="24"/>
        </w:rPr>
        <w:t xml:space="preserve">sensitivity </w:t>
      </w:r>
      <w:r w:rsidR="00EE0D1D" w:rsidRPr="00D439EE">
        <w:rPr>
          <w:rFonts w:asciiTheme="minorHAnsi" w:eastAsiaTheme="minorHAnsi" w:hAnsiTheme="minorHAnsi" w:cstheme="minorBidi"/>
          <w:snapToGrid/>
          <w:sz w:val="24"/>
          <w:szCs w:val="24"/>
        </w:rPr>
        <w:t>analyses investigating the impact of using alternative data sources including PBS</w:t>
      </w:r>
      <w:r w:rsidR="00626E4C" w:rsidRPr="00D439EE">
        <w:rPr>
          <w:rFonts w:asciiTheme="minorHAnsi" w:eastAsiaTheme="minorHAnsi" w:hAnsiTheme="minorHAnsi" w:cstheme="minorBidi"/>
          <w:snapToGrid/>
          <w:sz w:val="24"/>
          <w:szCs w:val="24"/>
        </w:rPr>
        <w:t xml:space="preserve"> utilisation</w:t>
      </w:r>
      <w:r w:rsidR="00EE0D1D" w:rsidRPr="00D439EE">
        <w:rPr>
          <w:rFonts w:asciiTheme="minorHAnsi" w:eastAsiaTheme="minorHAnsi" w:hAnsiTheme="minorHAnsi" w:cstheme="minorBidi"/>
          <w:snapToGrid/>
          <w:sz w:val="24"/>
          <w:szCs w:val="24"/>
        </w:rPr>
        <w:t xml:space="preserve"> data for nivolumab in second line NSCLC, malignant melanoma and second line RCC </w:t>
      </w:r>
      <w:r w:rsidR="00626E4C" w:rsidRPr="00D439EE">
        <w:rPr>
          <w:rFonts w:asciiTheme="minorHAnsi" w:eastAsiaTheme="minorHAnsi" w:hAnsiTheme="minorHAnsi" w:cstheme="minorBidi"/>
          <w:snapToGrid/>
          <w:sz w:val="24"/>
          <w:szCs w:val="24"/>
        </w:rPr>
        <w:t xml:space="preserve">to inform the </w:t>
      </w:r>
      <w:r w:rsidR="004E59DC" w:rsidRPr="00D439EE">
        <w:rPr>
          <w:rFonts w:asciiTheme="minorHAnsi" w:eastAsiaTheme="minorHAnsi" w:hAnsiTheme="minorHAnsi" w:cstheme="minorBidi"/>
          <w:snapToGrid/>
          <w:sz w:val="24"/>
          <w:szCs w:val="24"/>
        </w:rPr>
        <w:t>mean dose per infusion as well as s</w:t>
      </w:r>
      <w:r w:rsidR="00626E4C" w:rsidRPr="00D439EE">
        <w:rPr>
          <w:rFonts w:asciiTheme="minorHAnsi" w:eastAsiaTheme="minorHAnsi" w:hAnsiTheme="minorHAnsi" w:cstheme="minorBidi"/>
          <w:snapToGrid/>
          <w:sz w:val="24"/>
          <w:szCs w:val="24"/>
        </w:rPr>
        <w:t>ensitivity analyses varying the assumed split of nivolumab dosing regimens</w:t>
      </w:r>
      <w:r w:rsidR="004E59DC" w:rsidRPr="00D439EE">
        <w:rPr>
          <w:rFonts w:asciiTheme="minorHAnsi" w:eastAsiaTheme="minorHAnsi" w:hAnsiTheme="minorHAnsi" w:cstheme="minorBidi"/>
          <w:snapToGrid/>
          <w:sz w:val="24"/>
          <w:szCs w:val="24"/>
        </w:rPr>
        <w:t>. The minor submission noted that using</w:t>
      </w:r>
      <w:r w:rsidR="008235F8" w:rsidRPr="00D439EE">
        <w:rPr>
          <w:rFonts w:asciiTheme="minorHAnsi" w:eastAsiaTheme="minorHAnsi" w:hAnsiTheme="minorHAnsi" w:cstheme="minorBidi"/>
          <w:snapToGrid/>
          <w:sz w:val="24"/>
          <w:szCs w:val="24"/>
        </w:rPr>
        <w:t xml:space="preserve"> an average dose per infusion estimated from</w:t>
      </w:r>
      <w:r w:rsidR="004E59DC" w:rsidRPr="00D439EE">
        <w:rPr>
          <w:rFonts w:asciiTheme="minorHAnsi" w:eastAsiaTheme="minorHAnsi" w:hAnsiTheme="minorHAnsi" w:cstheme="minorBidi"/>
          <w:snapToGrid/>
          <w:sz w:val="24"/>
          <w:szCs w:val="24"/>
        </w:rPr>
        <w:t xml:space="preserve"> the PBS utilisation data available at the time in </w:t>
      </w:r>
      <w:r w:rsidR="00383CB2" w:rsidRPr="00D439EE">
        <w:rPr>
          <w:rFonts w:asciiTheme="minorHAnsi" w:eastAsiaTheme="minorHAnsi" w:hAnsiTheme="minorHAnsi" w:cstheme="minorBidi"/>
          <w:snapToGrid/>
          <w:sz w:val="24"/>
          <w:szCs w:val="24"/>
        </w:rPr>
        <w:t>2L</w:t>
      </w:r>
      <w:r w:rsidR="004E59DC" w:rsidRPr="00D439EE">
        <w:rPr>
          <w:rFonts w:asciiTheme="minorHAnsi" w:eastAsiaTheme="minorHAnsi" w:hAnsiTheme="minorHAnsi" w:cstheme="minorBidi"/>
          <w:snapToGrid/>
          <w:sz w:val="24"/>
          <w:szCs w:val="24"/>
        </w:rPr>
        <w:t xml:space="preserve"> NSCLC, malignant melanoma and </w:t>
      </w:r>
      <w:r w:rsidR="00383CB2" w:rsidRPr="00D439EE">
        <w:rPr>
          <w:rFonts w:asciiTheme="minorHAnsi" w:eastAsiaTheme="minorHAnsi" w:hAnsiTheme="minorHAnsi" w:cstheme="minorBidi"/>
          <w:snapToGrid/>
          <w:sz w:val="24"/>
          <w:szCs w:val="24"/>
        </w:rPr>
        <w:t>2L</w:t>
      </w:r>
      <w:r w:rsidR="004E59DC" w:rsidRPr="00D439EE">
        <w:rPr>
          <w:rFonts w:asciiTheme="minorHAnsi" w:eastAsiaTheme="minorHAnsi" w:hAnsiTheme="minorHAnsi" w:cstheme="minorBidi"/>
          <w:snapToGrid/>
          <w:sz w:val="24"/>
          <w:szCs w:val="24"/>
        </w:rPr>
        <w:t xml:space="preserve"> RCC resulted in a cost increase </w:t>
      </w:r>
      <w:r w:rsidR="004E59DC" w:rsidRPr="001252E0">
        <w:rPr>
          <w:rFonts w:asciiTheme="minorHAnsi" w:eastAsiaTheme="minorHAnsi" w:hAnsiTheme="minorHAnsi" w:cstheme="minorBidi"/>
          <w:snapToGrid/>
          <w:sz w:val="24"/>
          <w:szCs w:val="24"/>
        </w:rPr>
        <w:t xml:space="preserve">of </w:t>
      </w:r>
      <w:r w:rsidR="00C20FEC">
        <w:rPr>
          <w:rFonts w:asciiTheme="minorHAnsi" w:eastAsiaTheme="minorHAnsi" w:hAnsiTheme="minorHAnsi" w:cstheme="minorBidi"/>
          <w:noProof/>
          <w:snapToGrid/>
          <w:color w:val="000000"/>
          <w:sz w:val="24"/>
          <w:szCs w:val="24"/>
          <w:highlight w:val="black"/>
        </w:rPr>
        <w:t>''''''</w:t>
      </w:r>
      <w:r w:rsidR="00AF7412" w:rsidRPr="001252E0">
        <w:rPr>
          <w:rFonts w:asciiTheme="minorHAnsi" w:eastAsiaTheme="minorHAnsi" w:hAnsiTheme="minorHAnsi" w:cstheme="minorBidi"/>
          <w:snapToGrid/>
          <w:sz w:val="24"/>
          <w:szCs w:val="24"/>
        </w:rPr>
        <w:t xml:space="preserve">% </w:t>
      </w:r>
      <w:r w:rsidR="004E59DC" w:rsidRPr="001252E0">
        <w:rPr>
          <w:rFonts w:asciiTheme="minorHAnsi" w:eastAsiaTheme="minorHAnsi" w:hAnsiTheme="minorHAnsi" w:cstheme="minorBidi"/>
          <w:snapToGrid/>
          <w:sz w:val="24"/>
          <w:szCs w:val="24"/>
        </w:rPr>
        <w:t>to the</w:t>
      </w:r>
      <w:r w:rsidR="004E59DC" w:rsidRPr="00D439EE">
        <w:rPr>
          <w:rFonts w:asciiTheme="minorHAnsi" w:eastAsiaTheme="minorHAnsi" w:hAnsiTheme="minorHAnsi" w:cstheme="minorBidi"/>
          <w:snapToGrid/>
          <w:sz w:val="24"/>
          <w:szCs w:val="24"/>
        </w:rPr>
        <w:t xml:space="preserve"> Government for a 4-week treatment period when compared with the current weight based dosing regimen. However, the minor submission argued that this data source was an inappropriate proxy to estimate the mean dose per infusion for all PBS listed nivolumab indications given less than 12 months of data was available for second line NSCLC and second line RCC indications at the time of submission. </w:t>
      </w:r>
      <w:r w:rsidR="00531497" w:rsidRPr="00D439EE">
        <w:rPr>
          <w:rFonts w:asciiTheme="minorHAnsi" w:eastAsiaTheme="minorHAnsi" w:hAnsiTheme="minorHAnsi" w:cstheme="minorBidi"/>
          <w:snapToGrid/>
          <w:sz w:val="24"/>
          <w:szCs w:val="24"/>
        </w:rPr>
        <w:t>Departmental analysis of the mean dose per infusion per patient for the currently listed nivolumab indications based on PBS utilisation data indicate that the mean dose per infusion</w:t>
      </w:r>
      <w:r w:rsidR="00101FA6" w:rsidRPr="00D439EE">
        <w:rPr>
          <w:rFonts w:asciiTheme="minorHAnsi" w:eastAsiaTheme="minorHAnsi" w:hAnsiTheme="minorHAnsi" w:cstheme="minorBidi"/>
          <w:snapToGrid/>
          <w:sz w:val="24"/>
          <w:szCs w:val="24"/>
        </w:rPr>
        <w:t xml:space="preserve"> for most indications is below 240 mg</w:t>
      </w:r>
      <w:r w:rsidR="00DA5DAC" w:rsidRPr="00D439EE">
        <w:rPr>
          <w:rFonts w:asciiTheme="minorHAnsi" w:eastAsiaTheme="minorHAnsi" w:hAnsiTheme="minorHAnsi" w:cstheme="minorBidi"/>
          <w:snapToGrid/>
          <w:sz w:val="24"/>
          <w:szCs w:val="24"/>
        </w:rPr>
        <w:t xml:space="preserve"> indicating there may be a higher cost per patient with the addition of </w:t>
      </w:r>
      <w:r w:rsidR="00932DBF" w:rsidRPr="00D439EE">
        <w:rPr>
          <w:rFonts w:asciiTheme="minorHAnsi" w:eastAsiaTheme="minorHAnsi" w:hAnsiTheme="minorHAnsi" w:cstheme="minorBidi"/>
          <w:snapToGrid/>
          <w:sz w:val="24"/>
          <w:szCs w:val="24"/>
        </w:rPr>
        <w:t xml:space="preserve">flat </w:t>
      </w:r>
      <w:r w:rsidR="00DA5DAC" w:rsidRPr="00D439EE">
        <w:rPr>
          <w:rFonts w:asciiTheme="minorHAnsi" w:eastAsiaTheme="minorHAnsi" w:hAnsiTheme="minorHAnsi" w:cstheme="minorBidi"/>
          <w:snapToGrid/>
          <w:sz w:val="24"/>
          <w:szCs w:val="24"/>
        </w:rPr>
        <w:t>dosing regimens</w:t>
      </w:r>
      <w:r w:rsidR="00101FA6" w:rsidRPr="00D439EE">
        <w:rPr>
          <w:rFonts w:asciiTheme="minorHAnsi" w:eastAsiaTheme="minorHAnsi" w:hAnsiTheme="minorHAnsi" w:cstheme="minorBidi"/>
          <w:snapToGrid/>
          <w:sz w:val="24"/>
          <w:szCs w:val="24"/>
        </w:rPr>
        <w:t xml:space="preserve"> (</w:t>
      </w:r>
      <w:r w:rsidR="00F11C2D" w:rsidRPr="00D439EE">
        <w:rPr>
          <w:rFonts w:asciiTheme="minorHAnsi" w:eastAsiaTheme="minorHAnsi" w:hAnsiTheme="minorHAnsi" w:cstheme="minorBidi"/>
          <w:snapToGrid/>
          <w:sz w:val="24"/>
          <w:szCs w:val="24"/>
        </w:rPr>
        <w:t xml:space="preserve">see </w:t>
      </w:r>
      <w:r w:rsidR="00101FA6" w:rsidRPr="00D439EE">
        <w:rPr>
          <w:rFonts w:asciiTheme="minorHAnsi" w:eastAsiaTheme="minorHAnsi" w:hAnsiTheme="minorHAnsi" w:cstheme="minorBidi"/>
          <w:snapToGrid/>
          <w:sz w:val="24"/>
          <w:szCs w:val="24"/>
        </w:rPr>
        <w:t>Table 4 and paragraph 4.8)</w:t>
      </w:r>
      <w:r w:rsidR="0030238A" w:rsidRPr="00D439EE">
        <w:rPr>
          <w:rFonts w:asciiTheme="minorHAnsi" w:eastAsiaTheme="minorHAnsi" w:hAnsiTheme="minorHAnsi" w:cstheme="minorBidi"/>
          <w:snapToGrid/>
          <w:sz w:val="24"/>
          <w:szCs w:val="24"/>
        </w:rPr>
        <w:t>.</w:t>
      </w:r>
      <w:r w:rsidR="002F56B1">
        <w:rPr>
          <w:rFonts w:asciiTheme="minorHAnsi" w:eastAsiaTheme="minorHAnsi" w:hAnsiTheme="minorHAnsi" w:cstheme="minorBidi"/>
          <w:snapToGrid/>
          <w:sz w:val="24"/>
          <w:szCs w:val="24"/>
        </w:rPr>
        <w:t xml:space="preserve"> </w:t>
      </w:r>
      <w:r w:rsidR="00E627EE">
        <w:rPr>
          <w:rFonts w:asciiTheme="minorHAnsi" w:eastAsiaTheme="minorHAnsi" w:hAnsiTheme="minorHAnsi" w:cstheme="minorBidi"/>
          <w:snapToGrid/>
          <w:sz w:val="24"/>
          <w:szCs w:val="24"/>
        </w:rPr>
        <w:t xml:space="preserve">The pre-PBAC response </w:t>
      </w:r>
      <w:r w:rsidR="005C3F87" w:rsidRPr="00D439EE">
        <w:rPr>
          <w:rFonts w:asciiTheme="minorHAnsi" w:eastAsiaTheme="minorHAnsi" w:hAnsiTheme="minorHAnsi" w:cstheme="minorBidi"/>
          <w:snapToGrid/>
          <w:sz w:val="24"/>
          <w:szCs w:val="24"/>
        </w:rPr>
        <w:t>argued that th</w:t>
      </w:r>
      <w:r w:rsidR="008707FC" w:rsidRPr="00D439EE">
        <w:rPr>
          <w:rFonts w:asciiTheme="minorHAnsi" w:eastAsiaTheme="minorHAnsi" w:hAnsiTheme="minorHAnsi" w:cstheme="minorBidi"/>
          <w:snapToGrid/>
          <w:sz w:val="24"/>
          <w:szCs w:val="24"/>
        </w:rPr>
        <w:t>is</w:t>
      </w:r>
      <w:r w:rsidR="005C3F87" w:rsidRPr="00D439EE">
        <w:rPr>
          <w:rFonts w:asciiTheme="minorHAnsi" w:eastAsiaTheme="minorHAnsi" w:hAnsiTheme="minorHAnsi" w:cstheme="minorBidi"/>
          <w:snapToGrid/>
          <w:sz w:val="24"/>
          <w:szCs w:val="24"/>
        </w:rPr>
        <w:t xml:space="preserve"> analysis is based on historical </w:t>
      </w:r>
      <w:r w:rsidR="00134AD3" w:rsidRPr="00D439EE">
        <w:rPr>
          <w:rFonts w:asciiTheme="minorHAnsi" w:eastAsiaTheme="minorHAnsi" w:hAnsiTheme="minorHAnsi" w:cstheme="minorBidi"/>
          <w:snapToGrid/>
          <w:sz w:val="24"/>
          <w:szCs w:val="24"/>
        </w:rPr>
        <w:t>nivolumab</w:t>
      </w:r>
      <w:r w:rsidR="005C3F87" w:rsidRPr="00D439EE">
        <w:rPr>
          <w:rFonts w:asciiTheme="minorHAnsi" w:eastAsiaTheme="minorHAnsi" w:hAnsiTheme="minorHAnsi" w:cstheme="minorBidi"/>
          <w:snapToGrid/>
          <w:sz w:val="24"/>
          <w:szCs w:val="24"/>
        </w:rPr>
        <w:t xml:space="preserve"> prescribing data that, due to the dynamic </w:t>
      </w:r>
      <w:proofErr w:type="gramStart"/>
      <w:r w:rsidR="005C3F87" w:rsidRPr="00D439EE">
        <w:rPr>
          <w:rFonts w:asciiTheme="minorHAnsi" w:eastAsiaTheme="minorHAnsi" w:hAnsiTheme="minorHAnsi" w:cstheme="minorBidi"/>
          <w:snapToGrid/>
          <w:sz w:val="24"/>
          <w:szCs w:val="24"/>
        </w:rPr>
        <w:t>PD(</w:t>
      </w:r>
      <w:proofErr w:type="gramEnd"/>
      <w:r w:rsidR="005C3F87" w:rsidRPr="00D439EE">
        <w:rPr>
          <w:rFonts w:asciiTheme="minorHAnsi" w:eastAsiaTheme="minorHAnsi" w:hAnsiTheme="minorHAnsi" w:cstheme="minorBidi"/>
          <w:snapToGrid/>
          <w:sz w:val="24"/>
          <w:szCs w:val="24"/>
        </w:rPr>
        <w:t xml:space="preserve">L)-1 reimbursement environment, does not reflect future utilisation of </w:t>
      </w:r>
      <w:r w:rsidR="00134AD3" w:rsidRPr="00D439EE">
        <w:rPr>
          <w:rFonts w:asciiTheme="minorHAnsi" w:eastAsiaTheme="minorHAnsi" w:hAnsiTheme="minorHAnsi" w:cstheme="minorBidi"/>
          <w:snapToGrid/>
          <w:sz w:val="24"/>
          <w:szCs w:val="24"/>
        </w:rPr>
        <w:t>nivolumab</w:t>
      </w:r>
      <w:r w:rsidR="005C3F87" w:rsidRPr="00D439EE">
        <w:rPr>
          <w:rFonts w:asciiTheme="minorHAnsi" w:eastAsiaTheme="minorHAnsi" w:hAnsiTheme="minorHAnsi" w:cstheme="minorBidi"/>
          <w:snapToGrid/>
          <w:sz w:val="24"/>
          <w:szCs w:val="24"/>
        </w:rPr>
        <w:t xml:space="preserve"> on the PBS</w:t>
      </w:r>
      <w:r w:rsidR="00D439EE">
        <w:rPr>
          <w:rFonts w:asciiTheme="minorHAnsi" w:eastAsiaTheme="minorHAnsi" w:hAnsiTheme="minorHAnsi" w:cstheme="minorBidi"/>
          <w:snapToGrid/>
          <w:sz w:val="24"/>
          <w:szCs w:val="24"/>
        </w:rPr>
        <w:t xml:space="preserve">. </w:t>
      </w:r>
      <w:r w:rsidR="003E563F" w:rsidRPr="00D439EE">
        <w:rPr>
          <w:rFonts w:asciiTheme="minorHAnsi" w:eastAsiaTheme="minorHAnsi" w:hAnsiTheme="minorHAnsi" w:cstheme="minorBidi"/>
          <w:snapToGrid/>
          <w:sz w:val="24"/>
          <w:szCs w:val="24"/>
        </w:rPr>
        <w:t xml:space="preserve">The pre-PBAC response </w:t>
      </w:r>
      <w:r w:rsidR="00CF1B22" w:rsidRPr="00D439EE">
        <w:rPr>
          <w:rFonts w:asciiTheme="minorHAnsi" w:eastAsiaTheme="minorHAnsi" w:hAnsiTheme="minorHAnsi" w:cstheme="minorBidi"/>
          <w:snapToGrid/>
          <w:sz w:val="24"/>
          <w:szCs w:val="24"/>
        </w:rPr>
        <w:t>presented a cost-comparison</w:t>
      </w:r>
      <w:r w:rsidR="00286C31" w:rsidRPr="00D439EE">
        <w:rPr>
          <w:rFonts w:asciiTheme="minorHAnsi" w:eastAsiaTheme="minorHAnsi" w:hAnsiTheme="minorHAnsi" w:cstheme="minorBidi"/>
          <w:snapToGrid/>
          <w:sz w:val="24"/>
          <w:szCs w:val="24"/>
        </w:rPr>
        <w:t xml:space="preserve"> of dosing regimens</w:t>
      </w:r>
      <w:r w:rsidR="00CF1B22" w:rsidRPr="00D439EE">
        <w:rPr>
          <w:rFonts w:asciiTheme="minorHAnsi" w:eastAsiaTheme="minorHAnsi" w:hAnsiTheme="minorHAnsi" w:cstheme="minorBidi"/>
          <w:snapToGrid/>
          <w:sz w:val="24"/>
          <w:szCs w:val="24"/>
        </w:rPr>
        <w:t xml:space="preserve"> across</w:t>
      </w:r>
      <w:r w:rsidR="00C40A09" w:rsidRPr="00D439EE">
        <w:rPr>
          <w:rFonts w:asciiTheme="minorHAnsi" w:eastAsiaTheme="minorHAnsi" w:hAnsiTheme="minorHAnsi" w:cstheme="minorBidi"/>
          <w:snapToGrid/>
          <w:sz w:val="24"/>
          <w:szCs w:val="24"/>
        </w:rPr>
        <w:t xml:space="preserve"> the indications for</w:t>
      </w:r>
      <w:r w:rsidR="00CF1B22" w:rsidRPr="00D439EE">
        <w:rPr>
          <w:rFonts w:asciiTheme="minorHAnsi" w:eastAsiaTheme="minorHAnsi" w:hAnsiTheme="minorHAnsi" w:cstheme="minorBidi"/>
          <w:snapToGrid/>
          <w:sz w:val="24"/>
          <w:szCs w:val="24"/>
        </w:rPr>
        <w:t xml:space="preserve"> </w:t>
      </w:r>
      <w:r w:rsidR="00C40A09" w:rsidRPr="00D439EE">
        <w:rPr>
          <w:rFonts w:asciiTheme="minorHAnsi" w:eastAsiaTheme="minorHAnsi" w:hAnsiTheme="minorHAnsi" w:cstheme="minorBidi"/>
          <w:snapToGrid/>
          <w:sz w:val="24"/>
          <w:szCs w:val="24"/>
        </w:rPr>
        <w:t>which nivolumab is currently listed</w:t>
      </w:r>
      <w:r w:rsidR="00CF1B22" w:rsidRPr="00D439EE">
        <w:rPr>
          <w:rFonts w:asciiTheme="minorHAnsi" w:eastAsiaTheme="minorHAnsi" w:hAnsiTheme="minorHAnsi" w:cstheme="minorBidi"/>
          <w:snapToGrid/>
          <w:sz w:val="24"/>
          <w:szCs w:val="24"/>
        </w:rPr>
        <w:t>,</w:t>
      </w:r>
      <w:r w:rsidR="008707FC" w:rsidRPr="00D439EE">
        <w:rPr>
          <w:rFonts w:asciiTheme="minorHAnsi" w:eastAsiaTheme="minorHAnsi" w:hAnsiTheme="minorHAnsi" w:cstheme="minorBidi"/>
          <w:snapToGrid/>
          <w:sz w:val="24"/>
          <w:szCs w:val="24"/>
        </w:rPr>
        <w:t xml:space="preserve"> based on the</w:t>
      </w:r>
      <w:r w:rsidR="00E01590" w:rsidRPr="00D439EE">
        <w:rPr>
          <w:rFonts w:asciiTheme="minorHAnsi" w:eastAsiaTheme="minorHAnsi" w:hAnsiTheme="minorHAnsi" w:cstheme="minorBidi"/>
          <w:snapToGrid/>
          <w:sz w:val="24"/>
          <w:szCs w:val="24"/>
        </w:rPr>
        <w:t xml:space="preserve"> </w:t>
      </w:r>
      <w:r w:rsidR="00286C31" w:rsidRPr="00D439EE">
        <w:rPr>
          <w:rFonts w:asciiTheme="minorHAnsi" w:eastAsiaTheme="minorHAnsi" w:hAnsiTheme="minorHAnsi" w:cstheme="minorBidi"/>
          <w:snapToGrid/>
          <w:sz w:val="24"/>
          <w:szCs w:val="24"/>
        </w:rPr>
        <w:t>mean</w:t>
      </w:r>
      <w:r w:rsidR="00CF1B22" w:rsidRPr="00D439EE">
        <w:rPr>
          <w:rFonts w:asciiTheme="minorHAnsi" w:eastAsiaTheme="minorHAnsi" w:hAnsiTheme="minorHAnsi" w:cstheme="minorBidi"/>
          <w:snapToGrid/>
          <w:sz w:val="24"/>
          <w:szCs w:val="24"/>
        </w:rPr>
        <w:t xml:space="preserve"> dose</w:t>
      </w:r>
      <w:r w:rsidR="00286C31" w:rsidRPr="00D439EE">
        <w:rPr>
          <w:rFonts w:asciiTheme="minorHAnsi" w:eastAsiaTheme="minorHAnsi" w:hAnsiTheme="minorHAnsi" w:cstheme="minorBidi"/>
          <w:snapToGrid/>
          <w:sz w:val="24"/>
          <w:szCs w:val="24"/>
        </w:rPr>
        <w:t>s</w:t>
      </w:r>
      <w:r w:rsidR="00CF1B22" w:rsidRPr="00D439EE">
        <w:rPr>
          <w:rFonts w:asciiTheme="minorHAnsi" w:eastAsiaTheme="minorHAnsi" w:hAnsiTheme="minorHAnsi" w:cstheme="minorBidi"/>
          <w:snapToGrid/>
          <w:sz w:val="24"/>
          <w:szCs w:val="24"/>
        </w:rPr>
        <w:t xml:space="preserve"> per infusion </w:t>
      </w:r>
      <w:r w:rsidR="00C40A09" w:rsidRPr="00D439EE">
        <w:rPr>
          <w:rFonts w:asciiTheme="minorHAnsi" w:eastAsiaTheme="minorHAnsi" w:hAnsiTheme="minorHAnsi" w:cstheme="minorBidi"/>
          <w:snapToGrid/>
          <w:sz w:val="24"/>
          <w:szCs w:val="24"/>
        </w:rPr>
        <w:t>that informed</w:t>
      </w:r>
      <w:r w:rsidR="00CF1B22" w:rsidRPr="00D439EE">
        <w:rPr>
          <w:rFonts w:asciiTheme="minorHAnsi" w:eastAsiaTheme="minorHAnsi" w:hAnsiTheme="minorHAnsi" w:cstheme="minorBidi"/>
          <w:snapToGrid/>
          <w:sz w:val="24"/>
          <w:szCs w:val="24"/>
        </w:rPr>
        <w:t xml:space="preserve"> the financial estimates </w:t>
      </w:r>
      <w:r w:rsidR="00E01590" w:rsidRPr="00D439EE">
        <w:rPr>
          <w:rFonts w:asciiTheme="minorHAnsi" w:eastAsiaTheme="minorHAnsi" w:hAnsiTheme="minorHAnsi" w:cstheme="minorBidi"/>
          <w:snapToGrid/>
          <w:sz w:val="24"/>
          <w:szCs w:val="24"/>
        </w:rPr>
        <w:t>of the listings</w:t>
      </w:r>
      <w:r w:rsidR="00CF1B22" w:rsidRPr="00D439EE">
        <w:rPr>
          <w:rFonts w:asciiTheme="minorHAnsi" w:eastAsiaTheme="minorHAnsi" w:hAnsiTheme="minorHAnsi" w:cstheme="minorBidi"/>
          <w:snapToGrid/>
          <w:sz w:val="24"/>
          <w:szCs w:val="24"/>
        </w:rPr>
        <w:t xml:space="preserve"> (Table 3).</w:t>
      </w:r>
    </w:p>
    <w:p w:rsidR="00033152" w:rsidRPr="00D439EE" w:rsidRDefault="00033152" w:rsidP="00313D08">
      <w:pPr>
        <w:keepNext/>
        <w:rPr>
          <w:rFonts w:ascii="Arial Narrow" w:eastAsiaTheme="minorHAnsi" w:hAnsi="Arial Narrow" w:cstheme="minorBidi"/>
          <w:b/>
          <w:sz w:val="20"/>
        </w:rPr>
      </w:pPr>
      <w:r w:rsidRPr="00D439EE">
        <w:rPr>
          <w:rFonts w:ascii="Arial Narrow" w:eastAsiaTheme="minorHAnsi" w:hAnsi="Arial Narrow" w:cstheme="minorBidi"/>
          <w:b/>
          <w:sz w:val="20"/>
        </w:rPr>
        <w:lastRenderedPageBreak/>
        <w:t xml:space="preserve">Table 3: </w:t>
      </w:r>
      <w:r w:rsidR="00286C31" w:rsidRPr="00D439EE">
        <w:rPr>
          <w:rFonts w:ascii="Arial Narrow" w:eastAsiaTheme="minorHAnsi" w:hAnsi="Arial Narrow" w:cstheme="minorBidi"/>
          <w:b/>
          <w:sz w:val="20"/>
        </w:rPr>
        <w:t>Cost comparison of</w:t>
      </w:r>
      <w:r w:rsidR="00946E2C" w:rsidRPr="00D439EE">
        <w:rPr>
          <w:rFonts w:ascii="Arial Narrow" w:eastAsiaTheme="minorHAnsi" w:hAnsi="Arial Narrow" w:cstheme="minorBidi"/>
          <w:b/>
          <w:sz w:val="20"/>
        </w:rPr>
        <w:t xml:space="preserve"> weight based and proposed flat</w:t>
      </w:r>
      <w:r w:rsidR="00286C31" w:rsidRPr="00D439EE">
        <w:rPr>
          <w:rFonts w:ascii="Arial Narrow" w:eastAsiaTheme="minorHAnsi" w:hAnsi="Arial Narrow" w:cstheme="minorBidi"/>
          <w:b/>
          <w:sz w:val="20"/>
        </w:rPr>
        <w:t xml:space="preserve"> dosing regimens across nivolumab listed indications  </w:t>
      </w:r>
    </w:p>
    <w:tbl>
      <w:tblPr>
        <w:tblStyle w:val="TableGrid"/>
        <w:tblW w:w="5000" w:type="pct"/>
        <w:tblLook w:val="04A0" w:firstRow="1" w:lastRow="0" w:firstColumn="1" w:lastColumn="0" w:noHBand="0" w:noVBand="1"/>
        <w:tblCaption w:val="Cost comparison of weight based and proposed flat dosing regimens across nivolumab listed indications"/>
      </w:tblPr>
      <w:tblGrid>
        <w:gridCol w:w="2600"/>
        <w:gridCol w:w="1791"/>
        <w:gridCol w:w="1535"/>
        <w:gridCol w:w="1545"/>
        <w:gridCol w:w="1545"/>
      </w:tblGrid>
      <w:tr w:rsidR="00C40A09" w:rsidRPr="00313D08" w:rsidTr="00DD129C">
        <w:trPr>
          <w:tblHeader/>
        </w:trPr>
        <w:tc>
          <w:tcPr>
            <w:tcW w:w="1442" w:type="pct"/>
            <w:vAlign w:val="center"/>
          </w:tcPr>
          <w:p w:rsidR="00C40A09" w:rsidRPr="00313D08" w:rsidRDefault="00C40A09" w:rsidP="00313D08">
            <w:pPr>
              <w:pStyle w:val="ListParagraph"/>
              <w:keepNext/>
              <w:widowControl/>
              <w:spacing w:after="120"/>
              <w:ind w:left="0"/>
              <w:contextualSpacing w:val="0"/>
              <w:jc w:val="left"/>
              <w:rPr>
                <w:rFonts w:ascii="Arial Narrow" w:eastAsiaTheme="minorHAnsi" w:hAnsi="Arial Narrow" w:cstheme="minorBidi"/>
                <w:b/>
                <w:snapToGrid/>
                <w:sz w:val="20"/>
                <w:szCs w:val="22"/>
              </w:rPr>
            </w:pPr>
            <w:r w:rsidRPr="00313D08">
              <w:rPr>
                <w:rFonts w:ascii="Arial Narrow" w:eastAsiaTheme="minorHAnsi" w:hAnsi="Arial Narrow" w:cstheme="minorBidi"/>
                <w:b/>
                <w:snapToGrid/>
                <w:sz w:val="20"/>
                <w:szCs w:val="22"/>
              </w:rPr>
              <w:t>Indication</w:t>
            </w:r>
          </w:p>
        </w:tc>
        <w:tc>
          <w:tcPr>
            <w:tcW w:w="993" w:type="pct"/>
            <w:vAlign w:val="center"/>
          </w:tcPr>
          <w:p w:rsidR="00C40A09" w:rsidRPr="00313D08" w:rsidRDefault="00C40A09" w:rsidP="00313D08">
            <w:pPr>
              <w:pStyle w:val="ListParagraph"/>
              <w:keepNext/>
              <w:widowControl/>
              <w:spacing w:after="120"/>
              <w:ind w:left="0"/>
              <w:contextualSpacing w:val="0"/>
              <w:jc w:val="center"/>
              <w:rPr>
                <w:rFonts w:ascii="Arial Narrow" w:eastAsiaTheme="minorHAnsi" w:hAnsi="Arial Narrow" w:cstheme="minorBidi"/>
                <w:b/>
                <w:snapToGrid/>
                <w:sz w:val="20"/>
                <w:szCs w:val="24"/>
              </w:rPr>
            </w:pPr>
            <w:r w:rsidRPr="00313D08">
              <w:rPr>
                <w:rFonts w:ascii="Arial Narrow" w:eastAsiaTheme="minorHAnsi" w:hAnsi="Arial Narrow" w:cstheme="minorBidi"/>
                <w:b/>
                <w:snapToGrid/>
                <w:sz w:val="20"/>
                <w:szCs w:val="22"/>
              </w:rPr>
              <w:t>Unresectable Stage III or Stage IV malignant melanoma</w:t>
            </w:r>
          </w:p>
        </w:tc>
        <w:tc>
          <w:tcPr>
            <w:tcW w:w="851" w:type="pct"/>
            <w:vAlign w:val="center"/>
          </w:tcPr>
          <w:p w:rsidR="00C40A09" w:rsidRPr="00313D08" w:rsidRDefault="00C40A09" w:rsidP="00313D08">
            <w:pPr>
              <w:pStyle w:val="ListParagraph"/>
              <w:keepNext/>
              <w:widowControl/>
              <w:spacing w:after="120"/>
              <w:ind w:left="0"/>
              <w:contextualSpacing w:val="0"/>
              <w:jc w:val="center"/>
              <w:rPr>
                <w:rFonts w:ascii="Arial Narrow" w:eastAsiaTheme="minorHAnsi" w:hAnsi="Arial Narrow" w:cstheme="minorBidi"/>
                <w:b/>
                <w:snapToGrid/>
                <w:sz w:val="20"/>
                <w:szCs w:val="24"/>
              </w:rPr>
            </w:pPr>
            <w:r w:rsidRPr="00313D08">
              <w:rPr>
                <w:rFonts w:ascii="Arial Narrow" w:eastAsiaTheme="minorHAnsi" w:hAnsi="Arial Narrow" w:cstheme="minorBidi"/>
                <w:b/>
                <w:snapToGrid/>
                <w:sz w:val="20"/>
                <w:szCs w:val="24"/>
              </w:rPr>
              <w:t>Locally advanced or metastatic non-small cell lung cancer</w:t>
            </w:r>
          </w:p>
        </w:tc>
        <w:tc>
          <w:tcPr>
            <w:tcW w:w="857" w:type="pct"/>
            <w:vAlign w:val="center"/>
          </w:tcPr>
          <w:p w:rsidR="00C40A09" w:rsidRPr="00313D08" w:rsidRDefault="00C40A09" w:rsidP="00313D08">
            <w:pPr>
              <w:pStyle w:val="ListParagraph"/>
              <w:keepNext/>
              <w:widowControl/>
              <w:spacing w:after="120"/>
              <w:ind w:left="0"/>
              <w:contextualSpacing w:val="0"/>
              <w:jc w:val="center"/>
              <w:rPr>
                <w:rFonts w:ascii="Arial Narrow" w:eastAsiaTheme="minorHAnsi" w:hAnsi="Arial Narrow" w:cstheme="minorBidi"/>
                <w:b/>
                <w:snapToGrid/>
                <w:sz w:val="20"/>
                <w:szCs w:val="24"/>
              </w:rPr>
            </w:pPr>
            <w:r w:rsidRPr="00313D08">
              <w:rPr>
                <w:rFonts w:ascii="Arial Narrow" w:eastAsiaTheme="minorHAnsi" w:hAnsi="Arial Narrow" w:cstheme="minorBidi"/>
                <w:b/>
                <w:snapToGrid/>
                <w:sz w:val="20"/>
                <w:szCs w:val="24"/>
              </w:rPr>
              <w:t>Stage IV clear cell variant renal cell carcinoma (following TKI treatment)</w:t>
            </w:r>
          </w:p>
        </w:tc>
        <w:tc>
          <w:tcPr>
            <w:tcW w:w="857" w:type="pct"/>
            <w:vAlign w:val="center"/>
          </w:tcPr>
          <w:p w:rsidR="00C40A09" w:rsidRPr="00313D08" w:rsidRDefault="00C40A09" w:rsidP="00313D08">
            <w:pPr>
              <w:pStyle w:val="ListParagraph"/>
              <w:keepNext/>
              <w:widowControl/>
              <w:spacing w:after="120"/>
              <w:ind w:left="0"/>
              <w:contextualSpacing w:val="0"/>
              <w:jc w:val="center"/>
              <w:rPr>
                <w:rFonts w:ascii="Arial Narrow" w:eastAsiaTheme="minorHAnsi" w:hAnsi="Arial Narrow" w:cstheme="minorBidi"/>
                <w:b/>
                <w:snapToGrid/>
                <w:sz w:val="20"/>
                <w:szCs w:val="24"/>
              </w:rPr>
            </w:pPr>
            <w:r w:rsidRPr="00313D08">
              <w:rPr>
                <w:rFonts w:ascii="Arial Narrow" w:eastAsiaTheme="minorHAnsi" w:hAnsi="Arial Narrow" w:cstheme="minorBidi"/>
                <w:b/>
                <w:snapToGrid/>
                <w:sz w:val="20"/>
                <w:szCs w:val="24"/>
              </w:rPr>
              <w:t>Recurrent or metastatic squamous cell carcinoma of the oral cavity, pharynx or larynx</w:t>
            </w:r>
          </w:p>
        </w:tc>
      </w:tr>
      <w:tr w:rsidR="00C40A09" w:rsidRPr="00D439EE" w:rsidTr="00DD129C">
        <w:trPr>
          <w:tblHeader/>
        </w:trPr>
        <w:tc>
          <w:tcPr>
            <w:tcW w:w="1442" w:type="pct"/>
            <w:vAlign w:val="center"/>
          </w:tcPr>
          <w:p w:rsidR="00C40A09" w:rsidRPr="00D439EE" w:rsidRDefault="00C40A09" w:rsidP="00313D08">
            <w:pPr>
              <w:pStyle w:val="ListParagraph"/>
              <w:keepNext/>
              <w:widowControl/>
              <w:spacing w:after="120"/>
              <w:ind w:left="0"/>
              <w:contextualSpacing w:val="0"/>
              <w:jc w:val="left"/>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Cost-effective mean dose/infusion (mg)</w:t>
            </w:r>
          </w:p>
        </w:tc>
        <w:tc>
          <w:tcPr>
            <w:tcW w:w="993" w:type="pct"/>
            <w:vAlign w:val="center"/>
          </w:tcPr>
          <w:p w:rsidR="00C40A09" w:rsidRPr="00C20FEC"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highlight w:val="black"/>
              </w:rPr>
            </w:pPr>
            <w:r>
              <w:rPr>
                <w:rFonts w:ascii="Arial Narrow" w:eastAsiaTheme="minorHAnsi" w:hAnsi="Arial Narrow" w:cstheme="minorBidi"/>
                <w:noProof/>
                <w:snapToGrid/>
                <w:color w:val="000000"/>
                <w:sz w:val="20"/>
                <w:szCs w:val="24"/>
                <w:highlight w:val="black"/>
              </w:rPr>
              <w:t>'''''''''''''</w:t>
            </w:r>
          </w:p>
        </w:tc>
        <w:tc>
          <w:tcPr>
            <w:tcW w:w="851" w:type="pct"/>
            <w:vAlign w:val="center"/>
          </w:tcPr>
          <w:p w:rsidR="00C40A09" w:rsidRPr="00C20FEC"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highlight w:val="black"/>
              </w:rPr>
            </w:pPr>
            <w:r>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C20FEC"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highlight w:val="black"/>
              </w:rPr>
            </w:pPr>
            <w:r>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C20FEC"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highlight w:val="black"/>
              </w:rPr>
            </w:pPr>
            <w:r>
              <w:rPr>
                <w:rFonts w:ascii="Arial Narrow" w:eastAsiaTheme="minorHAnsi" w:hAnsi="Arial Narrow" w:cstheme="minorBidi"/>
                <w:noProof/>
                <w:snapToGrid/>
                <w:color w:val="000000"/>
                <w:sz w:val="20"/>
                <w:szCs w:val="24"/>
                <w:highlight w:val="black"/>
              </w:rPr>
              <w:t>'''''''''</w:t>
            </w:r>
          </w:p>
        </w:tc>
      </w:tr>
      <w:tr w:rsidR="00C40A09" w:rsidRPr="00D439EE" w:rsidTr="00DD129C">
        <w:trPr>
          <w:tblHeader/>
        </w:trPr>
        <w:tc>
          <w:tcPr>
            <w:tcW w:w="1442" w:type="pct"/>
            <w:vAlign w:val="center"/>
          </w:tcPr>
          <w:p w:rsidR="00C40A09" w:rsidRPr="00D439EE" w:rsidRDefault="00C40A09" w:rsidP="00313D08">
            <w:pPr>
              <w:pStyle w:val="ListParagraph"/>
              <w:keepNext/>
              <w:widowControl/>
              <w:spacing w:after="120"/>
              <w:ind w:left="0"/>
              <w:contextualSpacing w:val="0"/>
              <w:jc w:val="left"/>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Drug cost/</w:t>
            </w:r>
            <w:proofErr w:type="spellStart"/>
            <w:r w:rsidRPr="00D439EE">
              <w:rPr>
                <w:rFonts w:ascii="Arial Narrow" w:eastAsiaTheme="minorHAnsi" w:hAnsi="Arial Narrow" w:cstheme="minorBidi"/>
                <w:snapToGrid/>
                <w:sz w:val="20"/>
                <w:szCs w:val="24"/>
              </w:rPr>
              <w:t>infusion</w:t>
            </w:r>
            <w:r w:rsidR="009B66F9" w:rsidRPr="00D439EE">
              <w:rPr>
                <w:rFonts w:ascii="Arial Narrow" w:eastAsiaTheme="minorHAnsi" w:hAnsi="Arial Narrow" w:cstheme="minorBidi"/>
                <w:snapToGrid/>
                <w:sz w:val="20"/>
                <w:szCs w:val="24"/>
                <w:vertAlign w:val="superscript"/>
              </w:rPr>
              <w:t>a</w:t>
            </w:r>
            <w:proofErr w:type="spellEnd"/>
          </w:p>
        </w:tc>
        <w:tc>
          <w:tcPr>
            <w:tcW w:w="993"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1"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r>
      <w:tr w:rsidR="00C40A09" w:rsidRPr="00D439EE" w:rsidTr="00DD129C">
        <w:trPr>
          <w:tblHeader/>
        </w:trPr>
        <w:tc>
          <w:tcPr>
            <w:tcW w:w="1442" w:type="pct"/>
            <w:vAlign w:val="center"/>
          </w:tcPr>
          <w:p w:rsidR="00C40A09" w:rsidRPr="00D439EE" w:rsidRDefault="00C40A09" w:rsidP="00313D08">
            <w:pPr>
              <w:pStyle w:val="ListParagraph"/>
              <w:keepNext/>
              <w:widowControl/>
              <w:spacing w:after="120"/>
              <w:ind w:left="0"/>
              <w:contextualSpacing w:val="0"/>
              <w:jc w:val="left"/>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 xml:space="preserve">Administration/infusion </w:t>
            </w:r>
            <w:proofErr w:type="spellStart"/>
            <w:r w:rsidRPr="00D439EE">
              <w:rPr>
                <w:rFonts w:ascii="Arial Narrow" w:eastAsiaTheme="minorHAnsi" w:hAnsi="Arial Narrow" w:cstheme="minorBidi"/>
                <w:snapToGrid/>
                <w:sz w:val="20"/>
                <w:szCs w:val="24"/>
              </w:rPr>
              <w:t>costs</w:t>
            </w:r>
            <w:r w:rsidR="009B66F9" w:rsidRPr="00D439EE">
              <w:rPr>
                <w:rFonts w:ascii="Arial Narrow" w:eastAsiaTheme="minorHAnsi" w:hAnsi="Arial Narrow" w:cstheme="minorBidi"/>
                <w:snapToGrid/>
                <w:sz w:val="20"/>
                <w:szCs w:val="24"/>
                <w:vertAlign w:val="superscript"/>
              </w:rPr>
              <w:t>b</w:t>
            </w:r>
            <w:proofErr w:type="spellEnd"/>
          </w:p>
        </w:tc>
        <w:tc>
          <w:tcPr>
            <w:tcW w:w="993"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1"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r>
      <w:tr w:rsidR="00C40A09" w:rsidRPr="00D439EE" w:rsidTr="00DD129C">
        <w:trPr>
          <w:tblHeader/>
        </w:trPr>
        <w:tc>
          <w:tcPr>
            <w:tcW w:w="1442" w:type="pct"/>
            <w:vAlign w:val="center"/>
          </w:tcPr>
          <w:p w:rsidR="00C40A09" w:rsidRPr="00D439EE" w:rsidRDefault="00C40A09" w:rsidP="00313D08">
            <w:pPr>
              <w:pStyle w:val="ListParagraph"/>
              <w:keepNext/>
              <w:widowControl/>
              <w:spacing w:after="120"/>
              <w:ind w:left="0"/>
              <w:contextualSpacing w:val="0"/>
              <w:jc w:val="left"/>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Total drug and administration costs</w:t>
            </w:r>
          </w:p>
        </w:tc>
        <w:tc>
          <w:tcPr>
            <w:tcW w:w="993"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1" w:type="pct"/>
            <w:vAlign w:val="center"/>
          </w:tcPr>
          <w:p w:rsidR="00C40A09" w:rsidRPr="00D439EE" w:rsidRDefault="00C40A09"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D439EE" w:rsidRDefault="000D24BA"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c>
          <w:tcPr>
            <w:tcW w:w="857" w:type="pct"/>
            <w:vAlign w:val="center"/>
          </w:tcPr>
          <w:p w:rsidR="00C40A09" w:rsidRPr="00D439EE" w:rsidRDefault="000D24BA"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w:t>
            </w:r>
            <w:r w:rsidR="00C20FEC">
              <w:rPr>
                <w:rFonts w:ascii="Arial Narrow" w:eastAsiaTheme="minorHAnsi" w:hAnsi="Arial Narrow" w:cstheme="minorBidi"/>
                <w:noProof/>
                <w:snapToGrid/>
                <w:color w:val="000000"/>
                <w:sz w:val="20"/>
                <w:szCs w:val="24"/>
                <w:highlight w:val="black"/>
              </w:rPr>
              <w:t>'''''''''''''''''''''</w:t>
            </w:r>
          </w:p>
        </w:tc>
      </w:tr>
      <w:tr w:rsidR="00C40A09" w:rsidRPr="00D439EE" w:rsidTr="00DD129C">
        <w:trPr>
          <w:tblHeader/>
        </w:trPr>
        <w:tc>
          <w:tcPr>
            <w:tcW w:w="1442" w:type="pct"/>
            <w:vAlign w:val="center"/>
          </w:tcPr>
          <w:p w:rsidR="00C40A09" w:rsidRPr="00D439EE" w:rsidRDefault="000D24BA" w:rsidP="00313D08">
            <w:pPr>
              <w:pStyle w:val="ListParagraph"/>
              <w:keepNext/>
              <w:widowControl/>
              <w:spacing w:after="120"/>
              <w:ind w:left="0"/>
              <w:contextualSpacing w:val="0"/>
              <w:jc w:val="left"/>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Difference to 240 mg Q2W drug and administration costs</w:t>
            </w:r>
          </w:p>
        </w:tc>
        <w:tc>
          <w:tcPr>
            <w:tcW w:w="993" w:type="pct"/>
            <w:vAlign w:val="center"/>
          </w:tcPr>
          <w:p w:rsidR="00C40A09" w:rsidRPr="00D439EE"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0D24BA" w:rsidRPr="00D439EE">
              <w:rPr>
                <w:rFonts w:ascii="Arial Narrow" w:eastAsiaTheme="minorHAnsi" w:hAnsi="Arial Narrow" w:cstheme="minorBidi"/>
                <w:snapToGrid/>
                <w:sz w:val="20"/>
                <w:szCs w:val="24"/>
              </w:rPr>
              <w:t>%</w:t>
            </w:r>
          </w:p>
        </w:tc>
        <w:tc>
          <w:tcPr>
            <w:tcW w:w="851" w:type="pct"/>
            <w:vAlign w:val="center"/>
          </w:tcPr>
          <w:p w:rsidR="00C40A09" w:rsidRPr="00D439EE"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0D24BA" w:rsidRPr="00D439EE">
              <w:rPr>
                <w:rFonts w:ascii="Arial Narrow" w:eastAsiaTheme="minorHAnsi" w:hAnsi="Arial Narrow" w:cstheme="minorBidi"/>
                <w:snapToGrid/>
                <w:sz w:val="20"/>
                <w:szCs w:val="24"/>
              </w:rPr>
              <w:t>%</w:t>
            </w:r>
          </w:p>
        </w:tc>
        <w:tc>
          <w:tcPr>
            <w:tcW w:w="857" w:type="pct"/>
            <w:vAlign w:val="center"/>
          </w:tcPr>
          <w:p w:rsidR="00C40A09" w:rsidRPr="00D439EE"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0D24BA" w:rsidRPr="00D439EE">
              <w:rPr>
                <w:rFonts w:ascii="Arial Narrow" w:eastAsiaTheme="minorHAnsi" w:hAnsi="Arial Narrow" w:cstheme="minorBidi"/>
                <w:snapToGrid/>
                <w:sz w:val="20"/>
                <w:szCs w:val="24"/>
              </w:rPr>
              <w:t>%</w:t>
            </w:r>
          </w:p>
        </w:tc>
        <w:tc>
          <w:tcPr>
            <w:tcW w:w="857" w:type="pct"/>
            <w:vAlign w:val="center"/>
          </w:tcPr>
          <w:p w:rsidR="00C40A09" w:rsidRPr="00D439EE" w:rsidRDefault="00C20FEC" w:rsidP="00313D08">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0D24BA" w:rsidRPr="00D439EE">
              <w:rPr>
                <w:rFonts w:ascii="Arial Narrow" w:eastAsiaTheme="minorHAnsi" w:hAnsi="Arial Narrow" w:cstheme="minorBidi"/>
                <w:snapToGrid/>
                <w:sz w:val="20"/>
                <w:szCs w:val="24"/>
              </w:rPr>
              <w:t>%</w:t>
            </w:r>
          </w:p>
        </w:tc>
      </w:tr>
      <w:tr w:rsidR="00D01799" w:rsidRPr="00D439EE" w:rsidTr="00DD129C">
        <w:trPr>
          <w:tblHeader/>
        </w:trPr>
        <w:tc>
          <w:tcPr>
            <w:tcW w:w="1442" w:type="pct"/>
            <w:vAlign w:val="center"/>
          </w:tcPr>
          <w:p w:rsidR="00D01799" w:rsidRPr="00D439EE" w:rsidRDefault="00D01799" w:rsidP="00D01799">
            <w:pPr>
              <w:pStyle w:val="ListParagraph"/>
              <w:keepNext/>
              <w:widowControl/>
              <w:spacing w:after="120"/>
              <w:ind w:left="0"/>
              <w:contextualSpacing w:val="0"/>
              <w:jc w:val="left"/>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4"/>
              </w:rPr>
              <w:t>Difference to 480 mg Q4W drug and administration costs</w:t>
            </w:r>
          </w:p>
        </w:tc>
        <w:tc>
          <w:tcPr>
            <w:tcW w:w="993" w:type="pct"/>
            <w:vAlign w:val="center"/>
          </w:tcPr>
          <w:p w:rsidR="00D01799" w:rsidRPr="001252E0" w:rsidRDefault="00C20FEC" w:rsidP="00D01799">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D01799" w:rsidRPr="001252E0">
              <w:rPr>
                <w:rFonts w:ascii="Arial Narrow" w:eastAsiaTheme="minorHAnsi" w:hAnsi="Arial Narrow" w:cstheme="minorBidi"/>
                <w:snapToGrid/>
                <w:sz w:val="20"/>
                <w:szCs w:val="24"/>
              </w:rPr>
              <w:t>%</w:t>
            </w:r>
          </w:p>
        </w:tc>
        <w:tc>
          <w:tcPr>
            <w:tcW w:w="851" w:type="pct"/>
            <w:vAlign w:val="center"/>
          </w:tcPr>
          <w:p w:rsidR="00D01799" w:rsidRPr="001252E0" w:rsidRDefault="00C20FEC" w:rsidP="00D01799">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D01799" w:rsidRPr="001252E0">
              <w:rPr>
                <w:rFonts w:ascii="Arial Narrow" w:eastAsiaTheme="minorHAnsi" w:hAnsi="Arial Narrow" w:cstheme="minorBidi"/>
                <w:snapToGrid/>
                <w:sz w:val="20"/>
                <w:szCs w:val="24"/>
              </w:rPr>
              <w:t>%</w:t>
            </w:r>
          </w:p>
        </w:tc>
        <w:tc>
          <w:tcPr>
            <w:tcW w:w="857" w:type="pct"/>
            <w:vAlign w:val="center"/>
          </w:tcPr>
          <w:p w:rsidR="00D01799" w:rsidRPr="001252E0" w:rsidRDefault="00C20FEC" w:rsidP="00D01799">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D01799" w:rsidRPr="001252E0">
              <w:rPr>
                <w:rFonts w:ascii="Arial Narrow" w:eastAsiaTheme="minorHAnsi" w:hAnsi="Arial Narrow" w:cstheme="minorBidi"/>
                <w:snapToGrid/>
                <w:sz w:val="20"/>
                <w:szCs w:val="24"/>
              </w:rPr>
              <w:t>%</w:t>
            </w:r>
          </w:p>
        </w:tc>
        <w:tc>
          <w:tcPr>
            <w:tcW w:w="857" w:type="pct"/>
            <w:vAlign w:val="center"/>
          </w:tcPr>
          <w:p w:rsidR="00D01799" w:rsidRPr="001252E0" w:rsidRDefault="00C20FEC" w:rsidP="00D01799">
            <w:pPr>
              <w:pStyle w:val="ListParagraph"/>
              <w:keepNext/>
              <w:widowControl/>
              <w:spacing w:after="120"/>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D01799" w:rsidRPr="001252E0">
              <w:rPr>
                <w:rFonts w:ascii="Arial Narrow" w:eastAsiaTheme="minorHAnsi" w:hAnsi="Arial Narrow" w:cstheme="minorBidi"/>
                <w:snapToGrid/>
                <w:sz w:val="20"/>
                <w:szCs w:val="24"/>
              </w:rPr>
              <w:t>%</w:t>
            </w:r>
          </w:p>
        </w:tc>
      </w:tr>
    </w:tbl>
    <w:p w:rsidR="009B66F9" w:rsidRPr="00D439EE" w:rsidRDefault="009B66F9" w:rsidP="00313D08">
      <w:pPr>
        <w:keepNext/>
        <w:rPr>
          <w:rFonts w:ascii="Arial Narrow" w:eastAsiaTheme="minorHAnsi" w:hAnsi="Arial Narrow" w:cstheme="minorBidi"/>
          <w:sz w:val="18"/>
        </w:rPr>
      </w:pPr>
      <w:r w:rsidRPr="00D439EE">
        <w:rPr>
          <w:rFonts w:ascii="Arial Narrow" w:eastAsiaTheme="minorHAnsi" w:hAnsi="Arial Narrow" w:cstheme="minorBidi"/>
          <w:sz w:val="18"/>
        </w:rPr>
        <w:t xml:space="preserve">Source: Table 2, p2 of the pre-PBAC Response </w:t>
      </w:r>
    </w:p>
    <w:p w:rsidR="005C3F87" w:rsidRPr="00936063" w:rsidRDefault="009B66F9" w:rsidP="00936063">
      <w:pPr>
        <w:keepNext/>
        <w:rPr>
          <w:rFonts w:ascii="Arial Narrow" w:eastAsiaTheme="minorHAnsi" w:hAnsi="Arial Narrow" w:cstheme="minorBidi"/>
          <w:sz w:val="18"/>
        </w:rPr>
      </w:pPr>
      <w:proofErr w:type="gramStart"/>
      <w:r w:rsidRPr="00D439EE">
        <w:rPr>
          <w:rFonts w:ascii="Arial Narrow" w:eastAsiaTheme="minorHAnsi" w:hAnsi="Arial Narrow" w:cstheme="minorBidi"/>
          <w:sz w:val="18"/>
          <w:vertAlign w:val="superscript"/>
        </w:rPr>
        <w:t>a</w:t>
      </w:r>
      <w:proofErr w:type="gramEnd"/>
      <w:r w:rsidRPr="00D439EE">
        <w:rPr>
          <w:rFonts w:ascii="Arial Narrow" w:eastAsiaTheme="minorHAnsi" w:hAnsi="Arial Narrow" w:cstheme="minorBidi"/>
          <w:sz w:val="18"/>
        </w:rPr>
        <w:t xml:space="preserve"> Cost over 4 weeks; </w:t>
      </w:r>
      <w:r w:rsidRPr="00D439EE">
        <w:rPr>
          <w:rFonts w:ascii="Arial Narrow" w:eastAsiaTheme="minorHAnsi" w:hAnsi="Arial Narrow" w:cstheme="minorBidi"/>
          <w:sz w:val="18"/>
          <w:vertAlign w:val="superscript"/>
        </w:rPr>
        <w:t>b</w:t>
      </w:r>
      <w:r w:rsidR="002F56B1">
        <w:rPr>
          <w:rFonts w:ascii="Arial Narrow" w:eastAsiaTheme="minorHAnsi" w:hAnsi="Arial Narrow" w:cstheme="minorBidi"/>
          <w:sz w:val="18"/>
          <w:vertAlign w:val="superscript"/>
        </w:rPr>
        <w:t xml:space="preserve"> </w:t>
      </w:r>
      <w:r w:rsidRPr="00D439EE">
        <w:rPr>
          <w:rFonts w:ascii="Arial Narrow" w:eastAsiaTheme="minorHAnsi" w:hAnsi="Arial Narrow" w:cstheme="minorBidi"/>
          <w:sz w:val="18"/>
        </w:rPr>
        <w:t>Administration/infusion costs based on MBS item 13915</w:t>
      </w:r>
      <w:r w:rsidR="002F56B1">
        <w:rPr>
          <w:rFonts w:ascii="Arial Narrow" w:eastAsiaTheme="minorHAnsi" w:hAnsi="Arial Narrow" w:cstheme="minorBidi"/>
          <w:sz w:val="18"/>
        </w:rPr>
        <w:t>.</w:t>
      </w:r>
    </w:p>
    <w:p w:rsidR="00946E2C" w:rsidRPr="00D439EE" w:rsidRDefault="00946E2C"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The pre-PBAC Response </w:t>
      </w:r>
      <w:r w:rsidR="00541FB2" w:rsidRPr="00D439EE">
        <w:rPr>
          <w:rFonts w:asciiTheme="minorHAnsi" w:eastAsiaTheme="minorHAnsi" w:hAnsiTheme="minorHAnsi" w:cstheme="minorBidi"/>
          <w:snapToGrid/>
          <w:sz w:val="24"/>
          <w:szCs w:val="24"/>
        </w:rPr>
        <w:t xml:space="preserve">noted that the mean dose per </w:t>
      </w:r>
      <w:r w:rsidR="001822D8" w:rsidRPr="00D439EE">
        <w:rPr>
          <w:rFonts w:asciiTheme="minorHAnsi" w:eastAsiaTheme="minorHAnsi" w:hAnsiTheme="minorHAnsi" w:cstheme="minorBidi"/>
          <w:snapToGrid/>
          <w:sz w:val="24"/>
          <w:szCs w:val="24"/>
        </w:rPr>
        <w:t>infusion that informed the agreed financial estimates for the listing for R/M SCCHN</w:t>
      </w:r>
      <w:r w:rsidR="00541FB2" w:rsidRPr="00D439EE">
        <w:rPr>
          <w:rFonts w:asciiTheme="minorHAnsi" w:eastAsiaTheme="minorHAnsi" w:hAnsiTheme="minorHAnsi" w:cstheme="minorBidi"/>
          <w:snapToGrid/>
          <w:sz w:val="24"/>
          <w:szCs w:val="24"/>
        </w:rPr>
        <w:t xml:space="preserve"> was below 240 mg and therefore, there may be a higher cost for patients on flat dosing regiments. The pre-PBAC Response stated that the Sponsor is willing to work with the PBAC and Department to adjust the effective from for the R/M SCCHN indication via the current Deed of Agreement. </w:t>
      </w:r>
    </w:p>
    <w:p w:rsidR="0030238A" w:rsidRPr="00D439EE" w:rsidRDefault="0030238A"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The submission provided sensitivity analyses for increased </w:t>
      </w:r>
      <w:r w:rsidR="00E0491C" w:rsidRPr="00D439EE">
        <w:rPr>
          <w:rFonts w:asciiTheme="minorHAnsi" w:eastAsiaTheme="minorHAnsi" w:hAnsiTheme="minorHAnsi" w:cstheme="minorBidi"/>
          <w:snapToGrid/>
          <w:sz w:val="24"/>
          <w:szCs w:val="24"/>
        </w:rPr>
        <w:t xml:space="preserve">3 mg/kg </w:t>
      </w:r>
      <w:r w:rsidRPr="00D439EE">
        <w:rPr>
          <w:rFonts w:asciiTheme="minorHAnsi" w:eastAsiaTheme="minorHAnsi" w:hAnsiTheme="minorHAnsi" w:cstheme="minorBidi"/>
          <w:snapToGrid/>
          <w:sz w:val="24"/>
          <w:szCs w:val="24"/>
        </w:rPr>
        <w:t>Q2W</w:t>
      </w:r>
      <w:r w:rsidR="00E0491C" w:rsidRPr="00D439EE">
        <w:rPr>
          <w:rFonts w:asciiTheme="minorHAnsi" w:eastAsiaTheme="minorHAnsi" w:hAnsiTheme="minorHAnsi" w:cstheme="minorBidi"/>
          <w:snapToGrid/>
          <w:sz w:val="24"/>
          <w:szCs w:val="24"/>
        </w:rPr>
        <w:t xml:space="preserve"> weight based dosing</w:t>
      </w:r>
      <w:r w:rsidRPr="00D439EE">
        <w:rPr>
          <w:rFonts w:asciiTheme="minorHAnsi" w:eastAsiaTheme="minorHAnsi" w:hAnsiTheme="minorHAnsi" w:cstheme="minorBidi"/>
          <w:snapToGrid/>
          <w:sz w:val="24"/>
          <w:szCs w:val="24"/>
        </w:rPr>
        <w:t xml:space="preserve"> utilisation</w:t>
      </w:r>
      <w:r w:rsidR="00E0491C" w:rsidRPr="00D439EE">
        <w:rPr>
          <w:rFonts w:asciiTheme="minorHAnsi" w:eastAsiaTheme="minorHAnsi" w:hAnsiTheme="minorHAnsi" w:cstheme="minorBidi"/>
          <w:snapToGrid/>
          <w:sz w:val="24"/>
          <w:szCs w:val="24"/>
        </w:rPr>
        <w:t xml:space="preserve">, and for increased 480 mg Q4W flat dosing, but not for increased 240 mg Q2W flat dosing. </w:t>
      </w:r>
    </w:p>
    <w:p w:rsidR="00E33C9C" w:rsidRPr="00D439EE" w:rsidRDefault="005A3173" w:rsidP="00936063">
      <w:pPr>
        <w:pStyle w:val="Heading2"/>
        <w:spacing w:before="120"/>
        <w:rPr>
          <w:lang w:eastAsia="en-US"/>
        </w:rPr>
      </w:pPr>
      <w:r w:rsidRPr="00D439EE">
        <w:rPr>
          <w:lang w:eastAsia="en-US"/>
        </w:rPr>
        <w:t>Estimated PBS usage &amp; financial implications</w:t>
      </w:r>
    </w:p>
    <w:p w:rsidR="00E20439" w:rsidRPr="00D439EE" w:rsidRDefault="00E20439"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439EE">
        <w:rPr>
          <w:rFonts w:asciiTheme="minorHAnsi" w:eastAsiaTheme="minorHAnsi" w:hAnsiTheme="minorHAnsi" w:cstheme="minorBidi"/>
          <w:snapToGrid/>
          <w:sz w:val="24"/>
          <w:szCs w:val="22"/>
        </w:rPr>
        <w:t>The estimated financial implications to the PBS/RPBS of</w:t>
      </w:r>
      <w:r w:rsidR="00927744" w:rsidRPr="00D439EE">
        <w:rPr>
          <w:rFonts w:asciiTheme="minorHAnsi" w:eastAsiaTheme="minorHAnsi" w:hAnsiTheme="minorHAnsi" w:cstheme="minorBidi"/>
          <w:snapToGrid/>
          <w:sz w:val="24"/>
          <w:szCs w:val="22"/>
        </w:rPr>
        <w:t xml:space="preserve"> the addition of the 240 mg Q2W and 480 mg Q4W nivolumab dosing regimens are presented in Table </w:t>
      </w:r>
      <w:r w:rsidR="000B2939" w:rsidRPr="00D439EE">
        <w:rPr>
          <w:rFonts w:asciiTheme="minorHAnsi" w:eastAsiaTheme="minorHAnsi" w:hAnsiTheme="minorHAnsi" w:cstheme="minorBidi"/>
          <w:snapToGrid/>
          <w:sz w:val="24"/>
          <w:szCs w:val="22"/>
        </w:rPr>
        <w:t>4</w:t>
      </w:r>
      <w:r w:rsidR="00927744" w:rsidRPr="00D439EE">
        <w:rPr>
          <w:rFonts w:asciiTheme="minorHAnsi" w:eastAsiaTheme="minorHAnsi" w:hAnsiTheme="minorHAnsi" w:cstheme="minorBidi"/>
          <w:snapToGrid/>
          <w:sz w:val="24"/>
          <w:szCs w:val="22"/>
        </w:rPr>
        <w:t xml:space="preserve"> below</w:t>
      </w:r>
      <w:r w:rsidR="00F06DC9" w:rsidRPr="00D439EE">
        <w:rPr>
          <w:rFonts w:asciiTheme="minorHAnsi" w:eastAsiaTheme="minorHAnsi" w:hAnsiTheme="minorHAnsi" w:cstheme="minorBidi"/>
          <w:snapToGrid/>
          <w:sz w:val="24"/>
          <w:szCs w:val="22"/>
        </w:rPr>
        <w:t xml:space="preserve">. </w:t>
      </w:r>
    </w:p>
    <w:p w:rsidR="005875AD" w:rsidRPr="00D439EE" w:rsidRDefault="005875AD"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439EE">
        <w:rPr>
          <w:rFonts w:asciiTheme="minorHAnsi" w:eastAsiaTheme="minorHAnsi" w:hAnsiTheme="minorHAnsi" w:cstheme="minorBidi"/>
          <w:snapToGrid/>
          <w:sz w:val="24"/>
          <w:szCs w:val="22"/>
        </w:rPr>
        <w:t xml:space="preserve">As this was a minor submission, these estimates have not been independently evaluated. </w:t>
      </w:r>
    </w:p>
    <w:p w:rsidR="0044457E" w:rsidRPr="00D439EE" w:rsidRDefault="0044457E" w:rsidP="00936063">
      <w:pPr>
        <w:spacing w:before="120" w:after="120"/>
        <w:rPr>
          <w:rFonts w:ascii="Arial Narrow" w:hAnsi="Arial Narrow" w:cstheme="minorHAnsi"/>
          <w:b/>
          <w:snapToGrid w:val="0"/>
          <w:sz w:val="20"/>
          <w:lang w:eastAsia="en-US"/>
        </w:rPr>
      </w:pPr>
    </w:p>
    <w:p w:rsidR="00EE5E2B" w:rsidRPr="002F56B1" w:rsidRDefault="00F41787" w:rsidP="00313D08">
      <w:pPr>
        <w:keepNext/>
        <w:rPr>
          <w:rFonts w:ascii="Arial Narrow" w:hAnsi="Arial Narrow"/>
          <w:b/>
          <w:sz w:val="20"/>
          <w:szCs w:val="20"/>
        </w:rPr>
      </w:pPr>
      <w:r w:rsidRPr="002F56B1">
        <w:rPr>
          <w:rFonts w:ascii="Arial Narrow" w:hAnsi="Arial Narrow"/>
          <w:b/>
          <w:sz w:val="20"/>
          <w:szCs w:val="20"/>
        </w:rPr>
        <w:lastRenderedPageBreak/>
        <w:t xml:space="preserve">Table </w:t>
      </w:r>
      <w:r w:rsidR="000B2939" w:rsidRPr="002F56B1">
        <w:rPr>
          <w:rFonts w:ascii="Arial Narrow" w:hAnsi="Arial Narrow"/>
          <w:b/>
          <w:sz w:val="20"/>
          <w:szCs w:val="20"/>
        </w:rPr>
        <w:t>4</w:t>
      </w:r>
      <w:r w:rsidRPr="002F56B1">
        <w:rPr>
          <w:rFonts w:ascii="Arial Narrow" w:hAnsi="Arial Narrow"/>
          <w:b/>
          <w:sz w:val="20"/>
          <w:szCs w:val="20"/>
        </w:rPr>
        <w:t xml:space="preserve">: </w:t>
      </w:r>
      <w:r w:rsidR="007748AD" w:rsidRPr="002F56B1">
        <w:rPr>
          <w:rFonts w:ascii="Arial Narrow" w:hAnsi="Arial Narrow"/>
          <w:b/>
          <w:sz w:val="20"/>
          <w:szCs w:val="20"/>
        </w:rPr>
        <w:t xml:space="preserve">Estimated net financial implications </w:t>
      </w:r>
      <w:r w:rsidR="00F06DC9" w:rsidRPr="002F56B1">
        <w:rPr>
          <w:rFonts w:ascii="Arial Narrow" w:hAnsi="Arial Narrow"/>
          <w:b/>
          <w:sz w:val="20"/>
          <w:szCs w:val="20"/>
        </w:rPr>
        <w:t xml:space="preserve">to the RPBS/PBS </w:t>
      </w:r>
    </w:p>
    <w:tbl>
      <w:tblPr>
        <w:tblStyle w:val="TableGrid"/>
        <w:tblW w:w="5000" w:type="pct"/>
        <w:tblLayout w:type="fixed"/>
        <w:tblLook w:val="04A0" w:firstRow="1" w:lastRow="0" w:firstColumn="1" w:lastColumn="0" w:noHBand="0" w:noVBand="1"/>
        <w:tblCaption w:val="Estimated net financial implications to the RPBS/PBS "/>
      </w:tblPr>
      <w:tblGrid>
        <w:gridCol w:w="1625"/>
        <w:gridCol w:w="1231"/>
        <w:gridCol w:w="1232"/>
        <w:gridCol w:w="1232"/>
        <w:gridCol w:w="1232"/>
        <w:gridCol w:w="1232"/>
        <w:gridCol w:w="1232"/>
      </w:tblGrid>
      <w:tr w:rsidR="003017DD" w:rsidRPr="00313D08" w:rsidTr="00DD129C">
        <w:trPr>
          <w:trHeight w:val="282"/>
          <w:tblHeader/>
        </w:trPr>
        <w:tc>
          <w:tcPr>
            <w:tcW w:w="902"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rPr>
            </w:pPr>
          </w:p>
        </w:tc>
        <w:tc>
          <w:tcPr>
            <w:tcW w:w="683"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b/>
              </w:rPr>
            </w:pPr>
            <w:r w:rsidRPr="00313D08">
              <w:rPr>
                <w:rFonts w:ascii="Arial Narrow" w:hAnsi="Arial Narrow" w:cstheme="minorHAnsi"/>
                <w:b/>
              </w:rPr>
              <w:t>Year 1</w:t>
            </w:r>
          </w:p>
        </w:tc>
        <w:tc>
          <w:tcPr>
            <w:tcW w:w="683"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b/>
              </w:rPr>
            </w:pPr>
            <w:r w:rsidRPr="00313D08">
              <w:rPr>
                <w:rFonts w:ascii="Arial Narrow" w:hAnsi="Arial Narrow" w:cstheme="minorHAnsi"/>
                <w:b/>
              </w:rPr>
              <w:t>Year 2</w:t>
            </w:r>
          </w:p>
        </w:tc>
        <w:tc>
          <w:tcPr>
            <w:tcW w:w="683"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b/>
              </w:rPr>
            </w:pPr>
            <w:r w:rsidRPr="00313D08">
              <w:rPr>
                <w:rFonts w:ascii="Arial Narrow" w:hAnsi="Arial Narrow" w:cstheme="minorHAnsi"/>
                <w:b/>
              </w:rPr>
              <w:t>Year 3</w:t>
            </w:r>
          </w:p>
        </w:tc>
        <w:tc>
          <w:tcPr>
            <w:tcW w:w="683"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b/>
              </w:rPr>
            </w:pPr>
            <w:r w:rsidRPr="00313D08">
              <w:rPr>
                <w:rFonts w:ascii="Arial Narrow" w:hAnsi="Arial Narrow" w:cstheme="minorHAnsi"/>
                <w:b/>
              </w:rPr>
              <w:t>Year 4</w:t>
            </w:r>
          </w:p>
        </w:tc>
        <w:tc>
          <w:tcPr>
            <w:tcW w:w="683"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b/>
              </w:rPr>
            </w:pPr>
            <w:r w:rsidRPr="00313D08">
              <w:rPr>
                <w:rFonts w:ascii="Arial Narrow" w:hAnsi="Arial Narrow" w:cstheme="minorHAnsi"/>
                <w:b/>
              </w:rPr>
              <w:t>Year 5</w:t>
            </w:r>
          </w:p>
        </w:tc>
        <w:tc>
          <w:tcPr>
            <w:tcW w:w="683" w:type="pct"/>
            <w:shd w:val="clear" w:color="auto" w:fill="auto"/>
            <w:vAlign w:val="center"/>
          </w:tcPr>
          <w:p w:rsidR="00E66EAE" w:rsidRPr="00313D08" w:rsidRDefault="00E66EAE" w:rsidP="00313D08">
            <w:pPr>
              <w:pStyle w:val="Tabletext"/>
              <w:keepNext/>
              <w:spacing w:after="0"/>
              <w:jc w:val="center"/>
              <w:rPr>
                <w:rFonts w:ascii="Arial Narrow" w:hAnsi="Arial Narrow" w:cstheme="minorHAnsi"/>
                <w:b/>
              </w:rPr>
            </w:pPr>
            <w:r w:rsidRPr="00313D08">
              <w:rPr>
                <w:rFonts w:ascii="Arial Narrow" w:hAnsi="Arial Narrow" w:cstheme="minorHAnsi"/>
                <w:b/>
              </w:rPr>
              <w:t>Year 6</w:t>
            </w:r>
          </w:p>
        </w:tc>
      </w:tr>
      <w:tr w:rsidR="003017DD" w:rsidRPr="00313D08" w:rsidTr="00DD129C">
        <w:trPr>
          <w:trHeight w:val="470"/>
          <w:tblHeader/>
        </w:trPr>
        <w:tc>
          <w:tcPr>
            <w:tcW w:w="902" w:type="pct"/>
            <w:vAlign w:val="center"/>
          </w:tcPr>
          <w:p w:rsidR="00927744" w:rsidRPr="00313D08" w:rsidRDefault="00927744" w:rsidP="00313D08">
            <w:pPr>
              <w:pStyle w:val="Tabletext"/>
              <w:keepNext/>
              <w:spacing w:after="0"/>
              <w:rPr>
                <w:rFonts w:ascii="Arial Narrow" w:hAnsi="Arial Narrow" w:cstheme="minorHAnsi"/>
              </w:rPr>
            </w:pPr>
            <w:r w:rsidRPr="00313D08">
              <w:rPr>
                <w:rFonts w:ascii="Arial Narrow" w:hAnsi="Arial Narrow" w:cstheme="minorHAnsi"/>
              </w:rPr>
              <w:t xml:space="preserve">Estimated number of patients treated with </w:t>
            </w:r>
            <w:proofErr w:type="spellStart"/>
            <w:r w:rsidRPr="00313D08">
              <w:rPr>
                <w:rFonts w:ascii="Arial Narrow" w:hAnsi="Arial Narrow" w:cstheme="minorHAnsi"/>
              </w:rPr>
              <w:t>nivolumab</w:t>
            </w:r>
            <w:r w:rsidR="00F06DC9" w:rsidRPr="00313D08">
              <w:rPr>
                <w:rFonts w:ascii="Arial Narrow" w:hAnsi="Arial Narrow" w:cstheme="minorHAnsi"/>
                <w:vertAlign w:val="superscript"/>
              </w:rPr>
              <w:t>a</w:t>
            </w:r>
            <w:proofErr w:type="spellEnd"/>
            <w:r w:rsidRPr="00313D08">
              <w:rPr>
                <w:rFonts w:ascii="Arial Narrow" w:hAnsi="Arial Narrow" w:cstheme="minorHAnsi"/>
              </w:rPr>
              <w:t xml:space="preserve"> </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cstheme="minorHAnsi"/>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cs="Arial"/>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cs="Arial"/>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cs="Arial"/>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cs="Arial"/>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cs="Arial"/>
                <w:noProof/>
                <w:color w:val="000000"/>
                <w:highlight w:val="black"/>
              </w:rPr>
              <w:t>''''''''''''''</w:t>
            </w:r>
          </w:p>
        </w:tc>
      </w:tr>
      <w:tr w:rsidR="003017DD" w:rsidRPr="00313D08" w:rsidTr="00DD129C">
        <w:trPr>
          <w:trHeight w:val="470"/>
          <w:tblHeader/>
        </w:trPr>
        <w:tc>
          <w:tcPr>
            <w:tcW w:w="902" w:type="pct"/>
            <w:vAlign w:val="center"/>
          </w:tcPr>
          <w:p w:rsidR="00927744" w:rsidRPr="00313D08" w:rsidRDefault="00927744" w:rsidP="00313D08">
            <w:pPr>
              <w:pStyle w:val="Tabletext"/>
              <w:keepNext/>
              <w:spacing w:after="0"/>
              <w:rPr>
                <w:rFonts w:ascii="Arial Narrow" w:hAnsi="Arial Narrow" w:cstheme="minorHAnsi"/>
              </w:rPr>
            </w:pPr>
            <w:r w:rsidRPr="00313D08">
              <w:rPr>
                <w:rFonts w:ascii="Arial Narrow" w:hAnsi="Arial Narrow"/>
              </w:rPr>
              <w:t>Total number of nivolumab 3</w:t>
            </w:r>
            <w:r w:rsidR="00925303" w:rsidRPr="00313D08">
              <w:rPr>
                <w:rFonts w:ascii="Arial Narrow" w:hAnsi="Arial Narrow"/>
              </w:rPr>
              <w:t> </w:t>
            </w:r>
            <w:r w:rsidRPr="00313D08">
              <w:rPr>
                <w:rFonts w:ascii="Arial Narrow" w:hAnsi="Arial Narrow"/>
              </w:rPr>
              <w:t>mg/kg Q2W flat dose infusions on PBS/RPBS</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r>
      <w:tr w:rsidR="003017DD" w:rsidRPr="00313D08" w:rsidTr="00DD129C">
        <w:trPr>
          <w:trHeight w:val="470"/>
          <w:tblHeader/>
        </w:trPr>
        <w:tc>
          <w:tcPr>
            <w:tcW w:w="902" w:type="pct"/>
            <w:vAlign w:val="center"/>
          </w:tcPr>
          <w:p w:rsidR="00927744" w:rsidRPr="00313D08" w:rsidRDefault="00927744" w:rsidP="00313D08">
            <w:pPr>
              <w:pStyle w:val="Tabletext"/>
              <w:keepNext/>
              <w:spacing w:after="0"/>
              <w:rPr>
                <w:rFonts w:ascii="Arial Narrow" w:hAnsi="Arial Narrow" w:cstheme="minorHAnsi"/>
              </w:rPr>
            </w:pPr>
            <w:r w:rsidRPr="00313D08">
              <w:rPr>
                <w:rFonts w:ascii="Arial Narrow" w:hAnsi="Arial Narrow"/>
              </w:rPr>
              <w:t>Total number of nivolumab 240</w:t>
            </w:r>
            <w:r w:rsidR="00925303" w:rsidRPr="00313D08">
              <w:rPr>
                <w:rFonts w:ascii="Arial Narrow" w:hAnsi="Arial Narrow"/>
              </w:rPr>
              <w:t> </w:t>
            </w:r>
            <w:r w:rsidRPr="00313D08">
              <w:rPr>
                <w:rFonts w:ascii="Arial Narrow" w:hAnsi="Arial Narrow"/>
              </w:rPr>
              <w:t>mg Q2W flat dose infusions on PBS/RPBS</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r>
      <w:tr w:rsidR="003017DD" w:rsidRPr="00313D08" w:rsidTr="00DD129C">
        <w:trPr>
          <w:trHeight w:val="470"/>
          <w:tblHeader/>
        </w:trPr>
        <w:tc>
          <w:tcPr>
            <w:tcW w:w="902" w:type="pct"/>
            <w:vAlign w:val="center"/>
          </w:tcPr>
          <w:p w:rsidR="00927744" w:rsidRPr="00313D08" w:rsidRDefault="00927744" w:rsidP="00313D08">
            <w:pPr>
              <w:pStyle w:val="Tabletext"/>
              <w:keepNext/>
              <w:spacing w:after="0"/>
              <w:rPr>
                <w:rFonts w:ascii="Arial Narrow" w:hAnsi="Arial Narrow" w:cstheme="minorHAnsi"/>
              </w:rPr>
            </w:pPr>
            <w:r w:rsidRPr="00313D08">
              <w:rPr>
                <w:rFonts w:ascii="Arial Narrow" w:hAnsi="Arial Narrow"/>
              </w:rPr>
              <w:t>Total number of nivolumab 480</w:t>
            </w:r>
            <w:r w:rsidR="00925303" w:rsidRPr="00313D08">
              <w:rPr>
                <w:rFonts w:ascii="Arial Narrow" w:hAnsi="Arial Narrow"/>
              </w:rPr>
              <w:t> </w:t>
            </w:r>
            <w:r w:rsidRPr="00313D08">
              <w:rPr>
                <w:rFonts w:ascii="Arial Narrow" w:hAnsi="Arial Narrow"/>
              </w:rPr>
              <w:t xml:space="preserve">mg </w:t>
            </w:r>
            <w:r w:rsidR="00925303" w:rsidRPr="00313D08">
              <w:rPr>
                <w:rFonts w:ascii="Arial Narrow" w:hAnsi="Arial Narrow"/>
              </w:rPr>
              <w:t xml:space="preserve">Q4W </w:t>
            </w:r>
            <w:r w:rsidRPr="00313D08">
              <w:rPr>
                <w:rFonts w:ascii="Arial Narrow" w:hAnsi="Arial Narrow"/>
              </w:rPr>
              <w:t>flat dose infusions on PBS/RPBS</w:t>
            </w:r>
          </w:p>
        </w:tc>
        <w:tc>
          <w:tcPr>
            <w:tcW w:w="683" w:type="pct"/>
            <w:vAlign w:val="center"/>
          </w:tcPr>
          <w:p w:rsidR="00927744" w:rsidRPr="00C20FEC" w:rsidRDefault="00C20FEC" w:rsidP="00313D08">
            <w:pPr>
              <w:pStyle w:val="Tabletext"/>
              <w:keepNext/>
              <w:spacing w:after="0"/>
              <w:jc w:val="center"/>
              <w:rPr>
                <w:rFonts w:ascii="Arial Narrow" w:hAnsi="Arial Narrow" w:cstheme="minorHAnsi"/>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keepNext/>
              <w:spacing w:after="0"/>
              <w:jc w:val="center"/>
              <w:rPr>
                <w:rFonts w:ascii="Arial Narrow" w:hAnsi="Arial Narrow" w:cs="Arial"/>
                <w:highlight w:val="black"/>
              </w:rPr>
            </w:pPr>
            <w:r>
              <w:rPr>
                <w:rFonts w:ascii="Arial Narrow" w:hAnsi="Arial Narrow"/>
                <w:noProof/>
                <w:color w:val="000000"/>
                <w:highlight w:val="black"/>
              </w:rPr>
              <w:t>'''''''''''''''''</w:t>
            </w:r>
          </w:p>
        </w:tc>
      </w:tr>
      <w:tr w:rsidR="003017DD" w:rsidRPr="00313D08" w:rsidTr="00DD129C">
        <w:trPr>
          <w:trHeight w:val="470"/>
          <w:tblHeader/>
        </w:trPr>
        <w:tc>
          <w:tcPr>
            <w:tcW w:w="902" w:type="pct"/>
            <w:vAlign w:val="center"/>
          </w:tcPr>
          <w:p w:rsidR="00927744" w:rsidRPr="00313D08" w:rsidRDefault="00927744" w:rsidP="00313D08">
            <w:pPr>
              <w:pStyle w:val="Tabletext"/>
              <w:spacing w:after="0"/>
              <w:rPr>
                <w:rFonts w:ascii="Arial Narrow" w:hAnsi="Arial Narrow" w:cstheme="minorHAnsi"/>
              </w:rPr>
            </w:pPr>
            <w:r w:rsidRPr="00313D08">
              <w:rPr>
                <w:rFonts w:ascii="Arial Narrow" w:hAnsi="Arial Narrow" w:cs="Arial"/>
              </w:rPr>
              <w:t>Total number of nivolumab infusions (flat dose and weight based)</w:t>
            </w:r>
            <w:r w:rsidR="00183A79" w:rsidRPr="00313D08">
              <w:rPr>
                <w:rFonts w:ascii="Arial Narrow" w:hAnsi="Arial Narrow" w:cs="Arial"/>
                <w:vertAlign w:val="superscript"/>
              </w:rPr>
              <w:t>b</w:t>
            </w:r>
          </w:p>
        </w:tc>
        <w:tc>
          <w:tcPr>
            <w:tcW w:w="683" w:type="pct"/>
            <w:vAlign w:val="center"/>
          </w:tcPr>
          <w:p w:rsidR="00927744" w:rsidRPr="00C20FEC" w:rsidRDefault="00C20FEC" w:rsidP="00313D08">
            <w:pPr>
              <w:pStyle w:val="Tabletext"/>
              <w:spacing w:after="0"/>
              <w:jc w:val="center"/>
              <w:rPr>
                <w:rFonts w:ascii="Arial Narrow" w:hAnsi="Arial Narrow" w:cstheme="minorHAnsi"/>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spacing w:after="0"/>
              <w:jc w:val="center"/>
              <w:rPr>
                <w:rFonts w:ascii="Arial Narrow" w:hAnsi="Arial Narrow" w:cs="Arial"/>
                <w:highlight w:val="black"/>
              </w:rPr>
            </w:pPr>
            <w:r>
              <w:rPr>
                <w:rFonts w:ascii="Arial Narrow" w:hAnsi="Arial Narrow"/>
                <w:noProof/>
                <w:color w:val="000000"/>
                <w:highlight w:val="black"/>
              </w:rPr>
              <w:t>''''''''''''''''</w:t>
            </w:r>
          </w:p>
        </w:tc>
        <w:tc>
          <w:tcPr>
            <w:tcW w:w="683" w:type="pct"/>
            <w:vAlign w:val="center"/>
          </w:tcPr>
          <w:p w:rsidR="00927744" w:rsidRPr="00C20FEC" w:rsidRDefault="00C20FEC" w:rsidP="00313D08">
            <w:pPr>
              <w:pStyle w:val="Tabletext"/>
              <w:spacing w:after="0"/>
              <w:jc w:val="center"/>
              <w:rPr>
                <w:rFonts w:ascii="Arial Narrow" w:hAnsi="Arial Narrow" w:cs="Arial"/>
                <w:highlight w:val="black"/>
              </w:rPr>
            </w:pPr>
            <w:r>
              <w:rPr>
                <w:rFonts w:ascii="Arial Narrow" w:hAnsi="Arial Narrow"/>
                <w:noProof/>
                <w:color w:val="000000"/>
                <w:highlight w:val="black"/>
              </w:rPr>
              <w:t>'''''''''''''''''</w:t>
            </w:r>
          </w:p>
        </w:tc>
      </w:tr>
      <w:tr w:rsidR="003017DD" w:rsidRPr="00313D08" w:rsidTr="00DD129C">
        <w:trPr>
          <w:trHeight w:val="470"/>
          <w:tblHeader/>
        </w:trPr>
        <w:tc>
          <w:tcPr>
            <w:tcW w:w="902" w:type="pct"/>
            <w:vAlign w:val="center"/>
          </w:tcPr>
          <w:p w:rsidR="0011207E" w:rsidRPr="00313D08" w:rsidRDefault="003017DD" w:rsidP="00313D08">
            <w:pPr>
              <w:pStyle w:val="Tabletext"/>
              <w:spacing w:after="0"/>
              <w:rPr>
                <w:rFonts w:ascii="Arial Narrow" w:hAnsi="Arial Narrow"/>
              </w:rPr>
            </w:pPr>
            <w:r w:rsidRPr="00313D08">
              <w:rPr>
                <w:rFonts w:ascii="Arial Narrow" w:hAnsi="Arial Narrow"/>
              </w:rPr>
              <w:t>Total cost to PBS/RPBS</w:t>
            </w:r>
            <w:r w:rsidR="0011207E" w:rsidRPr="00313D08">
              <w:rPr>
                <w:rFonts w:ascii="Arial Narrow" w:hAnsi="Arial Narrow"/>
              </w:rPr>
              <w:t xml:space="preserve"> </w:t>
            </w:r>
          </w:p>
          <w:p w:rsidR="0011207E" w:rsidRPr="00313D08" w:rsidRDefault="0011207E" w:rsidP="00313D08">
            <w:pPr>
              <w:pStyle w:val="Tabletext"/>
              <w:spacing w:after="0"/>
              <w:rPr>
                <w:rFonts w:ascii="Arial Narrow" w:hAnsi="Arial Narrow"/>
              </w:rPr>
            </w:pPr>
            <w:r w:rsidRPr="00313D08">
              <w:rPr>
                <w:rFonts w:ascii="Arial Narrow" w:hAnsi="Arial Narrow"/>
              </w:rPr>
              <w:t>(minus cop</w:t>
            </w:r>
            <w:r w:rsidR="004F13D2" w:rsidRPr="00313D08">
              <w:rPr>
                <w:rFonts w:ascii="Arial Narrow" w:hAnsi="Arial Narrow"/>
              </w:rPr>
              <w:t>a</w:t>
            </w:r>
            <w:r w:rsidRPr="00313D08">
              <w:rPr>
                <w:rFonts w:ascii="Arial Narrow" w:hAnsi="Arial Narrow"/>
              </w:rPr>
              <w:t>yment)</w:t>
            </w:r>
          </w:p>
        </w:tc>
        <w:tc>
          <w:tcPr>
            <w:tcW w:w="683" w:type="pct"/>
            <w:vAlign w:val="center"/>
          </w:tcPr>
          <w:p w:rsidR="003017DD" w:rsidRPr="00313D08" w:rsidRDefault="003017DD"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r>
      <w:tr w:rsidR="003D547C" w:rsidRPr="00313D08" w:rsidTr="00DD129C">
        <w:trPr>
          <w:trHeight w:val="470"/>
          <w:tblHeader/>
        </w:trPr>
        <w:tc>
          <w:tcPr>
            <w:tcW w:w="902" w:type="pct"/>
            <w:vAlign w:val="center"/>
          </w:tcPr>
          <w:p w:rsidR="003D547C" w:rsidRPr="00313D08" w:rsidRDefault="003D547C" w:rsidP="00313D08">
            <w:pPr>
              <w:pStyle w:val="Tabletext"/>
              <w:spacing w:after="0"/>
              <w:rPr>
                <w:rFonts w:ascii="Arial Narrow" w:hAnsi="Arial Narrow"/>
              </w:rPr>
            </w:pPr>
            <w:r w:rsidRPr="00313D08">
              <w:rPr>
                <w:rFonts w:ascii="Arial Narrow" w:hAnsi="Arial Narrow"/>
              </w:rPr>
              <w:t>Total cost offset to PBS/RPBS</w:t>
            </w:r>
            <w:r w:rsidR="0088435E" w:rsidRPr="00313D08">
              <w:rPr>
                <w:rFonts w:ascii="Arial Narrow" w:hAnsi="Arial Narrow"/>
              </w:rPr>
              <w:t xml:space="preserve"> (minus copayment) </w:t>
            </w:r>
          </w:p>
        </w:tc>
        <w:tc>
          <w:tcPr>
            <w:tcW w:w="683" w:type="pct"/>
            <w:vAlign w:val="center"/>
          </w:tcPr>
          <w:p w:rsidR="003D547C" w:rsidRPr="00313D08" w:rsidRDefault="003D547C"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D547C" w:rsidRPr="00313D08" w:rsidRDefault="003D547C"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D547C" w:rsidRPr="00313D08" w:rsidRDefault="003D547C"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D547C" w:rsidRPr="00313D08" w:rsidRDefault="003D547C"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D547C" w:rsidRPr="00313D08" w:rsidRDefault="003D547C"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D547C" w:rsidRPr="00313D08" w:rsidRDefault="003D547C"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r>
      <w:tr w:rsidR="003017DD" w:rsidRPr="00313D08" w:rsidTr="00DD129C">
        <w:trPr>
          <w:trHeight w:val="470"/>
          <w:tblHeader/>
        </w:trPr>
        <w:tc>
          <w:tcPr>
            <w:tcW w:w="902" w:type="pct"/>
            <w:vAlign w:val="center"/>
          </w:tcPr>
          <w:p w:rsidR="003017DD" w:rsidRPr="00313D08" w:rsidRDefault="003017DD" w:rsidP="00313D08">
            <w:pPr>
              <w:pStyle w:val="Tabletext"/>
              <w:spacing w:after="0"/>
              <w:rPr>
                <w:rFonts w:ascii="Arial Narrow" w:hAnsi="Arial Narrow" w:cstheme="minorHAnsi"/>
              </w:rPr>
            </w:pPr>
            <w:r w:rsidRPr="00313D08">
              <w:rPr>
                <w:rFonts w:ascii="Arial Narrow" w:hAnsi="Arial Narrow" w:cstheme="minorHAnsi"/>
              </w:rPr>
              <w:t>Overall Net Cost to PBS/</w:t>
            </w:r>
            <w:proofErr w:type="spellStart"/>
            <w:r w:rsidRPr="00313D08">
              <w:rPr>
                <w:rFonts w:ascii="Arial Narrow" w:hAnsi="Arial Narrow" w:cstheme="minorHAnsi"/>
              </w:rPr>
              <w:t>RPBS</w:t>
            </w:r>
            <w:r w:rsidR="00870EFA" w:rsidRPr="00313D08">
              <w:rPr>
                <w:rFonts w:ascii="Arial Narrow" w:hAnsi="Arial Narrow" w:cstheme="minorHAnsi"/>
                <w:vertAlign w:val="superscript"/>
              </w:rPr>
              <w:t>c</w:t>
            </w:r>
            <w:proofErr w:type="spellEnd"/>
          </w:p>
        </w:tc>
        <w:tc>
          <w:tcPr>
            <w:tcW w:w="683" w:type="pct"/>
            <w:vAlign w:val="center"/>
          </w:tcPr>
          <w:p w:rsidR="003017DD" w:rsidRPr="00313D08" w:rsidRDefault="003017DD" w:rsidP="00313D08">
            <w:pPr>
              <w:pStyle w:val="Tabletext"/>
              <w:spacing w:after="0"/>
              <w:jc w:val="center"/>
              <w:rPr>
                <w:rFonts w:ascii="Arial Narrow" w:hAnsi="Arial Narrow" w:cstheme="minorHAnsi"/>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cstheme="minorHAnsi"/>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cstheme="minorHAnsi"/>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cstheme="minorHAnsi"/>
              </w:rPr>
            </w:pPr>
            <w:r w:rsidRPr="00313D08">
              <w:rPr>
                <w:rFonts w:ascii="Arial Narrow" w:hAnsi="Arial Narrow" w:cstheme="minorHAnsi"/>
              </w:rPr>
              <w:t>-$</w:t>
            </w:r>
            <w:r w:rsidR="00C20FEC">
              <w:rPr>
                <w:rFonts w:ascii="Arial Narrow" w:hAnsi="Arial Narrow" w:cstheme="minorHAnsi"/>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cstheme="minorHAnsi"/>
              </w:rPr>
            </w:pPr>
            <w:r w:rsidRPr="00313D08">
              <w:rPr>
                <w:rFonts w:ascii="Arial Narrow" w:hAnsi="Arial Narrow" w:cstheme="minorHAnsi"/>
              </w:rPr>
              <w:t>-$</w:t>
            </w:r>
            <w:r w:rsidR="00C20FEC">
              <w:rPr>
                <w:rFonts w:ascii="Arial Narrow" w:hAnsi="Arial Narrow" w:cstheme="minorHAnsi"/>
                <w:noProof/>
                <w:color w:val="000000"/>
                <w:highlight w:val="black"/>
              </w:rPr>
              <w:t>''''''''''''''''''''''''''</w:t>
            </w:r>
          </w:p>
        </w:tc>
        <w:tc>
          <w:tcPr>
            <w:tcW w:w="683" w:type="pct"/>
            <w:vAlign w:val="center"/>
          </w:tcPr>
          <w:p w:rsidR="003017DD" w:rsidRPr="00313D08" w:rsidRDefault="003017DD" w:rsidP="00313D08">
            <w:pPr>
              <w:pStyle w:val="Tabletext"/>
              <w:spacing w:after="0"/>
              <w:jc w:val="center"/>
              <w:rPr>
                <w:rFonts w:ascii="Arial Narrow" w:hAnsi="Arial Narrow" w:cstheme="minorHAnsi"/>
              </w:rPr>
            </w:pPr>
            <w:r w:rsidRPr="00313D08">
              <w:rPr>
                <w:rFonts w:ascii="Arial Narrow" w:hAnsi="Arial Narrow" w:cstheme="minorHAnsi"/>
              </w:rPr>
              <w:t>-$</w:t>
            </w:r>
            <w:r w:rsidR="00C20FEC">
              <w:rPr>
                <w:rFonts w:ascii="Arial Narrow" w:hAnsi="Arial Narrow" w:cstheme="minorHAnsi"/>
                <w:noProof/>
                <w:color w:val="000000"/>
                <w:highlight w:val="black"/>
              </w:rPr>
              <w:t>''''''''''''''''''''''</w:t>
            </w:r>
          </w:p>
        </w:tc>
      </w:tr>
      <w:tr w:rsidR="000B7207" w:rsidRPr="00313D08" w:rsidTr="00DD129C">
        <w:trPr>
          <w:trHeight w:val="470"/>
          <w:tblHeader/>
        </w:trPr>
        <w:tc>
          <w:tcPr>
            <w:tcW w:w="902" w:type="pct"/>
            <w:vAlign w:val="center"/>
          </w:tcPr>
          <w:p w:rsidR="000B7207" w:rsidRPr="00313D08" w:rsidRDefault="000B7207" w:rsidP="00313D08">
            <w:pPr>
              <w:pStyle w:val="Tabletext"/>
              <w:spacing w:after="0"/>
              <w:rPr>
                <w:rFonts w:ascii="Arial Narrow" w:hAnsi="Arial Narrow" w:cstheme="minorHAnsi"/>
                <w:vertAlign w:val="superscript"/>
              </w:rPr>
            </w:pPr>
            <w:r w:rsidRPr="00313D08">
              <w:rPr>
                <w:rFonts w:ascii="Arial Narrow" w:hAnsi="Arial Narrow" w:cstheme="minorHAnsi"/>
              </w:rPr>
              <w:t>Revised Overall Net Cost to PBS/</w:t>
            </w:r>
            <w:proofErr w:type="spellStart"/>
            <w:r w:rsidRPr="00313D08">
              <w:rPr>
                <w:rFonts w:ascii="Arial Narrow" w:hAnsi="Arial Narrow" w:cstheme="minorHAnsi"/>
              </w:rPr>
              <w:t>RPBS</w:t>
            </w:r>
            <w:r w:rsidR="00840A0C" w:rsidRPr="00313D08">
              <w:rPr>
                <w:rFonts w:ascii="Arial Narrow" w:hAnsi="Arial Narrow" w:cstheme="minorHAnsi"/>
                <w:vertAlign w:val="superscript"/>
              </w:rPr>
              <w:t>d</w:t>
            </w:r>
            <w:proofErr w:type="spellEnd"/>
          </w:p>
        </w:tc>
        <w:tc>
          <w:tcPr>
            <w:tcW w:w="683" w:type="pct"/>
            <w:vAlign w:val="center"/>
          </w:tcPr>
          <w:p w:rsidR="000B7207" w:rsidRPr="00313D08" w:rsidRDefault="000B7207"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0B7207" w:rsidRPr="00313D08" w:rsidRDefault="000B7207"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0B7207" w:rsidRPr="00313D08" w:rsidRDefault="000B7207" w:rsidP="00313D08">
            <w:pPr>
              <w:pStyle w:val="Tabletext"/>
              <w:spacing w:after="0"/>
              <w:jc w:val="center"/>
              <w:rPr>
                <w:rFonts w:ascii="Arial Narrow" w:hAnsi="Arial Narrow"/>
              </w:rPr>
            </w:pPr>
            <w:r w:rsidRPr="00313D08">
              <w:rPr>
                <w:rFonts w:ascii="Arial Narrow" w:hAnsi="Arial Narrow"/>
              </w:rPr>
              <w:t>-$</w:t>
            </w:r>
            <w:r w:rsidR="00C20FEC">
              <w:rPr>
                <w:rFonts w:ascii="Arial Narrow" w:hAnsi="Arial Narrow"/>
                <w:noProof/>
                <w:color w:val="000000"/>
                <w:highlight w:val="black"/>
              </w:rPr>
              <w:t>''''''''''''''''''''''</w:t>
            </w:r>
          </w:p>
        </w:tc>
        <w:tc>
          <w:tcPr>
            <w:tcW w:w="683" w:type="pct"/>
            <w:vAlign w:val="center"/>
          </w:tcPr>
          <w:p w:rsidR="000B7207" w:rsidRPr="00313D08" w:rsidRDefault="000B7207" w:rsidP="00313D08">
            <w:pPr>
              <w:pStyle w:val="Tabletext"/>
              <w:spacing w:after="0"/>
              <w:jc w:val="center"/>
              <w:rPr>
                <w:rFonts w:ascii="Arial Narrow" w:hAnsi="Arial Narrow" w:cstheme="minorHAnsi"/>
              </w:rPr>
            </w:pPr>
            <w:r w:rsidRPr="00313D08">
              <w:rPr>
                <w:rFonts w:ascii="Arial Narrow" w:hAnsi="Arial Narrow" w:cstheme="minorHAnsi"/>
              </w:rPr>
              <w:t>-$</w:t>
            </w:r>
            <w:r w:rsidR="00C20FEC">
              <w:rPr>
                <w:rFonts w:ascii="Arial Narrow" w:hAnsi="Arial Narrow" w:cstheme="minorHAnsi"/>
                <w:noProof/>
                <w:color w:val="000000"/>
                <w:highlight w:val="black"/>
              </w:rPr>
              <w:t>''''''''''''''''''''''''''</w:t>
            </w:r>
          </w:p>
        </w:tc>
        <w:tc>
          <w:tcPr>
            <w:tcW w:w="683" w:type="pct"/>
            <w:vAlign w:val="center"/>
          </w:tcPr>
          <w:p w:rsidR="000B7207" w:rsidRPr="00313D08" w:rsidRDefault="000B7207" w:rsidP="00313D08">
            <w:pPr>
              <w:pStyle w:val="Tabletext"/>
              <w:spacing w:after="0"/>
              <w:jc w:val="center"/>
              <w:rPr>
                <w:rFonts w:ascii="Arial Narrow" w:hAnsi="Arial Narrow" w:cstheme="minorHAnsi"/>
              </w:rPr>
            </w:pPr>
            <w:r w:rsidRPr="00313D08">
              <w:rPr>
                <w:rFonts w:ascii="Arial Narrow" w:hAnsi="Arial Narrow" w:cstheme="minorHAnsi"/>
              </w:rPr>
              <w:t>-$</w:t>
            </w:r>
            <w:r w:rsidR="00C20FEC">
              <w:rPr>
                <w:rFonts w:ascii="Arial Narrow" w:hAnsi="Arial Narrow" w:cstheme="minorHAnsi"/>
                <w:noProof/>
                <w:color w:val="000000"/>
                <w:highlight w:val="black"/>
              </w:rPr>
              <w:t>''''''''''''''''''''''''</w:t>
            </w:r>
          </w:p>
        </w:tc>
        <w:tc>
          <w:tcPr>
            <w:tcW w:w="683" w:type="pct"/>
            <w:vAlign w:val="center"/>
          </w:tcPr>
          <w:p w:rsidR="000B7207" w:rsidRPr="00313D08" w:rsidRDefault="000B7207" w:rsidP="00313D08">
            <w:pPr>
              <w:pStyle w:val="Tabletext"/>
              <w:spacing w:after="0"/>
              <w:jc w:val="center"/>
              <w:rPr>
                <w:rFonts w:ascii="Arial Narrow" w:hAnsi="Arial Narrow" w:cstheme="minorHAnsi"/>
              </w:rPr>
            </w:pPr>
            <w:r w:rsidRPr="00313D08">
              <w:rPr>
                <w:rFonts w:ascii="Arial Narrow" w:hAnsi="Arial Narrow" w:cstheme="minorHAnsi"/>
              </w:rPr>
              <w:t>-$</w:t>
            </w:r>
            <w:r w:rsidR="00C20FEC">
              <w:rPr>
                <w:rFonts w:ascii="Arial Narrow" w:hAnsi="Arial Narrow" w:cstheme="minorHAnsi"/>
                <w:noProof/>
                <w:color w:val="000000"/>
                <w:highlight w:val="black"/>
              </w:rPr>
              <w:t>''''''''''''''''''''''''''</w:t>
            </w:r>
          </w:p>
        </w:tc>
      </w:tr>
    </w:tbl>
    <w:p w:rsidR="00E66EAE" w:rsidRPr="00D439EE" w:rsidRDefault="00F06DC9" w:rsidP="00313D08">
      <w:pPr>
        <w:rPr>
          <w:rFonts w:ascii="Arial Narrow" w:eastAsiaTheme="minorHAnsi" w:hAnsi="Arial Narrow" w:cstheme="minorBidi"/>
          <w:sz w:val="18"/>
          <w:szCs w:val="18"/>
        </w:rPr>
      </w:pPr>
      <w:r w:rsidRPr="00D439EE">
        <w:rPr>
          <w:rFonts w:ascii="Arial Narrow" w:eastAsiaTheme="minorHAnsi" w:hAnsi="Arial Narrow" w:cstheme="minorBidi"/>
          <w:sz w:val="18"/>
          <w:szCs w:val="18"/>
        </w:rPr>
        <w:t>Source:</w:t>
      </w:r>
      <w:r w:rsidR="00BD4CEE" w:rsidRPr="00D439EE">
        <w:rPr>
          <w:rFonts w:ascii="Arial Narrow" w:eastAsiaTheme="minorHAnsi" w:hAnsi="Arial Narrow" w:cstheme="minorBidi"/>
          <w:sz w:val="18"/>
          <w:szCs w:val="18"/>
        </w:rPr>
        <w:t xml:space="preserve"> Table 19</w:t>
      </w:r>
      <w:r w:rsidRPr="00D439EE">
        <w:rPr>
          <w:rFonts w:ascii="Arial Narrow" w:eastAsiaTheme="minorHAnsi" w:hAnsi="Arial Narrow" w:cstheme="minorBidi"/>
          <w:sz w:val="18"/>
          <w:szCs w:val="18"/>
        </w:rPr>
        <w:t xml:space="preserve"> </w:t>
      </w:r>
      <w:r w:rsidR="00BD4CEE" w:rsidRPr="00D439EE">
        <w:rPr>
          <w:rFonts w:ascii="Arial Narrow" w:eastAsiaTheme="minorHAnsi" w:hAnsi="Arial Narrow" w:cstheme="minorBidi"/>
          <w:sz w:val="18"/>
          <w:szCs w:val="18"/>
        </w:rPr>
        <w:t>p44, Table 24 p48 and Table 25 p49 of the submission</w:t>
      </w:r>
      <w:r w:rsidR="006279CE" w:rsidRPr="00D439EE">
        <w:rPr>
          <w:rFonts w:ascii="Arial Narrow" w:eastAsiaTheme="minorHAnsi" w:hAnsi="Arial Narrow" w:cstheme="minorBidi"/>
          <w:sz w:val="18"/>
          <w:szCs w:val="18"/>
        </w:rPr>
        <w:t xml:space="preserve">; Table 5 p4 of the pre-PBAC Response </w:t>
      </w:r>
      <w:r w:rsidR="00BD4CEE" w:rsidRPr="00D439EE">
        <w:rPr>
          <w:rFonts w:ascii="Arial Narrow" w:eastAsiaTheme="minorHAnsi" w:hAnsi="Arial Narrow" w:cstheme="minorBidi"/>
          <w:sz w:val="18"/>
          <w:szCs w:val="18"/>
        </w:rPr>
        <w:t xml:space="preserve"> </w:t>
      </w:r>
    </w:p>
    <w:p w:rsidR="0088435E" w:rsidRPr="00D439EE" w:rsidRDefault="00BD4CEE" w:rsidP="00313D08">
      <w:pPr>
        <w:rPr>
          <w:rFonts w:ascii="Arial Narrow" w:eastAsiaTheme="minorHAnsi" w:hAnsi="Arial Narrow" w:cstheme="minorBidi"/>
          <w:sz w:val="18"/>
          <w:szCs w:val="18"/>
        </w:rPr>
      </w:pPr>
      <w:proofErr w:type="gramStart"/>
      <w:r w:rsidRPr="00D439EE">
        <w:rPr>
          <w:rFonts w:ascii="Arial Narrow" w:eastAsiaTheme="minorHAnsi" w:hAnsi="Arial Narrow" w:cstheme="minorBidi"/>
          <w:sz w:val="18"/>
          <w:szCs w:val="18"/>
          <w:vertAlign w:val="superscript"/>
        </w:rPr>
        <w:t>a</w:t>
      </w:r>
      <w:r w:rsidR="001109D6" w:rsidRPr="00D439EE">
        <w:rPr>
          <w:rFonts w:ascii="Arial Narrow" w:eastAsiaTheme="minorHAnsi" w:hAnsi="Arial Narrow" w:cstheme="minorBidi"/>
          <w:sz w:val="18"/>
          <w:szCs w:val="18"/>
          <w:vertAlign w:val="superscript"/>
        </w:rPr>
        <w:t xml:space="preserve"> </w:t>
      </w:r>
      <w:r w:rsidR="002F56B1">
        <w:rPr>
          <w:rFonts w:ascii="Arial Narrow" w:eastAsiaTheme="minorHAnsi" w:hAnsi="Arial Narrow" w:cstheme="minorBidi"/>
          <w:sz w:val="18"/>
          <w:szCs w:val="18"/>
          <w:vertAlign w:val="superscript"/>
        </w:rPr>
        <w:t xml:space="preserve"> </w:t>
      </w:r>
      <w:r w:rsidR="00925303" w:rsidRPr="00D439EE">
        <w:rPr>
          <w:rFonts w:ascii="Arial Narrow" w:eastAsiaTheme="minorHAnsi" w:hAnsi="Arial Narrow" w:cstheme="minorBidi"/>
          <w:sz w:val="18"/>
          <w:szCs w:val="18"/>
        </w:rPr>
        <w:t>B</w:t>
      </w:r>
      <w:r w:rsidR="00183A79" w:rsidRPr="00D439EE">
        <w:rPr>
          <w:rFonts w:ascii="Arial Narrow" w:eastAsiaTheme="minorHAnsi" w:hAnsi="Arial Narrow" w:cstheme="minorBidi"/>
          <w:sz w:val="18"/>
          <w:szCs w:val="18"/>
        </w:rPr>
        <w:t>ased</w:t>
      </w:r>
      <w:proofErr w:type="gramEnd"/>
      <w:r w:rsidR="00183A79" w:rsidRPr="00D439EE">
        <w:rPr>
          <w:rFonts w:ascii="Arial Narrow" w:eastAsiaTheme="minorHAnsi" w:hAnsi="Arial Narrow" w:cstheme="minorBidi"/>
          <w:sz w:val="18"/>
          <w:szCs w:val="18"/>
        </w:rPr>
        <w:t xml:space="preserve"> on </w:t>
      </w:r>
      <w:r w:rsidR="001109D6" w:rsidRPr="00D439EE">
        <w:rPr>
          <w:rFonts w:ascii="Arial Narrow" w:eastAsiaTheme="minorHAnsi" w:hAnsi="Arial Narrow" w:cstheme="minorBidi"/>
          <w:sz w:val="18"/>
          <w:szCs w:val="18"/>
        </w:rPr>
        <w:t>the</w:t>
      </w:r>
      <w:r w:rsidR="00AF74AA" w:rsidRPr="00D439EE">
        <w:rPr>
          <w:rFonts w:ascii="Arial Narrow" w:eastAsiaTheme="minorHAnsi" w:hAnsi="Arial Narrow" w:cstheme="minorBidi"/>
          <w:sz w:val="18"/>
          <w:szCs w:val="18"/>
        </w:rPr>
        <w:t xml:space="preserve"> number of patients treated w</w:t>
      </w:r>
      <w:r w:rsidR="00183A79" w:rsidRPr="00D439EE">
        <w:rPr>
          <w:rFonts w:ascii="Arial Narrow" w:eastAsiaTheme="minorHAnsi" w:hAnsi="Arial Narrow" w:cstheme="minorBidi"/>
          <w:sz w:val="18"/>
          <w:szCs w:val="18"/>
        </w:rPr>
        <w:t xml:space="preserve">ith nivolumab in the financial estimates agreed for each </w:t>
      </w:r>
      <w:r w:rsidR="001109D6" w:rsidRPr="00D439EE">
        <w:rPr>
          <w:rFonts w:ascii="Arial Narrow" w:eastAsiaTheme="minorHAnsi" w:hAnsi="Arial Narrow" w:cstheme="minorBidi"/>
          <w:sz w:val="18"/>
          <w:szCs w:val="18"/>
        </w:rPr>
        <w:t>indication</w:t>
      </w:r>
      <w:r w:rsidR="0088435E" w:rsidRPr="00D439EE">
        <w:rPr>
          <w:rFonts w:ascii="Arial Narrow" w:eastAsiaTheme="minorHAnsi" w:hAnsi="Arial Narrow" w:cstheme="minorBidi"/>
          <w:sz w:val="18"/>
          <w:szCs w:val="18"/>
        </w:rPr>
        <w:t>.</w:t>
      </w:r>
    </w:p>
    <w:p w:rsidR="00C90152" w:rsidRPr="00D439EE" w:rsidRDefault="001109D6" w:rsidP="00313D08">
      <w:pPr>
        <w:rPr>
          <w:rFonts w:ascii="Arial Narrow" w:eastAsiaTheme="minorHAnsi" w:hAnsi="Arial Narrow" w:cstheme="minorBidi"/>
          <w:sz w:val="18"/>
          <w:szCs w:val="18"/>
        </w:rPr>
      </w:pPr>
      <w:proofErr w:type="gramStart"/>
      <w:r w:rsidRPr="00D439EE">
        <w:rPr>
          <w:rFonts w:ascii="Arial Narrow" w:eastAsiaTheme="minorHAnsi" w:hAnsi="Arial Narrow" w:cstheme="minorBidi"/>
          <w:sz w:val="18"/>
          <w:szCs w:val="18"/>
          <w:vertAlign w:val="superscript"/>
        </w:rPr>
        <w:t>b</w:t>
      </w:r>
      <w:proofErr w:type="gramEnd"/>
      <w:r w:rsidRPr="00D439EE">
        <w:rPr>
          <w:rFonts w:ascii="Arial Narrow" w:eastAsiaTheme="minorHAnsi" w:hAnsi="Arial Narrow" w:cstheme="minorBidi"/>
          <w:sz w:val="18"/>
          <w:szCs w:val="18"/>
        </w:rPr>
        <w:t xml:space="preserve"> </w:t>
      </w:r>
      <w:r w:rsidR="00925303" w:rsidRPr="00D439EE">
        <w:rPr>
          <w:rFonts w:ascii="Arial Narrow" w:eastAsiaTheme="minorHAnsi" w:hAnsi="Arial Narrow" w:cstheme="minorBidi"/>
          <w:sz w:val="18"/>
          <w:szCs w:val="18"/>
        </w:rPr>
        <w:t>C</w:t>
      </w:r>
      <w:r w:rsidRPr="00D439EE">
        <w:rPr>
          <w:rFonts w:ascii="Arial Narrow" w:eastAsiaTheme="minorHAnsi" w:hAnsi="Arial Narrow" w:cstheme="minorBidi"/>
          <w:sz w:val="18"/>
          <w:szCs w:val="18"/>
        </w:rPr>
        <w:t xml:space="preserve">alculated by applying the estimated utilisation split across the three dosing regimens to the number of patients and then multiplying by the mean number of infusions per patient per treatment course for the dosing regimen in each indication. </w:t>
      </w:r>
    </w:p>
    <w:p w:rsidR="00870EFA" w:rsidRPr="00D439EE" w:rsidRDefault="00870EFA" w:rsidP="00313D08">
      <w:pPr>
        <w:rPr>
          <w:rFonts w:ascii="Arial Narrow" w:eastAsiaTheme="minorHAnsi" w:hAnsi="Arial Narrow" w:cstheme="minorBidi"/>
          <w:sz w:val="18"/>
          <w:szCs w:val="18"/>
        </w:rPr>
      </w:pPr>
      <w:proofErr w:type="gramStart"/>
      <w:r w:rsidRPr="001252E0">
        <w:rPr>
          <w:rFonts w:ascii="Arial Narrow" w:eastAsiaTheme="minorHAnsi" w:hAnsi="Arial Narrow" w:cstheme="minorBidi"/>
          <w:sz w:val="18"/>
          <w:szCs w:val="18"/>
          <w:vertAlign w:val="superscript"/>
        </w:rPr>
        <w:t>c</w:t>
      </w:r>
      <w:proofErr w:type="gramEnd"/>
      <w:r w:rsidR="003112BE" w:rsidRPr="001252E0">
        <w:rPr>
          <w:rFonts w:ascii="Arial Narrow" w:eastAsiaTheme="minorHAnsi" w:hAnsi="Arial Narrow" w:cstheme="minorBidi"/>
          <w:sz w:val="18"/>
          <w:szCs w:val="18"/>
          <w:vertAlign w:val="superscript"/>
        </w:rPr>
        <w:t xml:space="preserve"> </w:t>
      </w:r>
      <w:r w:rsidR="00980A90" w:rsidRPr="001252E0">
        <w:rPr>
          <w:rFonts w:ascii="Arial Narrow" w:eastAsiaTheme="minorHAnsi" w:hAnsi="Arial Narrow" w:cstheme="minorBidi"/>
          <w:sz w:val="18"/>
          <w:szCs w:val="18"/>
        </w:rPr>
        <w:t xml:space="preserve">Assuming </w:t>
      </w:r>
      <w:r w:rsidR="00C20FEC">
        <w:rPr>
          <w:rFonts w:ascii="Arial Narrow" w:eastAsiaTheme="minorHAnsi" w:hAnsi="Arial Narrow" w:cstheme="minorBidi"/>
          <w:noProof/>
          <w:color w:val="000000"/>
          <w:sz w:val="18"/>
          <w:szCs w:val="18"/>
          <w:highlight w:val="black"/>
        </w:rPr>
        <w:t>''''''''''''</w:t>
      </w:r>
      <w:r w:rsidR="00980A90" w:rsidRPr="001252E0">
        <w:rPr>
          <w:rFonts w:ascii="Arial Narrow" w:eastAsiaTheme="minorHAnsi" w:hAnsi="Arial Narrow" w:cstheme="minorBidi"/>
          <w:sz w:val="18"/>
          <w:szCs w:val="18"/>
        </w:rPr>
        <w:t xml:space="preserve">% utilisation is in the PBS and </w:t>
      </w:r>
      <w:r w:rsidR="00C20FEC">
        <w:rPr>
          <w:rFonts w:ascii="Arial Narrow" w:eastAsiaTheme="minorHAnsi" w:hAnsi="Arial Narrow" w:cstheme="minorBidi"/>
          <w:noProof/>
          <w:color w:val="000000"/>
          <w:sz w:val="18"/>
          <w:szCs w:val="18"/>
          <w:highlight w:val="black"/>
        </w:rPr>
        <w:t>'''''''</w:t>
      </w:r>
      <w:r w:rsidR="00980A90" w:rsidRPr="001252E0">
        <w:rPr>
          <w:rFonts w:ascii="Arial Narrow" w:eastAsiaTheme="minorHAnsi" w:hAnsi="Arial Narrow" w:cstheme="minorBidi"/>
          <w:sz w:val="18"/>
          <w:szCs w:val="18"/>
        </w:rPr>
        <w:t>% utilisation is in the RPBS.</w:t>
      </w:r>
    </w:p>
    <w:p w:rsidR="00840A0C" w:rsidRPr="00D439EE" w:rsidRDefault="00840A0C" w:rsidP="00313D08">
      <w:pPr>
        <w:rPr>
          <w:rFonts w:ascii="Arial Narrow" w:eastAsiaTheme="minorHAnsi" w:hAnsi="Arial Narrow" w:cstheme="minorBidi"/>
          <w:sz w:val="18"/>
          <w:szCs w:val="18"/>
        </w:rPr>
      </w:pPr>
      <w:proofErr w:type="gramStart"/>
      <w:r w:rsidRPr="00D439EE">
        <w:rPr>
          <w:rFonts w:ascii="Arial Narrow" w:eastAsiaTheme="minorHAnsi" w:hAnsi="Arial Narrow" w:cstheme="minorBidi"/>
          <w:sz w:val="18"/>
          <w:szCs w:val="18"/>
          <w:vertAlign w:val="superscript"/>
        </w:rPr>
        <w:t>d</w:t>
      </w:r>
      <w:proofErr w:type="gramEnd"/>
      <w:r w:rsidRPr="00D439EE">
        <w:rPr>
          <w:rFonts w:ascii="Arial Narrow" w:eastAsiaTheme="minorHAnsi" w:hAnsi="Arial Narrow" w:cstheme="minorBidi"/>
          <w:sz w:val="18"/>
          <w:szCs w:val="18"/>
        </w:rPr>
        <w:t xml:space="preserve"> Revis</w:t>
      </w:r>
      <w:r w:rsidR="006279CE" w:rsidRPr="00D439EE">
        <w:rPr>
          <w:rFonts w:ascii="Arial Narrow" w:eastAsiaTheme="minorHAnsi" w:hAnsi="Arial Narrow" w:cstheme="minorBidi"/>
          <w:sz w:val="18"/>
          <w:szCs w:val="18"/>
        </w:rPr>
        <w:t>ed financial estimates account for changes descri</w:t>
      </w:r>
      <w:r w:rsidR="00244B47" w:rsidRPr="00D439EE">
        <w:rPr>
          <w:rFonts w:ascii="Arial Narrow" w:eastAsiaTheme="minorHAnsi" w:hAnsi="Arial Narrow" w:cstheme="minorBidi"/>
          <w:sz w:val="18"/>
          <w:szCs w:val="18"/>
        </w:rPr>
        <w:t>bed in paragraph 4.15</w:t>
      </w:r>
      <w:r w:rsidR="006279CE" w:rsidRPr="00D439EE">
        <w:rPr>
          <w:rFonts w:ascii="Arial Narrow" w:eastAsiaTheme="minorHAnsi" w:hAnsi="Arial Narrow" w:cstheme="minorBidi"/>
          <w:sz w:val="18"/>
          <w:szCs w:val="18"/>
        </w:rPr>
        <w:t xml:space="preserve">. </w:t>
      </w:r>
    </w:p>
    <w:p w:rsidR="00A406DE" w:rsidRPr="00D439EE" w:rsidRDefault="00420D87" w:rsidP="00936063">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The minor submission estimated that the addition of </w:t>
      </w:r>
      <w:r w:rsidR="00932DBF" w:rsidRPr="00D439EE">
        <w:rPr>
          <w:rFonts w:asciiTheme="minorHAnsi" w:eastAsiaTheme="minorHAnsi" w:hAnsiTheme="minorHAnsi" w:cstheme="minorBidi"/>
          <w:snapToGrid/>
          <w:sz w:val="24"/>
          <w:szCs w:val="24"/>
        </w:rPr>
        <w:t xml:space="preserve">flat </w:t>
      </w:r>
      <w:r w:rsidRPr="00D439EE">
        <w:rPr>
          <w:rFonts w:asciiTheme="minorHAnsi" w:eastAsiaTheme="minorHAnsi" w:hAnsiTheme="minorHAnsi" w:cstheme="minorBidi"/>
          <w:snapToGrid/>
          <w:sz w:val="24"/>
          <w:szCs w:val="24"/>
        </w:rPr>
        <w:t xml:space="preserve">nivolumab dosing regimens would </w:t>
      </w:r>
      <w:r w:rsidR="001119E0" w:rsidRPr="00D439EE">
        <w:rPr>
          <w:rFonts w:asciiTheme="minorHAnsi" w:eastAsiaTheme="minorHAnsi" w:hAnsiTheme="minorHAnsi" w:cstheme="minorBidi"/>
          <w:snapToGrid/>
          <w:sz w:val="24"/>
          <w:szCs w:val="24"/>
        </w:rPr>
        <w:t>result in cost savings to the PBS/RPBS of approximately</w:t>
      </w:r>
      <w:r w:rsidR="001270AE">
        <w:rPr>
          <w:rFonts w:asciiTheme="minorHAnsi" w:eastAsiaTheme="minorHAnsi" w:hAnsiTheme="minorHAnsi" w:cstheme="minorBidi"/>
          <w:snapToGrid/>
          <w:sz w:val="24"/>
          <w:szCs w:val="24"/>
        </w:rPr>
        <w:t xml:space="preserve"> less than</w:t>
      </w:r>
      <w:r w:rsidR="001119E0" w:rsidRPr="00D439EE">
        <w:rPr>
          <w:rFonts w:asciiTheme="minorHAnsi" w:eastAsiaTheme="minorHAnsi" w:hAnsiTheme="minorHAnsi" w:cstheme="minorBidi"/>
          <w:snapToGrid/>
          <w:sz w:val="24"/>
          <w:szCs w:val="24"/>
        </w:rPr>
        <w:t xml:space="preserve"> $</w:t>
      </w:r>
      <w:r w:rsidR="001270AE">
        <w:rPr>
          <w:rFonts w:asciiTheme="minorHAnsi" w:eastAsiaTheme="minorHAnsi" w:hAnsiTheme="minorHAnsi" w:cstheme="minorBidi"/>
          <w:snapToGrid/>
          <w:sz w:val="24"/>
          <w:szCs w:val="24"/>
        </w:rPr>
        <w:t>10</w:t>
      </w:r>
      <w:r w:rsidR="001119E0" w:rsidRPr="00D439EE">
        <w:rPr>
          <w:rFonts w:asciiTheme="minorHAnsi" w:eastAsiaTheme="minorHAnsi" w:hAnsiTheme="minorHAnsi" w:cstheme="minorBidi"/>
          <w:snapToGrid/>
          <w:sz w:val="24"/>
          <w:szCs w:val="24"/>
        </w:rPr>
        <w:t xml:space="preserve"> million per year.</w:t>
      </w:r>
      <w:r w:rsidR="007719D9" w:rsidRPr="00D439EE">
        <w:rPr>
          <w:rFonts w:asciiTheme="minorHAnsi" w:eastAsiaTheme="minorHAnsi" w:hAnsiTheme="minorHAnsi" w:cstheme="minorBidi"/>
          <w:snapToGrid/>
          <w:sz w:val="24"/>
          <w:szCs w:val="24"/>
        </w:rPr>
        <w:t xml:space="preserve"> The Secretariat notes that</w:t>
      </w:r>
      <w:r w:rsidR="00035650" w:rsidRPr="00D439EE">
        <w:rPr>
          <w:rFonts w:asciiTheme="minorHAnsi" w:eastAsiaTheme="minorHAnsi" w:hAnsiTheme="minorHAnsi" w:cstheme="minorBidi"/>
          <w:snapToGrid/>
          <w:sz w:val="24"/>
          <w:szCs w:val="24"/>
        </w:rPr>
        <w:t xml:space="preserve"> the estimated cost savings to the PBS/RPBS are dependent on </w:t>
      </w:r>
      <w:r w:rsidR="00A05C26" w:rsidRPr="00D439EE">
        <w:rPr>
          <w:rFonts w:asciiTheme="minorHAnsi" w:eastAsiaTheme="minorHAnsi" w:hAnsiTheme="minorHAnsi" w:cstheme="minorBidi"/>
          <w:snapToGrid/>
          <w:sz w:val="24"/>
          <w:szCs w:val="24"/>
        </w:rPr>
        <w:t>the</w:t>
      </w:r>
      <w:r w:rsidR="00035650" w:rsidRPr="00D439EE">
        <w:rPr>
          <w:rFonts w:asciiTheme="minorHAnsi" w:eastAsiaTheme="minorHAnsi" w:hAnsiTheme="minorHAnsi" w:cstheme="minorBidi"/>
          <w:snapToGrid/>
          <w:sz w:val="24"/>
          <w:szCs w:val="24"/>
        </w:rPr>
        <w:t xml:space="preserve"> estimated split of </w:t>
      </w:r>
      <w:r w:rsidR="00035650" w:rsidRPr="001252E0">
        <w:rPr>
          <w:rFonts w:asciiTheme="minorHAnsi" w:eastAsiaTheme="minorHAnsi" w:hAnsiTheme="minorHAnsi" w:cstheme="minorBidi"/>
          <w:snapToGrid/>
          <w:sz w:val="24"/>
          <w:szCs w:val="24"/>
        </w:rPr>
        <w:t xml:space="preserve">nivolumab dosing regimen use and </w:t>
      </w:r>
      <w:r w:rsidR="00C5097A" w:rsidRPr="001252E0">
        <w:rPr>
          <w:rFonts w:asciiTheme="minorHAnsi" w:eastAsiaTheme="minorHAnsi" w:hAnsiTheme="minorHAnsi" w:cstheme="minorBidi"/>
          <w:snapToGrid/>
          <w:sz w:val="24"/>
          <w:szCs w:val="24"/>
        </w:rPr>
        <w:t>whether the</w:t>
      </w:r>
      <w:r w:rsidR="00035650" w:rsidRPr="001252E0">
        <w:rPr>
          <w:rFonts w:asciiTheme="minorHAnsi" w:eastAsiaTheme="minorHAnsi" w:hAnsiTheme="minorHAnsi" w:cstheme="minorBidi"/>
          <w:snapToGrid/>
          <w:sz w:val="24"/>
          <w:szCs w:val="24"/>
        </w:rPr>
        <w:t xml:space="preserve"> </w:t>
      </w:r>
      <w:r w:rsidR="00536D2D" w:rsidRPr="001252E0">
        <w:rPr>
          <w:rFonts w:asciiTheme="minorHAnsi" w:eastAsiaTheme="minorHAnsi" w:hAnsiTheme="minorHAnsi" w:cstheme="minorBidi"/>
          <w:snapToGrid/>
          <w:sz w:val="24"/>
          <w:szCs w:val="24"/>
        </w:rPr>
        <w:t xml:space="preserve">submission’s </w:t>
      </w:r>
      <w:r w:rsidR="00035650" w:rsidRPr="001252E0">
        <w:rPr>
          <w:rFonts w:asciiTheme="minorHAnsi" w:eastAsiaTheme="minorHAnsi" w:hAnsiTheme="minorHAnsi" w:cstheme="minorBidi"/>
          <w:snapToGrid/>
          <w:sz w:val="24"/>
          <w:szCs w:val="24"/>
        </w:rPr>
        <w:t xml:space="preserve">estimated mean dose per infusion </w:t>
      </w:r>
      <w:r w:rsidR="00C5097A" w:rsidRPr="001252E0">
        <w:rPr>
          <w:rFonts w:asciiTheme="minorHAnsi" w:eastAsiaTheme="minorHAnsi" w:hAnsiTheme="minorHAnsi" w:cstheme="minorBidi"/>
          <w:snapToGrid/>
          <w:sz w:val="24"/>
          <w:szCs w:val="24"/>
        </w:rPr>
        <w:t>(</w:t>
      </w:r>
      <w:r w:rsidR="00C20FEC">
        <w:rPr>
          <w:rFonts w:asciiTheme="minorHAnsi" w:eastAsiaTheme="minorHAnsi" w:hAnsiTheme="minorHAnsi" w:cstheme="minorBidi"/>
          <w:noProof/>
          <w:snapToGrid/>
          <w:color w:val="000000"/>
          <w:sz w:val="24"/>
          <w:szCs w:val="24"/>
          <w:highlight w:val="black"/>
        </w:rPr>
        <w:t>''''''''''</w:t>
      </w:r>
      <w:r w:rsidR="009027DB" w:rsidRPr="001252E0">
        <w:rPr>
          <w:rFonts w:asciiTheme="minorHAnsi" w:eastAsiaTheme="minorHAnsi" w:hAnsiTheme="minorHAnsi" w:cstheme="minorBidi"/>
          <w:snapToGrid/>
          <w:sz w:val="24"/>
          <w:szCs w:val="24"/>
        </w:rPr>
        <w:t xml:space="preserve"> mg) </w:t>
      </w:r>
      <w:r w:rsidR="00536D2D" w:rsidRPr="001252E0">
        <w:rPr>
          <w:rFonts w:asciiTheme="minorHAnsi" w:eastAsiaTheme="minorHAnsi" w:hAnsiTheme="minorHAnsi" w:cstheme="minorBidi"/>
          <w:snapToGrid/>
          <w:sz w:val="24"/>
          <w:szCs w:val="24"/>
        </w:rPr>
        <w:t>for</w:t>
      </w:r>
      <w:r w:rsidR="00536D2D" w:rsidRPr="00D439EE">
        <w:rPr>
          <w:rFonts w:asciiTheme="minorHAnsi" w:eastAsiaTheme="minorHAnsi" w:hAnsiTheme="minorHAnsi" w:cstheme="minorBidi"/>
          <w:snapToGrid/>
          <w:sz w:val="24"/>
          <w:szCs w:val="24"/>
        </w:rPr>
        <w:t xml:space="preserve"> the current weight based dosing regimen</w:t>
      </w:r>
      <w:r w:rsidR="00035650" w:rsidRPr="00D439EE">
        <w:rPr>
          <w:rFonts w:asciiTheme="minorHAnsi" w:eastAsiaTheme="minorHAnsi" w:hAnsiTheme="minorHAnsi" w:cstheme="minorBidi"/>
          <w:snapToGrid/>
          <w:sz w:val="24"/>
          <w:szCs w:val="24"/>
        </w:rPr>
        <w:t xml:space="preserve"> </w:t>
      </w:r>
      <w:r w:rsidR="00C5097A" w:rsidRPr="00D439EE">
        <w:rPr>
          <w:rFonts w:asciiTheme="minorHAnsi" w:eastAsiaTheme="minorHAnsi" w:hAnsiTheme="minorHAnsi" w:cstheme="minorBidi"/>
          <w:snapToGrid/>
          <w:sz w:val="24"/>
          <w:szCs w:val="24"/>
        </w:rPr>
        <w:t xml:space="preserve">is reflective of clinical practice. </w:t>
      </w:r>
      <w:r w:rsidR="00582869" w:rsidRPr="00D439EE">
        <w:rPr>
          <w:rFonts w:asciiTheme="minorHAnsi" w:eastAsiaTheme="minorHAnsi" w:hAnsiTheme="minorHAnsi" w:cstheme="minorBidi"/>
          <w:snapToGrid/>
          <w:sz w:val="24"/>
          <w:szCs w:val="24"/>
        </w:rPr>
        <w:t>T</w:t>
      </w:r>
      <w:r w:rsidR="00E52011" w:rsidRPr="00D439EE">
        <w:rPr>
          <w:rFonts w:asciiTheme="minorHAnsi" w:eastAsiaTheme="minorHAnsi" w:hAnsiTheme="minorHAnsi" w:cstheme="minorBidi"/>
          <w:snapToGrid/>
          <w:sz w:val="24"/>
          <w:szCs w:val="24"/>
        </w:rPr>
        <w:t>he financial estimates do not account for the</w:t>
      </w:r>
      <w:r w:rsidR="00A05C26" w:rsidRPr="00D439EE">
        <w:rPr>
          <w:rFonts w:asciiTheme="minorHAnsi" w:eastAsiaTheme="minorHAnsi" w:hAnsiTheme="minorHAnsi" w:cstheme="minorBidi"/>
          <w:snapToGrid/>
          <w:sz w:val="24"/>
          <w:szCs w:val="24"/>
        </w:rPr>
        <w:t xml:space="preserve"> </w:t>
      </w:r>
      <w:r w:rsidR="00326A51" w:rsidRPr="00D439EE">
        <w:rPr>
          <w:rFonts w:asciiTheme="minorHAnsi" w:eastAsiaTheme="minorHAnsi" w:hAnsiTheme="minorHAnsi" w:cstheme="minorBidi"/>
          <w:snapToGrid/>
          <w:sz w:val="24"/>
          <w:szCs w:val="24"/>
        </w:rPr>
        <w:t>1 March 2019</w:t>
      </w:r>
      <w:r w:rsidR="00E52011" w:rsidRPr="00D439EE">
        <w:rPr>
          <w:rFonts w:asciiTheme="minorHAnsi" w:eastAsiaTheme="minorHAnsi" w:hAnsiTheme="minorHAnsi" w:cstheme="minorBidi"/>
          <w:snapToGrid/>
          <w:sz w:val="24"/>
          <w:szCs w:val="24"/>
        </w:rPr>
        <w:t xml:space="preserve"> listing of nivolumab for the treatment</w:t>
      </w:r>
      <w:r w:rsidR="00A05C26" w:rsidRPr="00D439EE">
        <w:rPr>
          <w:rFonts w:asciiTheme="minorHAnsi" w:eastAsiaTheme="minorHAnsi" w:hAnsiTheme="minorHAnsi" w:cstheme="minorBidi"/>
          <w:snapToGrid/>
          <w:sz w:val="24"/>
          <w:szCs w:val="24"/>
        </w:rPr>
        <w:t xml:space="preserve"> of first line RCC.</w:t>
      </w:r>
    </w:p>
    <w:p w:rsidR="00EC5883" w:rsidRPr="00D439EE" w:rsidRDefault="00675E4A" w:rsidP="007B416E">
      <w:pPr>
        <w:pStyle w:val="ListParagraph"/>
        <w:keepNext/>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lastRenderedPageBreak/>
        <w:t xml:space="preserve">The pre-PBAC Response noted that since the time of submission, several changes have occurred </w:t>
      </w:r>
      <w:r w:rsidR="00BF69F5" w:rsidRPr="00D439EE">
        <w:rPr>
          <w:rFonts w:asciiTheme="minorHAnsi" w:eastAsiaTheme="minorHAnsi" w:hAnsiTheme="minorHAnsi" w:cstheme="minorBidi"/>
          <w:snapToGrid/>
          <w:sz w:val="24"/>
          <w:szCs w:val="24"/>
        </w:rPr>
        <w:t xml:space="preserve">which impact the estimated utilisation of nivolumab. The pre-PBAC response presented revised financial estimates (Table 4) </w:t>
      </w:r>
      <w:r w:rsidR="0027212A" w:rsidRPr="00D439EE">
        <w:rPr>
          <w:rFonts w:asciiTheme="minorHAnsi" w:eastAsiaTheme="minorHAnsi" w:hAnsiTheme="minorHAnsi" w:cstheme="minorBidi"/>
          <w:snapToGrid/>
          <w:sz w:val="24"/>
          <w:szCs w:val="24"/>
        </w:rPr>
        <w:t>with the following changes</w:t>
      </w:r>
      <w:r w:rsidR="00EC5883" w:rsidRPr="00D439EE">
        <w:rPr>
          <w:rFonts w:asciiTheme="minorHAnsi" w:eastAsiaTheme="minorHAnsi" w:hAnsiTheme="minorHAnsi" w:cstheme="minorBidi"/>
          <w:snapToGrid/>
          <w:sz w:val="24"/>
          <w:szCs w:val="24"/>
        </w:rPr>
        <w:t>:</w:t>
      </w:r>
    </w:p>
    <w:p w:rsidR="005E1E97" w:rsidRPr="00D439EE" w:rsidRDefault="0027212A" w:rsidP="007B416E">
      <w:pPr>
        <w:pStyle w:val="ListParagraph"/>
        <w:keepNext/>
        <w:widowControl/>
        <w:numPr>
          <w:ilvl w:val="0"/>
          <w:numId w:val="33"/>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Increased patient estimates to account for 1 December 2018 listing of </w:t>
      </w:r>
      <w:proofErr w:type="spellStart"/>
      <w:r w:rsidRPr="00D439EE">
        <w:rPr>
          <w:rFonts w:asciiTheme="minorHAnsi" w:eastAsiaTheme="minorHAnsi" w:hAnsiTheme="minorHAnsi" w:cstheme="minorBidi"/>
          <w:snapToGrid/>
          <w:sz w:val="24"/>
          <w:szCs w:val="24"/>
        </w:rPr>
        <w:t>nivolumab</w:t>
      </w:r>
      <w:proofErr w:type="spellEnd"/>
      <w:r w:rsidRPr="00D439EE">
        <w:rPr>
          <w:rFonts w:asciiTheme="minorHAnsi" w:eastAsiaTheme="minorHAnsi" w:hAnsiTheme="minorHAnsi" w:cstheme="minorBidi"/>
          <w:snapToGrid/>
          <w:sz w:val="24"/>
          <w:szCs w:val="24"/>
        </w:rPr>
        <w:t xml:space="preserve"> + </w:t>
      </w:r>
      <w:proofErr w:type="spellStart"/>
      <w:r w:rsidRPr="00D439EE">
        <w:rPr>
          <w:rFonts w:asciiTheme="minorHAnsi" w:eastAsiaTheme="minorHAnsi" w:hAnsiTheme="minorHAnsi" w:cstheme="minorBidi"/>
          <w:snapToGrid/>
          <w:sz w:val="24"/>
          <w:szCs w:val="24"/>
        </w:rPr>
        <w:t>ipilimumab</w:t>
      </w:r>
      <w:proofErr w:type="spellEnd"/>
      <w:r w:rsidRPr="00D439EE">
        <w:rPr>
          <w:rFonts w:asciiTheme="minorHAnsi" w:eastAsiaTheme="minorHAnsi" w:hAnsiTheme="minorHAnsi" w:cstheme="minorBidi"/>
          <w:snapToGrid/>
          <w:sz w:val="24"/>
          <w:szCs w:val="24"/>
        </w:rPr>
        <w:t xml:space="preserve"> for the </w:t>
      </w:r>
      <w:r w:rsidR="00B363A7" w:rsidRPr="00D439EE">
        <w:rPr>
          <w:rFonts w:asciiTheme="minorHAnsi" w:eastAsiaTheme="minorHAnsi" w:hAnsiTheme="minorHAnsi" w:cstheme="minorBidi"/>
          <w:snapToGrid/>
          <w:sz w:val="24"/>
          <w:szCs w:val="24"/>
        </w:rPr>
        <w:t>treatment of unresectable Stage III or Stage IV malignant melanoma and to account for nivolumab penetration of the pembrolizumab market associated with 480 mg Q4W dosing</w:t>
      </w:r>
      <w:r w:rsidR="00D439EE">
        <w:rPr>
          <w:rFonts w:asciiTheme="minorHAnsi" w:eastAsiaTheme="minorHAnsi" w:hAnsiTheme="minorHAnsi" w:cstheme="minorBidi"/>
          <w:snapToGrid/>
          <w:sz w:val="24"/>
          <w:szCs w:val="24"/>
        </w:rPr>
        <w:t xml:space="preserve">. </w:t>
      </w:r>
    </w:p>
    <w:p w:rsidR="00B363A7" w:rsidRPr="00D439EE" w:rsidRDefault="00B363A7" w:rsidP="007B416E">
      <w:pPr>
        <w:pStyle w:val="ListParagraph"/>
        <w:keepNext/>
        <w:widowControl/>
        <w:numPr>
          <w:ilvl w:val="0"/>
          <w:numId w:val="33"/>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Decreased patient estimates for NSCLC to account for recent PBS listings of atezolizumab for second line treatment, pembrolizumab for first line treatment </w:t>
      </w:r>
      <w:r w:rsidR="001822D8" w:rsidRPr="00D439EE">
        <w:rPr>
          <w:rFonts w:asciiTheme="minorHAnsi" w:eastAsiaTheme="minorHAnsi" w:hAnsiTheme="minorHAnsi" w:cstheme="minorBidi"/>
          <w:snapToGrid/>
          <w:sz w:val="24"/>
          <w:szCs w:val="24"/>
        </w:rPr>
        <w:t>and</w:t>
      </w:r>
      <w:r w:rsidRPr="00D439EE">
        <w:rPr>
          <w:rFonts w:asciiTheme="minorHAnsi" w:eastAsiaTheme="minorHAnsi" w:hAnsiTheme="minorHAnsi" w:cstheme="minorBidi"/>
          <w:snapToGrid/>
          <w:sz w:val="24"/>
          <w:szCs w:val="24"/>
        </w:rPr>
        <w:t xml:space="preserve"> anticipated future listings of other NSCLC agents.</w:t>
      </w:r>
    </w:p>
    <w:p w:rsidR="00B363A7" w:rsidRPr="00D439EE" w:rsidRDefault="00A22150" w:rsidP="007B416E">
      <w:pPr>
        <w:pStyle w:val="ListParagraph"/>
        <w:keepNext/>
        <w:widowControl/>
        <w:numPr>
          <w:ilvl w:val="0"/>
          <w:numId w:val="33"/>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Decreased patient estimates for second line RCC to account for 1 March listing</w:t>
      </w:r>
      <w:r w:rsidR="00E66FF9" w:rsidRPr="00D439EE">
        <w:rPr>
          <w:rFonts w:asciiTheme="minorHAnsi" w:eastAsiaTheme="minorHAnsi" w:hAnsiTheme="minorHAnsi" w:cstheme="minorBidi"/>
          <w:snapToGrid/>
          <w:sz w:val="24"/>
          <w:szCs w:val="24"/>
        </w:rPr>
        <w:t xml:space="preserve"> of nivolumab</w:t>
      </w:r>
      <w:r w:rsidRPr="00D439EE">
        <w:rPr>
          <w:rFonts w:asciiTheme="minorHAnsi" w:eastAsiaTheme="minorHAnsi" w:hAnsiTheme="minorHAnsi" w:cstheme="minorBidi"/>
          <w:snapToGrid/>
          <w:sz w:val="24"/>
          <w:szCs w:val="24"/>
        </w:rPr>
        <w:t xml:space="preserve"> for first line RCC.</w:t>
      </w:r>
    </w:p>
    <w:p w:rsidR="00A22150" w:rsidRPr="00D439EE" w:rsidRDefault="00EC6D9C" w:rsidP="007B416E">
      <w:pPr>
        <w:pStyle w:val="ListParagraph"/>
        <w:keepNext/>
        <w:widowControl/>
        <w:numPr>
          <w:ilvl w:val="0"/>
          <w:numId w:val="33"/>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Included </w:t>
      </w:r>
      <w:r w:rsidR="00E66FF9" w:rsidRPr="00D439EE">
        <w:rPr>
          <w:rFonts w:asciiTheme="minorHAnsi" w:eastAsiaTheme="minorHAnsi" w:hAnsiTheme="minorHAnsi" w:cstheme="minorBidi"/>
          <w:snapToGrid/>
          <w:sz w:val="24"/>
          <w:szCs w:val="24"/>
        </w:rPr>
        <w:t>patient estimates to account for</w:t>
      </w:r>
      <w:r w:rsidR="00BA5507" w:rsidRPr="00D439EE">
        <w:rPr>
          <w:rFonts w:asciiTheme="minorHAnsi" w:eastAsiaTheme="minorHAnsi" w:hAnsiTheme="minorHAnsi" w:cstheme="minorBidi"/>
          <w:snapToGrid/>
          <w:sz w:val="24"/>
          <w:szCs w:val="24"/>
        </w:rPr>
        <w:t xml:space="preserve"> a</w:t>
      </w:r>
      <w:r w:rsidR="00E66FF9" w:rsidRPr="00D439EE">
        <w:rPr>
          <w:rFonts w:asciiTheme="minorHAnsi" w:eastAsiaTheme="minorHAnsi" w:hAnsiTheme="minorHAnsi" w:cstheme="minorBidi"/>
          <w:snapToGrid/>
          <w:sz w:val="24"/>
          <w:szCs w:val="24"/>
        </w:rPr>
        <w:t xml:space="preserve"> future</w:t>
      </w:r>
      <w:r w:rsidR="00BA5507" w:rsidRPr="00D439EE">
        <w:rPr>
          <w:rFonts w:asciiTheme="minorHAnsi" w:eastAsiaTheme="minorHAnsi" w:hAnsiTheme="minorHAnsi" w:cstheme="minorBidi"/>
          <w:snapToGrid/>
          <w:sz w:val="24"/>
          <w:szCs w:val="24"/>
        </w:rPr>
        <w:t xml:space="preserve"> nivolumab</w:t>
      </w:r>
      <w:r w:rsidR="00E66FF9" w:rsidRPr="00D439EE">
        <w:rPr>
          <w:rFonts w:asciiTheme="minorHAnsi" w:eastAsiaTheme="minorHAnsi" w:hAnsiTheme="minorHAnsi" w:cstheme="minorBidi"/>
          <w:snapToGrid/>
          <w:sz w:val="24"/>
          <w:szCs w:val="24"/>
        </w:rPr>
        <w:t xml:space="preserve"> listing for the adjuvant treatment of patients who have resected Stage III or Stage IV malignant </w:t>
      </w:r>
      <w:r w:rsidR="001822D8" w:rsidRPr="00D439EE">
        <w:rPr>
          <w:rFonts w:asciiTheme="minorHAnsi" w:eastAsiaTheme="minorHAnsi" w:hAnsiTheme="minorHAnsi" w:cstheme="minorBidi"/>
          <w:snapToGrid/>
          <w:sz w:val="24"/>
          <w:szCs w:val="24"/>
        </w:rPr>
        <w:t>melanoma that</w:t>
      </w:r>
      <w:r w:rsidR="00BA5507" w:rsidRPr="00D439EE">
        <w:rPr>
          <w:rFonts w:asciiTheme="minorHAnsi" w:eastAsiaTheme="minorHAnsi" w:hAnsiTheme="minorHAnsi" w:cstheme="minorBidi"/>
          <w:snapToGrid/>
          <w:sz w:val="24"/>
          <w:szCs w:val="24"/>
        </w:rPr>
        <w:t xml:space="preserve"> is to be considered at the March PBAC meeting</w:t>
      </w:r>
      <w:r w:rsidR="00D439EE">
        <w:rPr>
          <w:rFonts w:asciiTheme="minorHAnsi" w:eastAsiaTheme="minorHAnsi" w:hAnsiTheme="minorHAnsi" w:cstheme="minorBidi"/>
          <w:snapToGrid/>
          <w:sz w:val="24"/>
          <w:szCs w:val="24"/>
        </w:rPr>
        <w:t xml:space="preserve">. </w:t>
      </w:r>
      <w:r w:rsidRPr="00D439EE">
        <w:rPr>
          <w:rFonts w:asciiTheme="minorHAnsi" w:eastAsiaTheme="minorHAnsi" w:hAnsiTheme="minorHAnsi" w:cstheme="minorBidi"/>
          <w:snapToGrid/>
          <w:sz w:val="24"/>
          <w:szCs w:val="24"/>
        </w:rPr>
        <w:t xml:space="preserve"> </w:t>
      </w:r>
    </w:p>
    <w:p w:rsidR="00D3200A" w:rsidRPr="00D439EE" w:rsidRDefault="00E52011" w:rsidP="007B416E">
      <w:pPr>
        <w:pStyle w:val="ListParagraph"/>
        <w:keepNext/>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 xml:space="preserve">Departmental analysis of </w:t>
      </w:r>
      <w:r w:rsidR="003C1F09" w:rsidRPr="00D439EE">
        <w:rPr>
          <w:rFonts w:asciiTheme="minorHAnsi" w:eastAsiaTheme="minorHAnsi" w:hAnsiTheme="minorHAnsi" w:cstheme="minorBidi"/>
          <w:snapToGrid/>
          <w:sz w:val="24"/>
          <w:szCs w:val="24"/>
        </w:rPr>
        <w:t xml:space="preserve">the mean dose per infusion per patient for the currently listed nivolumab indications based on </w:t>
      </w:r>
      <w:r w:rsidR="00536D2D" w:rsidRPr="00D439EE">
        <w:rPr>
          <w:rFonts w:asciiTheme="minorHAnsi" w:eastAsiaTheme="minorHAnsi" w:hAnsiTheme="minorHAnsi" w:cstheme="minorBidi"/>
          <w:snapToGrid/>
          <w:sz w:val="24"/>
          <w:szCs w:val="24"/>
        </w:rPr>
        <w:t>PBS utilisation</w:t>
      </w:r>
      <w:r w:rsidR="00602E6A" w:rsidRPr="00D439EE">
        <w:rPr>
          <w:rFonts w:asciiTheme="minorHAnsi" w:eastAsiaTheme="minorHAnsi" w:hAnsiTheme="minorHAnsi" w:cstheme="minorBidi"/>
          <w:snapToGrid/>
          <w:sz w:val="24"/>
          <w:szCs w:val="24"/>
        </w:rPr>
        <w:t xml:space="preserve"> data</w:t>
      </w:r>
      <w:r w:rsidR="00536D2D" w:rsidRPr="00D439EE">
        <w:rPr>
          <w:rFonts w:asciiTheme="minorHAnsi" w:eastAsiaTheme="minorHAnsi" w:hAnsiTheme="minorHAnsi" w:cstheme="minorBidi"/>
          <w:snapToGrid/>
          <w:sz w:val="24"/>
          <w:szCs w:val="24"/>
        </w:rPr>
        <w:t xml:space="preserve"> from May 2016 to December 2018</w:t>
      </w:r>
      <w:r w:rsidR="003C1F09" w:rsidRPr="00D439EE">
        <w:rPr>
          <w:rFonts w:asciiTheme="minorHAnsi" w:eastAsiaTheme="minorHAnsi" w:hAnsiTheme="minorHAnsi" w:cstheme="minorBidi"/>
          <w:snapToGrid/>
          <w:sz w:val="24"/>
          <w:szCs w:val="24"/>
        </w:rPr>
        <w:t xml:space="preserve"> are shown below in Table </w:t>
      </w:r>
      <w:r w:rsidR="00EC6D9C" w:rsidRPr="00D439EE">
        <w:rPr>
          <w:rFonts w:asciiTheme="minorHAnsi" w:eastAsiaTheme="minorHAnsi" w:hAnsiTheme="minorHAnsi" w:cstheme="minorBidi"/>
          <w:snapToGrid/>
          <w:sz w:val="24"/>
          <w:szCs w:val="24"/>
        </w:rPr>
        <w:t>5</w:t>
      </w:r>
      <w:r w:rsidR="003C1F09" w:rsidRPr="00D439EE">
        <w:rPr>
          <w:rFonts w:asciiTheme="minorHAnsi" w:eastAsiaTheme="minorHAnsi" w:hAnsiTheme="minorHAnsi" w:cstheme="minorBidi"/>
          <w:snapToGrid/>
          <w:sz w:val="24"/>
          <w:szCs w:val="24"/>
        </w:rPr>
        <w:t>.</w:t>
      </w:r>
    </w:p>
    <w:p w:rsidR="005C1765" w:rsidRPr="00D439EE" w:rsidRDefault="00244B47" w:rsidP="00313D08">
      <w:pPr>
        <w:keepNext/>
        <w:rPr>
          <w:rFonts w:ascii="Arial Narrow" w:eastAsiaTheme="minorHAnsi" w:hAnsi="Arial Narrow" w:cstheme="minorBidi"/>
          <w:b/>
          <w:sz w:val="20"/>
        </w:rPr>
      </w:pPr>
      <w:r w:rsidRPr="00D439EE">
        <w:rPr>
          <w:rFonts w:ascii="Arial Narrow" w:eastAsiaTheme="minorHAnsi" w:hAnsi="Arial Narrow" w:cstheme="minorBidi"/>
          <w:b/>
          <w:sz w:val="20"/>
        </w:rPr>
        <w:t>Table 5</w:t>
      </w:r>
      <w:r w:rsidR="005C1765" w:rsidRPr="00D439EE">
        <w:rPr>
          <w:rFonts w:ascii="Arial Narrow" w:eastAsiaTheme="minorHAnsi" w:hAnsi="Arial Narrow" w:cstheme="minorBidi"/>
          <w:b/>
          <w:sz w:val="20"/>
        </w:rPr>
        <w:t>: Mean, median and mode of the nivolumab dose per infusion fo</w:t>
      </w:r>
      <w:r w:rsidR="005B424F" w:rsidRPr="00D439EE">
        <w:rPr>
          <w:rFonts w:ascii="Arial Narrow" w:eastAsiaTheme="minorHAnsi" w:hAnsi="Arial Narrow" w:cstheme="minorBidi"/>
          <w:b/>
          <w:sz w:val="20"/>
        </w:rPr>
        <w:t>r currently listed indications</w:t>
      </w:r>
    </w:p>
    <w:tbl>
      <w:tblPr>
        <w:tblStyle w:val="TableGrid"/>
        <w:tblW w:w="5000" w:type="pct"/>
        <w:tblLook w:val="04A0" w:firstRow="1" w:lastRow="0" w:firstColumn="1" w:lastColumn="0" w:noHBand="0" w:noVBand="1"/>
        <w:tblCaption w:val="Mean, median and mode of the nivolumab dose per infusion for currently listed indications"/>
      </w:tblPr>
      <w:tblGrid>
        <w:gridCol w:w="6330"/>
        <w:gridCol w:w="1044"/>
        <w:gridCol w:w="829"/>
        <w:gridCol w:w="813"/>
      </w:tblGrid>
      <w:tr w:rsidR="00F91C0A" w:rsidRPr="00D439EE" w:rsidTr="00DD129C">
        <w:trPr>
          <w:tblHeader/>
        </w:trPr>
        <w:tc>
          <w:tcPr>
            <w:tcW w:w="3510" w:type="pct"/>
          </w:tcPr>
          <w:p w:rsidR="00F91C0A" w:rsidRPr="00D439EE" w:rsidRDefault="00F91C0A" w:rsidP="00313D08">
            <w:pPr>
              <w:pStyle w:val="ListParagraph"/>
              <w:keepNext/>
              <w:widowControl/>
              <w:ind w:left="0"/>
              <w:contextualSpacing w:val="0"/>
              <w:rPr>
                <w:rFonts w:ascii="Arial Narrow" w:eastAsiaTheme="minorHAnsi" w:hAnsi="Arial Narrow" w:cstheme="minorBidi"/>
                <w:b/>
                <w:snapToGrid/>
                <w:sz w:val="20"/>
                <w:szCs w:val="24"/>
              </w:rPr>
            </w:pPr>
            <w:r w:rsidRPr="00D439EE">
              <w:rPr>
                <w:rFonts w:ascii="Arial Narrow" w:eastAsiaTheme="minorHAnsi" w:hAnsi="Arial Narrow" w:cstheme="minorBidi"/>
                <w:b/>
                <w:snapToGrid/>
                <w:sz w:val="20"/>
                <w:szCs w:val="24"/>
              </w:rPr>
              <w:t>Indication</w:t>
            </w:r>
          </w:p>
        </w:tc>
        <w:tc>
          <w:tcPr>
            <w:tcW w:w="579" w:type="pct"/>
            <w:vAlign w:val="center"/>
          </w:tcPr>
          <w:p w:rsidR="00F91C0A" w:rsidRPr="00D439EE" w:rsidRDefault="00F91C0A" w:rsidP="00313D08">
            <w:pPr>
              <w:pStyle w:val="ListParagraph"/>
              <w:keepNext/>
              <w:widowControl/>
              <w:ind w:left="0"/>
              <w:contextualSpacing w:val="0"/>
              <w:jc w:val="center"/>
              <w:rPr>
                <w:rFonts w:ascii="Arial Narrow" w:eastAsiaTheme="minorHAnsi" w:hAnsi="Arial Narrow" w:cstheme="minorBidi"/>
                <w:b/>
                <w:snapToGrid/>
                <w:sz w:val="20"/>
                <w:szCs w:val="24"/>
              </w:rPr>
            </w:pPr>
            <w:r w:rsidRPr="00D439EE">
              <w:rPr>
                <w:rFonts w:ascii="Arial Narrow" w:eastAsiaTheme="minorHAnsi" w:hAnsi="Arial Narrow" w:cstheme="minorBidi"/>
                <w:b/>
                <w:snapToGrid/>
                <w:sz w:val="20"/>
                <w:szCs w:val="24"/>
              </w:rPr>
              <w:t>Mean</w:t>
            </w:r>
          </w:p>
        </w:tc>
        <w:tc>
          <w:tcPr>
            <w:tcW w:w="460" w:type="pct"/>
            <w:vAlign w:val="center"/>
          </w:tcPr>
          <w:p w:rsidR="00F91C0A" w:rsidRPr="00D439EE" w:rsidRDefault="00F91C0A" w:rsidP="00313D08">
            <w:pPr>
              <w:pStyle w:val="ListParagraph"/>
              <w:keepNext/>
              <w:widowControl/>
              <w:ind w:left="0"/>
              <w:contextualSpacing w:val="0"/>
              <w:jc w:val="center"/>
              <w:rPr>
                <w:rFonts w:ascii="Arial Narrow" w:eastAsiaTheme="minorHAnsi" w:hAnsi="Arial Narrow" w:cstheme="minorBidi"/>
                <w:b/>
                <w:snapToGrid/>
                <w:sz w:val="20"/>
                <w:szCs w:val="24"/>
              </w:rPr>
            </w:pPr>
            <w:r w:rsidRPr="00D439EE">
              <w:rPr>
                <w:rFonts w:ascii="Arial Narrow" w:eastAsiaTheme="minorHAnsi" w:hAnsi="Arial Narrow" w:cstheme="minorBidi"/>
                <w:b/>
                <w:snapToGrid/>
                <w:sz w:val="20"/>
                <w:szCs w:val="24"/>
              </w:rPr>
              <w:t>Median</w:t>
            </w:r>
          </w:p>
        </w:tc>
        <w:tc>
          <w:tcPr>
            <w:tcW w:w="451" w:type="pct"/>
            <w:vAlign w:val="center"/>
          </w:tcPr>
          <w:p w:rsidR="00F91C0A" w:rsidRPr="00D439EE" w:rsidRDefault="00F91C0A" w:rsidP="00313D08">
            <w:pPr>
              <w:pStyle w:val="ListParagraph"/>
              <w:keepNext/>
              <w:widowControl/>
              <w:ind w:left="0"/>
              <w:contextualSpacing w:val="0"/>
              <w:jc w:val="center"/>
              <w:rPr>
                <w:rFonts w:ascii="Arial Narrow" w:eastAsiaTheme="minorHAnsi" w:hAnsi="Arial Narrow" w:cstheme="minorBidi"/>
                <w:b/>
                <w:snapToGrid/>
                <w:sz w:val="20"/>
                <w:szCs w:val="24"/>
              </w:rPr>
            </w:pPr>
            <w:r w:rsidRPr="00D439EE">
              <w:rPr>
                <w:rFonts w:ascii="Arial Narrow" w:eastAsiaTheme="minorHAnsi" w:hAnsi="Arial Narrow" w:cstheme="minorBidi"/>
                <w:b/>
                <w:snapToGrid/>
                <w:sz w:val="20"/>
                <w:szCs w:val="24"/>
              </w:rPr>
              <w:t>Mode</w:t>
            </w:r>
          </w:p>
        </w:tc>
      </w:tr>
      <w:tr w:rsidR="00F91C0A" w:rsidRPr="00D439EE" w:rsidTr="00DD129C">
        <w:trPr>
          <w:trHeight w:val="57"/>
          <w:tblHeader/>
        </w:trPr>
        <w:tc>
          <w:tcPr>
            <w:tcW w:w="3510" w:type="pct"/>
          </w:tcPr>
          <w:p w:rsidR="00F91C0A" w:rsidRPr="00D439EE" w:rsidRDefault="00F91C0A" w:rsidP="00313D08">
            <w:pPr>
              <w:pStyle w:val="ListParagraph"/>
              <w:keepNext/>
              <w:widowControl/>
              <w:ind w:left="0"/>
              <w:contextualSpacing w:val="0"/>
              <w:rPr>
                <w:rFonts w:ascii="Arial Narrow" w:eastAsiaTheme="minorHAnsi" w:hAnsi="Arial Narrow" w:cstheme="minorBidi"/>
                <w:snapToGrid/>
                <w:sz w:val="20"/>
                <w:szCs w:val="24"/>
                <w:vertAlign w:val="superscript"/>
              </w:rPr>
            </w:pPr>
            <w:r w:rsidRPr="00D439EE">
              <w:rPr>
                <w:rFonts w:ascii="Arial Narrow" w:eastAsiaTheme="minorHAnsi" w:hAnsi="Arial Narrow" w:cstheme="minorBidi"/>
                <w:snapToGrid/>
                <w:sz w:val="20"/>
                <w:szCs w:val="22"/>
              </w:rPr>
              <w:t xml:space="preserve">Unresectable Stage III or Stage IV malignant </w:t>
            </w:r>
            <w:proofErr w:type="spellStart"/>
            <w:r w:rsidRPr="00D439EE">
              <w:rPr>
                <w:rFonts w:ascii="Arial Narrow" w:eastAsiaTheme="minorHAnsi" w:hAnsi="Arial Narrow" w:cstheme="minorBidi"/>
                <w:snapToGrid/>
                <w:sz w:val="20"/>
                <w:szCs w:val="22"/>
              </w:rPr>
              <w:t>melanoma</w:t>
            </w:r>
            <w:r w:rsidR="004B7412" w:rsidRPr="00D439EE">
              <w:rPr>
                <w:rFonts w:ascii="Arial Narrow" w:eastAsiaTheme="minorHAnsi" w:hAnsi="Arial Narrow" w:cstheme="minorBidi"/>
                <w:snapToGrid/>
                <w:sz w:val="20"/>
                <w:szCs w:val="22"/>
                <w:vertAlign w:val="superscript"/>
              </w:rPr>
              <w:t>a</w:t>
            </w:r>
            <w:proofErr w:type="spellEnd"/>
          </w:p>
        </w:tc>
        <w:tc>
          <w:tcPr>
            <w:tcW w:w="579"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 xml:space="preserve">'''''''''''''''' </w:t>
            </w:r>
            <w:r w:rsidR="0095474B" w:rsidRPr="00D439EE">
              <w:rPr>
                <w:rFonts w:ascii="Arial Narrow" w:eastAsiaTheme="minorHAnsi" w:hAnsi="Arial Narrow" w:cstheme="minorBidi"/>
                <w:snapToGrid/>
                <w:sz w:val="20"/>
                <w:szCs w:val="24"/>
              </w:rPr>
              <w:t>mg</w:t>
            </w:r>
          </w:p>
        </w:tc>
        <w:tc>
          <w:tcPr>
            <w:tcW w:w="460"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95474B" w:rsidRPr="00D439EE">
              <w:rPr>
                <w:rFonts w:ascii="Arial Narrow" w:eastAsiaTheme="minorHAnsi" w:hAnsi="Arial Narrow" w:cstheme="minorBidi"/>
                <w:snapToGrid/>
                <w:sz w:val="20"/>
                <w:szCs w:val="24"/>
              </w:rPr>
              <w:t xml:space="preserve"> mg</w:t>
            </w:r>
          </w:p>
        </w:tc>
        <w:tc>
          <w:tcPr>
            <w:tcW w:w="451"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95474B" w:rsidRPr="00D439EE">
              <w:rPr>
                <w:rFonts w:ascii="Arial Narrow" w:eastAsiaTheme="minorHAnsi" w:hAnsi="Arial Narrow" w:cstheme="minorBidi"/>
                <w:snapToGrid/>
                <w:sz w:val="20"/>
                <w:szCs w:val="24"/>
              </w:rPr>
              <w:t xml:space="preserve"> mg</w:t>
            </w:r>
          </w:p>
        </w:tc>
      </w:tr>
      <w:tr w:rsidR="00F91C0A" w:rsidRPr="00D439EE" w:rsidTr="00DD129C">
        <w:trPr>
          <w:trHeight w:val="57"/>
          <w:tblHeader/>
        </w:trPr>
        <w:tc>
          <w:tcPr>
            <w:tcW w:w="3510" w:type="pct"/>
          </w:tcPr>
          <w:p w:rsidR="00F91C0A" w:rsidRPr="00D439EE" w:rsidRDefault="00F91C0A" w:rsidP="00313D08">
            <w:pPr>
              <w:pStyle w:val="ListParagraph"/>
              <w:keepNext/>
              <w:widowControl/>
              <w:ind w:left="0"/>
              <w:contextualSpacing w:val="0"/>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2"/>
              </w:rPr>
              <w:t>Locally advance</w:t>
            </w:r>
            <w:r w:rsidR="0030238A" w:rsidRPr="00D439EE">
              <w:rPr>
                <w:rFonts w:ascii="Arial Narrow" w:eastAsiaTheme="minorHAnsi" w:hAnsi="Arial Narrow" w:cstheme="minorBidi"/>
                <w:snapToGrid/>
                <w:sz w:val="20"/>
                <w:szCs w:val="22"/>
              </w:rPr>
              <w:t>d</w:t>
            </w:r>
            <w:r w:rsidRPr="00D439EE">
              <w:rPr>
                <w:rFonts w:ascii="Arial Narrow" w:eastAsiaTheme="minorHAnsi" w:hAnsi="Arial Narrow" w:cstheme="minorBidi"/>
                <w:snapToGrid/>
                <w:sz w:val="20"/>
                <w:szCs w:val="22"/>
              </w:rPr>
              <w:t xml:space="preserve"> or metastatic non-small cell lung cancer </w:t>
            </w:r>
          </w:p>
        </w:tc>
        <w:tc>
          <w:tcPr>
            <w:tcW w:w="579"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95474B" w:rsidRPr="00D439EE">
              <w:rPr>
                <w:rFonts w:ascii="Arial Narrow" w:eastAsiaTheme="minorHAnsi" w:hAnsi="Arial Narrow" w:cstheme="minorBidi"/>
                <w:snapToGrid/>
                <w:sz w:val="20"/>
                <w:szCs w:val="24"/>
              </w:rPr>
              <w:t xml:space="preserve"> mg</w:t>
            </w:r>
          </w:p>
        </w:tc>
        <w:tc>
          <w:tcPr>
            <w:tcW w:w="460"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95474B" w:rsidRPr="00D439EE">
              <w:rPr>
                <w:rFonts w:ascii="Arial Narrow" w:eastAsiaTheme="minorHAnsi" w:hAnsi="Arial Narrow" w:cstheme="minorBidi"/>
                <w:snapToGrid/>
                <w:sz w:val="20"/>
                <w:szCs w:val="24"/>
              </w:rPr>
              <w:t xml:space="preserve"> mg</w:t>
            </w:r>
          </w:p>
        </w:tc>
        <w:tc>
          <w:tcPr>
            <w:tcW w:w="451"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95474B" w:rsidRPr="00D439EE">
              <w:rPr>
                <w:rFonts w:ascii="Arial Narrow" w:eastAsiaTheme="minorHAnsi" w:hAnsi="Arial Narrow" w:cstheme="minorBidi"/>
                <w:snapToGrid/>
                <w:sz w:val="20"/>
                <w:szCs w:val="24"/>
              </w:rPr>
              <w:t xml:space="preserve"> mg</w:t>
            </w:r>
          </w:p>
        </w:tc>
      </w:tr>
      <w:tr w:rsidR="00F91C0A" w:rsidRPr="00D439EE" w:rsidTr="00DD129C">
        <w:trPr>
          <w:trHeight w:val="57"/>
          <w:tblHeader/>
        </w:trPr>
        <w:tc>
          <w:tcPr>
            <w:tcW w:w="3510" w:type="pct"/>
          </w:tcPr>
          <w:p w:rsidR="00F91C0A" w:rsidRPr="00D439EE" w:rsidRDefault="00F91C0A" w:rsidP="00313D08">
            <w:pPr>
              <w:pStyle w:val="ListParagraph"/>
              <w:keepNext/>
              <w:widowControl/>
              <w:ind w:left="0"/>
              <w:contextualSpacing w:val="0"/>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2"/>
              </w:rPr>
              <w:t>Stage IV clear cell variant renal cell carcinoma (following TKI treatment)</w:t>
            </w:r>
          </w:p>
        </w:tc>
        <w:tc>
          <w:tcPr>
            <w:tcW w:w="579"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 xml:space="preserve">'''''''''''''''' </w:t>
            </w:r>
            <w:r w:rsidR="006D02D1" w:rsidRPr="00D439EE">
              <w:rPr>
                <w:rFonts w:ascii="Arial Narrow" w:eastAsiaTheme="minorHAnsi" w:hAnsi="Arial Narrow" w:cstheme="minorBidi"/>
                <w:snapToGrid/>
                <w:sz w:val="20"/>
                <w:szCs w:val="24"/>
              </w:rPr>
              <w:t>mg</w:t>
            </w:r>
          </w:p>
        </w:tc>
        <w:tc>
          <w:tcPr>
            <w:tcW w:w="460"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6D02D1" w:rsidRPr="00D439EE">
              <w:rPr>
                <w:rFonts w:ascii="Arial Narrow" w:eastAsiaTheme="minorHAnsi" w:hAnsi="Arial Narrow" w:cstheme="minorBidi"/>
                <w:snapToGrid/>
                <w:sz w:val="20"/>
                <w:szCs w:val="24"/>
              </w:rPr>
              <w:t xml:space="preserve"> mg</w:t>
            </w:r>
          </w:p>
        </w:tc>
        <w:tc>
          <w:tcPr>
            <w:tcW w:w="451" w:type="pct"/>
            <w:vAlign w:val="center"/>
          </w:tcPr>
          <w:p w:rsidR="00F91C0A" w:rsidRPr="00D439EE" w:rsidRDefault="00C20FEC" w:rsidP="00313D08">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6D02D1" w:rsidRPr="00D439EE">
              <w:rPr>
                <w:rFonts w:ascii="Arial Narrow" w:eastAsiaTheme="minorHAnsi" w:hAnsi="Arial Narrow" w:cstheme="minorBidi"/>
                <w:snapToGrid/>
                <w:sz w:val="20"/>
                <w:szCs w:val="24"/>
              </w:rPr>
              <w:t xml:space="preserve"> mg</w:t>
            </w:r>
          </w:p>
        </w:tc>
      </w:tr>
      <w:tr w:rsidR="00F1189D" w:rsidRPr="00D439EE" w:rsidTr="00DD129C">
        <w:trPr>
          <w:trHeight w:val="57"/>
          <w:tblHeader/>
        </w:trPr>
        <w:tc>
          <w:tcPr>
            <w:tcW w:w="3510" w:type="pct"/>
          </w:tcPr>
          <w:p w:rsidR="00F1189D" w:rsidRPr="00D439EE" w:rsidRDefault="00F1189D" w:rsidP="00F1189D">
            <w:pPr>
              <w:pStyle w:val="ListParagraph"/>
              <w:keepNext/>
              <w:widowControl/>
              <w:ind w:left="0"/>
              <w:contextualSpacing w:val="0"/>
              <w:rPr>
                <w:rFonts w:ascii="Arial Narrow" w:eastAsiaTheme="minorHAnsi" w:hAnsi="Arial Narrow" w:cstheme="minorBidi"/>
                <w:snapToGrid/>
                <w:sz w:val="20"/>
                <w:szCs w:val="24"/>
              </w:rPr>
            </w:pPr>
            <w:r w:rsidRPr="00D439EE">
              <w:rPr>
                <w:rFonts w:ascii="Arial Narrow" w:eastAsiaTheme="minorHAnsi" w:hAnsi="Arial Narrow" w:cstheme="minorBidi"/>
                <w:snapToGrid/>
                <w:sz w:val="20"/>
                <w:szCs w:val="22"/>
              </w:rPr>
              <w:t>Recurrent or metastatic squamous cell carcinoma of the oral cavity, pharynx or larynx</w:t>
            </w:r>
          </w:p>
        </w:tc>
        <w:tc>
          <w:tcPr>
            <w:tcW w:w="579" w:type="pct"/>
            <w:vAlign w:val="center"/>
          </w:tcPr>
          <w:p w:rsidR="00F1189D" w:rsidRPr="001252E0" w:rsidRDefault="00C20FEC" w:rsidP="00F1189D">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 xml:space="preserve">'''''''''''''''' </w:t>
            </w:r>
            <w:r w:rsidR="00F1189D" w:rsidRPr="001252E0">
              <w:rPr>
                <w:rFonts w:ascii="Arial Narrow" w:eastAsiaTheme="minorHAnsi" w:hAnsi="Arial Narrow" w:cstheme="minorBidi"/>
                <w:snapToGrid/>
                <w:sz w:val="20"/>
                <w:szCs w:val="24"/>
              </w:rPr>
              <w:t>mg</w:t>
            </w:r>
          </w:p>
        </w:tc>
        <w:tc>
          <w:tcPr>
            <w:tcW w:w="460" w:type="pct"/>
            <w:vAlign w:val="center"/>
          </w:tcPr>
          <w:p w:rsidR="00F1189D" w:rsidRPr="001252E0" w:rsidRDefault="00C20FEC" w:rsidP="00F1189D">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F1189D" w:rsidRPr="001252E0">
              <w:rPr>
                <w:rFonts w:ascii="Arial Narrow" w:eastAsiaTheme="minorHAnsi" w:hAnsi="Arial Narrow" w:cstheme="minorBidi"/>
                <w:snapToGrid/>
                <w:sz w:val="20"/>
                <w:szCs w:val="24"/>
              </w:rPr>
              <w:t xml:space="preserve"> mg</w:t>
            </w:r>
          </w:p>
        </w:tc>
        <w:tc>
          <w:tcPr>
            <w:tcW w:w="451" w:type="pct"/>
            <w:vAlign w:val="center"/>
          </w:tcPr>
          <w:p w:rsidR="00F1189D" w:rsidRPr="001252E0" w:rsidRDefault="00C20FEC" w:rsidP="00F1189D">
            <w:pPr>
              <w:pStyle w:val="ListParagraph"/>
              <w:keepNext/>
              <w:widowControl/>
              <w:ind w:left="0"/>
              <w:contextualSpacing w:val="0"/>
              <w:jc w:val="center"/>
              <w:rPr>
                <w:rFonts w:ascii="Arial Narrow" w:eastAsiaTheme="minorHAnsi" w:hAnsi="Arial Narrow" w:cstheme="minorBidi"/>
                <w:snapToGrid/>
                <w:sz w:val="20"/>
                <w:szCs w:val="24"/>
              </w:rPr>
            </w:pPr>
            <w:r>
              <w:rPr>
                <w:rFonts w:ascii="Arial Narrow" w:eastAsiaTheme="minorHAnsi" w:hAnsi="Arial Narrow" w:cstheme="minorBidi"/>
                <w:noProof/>
                <w:snapToGrid/>
                <w:color w:val="000000"/>
                <w:sz w:val="20"/>
                <w:szCs w:val="24"/>
                <w:highlight w:val="black"/>
              </w:rPr>
              <w:t>'''''''''</w:t>
            </w:r>
            <w:r w:rsidR="00F1189D" w:rsidRPr="001252E0">
              <w:rPr>
                <w:rFonts w:ascii="Arial Narrow" w:eastAsiaTheme="minorHAnsi" w:hAnsi="Arial Narrow" w:cstheme="minorBidi"/>
                <w:snapToGrid/>
                <w:sz w:val="20"/>
                <w:szCs w:val="24"/>
              </w:rPr>
              <w:t xml:space="preserve"> mg</w:t>
            </w:r>
          </w:p>
        </w:tc>
      </w:tr>
    </w:tbl>
    <w:p w:rsidR="003C1F09" w:rsidRPr="00D439EE" w:rsidRDefault="005C1765" w:rsidP="00313D08">
      <w:pPr>
        <w:keepNext/>
        <w:rPr>
          <w:rFonts w:ascii="Arial Narrow" w:eastAsiaTheme="minorHAnsi" w:hAnsi="Arial Narrow" w:cstheme="minorBidi"/>
          <w:sz w:val="18"/>
        </w:rPr>
      </w:pPr>
      <w:r w:rsidRPr="00D439EE">
        <w:rPr>
          <w:rFonts w:ascii="Arial Narrow" w:eastAsiaTheme="minorHAnsi" w:hAnsi="Arial Narrow" w:cstheme="minorBidi"/>
          <w:sz w:val="18"/>
        </w:rPr>
        <w:t>Source: Data generated by the SAS System (‘</w:t>
      </w:r>
      <w:proofErr w:type="spellStart"/>
      <w:r w:rsidRPr="00D439EE">
        <w:rPr>
          <w:rFonts w:ascii="Arial Narrow" w:eastAsiaTheme="minorHAnsi" w:hAnsi="Arial Narrow" w:cstheme="minorBidi"/>
          <w:sz w:val="18"/>
        </w:rPr>
        <w:t>SASApp</w:t>
      </w:r>
      <w:proofErr w:type="spellEnd"/>
      <w:r w:rsidRPr="00D439EE">
        <w:rPr>
          <w:rFonts w:ascii="Arial Narrow" w:eastAsiaTheme="minorHAnsi" w:hAnsi="Arial Narrow" w:cstheme="minorBidi"/>
          <w:sz w:val="18"/>
        </w:rPr>
        <w:t>’, Linux)</w:t>
      </w:r>
    </w:p>
    <w:p w:rsidR="004B7412" w:rsidRPr="00D439EE" w:rsidRDefault="004B7412" w:rsidP="00313D08">
      <w:pPr>
        <w:spacing w:after="120"/>
        <w:rPr>
          <w:rFonts w:ascii="Arial Narrow" w:eastAsiaTheme="minorHAnsi" w:hAnsi="Arial Narrow" w:cstheme="minorBidi"/>
          <w:sz w:val="18"/>
        </w:rPr>
      </w:pPr>
      <w:proofErr w:type="spellStart"/>
      <w:proofErr w:type="gramStart"/>
      <w:r w:rsidRPr="00D439EE">
        <w:rPr>
          <w:rFonts w:ascii="Arial Narrow" w:eastAsiaTheme="minorHAnsi" w:hAnsi="Arial Narrow" w:cstheme="minorBidi"/>
          <w:sz w:val="18"/>
          <w:vertAlign w:val="superscript"/>
        </w:rPr>
        <w:t>a</w:t>
      </w:r>
      <w:proofErr w:type="spellEnd"/>
      <w:proofErr w:type="gramEnd"/>
      <w:r w:rsidR="003F7854" w:rsidRPr="00D439EE">
        <w:rPr>
          <w:rFonts w:ascii="Arial Narrow" w:eastAsiaTheme="minorHAnsi" w:hAnsi="Arial Narrow" w:cstheme="minorBidi"/>
          <w:sz w:val="18"/>
          <w:vertAlign w:val="superscript"/>
        </w:rPr>
        <w:t xml:space="preserve"> </w:t>
      </w:r>
      <w:r w:rsidR="004471BD" w:rsidRPr="00D439EE">
        <w:rPr>
          <w:rFonts w:ascii="Arial Narrow" w:eastAsiaTheme="minorHAnsi" w:hAnsi="Arial Narrow" w:cstheme="minorBidi"/>
          <w:sz w:val="18"/>
        </w:rPr>
        <w:t>Includes utilisation data for nivolumab</w:t>
      </w:r>
      <w:r w:rsidR="00FD70A3" w:rsidRPr="00D439EE">
        <w:rPr>
          <w:rFonts w:ascii="Arial Narrow" w:eastAsiaTheme="minorHAnsi" w:hAnsi="Arial Narrow" w:cstheme="minorBidi"/>
          <w:sz w:val="18"/>
        </w:rPr>
        <w:t xml:space="preserve"> administered</w:t>
      </w:r>
      <w:r w:rsidR="004471BD" w:rsidRPr="00D439EE">
        <w:rPr>
          <w:rFonts w:ascii="Arial Narrow" w:eastAsiaTheme="minorHAnsi" w:hAnsi="Arial Narrow" w:cstheme="minorBidi"/>
          <w:sz w:val="18"/>
        </w:rPr>
        <w:t xml:space="preserve"> as monotherapy only</w:t>
      </w:r>
      <w:r w:rsidR="00FD70A3" w:rsidRPr="00D439EE">
        <w:rPr>
          <w:rFonts w:ascii="Arial Narrow" w:eastAsiaTheme="minorHAnsi" w:hAnsi="Arial Narrow" w:cstheme="minorBidi"/>
          <w:sz w:val="18"/>
        </w:rPr>
        <w:t xml:space="preserve"> (excluding nivolumab administe</w:t>
      </w:r>
      <w:r w:rsidR="003E7800" w:rsidRPr="00D439EE">
        <w:rPr>
          <w:rFonts w:ascii="Arial Narrow" w:eastAsiaTheme="minorHAnsi" w:hAnsi="Arial Narrow" w:cstheme="minorBidi"/>
          <w:sz w:val="18"/>
        </w:rPr>
        <w:t>re</w:t>
      </w:r>
      <w:r w:rsidR="00FD70A3" w:rsidRPr="00D439EE">
        <w:rPr>
          <w:rFonts w:ascii="Arial Narrow" w:eastAsiaTheme="minorHAnsi" w:hAnsi="Arial Narrow" w:cstheme="minorBidi"/>
          <w:sz w:val="18"/>
        </w:rPr>
        <w:t xml:space="preserve">d in combination with </w:t>
      </w:r>
      <w:proofErr w:type="spellStart"/>
      <w:r w:rsidR="00FD70A3" w:rsidRPr="00D439EE">
        <w:rPr>
          <w:rFonts w:ascii="Arial Narrow" w:eastAsiaTheme="minorHAnsi" w:hAnsi="Arial Narrow" w:cstheme="minorBidi"/>
          <w:sz w:val="18"/>
        </w:rPr>
        <w:t>ipilimumab</w:t>
      </w:r>
      <w:proofErr w:type="spellEnd"/>
      <w:r w:rsidR="00FD70A3" w:rsidRPr="00D439EE">
        <w:rPr>
          <w:rFonts w:ascii="Arial Narrow" w:eastAsiaTheme="minorHAnsi" w:hAnsi="Arial Narrow" w:cstheme="minorBidi"/>
          <w:sz w:val="18"/>
        </w:rPr>
        <w:t>)</w:t>
      </w:r>
      <w:r w:rsidR="00D439EE">
        <w:rPr>
          <w:rFonts w:ascii="Arial Narrow" w:eastAsiaTheme="minorHAnsi" w:hAnsi="Arial Narrow" w:cstheme="minorBidi"/>
          <w:sz w:val="18"/>
        </w:rPr>
        <w:t xml:space="preserve">. </w:t>
      </w:r>
    </w:p>
    <w:p w:rsidR="003C7AAE" w:rsidRPr="00D439EE" w:rsidRDefault="00870F2E" w:rsidP="007B416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The above analysis indicates that patients</w:t>
      </w:r>
      <w:r w:rsidR="00BD2B94" w:rsidRPr="00D439EE">
        <w:rPr>
          <w:rFonts w:asciiTheme="minorHAnsi" w:eastAsiaTheme="minorHAnsi" w:hAnsiTheme="minorHAnsi" w:cstheme="minorBidi"/>
          <w:snapToGrid/>
          <w:sz w:val="24"/>
          <w:szCs w:val="24"/>
        </w:rPr>
        <w:t xml:space="preserve"> </w:t>
      </w:r>
      <w:r w:rsidR="00235A60" w:rsidRPr="00D439EE">
        <w:rPr>
          <w:rFonts w:asciiTheme="minorHAnsi" w:eastAsiaTheme="minorHAnsi" w:hAnsiTheme="minorHAnsi" w:cstheme="minorBidi"/>
          <w:snapToGrid/>
          <w:sz w:val="24"/>
          <w:szCs w:val="24"/>
        </w:rPr>
        <w:t xml:space="preserve">on average, </w:t>
      </w:r>
      <w:r w:rsidR="00B579B2" w:rsidRPr="00D439EE">
        <w:rPr>
          <w:rFonts w:asciiTheme="minorHAnsi" w:eastAsiaTheme="minorHAnsi" w:hAnsiTheme="minorHAnsi" w:cstheme="minorBidi"/>
          <w:snapToGrid/>
          <w:sz w:val="24"/>
          <w:szCs w:val="24"/>
        </w:rPr>
        <w:t xml:space="preserve">across most indications except </w:t>
      </w:r>
      <w:r w:rsidR="00A1537A" w:rsidRPr="00D439EE">
        <w:rPr>
          <w:rFonts w:asciiTheme="minorHAnsi" w:eastAsiaTheme="minorHAnsi" w:hAnsiTheme="minorHAnsi" w:cstheme="minorBidi"/>
          <w:snapToGrid/>
          <w:sz w:val="24"/>
          <w:szCs w:val="24"/>
        </w:rPr>
        <w:t>2L</w:t>
      </w:r>
      <w:r w:rsidR="00B579B2" w:rsidRPr="00D439EE">
        <w:rPr>
          <w:rFonts w:asciiTheme="minorHAnsi" w:eastAsiaTheme="minorHAnsi" w:hAnsiTheme="minorHAnsi" w:cstheme="minorBidi"/>
          <w:snapToGrid/>
          <w:sz w:val="24"/>
          <w:szCs w:val="24"/>
        </w:rPr>
        <w:t xml:space="preserve"> RCC</w:t>
      </w:r>
      <w:r w:rsidRPr="00D439EE">
        <w:rPr>
          <w:rFonts w:asciiTheme="minorHAnsi" w:eastAsiaTheme="minorHAnsi" w:hAnsiTheme="minorHAnsi" w:cstheme="minorBidi"/>
          <w:snapToGrid/>
          <w:sz w:val="24"/>
          <w:szCs w:val="24"/>
        </w:rPr>
        <w:t xml:space="preserve"> require a dose less than 240 mg</w:t>
      </w:r>
      <w:r w:rsidR="00A1537A" w:rsidRPr="00D439EE">
        <w:rPr>
          <w:rFonts w:asciiTheme="minorHAnsi" w:eastAsiaTheme="minorHAnsi" w:hAnsiTheme="minorHAnsi" w:cstheme="minorBidi"/>
          <w:snapToGrid/>
          <w:sz w:val="24"/>
          <w:szCs w:val="24"/>
        </w:rPr>
        <w:t>. As such,</w:t>
      </w:r>
      <w:r w:rsidRPr="00D439EE">
        <w:rPr>
          <w:rFonts w:asciiTheme="minorHAnsi" w:eastAsiaTheme="minorHAnsi" w:hAnsiTheme="minorHAnsi" w:cstheme="minorBidi"/>
          <w:snapToGrid/>
          <w:sz w:val="24"/>
          <w:szCs w:val="24"/>
        </w:rPr>
        <w:t xml:space="preserve"> the addition of </w:t>
      </w:r>
      <w:r w:rsidR="00932DBF" w:rsidRPr="00D439EE">
        <w:rPr>
          <w:rFonts w:asciiTheme="minorHAnsi" w:eastAsiaTheme="minorHAnsi" w:hAnsiTheme="minorHAnsi" w:cstheme="minorBidi"/>
          <w:snapToGrid/>
          <w:sz w:val="24"/>
          <w:szCs w:val="24"/>
        </w:rPr>
        <w:t xml:space="preserve">flat </w:t>
      </w:r>
      <w:r w:rsidR="000C19A1" w:rsidRPr="00D439EE">
        <w:rPr>
          <w:rFonts w:asciiTheme="minorHAnsi" w:eastAsiaTheme="minorHAnsi" w:hAnsiTheme="minorHAnsi" w:cstheme="minorBidi"/>
          <w:snapToGrid/>
          <w:sz w:val="24"/>
          <w:szCs w:val="24"/>
        </w:rPr>
        <w:t xml:space="preserve">nivolumab </w:t>
      </w:r>
      <w:r w:rsidRPr="00D439EE">
        <w:rPr>
          <w:rFonts w:asciiTheme="minorHAnsi" w:eastAsiaTheme="minorHAnsi" w:hAnsiTheme="minorHAnsi" w:cstheme="minorBidi"/>
          <w:snapToGrid/>
          <w:sz w:val="24"/>
          <w:szCs w:val="24"/>
        </w:rPr>
        <w:t xml:space="preserve">dosing regimens of 240 mg Q2W and 480 mg Q4W may result in a higher </w:t>
      </w:r>
      <w:r w:rsidR="00B579B2" w:rsidRPr="00D439EE">
        <w:rPr>
          <w:rFonts w:asciiTheme="minorHAnsi" w:eastAsiaTheme="minorHAnsi" w:hAnsiTheme="minorHAnsi" w:cstheme="minorBidi"/>
          <w:snapToGrid/>
          <w:sz w:val="24"/>
          <w:szCs w:val="24"/>
        </w:rPr>
        <w:t xml:space="preserve">average </w:t>
      </w:r>
      <w:r w:rsidRPr="00D439EE">
        <w:rPr>
          <w:rFonts w:asciiTheme="minorHAnsi" w:eastAsiaTheme="minorHAnsi" w:hAnsiTheme="minorHAnsi" w:cstheme="minorBidi"/>
          <w:snapToGrid/>
          <w:sz w:val="24"/>
          <w:szCs w:val="24"/>
        </w:rPr>
        <w:t xml:space="preserve">cost </w:t>
      </w:r>
      <w:r w:rsidR="00B579B2" w:rsidRPr="00D439EE">
        <w:rPr>
          <w:rFonts w:asciiTheme="minorHAnsi" w:eastAsiaTheme="minorHAnsi" w:hAnsiTheme="minorHAnsi" w:cstheme="minorBidi"/>
          <w:snapToGrid/>
          <w:sz w:val="24"/>
          <w:szCs w:val="24"/>
        </w:rPr>
        <w:t xml:space="preserve">per patient </w:t>
      </w:r>
      <w:r w:rsidRPr="00D439EE">
        <w:rPr>
          <w:rFonts w:asciiTheme="minorHAnsi" w:eastAsiaTheme="minorHAnsi" w:hAnsiTheme="minorHAnsi" w:cstheme="minorBidi"/>
          <w:snapToGrid/>
          <w:sz w:val="24"/>
          <w:szCs w:val="24"/>
        </w:rPr>
        <w:t>to Government</w:t>
      </w:r>
      <w:r w:rsidR="00B579B2" w:rsidRPr="00D439EE">
        <w:rPr>
          <w:rFonts w:asciiTheme="minorHAnsi" w:eastAsiaTheme="minorHAnsi" w:hAnsiTheme="minorHAnsi" w:cstheme="minorBidi"/>
          <w:snapToGrid/>
          <w:sz w:val="24"/>
          <w:szCs w:val="24"/>
        </w:rPr>
        <w:t xml:space="preserve"> </w:t>
      </w:r>
      <w:r w:rsidR="00B247E9" w:rsidRPr="00D439EE">
        <w:rPr>
          <w:rFonts w:asciiTheme="minorHAnsi" w:eastAsiaTheme="minorHAnsi" w:hAnsiTheme="minorHAnsi" w:cstheme="minorBidi"/>
          <w:snapToGrid/>
          <w:sz w:val="24"/>
          <w:szCs w:val="24"/>
        </w:rPr>
        <w:t>for these</w:t>
      </w:r>
      <w:r w:rsidR="00B579B2" w:rsidRPr="00D439EE">
        <w:rPr>
          <w:rFonts w:asciiTheme="minorHAnsi" w:eastAsiaTheme="minorHAnsi" w:hAnsiTheme="minorHAnsi" w:cstheme="minorBidi"/>
          <w:snapToGrid/>
          <w:sz w:val="24"/>
          <w:szCs w:val="24"/>
        </w:rPr>
        <w:t xml:space="preserve"> indications</w:t>
      </w:r>
      <w:r w:rsidRPr="00D439EE">
        <w:rPr>
          <w:rFonts w:asciiTheme="minorHAnsi" w:eastAsiaTheme="minorHAnsi" w:hAnsiTheme="minorHAnsi" w:cstheme="minorBidi"/>
          <w:snapToGrid/>
          <w:sz w:val="24"/>
          <w:szCs w:val="24"/>
        </w:rPr>
        <w:t xml:space="preserve">. </w:t>
      </w:r>
    </w:p>
    <w:p w:rsidR="005D5604" w:rsidRPr="00D439EE" w:rsidRDefault="005D5604" w:rsidP="007B416E">
      <w:pPr>
        <w:pStyle w:val="Heading2"/>
        <w:spacing w:before="120"/>
        <w:rPr>
          <w:lang w:eastAsia="en-US"/>
        </w:rPr>
      </w:pPr>
      <w:r w:rsidRPr="00D439EE">
        <w:rPr>
          <w:lang w:eastAsia="en-US"/>
        </w:rPr>
        <w:t>Risk Sharing Arrangement</w:t>
      </w:r>
      <w:r w:rsidR="00210CF1" w:rsidRPr="00D439EE">
        <w:rPr>
          <w:lang w:eastAsia="en-US"/>
        </w:rPr>
        <w:t>s</w:t>
      </w:r>
      <w:bookmarkStart w:id="0" w:name="_GoBack"/>
      <w:bookmarkEnd w:id="0"/>
    </w:p>
    <w:p w:rsidR="00494113" w:rsidRDefault="000C19A1" w:rsidP="007B416E">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D439EE">
        <w:rPr>
          <w:rFonts w:asciiTheme="minorHAnsi" w:eastAsiaTheme="minorHAnsi" w:hAnsiTheme="minorHAnsi" w:cstheme="minorBidi"/>
          <w:snapToGrid/>
          <w:sz w:val="24"/>
          <w:szCs w:val="24"/>
        </w:rPr>
        <w:t>D</w:t>
      </w:r>
      <w:r w:rsidR="000041B1" w:rsidRPr="00D439EE">
        <w:rPr>
          <w:rFonts w:asciiTheme="minorHAnsi" w:eastAsiaTheme="minorHAnsi" w:hAnsiTheme="minorHAnsi" w:cstheme="minorBidi"/>
          <w:snapToGrid/>
          <w:sz w:val="24"/>
          <w:szCs w:val="24"/>
        </w:rPr>
        <w:t>epartmental data on annual expenditure compared with the corresponding</w:t>
      </w:r>
      <w:r w:rsidR="00BF2F57" w:rsidRPr="00D439EE">
        <w:rPr>
          <w:rFonts w:asciiTheme="minorHAnsi" w:eastAsiaTheme="minorHAnsi" w:hAnsiTheme="minorHAnsi" w:cstheme="minorBidi"/>
          <w:snapToGrid/>
          <w:sz w:val="24"/>
          <w:szCs w:val="24"/>
        </w:rPr>
        <w:t xml:space="preserve"> annual expenditure cap</w:t>
      </w:r>
      <w:r w:rsidR="001F4D43" w:rsidRPr="00D439EE">
        <w:rPr>
          <w:rFonts w:asciiTheme="minorHAnsi" w:eastAsiaTheme="minorHAnsi" w:hAnsiTheme="minorHAnsi" w:cstheme="minorBidi"/>
          <w:snapToGrid/>
          <w:sz w:val="24"/>
          <w:szCs w:val="24"/>
        </w:rPr>
        <w:t>s</w:t>
      </w:r>
      <w:r w:rsidR="00BF2F57" w:rsidRPr="00D439EE">
        <w:rPr>
          <w:rFonts w:asciiTheme="minorHAnsi" w:eastAsiaTheme="minorHAnsi" w:hAnsiTheme="minorHAnsi" w:cstheme="minorBidi"/>
          <w:snapToGrid/>
          <w:sz w:val="24"/>
          <w:szCs w:val="24"/>
        </w:rPr>
        <w:t xml:space="preserve"> under the current risk sharing arrangements for </w:t>
      </w:r>
      <w:r w:rsidRPr="00D439EE">
        <w:rPr>
          <w:rFonts w:asciiTheme="minorHAnsi" w:eastAsiaTheme="minorHAnsi" w:hAnsiTheme="minorHAnsi" w:cstheme="minorBidi"/>
          <w:snapToGrid/>
          <w:sz w:val="24"/>
          <w:szCs w:val="24"/>
        </w:rPr>
        <w:t>the</w:t>
      </w:r>
      <w:r w:rsidR="00BB04BF" w:rsidRPr="00D439EE">
        <w:rPr>
          <w:rFonts w:asciiTheme="minorHAnsi" w:eastAsiaTheme="minorHAnsi" w:hAnsiTheme="minorHAnsi" w:cstheme="minorBidi"/>
          <w:snapToGrid/>
          <w:sz w:val="24"/>
          <w:szCs w:val="24"/>
        </w:rPr>
        <w:t xml:space="preserve"> treatment of u</w:t>
      </w:r>
      <w:r w:rsidR="00BF2F57" w:rsidRPr="00D439EE">
        <w:rPr>
          <w:rFonts w:asciiTheme="minorHAnsi" w:eastAsiaTheme="minorHAnsi" w:hAnsiTheme="minorHAnsi" w:cstheme="minorBidi"/>
          <w:snapToGrid/>
          <w:sz w:val="24"/>
          <w:szCs w:val="24"/>
        </w:rPr>
        <w:t xml:space="preserve">nresectable </w:t>
      </w:r>
      <w:r w:rsidR="00582869" w:rsidRPr="00D439EE">
        <w:rPr>
          <w:rFonts w:asciiTheme="minorHAnsi" w:eastAsiaTheme="minorHAnsi" w:hAnsiTheme="minorHAnsi" w:cstheme="minorBidi"/>
          <w:snapToGrid/>
          <w:sz w:val="24"/>
          <w:szCs w:val="24"/>
        </w:rPr>
        <w:t>S</w:t>
      </w:r>
      <w:r w:rsidR="00BF2F57" w:rsidRPr="00D439EE">
        <w:rPr>
          <w:rFonts w:asciiTheme="minorHAnsi" w:eastAsiaTheme="minorHAnsi" w:hAnsiTheme="minorHAnsi" w:cstheme="minorBidi"/>
          <w:snapToGrid/>
          <w:sz w:val="24"/>
          <w:szCs w:val="24"/>
        </w:rPr>
        <w:t xml:space="preserve">tage III or </w:t>
      </w:r>
      <w:r w:rsidR="00582869" w:rsidRPr="00D439EE">
        <w:rPr>
          <w:rFonts w:asciiTheme="minorHAnsi" w:eastAsiaTheme="minorHAnsi" w:hAnsiTheme="minorHAnsi" w:cstheme="minorBidi"/>
          <w:snapToGrid/>
          <w:sz w:val="24"/>
          <w:szCs w:val="24"/>
        </w:rPr>
        <w:t>S</w:t>
      </w:r>
      <w:r w:rsidR="00BF2F57" w:rsidRPr="00D439EE">
        <w:rPr>
          <w:rFonts w:asciiTheme="minorHAnsi" w:eastAsiaTheme="minorHAnsi" w:hAnsiTheme="minorHAnsi" w:cstheme="minorBidi"/>
          <w:snapToGrid/>
          <w:sz w:val="24"/>
          <w:szCs w:val="24"/>
        </w:rPr>
        <w:t xml:space="preserve">tage IV malignant melanoma, </w:t>
      </w:r>
      <w:r w:rsidR="00BB04BF" w:rsidRPr="00D439EE">
        <w:rPr>
          <w:rFonts w:asciiTheme="minorHAnsi" w:eastAsiaTheme="minorHAnsi" w:hAnsiTheme="minorHAnsi" w:cstheme="minorBidi"/>
          <w:snapToGrid/>
          <w:sz w:val="24"/>
          <w:szCs w:val="24"/>
        </w:rPr>
        <w:t>l</w:t>
      </w:r>
      <w:r w:rsidR="00BF2F57" w:rsidRPr="00D439EE">
        <w:rPr>
          <w:rFonts w:asciiTheme="minorHAnsi" w:eastAsiaTheme="minorHAnsi" w:hAnsiTheme="minorHAnsi" w:cstheme="minorBidi"/>
          <w:snapToGrid/>
          <w:sz w:val="24"/>
          <w:szCs w:val="24"/>
        </w:rPr>
        <w:t xml:space="preserve">ocally advanced </w:t>
      </w:r>
      <w:r w:rsidRPr="00D439EE">
        <w:rPr>
          <w:rFonts w:asciiTheme="minorHAnsi" w:eastAsiaTheme="minorHAnsi" w:hAnsiTheme="minorHAnsi" w:cstheme="minorBidi"/>
          <w:snapToGrid/>
          <w:sz w:val="24"/>
          <w:szCs w:val="24"/>
        </w:rPr>
        <w:t xml:space="preserve">or metastatic NSCLC and </w:t>
      </w:r>
      <w:r w:rsidR="00582869" w:rsidRPr="00D439EE">
        <w:rPr>
          <w:rFonts w:asciiTheme="minorHAnsi" w:eastAsiaTheme="minorHAnsi" w:hAnsiTheme="minorHAnsi" w:cstheme="minorBidi"/>
          <w:snapToGrid/>
          <w:sz w:val="24"/>
          <w:szCs w:val="24"/>
        </w:rPr>
        <w:t>S</w:t>
      </w:r>
      <w:r w:rsidR="00BF2F57" w:rsidRPr="00D439EE">
        <w:rPr>
          <w:rFonts w:asciiTheme="minorHAnsi" w:eastAsiaTheme="minorHAnsi" w:hAnsiTheme="minorHAnsi" w:cstheme="minorBidi"/>
          <w:snapToGrid/>
          <w:sz w:val="24"/>
          <w:szCs w:val="24"/>
        </w:rPr>
        <w:t xml:space="preserve">tage IV clear cell variant RCC are shown in the tables below. </w:t>
      </w:r>
      <w:r w:rsidR="000041B1" w:rsidRPr="00D439EE">
        <w:rPr>
          <w:rFonts w:asciiTheme="minorHAnsi" w:eastAsiaTheme="minorHAnsi" w:hAnsiTheme="minorHAnsi" w:cstheme="minorBidi"/>
          <w:snapToGrid/>
          <w:sz w:val="24"/>
          <w:szCs w:val="24"/>
        </w:rPr>
        <w:t xml:space="preserve">Data on annual expenditure </w:t>
      </w:r>
      <w:r w:rsidR="00BB04BF" w:rsidRPr="00D439EE">
        <w:rPr>
          <w:rFonts w:asciiTheme="minorHAnsi" w:eastAsiaTheme="minorHAnsi" w:hAnsiTheme="minorHAnsi" w:cstheme="minorBidi"/>
          <w:snapToGrid/>
          <w:sz w:val="24"/>
          <w:szCs w:val="24"/>
        </w:rPr>
        <w:t xml:space="preserve">for the treatment of recurrent or metastatic SCCHN </w:t>
      </w:r>
      <w:r w:rsidR="000041B1" w:rsidRPr="00D439EE">
        <w:rPr>
          <w:rFonts w:asciiTheme="minorHAnsi" w:eastAsiaTheme="minorHAnsi" w:hAnsiTheme="minorHAnsi" w:cstheme="minorBidi"/>
          <w:snapToGrid/>
          <w:sz w:val="24"/>
          <w:szCs w:val="24"/>
        </w:rPr>
        <w:t>is currently not available as nivolumab was only listed for this indication on 1</w:t>
      </w:r>
      <w:r w:rsidR="00582869" w:rsidRPr="00D439EE">
        <w:rPr>
          <w:rFonts w:asciiTheme="minorHAnsi" w:eastAsiaTheme="minorHAnsi" w:hAnsiTheme="minorHAnsi" w:cstheme="minorBidi"/>
          <w:snapToGrid/>
          <w:sz w:val="24"/>
          <w:szCs w:val="24"/>
        </w:rPr>
        <w:t> </w:t>
      </w:r>
      <w:r w:rsidR="000041B1" w:rsidRPr="00D439EE">
        <w:rPr>
          <w:rFonts w:asciiTheme="minorHAnsi" w:eastAsiaTheme="minorHAnsi" w:hAnsiTheme="minorHAnsi" w:cstheme="minorBidi"/>
          <w:snapToGrid/>
          <w:sz w:val="24"/>
          <w:szCs w:val="24"/>
        </w:rPr>
        <w:t>December</w:t>
      </w:r>
      <w:r w:rsidR="00582869" w:rsidRPr="00D439EE">
        <w:rPr>
          <w:rFonts w:asciiTheme="minorHAnsi" w:eastAsiaTheme="minorHAnsi" w:hAnsiTheme="minorHAnsi" w:cstheme="minorBidi"/>
          <w:snapToGrid/>
          <w:sz w:val="24"/>
          <w:szCs w:val="24"/>
        </w:rPr>
        <w:t> </w:t>
      </w:r>
      <w:r w:rsidR="000041B1" w:rsidRPr="00D439EE">
        <w:rPr>
          <w:rFonts w:asciiTheme="minorHAnsi" w:eastAsiaTheme="minorHAnsi" w:hAnsiTheme="minorHAnsi" w:cstheme="minorBidi"/>
          <w:snapToGrid/>
          <w:sz w:val="24"/>
          <w:szCs w:val="24"/>
        </w:rPr>
        <w:t>2018</w:t>
      </w:r>
      <w:r w:rsidR="00D439EE">
        <w:rPr>
          <w:rFonts w:asciiTheme="minorHAnsi" w:eastAsiaTheme="minorHAnsi" w:hAnsiTheme="minorHAnsi" w:cstheme="minorBidi"/>
          <w:snapToGrid/>
          <w:sz w:val="24"/>
          <w:szCs w:val="24"/>
        </w:rPr>
        <w:t xml:space="preserve">. </w:t>
      </w:r>
      <w:r w:rsidR="00BF2F57" w:rsidRPr="00D439EE">
        <w:rPr>
          <w:rFonts w:asciiTheme="minorHAnsi" w:eastAsiaTheme="minorHAnsi" w:hAnsiTheme="minorHAnsi" w:cstheme="minorBidi"/>
          <w:snapToGrid/>
          <w:sz w:val="24"/>
          <w:szCs w:val="24"/>
        </w:rPr>
        <w:t xml:space="preserve"> </w:t>
      </w:r>
    </w:p>
    <w:p w:rsidR="00494113" w:rsidRPr="00494113" w:rsidRDefault="00494113" w:rsidP="00494113">
      <w:pPr>
        <w:spacing w:after="120"/>
        <w:jc w:val="center"/>
        <w:rPr>
          <w:rFonts w:asciiTheme="minorHAnsi" w:hAnsiTheme="minorHAnsi"/>
          <w:b/>
          <w:i/>
          <w:u w:val="single"/>
        </w:rPr>
      </w:pPr>
      <w:r w:rsidRPr="00494113">
        <w:rPr>
          <w:rFonts w:asciiTheme="minorHAnsi" w:eastAsiaTheme="minorHAnsi" w:hAnsiTheme="minorHAnsi" w:cstheme="minorBidi"/>
        </w:rPr>
        <w:br w:type="column"/>
      </w:r>
      <w:r w:rsidRPr="00494113">
        <w:rPr>
          <w:rFonts w:asciiTheme="minorHAnsi" w:hAnsiTheme="minorHAnsi"/>
          <w:b/>
          <w:i/>
          <w:u w:val="single"/>
        </w:rPr>
        <w:lastRenderedPageBreak/>
        <w:t>Committee-in-Confidence information</w:t>
      </w:r>
    </w:p>
    <w:p w:rsidR="00B0302B" w:rsidRPr="00D439EE" w:rsidRDefault="00B0302B" w:rsidP="00313D08">
      <w:pPr>
        <w:pStyle w:val="TableHeading0"/>
      </w:pPr>
      <w:r w:rsidRPr="00D439EE">
        <w:t xml:space="preserve">Table </w:t>
      </w:r>
      <w:r w:rsidR="005A6346" w:rsidRPr="00D439EE">
        <w:t>6</w:t>
      </w:r>
      <w:r w:rsidRPr="00D439EE">
        <w:t xml:space="preserve">: </w:t>
      </w:r>
      <w:r w:rsidR="000C19A1" w:rsidRPr="00D439EE">
        <w:t>Annual expenditure</w:t>
      </w:r>
      <w:r w:rsidRPr="00D439EE">
        <w:t xml:space="preserve"> caps under the risk sharing arrangement for the treatment of unresectable Stage III</w:t>
      </w:r>
      <w:r w:rsidR="003A30B8" w:rsidRPr="00D439EE">
        <w:t xml:space="preserve"> or Stage IV malignant melanoma</w:t>
      </w:r>
    </w:p>
    <w:tbl>
      <w:tblPr>
        <w:tblStyle w:val="TableGrid"/>
        <w:tblW w:w="5000" w:type="pct"/>
        <w:tblCellMar>
          <w:top w:w="28" w:type="dxa"/>
          <w:left w:w="28" w:type="dxa"/>
          <w:bottom w:w="28" w:type="dxa"/>
          <w:right w:w="28" w:type="dxa"/>
        </w:tblCellMar>
        <w:tblLook w:val="04A0" w:firstRow="1" w:lastRow="0" w:firstColumn="1" w:lastColumn="0" w:noHBand="0" w:noVBand="1"/>
        <w:tblCaption w:val="Annual expenditure caps under the risk sharing arrangement for the treatment of unresectable Stage III or Stage IV malignant melanoma"/>
      </w:tblPr>
      <w:tblGrid>
        <w:gridCol w:w="3025"/>
        <w:gridCol w:w="1879"/>
        <w:gridCol w:w="2056"/>
        <w:gridCol w:w="2056"/>
      </w:tblGrid>
      <w:tr w:rsidR="00FB591F" w:rsidRPr="00D439EE" w:rsidTr="00DD129C">
        <w:trPr>
          <w:trHeight w:val="57"/>
          <w:tblHeader/>
        </w:trPr>
        <w:tc>
          <w:tcPr>
            <w:tcW w:w="1678" w:type="pct"/>
          </w:tcPr>
          <w:p w:rsidR="00FB591F" w:rsidRPr="00D439EE" w:rsidRDefault="00FB591F" w:rsidP="00313D08">
            <w:pPr>
              <w:pStyle w:val="ListParagraph"/>
              <w:widowControl/>
              <w:ind w:left="0"/>
              <w:contextualSpacing w:val="0"/>
              <w:rPr>
                <w:rFonts w:ascii="Arial Narrow" w:hAnsi="Arial Narrow"/>
                <w:b/>
                <w:sz w:val="20"/>
              </w:rPr>
            </w:pPr>
            <w:r w:rsidRPr="00D439EE">
              <w:rPr>
                <w:rFonts w:ascii="Arial Narrow" w:hAnsi="Arial Narrow"/>
                <w:b/>
                <w:sz w:val="20"/>
              </w:rPr>
              <w:t>Year</w:t>
            </w:r>
          </w:p>
        </w:tc>
        <w:tc>
          <w:tcPr>
            <w:tcW w:w="1042" w:type="pct"/>
            <w:vAlign w:val="center"/>
          </w:tcPr>
          <w:p w:rsidR="00FB591F" w:rsidRPr="00D439EE" w:rsidRDefault="00FB591F" w:rsidP="00313D08">
            <w:pPr>
              <w:pStyle w:val="ListParagraph"/>
              <w:widowControl/>
              <w:ind w:left="0"/>
              <w:contextualSpacing w:val="0"/>
              <w:jc w:val="center"/>
              <w:rPr>
                <w:rFonts w:ascii="Arial Narrow" w:hAnsi="Arial Narrow"/>
                <w:b/>
                <w:sz w:val="20"/>
              </w:rPr>
            </w:pPr>
            <w:r w:rsidRPr="00D439EE">
              <w:rPr>
                <w:rFonts w:ascii="Arial Narrow" w:hAnsi="Arial Narrow"/>
                <w:b/>
                <w:sz w:val="20"/>
              </w:rPr>
              <w:t>1</w:t>
            </w:r>
          </w:p>
        </w:tc>
        <w:tc>
          <w:tcPr>
            <w:tcW w:w="1140" w:type="pct"/>
            <w:vAlign w:val="center"/>
          </w:tcPr>
          <w:p w:rsidR="00FB591F" w:rsidRPr="00D439EE" w:rsidRDefault="00FB591F" w:rsidP="00313D08">
            <w:pPr>
              <w:pStyle w:val="ListParagraph"/>
              <w:widowControl/>
              <w:ind w:left="0"/>
              <w:contextualSpacing w:val="0"/>
              <w:jc w:val="center"/>
              <w:rPr>
                <w:rFonts w:ascii="Arial Narrow" w:hAnsi="Arial Narrow"/>
                <w:b/>
                <w:sz w:val="20"/>
              </w:rPr>
            </w:pPr>
            <w:r w:rsidRPr="00D439EE">
              <w:rPr>
                <w:rFonts w:ascii="Arial Narrow" w:hAnsi="Arial Narrow"/>
                <w:b/>
                <w:sz w:val="20"/>
              </w:rPr>
              <w:t>2</w:t>
            </w:r>
          </w:p>
        </w:tc>
        <w:tc>
          <w:tcPr>
            <w:tcW w:w="1140" w:type="pct"/>
            <w:vAlign w:val="center"/>
          </w:tcPr>
          <w:p w:rsidR="00FB591F" w:rsidRPr="00D439EE" w:rsidRDefault="00FB591F" w:rsidP="00313D08">
            <w:pPr>
              <w:pStyle w:val="ListParagraph"/>
              <w:widowControl/>
              <w:ind w:left="0"/>
              <w:contextualSpacing w:val="0"/>
              <w:jc w:val="center"/>
              <w:rPr>
                <w:rFonts w:ascii="Arial Narrow" w:hAnsi="Arial Narrow"/>
                <w:b/>
                <w:sz w:val="20"/>
              </w:rPr>
            </w:pPr>
            <w:r w:rsidRPr="00D439EE">
              <w:rPr>
                <w:rFonts w:ascii="Arial Narrow" w:hAnsi="Arial Narrow"/>
                <w:b/>
                <w:sz w:val="20"/>
              </w:rPr>
              <w:t>3</w:t>
            </w:r>
          </w:p>
        </w:tc>
      </w:tr>
      <w:tr w:rsidR="00FB591F" w:rsidRPr="00D439EE" w:rsidTr="00DD129C">
        <w:trPr>
          <w:trHeight w:val="57"/>
          <w:tblHeader/>
        </w:trPr>
        <w:tc>
          <w:tcPr>
            <w:tcW w:w="1678" w:type="pct"/>
          </w:tcPr>
          <w:p w:rsidR="00FB591F" w:rsidRPr="00D439EE" w:rsidRDefault="00582869" w:rsidP="00313D08">
            <w:pPr>
              <w:pStyle w:val="ListParagraph"/>
              <w:widowControl/>
              <w:ind w:left="0"/>
              <w:contextualSpacing w:val="0"/>
              <w:rPr>
                <w:rFonts w:ascii="Arial Narrow" w:hAnsi="Arial Narrow"/>
                <w:b/>
                <w:sz w:val="20"/>
              </w:rPr>
            </w:pPr>
            <w:r w:rsidRPr="00D439EE">
              <w:rPr>
                <w:rFonts w:ascii="Arial Narrow" w:hAnsi="Arial Narrow"/>
                <w:b/>
                <w:sz w:val="20"/>
              </w:rPr>
              <w:t>F</w:t>
            </w:r>
            <w:r w:rsidR="000C19A1" w:rsidRPr="00D439EE">
              <w:rPr>
                <w:rFonts w:ascii="Arial Narrow" w:hAnsi="Arial Narrow"/>
                <w:b/>
                <w:sz w:val="20"/>
              </w:rPr>
              <w:t>inancial caps</w:t>
            </w:r>
          </w:p>
        </w:tc>
        <w:tc>
          <w:tcPr>
            <w:tcW w:w="1042" w:type="pct"/>
            <w:vAlign w:val="center"/>
          </w:tcPr>
          <w:p w:rsidR="00FB591F" w:rsidRPr="00D439EE" w:rsidRDefault="00FB591F"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c>
          <w:tcPr>
            <w:tcW w:w="1140" w:type="pct"/>
            <w:vAlign w:val="center"/>
          </w:tcPr>
          <w:p w:rsidR="00FB591F" w:rsidRPr="00D439EE" w:rsidRDefault="00FB591F"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c>
          <w:tcPr>
            <w:tcW w:w="1140" w:type="pct"/>
            <w:vAlign w:val="center"/>
          </w:tcPr>
          <w:p w:rsidR="00FB591F" w:rsidRPr="00D439EE" w:rsidRDefault="00FB591F"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r>
      <w:tr w:rsidR="00FB591F" w:rsidRPr="00D439EE" w:rsidTr="00DD129C">
        <w:trPr>
          <w:trHeight w:val="57"/>
          <w:tblHeader/>
        </w:trPr>
        <w:tc>
          <w:tcPr>
            <w:tcW w:w="1678" w:type="pct"/>
          </w:tcPr>
          <w:p w:rsidR="00FB591F" w:rsidRPr="00D439EE" w:rsidRDefault="00582869" w:rsidP="00313D08">
            <w:pPr>
              <w:pStyle w:val="ListParagraph"/>
              <w:widowControl/>
              <w:ind w:left="0"/>
              <w:contextualSpacing w:val="0"/>
              <w:rPr>
                <w:rFonts w:ascii="Arial Narrow" w:hAnsi="Arial Narrow"/>
                <w:b/>
                <w:sz w:val="20"/>
                <w:vertAlign w:val="superscript"/>
              </w:rPr>
            </w:pPr>
            <w:r w:rsidRPr="00D439EE">
              <w:rPr>
                <w:rFonts w:ascii="Arial Narrow" w:hAnsi="Arial Narrow"/>
                <w:b/>
                <w:sz w:val="20"/>
              </w:rPr>
              <w:t>A</w:t>
            </w:r>
            <w:r w:rsidR="00EA60AA" w:rsidRPr="00D439EE">
              <w:rPr>
                <w:rFonts w:ascii="Arial Narrow" w:hAnsi="Arial Narrow"/>
                <w:b/>
                <w:sz w:val="20"/>
              </w:rPr>
              <w:t>nnual expenditure</w:t>
            </w:r>
          </w:p>
        </w:tc>
        <w:tc>
          <w:tcPr>
            <w:tcW w:w="1042" w:type="pct"/>
            <w:vAlign w:val="center"/>
          </w:tcPr>
          <w:p w:rsidR="00FB591F" w:rsidRPr="00D439EE" w:rsidRDefault="00FB591F"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F552FE">
              <w:rPr>
                <w:rFonts w:ascii="Arial Narrow" w:hAnsi="Arial Narrow"/>
                <w:noProof/>
                <w:color w:val="000000"/>
                <w:sz w:val="20"/>
                <w:highlight w:val="black"/>
              </w:rPr>
              <w:t>'''''''''''''''''''''''''''''</w:t>
            </w:r>
          </w:p>
        </w:tc>
        <w:tc>
          <w:tcPr>
            <w:tcW w:w="1140" w:type="pct"/>
            <w:vAlign w:val="center"/>
          </w:tcPr>
          <w:p w:rsidR="00FB591F" w:rsidRPr="00D439EE" w:rsidRDefault="00FB591F"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F552FE">
              <w:rPr>
                <w:rFonts w:ascii="Arial Narrow" w:hAnsi="Arial Narrow"/>
                <w:noProof/>
                <w:color w:val="000000"/>
                <w:sz w:val="20"/>
                <w:highlight w:val="black"/>
              </w:rPr>
              <w:t>'''''''''''''''''''''''''''</w:t>
            </w:r>
          </w:p>
        </w:tc>
        <w:tc>
          <w:tcPr>
            <w:tcW w:w="1140" w:type="pct"/>
            <w:vAlign w:val="center"/>
          </w:tcPr>
          <w:p w:rsidR="00FB591F" w:rsidRPr="00D439EE" w:rsidRDefault="00FB591F"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F552FE">
              <w:rPr>
                <w:rFonts w:ascii="Arial Narrow" w:hAnsi="Arial Narrow"/>
                <w:noProof/>
                <w:color w:val="000000"/>
                <w:sz w:val="20"/>
                <w:highlight w:val="black"/>
              </w:rPr>
              <w:t>'''''''''''''''''''''''''''''</w:t>
            </w:r>
          </w:p>
        </w:tc>
      </w:tr>
      <w:tr w:rsidR="00FB591F" w:rsidRPr="00D439EE" w:rsidTr="00DD129C">
        <w:trPr>
          <w:trHeight w:val="57"/>
          <w:tblHeader/>
        </w:trPr>
        <w:tc>
          <w:tcPr>
            <w:tcW w:w="1678" w:type="pct"/>
          </w:tcPr>
          <w:p w:rsidR="00FB591F" w:rsidRPr="00D439EE" w:rsidRDefault="00FB591F" w:rsidP="00313D08">
            <w:pPr>
              <w:pStyle w:val="ListParagraph"/>
              <w:widowControl/>
              <w:ind w:left="0"/>
              <w:contextualSpacing w:val="0"/>
              <w:rPr>
                <w:rFonts w:ascii="Arial Narrow" w:hAnsi="Arial Narrow"/>
                <w:b/>
                <w:sz w:val="20"/>
              </w:rPr>
            </w:pPr>
            <w:r w:rsidRPr="00D439EE">
              <w:rPr>
                <w:rFonts w:ascii="Arial Narrow" w:hAnsi="Arial Narrow"/>
                <w:b/>
                <w:sz w:val="20"/>
              </w:rPr>
              <w:t>% reached</w:t>
            </w:r>
          </w:p>
        </w:tc>
        <w:tc>
          <w:tcPr>
            <w:tcW w:w="1042" w:type="pct"/>
            <w:vAlign w:val="center"/>
          </w:tcPr>
          <w:p w:rsidR="00FB591F" w:rsidRPr="00D439EE" w:rsidRDefault="00F552FE"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FB591F" w:rsidRPr="00D439EE">
              <w:rPr>
                <w:rFonts w:ascii="Arial Narrow" w:hAnsi="Arial Narrow"/>
                <w:sz w:val="20"/>
              </w:rPr>
              <w:t>%</w:t>
            </w:r>
          </w:p>
        </w:tc>
        <w:tc>
          <w:tcPr>
            <w:tcW w:w="1140" w:type="pct"/>
            <w:vAlign w:val="center"/>
          </w:tcPr>
          <w:p w:rsidR="00FB591F" w:rsidRPr="00D439EE" w:rsidRDefault="00F552FE"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FB591F" w:rsidRPr="00D439EE">
              <w:rPr>
                <w:rFonts w:ascii="Arial Narrow" w:hAnsi="Arial Narrow"/>
                <w:sz w:val="20"/>
              </w:rPr>
              <w:t>%</w:t>
            </w:r>
          </w:p>
        </w:tc>
        <w:tc>
          <w:tcPr>
            <w:tcW w:w="1140" w:type="pct"/>
            <w:vAlign w:val="center"/>
          </w:tcPr>
          <w:p w:rsidR="00FB591F" w:rsidRPr="00D439EE" w:rsidRDefault="00F552FE"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DD7A9F" w:rsidRPr="00D439EE">
              <w:rPr>
                <w:rFonts w:ascii="Arial Narrow" w:hAnsi="Arial Narrow"/>
                <w:sz w:val="20"/>
              </w:rPr>
              <w:t>%</w:t>
            </w:r>
          </w:p>
        </w:tc>
      </w:tr>
    </w:tbl>
    <w:p w:rsidR="00B15EF7" w:rsidRPr="00D439EE" w:rsidRDefault="009D50CC" w:rsidP="00313D08">
      <w:pPr>
        <w:pStyle w:val="TableHeading0"/>
        <w:spacing w:before="0" w:after="0"/>
        <w:rPr>
          <w:b w:val="0"/>
          <w:sz w:val="18"/>
        </w:rPr>
      </w:pPr>
      <w:r w:rsidRPr="00D439EE">
        <w:rPr>
          <w:b w:val="0"/>
          <w:sz w:val="18"/>
        </w:rPr>
        <w:t xml:space="preserve">Note: Financial caps are shared with the sponsor of pembrolizumab </w:t>
      </w:r>
    </w:p>
    <w:p w:rsidR="00B15EF7" w:rsidRPr="00D439EE" w:rsidRDefault="005A6346" w:rsidP="00313D08">
      <w:pPr>
        <w:pStyle w:val="TableHeading0"/>
      </w:pPr>
      <w:r w:rsidRPr="00D439EE">
        <w:t>Table 7</w:t>
      </w:r>
      <w:r w:rsidR="00B15EF7" w:rsidRPr="00D439EE">
        <w:t xml:space="preserve">: </w:t>
      </w:r>
      <w:r w:rsidR="001F4D43" w:rsidRPr="00D439EE">
        <w:t>Annual expenditure</w:t>
      </w:r>
      <w:r w:rsidR="00B15EF7" w:rsidRPr="00D439EE">
        <w:t xml:space="preserve"> caps under the risk sharing arrangement for the treatment of </w:t>
      </w:r>
      <w:r w:rsidR="00FE6871" w:rsidRPr="00D439EE">
        <w:t>S</w:t>
      </w:r>
      <w:r w:rsidR="000C19A1" w:rsidRPr="00D439EE">
        <w:t>tage IV clear cell variant renal cell carcinoma</w:t>
      </w:r>
    </w:p>
    <w:tbl>
      <w:tblPr>
        <w:tblStyle w:val="TableGrid"/>
        <w:tblW w:w="5000" w:type="pct"/>
        <w:tblCellMar>
          <w:top w:w="28" w:type="dxa"/>
          <w:left w:w="28" w:type="dxa"/>
          <w:bottom w:w="28" w:type="dxa"/>
          <w:right w:w="28" w:type="dxa"/>
        </w:tblCellMar>
        <w:tblLook w:val="04A0" w:firstRow="1" w:lastRow="0" w:firstColumn="1" w:lastColumn="0" w:noHBand="0" w:noVBand="1"/>
        <w:tblCaption w:val="Annual expenditure caps under the risk sharing arrangement for the treatment of Stage IV clear cell variant renal cell carcinoma"/>
      </w:tblPr>
      <w:tblGrid>
        <w:gridCol w:w="2842"/>
        <w:gridCol w:w="3098"/>
        <w:gridCol w:w="3076"/>
      </w:tblGrid>
      <w:tr w:rsidR="000041B1" w:rsidRPr="00D439EE" w:rsidTr="00DD129C">
        <w:trPr>
          <w:tblHeader/>
        </w:trPr>
        <w:tc>
          <w:tcPr>
            <w:tcW w:w="1576" w:type="pct"/>
          </w:tcPr>
          <w:p w:rsidR="000041B1" w:rsidRPr="00D439EE" w:rsidRDefault="000041B1" w:rsidP="00313D08">
            <w:pPr>
              <w:pStyle w:val="ListParagraph"/>
              <w:widowControl/>
              <w:ind w:left="0"/>
              <w:contextualSpacing w:val="0"/>
              <w:rPr>
                <w:rFonts w:ascii="Arial Narrow" w:hAnsi="Arial Narrow"/>
                <w:b/>
                <w:sz w:val="20"/>
              </w:rPr>
            </w:pPr>
            <w:r w:rsidRPr="00D439EE">
              <w:rPr>
                <w:rFonts w:ascii="Arial Narrow" w:hAnsi="Arial Narrow"/>
                <w:b/>
                <w:sz w:val="20"/>
              </w:rPr>
              <w:t>Year</w:t>
            </w:r>
          </w:p>
        </w:tc>
        <w:tc>
          <w:tcPr>
            <w:tcW w:w="1718" w:type="pct"/>
            <w:vAlign w:val="center"/>
          </w:tcPr>
          <w:p w:rsidR="000041B1" w:rsidRPr="00D439EE" w:rsidRDefault="000041B1" w:rsidP="00313D08">
            <w:pPr>
              <w:pStyle w:val="ListParagraph"/>
              <w:widowControl/>
              <w:ind w:left="0"/>
              <w:contextualSpacing w:val="0"/>
              <w:jc w:val="center"/>
              <w:rPr>
                <w:rFonts w:ascii="Arial Narrow" w:hAnsi="Arial Narrow"/>
                <w:b/>
                <w:sz w:val="20"/>
              </w:rPr>
            </w:pPr>
            <w:r w:rsidRPr="00D439EE">
              <w:rPr>
                <w:rFonts w:ascii="Arial Narrow" w:hAnsi="Arial Narrow"/>
                <w:b/>
                <w:sz w:val="20"/>
              </w:rPr>
              <w:t>1</w:t>
            </w:r>
          </w:p>
        </w:tc>
        <w:tc>
          <w:tcPr>
            <w:tcW w:w="1707" w:type="pct"/>
          </w:tcPr>
          <w:p w:rsidR="000041B1" w:rsidRPr="00D439EE" w:rsidRDefault="000041B1" w:rsidP="00313D08">
            <w:pPr>
              <w:pStyle w:val="ListParagraph"/>
              <w:widowControl/>
              <w:ind w:left="0"/>
              <w:contextualSpacing w:val="0"/>
              <w:jc w:val="center"/>
              <w:rPr>
                <w:rFonts w:ascii="Arial Narrow" w:hAnsi="Arial Narrow"/>
                <w:b/>
                <w:sz w:val="20"/>
                <w:vertAlign w:val="superscript"/>
              </w:rPr>
            </w:pPr>
            <w:r w:rsidRPr="00D439EE">
              <w:rPr>
                <w:rFonts w:ascii="Arial Narrow" w:hAnsi="Arial Narrow"/>
                <w:b/>
                <w:sz w:val="20"/>
              </w:rPr>
              <w:t>2</w:t>
            </w:r>
            <w:r w:rsidR="003A30B8" w:rsidRPr="00D439EE">
              <w:rPr>
                <w:rFonts w:ascii="Arial Narrow" w:hAnsi="Arial Narrow"/>
                <w:b/>
                <w:sz w:val="20"/>
                <w:vertAlign w:val="superscript"/>
              </w:rPr>
              <w:t>a</w:t>
            </w:r>
          </w:p>
        </w:tc>
      </w:tr>
      <w:tr w:rsidR="000041B1" w:rsidRPr="00D439EE" w:rsidTr="00DD129C">
        <w:trPr>
          <w:tblHeader/>
        </w:trPr>
        <w:tc>
          <w:tcPr>
            <w:tcW w:w="1576" w:type="pct"/>
          </w:tcPr>
          <w:p w:rsidR="000041B1" w:rsidRPr="00D439EE" w:rsidRDefault="00582869" w:rsidP="00313D08">
            <w:pPr>
              <w:pStyle w:val="ListParagraph"/>
              <w:widowControl/>
              <w:ind w:left="0"/>
              <w:contextualSpacing w:val="0"/>
              <w:rPr>
                <w:rFonts w:ascii="Arial Narrow" w:hAnsi="Arial Narrow"/>
                <w:b/>
                <w:sz w:val="20"/>
              </w:rPr>
            </w:pPr>
            <w:r w:rsidRPr="00D439EE">
              <w:rPr>
                <w:rFonts w:ascii="Arial Narrow" w:hAnsi="Arial Narrow"/>
                <w:b/>
                <w:sz w:val="20"/>
              </w:rPr>
              <w:t>F</w:t>
            </w:r>
            <w:r w:rsidR="00075C26" w:rsidRPr="00D439EE">
              <w:rPr>
                <w:rFonts w:ascii="Arial Narrow" w:hAnsi="Arial Narrow"/>
                <w:b/>
                <w:sz w:val="20"/>
              </w:rPr>
              <w:t>inancial caps</w:t>
            </w:r>
          </w:p>
        </w:tc>
        <w:tc>
          <w:tcPr>
            <w:tcW w:w="1718" w:type="pct"/>
            <w:vAlign w:val="center"/>
          </w:tcPr>
          <w:p w:rsidR="000041B1" w:rsidRPr="00D439EE" w:rsidRDefault="000041B1"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c>
          <w:tcPr>
            <w:tcW w:w="1707" w:type="pct"/>
          </w:tcPr>
          <w:p w:rsidR="000041B1" w:rsidRPr="00D439EE" w:rsidRDefault="000041B1"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r>
      <w:tr w:rsidR="000041B1" w:rsidRPr="00D439EE" w:rsidTr="00DD129C">
        <w:trPr>
          <w:tblHeader/>
        </w:trPr>
        <w:tc>
          <w:tcPr>
            <w:tcW w:w="1576" w:type="pct"/>
          </w:tcPr>
          <w:p w:rsidR="000041B1" w:rsidRPr="00D439EE" w:rsidRDefault="00582869" w:rsidP="00313D08">
            <w:pPr>
              <w:pStyle w:val="ListParagraph"/>
              <w:widowControl/>
              <w:ind w:left="0"/>
              <w:contextualSpacing w:val="0"/>
              <w:rPr>
                <w:rFonts w:ascii="Arial Narrow" w:hAnsi="Arial Narrow"/>
                <w:b/>
                <w:sz w:val="20"/>
                <w:vertAlign w:val="superscript"/>
              </w:rPr>
            </w:pPr>
            <w:r w:rsidRPr="00D439EE">
              <w:rPr>
                <w:rFonts w:ascii="Arial Narrow" w:hAnsi="Arial Narrow"/>
                <w:b/>
                <w:sz w:val="20"/>
              </w:rPr>
              <w:t>A</w:t>
            </w:r>
            <w:r w:rsidR="00EA60AA" w:rsidRPr="00D439EE">
              <w:rPr>
                <w:rFonts w:ascii="Arial Narrow" w:hAnsi="Arial Narrow"/>
                <w:b/>
                <w:sz w:val="20"/>
              </w:rPr>
              <w:t>nnual expenditure</w:t>
            </w:r>
          </w:p>
        </w:tc>
        <w:tc>
          <w:tcPr>
            <w:tcW w:w="1718" w:type="pct"/>
            <w:vAlign w:val="center"/>
          </w:tcPr>
          <w:p w:rsidR="000041B1" w:rsidRPr="00D439EE" w:rsidRDefault="000041B1"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c>
          <w:tcPr>
            <w:tcW w:w="1707" w:type="pct"/>
          </w:tcPr>
          <w:p w:rsidR="000041B1" w:rsidRPr="00D439EE" w:rsidRDefault="00075C26"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r>
      <w:tr w:rsidR="000041B1" w:rsidRPr="00D439EE" w:rsidTr="00DD129C">
        <w:trPr>
          <w:tblHeader/>
        </w:trPr>
        <w:tc>
          <w:tcPr>
            <w:tcW w:w="1576" w:type="pct"/>
          </w:tcPr>
          <w:p w:rsidR="000041B1" w:rsidRPr="00D439EE" w:rsidRDefault="000041B1" w:rsidP="00313D08">
            <w:pPr>
              <w:pStyle w:val="ListParagraph"/>
              <w:widowControl/>
              <w:ind w:left="0"/>
              <w:contextualSpacing w:val="0"/>
              <w:rPr>
                <w:rFonts w:ascii="Arial Narrow" w:hAnsi="Arial Narrow"/>
                <w:b/>
                <w:sz w:val="20"/>
              </w:rPr>
            </w:pPr>
            <w:r w:rsidRPr="00D439EE">
              <w:rPr>
                <w:rFonts w:ascii="Arial Narrow" w:hAnsi="Arial Narrow"/>
                <w:b/>
                <w:sz w:val="20"/>
              </w:rPr>
              <w:t>% reached</w:t>
            </w:r>
          </w:p>
        </w:tc>
        <w:tc>
          <w:tcPr>
            <w:tcW w:w="1718" w:type="pct"/>
            <w:vAlign w:val="center"/>
          </w:tcPr>
          <w:p w:rsidR="000041B1" w:rsidRPr="00D439EE" w:rsidRDefault="00C20FEC"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0041B1" w:rsidRPr="00D439EE">
              <w:rPr>
                <w:rFonts w:ascii="Arial Narrow" w:hAnsi="Arial Narrow"/>
                <w:sz w:val="20"/>
              </w:rPr>
              <w:t>%</w:t>
            </w:r>
          </w:p>
        </w:tc>
        <w:tc>
          <w:tcPr>
            <w:tcW w:w="1707" w:type="pct"/>
          </w:tcPr>
          <w:p w:rsidR="000041B1" w:rsidRPr="00D439EE" w:rsidRDefault="00C20FEC"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0041B1" w:rsidRPr="00D439EE">
              <w:rPr>
                <w:rFonts w:ascii="Arial Narrow" w:hAnsi="Arial Narrow"/>
                <w:sz w:val="20"/>
              </w:rPr>
              <w:t>%</w:t>
            </w:r>
          </w:p>
        </w:tc>
      </w:tr>
    </w:tbl>
    <w:p w:rsidR="003A30B8" w:rsidRPr="00D439EE" w:rsidRDefault="003A30B8" w:rsidP="00313D08">
      <w:pPr>
        <w:pStyle w:val="TableHeading0"/>
        <w:spacing w:before="0" w:after="0"/>
        <w:rPr>
          <w:b w:val="0"/>
          <w:sz w:val="18"/>
        </w:rPr>
      </w:pPr>
      <w:r w:rsidRPr="00D439EE">
        <w:rPr>
          <w:b w:val="0"/>
          <w:sz w:val="18"/>
        </w:rPr>
        <w:t>Note: Data is for 1</w:t>
      </w:r>
      <w:r w:rsidRPr="00D439EE">
        <w:rPr>
          <w:b w:val="0"/>
          <w:sz w:val="18"/>
          <w:vertAlign w:val="superscript"/>
        </w:rPr>
        <w:t>st</w:t>
      </w:r>
      <w:r w:rsidRPr="00D439EE">
        <w:rPr>
          <w:b w:val="0"/>
          <w:sz w:val="18"/>
        </w:rPr>
        <w:t xml:space="preserve"> quarter of Year 2 only </w:t>
      </w:r>
    </w:p>
    <w:p w:rsidR="00B15EF7" w:rsidRPr="00D439EE" w:rsidRDefault="005A6346" w:rsidP="00313D08">
      <w:pPr>
        <w:pStyle w:val="TableHeading0"/>
      </w:pPr>
      <w:r w:rsidRPr="00D439EE">
        <w:t>Table 8</w:t>
      </w:r>
      <w:r w:rsidR="00B15EF7" w:rsidRPr="00D439EE">
        <w:t xml:space="preserve">: </w:t>
      </w:r>
      <w:r w:rsidR="000041B1" w:rsidRPr="00D439EE">
        <w:t>Annual expenditure</w:t>
      </w:r>
      <w:r w:rsidR="00B15EF7" w:rsidRPr="00D439EE">
        <w:t xml:space="preserve"> caps under the risk sharing arr</w:t>
      </w:r>
      <w:r w:rsidR="00B4524B" w:rsidRPr="00D439EE">
        <w:t>angement for the treatmen</w:t>
      </w:r>
      <w:r w:rsidR="00173ACB" w:rsidRPr="00D439EE">
        <w:t>t</w:t>
      </w:r>
      <w:r w:rsidR="00B4524B" w:rsidRPr="00D439EE">
        <w:t xml:space="preserve"> </w:t>
      </w:r>
      <w:r w:rsidR="00075C26" w:rsidRPr="00D439EE">
        <w:t>locally advanced or metastatic non-small cell lung cancer</w:t>
      </w:r>
    </w:p>
    <w:tbl>
      <w:tblPr>
        <w:tblStyle w:val="TableGrid"/>
        <w:tblW w:w="5000" w:type="pct"/>
        <w:tblCellMar>
          <w:top w:w="28" w:type="dxa"/>
          <w:left w:w="28" w:type="dxa"/>
          <w:bottom w:w="28" w:type="dxa"/>
          <w:right w:w="28" w:type="dxa"/>
        </w:tblCellMar>
        <w:tblLook w:val="04A0" w:firstRow="1" w:lastRow="0" w:firstColumn="1" w:lastColumn="0" w:noHBand="0" w:noVBand="1"/>
        <w:tblCaption w:val="Annual expenditure caps under the risk sharing arrangement for the treatment locally advanced or metastatic non-small cell lung cancer"/>
      </w:tblPr>
      <w:tblGrid>
        <w:gridCol w:w="2850"/>
        <w:gridCol w:w="3083"/>
        <w:gridCol w:w="3083"/>
      </w:tblGrid>
      <w:tr w:rsidR="00075C26" w:rsidRPr="00D439EE" w:rsidTr="00DD129C">
        <w:trPr>
          <w:tblHeader/>
        </w:trPr>
        <w:tc>
          <w:tcPr>
            <w:tcW w:w="1580" w:type="pct"/>
          </w:tcPr>
          <w:p w:rsidR="00075C26" w:rsidRPr="00D439EE" w:rsidRDefault="00075C26" w:rsidP="00313D08">
            <w:pPr>
              <w:pStyle w:val="ListParagraph"/>
              <w:widowControl/>
              <w:ind w:left="0"/>
              <w:contextualSpacing w:val="0"/>
              <w:rPr>
                <w:rFonts w:ascii="Arial Narrow" w:hAnsi="Arial Narrow"/>
                <w:b/>
                <w:sz w:val="20"/>
              </w:rPr>
            </w:pPr>
            <w:r w:rsidRPr="00D439EE">
              <w:rPr>
                <w:rFonts w:ascii="Arial Narrow" w:hAnsi="Arial Narrow"/>
                <w:b/>
                <w:sz w:val="20"/>
              </w:rPr>
              <w:t>Year</w:t>
            </w:r>
          </w:p>
        </w:tc>
        <w:tc>
          <w:tcPr>
            <w:tcW w:w="1710" w:type="pct"/>
            <w:vAlign w:val="center"/>
          </w:tcPr>
          <w:p w:rsidR="00075C26" w:rsidRPr="00D439EE" w:rsidRDefault="00075C26" w:rsidP="00313D08">
            <w:pPr>
              <w:pStyle w:val="ListParagraph"/>
              <w:widowControl/>
              <w:ind w:left="0"/>
              <w:contextualSpacing w:val="0"/>
              <w:jc w:val="center"/>
              <w:rPr>
                <w:rFonts w:ascii="Arial Narrow" w:hAnsi="Arial Narrow"/>
                <w:b/>
                <w:sz w:val="20"/>
              </w:rPr>
            </w:pPr>
            <w:r w:rsidRPr="00D439EE">
              <w:rPr>
                <w:rFonts w:ascii="Arial Narrow" w:hAnsi="Arial Narrow"/>
                <w:b/>
                <w:sz w:val="20"/>
              </w:rPr>
              <w:t>1</w:t>
            </w:r>
          </w:p>
        </w:tc>
        <w:tc>
          <w:tcPr>
            <w:tcW w:w="1710" w:type="pct"/>
          </w:tcPr>
          <w:p w:rsidR="00075C26" w:rsidRPr="00D439EE" w:rsidRDefault="00075C26" w:rsidP="00313D08">
            <w:pPr>
              <w:pStyle w:val="ListParagraph"/>
              <w:widowControl/>
              <w:ind w:left="0"/>
              <w:contextualSpacing w:val="0"/>
              <w:jc w:val="center"/>
              <w:rPr>
                <w:rFonts w:ascii="Arial Narrow" w:hAnsi="Arial Narrow"/>
                <w:b/>
                <w:sz w:val="20"/>
              </w:rPr>
            </w:pPr>
            <w:r w:rsidRPr="00D439EE">
              <w:rPr>
                <w:rFonts w:ascii="Arial Narrow" w:hAnsi="Arial Narrow"/>
                <w:b/>
                <w:sz w:val="20"/>
              </w:rPr>
              <w:t>2</w:t>
            </w:r>
            <w:r w:rsidR="003A30B8" w:rsidRPr="00D439EE">
              <w:rPr>
                <w:rFonts w:ascii="Arial Narrow" w:hAnsi="Arial Narrow"/>
                <w:b/>
                <w:sz w:val="20"/>
                <w:vertAlign w:val="superscript"/>
              </w:rPr>
              <w:t>a</w:t>
            </w:r>
          </w:p>
        </w:tc>
      </w:tr>
      <w:tr w:rsidR="00075C26" w:rsidRPr="00D439EE" w:rsidTr="00DD129C">
        <w:trPr>
          <w:tblHeader/>
        </w:trPr>
        <w:tc>
          <w:tcPr>
            <w:tcW w:w="1580" w:type="pct"/>
          </w:tcPr>
          <w:p w:rsidR="00075C26" w:rsidRPr="00D439EE" w:rsidRDefault="00582869" w:rsidP="00313D08">
            <w:pPr>
              <w:pStyle w:val="ListParagraph"/>
              <w:widowControl/>
              <w:ind w:left="0"/>
              <w:contextualSpacing w:val="0"/>
              <w:rPr>
                <w:rFonts w:ascii="Arial Narrow" w:hAnsi="Arial Narrow"/>
                <w:b/>
                <w:sz w:val="20"/>
              </w:rPr>
            </w:pPr>
            <w:r w:rsidRPr="00D439EE">
              <w:rPr>
                <w:rFonts w:ascii="Arial Narrow" w:hAnsi="Arial Narrow"/>
                <w:b/>
                <w:sz w:val="20"/>
              </w:rPr>
              <w:t>F</w:t>
            </w:r>
            <w:r w:rsidR="00075C26" w:rsidRPr="00D439EE">
              <w:rPr>
                <w:rFonts w:ascii="Arial Narrow" w:hAnsi="Arial Narrow"/>
                <w:b/>
                <w:sz w:val="20"/>
              </w:rPr>
              <w:t xml:space="preserve">inancial </w:t>
            </w:r>
            <w:proofErr w:type="spellStart"/>
            <w:r w:rsidR="00075C26" w:rsidRPr="00D439EE">
              <w:rPr>
                <w:rFonts w:ascii="Arial Narrow" w:hAnsi="Arial Narrow"/>
                <w:b/>
                <w:sz w:val="20"/>
              </w:rPr>
              <w:t>caps</w:t>
            </w:r>
            <w:r w:rsidR="009D50CC" w:rsidRPr="00D439EE">
              <w:rPr>
                <w:rFonts w:ascii="Arial Narrow" w:hAnsi="Arial Narrow"/>
                <w:b/>
                <w:sz w:val="20"/>
                <w:vertAlign w:val="superscript"/>
              </w:rPr>
              <w:t>b</w:t>
            </w:r>
            <w:proofErr w:type="spellEnd"/>
          </w:p>
        </w:tc>
        <w:tc>
          <w:tcPr>
            <w:tcW w:w="1710" w:type="pct"/>
            <w:vAlign w:val="center"/>
          </w:tcPr>
          <w:p w:rsidR="00075C26" w:rsidRPr="00D439EE" w:rsidRDefault="00075C26"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c>
          <w:tcPr>
            <w:tcW w:w="1710" w:type="pct"/>
          </w:tcPr>
          <w:p w:rsidR="00075C26" w:rsidRPr="00D439EE" w:rsidRDefault="00075C26"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C20FEC">
              <w:rPr>
                <w:rFonts w:ascii="Arial Narrow" w:hAnsi="Arial Narrow"/>
                <w:noProof/>
                <w:color w:val="000000"/>
                <w:sz w:val="20"/>
                <w:highlight w:val="black"/>
              </w:rPr>
              <w:t>'''''''''''''''''''''''''''</w:t>
            </w:r>
          </w:p>
        </w:tc>
      </w:tr>
      <w:tr w:rsidR="00075C26" w:rsidRPr="00D439EE" w:rsidTr="00DD129C">
        <w:trPr>
          <w:tblHeader/>
        </w:trPr>
        <w:tc>
          <w:tcPr>
            <w:tcW w:w="1580" w:type="pct"/>
          </w:tcPr>
          <w:p w:rsidR="00075C26" w:rsidRPr="00D439EE" w:rsidRDefault="00582869" w:rsidP="00313D08">
            <w:pPr>
              <w:pStyle w:val="ListParagraph"/>
              <w:widowControl/>
              <w:ind w:left="0"/>
              <w:contextualSpacing w:val="0"/>
              <w:rPr>
                <w:rFonts w:ascii="Arial Narrow" w:hAnsi="Arial Narrow"/>
                <w:b/>
                <w:sz w:val="20"/>
                <w:vertAlign w:val="superscript"/>
              </w:rPr>
            </w:pPr>
            <w:r w:rsidRPr="00D439EE">
              <w:rPr>
                <w:rFonts w:ascii="Arial Narrow" w:hAnsi="Arial Narrow"/>
                <w:b/>
                <w:sz w:val="20"/>
              </w:rPr>
              <w:t>A</w:t>
            </w:r>
            <w:r w:rsidR="00EA60AA" w:rsidRPr="00D439EE">
              <w:rPr>
                <w:rFonts w:ascii="Arial Narrow" w:hAnsi="Arial Narrow"/>
                <w:b/>
                <w:sz w:val="20"/>
              </w:rPr>
              <w:t xml:space="preserve">nnual expenditure </w:t>
            </w:r>
          </w:p>
        </w:tc>
        <w:tc>
          <w:tcPr>
            <w:tcW w:w="1710" w:type="pct"/>
            <w:vAlign w:val="center"/>
          </w:tcPr>
          <w:p w:rsidR="00075C26" w:rsidRPr="00D439EE" w:rsidRDefault="003A30B8"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F552FE">
              <w:rPr>
                <w:rFonts w:ascii="Arial Narrow" w:hAnsi="Arial Narrow"/>
                <w:noProof/>
                <w:color w:val="000000"/>
                <w:sz w:val="20"/>
                <w:highlight w:val="black"/>
              </w:rPr>
              <w:t>'''''''''''''''''''''''''</w:t>
            </w:r>
          </w:p>
        </w:tc>
        <w:tc>
          <w:tcPr>
            <w:tcW w:w="1710" w:type="pct"/>
          </w:tcPr>
          <w:p w:rsidR="00075C26" w:rsidRPr="00D439EE" w:rsidRDefault="003A30B8" w:rsidP="00313D08">
            <w:pPr>
              <w:pStyle w:val="ListParagraph"/>
              <w:widowControl/>
              <w:ind w:left="0"/>
              <w:contextualSpacing w:val="0"/>
              <w:jc w:val="center"/>
              <w:rPr>
                <w:rFonts w:ascii="Arial Narrow" w:hAnsi="Arial Narrow"/>
                <w:sz w:val="20"/>
              </w:rPr>
            </w:pPr>
            <w:r w:rsidRPr="00D439EE">
              <w:rPr>
                <w:rFonts w:ascii="Arial Narrow" w:hAnsi="Arial Narrow"/>
                <w:sz w:val="20"/>
              </w:rPr>
              <w:t>$</w:t>
            </w:r>
            <w:r w:rsidR="00F552FE">
              <w:rPr>
                <w:rFonts w:ascii="Arial Narrow" w:hAnsi="Arial Narrow"/>
                <w:noProof/>
                <w:color w:val="000000"/>
                <w:sz w:val="20"/>
                <w:highlight w:val="black"/>
              </w:rPr>
              <w:t>''''''''''''''''''''''''''''</w:t>
            </w:r>
          </w:p>
        </w:tc>
      </w:tr>
      <w:tr w:rsidR="00075C26" w:rsidRPr="00D439EE" w:rsidTr="00DD129C">
        <w:trPr>
          <w:tblHeader/>
        </w:trPr>
        <w:tc>
          <w:tcPr>
            <w:tcW w:w="1580" w:type="pct"/>
          </w:tcPr>
          <w:p w:rsidR="00075C26" w:rsidRPr="00D439EE" w:rsidRDefault="00075C26" w:rsidP="00313D08">
            <w:pPr>
              <w:pStyle w:val="ListParagraph"/>
              <w:widowControl/>
              <w:ind w:left="0"/>
              <w:contextualSpacing w:val="0"/>
              <w:rPr>
                <w:rFonts w:ascii="Arial Narrow" w:hAnsi="Arial Narrow"/>
                <w:b/>
                <w:sz w:val="20"/>
              </w:rPr>
            </w:pPr>
            <w:r w:rsidRPr="00D439EE">
              <w:rPr>
                <w:rFonts w:ascii="Arial Narrow" w:hAnsi="Arial Narrow"/>
                <w:b/>
                <w:sz w:val="20"/>
              </w:rPr>
              <w:t>% reached</w:t>
            </w:r>
          </w:p>
        </w:tc>
        <w:tc>
          <w:tcPr>
            <w:tcW w:w="1710" w:type="pct"/>
            <w:vAlign w:val="center"/>
          </w:tcPr>
          <w:p w:rsidR="00075C26" w:rsidRPr="00D439EE" w:rsidRDefault="00F552FE"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075C26" w:rsidRPr="00D439EE">
              <w:rPr>
                <w:rFonts w:ascii="Arial Narrow" w:hAnsi="Arial Narrow"/>
                <w:sz w:val="20"/>
              </w:rPr>
              <w:t>%</w:t>
            </w:r>
          </w:p>
        </w:tc>
        <w:tc>
          <w:tcPr>
            <w:tcW w:w="1710" w:type="pct"/>
          </w:tcPr>
          <w:p w:rsidR="00075C26" w:rsidRPr="00D439EE" w:rsidRDefault="00F552FE" w:rsidP="00313D08">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075C26" w:rsidRPr="00D439EE">
              <w:rPr>
                <w:rFonts w:ascii="Arial Narrow" w:hAnsi="Arial Narrow"/>
                <w:sz w:val="20"/>
              </w:rPr>
              <w:t>%</w:t>
            </w:r>
          </w:p>
        </w:tc>
      </w:tr>
    </w:tbl>
    <w:p w:rsidR="003A30B8" w:rsidRDefault="009D50CC" w:rsidP="00313D08">
      <w:pPr>
        <w:pStyle w:val="TableHeading0"/>
        <w:spacing w:before="0" w:after="0"/>
        <w:rPr>
          <w:b w:val="0"/>
          <w:sz w:val="18"/>
        </w:rPr>
      </w:pPr>
      <w:proofErr w:type="gramStart"/>
      <w:r w:rsidRPr="00D439EE">
        <w:rPr>
          <w:b w:val="0"/>
          <w:sz w:val="18"/>
          <w:vertAlign w:val="superscript"/>
        </w:rPr>
        <w:t>a</w:t>
      </w:r>
      <w:proofErr w:type="gramEnd"/>
      <w:r w:rsidRPr="00D439EE">
        <w:rPr>
          <w:b w:val="0"/>
          <w:sz w:val="18"/>
          <w:vertAlign w:val="superscript"/>
        </w:rPr>
        <w:t xml:space="preserve"> </w:t>
      </w:r>
      <w:r w:rsidR="003A30B8" w:rsidRPr="00D439EE">
        <w:rPr>
          <w:b w:val="0"/>
          <w:sz w:val="18"/>
        </w:rPr>
        <w:t>Data is for 1</w:t>
      </w:r>
      <w:r w:rsidR="003A30B8" w:rsidRPr="00D439EE">
        <w:rPr>
          <w:b w:val="0"/>
          <w:sz w:val="18"/>
          <w:vertAlign w:val="superscript"/>
        </w:rPr>
        <w:t>st</w:t>
      </w:r>
      <w:r w:rsidR="003A30B8" w:rsidRPr="00D439EE">
        <w:rPr>
          <w:b w:val="0"/>
          <w:sz w:val="18"/>
        </w:rPr>
        <w:t xml:space="preserve"> quarter </w:t>
      </w:r>
      <w:r w:rsidRPr="00D439EE">
        <w:rPr>
          <w:b w:val="0"/>
          <w:sz w:val="18"/>
        </w:rPr>
        <w:t xml:space="preserve">of Year 2 only; </w:t>
      </w:r>
      <w:r w:rsidRPr="00D439EE">
        <w:rPr>
          <w:b w:val="0"/>
          <w:sz w:val="18"/>
          <w:vertAlign w:val="superscript"/>
        </w:rPr>
        <w:t>b</w:t>
      </w:r>
      <w:r w:rsidRPr="00D439EE">
        <w:rPr>
          <w:b w:val="0"/>
          <w:sz w:val="18"/>
        </w:rPr>
        <w:t xml:space="preserve"> Financial caps are shared with the sponsors of pembrolizumab and atezolizumab</w:t>
      </w:r>
      <w:r w:rsidR="002F56B1">
        <w:rPr>
          <w:b w:val="0"/>
          <w:sz w:val="18"/>
        </w:rPr>
        <w:t>.</w:t>
      </w:r>
    </w:p>
    <w:p w:rsidR="00494113" w:rsidRDefault="00494113" w:rsidP="00313D08">
      <w:pPr>
        <w:pStyle w:val="TableHeading0"/>
        <w:spacing w:before="0" w:after="0"/>
        <w:rPr>
          <w:b w:val="0"/>
          <w:sz w:val="18"/>
        </w:rPr>
      </w:pPr>
    </w:p>
    <w:p w:rsidR="00494113" w:rsidRPr="00494113" w:rsidRDefault="00494113" w:rsidP="00494113">
      <w:pPr>
        <w:pStyle w:val="ListParagraph"/>
        <w:widowControl/>
        <w:spacing w:after="120"/>
        <w:ind w:left="709"/>
        <w:jc w:val="center"/>
        <w:rPr>
          <w:rFonts w:asciiTheme="minorHAnsi" w:hAnsiTheme="minorHAnsi"/>
          <w:b/>
          <w:i/>
          <w:sz w:val="24"/>
          <w:szCs w:val="24"/>
          <w:u w:val="single"/>
        </w:rPr>
      </w:pPr>
      <w:r w:rsidRPr="00494113">
        <w:rPr>
          <w:rFonts w:asciiTheme="minorHAnsi" w:hAnsiTheme="minorHAnsi"/>
          <w:b/>
          <w:i/>
          <w:sz w:val="24"/>
          <w:szCs w:val="24"/>
          <w:u w:val="single"/>
        </w:rPr>
        <w:t>End Committee-in-Confidence information</w:t>
      </w:r>
    </w:p>
    <w:p w:rsidR="00494113" w:rsidRPr="00494113" w:rsidRDefault="00494113" w:rsidP="007B416E">
      <w:pPr>
        <w:pStyle w:val="ListParagraph"/>
        <w:widowControl/>
        <w:spacing w:before="120" w:after="120"/>
        <w:contextualSpacing w:val="0"/>
        <w:rPr>
          <w:rFonts w:asciiTheme="minorHAnsi" w:eastAsiaTheme="minorHAnsi" w:hAnsiTheme="minorHAnsi" w:cstheme="minorHAnsi"/>
          <w:snapToGrid/>
          <w:sz w:val="24"/>
          <w:szCs w:val="24"/>
        </w:rPr>
      </w:pPr>
    </w:p>
    <w:p w:rsidR="003A30B8" w:rsidRPr="00D439EE" w:rsidRDefault="003F4C9F" w:rsidP="007B416E">
      <w:pPr>
        <w:pStyle w:val="ListParagraph"/>
        <w:widowControl/>
        <w:numPr>
          <w:ilvl w:val="1"/>
          <w:numId w:val="5"/>
        </w:numPr>
        <w:spacing w:before="120" w:after="120"/>
        <w:contextualSpacing w:val="0"/>
        <w:rPr>
          <w:rFonts w:asciiTheme="minorHAnsi" w:eastAsiaTheme="minorHAnsi" w:hAnsiTheme="minorHAnsi" w:cstheme="minorHAnsi"/>
          <w:snapToGrid/>
          <w:sz w:val="24"/>
          <w:szCs w:val="24"/>
        </w:rPr>
      </w:pPr>
      <w:r w:rsidRPr="00D439EE">
        <w:rPr>
          <w:rFonts w:asciiTheme="minorHAnsi" w:eastAsiaTheme="minorHAnsi" w:hAnsiTheme="minorHAnsi" w:cstheme="minorBidi"/>
          <w:snapToGrid/>
          <w:sz w:val="24"/>
          <w:szCs w:val="22"/>
        </w:rPr>
        <w:t xml:space="preserve">The annual expenditure for </w:t>
      </w:r>
      <w:r w:rsidR="00A1537A" w:rsidRPr="00D439EE">
        <w:rPr>
          <w:rFonts w:asciiTheme="minorHAnsi" w:eastAsiaTheme="minorHAnsi" w:hAnsiTheme="minorHAnsi" w:cstheme="minorBidi"/>
          <w:snapToGrid/>
          <w:sz w:val="24"/>
          <w:szCs w:val="22"/>
        </w:rPr>
        <w:t xml:space="preserve">2L </w:t>
      </w:r>
      <w:r w:rsidRPr="00D439EE">
        <w:rPr>
          <w:rFonts w:asciiTheme="minorHAnsi" w:eastAsiaTheme="minorHAnsi" w:hAnsiTheme="minorHAnsi" w:cstheme="minorBidi"/>
          <w:snapToGrid/>
          <w:sz w:val="24"/>
          <w:szCs w:val="22"/>
        </w:rPr>
        <w:t xml:space="preserve">RCC and </w:t>
      </w:r>
      <w:r w:rsidR="00A1537A" w:rsidRPr="00D439EE">
        <w:rPr>
          <w:rFonts w:asciiTheme="minorHAnsi" w:eastAsiaTheme="minorHAnsi" w:hAnsiTheme="minorHAnsi" w:cstheme="minorBidi"/>
          <w:snapToGrid/>
          <w:sz w:val="24"/>
          <w:szCs w:val="22"/>
        </w:rPr>
        <w:t xml:space="preserve">2L </w:t>
      </w:r>
      <w:r w:rsidRPr="00D439EE">
        <w:rPr>
          <w:rFonts w:asciiTheme="minorHAnsi" w:eastAsiaTheme="minorHAnsi" w:hAnsiTheme="minorHAnsi" w:cstheme="minorBidi"/>
          <w:snapToGrid/>
          <w:sz w:val="24"/>
          <w:szCs w:val="22"/>
        </w:rPr>
        <w:t xml:space="preserve">NSCLC were </w:t>
      </w:r>
      <w:r w:rsidRPr="00D606B0">
        <w:rPr>
          <w:rFonts w:asciiTheme="minorHAnsi" w:eastAsiaTheme="minorHAnsi" w:hAnsiTheme="minorHAnsi" w:cstheme="minorBidi"/>
          <w:snapToGrid/>
          <w:sz w:val="24"/>
          <w:szCs w:val="22"/>
        </w:rPr>
        <w:t>considerably below the c</w:t>
      </w:r>
      <w:r w:rsidR="009E7A11" w:rsidRPr="00D606B0">
        <w:rPr>
          <w:rFonts w:asciiTheme="minorHAnsi" w:eastAsiaTheme="minorHAnsi" w:hAnsiTheme="minorHAnsi" w:cstheme="minorBidi"/>
          <w:snapToGrid/>
          <w:sz w:val="24"/>
          <w:szCs w:val="22"/>
        </w:rPr>
        <w:t xml:space="preserve">orresponding financial caps and the Year 2 caps for these indications are also currently not projected to be met. </w:t>
      </w:r>
      <w:r w:rsidR="0022038E" w:rsidRPr="00D606B0">
        <w:rPr>
          <w:rFonts w:asciiTheme="minorHAnsi" w:eastAsiaTheme="minorHAnsi" w:hAnsiTheme="minorHAnsi" w:cstheme="minorBidi"/>
          <w:snapToGrid/>
          <w:sz w:val="24"/>
          <w:szCs w:val="22"/>
        </w:rPr>
        <w:t xml:space="preserve">Given the mean dose of nivolumab per infusion for </w:t>
      </w:r>
      <w:r w:rsidR="00A1537A" w:rsidRPr="00D606B0">
        <w:rPr>
          <w:rFonts w:asciiTheme="minorHAnsi" w:eastAsiaTheme="minorHAnsi" w:hAnsiTheme="minorHAnsi" w:cstheme="minorBidi"/>
          <w:snapToGrid/>
          <w:sz w:val="24"/>
          <w:szCs w:val="22"/>
        </w:rPr>
        <w:t xml:space="preserve">2L </w:t>
      </w:r>
      <w:r w:rsidR="0022038E" w:rsidRPr="00D606B0">
        <w:rPr>
          <w:rFonts w:asciiTheme="minorHAnsi" w:eastAsiaTheme="minorHAnsi" w:hAnsiTheme="minorHAnsi" w:cstheme="minorBidi"/>
          <w:snapToGrid/>
          <w:sz w:val="24"/>
          <w:szCs w:val="22"/>
        </w:rPr>
        <w:t xml:space="preserve">NSCLC was less than 240 mg (see Table 4), the addition of </w:t>
      </w:r>
      <w:r w:rsidR="00932DBF" w:rsidRPr="00D606B0">
        <w:rPr>
          <w:rFonts w:asciiTheme="minorHAnsi" w:eastAsiaTheme="minorHAnsi" w:hAnsiTheme="minorHAnsi" w:cstheme="minorBidi"/>
          <w:snapToGrid/>
          <w:sz w:val="24"/>
          <w:szCs w:val="22"/>
        </w:rPr>
        <w:t>flat</w:t>
      </w:r>
      <w:r w:rsidR="00A1537A" w:rsidRPr="00D606B0">
        <w:rPr>
          <w:rFonts w:asciiTheme="minorHAnsi" w:eastAsiaTheme="minorHAnsi" w:hAnsiTheme="minorHAnsi" w:cstheme="minorBidi"/>
          <w:snapToGrid/>
          <w:sz w:val="24"/>
          <w:szCs w:val="22"/>
        </w:rPr>
        <w:t xml:space="preserve"> </w:t>
      </w:r>
      <w:r w:rsidR="0022038E" w:rsidRPr="00D606B0">
        <w:rPr>
          <w:rFonts w:asciiTheme="minorHAnsi" w:eastAsiaTheme="minorHAnsi" w:hAnsiTheme="minorHAnsi" w:cstheme="minorBidi"/>
          <w:snapToGrid/>
          <w:sz w:val="24"/>
          <w:szCs w:val="22"/>
        </w:rPr>
        <w:t>dosing regimens may result in a dose increase and as such, a higher cost per patient</w:t>
      </w:r>
      <w:r w:rsidR="00810F8D" w:rsidRPr="00D606B0">
        <w:rPr>
          <w:rFonts w:asciiTheme="minorHAnsi" w:eastAsiaTheme="minorHAnsi" w:hAnsiTheme="minorHAnsi" w:cstheme="minorBidi"/>
          <w:snapToGrid/>
          <w:sz w:val="24"/>
          <w:szCs w:val="22"/>
        </w:rPr>
        <w:t xml:space="preserve"> and cost to Government</w:t>
      </w:r>
      <w:r w:rsidR="0022038E" w:rsidRPr="00D606B0">
        <w:rPr>
          <w:rFonts w:asciiTheme="minorHAnsi" w:eastAsiaTheme="minorHAnsi" w:hAnsiTheme="minorHAnsi" w:cstheme="minorBidi"/>
          <w:snapToGrid/>
          <w:sz w:val="24"/>
          <w:szCs w:val="22"/>
        </w:rPr>
        <w:t xml:space="preserve"> in the event that the RSA cap is not exceeded. </w:t>
      </w:r>
      <w:r w:rsidR="00810F8D" w:rsidRPr="00D606B0">
        <w:rPr>
          <w:rFonts w:asciiTheme="minorHAnsi" w:eastAsiaTheme="minorHAnsi" w:hAnsiTheme="minorHAnsi" w:cstheme="minorBidi"/>
          <w:snapToGrid/>
          <w:sz w:val="24"/>
          <w:szCs w:val="22"/>
        </w:rPr>
        <w:t>Accordingly, if</w:t>
      </w:r>
      <w:r w:rsidR="00B579B2" w:rsidRPr="00D606B0">
        <w:rPr>
          <w:rFonts w:asciiTheme="minorHAnsi" w:eastAsiaTheme="minorHAnsi" w:hAnsiTheme="minorHAnsi" w:cstheme="minorBidi"/>
          <w:snapToGrid/>
          <w:sz w:val="24"/>
          <w:szCs w:val="22"/>
        </w:rPr>
        <w:t xml:space="preserve"> the annual expenditure cap for SCCHN is also not exceeded, </w:t>
      </w:r>
      <w:r w:rsidR="00810F8D" w:rsidRPr="00D606B0">
        <w:rPr>
          <w:rFonts w:asciiTheme="minorHAnsi" w:eastAsiaTheme="minorHAnsi" w:hAnsiTheme="minorHAnsi" w:cstheme="minorBidi"/>
          <w:snapToGrid/>
          <w:sz w:val="24"/>
          <w:szCs w:val="22"/>
        </w:rPr>
        <w:t xml:space="preserve">there may be an increased cost to Government </w:t>
      </w:r>
      <w:r w:rsidR="00810F8D" w:rsidRPr="00D606B0">
        <w:rPr>
          <w:rFonts w:asciiTheme="minorHAnsi" w:eastAsiaTheme="minorHAnsi" w:hAnsiTheme="minorHAnsi" w:cstheme="minorHAnsi"/>
          <w:snapToGrid/>
          <w:sz w:val="24"/>
          <w:szCs w:val="24"/>
        </w:rPr>
        <w:t>for this indication.</w:t>
      </w:r>
    </w:p>
    <w:p w:rsidR="00E91A72" w:rsidRDefault="00235A60" w:rsidP="007B416E">
      <w:pPr>
        <w:pStyle w:val="ListParagraph"/>
        <w:widowControl/>
        <w:spacing w:before="120" w:after="120"/>
        <w:rPr>
          <w:rFonts w:asciiTheme="minorHAnsi" w:eastAsiaTheme="minorHAnsi" w:hAnsiTheme="minorHAnsi" w:cstheme="minorHAnsi"/>
          <w:snapToGrid/>
          <w:sz w:val="24"/>
          <w:szCs w:val="24"/>
        </w:rPr>
      </w:pPr>
      <w:r w:rsidRPr="00D439EE">
        <w:rPr>
          <w:rFonts w:asciiTheme="minorHAnsi" w:eastAsiaTheme="minorHAnsi" w:hAnsiTheme="minorHAnsi" w:cstheme="minorHAnsi"/>
          <w:snapToGrid/>
          <w:sz w:val="24"/>
          <w:szCs w:val="24"/>
        </w:rPr>
        <w:t xml:space="preserve">If the financial caps for malignant melanoma continue to </w:t>
      </w:r>
      <w:proofErr w:type="gramStart"/>
      <w:r w:rsidRPr="00D439EE">
        <w:rPr>
          <w:rFonts w:asciiTheme="minorHAnsi" w:eastAsiaTheme="minorHAnsi" w:hAnsiTheme="minorHAnsi" w:cstheme="minorHAnsi"/>
          <w:snapToGrid/>
          <w:sz w:val="24"/>
          <w:szCs w:val="24"/>
        </w:rPr>
        <w:t>be exceeded</w:t>
      </w:r>
      <w:proofErr w:type="gramEnd"/>
      <w:r w:rsidRPr="00D439EE">
        <w:rPr>
          <w:rFonts w:asciiTheme="minorHAnsi" w:eastAsiaTheme="minorHAnsi" w:hAnsiTheme="minorHAnsi" w:cstheme="minorHAnsi"/>
          <w:snapToGrid/>
          <w:sz w:val="24"/>
          <w:szCs w:val="24"/>
        </w:rPr>
        <w:t xml:space="preserve">, the overall net cost to Government would remain the same irrespective of changes in the average dose per </w:t>
      </w:r>
      <w:r w:rsidR="001822D8" w:rsidRPr="00D439EE">
        <w:rPr>
          <w:rFonts w:asciiTheme="minorHAnsi" w:eastAsiaTheme="minorHAnsi" w:hAnsiTheme="minorHAnsi" w:cstheme="minorHAnsi"/>
          <w:snapToGrid/>
          <w:sz w:val="24"/>
          <w:szCs w:val="24"/>
        </w:rPr>
        <w:t>infusion,</w:t>
      </w:r>
      <w:r w:rsidRPr="00D439EE">
        <w:rPr>
          <w:rFonts w:asciiTheme="minorHAnsi" w:eastAsiaTheme="minorHAnsi" w:hAnsiTheme="minorHAnsi" w:cstheme="minorHAnsi"/>
          <w:snapToGrid/>
          <w:sz w:val="24"/>
          <w:szCs w:val="24"/>
        </w:rPr>
        <w:t xml:space="preserve"> as it would be contained by the </w:t>
      </w:r>
      <w:r w:rsidR="009F0DFD" w:rsidRPr="00D439EE">
        <w:rPr>
          <w:rFonts w:asciiTheme="minorHAnsi" w:eastAsiaTheme="minorHAnsi" w:hAnsiTheme="minorHAnsi" w:cstheme="minorHAnsi"/>
          <w:snapToGrid/>
          <w:sz w:val="24"/>
          <w:szCs w:val="24"/>
        </w:rPr>
        <w:t>RSA</w:t>
      </w:r>
      <w:r w:rsidRPr="00D439EE">
        <w:rPr>
          <w:rFonts w:asciiTheme="minorHAnsi" w:eastAsiaTheme="minorHAnsi" w:hAnsiTheme="minorHAnsi" w:cstheme="minorHAnsi"/>
          <w:snapToGrid/>
          <w:sz w:val="24"/>
          <w:szCs w:val="24"/>
        </w:rPr>
        <w:t xml:space="preserve">. </w:t>
      </w:r>
    </w:p>
    <w:p w:rsidR="007B416E" w:rsidRPr="00D439EE" w:rsidRDefault="007B416E" w:rsidP="007B416E">
      <w:pPr>
        <w:pStyle w:val="ListParagraph"/>
        <w:widowControl/>
        <w:spacing w:before="120" w:after="120"/>
        <w:rPr>
          <w:rFonts w:asciiTheme="minorHAnsi" w:eastAsiaTheme="minorHAnsi" w:hAnsiTheme="minorHAnsi" w:cstheme="minorHAnsi"/>
          <w:snapToGrid/>
          <w:sz w:val="24"/>
          <w:szCs w:val="24"/>
        </w:rPr>
      </w:pPr>
    </w:p>
    <w:p w:rsidR="00367CA2" w:rsidRPr="00D439EE" w:rsidRDefault="00367CA2" w:rsidP="007B416E">
      <w:pPr>
        <w:pStyle w:val="ListParagraph"/>
        <w:keepNext/>
        <w:widowControl/>
        <w:spacing w:before="120" w:after="120"/>
        <w:contextualSpacing w:val="0"/>
        <w:rPr>
          <w:rFonts w:asciiTheme="minorHAnsi" w:eastAsiaTheme="minorHAnsi" w:hAnsiTheme="minorHAnsi" w:cstheme="minorBidi"/>
          <w:i/>
          <w:sz w:val="24"/>
          <w:szCs w:val="24"/>
        </w:rPr>
      </w:pPr>
      <w:r w:rsidRPr="00D439EE">
        <w:rPr>
          <w:rFonts w:asciiTheme="minorHAnsi" w:eastAsiaTheme="minorHAnsi" w:hAnsiTheme="minorHAnsi" w:cstheme="minorBidi"/>
          <w:i/>
          <w:sz w:val="24"/>
          <w:szCs w:val="24"/>
        </w:rPr>
        <w:t>For more detail on PBAC’s view, see section 5 PBAC outcome.</w:t>
      </w:r>
    </w:p>
    <w:p w:rsidR="000A2B78" w:rsidRPr="00D439EE" w:rsidRDefault="00331E92" w:rsidP="007B416E">
      <w:pPr>
        <w:spacing w:before="120" w:after="120"/>
        <w:rPr>
          <w:rFonts w:eastAsiaTheme="minorHAnsi"/>
        </w:rPr>
      </w:pPr>
      <w:r w:rsidRPr="00D439EE">
        <w:rPr>
          <w:rFonts w:eastAsiaTheme="minorHAnsi"/>
        </w:rPr>
        <w:br w:type="page"/>
      </w:r>
    </w:p>
    <w:p w:rsidR="000A2B78" w:rsidRPr="00D439EE" w:rsidRDefault="00F31049" w:rsidP="007B416E">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PBAC O</w:t>
      </w:r>
      <w:r w:rsidR="000A2B78" w:rsidRPr="00D439EE">
        <w:rPr>
          <w:rFonts w:asciiTheme="minorHAnsi" w:hAnsiTheme="minorHAnsi"/>
          <w:sz w:val="32"/>
          <w:szCs w:val="32"/>
        </w:rPr>
        <w:t>utcome</w:t>
      </w:r>
    </w:p>
    <w:p w:rsidR="00556669" w:rsidRPr="00D439EE" w:rsidRDefault="00556669" w:rsidP="007B416E">
      <w:pPr>
        <w:pStyle w:val="ListParagraph"/>
        <w:widowControl/>
        <w:numPr>
          <w:ilvl w:val="1"/>
          <w:numId w:val="14"/>
        </w:numPr>
        <w:spacing w:before="120" w:after="120"/>
        <w:contextualSpacing w:val="0"/>
        <w:rPr>
          <w:rFonts w:asciiTheme="minorHAnsi" w:eastAsiaTheme="minorHAnsi" w:hAnsiTheme="minorHAnsi" w:cstheme="minorBidi"/>
          <w:snapToGrid/>
          <w:sz w:val="28"/>
          <w:szCs w:val="24"/>
        </w:rPr>
      </w:pPr>
      <w:r w:rsidRPr="00D439EE">
        <w:rPr>
          <w:rFonts w:asciiTheme="minorHAnsi" w:eastAsiaTheme="minorHAnsi" w:hAnsiTheme="minorHAnsi" w:cstheme="minorHAnsi"/>
          <w:sz w:val="24"/>
        </w:rPr>
        <w:t>The PBAC recommended the addition of two flat dosing regimens (240 mg Q2W and 480 mg Q4W) to the existing 3 mg/kg Q2W</w:t>
      </w:r>
      <w:r w:rsidR="00106F59" w:rsidRPr="00D439EE">
        <w:rPr>
          <w:rFonts w:asciiTheme="minorHAnsi" w:eastAsiaTheme="minorHAnsi" w:hAnsiTheme="minorHAnsi" w:cstheme="minorHAnsi"/>
          <w:sz w:val="24"/>
        </w:rPr>
        <w:t xml:space="preserve"> </w:t>
      </w:r>
      <w:r w:rsidRPr="00D439EE">
        <w:rPr>
          <w:rFonts w:asciiTheme="minorHAnsi" w:eastAsiaTheme="minorHAnsi" w:hAnsiTheme="minorHAnsi" w:cstheme="minorHAnsi"/>
          <w:sz w:val="24"/>
        </w:rPr>
        <w:t>weight based dosing regimen for all existing and future PBS indications where nivolumab monotherapy is used. The PBAC recommended that the maximum amount be adjusted to 480 mg.</w:t>
      </w:r>
    </w:p>
    <w:p w:rsidR="00556669" w:rsidRPr="00D439EE" w:rsidRDefault="00106F59" w:rsidP="007B416E">
      <w:pPr>
        <w:pStyle w:val="ListParagraph"/>
        <w:widowControl/>
        <w:numPr>
          <w:ilvl w:val="1"/>
          <w:numId w:val="14"/>
        </w:numPr>
        <w:spacing w:before="120" w:after="120"/>
        <w:contextualSpacing w:val="0"/>
        <w:rPr>
          <w:rFonts w:asciiTheme="minorHAnsi" w:eastAsiaTheme="minorHAnsi" w:hAnsiTheme="minorHAnsi" w:cstheme="minorBidi"/>
          <w:snapToGrid/>
          <w:sz w:val="28"/>
          <w:szCs w:val="24"/>
        </w:rPr>
      </w:pPr>
      <w:r w:rsidRPr="00D439EE">
        <w:rPr>
          <w:rFonts w:asciiTheme="minorHAnsi" w:eastAsiaTheme="minorHAnsi" w:hAnsiTheme="minorHAnsi" w:cstheme="minorBidi"/>
          <w:snapToGrid/>
          <w:sz w:val="24"/>
          <w:szCs w:val="24"/>
        </w:rPr>
        <w:t xml:space="preserve">The PBAC </w:t>
      </w:r>
      <w:r w:rsidR="00422D8A" w:rsidRPr="00D439EE">
        <w:rPr>
          <w:rFonts w:asciiTheme="minorHAnsi" w:eastAsiaTheme="minorHAnsi" w:hAnsiTheme="minorHAnsi" w:cstheme="minorBidi"/>
          <w:snapToGrid/>
          <w:sz w:val="24"/>
          <w:szCs w:val="24"/>
        </w:rPr>
        <w:t xml:space="preserve">noted there </w:t>
      </w:r>
      <w:r w:rsidR="00FB45EC" w:rsidRPr="00D439EE">
        <w:rPr>
          <w:rFonts w:asciiTheme="minorHAnsi" w:eastAsiaTheme="minorHAnsi" w:hAnsiTheme="minorHAnsi" w:cstheme="minorBidi"/>
          <w:snapToGrid/>
          <w:sz w:val="24"/>
          <w:szCs w:val="24"/>
        </w:rPr>
        <w:t>was</w:t>
      </w:r>
      <w:r w:rsidR="00422D8A" w:rsidRPr="00D439EE">
        <w:rPr>
          <w:rFonts w:asciiTheme="minorHAnsi" w:eastAsiaTheme="minorHAnsi" w:hAnsiTheme="minorHAnsi" w:cstheme="minorBidi"/>
          <w:snapToGrid/>
          <w:sz w:val="24"/>
          <w:szCs w:val="24"/>
        </w:rPr>
        <w:t xml:space="preserve"> </w:t>
      </w:r>
      <w:r w:rsidR="00FB45EC" w:rsidRPr="00D439EE">
        <w:rPr>
          <w:rFonts w:asciiTheme="minorHAnsi" w:eastAsiaTheme="minorHAnsi" w:hAnsiTheme="minorHAnsi" w:cstheme="minorBidi"/>
          <w:snapToGrid/>
          <w:sz w:val="24"/>
          <w:szCs w:val="24"/>
        </w:rPr>
        <w:t xml:space="preserve">limited </w:t>
      </w:r>
      <w:r w:rsidR="00422D8A" w:rsidRPr="00D439EE">
        <w:rPr>
          <w:rFonts w:asciiTheme="minorHAnsi" w:eastAsiaTheme="minorHAnsi" w:hAnsiTheme="minorHAnsi" w:cstheme="minorBidi"/>
          <w:snapToGrid/>
          <w:sz w:val="24"/>
          <w:szCs w:val="24"/>
        </w:rPr>
        <w:t>clinical data to support</w:t>
      </w:r>
      <w:r w:rsidR="00AD187A" w:rsidRPr="00D439EE">
        <w:rPr>
          <w:rFonts w:asciiTheme="minorHAnsi" w:eastAsiaTheme="minorHAnsi" w:hAnsiTheme="minorHAnsi" w:cstheme="minorBidi"/>
          <w:snapToGrid/>
          <w:sz w:val="24"/>
          <w:szCs w:val="24"/>
        </w:rPr>
        <w:t xml:space="preserve"> the claim that the flat dosing regimens are</w:t>
      </w:r>
      <w:r w:rsidR="00422D8A" w:rsidRPr="00D439EE">
        <w:rPr>
          <w:rFonts w:asciiTheme="minorHAnsi" w:eastAsiaTheme="minorHAnsi" w:hAnsiTheme="minorHAnsi" w:cstheme="minorBidi"/>
          <w:snapToGrid/>
          <w:sz w:val="24"/>
          <w:szCs w:val="24"/>
        </w:rPr>
        <w:t xml:space="preserve"> non-inferior</w:t>
      </w:r>
      <w:r w:rsidR="00AD187A" w:rsidRPr="00D439EE">
        <w:rPr>
          <w:rFonts w:asciiTheme="minorHAnsi" w:eastAsiaTheme="minorHAnsi" w:hAnsiTheme="minorHAnsi" w:cstheme="minorBidi"/>
          <w:snapToGrid/>
          <w:sz w:val="24"/>
          <w:szCs w:val="24"/>
        </w:rPr>
        <w:t xml:space="preserve"> in</w:t>
      </w:r>
      <w:r w:rsidR="00422D8A" w:rsidRPr="00D439EE">
        <w:rPr>
          <w:rFonts w:asciiTheme="minorHAnsi" w:eastAsiaTheme="minorHAnsi" w:hAnsiTheme="minorHAnsi" w:cstheme="minorBidi"/>
          <w:snapToGrid/>
          <w:sz w:val="24"/>
          <w:szCs w:val="24"/>
        </w:rPr>
        <w:t xml:space="preserve"> efficacy and safety compared to the 3 mg/kg Q2W </w:t>
      </w:r>
      <w:r w:rsidR="00AD187A" w:rsidRPr="00D439EE">
        <w:rPr>
          <w:rFonts w:asciiTheme="minorHAnsi" w:eastAsiaTheme="minorHAnsi" w:hAnsiTheme="minorHAnsi" w:cstheme="minorBidi"/>
          <w:snapToGrid/>
          <w:sz w:val="24"/>
          <w:szCs w:val="24"/>
        </w:rPr>
        <w:t xml:space="preserve">weight based dosing regimen. </w:t>
      </w:r>
      <w:r w:rsidR="00FB45EC" w:rsidRPr="00D439EE">
        <w:rPr>
          <w:rFonts w:asciiTheme="minorHAnsi" w:eastAsiaTheme="minorHAnsi" w:hAnsiTheme="minorHAnsi" w:cstheme="minorBidi"/>
          <w:snapToGrid/>
          <w:sz w:val="24"/>
          <w:szCs w:val="24"/>
        </w:rPr>
        <w:t xml:space="preserve">However, </w:t>
      </w:r>
      <w:r w:rsidR="0000120D" w:rsidRPr="00D439EE">
        <w:rPr>
          <w:rFonts w:asciiTheme="minorHAnsi" w:eastAsiaTheme="minorHAnsi" w:hAnsiTheme="minorHAnsi" w:cstheme="minorBidi"/>
          <w:snapToGrid/>
          <w:sz w:val="24"/>
          <w:szCs w:val="24"/>
        </w:rPr>
        <w:t xml:space="preserve">based on the overall </w:t>
      </w:r>
      <w:r w:rsidR="00972FD4" w:rsidRPr="00D439EE">
        <w:rPr>
          <w:rFonts w:asciiTheme="minorHAnsi" w:eastAsiaTheme="minorHAnsi" w:hAnsiTheme="minorHAnsi" w:cstheme="minorBidi"/>
          <w:snapToGrid/>
          <w:sz w:val="24"/>
          <w:szCs w:val="24"/>
        </w:rPr>
        <w:t>evidence</w:t>
      </w:r>
      <w:r w:rsidR="0000120D" w:rsidRPr="00D439EE">
        <w:rPr>
          <w:rFonts w:asciiTheme="minorHAnsi" w:eastAsiaTheme="minorHAnsi" w:hAnsiTheme="minorHAnsi" w:cstheme="minorBidi"/>
          <w:snapToGrid/>
          <w:sz w:val="24"/>
          <w:szCs w:val="24"/>
        </w:rPr>
        <w:t>, the PBAC considered that the efficacy and safety of the flat and weight based dosing regimens would likely be comparable</w:t>
      </w:r>
      <w:r w:rsidR="00D439EE">
        <w:rPr>
          <w:rFonts w:asciiTheme="minorHAnsi" w:eastAsiaTheme="minorHAnsi" w:hAnsiTheme="minorHAnsi" w:cstheme="minorBidi"/>
          <w:snapToGrid/>
          <w:sz w:val="24"/>
          <w:szCs w:val="24"/>
        </w:rPr>
        <w:t xml:space="preserve">. </w:t>
      </w:r>
    </w:p>
    <w:p w:rsidR="0000120D" w:rsidRPr="00D439EE" w:rsidRDefault="00246D65" w:rsidP="007B416E">
      <w:pPr>
        <w:pStyle w:val="ListParagraph"/>
        <w:widowControl/>
        <w:numPr>
          <w:ilvl w:val="1"/>
          <w:numId w:val="14"/>
        </w:numPr>
        <w:spacing w:before="120" w:after="120"/>
        <w:contextualSpacing w:val="0"/>
        <w:rPr>
          <w:rFonts w:asciiTheme="minorHAnsi" w:eastAsiaTheme="minorHAnsi" w:hAnsiTheme="minorHAnsi" w:cstheme="minorBidi"/>
          <w:snapToGrid/>
          <w:sz w:val="28"/>
          <w:szCs w:val="24"/>
        </w:rPr>
      </w:pPr>
      <w:r w:rsidRPr="00D439EE">
        <w:rPr>
          <w:rFonts w:asciiTheme="minorHAnsi" w:eastAsiaTheme="minorHAnsi" w:hAnsiTheme="minorHAnsi" w:cstheme="minorBidi"/>
          <w:snapToGrid/>
          <w:sz w:val="24"/>
          <w:szCs w:val="24"/>
        </w:rPr>
        <w:t>The PBAC noted</w:t>
      </w:r>
      <w:r w:rsidR="00972FD4" w:rsidRPr="00D439EE">
        <w:rPr>
          <w:rFonts w:asciiTheme="minorHAnsi" w:eastAsiaTheme="minorHAnsi" w:hAnsiTheme="minorHAnsi" w:cstheme="minorBidi"/>
          <w:snapToGrid/>
          <w:sz w:val="24"/>
          <w:szCs w:val="24"/>
        </w:rPr>
        <w:t xml:space="preserve"> the</w:t>
      </w:r>
      <w:r w:rsidRPr="00D439EE">
        <w:rPr>
          <w:rFonts w:asciiTheme="minorHAnsi" w:eastAsiaTheme="minorHAnsi" w:hAnsiTheme="minorHAnsi" w:cstheme="minorBidi"/>
          <w:snapToGrid/>
          <w:sz w:val="24"/>
          <w:szCs w:val="24"/>
        </w:rPr>
        <w:t xml:space="preserve"> </w:t>
      </w:r>
      <w:r w:rsidR="00972FD4" w:rsidRPr="00D439EE">
        <w:rPr>
          <w:rFonts w:asciiTheme="minorHAnsi" w:eastAsiaTheme="minorHAnsi" w:hAnsiTheme="minorHAnsi" w:cstheme="minorBidi"/>
          <w:snapToGrid/>
          <w:sz w:val="24"/>
          <w:szCs w:val="24"/>
        </w:rPr>
        <w:t>Departmental analysis</w:t>
      </w:r>
      <w:r w:rsidR="00170E95" w:rsidRPr="00D439EE">
        <w:rPr>
          <w:rFonts w:asciiTheme="minorHAnsi" w:eastAsiaTheme="minorHAnsi" w:hAnsiTheme="minorHAnsi" w:cstheme="minorBidi"/>
          <w:snapToGrid/>
          <w:sz w:val="24"/>
          <w:szCs w:val="24"/>
        </w:rPr>
        <w:t xml:space="preserve"> of PBS utilisation indicated that mean doses for some indications were below the proposed 240 mg flat dose. However, the PBAC considered the differences to be small and therefore considered that addition of flat dosing regimens were unlikely to be associated with significant wastage or have a significant impact on cost-effectiveness</w:t>
      </w:r>
      <w:r w:rsidR="001711F3" w:rsidRPr="00D439EE">
        <w:rPr>
          <w:rFonts w:asciiTheme="minorHAnsi" w:eastAsiaTheme="minorHAnsi" w:hAnsiTheme="minorHAnsi" w:cstheme="minorBidi"/>
          <w:snapToGrid/>
          <w:sz w:val="24"/>
          <w:szCs w:val="24"/>
        </w:rPr>
        <w:t xml:space="preserve"> of nivolumab across the different indications. </w:t>
      </w:r>
      <w:r w:rsidR="006E4A47" w:rsidRPr="00D439EE">
        <w:rPr>
          <w:rFonts w:asciiTheme="minorHAnsi" w:eastAsiaTheme="minorHAnsi" w:hAnsiTheme="minorHAnsi" w:cstheme="minorBidi"/>
          <w:snapToGrid/>
          <w:sz w:val="24"/>
          <w:szCs w:val="24"/>
        </w:rPr>
        <w:t>Further, the PBAC noted that</w:t>
      </w:r>
      <w:r w:rsidR="003A43C7" w:rsidRPr="00D439EE">
        <w:rPr>
          <w:rFonts w:asciiTheme="minorHAnsi" w:eastAsiaTheme="minorHAnsi" w:hAnsiTheme="minorHAnsi" w:cstheme="minorBidi"/>
          <w:snapToGrid/>
          <w:sz w:val="24"/>
          <w:szCs w:val="24"/>
        </w:rPr>
        <w:t xml:space="preserve"> if</w:t>
      </w:r>
      <w:r w:rsidR="006E4A47" w:rsidRPr="00D439EE">
        <w:rPr>
          <w:rFonts w:asciiTheme="minorHAnsi" w:eastAsiaTheme="minorHAnsi" w:hAnsiTheme="minorHAnsi" w:cstheme="minorBidi"/>
          <w:snapToGrid/>
          <w:sz w:val="24"/>
          <w:szCs w:val="24"/>
        </w:rPr>
        <w:t xml:space="preserve"> the annual expenditure caps for </w:t>
      </w:r>
      <w:r w:rsidR="00E267D4" w:rsidRPr="00D439EE">
        <w:rPr>
          <w:rFonts w:asciiTheme="minorHAnsi" w:eastAsiaTheme="minorHAnsi" w:hAnsiTheme="minorHAnsi" w:cstheme="minorBidi"/>
          <w:snapToGrid/>
          <w:sz w:val="24"/>
          <w:szCs w:val="24"/>
        </w:rPr>
        <w:t>the treatment of unresectable Stage III</w:t>
      </w:r>
      <w:r w:rsidR="003A43C7" w:rsidRPr="00D439EE">
        <w:rPr>
          <w:rFonts w:asciiTheme="minorHAnsi" w:eastAsiaTheme="minorHAnsi" w:hAnsiTheme="minorHAnsi" w:cstheme="minorBidi"/>
          <w:snapToGrid/>
          <w:sz w:val="24"/>
          <w:szCs w:val="24"/>
        </w:rPr>
        <w:t xml:space="preserve"> or Stage IV malignant melanoma continue to be exceeded as per previous years, the overall net cost to the Government for this indication would remain the same as it would be contained by the risk sharing arrangement. </w:t>
      </w:r>
    </w:p>
    <w:p w:rsidR="00E46068" w:rsidRPr="00D439EE" w:rsidRDefault="00F17D86" w:rsidP="007B416E">
      <w:pPr>
        <w:pStyle w:val="ListParagraph"/>
        <w:widowControl/>
        <w:numPr>
          <w:ilvl w:val="1"/>
          <w:numId w:val="14"/>
        </w:numPr>
        <w:spacing w:before="120" w:after="120"/>
        <w:contextualSpacing w:val="0"/>
        <w:rPr>
          <w:rFonts w:asciiTheme="minorHAnsi" w:eastAsiaTheme="minorHAnsi" w:hAnsiTheme="minorHAnsi" w:cstheme="minorBidi"/>
          <w:snapToGrid/>
          <w:sz w:val="28"/>
          <w:szCs w:val="24"/>
        </w:rPr>
      </w:pPr>
      <w:r w:rsidRPr="00D439EE">
        <w:rPr>
          <w:rFonts w:asciiTheme="minorHAnsi" w:eastAsiaTheme="minorHAnsi" w:hAnsiTheme="minorHAnsi" w:cstheme="minorBidi"/>
          <w:snapToGrid/>
          <w:sz w:val="24"/>
          <w:szCs w:val="24"/>
        </w:rPr>
        <w:t xml:space="preserve">The PBAC considered that while the estimated </w:t>
      </w:r>
      <w:r w:rsidR="00C03BF7" w:rsidRPr="00D439EE">
        <w:rPr>
          <w:rFonts w:asciiTheme="minorHAnsi" w:eastAsiaTheme="minorHAnsi" w:hAnsiTheme="minorHAnsi" w:cstheme="minorBidi"/>
          <w:snapToGrid/>
          <w:sz w:val="24"/>
          <w:szCs w:val="24"/>
        </w:rPr>
        <w:t>utilisation split between flat and weight based dosing regimens was uncertain</w:t>
      </w:r>
      <w:r w:rsidRPr="00D439EE">
        <w:rPr>
          <w:rFonts w:asciiTheme="minorHAnsi" w:eastAsiaTheme="minorHAnsi" w:hAnsiTheme="minorHAnsi" w:cstheme="minorBidi"/>
          <w:snapToGrid/>
          <w:sz w:val="24"/>
          <w:szCs w:val="24"/>
        </w:rPr>
        <w:t xml:space="preserve">, it was reasonable to assume that </w:t>
      </w:r>
      <w:r w:rsidR="00C03BF7" w:rsidRPr="00D439EE">
        <w:rPr>
          <w:rFonts w:asciiTheme="minorHAnsi" w:eastAsiaTheme="minorHAnsi" w:hAnsiTheme="minorHAnsi" w:cstheme="minorBidi"/>
          <w:snapToGrid/>
          <w:sz w:val="24"/>
          <w:szCs w:val="24"/>
        </w:rPr>
        <w:t>the majority of patients would be prescribed the 480 mg Q4W dosing regimen if available</w:t>
      </w:r>
      <w:r w:rsidR="00A00A62" w:rsidRPr="00D439EE">
        <w:rPr>
          <w:rFonts w:asciiTheme="minorHAnsi" w:eastAsiaTheme="minorHAnsi" w:hAnsiTheme="minorHAnsi" w:cstheme="minorBidi"/>
          <w:snapToGrid/>
          <w:sz w:val="24"/>
          <w:szCs w:val="24"/>
        </w:rPr>
        <w:t>. As such, the PBAC considered</w:t>
      </w:r>
      <w:r w:rsidR="000C73BF" w:rsidRPr="00D439EE">
        <w:rPr>
          <w:rFonts w:asciiTheme="minorHAnsi" w:eastAsiaTheme="minorHAnsi" w:hAnsiTheme="minorHAnsi" w:cstheme="minorBidi"/>
          <w:snapToGrid/>
          <w:sz w:val="24"/>
          <w:szCs w:val="24"/>
        </w:rPr>
        <w:t xml:space="preserve"> there would be some cost-savings to Government associated with the addition of nivolumab flat dosing regimens due to reduced infusion administrations</w:t>
      </w:r>
      <w:r w:rsidR="00D439EE">
        <w:rPr>
          <w:rFonts w:asciiTheme="minorHAnsi" w:eastAsiaTheme="minorHAnsi" w:hAnsiTheme="minorHAnsi" w:cstheme="minorBidi"/>
          <w:snapToGrid/>
          <w:sz w:val="24"/>
          <w:szCs w:val="24"/>
        </w:rPr>
        <w:t xml:space="preserve">. </w:t>
      </w:r>
    </w:p>
    <w:p w:rsidR="00FB7738" w:rsidRPr="00D439EE" w:rsidRDefault="006B27B6" w:rsidP="007B416E">
      <w:pPr>
        <w:pStyle w:val="ListParagraph"/>
        <w:widowControl/>
        <w:numPr>
          <w:ilvl w:val="1"/>
          <w:numId w:val="14"/>
        </w:numPr>
        <w:spacing w:before="120" w:after="120"/>
        <w:contextualSpacing w:val="0"/>
        <w:rPr>
          <w:rFonts w:asciiTheme="minorHAnsi" w:eastAsiaTheme="minorHAnsi" w:hAnsiTheme="minorHAnsi" w:cstheme="minorBidi"/>
          <w:snapToGrid/>
          <w:sz w:val="28"/>
          <w:szCs w:val="24"/>
        </w:rPr>
      </w:pPr>
      <w:r w:rsidRPr="00D439EE">
        <w:rPr>
          <w:rFonts w:asciiTheme="minorHAnsi" w:eastAsiaTheme="minorHAnsi" w:hAnsiTheme="minorHAnsi" w:cstheme="minorBidi"/>
          <w:snapToGrid/>
          <w:sz w:val="24"/>
          <w:szCs w:val="24"/>
        </w:rPr>
        <w:t>The PBAC noted that so long as both the flat dosing and weight</w:t>
      </w:r>
      <w:r w:rsidR="00CC1396" w:rsidRPr="00D439EE">
        <w:rPr>
          <w:rFonts w:asciiTheme="minorHAnsi" w:eastAsiaTheme="minorHAnsi" w:hAnsiTheme="minorHAnsi" w:cstheme="minorBidi"/>
          <w:snapToGrid/>
          <w:sz w:val="24"/>
          <w:szCs w:val="24"/>
        </w:rPr>
        <w:t>-</w:t>
      </w:r>
      <w:r w:rsidRPr="00D439EE">
        <w:rPr>
          <w:rFonts w:asciiTheme="minorHAnsi" w:eastAsiaTheme="minorHAnsi" w:hAnsiTheme="minorHAnsi" w:cstheme="minorBidi"/>
          <w:snapToGrid/>
          <w:sz w:val="24"/>
          <w:szCs w:val="24"/>
        </w:rPr>
        <w:t xml:space="preserve">based dosing regimen options were available, there was unlikely to be an increase in overall expenditure </w:t>
      </w:r>
      <w:r w:rsidR="00CC1396" w:rsidRPr="00D439EE">
        <w:rPr>
          <w:rFonts w:asciiTheme="minorHAnsi" w:eastAsiaTheme="minorHAnsi" w:hAnsiTheme="minorHAnsi" w:cstheme="minorBidi"/>
          <w:snapToGrid/>
          <w:sz w:val="24"/>
          <w:szCs w:val="24"/>
        </w:rPr>
        <w:t xml:space="preserve">for </w:t>
      </w:r>
      <w:r w:rsidRPr="00D439EE">
        <w:rPr>
          <w:rFonts w:asciiTheme="minorHAnsi" w:eastAsiaTheme="minorHAnsi" w:hAnsiTheme="minorHAnsi" w:cstheme="minorBidi"/>
          <w:snapToGrid/>
          <w:sz w:val="24"/>
          <w:szCs w:val="24"/>
        </w:rPr>
        <w:t xml:space="preserve">nivolumab. </w:t>
      </w:r>
      <w:r w:rsidR="00CC1396" w:rsidRPr="00D439EE">
        <w:rPr>
          <w:rFonts w:asciiTheme="minorHAnsi" w:eastAsiaTheme="minorHAnsi" w:hAnsiTheme="minorHAnsi" w:cstheme="minorBidi"/>
          <w:snapToGrid/>
          <w:sz w:val="24"/>
          <w:szCs w:val="24"/>
        </w:rPr>
        <w:t>Any changes to the availability of the weight-based dosing regimen would need to be assessed to ensure no increase to the cost per patient.</w:t>
      </w:r>
      <w:r w:rsidR="00C33EEA" w:rsidRPr="00D439EE">
        <w:rPr>
          <w:rFonts w:asciiTheme="minorHAnsi" w:eastAsiaTheme="minorHAnsi" w:hAnsiTheme="minorHAnsi" w:cstheme="minorBidi"/>
          <w:snapToGrid/>
          <w:sz w:val="24"/>
          <w:szCs w:val="24"/>
        </w:rPr>
        <w:t xml:space="preserve"> </w:t>
      </w:r>
    </w:p>
    <w:p w:rsidR="00503567" w:rsidRDefault="00503567" w:rsidP="007B416E">
      <w:pPr>
        <w:pStyle w:val="ListParagraph"/>
        <w:numPr>
          <w:ilvl w:val="1"/>
          <w:numId w:val="14"/>
        </w:numPr>
        <w:spacing w:before="120" w:after="120"/>
        <w:rPr>
          <w:rFonts w:asciiTheme="minorHAnsi" w:eastAsiaTheme="minorHAnsi" w:hAnsiTheme="minorHAnsi" w:cstheme="minorBidi"/>
          <w:snapToGrid/>
          <w:sz w:val="24"/>
          <w:szCs w:val="24"/>
        </w:rPr>
      </w:pPr>
      <w:r w:rsidRPr="00503567">
        <w:rPr>
          <w:rFonts w:asciiTheme="minorHAnsi" w:eastAsiaTheme="minorHAnsi" w:hAnsiTheme="minorHAnsi" w:cstheme="minorBidi"/>
          <w:snapToGrid/>
          <w:sz w:val="24"/>
          <w:szCs w:val="24"/>
        </w:rPr>
        <w:t>The PBAC considered that existing and future nivolumab restrictions should include prescriber instructions specifying that patients must only receive a maximum of 240 mg Q2W or 480 mg Q4W under a weight based or flat dosing regimen.</w:t>
      </w:r>
    </w:p>
    <w:p w:rsidR="00503567" w:rsidRPr="00503567" w:rsidRDefault="00503567" w:rsidP="007B416E">
      <w:pPr>
        <w:pStyle w:val="ListParagraph"/>
        <w:spacing w:before="120" w:after="120"/>
        <w:rPr>
          <w:rFonts w:asciiTheme="minorHAnsi" w:eastAsiaTheme="minorHAnsi" w:hAnsiTheme="minorHAnsi" w:cstheme="minorBidi"/>
          <w:snapToGrid/>
          <w:sz w:val="24"/>
          <w:szCs w:val="24"/>
        </w:rPr>
      </w:pPr>
    </w:p>
    <w:p w:rsidR="00484BE2" w:rsidRPr="00D439EE" w:rsidRDefault="00484BE2" w:rsidP="007B416E">
      <w:pPr>
        <w:pStyle w:val="ListParagraph"/>
        <w:widowControl/>
        <w:numPr>
          <w:ilvl w:val="1"/>
          <w:numId w:val="14"/>
        </w:numPr>
        <w:spacing w:before="120" w:after="120"/>
        <w:contextualSpacing w:val="0"/>
        <w:rPr>
          <w:rFonts w:asciiTheme="minorHAnsi" w:eastAsiaTheme="minorHAnsi" w:hAnsiTheme="minorHAnsi" w:cstheme="minorBidi"/>
          <w:snapToGrid/>
          <w:sz w:val="32"/>
          <w:szCs w:val="24"/>
        </w:rPr>
      </w:pPr>
      <w:r w:rsidRPr="00D439EE">
        <w:rPr>
          <w:rFonts w:asciiTheme="minorHAnsi" w:eastAsiaTheme="minorHAnsi" w:hAnsiTheme="minorHAnsi" w:cstheme="minorHAnsi"/>
          <w:sz w:val="24"/>
        </w:rPr>
        <w:t>The PBAC noted that this submission is not eligible for an Independent Review</w:t>
      </w:r>
      <w:r w:rsidR="00275EA9">
        <w:rPr>
          <w:rFonts w:asciiTheme="minorHAnsi" w:eastAsiaTheme="minorHAnsi" w:hAnsiTheme="minorHAnsi" w:cstheme="minorHAnsi"/>
          <w:sz w:val="24"/>
        </w:rPr>
        <w:t xml:space="preserve"> as</w:t>
      </w:r>
      <w:r w:rsidRPr="00D439EE">
        <w:rPr>
          <w:rFonts w:asciiTheme="minorHAnsi" w:eastAsiaTheme="minorHAnsi" w:hAnsiTheme="minorHAnsi" w:cstheme="minorHAnsi"/>
          <w:sz w:val="24"/>
        </w:rPr>
        <w:t xml:space="preserve"> it has received a positive recommendation.</w:t>
      </w:r>
    </w:p>
    <w:p w:rsidR="00E87019" w:rsidRPr="00D439EE" w:rsidRDefault="00E87019" w:rsidP="007B416E">
      <w:pPr>
        <w:spacing w:before="120" w:after="120"/>
        <w:ind w:left="720" w:hanging="720"/>
        <w:rPr>
          <w:rFonts w:asciiTheme="minorHAnsi" w:eastAsiaTheme="minorHAnsi" w:hAnsiTheme="minorHAnsi" w:cstheme="minorHAnsi"/>
          <w:b/>
        </w:rPr>
      </w:pPr>
      <w:r w:rsidRPr="00D439EE">
        <w:rPr>
          <w:rFonts w:asciiTheme="minorHAnsi" w:eastAsiaTheme="minorHAnsi" w:hAnsiTheme="minorHAnsi" w:cstheme="minorHAnsi"/>
          <w:b/>
        </w:rPr>
        <w:t>Outcome:</w:t>
      </w:r>
    </w:p>
    <w:p w:rsidR="00E87019" w:rsidRPr="00D439EE" w:rsidRDefault="00E87019" w:rsidP="007B416E">
      <w:pPr>
        <w:spacing w:before="120" w:after="120"/>
        <w:ind w:left="720" w:hanging="720"/>
        <w:rPr>
          <w:rFonts w:asciiTheme="minorHAnsi" w:eastAsiaTheme="minorHAnsi" w:hAnsiTheme="minorHAnsi" w:cstheme="minorHAnsi"/>
        </w:rPr>
      </w:pPr>
      <w:r w:rsidRPr="00D439EE">
        <w:rPr>
          <w:rFonts w:asciiTheme="minorHAnsi" w:eastAsiaTheme="minorHAnsi" w:hAnsiTheme="minorHAnsi" w:cstheme="minorHAnsi"/>
        </w:rPr>
        <w:t>Recommended</w:t>
      </w:r>
    </w:p>
    <w:p w:rsidR="00E87019" w:rsidRPr="00D439EE" w:rsidRDefault="00E87019" w:rsidP="007B416E">
      <w:pPr>
        <w:spacing w:before="120" w:after="120"/>
        <w:ind w:left="720" w:hanging="720"/>
        <w:rPr>
          <w:rFonts w:asciiTheme="minorHAnsi" w:eastAsiaTheme="minorHAnsi" w:hAnsiTheme="minorHAnsi" w:cstheme="minorHAnsi"/>
        </w:rPr>
      </w:pPr>
    </w:p>
    <w:p w:rsidR="00E87019" w:rsidRPr="00D439EE" w:rsidRDefault="00E87019" w:rsidP="00313D0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D439EE">
        <w:rPr>
          <w:rFonts w:asciiTheme="minorHAnsi" w:hAnsiTheme="minorHAnsi"/>
          <w:sz w:val="32"/>
          <w:szCs w:val="32"/>
        </w:rPr>
        <w:lastRenderedPageBreak/>
        <w:t>Recommended listing</w:t>
      </w:r>
    </w:p>
    <w:p w:rsidR="00E87019" w:rsidRPr="00D439EE" w:rsidRDefault="00C13404" w:rsidP="00313D08">
      <w:pPr>
        <w:pStyle w:val="ListParagraph"/>
        <w:widowControl/>
        <w:numPr>
          <w:ilvl w:val="1"/>
          <w:numId w:val="14"/>
        </w:numPr>
        <w:spacing w:after="120"/>
        <w:contextualSpacing w:val="0"/>
        <w:rPr>
          <w:rFonts w:eastAsiaTheme="minorHAnsi"/>
        </w:rPr>
      </w:pPr>
      <w:r w:rsidRPr="00D439EE">
        <w:rPr>
          <w:rFonts w:asciiTheme="minorHAnsi" w:eastAsiaTheme="minorHAnsi" w:hAnsiTheme="minorHAnsi" w:cstheme="minorHAnsi"/>
          <w:sz w:val="24"/>
        </w:rPr>
        <w:t xml:space="preserve">Amend </w:t>
      </w:r>
      <w:r w:rsidR="00D606B0" w:rsidRPr="00D439EE">
        <w:rPr>
          <w:rFonts w:asciiTheme="minorHAnsi" w:eastAsiaTheme="minorHAnsi" w:hAnsiTheme="minorHAnsi" w:cstheme="minorHAnsi"/>
          <w:sz w:val="24"/>
        </w:rPr>
        <w:t>existing</w:t>
      </w:r>
      <w:r w:rsidRPr="00D439EE">
        <w:rPr>
          <w:rFonts w:asciiTheme="minorHAnsi" w:eastAsiaTheme="minorHAnsi" w:hAnsiTheme="minorHAnsi" w:cstheme="minorHAnsi"/>
          <w:sz w:val="24"/>
        </w:rPr>
        <w:t xml:space="preserve"> listings as follows:</w:t>
      </w:r>
    </w:p>
    <w:tbl>
      <w:tblPr>
        <w:tblW w:w="9072" w:type="dxa"/>
        <w:tblInd w:w="108" w:type="dxa"/>
        <w:tblLayout w:type="fixed"/>
        <w:tblLook w:val="04A0" w:firstRow="1" w:lastRow="0" w:firstColumn="1" w:lastColumn="0" w:noHBand="0" w:noVBand="1"/>
      </w:tblPr>
      <w:tblGrid>
        <w:gridCol w:w="3261"/>
        <w:gridCol w:w="459"/>
        <w:gridCol w:w="1134"/>
        <w:gridCol w:w="992"/>
        <w:gridCol w:w="1134"/>
        <w:gridCol w:w="2092"/>
      </w:tblGrid>
      <w:tr w:rsidR="00CF2ED3" w:rsidRPr="00D439EE" w:rsidTr="00313D08">
        <w:trPr>
          <w:cantSplit/>
          <w:trHeight w:val="20"/>
        </w:trPr>
        <w:tc>
          <w:tcPr>
            <w:tcW w:w="3720" w:type="dxa"/>
            <w:gridSpan w:val="2"/>
            <w:tcBorders>
              <w:top w:val="nil"/>
              <w:left w:val="nil"/>
              <w:bottom w:val="single" w:sz="4" w:space="0" w:color="auto"/>
              <w:right w:val="nil"/>
            </w:tcBorders>
            <w:vAlign w:val="center"/>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Name, Restriction,</w:t>
            </w:r>
          </w:p>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Manner of administration and form</w:t>
            </w:r>
          </w:p>
        </w:tc>
        <w:tc>
          <w:tcPr>
            <w:tcW w:w="1134" w:type="dxa"/>
            <w:tcBorders>
              <w:top w:val="nil"/>
              <w:left w:val="nil"/>
              <w:bottom w:val="single" w:sz="4" w:space="0" w:color="auto"/>
              <w:right w:val="nil"/>
            </w:tcBorders>
            <w:vAlign w:val="center"/>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Max.</w:t>
            </w:r>
          </w:p>
          <w:p w:rsidR="00CF2ED3" w:rsidRPr="00D439EE" w:rsidRDefault="00CF2ED3" w:rsidP="00313D08">
            <w:pPr>
              <w:rPr>
                <w:rFonts w:ascii="Arial Narrow" w:hAnsi="Arial Narrow" w:cstheme="minorHAnsi"/>
                <w:b/>
                <w:sz w:val="20"/>
                <w:szCs w:val="20"/>
              </w:rPr>
            </w:pPr>
            <w:proofErr w:type="spellStart"/>
            <w:r w:rsidRPr="00D439EE">
              <w:rPr>
                <w:rFonts w:ascii="Arial Narrow" w:hAnsi="Arial Narrow" w:cstheme="minorHAnsi"/>
                <w:b/>
                <w:sz w:val="20"/>
                <w:szCs w:val="20"/>
              </w:rPr>
              <w:t>Amt</w:t>
            </w:r>
            <w:proofErr w:type="spellEnd"/>
          </w:p>
        </w:tc>
        <w:tc>
          <w:tcPr>
            <w:tcW w:w="992" w:type="dxa"/>
            <w:tcBorders>
              <w:top w:val="nil"/>
              <w:left w:val="nil"/>
              <w:bottom w:val="single" w:sz="4" w:space="0" w:color="auto"/>
              <w:right w:val="nil"/>
            </w:tcBorders>
            <w:vAlign w:val="center"/>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№.of</w:t>
            </w:r>
          </w:p>
          <w:p w:rsidR="00CF2ED3" w:rsidRPr="00D439EE" w:rsidRDefault="00CF2ED3" w:rsidP="00313D08">
            <w:pPr>
              <w:rPr>
                <w:rFonts w:ascii="Arial Narrow" w:hAnsi="Arial Narrow" w:cstheme="minorHAnsi"/>
                <w:b/>
                <w:sz w:val="20"/>
                <w:szCs w:val="20"/>
              </w:rPr>
            </w:pPr>
            <w:proofErr w:type="spellStart"/>
            <w:r w:rsidRPr="00D439EE">
              <w:rPr>
                <w:rFonts w:ascii="Arial Narrow" w:hAnsi="Arial Narrow" w:cstheme="minorHAnsi"/>
                <w:b/>
                <w:sz w:val="20"/>
                <w:szCs w:val="20"/>
              </w:rPr>
              <w:t>Rpts</w:t>
            </w:r>
            <w:proofErr w:type="spellEnd"/>
          </w:p>
        </w:tc>
        <w:tc>
          <w:tcPr>
            <w:tcW w:w="3226" w:type="dxa"/>
            <w:gridSpan w:val="2"/>
            <w:tcBorders>
              <w:top w:val="nil"/>
              <w:left w:val="nil"/>
              <w:bottom w:val="single" w:sz="4" w:space="0" w:color="auto"/>
              <w:right w:val="nil"/>
            </w:tcBorders>
            <w:vAlign w:val="center"/>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Proprietary Name and Manufacturer</w:t>
            </w:r>
          </w:p>
        </w:tc>
      </w:tr>
      <w:tr w:rsidR="00CF2ED3" w:rsidRPr="00D439EE" w:rsidTr="00313D08">
        <w:trPr>
          <w:cantSplit/>
          <w:trHeight w:val="20"/>
        </w:trPr>
        <w:tc>
          <w:tcPr>
            <w:tcW w:w="3720" w:type="dxa"/>
            <w:gridSpan w:val="2"/>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NIVOLUMAB</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40 mg/4 mL injection 1 x 4mL vial</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100 mg/10 mL injection 1 x 4mL vial</w:t>
            </w:r>
          </w:p>
        </w:tc>
        <w:tc>
          <w:tcPr>
            <w:tcW w:w="1134" w:type="dxa"/>
          </w:tcPr>
          <w:p w:rsidR="00CF2ED3" w:rsidRPr="00D439EE" w:rsidRDefault="00CF2ED3" w:rsidP="00313D08">
            <w:pPr>
              <w:rPr>
                <w:rFonts w:ascii="Arial Narrow" w:hAnsi="Arial Narrow" w:cstheme="minorHAnsi"/>
                <w:sz w:val="20"/>
                <w:szCs w:val="20"/>
              </w:rPr>
            </w:pPr>
          </w:p>
          <w:p w:rsidR="007F52E6" w:rsidRPr="00D439EE" w:rsidRDefault="007F52E6" w:rsidP="00313D08">
            <w:pPr>
              <w:rPr>
                <w:rFonts w:ascii="Arial Narrow" w:hAnsi="Arial Narrow" w:cstheme="minorHAnsi"/>
                <w:strike/>
                <w:sz w:val="20"/>
                <w:szCs w:val="20"/>
              </w:rPr>
            </w:pPr>
            <w:r w:rsidRPr="00D439EE">
              <w:rPr>
                <w:rFonts w:ascii="Arial Narrow" w:hAnsi="Arial Narrow" w:cstheme="minorHAnsi"/>
                <w:strike/>
                <w:sz w:val="20"/>
                <w:szCs w:val="20"/>
              </w:rPr>
              <w:t>360 mg</w:t>
            </w:r>
          </w:p>
          <w:p w:rsidR="00CF2ED3" w:rsidRPr="00D439EE" w:rsidRDefault="00CF2ED3" w:rsidP="00313D08">
            <w:pPr>
              <w:rPr>
                <w:rFonts w:ascii="Arial Narrow" w:hAnsi="Arial Narrow" w:cstheme="minorHAnsi"/>
                <w:i/>
                <w:sz w:val="20"/>
                <w:szCs w:val="20"/>
              </w:rPr>
            </w:pPr>
            <w:r w:rsidRPr="00D439EE">
              <w:rPr>
                <w:rFonts w:ascii="Arial Narrow" w:hAnsi="Arial Narrow" w:cstheme="minorHAnsi"/>
                <w:i/>
                <w:sz w:val="20"/>
                <w:szCs w:val="20"/>
              </w:rPr>
              <w:t>480mg</w:t>
            </w:r>
          </w:p>
        </w:tc>
        <w:tc>
          <w:tcPr>
            <w:tcW w:w="992" w:type="dxa"/>
          </w:tcPr>
          <w:p w:rsidR="00CF2ED3" w:rsidRPr="00D439EE" w:rsidRDefault="00CF2ED3" w:rsidP="00313D08">
            <w:pPr>
              <w:rPr>
                <w:rFonts w:ascii="Arial Narrow" w:hAnsi="Arial Narrow" w:cstheme="minorHAnsi"/>
                <w:sz w:val="20"/>
                <w:szCs w:val="20"/>
              </w:rPr>
            </w:pP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8</w:t>
            </w:r>
          </w:p>
        </w:tc>
        <w:tc>
          <w:tcPr>
            <w:tcW w:w="1134" w:type="dxa"/>
          </w:tcPr>
          <w:p w:rsidR="00CF2ED3" w:rsidRPr="00D439EE" w:rsidRDefault="00CF2ED3" w:rsidP="00313D08">
            <w:pPr>
              <w:rPr>
                <w:rFonts w:ascii="Arial Narrow" w:hAnsi="Arial Narrow" w:cstheme="minorHAnsi"/>
                <w:sz w:val="20"/>
                <w:szCs w:val="20"/>
              </w:rPr>
            </w:pPr>
          </w:p>
          <w:p w:rsidR="00CF2ED3" w:rsidRPr="00D439EE" w:rsidRDefault="00CF2ED3" w:rsidP="00313D08">
            <w:pPr>
              <w:rPr>
                <w:rFonts w:ascii="Arial Narrow" w:hAnsi="Arial Narrow" w:cstheme="minorHAnsi"/>
                <w:sz w:val="20"/>
                <w:szCs w:val="20"/>
              </w:rPr>
            </w:pPr>
            <w:proofErr w:type="spellStart"/>
            <w:r w:rsidRPr="00D439EE">
              <w:rPr>
                <w:rFonts w:ascii="Arial Narrow" w:hAnsi="Arial Narrow" w:cstheme="minorHAnsi"/>
                <w:sz w:val="20"/>
                <w:szCs w:val="20"/>
              </w:rPr>
              <w:t>Opdivo</w:t>
            </w:r>
            <w:proofErr w:type="spellEnd"/>
            <w:r w:rsidRPr="00D439EE">
              <w:rPr>
                <w:rFonts w:ascii="Arial Narrow" w:hAnsi="Arial Narrow" w:cstheme="minorHAnsi"/>
                <w:sz w:val="20"/>
                <w:szCs w:val="20"/>
              </w:rPr>
              <w:t>®</w:t>
            </w:r>
          </w:p>
        </w:tc>
        <w:tc>
          <w:tcPr>
            <w:tcW w:w="2092" w:type="dxa"/>
            <w:vAlign w:val="center"/>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Bristol-Myers Squibb Australia Pty Ltd</w:t>
            </w:r>
          </w:p>
        </w:tc>
      </w:tr>
      <w:tr w:rsidR="00CF2ED3" w:rsidRPr="00D439EE" w:rsidTr="00313D08">
        <w:trPr>
          <w:cantSplit/>
          <w:trHeight w:val="20"/>
        </w:trPr>
        <w:tc>
          <w:tcPr>
            <w:tcW w:w="9072" w:type="dxa"/>
            <w:gridSpan w:val="6"/>
            <w:tcBorders>
              <w:top w:val="nil"/>
              <w:left w:val="nil"/>
              <w:bottom w:val="single" w:sz="4" w:space="0" w:color="auto"/>
              <w:right w:val="nil"/>
            </w:tcBorders>
          </w:tcPr>
          <w:p w:rsidR="00CF2ED3" w:rsidRPr="00D439EE" w:rsidRDefault="00CF2ED3" w:rsidP="00313D08">
            <w:pPr>
              <w:rPr>
                <w:rFonts w:ascii="Arial Narrow" w:hAnsi="Arial Narrow" w:cstheme="minorHAnsi"/>
                <w:sz w:val="20"/>
                <w:szCs w:val="20"/>
              </w:rPr>
            </w:pP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t>Initial treatment 1</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gridSpan w:val="5"/>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CF2ED3" w:rsidRPr="00D439EE" w:rsidRDefault="00CF2ED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gridSpan w:val="5"/>
            <w:tcBorders>
              <w:top w:val="single" w:sz="4" w:space="0" w:color="auto"/>
              <w:left w:val="single" w:sz="4" w:space="0" w:color="auto"/>
              <w:bottom w:val="single" w:sz="4" w:space="0" w:color="auto"/>
              <w:right w:val="single" w:sz="4" w:space="0" w:color="auto"/>
            </w:tcBorders>
          </w:tcPr>
          <w:p w:rsidR="00CF2ED3" w:rsidRPr="00D439EE" w:rsidRDefault="00894124" w:rsidP="00313D08">
            <w:pPr>
              <w:rPr>
                <w:rFonts w:ascii="Arial Narrow" w:hAnsi="Arial Narrow" w:cstheme="minorHAnsi"/>
                <w:i/>
                <w:sz w:val="20"/>
                <w:szCs w:val="20"/>
              </w:rPr>
            </w:pPr>
            <w:r w:rsidRPr="00D439EE">
              <w:rPr>
                <w:rFonts w:ascii="Arial Narrow" w:hAnsi="Arial Narrow" w:cstheme="minorHAnsi"/>
                <w:strike/>
                <w:sz w:val="20"/>
                <w:szCs w:val="20"/>
              </w:rPr>
              <w:t>The treatment must not exceed a total of 9 doses at a maximum dose of 3 mg per kg every 2 weeks.</w:t>
            </w:r>
            <w:r w:rsidR="00795EC0" w:rsidRPr="00D439EE">
              <w:rPr>
                <w:rFonts w:ascii="Arial Narrow" w:hAnsi="Arial Narrow" w:cstheme="minorHAnsi"/>
                <w:i/>
                <w:sz w:val="20"/>
                <w:szCs w:val="20"/>
              </w:rPr>
              <w:t xml:space="preserve"> Patient must not receive more than 18 weeks of treatment under this restriction at a do</w:t>
            </w:r>
            <w:r w:rsidR="002F56B1">
              <w:rPr>
                <w:rFonts w:ascii="Arial Narrow" w:hAnsi="Arial Narrow" w:cstheme="minorHAnsi"/>
                <w:i/>
                <w:sz w:val="20"/>
                <w:szCs w:val="20"/>
              </w:rPr>
              <w:t xml:space="preserve">se of 3 mg/kg every two weeks, </w:t>
            </w:r>
            <w:r w:rsidR="00795EC0" w:rsidRPr="00D439EE">
              <w:rPr>
                <w:rFonts w:ascii="Arial Narrow" w:hAnsi="Arial Narrow" w:cstheme="minorHAnsi"/>
                <w:i/>
                <w:sz w:val="20"/>
                <w:szCs w:val="20"/>
              </w:rPr>
              <w:t xml:space="preserve">240mg every two weeks or 480mg every four weeks. </w:t>
            </w:r>
          </w:p>
        </w:tc>
      </w:tr>
      <w:tr w:rsidR="006F168C"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6F168C" w:rsidRPr="00D439EE" w:rsidRDefault="006F168C" w:rsidP="00313D08">
            <w:pPr>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gridSpan w:val="5"/>
            <w:tcBorders>
              <w:top w:val="single" w:sz="4" w:space="0" w:color="auto"/>
              <w:left w:val="single" w:sz="4" w:space="0" w:color="auto"/>
              <w:bottom w:val="single" w:sz="4" w:space="0" w:color="auto"/>
              <w:right w:val="single" w:sz="4" w:space="0" w:color="auto"/>
            </w:tcBorders>
          </w:tcPr>
          <w:p w:rsidR="006F168C" w:rsidRPr="00D439EE" w:rsidRDefault="00503567" w:rsidP="00313D08">
            <w:pPr>
              <w:rPr>
                <w:rFonts w:ascii="Arial Narrow" w:hAnsi="Arial Narrow" w:cstheme="minorHAnsi"/>
                <w: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CF2ED3" w:rsidRPr="00D439EE" w:rsidRDefault="00CF2ED3" w:rsidP="00313D08">
      <w:pPr>
        <w:rPr>
          <w:rFonts w:ascii="Arial Narrow" w:hAnsi="Arial Narrow"/>
          <w:sz w:val="18"/>
          <w:szCs w:val="22"/>
        </w:rPr>
      </w:pPr>
      <w:r w:rsidRPr="00D439EE">
        <w:rPr>
          <w:rFonts w:ascii="Arial Narrow" w:hAnsi="Arial Narrow"/>
          <w:sz w:val="18"/>
          <w:szCs w:val="22"/>
        </w:rPr>
        <w:t>Item codes 10764M and 10775D</w:t>
      </w:r>
    </w:p>
    <w:p w:rsidR="00CF2ED3" w:rsidRPr="00D439EE" w:rsidRDefault="00CF2ED3" w:rsidP="00313D08">
      <w:pPr>
        <w:rPr>
          <w:rFonts w:ascii="Arial Narrow" w:hAnsi="Arial Narrow"/>
          <w:sz w:val="18"/>
          <w:szCs w:val="22"/>
        </w:rPr>
      </w:pPr>
    </w:p>
    <w:tbl>
      <w:tblPr>
        <w:tblW w:w="9072" w:type="dxa"/>
        <w:tblInd w:w="108" w:type="dxa"/>
        <w:tblLayout w:type="fixed"/>
        <w:tblLook w:val="04A0" w:firstRow="1" w:lastRow="0" w:firstColumn="1" w:lastColumn="0" w:noHBand="0" w:noVBand="1"/>
      </w:tblPr>
      <w:tblGrid>
        <w:gridCol w:w="3261"/>
        <w:gridCol w:w="5811"/>
      </w:tblGrid>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 xml:space="preserve">Initial treatment 2 </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CF2ED3" w:rsidRPr="00D439EE" w:rsidRDefault="00795EC0" w:rsidP="00313D08">
            <w:pPr>
              <w:keepNext/>
              <w:rPr>
                <w:rFonts w:ascii="Arial Narrow" w:hAnsi="Arial Narrow" w:cstheme="minorHAnsi"/>
                <w:i/>
                <w:sz w:val="20"/>
                <w:szCs w:val="20"/>
              </w:rPr>
            </w:pPr>
            <w:r w:rsidRPr="00D439EE">
              <w:rPr>
                <w:rFonts w:ascii="Arial Narrow" w:hAnsi="Arial Narrow" w:cstheme="minorHAnsi"/>
                <w:strike/>
                <w:sz w:val="20"/>
                <w:szCs w:val="20"/>
              </w:rPr>
              <w:t>The treatment must not exceed a total of 9 doses at a maximum dose of 3 mg per kg every 2 weeks.</w:t>
            </w:r>
            <w:r w:rsidRPr="00D439EE">
              <w:rPr>
                <w:rFonts w:ascii="Arial Narrow" w:hAnsi="Arial Narrow" w:cstheme="minorHAnsi"/>
                <w:i/>
                <w:sz w:val="20"/>
                <w:szCs w:val="20"/>
              </w:rPr>
              <w:t xml:space="preserve"> Patient must not receive more than 18 weeks of treatment under this restriction at a dose of 3 mg/kg every two weeks</w:t>
            </w:r>
            <w:r w:rsidR="00956B39" w:rsidRPr="00D439EE">
              <w:rPr>
                <w:rFonts w:ascii="Arial Narrow" w:hAnsi="Arial Narrow" w:cstheme="minorHAnsi"/>
                <w:i/>
                <w:sz w:val="20"/>
                <w:szCs w:val="20"/>
              </w:rPr>
              <w:t>, 240mg</w:t>
            </w:r>
            <w:r w:rsidRPr="00D439EE">
              <w:rPr>
                <w:rFonts w:ascii="Arial Narrow" w:hAnsi="Arial Narrow" w:cstheme="minorHAnsi"/>
                <w:i/>
                <w:sz w:val="20"/>
                <w:szCs w:val="20"/>
              </w:rPr>
              <w:t xml:space="preserve"> every two weeks or 480mg every four weeks.</w:t>
            </w:r>
          </w:p>
        </w:tc>
      </w:tr>
      <w:tr w:rsidR="006F168C"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6F168C" w:rsidRPr="00D439EE" w:rsidRDefault="006F168C"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6F168C" w:rsidRPr="00D439EE" w:rsidRDefault="00503567" w:rsidP="00313D08">
            <w:pPr>
              <w:keepNext/>
              <w:rPr>
                <w:rFonts w:ascii="Arial Narrow" w:hAnsi="Arial Narrow" w:cstheme="minorHAnsi"/>
                <w: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CF2ED3" w:rsidRPr="00D439EE" w:rsidRDefault="00CF2ED3" w:rsidP="00313D08">
      <w:pPr>
        <w:rPr>
          <w:rFonts w:ascii="Arial Narrow" w:hAnsi="Arial Narrow"/>
          <w:sz w:val="18"/>
          <w:szCs w:val="22"/>
        </w:rPr>
      </w:pPr>
      <w:r w:rsidRPr="00D439EE">
        <w:rPr>
          <w:rFonts w:ascii="Arial Narrow" w:hAnsi="Arial Narrow"/>
          <w:sz w:val="18"/>
          <w:szCs w:val="22"/>
        </w:rPr>
        <w:t>Item codes 10764M and 10775D</w:t>
      </w:r>
    </w:p>
    <w:p w:rsidR="00CF2ED3" w:rsidRPr="00D439EE" w:rsidRDefault="00CF2ED3" w:rsidP="00313D08">
      <w:pPr>
        <w:rPr>
          <w:szCs w:val="22"/>
        </w:rPr>
      </w:pPr>
    </w:p>
    <w:tbl>
      <w:tblPr>
        <w:tblW w:w="9072" w:type="dxa"/>
        <w:tblInd w:w="108" w:type="dxa"/>
        <w:tblLayout w:type="fixed"/>
        <w:tblLook w:val="04A0" w:firstRow="1" w:lastRow="0" w:firstColumn="1" w:lastColumn="0" w:noHBand="0" w:noVBand="1"/>
      </w:tblPr>
      <w:tblGrid>
        <w:gridCol w:w="3261"/>
        <w:gridCol w:w="5811"/>
      </w:tblGrid>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lastRenderedPageBreak/>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Stage IV</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clear cell variant renal cell carcinoma</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Stage IV clear cell variant renal cell carcinoma (RCC)</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Initial treatment</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B836A9" w:rsidRPr="00D439EE" w:rsidRDefault="00503567" w:rsidP="00313D08">
            <w:pPr>
              <w:keepNext/>
              <w:rPr>
                <w:rFonts w:ascii="Arial Narrow" w:hAnsi="Arial Narrow" w:cstheme="minorHAnsi"/>
                <w: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B836A9" w:rsidRPr="00D439EE" w:rsidRDefault="00B836A9" w:rsidP="00313D08">
      <w:pPr>
        <w:rPr>
          <w:rFonts w:ascii="Arial Narrow" w:hAnsi="Arial Narrow"/>
          <w:sz w:val="18"/>
          <w:szCs w:val="22"/>
        </w:rPr>
      </w:pPr>
      <w:r w:rsidRPr="00D439EE">
        <w:rPr>
          <w:rFonts w:ascii="Arial Narrow" w:hAnsi="Arial Narrow"/>
          <w:sz w:val="18"/>
          <w:szCs w:val="22"/>
        </w:rPr>
        <w:t>Item codes 11150W and 11159H</w:t>
      </w:r>
    </w:p>
    <w:p w:rsidR="00B836A9" w:rsidRPr="00D439EE" w:rsidRDefault="00B836A9" w:rsidP="00313D08">
      <w:pPr>
        <w:rPr>
          <w:rFonts w:ascii="Arial Narrow" w:hAnsi="Arial Narrow"/>
          <w:sz w:val="18"/>
          <w:szCs w:val="22"/>
        </w:rPr>
      </w:pPr>
    </w:p>
    <w:tbl>
      <w:tblPr>
        <w:tblW w:w="9072" w:type="dxa"/>
        <w:tblInd w:w="108" w:type="dxa"/>
        <w:tblLayout w:type="fixed"/>
        <w:tblLook w:val="04A0" w:firstRow="1" w:lastRow="0" w:firstColumn="1" w:lastColumn="0" w:noHBand="0" w:noVBand="1"/>
      </w:tblPr>
      <w:tblGrid>
        <w:gridCol w:w="3261"/>
        <w:gridCol w:w="5811"/>
      </w:tblGrid>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lastRenderedPageBreak/>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t>Locally advanced or metastatic</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sz w:val="20"/>
                <w:szCs w:val="20"/>
              </w:rPr>
              <w:t>non-small cell lung cancer</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t>non-small cell lung cancer</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t>Locally advanced or metastatic non-small cell lung cancer</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t>Initial treatment</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A22C6D" w:rsidRPr="00D439EE" w:rsidRDefault="00A22C6D"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A22C6D"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A22C6D" w:rsidRPr="00D439EE" w:rsidRDefault="00A22C6D"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A22C6D" w:rsidRPr="00D439EE" w:rsidRDefault="00503567" w:rsidP="00313D08">
            <w:pPr>
              <w:keepNext/>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A22C6D" w:rsidRPr="00D439EE" w:rsidRDefault="00A22C6D" w:rsidP="00313D08">
      <w:pPr>
        <w:keepNext/>
        <w:rPr>
          <w:rFonts w:ascii="Arial Narrow" w:hAnsi="Arial Narrow"/>
          <w:sz w:val="18"/>
          <w:szCs w:val="22"/>
        </w:rPr>
      </w:pPr>
      <w:r w:rsidRPr="00D439EE">
        <w:rPr>
          <w:rFonts w:ascii="Arial Narrow" w:hAnsi="Arial Narrow"/>
          <w:sz w:val="18"/>
          <w:szCs w:val="22"/>
        </w:rPr>
        <w:t>Item codes 11143L and 11158G</w:t>
      </w:r>
    </w:p>
    <w:p w:rsidR="00B836A9" w:rsidRPr="00D439EE" w:rsidRDefault="00B836A9" w:rsidP="00313D08">
      <w:pPr>
        <w:keepNext/>
        <w:rPr>
          <w:szCs w:val="22"/>
        </w:rPr>
      </w:pPr>
    </w:p>
    <w:tbl>
      <w:tblPr>
        <w:tblW w:w="9072" w:type="dxa"/>
        <w:tblInd w:w="108" w:type="dxa"/>
        <w:tblLayout w:type="fixed"/>
        <w:tblLook w:val="04A0" w:firstRow="1" w:lastRow="0" w:firstColumn="1" w:lastColumn="0" w:noHBand="0" w:noVBand="1"/>
      </w:tblPr>
      <w:tblGrid>
        <w:gridCol w:w="3720"/>
        <w:gridCol w:w="1134"/>
        <w:gridCol w:w="992"/>
        <w:gridCol w:w="1134"/>
        <w:gridCol w:w="2092"/>
      </w:tblGrid>
      <w:tr w:rsidR="00556059" w:rsidRPr="00D439EE" w:rsidTr="007E4A9D">
        <w:trPr>
          <w:cantSplit/>
          <w:trHeight w:val="567"/>
        </w:trPr>
        <w:tc>
          <w:tcPr>
            <w:tcW w:w="3720" w:type="dxa"/>
            <w:tcBorders>
              <w:top w:val="nil"/>
              <w:left w:val="nil"/>
              <w:bottom w:val="single" w:sz="4" w:space="0" w:color="auto"/>
              <w:right w:val="nil"/>
            </w:tcBorders>
            <w:vAlign w:val="center"/>
            <w:hideMark/>
          </w:tcPr>
          <w:p w:rsidR="00556059" w:rsidRPr="00D439EE" w:rsidRDefault="00556059" w:rsidP="00313D08">
            <w:pPr>
              <w:keepNext/>
              <w:rPr>
                <w:rFonts w:ascii="Arial Narrow" w:hAnsi="Arial Narrow" w:cstheme="minorHAnsi"/>
                <w:b/>
                <w:sz w:val="20"/>
                <w:szCs w:val="20"/>
              </w:rPr>
            </w:pPr>
            <w:r w:rsidRPr="00D439EE">
              <w:rPr>
                <w:rFonts w:ascii="Arial Narrow" w:hAnsi="Arial Narrow" w:cstheme="minorHAnsi"/>
                <w:b/>
                <w:sz w:val="20"/>
                <w:szCs w:val="20"/>
              </w:rPr>
              <w:t>Name, Restriction,</w:t>
            </w:r>
          </w:p>
          <w:p w:rsidR="00556059" w:rsidRPr="00D439EE" w:rsidRDefault="00556059" w:rsidP="00313D08">
            <w:pPr>
              <w:keepNext/>
              <w:rPr>
                <w:rFonts w:ascii="Arial Narrow" w:hAnsi="Arial Narrow" w:cstheme="minorHAnsi"/>
                <w:b/>
                <w:sz w:val="20"/>
                <w:szCs w:val="20"/>
              </w:rPr>
            </w:pPr>
            <w:r w:rsidRPr="00D439EE">
              <w:rPr>
                <w:rFonts w:ascii="Arial Narrow" w:hAnsi="Arial Narrow" w:cstheme="minorHAnsi"/>
                <w:b/>
                <w:sz w:val="20"/>
                <w:szCs w:val="20"/>
              </w:rPr>
              <w:t>Manner of administration and form</w:t>
            </w:r>
          </w:p>
        </w:tc>
        <w:tc>
          <w:tcPr>
            <w:tcW w:w="1134" w:type="dxa"/>
            <w:tcBorders>
              <w:top w:val="nil"/>
              <w:left w:val="nil"/>
              <w:bottom w:val="single" w:sz="4" w:space="0" w:color="auto"/>
              <w:right w:val="nil"/>
            </w:tcBorders>
            <w:vAlign w:val="center"/>
            <w:hideMark/>
          </w:tcPr>
          <w:p w:rsidR="00556059" w:rsidRPr="00D439EE" w:rsidRDefault="00556059" w:rsidP="00313D08">
            <w:pPr>
              <w:keepNext/>
              <w:rPr>
                <w:rFonts w:ascii="Arial Narrow" w:hAnsi="Arial Narrow" w:cstheme="minorHAnsi"/>
                <w:b/>
                <w:sz w:val="20"/>
                <w:szCs w:val="20"/>
              </w:rPr>
            </w:pPr>
            <w:r w:rsidRPr="00D439EE">
              <w:rPr>
                <w:rFonts w:ascii="Arial Narrow" w:hAnsi="Arial Narrow" w:cstheme="minorHAnsi"/>
                <w:b/>
                <w:sz w:val="20"/>
                <w:szCs w:val="20"/>
              </w:rPr>
              <w:t>Max.</w:t>
            </w:r>
          </w:p>
          <w:p w:rsidR="00556059" w:rsidRPr="00D439EE" w:rsidRDefault="00556059" w:rsidP="00313D08">
            <w:pPr>
              <w:keepNext/>
              <w:rPr>
                <w:rFonts w:ascii="Arial Narrow" w:hAnsi="Arial Narrow" w:cstheme="minorHAnsi"/>
                <w:b/>
                <w:sz w:val="20"/>
                <w:szCs w:val="20"/>
              </w:rPr>
            </w:pPr>
            <w:proofErr w:type="spellStart"/>
            <w:r w:rsidRPr="00D439EE">
              <w:rPr>
                <w:rFonts w:ascii="Arial Narrow" w:hAnsi="Arial Narrow" w:cstheme="minorHAnsi"/>
                <w:b/>
                <w:sz w:val="20"/>
                <w:szCs w:val="20"/>
              </w:rPr>
              <w:t>Amt</w:t>
            </w:r>
            <w:proofErr w:type="spellEnd"/>
          </w:p>
        </w:tc>
        <w:tc>
          <w:tcPr>
            <w:tcW w:w="992" w:type="dxa"/>
            <w:tcBorders>
              <w:top w:val="nil"/>
              <w:left w:val="nil"/>
              <w:bottom w:val="single" w:sz="4" w:space="0" w:color="auto"/>
              <w:right w:val="nil"/>
            </w:tcBorders>
            <w:vAlign w:val="center"/>
            <w:hideMark/>
          </w:tcPr>
          <w:p w:rsidR="00556059" w:rsidRPr="00D439EE" w:rsidRDefault="00556059" w:rsidP="00313D08">
            <w:pPr>
              <w:keepNext/>
              <w:rPr>
                <w:rFonts w:ascii="Arial Narrow" w:hAnsi="Arial Narrow" w:cstheme="minorHAnsi"/>
                <w:b/>
                <w:sz w:val="20"/>
                <w:szCs w:val="20"/>
              </w:rPr>
            </w:pPr>
            <w:r w:rsidRPr="00D439EE">
              <w:rPr>
                <w:rFonts w:ascii="Arial Narrow" w:hAnsi="Arial Narrow" w:cstheme="minorHAnsi"/>
                <w:b/>
                <w:sz w:val="20"/>
                <w:szCs w:val="20"/>
              </w:rPr>
              <w:t>№.of</w:t>
            </w:r>
          </w:p>
          <w:p w:rsidR="00556059" w:rsidRPr="00D439EE" w:rsidRDefault="00556059" w:rsidP="00313D08">
            <w:pPr>
              <w:keepNext/>
              <w:rPr>
                <w:rFonts w:ascii="Arial Narrow" w:hAnsi="Arial Narrow" w:cstheme="minorHAnsi"/>
                <w:b/>
                <w:sz w:val="20"/>
                <w:szCs w:val="20"/>
              </w:rPr>
            </w:pPr>
            <w:proofErr w:type="spellStart"/>
            <w:r w:rsidRPr="00D439EE">
              <w:rPr>
                <w:rFonts w:ascii="Arial Narrow" w:hAnsi="Arial Narrow" w:cstheme="minorHAnsi"/>
                <w:b/>
                <w:sz w:val="20"/>
                <w:szCs w:val="20"/>
              </w:rPr>
              <w:t>Rpts</w:t>
            </w:r>
            <w:proofErr w:type="spellEnd"/>
          </w:p>
        </w:tc>
        <w:tc>
          <w:tcPr>
            <w:tcW w:w="3226" w:type="dxa"/>
            <w:gridSpan w:val="2"/>
            <w:tcBorders>
              <w:top w:val="nil"/>
              <w:left w:val="nil"/>
              <w:bottom w:val="single" w:sz="4" w:space="0" w:color="auto"/>
              <w:right w:val="nil"/>
            </w:tcBorders>
            <w:vAlign w:val="center"/>
            <w:hideMark/>
          </w:tcPr>
          <w:p w:rsidR="00556059" w:rsidRPr="00D439EE" w:rsidRDefault="00556059" w:rsidP="00313D08">
            <w:pPr>
              <w:keepNext/>
              <w:rPr>
                <w:rFonts w:ascii="Arial Narrow" w:hAnsi="Arial Narrow" w:cstheme="minorHAnsi"/>
                <w:b/>
                <w:sz w:val="20"/>
                <w:szCs w:val="20"/>
              </w:rPr>
            </w:pPr>
            <w:r w:rsidRPr="00D439EE">
              <w:rPr>
                <w:rFonts w:ascii="Arial Narrow" w:hAnsi="Arial Narrow" w:cstheme="minorHAnsi"/>
                <w:b/>
                <w:sz w:val="20"/>
                <w:szCs w:val="20"/>
              </w:rPr>
              <w:t>Proprietary Name and Manufacturer</w:t>
            </w:r>
          </w:p>
        </w:tc>
      </w:tr>
      <w:tr w:rsidR="00556059" w:rsidRPr="00D439EE" w:rsidTr="007E4A9D">
        <w:trPr>
          <w:cantSplit/>
          <w:trHeight w:val="577"/>
        </w:trPr>
        <w:tc>
          <w:tcPr>
            <w:tcW w:w="3720" w:type="dxa"/>
          </w:tcPr>
          <w:p w:rsidR="00556059" w:rsidRPr="00D439EE" w:rsidRDefault="00556059" w:rsidP="00313D08">
            <w:pPr>
              <w:keepNext/>
              <w:rPr>
                <w:rFonts w:ascii="Arial Narrow" w:hAnsi="Arial Narrow" w:cstheme="minorHAnsi"/>
                <w:sz w:val="20"/>
                <w:szCs w:val="20"/>
              </w:rPr>
            </w:pPr>
            <w:r w:rsidRPr="00D439EE">
              <w:rPr>
                <w:rFonts w:ascii="Arial Narrow" w:hAnsi="Arial Narrow" w:cstheme="minorHAnsi"/>
                <w:sz w:val="20"/>
                <w:szCs w:val="20"/>
              </w:rPr>
              <w:t>NIVOLUMAB</w:t>
            </w:r>
          </w:p>
          <w:p w:rsidR="00556059" w:rsidRPr="00D439EE" w:rsidRDefault="00556059" w:rsidP="00313D08">
            <w:pPr>
              <w:keepNext/>
              <w:rPr>
                <w:rFonts w:ascii="Arial Narrow" w:hAnsi="Arial Narrow" w:cstheme="minorHAnsi"/>
                <w:sz w:val="20"/>
                <w:szCs w:val="20"/>
              </w:rPr>
            </w:pPr>
            <w:r w:rsidRPr="00D439EE">
              <w:rPr>
                <w:rFonts w:ascii="Arial Narrow" w:hAnsi="Arial Narrow" w:cstheme="minorHAnsi"/>
                <w:sz w:val="20"/>
                <w:szCs w:val="20"/>
              </w:rPr>
              <w:t>40 mg/4 mL injection 1 x 4mL vial</w:t>
            </w:r>
          </w:p>
          <w:p w:rsidR="00556059" w:rsidRPr="00D439EE" w:rsidRDefault="00556059" w:rsidP="00313D08">
            <w:pPr>
              <w:keepNext/>
              <w:rPr>
                <w:rFonts w:ascii="Arial Narrow" w:hAnsi="Arial Narrow" w:cstheme="minorHAnsi"/>
                <w:sz w:val="20"/>
                <w:szCs w:val="20"/>
              </w:rPr>
            </w:pPr>
            <w:r w:rsidRPr="00D439EE">
              <w:rPr>
                <w:rFonts w:ascii="Arial Narrow" w:hAnsi="Arial Narrow" w:cstheme="minorHAnsi"/>
                <w:sz w:val="20"/>
                <w:szCs w:val="20"/>
              </w:rPr>
              <w:t>100 mg/10 mL injection 1 x 4mL vial</w:t>
            </w:r>
          </w:p>
        </w:tc>
        <w:tc>
          <w:tcPr>
            <w:tcW w:w="1134" w:type="dxa"/>
          </w:tcPr>
          <w:p w:rsidR="00556059" w:rsidRPr="00D439EE" w:rsidRDefault="00556059" w:rsidP="00313D08">
            <w:pPr>
              <w:keepNext/>
              <w:rPr>
                <w:rFonts w:ascii="Arial Narrow" w:hAnsi="Arial Narrow" w:cstheme="minorHAnsi"/>
                <w:sz w:val="20"/>
                <w:szCs w:val="20"/>
              </w:rPr>
            </w:pPr>
          </w:p>
          <w:p w:rsidR="00556059" w:rsidRPr="00D439EE" w:rsidRDefault="00556059" w:rsidP="00313D08">
            <w:pPr>
              <w:keepNext/>
              <w:rPr>
                <w:rFonts w:ascii="Arial Narrow" w:hAnsi="Arial Narrow" w:cstheme="minorHAnsi"/>
                <w:strike/>
                <w:sz w:val="20"/>
                <w:szCs w:val="20"/>
              </w:rPr>
            </w:pPr>
            <w:r w:rsidRPr="00D439EE">
              <w:rPr>
                <w:rFonts w:ascii="Arial Narrow" w:hAnsi="Arial Narrow" w:cstheme="minorHAnsi"/>
                <w:strike/>
                <w:sz w:val="20"/>
                <w:szCs w:val="20"/>
              </w:rPr>
              <w:t>360 mg</w:t>
            </w:r>
          </w:p>
          <w:p w:rsidR="00556059" w:rsidRPr="00D439EE" w:rsidRDefault="00556059" w:rsidP="00313D08">
            <w:pPr>
              <w:keepNext/>
              <w:rPr>
                <w:rFonts w:ascii="Arial Narrow" w:hAnsi="Arial Narrow" w:cstheme="minorHAnsi"/>
                <w:i/>
                <w:sz w:val="20"/>
                <w:szCs w:val="20"/>
              </w:rPr>
            </w:pPr>
            <w:r w:rsidRPr="00D439EE">
              <w:rPr>
                <w:rFonts w:ascii="Arial Narrow" w:hAnsi="Arial Narrow" w:cstheme="minorHAnsi"/>
                <w:i/>
                <w:sz w:val="20"/>
                <w:szCs w:val="20"/>
              </w:rPr>
              <w:t>480mg</w:t>
            </w:r>
          </w:p>
        </w:tc>
        <w:tc>
          <w:tcPr>
            <w:tcW w:w="992" w:type="dxa"/>
          </w:tcPr>
          <w:p w:rsidR="00556059" w:rsidRPr="00D439EE" w:rsidRDefault="00556059" w:rsidP="00313D08">
            <w:pPr>
              <w:keepNext/>
              <w:rPr>
                <w:rFonts w:ascii="Arial Narrow" w:hAnsi="Arial Narrow" w:cstheme="minorHAnsi"/>
                <w:sz w:val="20"/>
                <w:szCs w:val="20"/>
              </w:rPr>
            </w:pPr>
          </w:p>
          <w:p w:rsidR="00556059" w:rsidRPr="00D439EE" w:rsidRDefault="00556059" w:rsidP="00313D08">
            <w:pPr>
              <w:keepNext/>
              <w:rPr>
                <w:rFonts w:ascii="Arial Narrow" w:hAnsi="Arial Narrow" w:cstheme="minorHAnsi"/>
                <w:sz w:val="20"/>
                <w:szCs w:val="20"/>
              </w:rPr>
            </w:pPr>
            <w:r w:rsidRPr="00D439EE">
              <w:rPr>
                <w:rFonts w:ascii="Arial Narrow" w:hAnsi="Arial Narrow" w:cstheme="minorHAnsi"/>
                <w:sz w:val="20"/>
                <w:szCs w:val="20"/>
              </w:rPr>
              <w:t>11</w:t>
            </w:r>
          </w:p>
        </w:tc>
        <w:tc>
          <w:tcPr>
            <w:tcW w:w="1134" w:type="dxa"/>
          </w:tcPr>
          <w:p w:rsidR="00556059" w:rsidRPr="00D439EE" w:rsidRDefault="00556059" w:rsidP="00313D08">
            <w:pPr>
              <w:keepNext/>
              <w:rPr>
                <w:rFonts w:ascii="Arial Narrow" w:hAnsi="Arial Narrow" w:cstheme="minorHAnsi"/>
                <w:sz w:val="20"/>
                <w:szCs w:val="20"/>
              </w:rPr>
            </w:pPr>
          </w:p>
          <w:p w:rsidR="00556059" w:rsidRPr="00D439EE" w:rsidRDefault="00556059" w:rsidP="00313D08">
            <w:pPr>
              <w:keepNext/>
              <w:rPr>
                <w:rFonts w:ascii="Arial Narrow" w:hAnsi="Arial Narrow" w:cstheme="minorHAnsi"/>
                <w:sz w:val="20"/>
                <w:szCs w:val="20"/>
              </w:rPr>
            </w:pPr>
            <w:proofErr w:type="spellStart"/>
            <w:r w:rsidRPr="00D439EE">
              <w:rPr>
                <w:rFonts w:ascii="Arial Narrow" w:hAnsi="Arial Narrow" w:cstheme="minorHAnsi"/>
                <w:sz w:val="20"/>
                <w:szCs w:val="20"/>
              </w:rPr>
              <w:t>Opdivo</w:t>
            </w:r>
            <w:proofErr w:type="spellEnd"/>
            <w:r w:rsidRPr="00D439EE">
              <w:rPr>
                <w:rFonts w:ascii="Arial Narrow" w:hAnsi="Arial Narrow" w:cstheme="minorHAnsi"/>
                <w:sz w:val="20"/>
                <w:szCs w:val="20"/>
              </w:rPr>
              <w:t>®</w:t>
            </w:r>
          </w:p>
        </w:tc>
        <w:tc>
          <w:tcPr>
            <w:tcW w:w="2092" w:type="dxa"/>
            <w:vAlign w:val="center"/>
            <w:hideMark/>
          </w:tcPr>
          <w:p w:rsidR="00556059" w:rsidRPr="00D439EE" w:rsidRDefault="00556059" w:rsidP="00313D08">
            <w:pPr>
              <w:keepNext/>
              <w:rPr>
                <w:rFonts w:ascii="Arial Narrow" w:hAnsi="Arial Narrow" w:cstheme="minorHAnsi"/>
                <w:sz w:val="20"/>
                <w:szCs w:val="20"/>
              </w:rPr>
            </w:pPr>
            <w:r w:rsidRPr="00D439EE">
              <w:rPr>
                <w:rFonts w:ascii="Arial Narrow" w:hAnsi="Arial Narrow" w:cstheme="minorHAnsi"/>
                <w:sz w:val="20"/>
                <w:szCs w:val="20"/>
              </w:rPr>
              <w:t>Bristol-Myers Squibb Australia Pty Ltd</w:t>
            </w:r>
          </w:p>
        </w:tc>
      </w:tr>
    </w:tbl>
    <w:p w:rsidR="00CF2ED3" w:rsidRPr="00D439EE" w:rsidRDefault="00CF2ED3" w:rsidP="00313D08">
      <w:pPr>
        <w:keepNext/>
        <w:rPr>
          <w:szCs w:val="22"/>
        </w:rPr>
      </w:pPr>
    </w:p>
    <w:tbl>
      <w:tblPr>
        <w:tblW w:w="9072" w:type="dxa"/>
        <w:tblInd w:w="108" w:type="dxa"/>
        <w:tblLayout w:type="fixed"/>
        <w:tblLook w:val="04A0" w:firstRow="1" w:lastRow="0" w:firstColumn="1" w:lastColumn="0" w:noHBand="0" w:noVBand="1"/>
      </w:tblPr>
      <w:tblGrid>
        <w:gridCol w:w="3261"/>
        <w:gridCol w:w="5811"/>
      </w:tblGrid>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 xml:space="preserve">Continuing treatment </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CF2ED3" w:rsidRPr="00D439EE" w:rsidRDefault="00795EC0" w:rsidP="00313D08">
            <w:pPr>
              <w:keepNext/>
              <w:rPr>
                <w:rFonts w:ascii="Arial Narrow" w:hAnsi="Arial Narrow" w:cstheme="minorHAnsi"/>
                <w:i/>
                <w:sz w:val="20"/>
                <w:szCs w:val="20"/>
              </w:rPr>
            </w:pPr>
            <w:r w:rsidRPr="00D439EE">
              <w:rPr>
                <w:rFonts w:ascii="Arial Narrow" w:hAnsi="Arial Narrow" w:cstheme="minorHAnsi"/>
                <w:strike/>
                <w:sz w:val="20"/>
                <w:szCs w:val="20"/>
              </w:rPr>
              <w:t>The treatment must not exceed a total of 9 doses at a maximum dose of 3 mg per kg every 2 weeks.</w:t>
            </w:r>
            <w:r w:rsidRPr="00D439EE">
              <w:rPr>
                <w:rFonts w:ascii="Arial Narrow" w:hAnsi="Arial Narrow" w:cstheme="minorHAnsi"/>
                <w:i/>
                <w:sz w:val="20"/>
                <w:szCs w:val="20"/>
              </w:rPr>
              <w:t xml:space="preserve"> Patient must not receive more than 18 weeks of treatment under this restriction at a do</w:t>
            </w:r>
            <w:r w:rsidR="002F56B1">
              <w:rPr>
                <w:rFonts w:ascii="Arial Narrow" w:hAnsi="Arial Narrow" w:cstheme="minorHAnsi"/>
                <w:i/>
                <w:sz w:val="20"/>
                <w:szCs w:val="20"/>
              </w:rPr>
              <w:t xml:space="preserve">se of 3 mg/kg every two weeks, </w:t>
            </w:r>
            <w:r w:rsidRPr="00D439EE">
              <w:rPr>
                <w:rFonts w:ascii="Arial Narrow" w:hAnsi="Arial Narrow" w:cstheme="minorHAnsi"/>
                <w:i/>
                <w:sz w:val="20"/>
                <w:szCs w:val="20"/>
              </w:rPr>
              <w:t>240mg every two weeks or 480mg every four weeks.</w:t>
            </w:r>
          </w:p>
        </w:tc>
      </w:tr>
      <w:tr w:rsidR="00F30D9E"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F30D9E" w:rsidRPr="00D439EE" w:rsidRDefault="00F30D9E"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F30D9E" w:rsidRPr="00D439EE" w:rsidRDefault="00503567" w:rsidP="00313D08">
            <w:pPr>
              <w:keepNext/>
              <w:rPr>
                <w:rFonts w:ascii="Arial Narrow" w:hAnsi="Arial Narrow" w:cstheme="minorHAnsi"/>
                <w: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CF2ED3" w:rsidRPr="00D439EE" w:rsidRDefault="00CF2ED3" w:rsidP="00313D08">
      <w:pPr>
        <w:keepNext/>
        <w:rPr>
          <w:rFonts w:ascii="Arial Narrow" w:hAnsi="Arial Narrow"/>
          <w:sz w:val="18"/>
          <w:szCs w:val="22"/>
        </w:rPr>
      </w:pPr>
      <w:r w:rsidRPr="00D439EE">
        <w:rPr>
          <w:rFonts w:ascii="Arial Narrow" w:hAnsi="Arial Narrow"/>
          <w:sz w:val="18"/>
          <w:szCs w:val="22"/>
        </w:rPr>
        <w:t>Item codes 10745M and 10748Q</w:t>
      </w:r>
    </w:p>
    <w:p w:rsidR="00CF2ED3" w:rsidRPr="00D439EE" w:rsidRDefault="00CF2ED3" w:rsidP="00313D08">
      <w:pPr>
        <w:rPr>
          <w:szCs w:val="22"/>
        </w:rPr>
      </w:pPr>
    </w:p>
    <w:tbl>
      <w:tblPr>
        <w:tblW w:w="9072" w:type="dxa"/>
        <w:tblInd w:w="108" w:type="dxa"/>
        <w:tblLayout w:type="fixed"/>
        <w:tblLook w:val="04A0" w:firstRow="1" w:lastRow="0" w:firstColumn="1" w:lastColumn="0" w:noHBand="0" w:noVBand="1"/>
      </w:tblPr>
      <w:tblGrid>
        <w:gridCol w:w="3261"/>
        <w:gridCol w:w="5811"/>
      </w:tblGrid>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lastRenderedPageBreak/>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Unresectable Stage III or Stage IV</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Unresectable Stage III or Stage IV malignant melanoma</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t xml:space="preserve">Maintenance treatment  </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CF2ED3" w:rsidRPr="00D439EE" w:rsidRDefault="00CF2ED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CF2ED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CF2ED3" w:rsidRPr="00D439EE" w:rsidRDefault="00CF2ED3" w:rsidP="00313D08">
            <w:pPr>
              <w:keepNext/>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CF2ED3" w:rsidRPr="00D439EE" w:rsidRDefault="00795EC0" w:rsidP="00313D08">
            <w:pPr>
              <w:keepNext/>
              <w:rPr>
                <w:rFonts w:ascii="Arial Narrow" w:hAnsi="Arial Narrow" w:cstheme="minorHAnsi"/>
                <w:i/>
                <w:sz w:val="20"/>
                <w:szCs w:val="20"/>
              </w:rPr>
            </w:pPr>
            <w:r w:rsidRPr="00D439EE">
              <w:rPr>
                <w:rFonts w:ascii="Arial Narrow" w:hAnsi="Arial Narrow" w:cstheme="minorHAnsi"/>
                <w:strike/>
                <w:sz w:val="20"/>
                <w:szCs w:val="20"/>
              </w:rPr>
              <w:t>The treatment must not exceed a total of 9 doses at a maximum dose of 3 mg per kg every 2 weeks.</w:t>
            </w:r>
            <w:r w:rsidRPr="00D439EE">
              <w:rPr>
                <w:rFonts w:ascii="Arial Narrow" w:hAnsi="Arial Narrow" w:cstheme="minorHAnsi"/>
                <w:i/>
                <w:sz w:val="20"/>
                <w:szCs w:val="20"/>
              </w:rPr>
              <w:t xml:space="preserve"> Patient must not receive more than 18 weeks of treatment under this restriction at a do</w:t>
            </w:r>
            <w:r w:rsidR="002F56B1">
              <w:rPr>
                <w:rFonts w:ascii="Arial Narrow" w:hAnsi="Arial Narrow" w:cstheme="minorHAnsi"/>
                <w:i/>
                <w:sz w:val="20"/>
                <w:szCs w:val="20"/>
              </w:rPr>
              <w:t xml:space="preserve">se of 3 mg/kg every two weeks, </w:t>
            </w:r>
            <w:r w:rsidRPr="00D439EE">
              <w:rPr>
                <w:rFonts w:ascii="Arial Narrow" w:hAnsi="Arial Narrow" w:cstheme="minorHAnsi"/>
                <w:i/>
                <w:sz w:val="20"/>
                <w:szCs w:val="20"/>
              </w:rPr>
              <w:t>240mg every two weeks or 480mg every four weeks.</w:t>
            </w:r>
          </w:p>
        </w:tc>
      </w:tr>
      <w:tr w:rsidR="006F168C"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6F168C" w:rsidRPr="00D439EE" w:rsidRDefault="006F168C"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6F168C" w:rsidRPr="00D439EE" w:rsidRDefault="00503567" w:rsidP="00313D08">
            <w:pPr>
              <w:keepNext/>
              <w:rPr>
                <w:rFonts w:ascii="Arial Narrow" w:hAnsi="Arial Narrow" w:cstheme="minorHAnsi"/>
                <w: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B836A9" w:rsidRPr="00D439EE" w:rsidRDefault="00CF2ED3" w:rsidP="00313D08">
      <w:pPr>
        <w:rPr>
          <w:rFonts w:ascii="Arial Narrow" w:hAnsi="Arial Narrow"/>
          <w:sz w:val="18"/>
          <w:szCs w:val="22"/>
        </w:rPr>
      </w:pPr>
      <w:r w:rsidRPr="00D439EE">
        <w:rPr>
          <w:rFonts w:ascii="Arial Narrow" w:hAnsi="Arial Narrow"/>
          <w:sz w:val="18"/>
          <w:szCs w:val="22"/>
        </w:rPr>
        <w:t>Item codes 10745M and 10748Q</w:t>
      </w:r>
    </w:p>
    <w:p w:rsidR="00B836A9" w:rsidRPr="00D439EE" w:rsidRDefault="00B836A9" w:rsidP="00313D08">
      <w:pPr>
        <w:rPr>
          <w:rFonts w:ascii="Arial Narrow" w:hAnsi="Arial Narrow"/>
          <w:sz w:val="18"/>
          <w:szCs w:val="22"/>
        </w:rPr>
      </w:pPr>
    </w:p>
    <w:tbl>
      <w:tblPr>
        <w:tblW w:w="9072" w:type="dxa"/>
        <w:tblInd w:w="108" w:type="dxa"/>
        <w:tblLayout w:type="fixed"/>
        <w:tblLook w:val="04A0" w:firstRow="1" w:lastRow="0" w:firstColumn="1" w:lastColumn="0" w:noHBand="0" w:noVBand="1"/>
      </w:tblPr>
      <w:tblGrid>
        <w:gridCol w:w="3261"/>
        <w:gridCol w:w="5811"/>
      </w:tblGrid>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t>Stage IV</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t>clear cell variant renal cell carcinoma</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t>Stage IV clear cell variant renal cell carcinoma (RCC)</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t>Continuing treatment</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B836A9" w:rsidRPr="00D439EE" w:rsidRDefault="00B836A9"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B836A9" w:rsidRPr="00D439EE" w:rsidRDefault="00503567" w:rsidP="00313D08">
            <w:pPr>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B836A9" w:rsidRPr="00D439EE" w:rsidRDefault="00B836A9" w:rsidP="00313D08">
      <w:pPr>
        <w:rPr>
          <w:rFonts w:ascii="Arial Narrow" w:hAnsi="Arial Narrow"/>
          <w:sz w:val="18"/>
          <w:szCs w:val="22"/>
        </w:rPr>
      </w:pPr>
      <w:r w:rsidRPr="00D439EE">
        <w:rPr>
          <w:rFonts w:ascii="Arial Narrow" w:hAnsi="Arial Narrow"/>
          <w:sz w:val="18"/>
          <w:szCs w:val="22"/>
        </w:rPr>
        <w:t>Item codes 11157F and 11160J</w:t>
      </w:r>
    </w:p>
    <w:p w:rsidR="00B836A9" w:rsidRPr="00D439EE" w:rsidRDefault="00B836A9" w:rsidP="00313D08">
      <w:pPr>
        <w:rPr>
          <w:szCs w:val="22"/>
        </w:rPr>
      </w:pPr>
    </w:p>
    <w:tbl>
      <w:tblPr>
        <w:tblW w:w="9072" w:type="dxa"/>
        <w:tblInd w:w="108" w:type="dxa"/>
        <w:tblLayout w:type="fixed"/>
        <w:tblLook w:val="04A0" w:firstRow="1" w:lastRow="0" w:firstColumn="1" w:lastColumn="0" w:noHBand="0" w:noVBand="1"/>
      </w:tblPr>
      <w:tblGrid>
        <w:gridCol w:w="3261"/>
        <w:gridCol w:w="5811"/>
      </w:tblGrid>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Stage IV</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clear cell variant renal cell carcinoma</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Stage IV clear cell variant renal cell carcinoma (RCC)</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t>Maintenance treatment</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B836A9" w:rsidRPr="00D439EE" w:rsidRDefault="00B836A9"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B836A9" w:rsidRPr="00D439EE" w:rsidRDefault="00B836A9" w:rsidP="00313D08">
            <w:pPr>
              <w:keepNext/>
              <w:rPr>
                <w:rFonts w:ascii="Arial Narrow" w:hAnsi="Arial Narrow" w:cstheme="minorHAnsi"/>
                <w:i/>
                <w:sz w:val="20"/>
                <w:szCs w:val="20"/>
              </w:rPr>
            </w:pPr>
            <w:r w:rsidRPr="00D439EE">
              <w:rPr>
                <w:rFonts w:ascii="Arial Narrow" w:hAnsi="Arial Narrow" w:cstheme="minorHAnsi"/>
                <w:strike/>
                <w:sz w:val="20"/>
                <w:szCs w:val="20"/>
              </w:rPr>
              <w:t>Maintenance treatment with nivolumab must not exceed a maximum dose of 3 mg per kg every2 weeks.</w:t>
            </w:r>
            <w:r w:rsidRPr="00D439EE">
              <w:rPr>
                <w:rFonts w:ascii="Arial Narrow" w:hAnsi="Arial Narrow" w:cstheme="minorHAnsi"/>
                <w:i/>
                <w:sz w:val="20"/>
                <w:szCs w:val="20"/>
              </w:rPr>
              <w:t xml:space="preserve"> </w:t>
            </w:r>
          </w:p>
        </w:tc>
      </w:tr>
      <w:tr w:rsidR="00B836A9"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B836A9" w:rsidRPr="00D439EE" w:rsidRDefault="00B836A9"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B836A9" w:rsidRPr="00D439EE" w:rsidRDefault="00503567" w:rsidP="00313D08">
            <w:pPr>
              <w:keepNext/>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F30D9E" w:rsidRPr="00D439EE" w:rsidRDefault="00B836A9" w:rsidP="00313D08">
      <w:pPr>
        <w:rPr>
          <w:rFonts w:ascii="Arial Narrow" w:hAnsi="Arial Narrow"/>
          <w:sz w:val="18"/>
          <w:szCs w:val="22"/>
        </w:rPr>
      </w:pPr>
      <w:r w:rsidRPr="00D439EE">
        <w:rPr>
          <w:rFonts w:ascii="Arial Narrow" w:hAnsi="Arial Narrow"/>
          <w:sz w:val="18"/>
          <w:szCs w:val="22"/>
        </w:rPr>
        <w:t>Item codes 11626X and 11642R</w:t>
      </w:r>
    </w:p>
    <w:p w:rsidR="00313D08" w:rsidRDefault="00313D08"/>
    <w:tbl>
      <w:tblPr>
        <w:tblW w:w="9072" w:type="dxa"/>
        <w:tblInd w:w="108" w:type="dxa"/>
        <w:tblLayout w:type="fixed"/>
        <w:tblLook w:val="04A0" w:firstRow="1" w:lastRow="0" w:firstColumn="1" w:lastColumn="0" w:noHBand="0" w:noVBand="1"/>
      </w:tblPr>
      <w:tblGrid>
        <w:gridCol w:w="3261"/>
        <w:gridCol w:w="5811"/>
      </w:tblGrid>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lastRenderedPageBreak/>
              <w:t>Prescriber type</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Recurrent or metastatic</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squamous cell carcinoma of the oral cavity, pharynx or larynx</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Recurrent or metastatic squamous cell carcinoma of the oral cavity, pharynx or larynx</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Initial treatment</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6F168C"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6F168C" w:rsidRPr="00D439EE" w:rsidRDefault="006F168C" w:rsidP="00313D08">
            <w:pPr>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6F168C" w:rsidRPr="00D439EE" w:rsidRDefault="00503567" w:rsidP="00313D08">
            <w:pPr>
              <w:rPr>
                <w:rFonts w:ascii="Arial Narrow" w:hAnsi="Arial Narrow" w:cstheme="minorHAnsi"/>
                <w: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295FE4" w:rsidRPr="00D439EE" w:rsidRDefault="00295FE4" w:rsidP="00313D08">
      <w:pPr>
        <w:rPr>
          <w:rFonts w:ascii="Arial Narrow" w:hAnsi="Arial Narrow"/>
          <w:sz w:val="18"/>
          <w:szCs w:val="22"/>
        </w:rPr>
      </w:pPr>
      <w:r w:rsidRPr="00D439EE">
        <w:rPr>
          <w:rFonts w:ascii="Arial Narrow" w:hAnsi="Arial Narrow"/>
          <w:sz w:val="18"/>
          <w:szCs w:val="22"/>
        </w:rPr>
        <w:t xml:space="preserve">Item codes </w:t>
      </w:r>
      <w:r w:rsidR="00767C53" w:rsidRPr="00D439EE">
        <w:rPr>
          <w:rFonts w:ascii="Arial Narrow" w:hAnsi="Arial Narrow"/>
          <w:sz w:val="18"/>
          <w:szCs w:val="22"/>
        </w:rPr>
        <w:t>11435W</w:t>
      </w:r>
      <w:r w:rsidRPr="00D439EE">
        <w:rPr>
          <w:rFonts w:ascii="Arial Narrow" w:hAnsi="Arial Narrow"/>
          <w:sz w:val="18"/>
          <w:szCs w:val="22"/>
        </w:rPr>
        <w:t xml:space="preserve"> and 1</w:t>
      </w:r>
      <w:r w:rsidR="00767C53" w:rsidRPr="00D439EE">
        <w:rPr>
          <w:rFonts w:ascii="Arial Narrow" w:hAnsi="Arial Narrow"/>
          <w:sz w:val="18"/>
          <w:szCs w:val="22"/>
        </w:rPr>
        <w:t>1434T</w:t>
      </w:r>
    </w:p>
    <w:p w:rsidR="0019621E" w:rsidRPr="00D439EE" w:rsidRDefault="0019621E" w:rsidP="00313D08">
      <w:pPr>
        <w:rPr>
          <w:rFonts w:ascii="Arial Narrow" w:hAnsi="Arial Narrow"/>
          <w:sz w:val="18"/>
          <w:szCs w:val="22"/>
        </w:rPr>
      </w:pPr>
    </w:p>
    <w:tbl>
      <w:tblPr>
        <w:tblW w:w="9072" w:type="dxa"/>
        <w:tblInd w:w="108" w:type="dxa"/>
        <w:tblLayout w:type="fixed"/>
        <w:tblLook w:val="04A0" w:firstRow="1" w:lastRow="0" w:firstColumn="1" w:lastColumn="0" w:noHBand="0" w:noVBand="1"/>
      </w:tblPr>
      <w:tblGrid>
        <w:gridCol w:w="3261"/>
        <w:gridCol w:w="5811"/>
      </w:tblGrid>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Recurrent or metastatic</w:t>
            </w:r>
          </w:p>
        </w:tc>
      </w:tr>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squamous cell carcinoma of the oral cavity, pharynx or larynx</w:t>
            </w:r>
          </w:p>
        </w:tc>
      </w:tr>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Recurrent or metastatic squamous cell carcinoma of the oral cavity, pharynx or larynx</w:t>
            </w:r>
          </w:p>
        </w:tc>
      </w:tr>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Continuing</w:t>
            </w:r>
            <w:r w:rsidR="00295FE4" w:rsidRPr="00D439EE">
              <w:rPr>
                <w:rFonts w:ascii="Arial Narrow" w:hAnsi="Arial Narrow" w:cstheme="minorHAnsi"/>
                <w:sz w:val="20"/>
                <w:szCs w:val="20"/>
              </w:rPr>
              <w:t xml:space="preserve"> </w:t>
            </w:r>
            <w:r w:rsidR="00CB1BFA" w:rsidRPr="00D439EE">
              <w:rPr>
                <w:rFonts w:ascii="Arial Narrow" w:hAnsi="Arial Narrow" w:cstheme="minorHAnsi"/>
                <w:sz w:val="20"/>
                <w:szCs w:val="20"/>
              </w:rPr>
              <w:t xml:space="preserve">treatment </w:t>
            </w:r>
          </w:p>
        </w:tc>
      </w:tr>
      <w:tr w:rsidR="00295FE4"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6F168C" w:rsidRPr="00D439EE" w:rsidTr="00313D08">
        <w:trPr>
          <w:trHeight w:val="57"/>
        </w:trPr>
        <w:tc>
          <w:tcPr>
            <w:tcW w:w="3261" w:type="dxa"/>
            <w:tcBorders>
              <w:top w:val="single" w:sz="4" w:space="0" w:color="auto"/>
              <w:left w:val="single" w:sz="4" w:space="0" w:color="auto"/>
              <w:bottom w:val="single" w:sz="4" w:space="0" w:color="auto"/>
              <w:right w:val="single" w:sz="4" w:space="0" w:color="auto"/>
            </w:tcBorders>
          </w:tcPr>
          <w:p w:rsidR="006F168C" w:rsidRPr="00D439EE" w:rsidRDefault="006F168C" w:rsidP="00313D08">
            <w:pPr>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6F168C" w:rsidRPr="00D439EE" w:rsidRDefault="00503567" w:rsidP="00313D08">
            <w:pPr>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295FE4" w:rsidRPr="00D439EE" w:rsidRDefault="00295FE4" w:rsidP="00313D08">
      <w:pPr>
        <w:rPr>
          <w:rFonts w:ascii="Arial Narrow" w:hAnsi="Arial Narrow"/>
          <w:sz w:val="18"/>
          <w:szCs w:val="22"/>
        </w:rPr>
      </w:pPr>
      <w:r w:rsidRPr="00D439EE">
        <w:rPr>
          <w:rFonts w:ascii="Arial Narrow" w:hAnsi="Arial Narrow"/>
          <w:sz w:val="18"/>
          <w:szCs w:val="22"/>
        </w:rPr>
        <w:t xml:space="preserve">Item codes </w:t>
      </w:r>
      <w:r w:rsidR="00767C53" w:rsidRPr="00D439EE">
        <w:rPr>
          <w:rFonts w:ascii="Arial Narrow" w:hAnsi="Arial Narrow"/>
          <w:sz w:val="18"/>
          <w:szCs w:val="22"/>
        </w:rPr>
        <w:t>11411N and 11425H</w:t>
      </w:r>
    </w:p>
    <w:p w:rsidR="00295FE4" w:rsidRPr="00D439EE" w:rsidRDefault="00295FE4" w:rsidP="00313D08">
      <w:pPr>
        <w:rPr>
          <w:szCs w:val="22"/>
        </w:rPr>
      </w:pPr>
    </w:p>
    <w:tbl>
      <w:tblPr>
        <w:tblW w:w="9072" w:type="dxa"/>
        <w:tblInd w:w="108" w:type="dxa"/>
        <w:tblLayout w:type="fixed"/>
        <w:tblLook w:val="04A0" w:firstRow="1" w:lastRow="0" w:firstColumn="1" w:lastColumn="0" w:noHBand="0" w:noVBand="1"/>
      </w:tblPr>
      <w:tblGrid>
        <w:gridCol w:w="3261"/>
        <w:gridCol w:w="5811"/>
      </w:tblGrid>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Recurrent or metastatic</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squamous cell carcinoma of the oral cavity, pharynx or larynx</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Recurrent or metastatic squamous cell carcinoma of the oral cavity, pharynx or larynx</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Grandfather</w:t>
            </w:r>
            <w:r w:rsidR="0019621E" w:rsidRPr="00D439EE">
              <w:rPr>
                <w:rFonts w:ascii="Arial Narrow" w:hAnsi="Arial Narrow" w:cstheme="minorHAnsi"/>
                <w:sz w:val="20"/>
                <w:szCs w:val="20"/>
              </w:rPr>
              <w:t xml:space="preserve"> treatment</w:t>
            </w:r>
          </w:p>
        </w:tc>
      </w:tr>
      <w:tr w:rsidR="00295FE4"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295FE4" w:rsidRPr="00D439EE" w:rsidRDefault="00295FE4"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6F168C"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6F168C" w:rsidRPr="00D439EE" w:rsidRDefault="006F168C" w:rsidP="00313D08">
            <w:pPr>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6F168C" w:rsidRPr="00D439EE" w:rsidRDefault="00503567" w:rsidP="00313D08">
            <w:pPr>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767C53" w:rsidRPr="00D439EE" w:rsidRDefault="00767C53" w:rsidP="00313D08">
      <w:pPr>
        <w:rPr>
          <w:rFonts w:ascii="Arial Narrow" w:hAnsi="Arial Narrow"/>
          <w:sz w:val="18"/>
          <w:szCs w:val="22"/>
        </w:rPr>
      </w:pPr>
      <w:r w:rsidRPr="00D439EE">
        <w:rPr>
          <w:rFonts w:ascii="Arial Narrow" w:hAnsi="Arial Narrow"/>
          <w:sz w:val="18"/>
          <w:szCs w:val="22"/>
        </w:rPr>
        <w:t>Item codes 11411N and 11425H</w:t>
      </w:r>
    </w:p>
    <w:p w:rsidR="0019621E" w:rsidRPr="00D439EE" w:rsidRDefault="0019621E" w:rsidP="00313D08">
      <w:pPr>
        <w:rPr>
          <w:rFonts w:ascii="Arial Narrow" w:hAnsi="Arial Narrow"/>
          <w:sz w:val="18"/>
          <w:szCs w:val="22"/>
        </w:rPr>
      </w:pPr>
    </w:p>
    <w:tbl>
      <w:tblPr>
        <w:tblW w:w="9072" w:type="dxa"/>
        <w:tblInd w:w="108" w:type="dxa"/>
        <w:tblLayout w:type="fixed"/>
        <w:tblLook w:val="04A0" w:firstRow="1" w:lastRow="0" w:firstColumn="1" w:lastColumn="0" w:noHBand="0" w:noVBand="1"/>
      </w:tblPr>
      <w:tblGrid>
        <w:gridCol w:w="3261"/>
        <w:gridCol w:w="5811"/>
      </w:tblGrid>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lastRenderedPageBreak/>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t>Medical Practitioners</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t>Locally advanced or metastatic</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t>non-small cell lung cancer</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t>Locally advanced or metastatic non-small cell lung cancer</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t xml:space="preserve">Continuing </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767C53"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F30D9E" w:rsidRPr="00D439EE" w:rsidRDefault="00767C53" w:rsidP="00313D08">
            <w:pPr>
              <w:keepNext/>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F30D9E"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F30D9E" w:rsidRPr="00D439EE" w:rsidRDefault="00F30D9E" w:rsidP="00313D08">
            <w:pPr>
              <w:keepNext/>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F30D9E" w:rsidRPr="00D439EE" w:rsidRDefault="00503567" w:rsidP="00313D08">
            <w:pPr>
              <w:keepNext/>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767C53" w:rsidRPr="00D439EE" w:rsidRDefault="00767C53" w:rsidP="00313D08">
      <w:pPr>
        <w:rPr>
          <w:rFonts w:ascii="Arial Narrow" w:hAnsi="Arial Narrow"/>
          <w:sz w:val="18"/>
          <w:szCs w:val="22"/>
        </w:rPr>
      </w:pPr>
      <w:r w:rsidRPr="00D439EE">
        <w:rPr>
          <w:rFonts w:ascii="Arial Narrow" w:hAnsi="Arial Narrow"/>
          <w:sz w:val="18"/>
          <w:szCs w:val="22"/>
        </w:rPr>
        <w:t>Item codes 11152Y</w:t>
      </w:r>
      <w:r w:rsidR="0019621E" w:rsidRPr="00D439EE">
        <w:rPr>
          <w:rFonts w:ascii="Arial Narrow" w:hAnsi="Arial Narrow"/>
          <w:sz w:val="18"/>
          <w:szCs w:val="22"/>
        </w:rPr>
        <w:t xml:space="preserve"> and 11153B</w:t>
      </w:r>
    </w:p>
    <w:p w:rsidR="00767C53" w:rsidRPr="00D439EE" w:rsidRDefault="00767C53" w:rsidP="00313D08">
      <w:pPr>
        <w:rPr>
          <w:szCs w:val="22"/>
        </w:rPr>
      </w:pPr>
    </w:p>
    <w:tbl>
      <w:tblPr>
        <w:tblW w:w="9072" w:type="dxa"/>
        <w:tblInd w:w="108" w:type="dxa"/>
        <w:tblLayout w:type="fixed"/>
        <w:tblLook w:val="04A0" w:firstRow="1" w:lastRow="0" w:firstColumn="1" w:lastColumn="0" w:noHBand="0" w:noVBand="1"/>
      </w:tblPr>
      <w:tblGrid>
        <w:gridCol w:w="3261"/>
        <w:gridCol w:w="5811"/>
      </w:tblGrid>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 xml:space="preserve">Category / Program </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Section 100 - Efficient funding of Chemotherapy</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Prescriber type</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Medical Practitioners</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Locally advanced or metastatic</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non-small cell lung cancer</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Locally advanced or metastatic non-small cell lung cancer</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t>G</w:t>
            </w:r>
            <w:r w:rsidR="0019621E" w:rsidRPr="00D439EE">
              <w:rPr>
                <w:rFonts w:ascii="Arial Narrow" w:hAnsi="Arial Narrow" w:cstheme="minorHAnsi"/>
                <w:sz w:val="20"/>
                <w:szCs w:val="20"/>
              </w:rPr>
              <w:t>randfather treatment</w:t>
            </w:r>
          </w:p>
        </w:tc>
      </w:tr>
      <w:tr w:rsidR="00767C53"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b/>
                <w:sz w:val="20"/>
                <w:szCs w:val="20"/>
              </w:rPr>
            </w:pPr>
            <w:r w:rsidRPr="00D439EE">
              <w:rPr>
                <w:rFonts w:ascii="Arial Narrow" w:hAnsi="Arial Narrow" w:cstheme="minorHAnsi"/>
                <w:b/>
                <w:sz w:val="20"/>
                <w:szCs w:val="20"/>
              </w:rPr>
              <w:t>Restriction Level / Method:</w:t>
            </w:r>
          </w:p>
        </w:tc>
        <w:tc>
          <w:tcPr>
            <w:tcW w:w="5811" w:type="dxa"/>
            <w:tcBorders>
              <w:top w:val="single" w:sz="4" w:space="0" w:color="auto"/>
              <w:left w:val="single" w:sz="4" w:space="0" w:color="auto"/>
              <w:bottom w:val="single" w:sz="4" w:space="0" w:color="auto"/>
              <w:right w:val="single" w:sz="4" w:space="0" w:color="auto"/>
            </w:tcBorders>
            <w:hideMark/>
          </w:tcPr>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1"/>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Restricted benefit</w:t>
            </w:r>
          </w:p>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In Writing</w:t>
            </w:r>
          </w:p>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3"/>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Telephone</w:t>
            </w:r>
          </w:p>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Emergency</w:t>
            </w:r>
          </w:p>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0"/>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Authority Required - Electronic</w:t>
            </w:r>
          </w:p>
          <w:p w:rsidR="00767C53" w:rsidRPr="00D439EE" w:rsidRDefault="00767C53" w:rsidP="00313D08">
            <w:pPr>
              <w:rPr>
                <w:rFonts w:ascii="Arial Narrow" w:hAnsi="Arial Narrow" w:cstheme="minorHAnsi"/>
                <w:sz w:val="20"/>
                <w:szCs w:val="20"/>
              </w:rPr>
            </w:pPr>
            <w:r w:rsidRPr="00D439EE">
              <w:rPr>
                <w:rFonts w:ascii="Arial Narrow" w:hAnsi="Arial Narrow" w:cstheme="minorHAnsi"/>
                <w:sz w:val="20"/>
                <w:szCs w:val="20"/>
              </w:rPr>
              <w:fldChar w:fldCharType="begin">
                <w:ffData>
                  <w:name w:val="Check5"/>
                  <w:enabled/>
                  <w:calcOnExit w:val="0"/>
                  <w:checkBox>
                    <w:sizeAuto/>
                    <w:default w:val="1"/>
                  </w:checkBox>
                </w:ffData>
              </w:fldChar>
            </w:r>
            <w:r w:rsidRPr="00D439EE">
              <w:rPr>
                <w:rFonts w:ascii="Arial Narrow" w:hAnsi="Arial Narrow" w:cstheme="minorHAnsi"/>
                <w:sz w:val="20"/>
                <w:szCs w:val="20"/>
              </w:rPr>
              <w:instrText xml:space="preserve"> FORMCHECKBOX </w:instrText>
            </w:r>
            <w:r w:rsidR="008745F8">
              <w:rPr>
                <w:rFonts w:ascii="Arial Narrow" w:hAnsi="Arial Narrow" w:cstheme="minorHAnsi"/>
                <w:sz w:val="20"/>
                <w:szCs w:val="20"/>
              </w:rPr>
            </w:r>
            <w:r w:rsidR="008745F8">
              <w:rPr>
                <w:rFonts w:ascii="Arial Narrow" w:hAnsi="Arial Narrow" w:cstheme="minorHAnsi"/>
                <w:sz w:val="20"/>
                <w:szCs w:val="20"/>
              </w:rPr>
              <w:fldChar w:fldCharType="separate"/>
            </w:r>
            <w:r w:rsidRPr="00D439EE">
              <w:rPr>
                <w:rFonts w:ascii="Arial Narrow" w:hAnsi="Arial Narrow" w:cstheme="minorHAnsi"/>
                <w:sz w:val="20"/>
                <w:szCs w:val="20"/>
              </w:rPr>
              <w:fldChar w:fldCharType="end"/>
            </w:r>
            <w:r w:rsidRPr="00D439EE">
              <w:rPr>
                <w:rFonts w:ascii="Arial Narrow" w:hAnsi="Arial Narrow" w:cstheme="minorHAnsi"/>
                <w:sz w:val="20"/>
                <w:szCs w:val="20"/>
              </w:rPr>
              <w:t>Streamlined</w:t>
            </w:r>
          </w:p>
        </w:tc>
      </w:tr>
      <w:tr w:rsidR="00F30D9E" w:rsidRPr="00D439EE" w:rsidTr="00313D08">
        <w:trPr>
          <w:trHeight w:val="20"/>
        </w:trPr>
        <w:tc>
          <w:tcPr>
            <w:tcW w:w="3261" w:type="dxa"/>
            <w:tcBorders>
              <w:top w:val="single" w:sz="4" w:space="0" w:color="auto"/>
              <w:left w:val="single" w:sz="4" w:space="0" w:color="auto"/>
              <w:bottom w:val="single" w:sz="4" w:space="0" w:color="auto"/>
              <w:right w:val="single" w:sz="4" w:space="0" w:color="auto"/>
            </w:tcBorders>
          </w:tcPr>
          <w:p w:rsidR="00F30D9E" w:rsidRPr="00D439EE" w:rsidRDefault="00F30D9E" w:rsidP="00313D08">
            <w:pPr>
              <w:rPr>
                <w:rFonts w:ascii="Arial Narrow" w:hAnsi="Arial Narrow" w:cstheme="minorHAnsi"/>
                <w:b/>
                <w:sz w:val="20"/>
                <w:szCs w:val="20"/>
              </w:rPr>
            </w:pPr>
            <w:r w:rsidRPr="00D439EE">
              <w:rPr>
                <w:rFonts w:ascii="Arial Narrow" w:hAnsi="Arial Narrow" w:cstheme="minorHAnsi"/>
                <w:b/>
                <w:sz w:val="20"/>
                <w:szCs w:val="20"/>
              </w:rPr>
              <w:t>Prescriber Instruction</w:t>
            </w:r>
          </w:p>
        </w:tc>
        <w:tc>
          <w:tcPr>
            <w:tcW w:w="5811" w:type="dxa"/>
            <w:tcBorders>
              <w:top w:val="single" w:sz="4" w:space="0" w:color="auto"/>
              <w:left w:val="single" w:sz="4" w:space="0" w:color="auto"/>
              <w:bottom w:val="single" w:sz="4" w:space="0" w:color="auto"/>
              <w:right w:val="single" w:sz="4" w:space="0" w:color="auto"/>
            </w:tcBorders>
          </w:tcPr>
          <w:p w:rsidR="00F30D9E" w:rsidRPr="00D439EE" w:rsidRDefault="00503567" w:rsidP="00313D08">
            <w:pPr>
              <w:rPr>
                <w:rFonts w:ascii="Arial Narrow" w:hAnsi="Arial Narrow" w:cstheme="minorHAnsi"/>
                <w:sz w:val="20"/>
                <w:szCs w:val="20"/>
              </w:rPr>
            </w:pPr>
            <w:r w:rsidRPr="00503567">
              <w:rPr>
                <w:rFonts w:ascii="Arial Narrow" w:hAnsi="Arial Narrow" w:cstheme="minorHAnsi"/>
                <w:i/>
                <w:sz w:val="20"/>
                <w:szCs w:val="20"/>
              </w:rPr>
              <w:t>Patients must only receive a maximum of 240 mg every two weeks or 480 mg every four weeks under a weight based or flat dosing regimen.</w:t>
            </w:r>
          </w:p>
        </w:tc>
      </w:tr>
    </w:tbl>
    <w:p w:rsidR="00295FE4" w:rsidRPr="00E627EE" w:rsidRDefault="0019621E" w:rsidP="00313D08">
      <w:pPr>
        <w:rPr>
          <w:rFonts w:ascii="Arial Narrow" w:hAnsi="Arial Narrow"/>
          <w:sz w:val="18"/>
          <w:szCs w:val="22"/>
        </w:rPr>
      </w:pPr>
      <w:r w:rsidRPr="00D439EE">
        <w:rPr>
          <w:rFonts w:ascii="Arial Narrow" w:hAnsi="Arial Narrow"/>
          <w:sz w:val="18"/>
          <w:szCs w:val="22"/>
        </w:rPr>
        <w:t>Item codes 11152Y and 11153B</w:t>
      </w:r>
    </w:p>
    <w:p w:rsidR="00E627EE" w:rsidRPr="00E627EE" w:rsidRDefault="00E627EE" w:rsidP="007B416E">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E627EE">
        <w:rPr>
          <w:rFonts w:asciiTheme="minorHAnsi" w:hAnsiTheme="minorHAnsi"/>
          <w:sz w:val="32"/>
          <w:szCs w:val="32"/>
        </w:rPr>
        <w:t>Context for Decision</w:t>
      </w:r>
    </w:p>
    <w:p w:rsidR="00E627EE" w:rsidRPr="00E627EE" w:rsidRDefault="00E627EE" w:rsidP="007B416E">
      <w:pPr>
        <w:spacing w:before="120" w:after="120"/>
        <w:ind w:left="709"/>
        <w:jc w:val="both"/>
        <w:rPr>
          <w:rFonts w:asciiTheme="minorHAnsi" w:eastAsiaTheme="minorHAnsi" w:hAnsiTheme="minorHAnsi" w:cs="Arial"/>
          <w:szCs w:val="22"/>
          <w:lang w:eastAsia="en-US"/>
        </w:rPr>
      </w:pPr>
      <w:r w:rsidRPr="00E627EE">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627EE" w:rsidRPr="00E627EE" w:rsidRDefault="00E627EE" w:rsidP="007B416E">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E627EE">
        <w:rPr>
          <w:rFonts w:asciiTheme="minorHAnsi" w:hAnsiTheme="minorHAnsi"/>
          <w:sz w:val="32"/>
          <w:szCs w:val="32"/>
        </w:rPr>
        <w:t>Sponsor’s Comment</w:t>
      </w:r>
    </w:p>
    <w:p w:rsidR="00E627EE" w:rsidRPr="007B416E" w:rsidRDefault="00E627EE" w:rsidP="007B416E">
      <w:pPr>
        <w:spacing w:before="120" w:after="120"/>
        <w:ind w:left="709"/>
        <w:jc w:val="both"/>
        <w:rPr>
          <w:rFonts w:asciiTheme="minorHAnsi" w:eastAsiaTheme="minorHAnsi" w:hAnsiTheme="minorHAnsi" w:cs="Arial"/>
          <w:bCs/>
          <w:szCs w:val="22"/>
          <w:lang w:eastAsia="en-US"/>
        </w:rPr>
      </w:pPr>
      <w:r w:rsidRPr="00E627EE">
        <w:rPr>
          <w:rFonts w:asciiTheme="minorHAnsi" w:eastAsiaTheme="minorHAnsi" w:hAnsiTheme="minorHAnsi" w:cs="Arial"/>
          <w:bCs/>
          <w:szCs w:val="22"/>
          <w:lang w:eastAsia="en-US"/>
        </w:rPr>
        <w:t>The sponsor had no comment.</w:t>
      </w:r>
    </w:p>
    <w:sectPr w:rsidR="00E627EE" w:rsidRPr="007B416E"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EC" w:rsidRDefault="00C20FEC">
      <w:r>
        <w:separator/>
      </w:r>
    </w:p>
    <w:p w:rsidR="00C20FEC" w:rsidRDefault="00C20FEC"/>
  </w:endnote>
  <w:endnote w:type="continuationSeparator" w:id="0">
    <w:p w:rsidR="00C20FEC" w:rsidRDefault="00C20FEC">
      <w:r>
        <w:continuationSeparator/>
      </w:r>
    </w:p>
    <w:p w:rsidR="00C20FEC" w:rsidRDefault="00C20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627EE" w:rsidTr="005A3173">
      <w:trPr>
        <w:trHeight w:val="151"/>
      </w:trPr>
      <w:tc>
        <w:tcPr>
          <w:tcW w:w="2250" w:type="pct"/>
          <w:tcBorders>
            <w:top w:val="nil"/>
            <w:left w:val="nil"/>
            <w:bottom w:val="single" w:sz="4" w:space="0" w:color="4F81BD"/>
            <w:right w:val="nil"/>
          </w:tcBorders>
        </w:tcPr>
        <w:p w:rsidR="00E627EE" w:rsidRPr="005A3173" w:rsidRDefault="00E627E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627EE" w:rsidRPr="005A3173" w:rsidRDefault="00E627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627EE" w:rsidRPr="005A3173" w:rsidRDefault="00E627EE" w:rsidP="005A3173">
          <w:pPr>
            <w:pStyle w:val="Header"/>
            <w:spacing w:line="276" w:lineRule="auto"/>
            <w:rPr>
              <w:rFonts w:ascii="Calibri" w:eastAsia="MS Gothic" w:hAnsi="Calibri"/>
              <w:b/>
              <w:bCs/>
              <w:color w:val="4F81BD"/>
            </w:rPr>
          </w:pPr>
        </w:p>
      </w:tc>
    </w:tr>
    <w:tr w:rsidR="00E627EE" w:rsidTr="005A3173">
      <w:trPr>
        <w:trHeight w:val="150"/>
      </w:trPr>
      <w:tc>
        <w:tcPr>
          <w:tcW w:w="2250" w:type="pct"/>
          <w:tcBorders>
            <w:top w:val="single" w:sz="4" w:space="0" w:color="4F81BD"/>
            <w:left w:val="nil"/>
            <w:bottom w:val="nil"/>
            <w:right w:val="nil"/>
          </w:tcBorders>
        </w:tcPr>
        <w:p w:rsidR="00E627EE" w:rsidRPr="005A3173" w:rsidRDefault="00E627EE" w:rsidP="005A3173">
          <w:pPr>
            <w:pStyle w:val="Header"/>
            <w:spacing w:line="276" w:lineRule="auto"/>
            <w:rPr>
              <w:rFonts w:ascii="Calibri" w:eastAsia="MS Gothic" w:hAnsi="Calibri"/>
              <w:b/>
              <w:bCs/>
              <w:color w:val="4F81BD"/>
            </w:rPr>
          </w:pPr>
        </w:p>
      </w:tc>
      <w:tc>
        <w:tcPr>
          <w:tcW w:w="0" w:type="auto"/>
          <w:vMerge/>
          <w:vAlign w:val="center"/>
          <w:hideMark/>
        </w:tcPr>
        <w:p w:rsidR="00E627EE" w:rsidRPr="005A3173" w:rsidRDefault="00E627E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627EE" w:rsidRPr="005A3173" w:rsidRDefault="00E627EE" w:rsidP="005A3173">
          <w:pPr>
            <w:pStyle w:val="Header"/>
            <w:spacing w:line="276" w:lineRule="auto"/>
            <w:rPr>
              <w:rFonts w:ascii="Calibri" w:eastAsia="MS Gothic" w:hAnsi="Calibri"/>
              <w:b/>
              <w:bCs/>
              <w:color w:val="4F81BD"/>
            </w:rPr>
          </w:pPr>
        </w:p>
      </w:tc>
    </w:tr>
  </w:tbl>
  <w:p w:rsidR="00E627EE" w:rsidRDefault="00E627E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27EE" w:rsidRDefault="00E627EE">
    <w:pPr>
      <w:pStyle w:val="Footer"/>
    </w:pPr>
  </w:p>
  <w:p w:rsidR="00E627EE" w:rsidRDefault="00E627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371363"/>
      <w:docPartObj>
        <w:docPartGallery w:val="Page Numbers (Bottom of Page)"/>
        <w:docPartUnique/>
      </w:docPartObj>
    </w:sdtPr>
    <w:sdtEndPr>
      <w:rPr>
        <w:rFonts w:asciiTheme="minorHAnsi" w:hAnsiTheme="minorHAnsi" w:cstheme="minorHAnsi"/>
        <w:b/>
        <w:noProof/>
        <w:szCs w:val="20"/>
      </w:rPr>
    </w:sdtEndPr>
    <w:sdtContent>
      <w:p w:rsidR="00E627EE" w:rsidRPr="00F31049" w:rsidRDefault="00E627EE">
        <w:pPr>
          <w:pStyle w:val="Footer"/>
          <w:jc w:val="center"/>
          <w:rPr>
            <w:rFonts w:asciiTheme="minorHAnsi" w:hAnsiTheme="minorHAnsi" w:cstheme="minorHAnsi"/>
            <w:b/>
            <w:szCs w:val="20"/>
          </w:rPr>
        </w:pPr>
        <w:r w:rsidRPr="00F31049">
          <w:rPr>
            <w:rFonts w:asciiTheme="minorHAnsi" w:hAnsiTheme="minorHAnsi" w:cstheme="minorHAnsi"/>
            <w:b/>
            <w:szCs w:val="20"/>
          </w:rPr>
          <w:fldChar w:fldCharType="begin"/>
        </w:r>
        <w:r w:rsidRPr="00F31049">
          <w:rPr>
            <w:rFonts w:asciiTheme="minorHAnsi" w:hAnsiTheme="minorHAnsi" w:cstheme="minorHAnsi"/>
            <w:b/>
            <w:szCs w:val="20"/>
          </w:rPr>
          <w:instrText xml:space="preserve"> PAGE   \* MERGEFORMAT </w:instrText>
        </w:r>
        <w:r w:rsidRPr="00F31049">
          <w:rPr>
            <w:rFonts w:asciiTheme="minorHAnsi" w:hAnsiTheme="minorHAnsi" w:cstheme="minorHAnsi"/>
            <w:b/>
            <w:szCs w:val="20"/>
          </w:rPr>
          <w:fldChar w:fldCharType="separate"/>
        </w:r>
        <w:r w:rsidR="008745F8">
          <w:rPr>
            <w:rFonts w:asciiTheme="minorHAnsi" w:hAnsiTheme="minorHAnsi" w:cstheme="minorHAnsi"/>
            <w:b/>
            <w:noProof/>
            <w:szCs w:val="20"/>
          </w:rPr>
          <w:t>18</w:t>
        </w:r>
        <w:r w:rsidRPr="00F31049">
          <w:rPr>
            <w:rFonts w:asciiTheme="minorHAnsi" w:hAnsiTheme="minorHAnsi" w:cstheme="minorHAnsi"/>
            <w:b/>
            <w:noProof/>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627EE" w:rsidTr="005A3173">
      <w:trPr>
        <w:trHeight w:val="151"/>
      </w:trPr>
      <w:tc>
        <w:tcPr>
          <w:tcW w:w="2250" w:type="pct"/>
          <w:tcBorders>
            <w:top w:val="nil"/>
            <w:left w:val="nil"/>
            <w:bottom w:val="single" w:sz="4" w:space="0" w:color="4F81BD"/>
            <w:right w:val="nil"/>
          </w:tcBorders>
        </w:tcPr>
        <w:p w:rsidR="00E627EE" w:rsidRPr="005A3173" w:rsidRDefault="00E627E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627EE" w:rsidRPr="005A3173" w:rsidRDefault="00E627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627EE" w:rsidRPr="005A3173" w:rsidRDefault="00E627EE" w:rsidP="005A3173">
          <w:pPr>
            <w:pStyle w:val="Header"/>
            <w:spacing w:line="276" w:lineRule="auto"/>
            <w:rPr>
              <w:rFonts w:ascii="Calibri" w:eastAsia="MS Gothic" w:hAnsi="Calibri"/>
              <w:b/>
              <w:bCs/>
              <w:color w:val="4F81BD"/>
            </w:rPr>
          </w:pPr>
        </w:p>
      </w:tc>
    </w:tr>
    <w:tr w:rsidR="00E627EE" w:rsidTr="005A3173">
      <w:trPr>
        <w:trHeight w:val="150"/>
      </w:trPr>
      <w:tc>
        <w:tcPr>
          <w:tcW w:w="2250" w:type="pct"/>
          <w:tcBorders>
            <w:top w:val="single" w:sz="4" w:space="0" w:color="4F81BD"/>
            <w:left w:val="nil"/>
            <w:bottom w:val="nil"/>
            <w:right w:val="nil"/>
          </w:tcBorders>
        </w:tcPr>
        <w:p w:rsidR="00E627EE" w:rsidRPr="005A3173" w:rsidRDefault="00E627EE" w:rsidP="005A3173">
          <w:pPr>
            <w:pStyle w:val="Header"/>
            <w:spacing w:line="276" w:lineRule="auto"/>
            <w:rPr>
              <w:rFonts w:ascii="Calibri" w:eastAsia="MS Gothic" w:hAnsi="Calibri"/>
              <w:b/>
              <w:bCs/>
              <w:color w:val="4F81BD"/>
            </w:rPr>
          </w:pPr>
        </w:p>
      </w:tc>
      <w:tc>
        <w:tcPr>
          <w:tcW w:w="0" w:type="auto"/>
          <w:vMerge/>
          <w:vAlign w:val="center"/>
          <w:hideMark/>
        </w:tcPr>
        <w:p w:rsidR="00E627EE" w:rsidRPr="005A3173" w:rsidRDefault="00E627E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627EE" w:rsidRPr="005A3173" w:rsidRDefault="00E627E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627EE" w:rsidTr="005A3173">
      <w:trPr>
        <w:trHeight w:val="151"/>
      </w:trPr>
      <w:tc>
        <w:tcPr>
          <w:tcW w:w="2250" w:type="pct"/>
          <w:tcBorders>
            <w:top w:val="nil"/>
            <w:left w:val="nil"/>
            <w:bottom w:val="single" w:sz="4" w:space="0" w:color="4F81BD"/>
            <w:right w:val="nil"/>
          </w:tcBorders>
        </w:tcPr>
        <w:p w:rsidR="00E627EE" w:rsidRPr="005A3173" w:rsidRDefault="00E627E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627EE" w:rsidRPr="005A3173" w:rsidRDefault="00E627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627EE" w:rsidRPr="005A3173" w:rsidRDefault="00E627EE" w:rsidP="005A3173">
          <w:pPr>
            <w:pStyle w:val="Header"/>
            <w:spacing w:line="276" w:lineRule="auto"/>
            <w:rPr>
              <w:rFonts w:ascii="Calibri" w:eastAsia="MS Gothic" w:hAnsi="Calibri"/>
              <w:b/>
              <w:bCs/>
              <w:color w:val="4F81BD"/>
            </w:rPr>
          </w:pPr>
        </w:p>
      </w:tc>
    </w:tr>
    <w:tr w:rsidR="00E627EE" w:rsidTr="005A3173">
      <w:trPr>
        <w:trHeight w:val="150"/>
      </w:trPr>
      <w:tc>
        <w:tcPr>
          <w:tcW w:w="2250" w:type="pct"/>
          <w:tcBorders>
            <w:top w:val="single" w:sz="4" w:space="0" w:color="4F81BD"/>
            <w:left w:val="nil"/>
            <w:bottom w:val="nil"/>
            <w:right w:val="nil"/>
          </w:tcBorders>
        </w:tcPr>
        <w:p w:rsidR="00E627EE" w:rsidRPr="005A3173" w:rsidRDefault="00E627EE" w:rsidP="005A3173">
          <w:pPr>
            <w:pStyle w:val="Header"/>
            <w:spacing w:line="276" w:lineRule="auto"/>
            <w:rPr>
              <w:rFonts w:ascii="Calibri" w:eastAsia="MS Gothic" w:hAnsi="Calibri"/>
              <w:b/>
              <w:bCs/>
              <w:color w:val="4F81BD"/>
            </w:rPr>
          </w:pPr>
        </w:p>
      </w:tc>
      <w:tc>
        <w:tcPr>
          <w:tcW w:w="0" w:type="auto"/>
          <w:vMerge/>
          <w:vAlign w:val="center"/>
          <w:hideMark/>
        </w:tcPr>
        <w:p w:rsidR="00E627EE" w:rsidRPr="005A3173" w:rsidRDefault="00E627E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627EE" w:rsidRPr="005A3173" w:rsidRDefault="00E627EE" w:rsidP="005A3173">
          <w:pPr>
            <w:pStyle w:val="Header"/>
            <w:spacing w:line="276" w:lineRule="auto"/>
            <w:rPr>
              <w:rFonts w:ascii="Calibri" w:eastAsia="MS Gothic" w:hAnsi="Calibri"/>
              <w:b/>
              <w:bCs/>
              <w:color w:val="4F81BD"/>
            </w:rPr>
          </w:pPr>
        </w:p>
      </w:tc>
    </w:tr>
  </w:tbl>
  <w:p w:rsidR="00E627EE" w:rsidRPr="007C0F57" w:rsidRDefault="00E627E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627EE" w:rsidRPr="007C0F57" w:rsidRDefault="00E627EE" w:rsidP="007C0F57">
    <w:pPr>
      <w:pStyle w:val="Footer"/>
      <w:jc w:val="center"/>
      <w:rPr>
        <w:b/>
        <w:i/>
        <w:sz w:val="20"/>
        <w:szCs w:val="20"/>
      </w:rPr>
    </w:pPr>
    <w:r w:rsidRPr="007C0F57">
      <w:rPr>
        <w:b/>
        <w:i/>
        <w:sz w:val="20"/>
        <w:szCs w:val="20"/>
      </w:rPr>
      <w:t>Commercial-in-Confidence</w:t>
    </w:r>
  </w:p>
  <w:p w:rsidR="00E627EE" w:rsidRDefault="00E627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EC" w:rsidRDefault="00C20FEC">
      <w:r>
        <w:separator/>
      </w:r>
    </w:p>
    <w:p w:rsidR="00C20FEC" w:rsidRDefault="00C20FEC"/>
  </w:footnote>
  <w:footnote w:type="continuationSeparator" w:id="0">
    <w:p w:rsidR="00C20FEC" w:rsidRDefault="00C20FEC">
      <w:r>
        <w:continuationSeparator/>
      </w:r>
    </w:p>
    <w:p w:rsidR="00C20FEC" w:rsidRDefault="00C20F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627EE" w:rsidRPr="008E0D90" w:rsidTr="00A06225">
      <w:trPr>
        <w:trHeight w:val="151"/>
      </w:trPr>
      <w:tc>
        <w:tcPr>
          <w:tcW w:w="2389" w:type="pct"/>
          <w:tcBorders>
            <w:top w:val="nil"/>
            <w:left w:val="nil"/>
            <w:bottom w:val="single" w:sz="4" w:space="0" w:color="4F81BD"/>
            <w:right w:val="nil"/>
          </w:tcBorders>
        </w:tcPr>
        <w:p w:rsidR="00E627EE" w:rsidRPr="00A06225" w:rsidRDefault="00E627EE">
          <w:pPr>
            <w:pStyle w:val="Header"/>
            <w:spacing w:line="276" w:lineRule="auto"/>
            <w:rPr>
              <w:rFonts w:ascii="Cambria" w:eastAsia="MS Gothic" w:hAnsi="Cambria"/>
              <w:b/>
              <w:bCs/>
              <w:color w:val="4F81BD"/>
            </w:rPr>
          </w:pPr>
        </w:p>
      </w:tc>
      <w:tc>
        <w:tcPr>
          <w:tcW w:w="333" w:type="pct"/>
          <w:vMerge w:val="restart"/>
          <w:noWrap/>
          <w:vAlign w:val="center"/>
          <w:hideMark/>
        </w:tcPr>
        <w:p w:rsidR="00E627EE" w:rsidRPr="00A06225" w:rsidRDefault="00E627E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627EE" w:rsidRPr="00A06225" w:rsidRDefault="00E627EE">
          <w:pPr>
            <w:pStyle w:val="Header"/>
            <w:spacing w:line="276" w:lineRule="auto"/>
            <w:rPr>
              <w:rFonts w:ascii="Cambria" w:eastAsia="MS Gothic" w:hAnsi="Cambria"/>
              <w:b/>
              <w:bCs/>
              <w:color w:val="4F81BD"/>
            </w:rPr>
          </w:pPr>
        </w:p>
      </w:tc>
    </w:tr>
    <w:tr w:rsidR="00E627EE" w:rsidRPr="008E0D90" w:rsidTr="00A06225">
      <w:trPr>
        <w:trHeight w:val="150"/>
      </w:trPr>
      <w:tc>
        <w:tcPr>
          <w:tcW w:w="2389" w:type="pct"/>
          <w:tcBorders>
            <w:top w:val="single" w:sz="4" w:space="0" w:color="4F81BD"/>
            <w:left w:val="nil"/>
            <w:bottom w:val="nil"/>
            <w:right w:val="nil"/>
          </w:tcBorders>
        </w:tcPr>
        <w:p w:rsidR="00E627EE" w:rsidRPr="00A06225" w:rsidRDefault="00E627EE">
          <w:pPr>
            <w:pStyle w:val="Header"/>
            <w:spacing w:line="276" w:lineRule="auto"/>
            <w:rPr>
              <w:rFonts w:ascii="Cambria" w:eastAsia="MS Gothic" w:hAnsi="Cambria"/>
              <w:b/>
              <w:bCs/>
              <w:color w:val="4F81BD"/>
            </w:rPr>
          </w:pPr>
        </w:p>
      </w:tc>
      <w:tc>
        <w:tcPr>
          <w:tcW w:w="0" w:type="auto"/>
          <w:vMerge/>
          <w:vAlign w:val="center"/>
          <w:hideMark/>
        </w:tcPr>
        <w:p w:rsidR="00E627EE" w:rsidRPr="00A06225" w:rsidRDefault="00E627EE">
          <w:pPr>
            <w:rPr>
              <w:rFonts w:ascii="Cambria" w:hAnsi="Cambria"/>
              <w:color w:val="4F81BD"/>
              <w:sz w:val="22"/>
              <w:szCs w:val="22"/>
            </w:rPr>
          </w:pPr>
        </w:p>
      </w:tc>
      <w:tc>
        <w:tcPr>
          <w:tcW w:w="2278" w:type="pct"/>
          <w:tcBorders>
            <w:top w:val="single" w:sz="4" w:space="0" w:color="4F81BD"/>
            <w:left w:val="nil"/>
            <w:bottom w:val="nil"/>
            <w:right w:val="nil"/>
          </w:tcBorders>
        </w:tcPr>
        <w:p w:rsidR="00E627EE" w:rsidRPr="00A06225" w:rsidRDefault="00E627EE">
          <w:pPr>
            <w:pStyle w:val="Header"/>
            <w:spacing w:line="276" w:lineRule="auto"/>
            <w:rPr>
              <w:rFonts w:ascii="Cambria" w:eastAsia="MS Gothic" w:hAnsi="Cambria"/>
              <w:b/>
              <w:bCs/>
              <w:color w:val="4F81BD"/>
            </w:rPr>
          </w:pPr>
        </w:p>
      </w:tc>
    </w:tr>
  </w:tbl>
  <w:p w:rsidR="00E627EE" w:rsidRDefault="00E627EE">
    <w:pPr>
      <w:pStyle w:val="Header"/>
    </w:pPr>
  </w:p>
  <w:p w:rsidR="00E627EE" w:rsidRDefault="00E627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EE" w:rsidRPr="00E627EE" w:rsidRDefault="00E627EE" w:rsidP="00E627EE">
    <w:pPr>
      <w:tabs>
        <w:tab w:val="center" w:pos="4513"/>
        <w:tab w:val="right" w:pos="9026"/>
      </w:tabs>
      <w:jc w:val="center"/>
      <w:rPr>
        <w:rFonts w:asciiTheme="minorHAnsi" w:eastAsiaTheme="minorHAnsi" w:hAnsiTheme="minorHAnsi" w:cstheme="minorHAnsi"/>
        <w:i/>
        <w:color w:val="808080"/>
        <w:szCs w:val="22"/>
        <w:lang w:eastAsia="en-US"/>
      </w:rPr>
    </w:pPr>
    <w:r w:rsidRPr="00E627EE">
      <w:rPr>
        <w:rFonts w:asciiTheme="minorHAnsi" w:eastAsiaTheme="minorHAnsi" w:hAnsiTheme="minorHAnsi" w:cstheme="minorHAnsi"/>
        <w:i/>
        <w:color w:val="808080"/>
        <w:szCs w:val="22"/>
        <w:lang w:eastAsia="en-US"/>
      </w:rPr>
      <w:t>Publ</w:t>
    </w:r>
    <w:r>
      <w:rPr>
        <w:rFonts w:asciiTheme="minorHAnsi" w:eastAsiaTheme="minorHAnsi" w:hAnsiTheme="minorHAnsi" w:cstheme="minorHAnsi"/>
        <w:i/>
        <w:color w:val="808080"/>
        <w:szCs w:val="22"/>
        <w:lang w:eastAsia="en-US"/>
      </w:rPr>
      <w:t>ic Summary Document – March 2019</w:t>
    </w:r>
    <w:r w:rsidRPr="00E627EE">
      <w:rPr>
        <w:rFonts w:asciiTheme="minorHAnsi" w:eastAsiaTheme="minorHAnsi" w:hAnsiTheme="minorHAnsi" w:cstheme="minorHAnsi"/>
        <w:i/>
        <w:color w:val="808080"/>
        <w:szCs w:val="22"/>
        <w:lang w:eastAsia="en-US"/>
      </w:rPr>
      <w:t xml:space="preserve"> PBAC Meeting</w:t>
    </w:r>
  </w:p>
  <w:p w:rsidR="00E627EE" w:rsidRDefault="00E627EE"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15319E"/>
    <w:multiLevelType w:val="hybridMultilevel"/>
    <w:tmpl w:val="8084BF6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C04FC"/>
    <w:multiLevelType w:val="hybridMultilevel"/>
    <w:tmpl w:val="F1B4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21435"/>
    <w:multiLevelType w:val="multilevel"/>
    <w:tmpl w:val="4C1E79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52D607A"/>
    <w:multiLevelType w:val="multilevel"/>
    <w:tmpl w:val="10EEF2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A1E88"/>
    <w:multiLevelType w:val="hybridMultilevel"/>
    <w:tmpl w:val="F9F495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4E6825"/>
    <w:multiLevelType w:val="multilevel"/>
    <w:tmpl w:val="EB7802C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050A0B"/>
    <w:multiLevelType w:val="hybridMultilevel"/>
    <w:tmpl w:val="0FD6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16029"/>
    <w:multiLevelType w:val="hybridMultilevel"/>
    <w:tmpl w:val="B686D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5045F26"/>
    <w:multiLevelType w:val="multilevel"/>
    <w:tmpl w:val="CA58231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451099"/>
    <w:multiLevelType w:val="hybridMultilevel"/>
    <w:tmpl w:val="04D0F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234693"/>
    <w:multiLevelType w:val="hybridMultilevel"/>
    <w:tmpl w:val="5BCE59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8C11E1B"/>
    <w:multiLevelType w:val="hybridMultilevel"/>
    <w:tmpl w:val="6B647E1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E6D48FC"/>
    <w:multiLevelType w:val="hybridMultilevel"/>
    <w:tmpl w:val="EDFA21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1CE70BC"/>
    <w:multiLevelType w:val="hybridMultilevel"/>
    <w:tmpl w:val="381AC5C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68AE2932"/>
    <w:multiLevelType w:val="hybridMultilevel"/>
    <w:tmpl w:val="388E2C8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8BD630F"/>
    <w:multiLevelType w:val="hybridMultilevel"/>
    <w:tmpl w:val="FA0AE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115712"/>
    <w:multiLevelType w:val="hybridMultilevel"/>
    <w:tmpl w:val="40A0A7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1F2011"/>
    <w:multiLevelType w:val="hybridMultilevel"/>
    <w:tmpl w:val="E4B0BC78"/>
    <w:lvl w:ilvl="0" w:tplc="BD82A192">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0" w15:restartNumberingAfterBreak="0">
    <w:nsid w:val="784D033C"/>
    <w:multiLevelType w:val="multilevel"/>
    <w:tmpl w:val="0E229F9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8649A5"/>
    <w:multiLevelType w:val="multilevel"/>
    <w:tmpl w:val="10EEF2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5"/>
  </w:num>
  <w:num w:numId="4">
    <w:abstractNumId w:val="20"/>
  </w:num>
  <w:num w:numId="5">
    <w:abstractNumId w:val="30"/>
  </w:num>
  <w:num w:numId="6">
    <w:abstractNumId w:val="7"/>
  </w:num>
  <w:num w:numId="7">
    <w:abstractNumId w:val="17"/>
  </w:num>
  <w:num w:numId="8">
    <w:abstractNumId w:val="3"/>
  </w:num>
  <w:num w:numId="9">
    <w:abstractNumId w:val="15"/>
  </w:num>
  <w:num w:numId="10">
    <w:abstractNumId w:val="14"/>
  </w:num>
  <w:num w:numId="11">
    <w:abstractNumId w:val="13"/>
  </w:num>
  <w:num w:numId="12">
    <w:abstractNumId w:val="1"/>
  </w:num>
  <w:num w:numId="13">
    <w:abstractNumId w:val="0"/>
  </w:num>
  <w:num w:numId="14">
    <w:abstractNumId w:val="30"/>
  </w:num>
  <w:num w:numId="15">
    <w:abstractNumId w:val="31"/>
  </w:num>
  <w:num w:numId="16">
    <w:abstractNumId w:val="6"/>
  </w:num>
  <w:num w:numId="17">
    <w:abstractNumId w:val="10"/>
  </w:num>
  <w:num w:numId="18">
    <w:abstractNumId w:val="24"/>
  </w:num>
  <w:num w:numId="19">
    <w:abstractNumId w:val="19"/>
  </w:num>
  <w:num w:numId="20">
    <w:abstractNumId w:val="12"/>
  </w:num>
  <w:num w:numId="21">
    <w:abstractNumId w:val="22"/>
  </w:num>
  <w:num w:numId="22">
    <w:abstractNumId w:val="25"/>
  </w:num>
  <w:num w:numId="23">
    <w:abstractNumId w:val="28"/>
  </w:num>
  <w:num w:numId="24">
    <w:abstractNumId w:val="16"/>
  </w:num>
  <w:num w:numId="25">
    <w:abstractNumId w:val="1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8"/>
  </w:num>
  <w:num w:numId="29">
    <w:abstractNumId w:val="23"/>
  </w:num>
  <w:num w:numId="30">
    <w:abstractNumId w:val="26"/>
  </w:num>
  <w:num w:numId="31">
    <w:abstractNumId w:val="27"/>
  </w:num>
  <w:num w:numId="32">
    <w:abstractNumId w:val="21"/>
  </w:num>
  <w:num w:numId="33">
    <w:abstractNumId w:val="4"/>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715"/>
    <w:rsid w:val="0000120D"/>
    <w:rsid w:val="000025AD"/>
    <w:rsid w:val="0000335D"/>
    <w:rsid w:val="00003E49"/>
    <w:rsid w:val="000041B1"/>
    <w:rsid w:val="0000426B"/>
    <w:rsid w:val="00005547"/>
    <w:rsid w:val="0001074F"/>
    <w:rsid w:val="00010EE8"/>
    <w:rsid w:val="0001627D"/>
    <w:rsid w:val="00020A69"/>
    <w:rsid w:val="0002464A"/>
    <w:rsid w:val="0003059E"/>
    <w:rsid w:val="00030B07"/>
    <w:rsid w:val="0003106B"/>
    <w:rsid w:val="00033152"/>
    <w:rsid w:val="00034C45"/>
    <w:rsid w:val="00035650"/>
    <w:rsid w:val="00037311"/>
    <w:rsid w:val="00041261"/>
    <w:rsid w:val="000421A1"/>
    <w:rsid w:val="0004240E"/>
    <w:rsid w:val="00045E26"/>
    <w:rsid w:val="000514B5"/>
    <w:rsid w:val="00055946"/>
    <w:rsid w:val="000565F0"/>
    <w:rsid w:val="000607CA"/>
    <w:rsid w:val="00060E64"/>
    <w:rsid w:val="0006128B"/>
    <w:rsid w:val="00061F43"/>
    <w:rsid w:val="00063C9E"/>
    <w:rsid w:val="00066755"/>
    <w:rsid w:val="00070460"/>
    <w:rsid w:val="0007319F"/>
    <w:rsid w:val="00075C26"/>
    <w:rsid w:val="00077143"/>
    <w:rsid w:val="00080A67"/>
    <w:rsid w:val="00082169"/>
    <w:rsid w:val="00087081"/>
    <w:rsid w:val="00090E5F"/>
    <w:rsid w:val="00093880"/>
    <w:rsid w:val="00094ACC"/>
    <w:rsid w:val="000969AD"/>
    <w:rsid w:val="000A2B78"/>
    <w:rsid w:val="000A3A1B"/>
    <w:rsid w:val="000A55E1"/>
    <w:rsid w:val="000B1B6A"/>
    <w:rsid w:val="000B2939"/>
    <w:rsid w:val="000B2A32"/>
    <w:rsid w:val="000B558D"/>
    <w:rsid w:val="000B7207"/>
    <w:rsid w:val="000C19A1"/>
    <w:rsid w:val="000C6996"/>
    <w:rsid w:val="000C6F6B"/>
    <w:rsid w:val="000C73BF"/>
    <w:rsid w:val="000D140A"/>
    <w:rsid w:val="000D18AC"/>
    <w:rsid w:val="000D23BA"/>
    <w:rsid w:val="000D24BA"/>
    <w:rsid w:val="000D372A"/>
    <w:rsid w:val="000D59B8"/>
    <w:rsid w:val="000E681E"/>
    <w:rsid w:val="000F0003"/>
    <w:rsid w:val="000F3E50"/>
    <w:rsid w:val="000F4769"/>
    <w:rsid w:val="000F4E6A"/>
    <w:rsid w:val="000F6DB7"/>
    <w:rsid w:val="00101FA6"/>
    <w:rsid w:val="00104227"/>
    <w:rsid w:val="00105CEB"/>
    <w:rsid w:val="00106F59"/>
    <w:rsid w:val="00107B8C"/>
    <w:rsid w:val="00107C81"/>
    <w:rsid w:val="00107D3A"/>
    <w:rsid w:val="001107BF"/>
    <w:rsid w:val="001109D6"/>
    <w:rsid w:val="001119E0"/>
    <w:rsid w:val="0011207E"/>
    <w:rsid w:val="00115763"/>
    <w:rsid w:val="0012283E"/>
    <w:rsid w:val="0012417C"/>
    <w:rsid w:val="00124EBB"/>
    <w:rsid w:val="001252E0"/>
    <w:rsid w:val="001253EE"/>
    <w:rsid w:val="00126261"/>
    <w:rsid w:val="001270AE"/>
    <w:rsid w:val="001328F3"/>
    <w:rsid w:val="001348A8"/>
    <w:rsid w:val="00134AD3"/>
    <w:rsid w:val="00136087"/>
    <w:rsid w:val="001361FB"/>
    <w:rsid w:val="00137BC1"/>
    <w:rsid w:val="00142395"/>
    <w:rsid w:val="00142714"/>
    <w:rsid w:val="00144C2B"/>
    <w:rsid w:val="001452ED"/>
    <w:rsid w:val="00150CEB"/>
    <w:rsid w:val="001511EF"/>
    <w:rsid w:val="0015203C"/>
    <w:rsid w:val="00155066"/>
    <w:rsid w:val="00155B71"/>
    <w:rsid w:val="00160A75"/>
    <w:rsid w:val="00163329"/>
    <w:rsid w:val="00164623"/>
    <w:rsid w:val="00164AAF"/>
    <w:rsid w:val="001652AE"/>
    <w:rsid w:val="00165B64"/>
    <w:rsid w:val="00170E95"/>
    <w:rsid w:val="001711F3"/>
    <w:rsid w:val="00173ACB"/>
    <w:rsid w:val="00177E29"/>
    <w:rsid w:val="00181907"/>
    <w:rsid w:val="001822D8"/>
    <w:rsid w:val="001830CE"/>
    <w:rsid w:val="00183A79"/>
    <w:rsid w:val="0018643B"/>
    <w:rsid w:val="00190533"/>
    <w:rsid w:val="00192BC3"/>
    <w:rsid w:val="0019621E"/>
    <w:rsid w:val="00196307"/>
    <w:rsid w:val="00196DDC"/>
    <w:rsid w:val="001A33EA"/>
    <w:rsid w:val="001A3FD7"/>
    <w:rsid w:val="001A539F"/>
    <w:rsid w:val="001B017F"/>
    <w:rsid w:val="001B1AA3"/>
    <w:rsid w:val="001B2BBC"/>
    <w:rsid w:val="001B5129"/>
    <w:rsid w:val="001C1195"/>
    <w:rsid w:val="001C6D41"/>
    <w:rsid w:val="001D2BCF"/>
    <w:rsid w:val="001E0531"/>
    <w:rsid w:val="001E39A9"/>
    <w:rsid w:val="001E3AC1"/>
    <w:rsid w:val="001E490F"/>
    <w:rsid w:val="001E53D7"/>
    <w:rsid w:val="001F0ECD"/>
    <w:rsid w:val="001F1850"/>
    <w:rsid w:val="001F4D43"/>
    <w:rsid w:val="001F6B81"/>
    <w:rsid w:val="001F6D3A"/>
    <w:rsid w:val="001F7933"/>
    <w:rsid w:val="0020182A"/>
    <w:rsid w:val="00203FAC"/>
    <w:rsid w:val="00204B40"/>
    <w:rsid w:val="00206A31"/>
    <w:rsid w:val="00206B59"/>
    <w:rsid w:val="002074EC"/>
    <w:rsid w:val="00210CF1"/>
    <w:rsid w:val="00213CFB"/>
    <w:rsid w:val="00217BE1"/>
    <w:rsid w:val="00217D99"/>
    <w:rsid w:val="0022038E"/>
    <w:rsid w:val="00220F0B"/>
    <w:rsid w:val="002221D8"/>
    <w:rsid w:val="00235A60"/>
    <w:rsid w:val="00237C8F"/>
    <w:rsid w:val="0024004B"/>
    <w:rsid w:val="00244B47"/>
    <w:rsid w:val="002450A6"/>
    <w:rsid w:val="00246D65"/>
    <w:rsid w:val="00252D9C"/>
    <w:rsid w:val="00253759"/>
    <w:rsid w:val="00253BAC"/>
    <w:rsid w:val="00254837"/>
    <w:rsid w:val="00260792"/>
    <w:rsid w:val="00271015"/>
    <w:rsid w:val="00271BA1"/>
    <w:rsid w:val="0027212A"/>
    <w:rsid w:val="00275EA9"/>
    <w:rsid w:val="002762FA"/>
    <w:rsid w:val="00276815"/>
    <w:rsid w:val="00277505"/>
    <w:rsid w:val="00286C31"/>
    <w:rsid w:val="00292742"/>
    <w:rsid w:val="0029458F"/>
    <w:rsid w:val="00295FE4"/>
    <w:rsid w:val="002A0BC0"/>
    <w:rsid w:val="002A104C"/>
    <w:rsid w:val="002A3A23"/>
    <w:rsid w:val="002A4121"/>
    <w:rsid w:val="002A4960"/>
    <w:rsid w:val="002B0A75"/>
    <w:rsid w:val="002B1AE6"/>
    <w:rsid w:val="002B2DE8"/>
    <w:rsid w:val="002B30F8"/>
    <w:rsid w:val="002B5596"/>
    <w:rsid w:val="002B76E2"/>
    <w:rsid w:val="002C095D"/>
    <w:rsid w:val="002C212F"/>
    <w:rsid w:val="002C25F2"/>
    <w:rsid w:val="002C2A71"/>
    <w:rsid w:val="002C4D89"/>
    <w:rsid w:val="002D4543"/>
    <w:rsid w:val="002E3153"/>
    <w:rsid w:val="002E72CA"/>
    <w:rsid w:val="002F0DC9"/>
    <w:rsid w:val="002F1599"/>
    <w:rsid w:val="002F56B1"/>
    <w:rsid w:val="00300AD6"/>
    <w:rsid w:val="00300B03"/>
    <w:rsid w:val="00301568"/>
    <w:rsid w:val="003017DD"/>
    <w:rsid w:val="0030238A"/>
    <w:rsid w:val="0030371B"/>
    <w:rsid w:val="00304A8E"/>
    <w:rsid w:val="003112BE"/>
    <w:rsid w:val="00312202"/>
    <w:rsid w:val="00312DAE"/>
    <w:rsid w:val="00313D08"/>
    <w:rsid w:val="0031574F"/>
    <w:rsid w:val="00317C6C"/>
    <w:rsid w:val="00322588"/>
    <w:rsid w:val="003258C2"/>
    <w:rsid w:val="00326A51"/>
    <w:rsid w:val="00326E79"/>
    <w:rsid w:val="00330E48"/>
    <w:rsid w:val="00331E92"/>
    <w:rsid w:val="0033518A"/>
    <w:rsid w:val="00335F0D"/>
    <w:rsid w:val="003367EF"/>
    <w:rsid w:val="00337573"/>
    <w:rsid w:val="00341A1D"/>
    <w:rsid w:val="00341AE4"/>
    <w:rsid w:val="00345E62"/>
    <w:rsid w:val="00351A3D"/>
    <w:rsid w:val="00353B0E"/>
    <w:rsid w:val="003547BA"/>
    <w:rsid w:val="003565D5"/>
    <w:rsid w:val="0036022B"/>
    <w:rsid w:val="00360931"/>
    <w:rsid w:val="00361432"/>
    <w:rsid w:val="0036553B"/>
    <w:rsid w:val="00367CA2"/>
    <w:rsid w:val="003719F2"/>
    <w:rsid w:val="00374B9A"/>
    <w:rsid w:val="003753BA"/>
    <w:rsid w:val="00383CB2"/>
    <w:rsid w:val="00384B15"/>
    <w:rsid w:val="0038695A"/>
    <w:rsid w:val="003872CF"/>
    <w:rsid w:val="00391A83"/>
    <w:rsid w:val="0039782C"/>
    <w:rsid w:val="003A2894"/>
    <w:rsid w:val="003A3020"/>
    <w:rsid w:val="003A30B8"/>
    <w:rsid w:val="003A43C7"/>
    <w:rsid w:val="003A545F"/>
    <w:rsid w:val="003A55E9"/>
    <w:rsid w:val="003A5B4A"/>
    <w:rsid w:val="003B02AE"/>
    <w:rsid w:val="003B168D"/>
    <w:rsid w:val="003B23C5"/>
    <w:rsid w:val="003B2A75"/>
    <w:rsid w:val="003B6124"/>
    <w:rsid w:val="003B63D3"/>
    <w:rsid w:val="003B7F5A"/>
    <w:rsid w:val="003C07BF"/>
    <w:rsid w:val="003C1F09"/>
    <w:rsid w:val="003C2FB5"/>
    <w:rsid w:val="003C4C1F"/>
    <w:rsid w:val="003C7AAE"/>
    <w:rsid w:val="003D2AFA"/>
    <w:rsid w:val="003D333C"/>
    <w:rsid w:val="003D4AC4"/>
    <w:rsid w:val="003D547C"/>
    <w:rsid w:val="003D63B7"/>
    <w:rsid w:val="003E2DD3"/>
    <w:rsid w:val="003E468B"/>
    <w:rsid w:val="003E48E3"/>
    <w:rsid w:val="003E4DA4"/>
    <w:rsid w:val="003E4E4A"/>
    <w:rsid w:val="003E563F"/>
    <w:rsid w:val="003E7800"/>
    <w:rsid w:val="003F187B"/>
    <w:rsid w:val="003F3228"/>
    <w:rsid w:val="003F4C9F"/>
    <w:rsid w:val="003F5C8C"/>
    <w:rsid w:val="003F7854"/>
    <w:rsid w:val="004049FE"/>
    <w:rsid w:val="0041028A"/>
    <w:rsid w:val="00412A66"/>
    <w:rsid w:val="004162D6"/>
    <w:rsid w:val="00417203"/>
    <w:rsid w:val="00420D87"/>
    <w:rsid w:val="00422B80"/>
    <w:rsid w:val="00422D8A"/>
    <w:rsid w:val="004252EC"/>
    <w:rsid w:val="004257DA"/>
    <w:rsid w:val="00426F97"/>
    <w:rsid w:val="00433205"/>
    <w:rsid w:val="0043369A"/>
    <w:rsid w:val="0043431C"/>
    <w:rsid w:val="0043703F"/>
    <w:rsid w:val="00442649"/>
    <w:rsid w:val="00442CC5"/>
    <w:rsid w:val="0044457E"/>
    <w:rsid w:val="0044480A"/>
    <w:rsid w:val="004465BD"/>
    <w:rsid w:val="004471BD"/>
    <w:rsid w:val="00447ECA"/>
    <w:rsid w:val="00452168"/>
    <w:rsid w:val="00452A1D"/>
    <w:rsid w:val="00452DD5"/>
    <w:rsid w:val="00456F10"/>
    <w:rsid w:val="00457BA2"/>
    <w:rsid w:val="0046682C"/>
    <w:rsid w:val="00466ADA"/>
    <w:rsid w:val="00466D45"/>
    <w:rsid w:val="004675B8"/>
    <w:rsid w:val="00475722"/>
    <w:rsid w:val="00476245"/>
    <w:rsid w:val="004778AD"/>
    <w:rsid w:val="004806BC"/>
    <w:rsid w:val="00481765"/>
    <w:rsid w:val="00483035"/>
    <w:rsid w:val="00484BE2"/>
    <w:rsid w:val="00485940"/>
    <w:rsid w:val="00494113"/>
    <w:rsid w:val="004A2484"/>
    <w:rsid w:val="004A5A85"/>
    <w:rsid w:val="004A71D1"/>
    <w:rsid w:val="004B40E3"/>
    <w:rsid w:val="004B5640"/>
    <w:rsid w:val="004B7412"/>
    <w:rsid w:val="004C08A9"/>
    <w:rsid w:val="004C1BD7"/>
    <w:rsid w:val="004C31FE"/>
    <w:rsid w:val="004C691D"/>
    <w:rsid w:val="004C6C07"/>
    <w:rsid w:val="004D5A1F"/>
    <w:rsid w:val="004E59DC"/>
    <w:rsid w:val="004E692D"/>
    <w:rsid w:val="004F10A5"/>
    <w:rsid w:val="004F13D2"/>
    <w:rsid w:val="004F2275"/>
    <w:rsid w:val="00501554"/>
    <w:rsid w:val="00503567"/>
    <w:rsid w:val="00504CD2"/>
    <w:rsid w:val="0050750D"/>
    <w:rsid w:val="005129C7"/>
    <w:rsid w:val="005144DC"/>
    <w:rsid w:val="00514CD7"/>
    <w:rsid w:val="00523C50"/>
    <w:rsid w:val="00527055"/>
    <w:rsid w:val="00527057"/>
    <w:rsid w:val="00527121"/>
    <w:rsid w:val="00531497"/>
    <w:rsid w:val="005319B2"/>
    <w:rsid w:val="00532402"/>
    <w:rsid w:val="00532C74"/>
    <w:rsid w:val="00534E2E"/>
    <w:rsid w:val="00536D2D"/>
    <w:rsid w:val="00541FB2"/>
    <w:rsid w:val="00543A42"/>
    <w:rsid w:val="00544552"/>
    <w:rsid w:val="0054574C"/>
    <w:rsid w:val="0055427C"/>
    <w:rsid w:val="00554AEF"/>
    <w:rsid w:val="0055577E"/>
    <w:rsid w:val="00555CF0"/>
    <w:rsid w:val="00556059"/>
    <w:rsid w:val="00556669"/>
    <w:rsid w:val="00562FE6"/>
    <w:rsid w:val="00567623"/>
    <w:rsid w:val="0057056D"/>
    <w:rsid w:val="00570B27"/>
    <w:rsid w:val="00570B4E"/>
    <w:rsid w:val="005712EA"/>
    <w:rsid w:val="00571884"/>
    <w:rsid w:val="00574991"/>
    <w:rsid w:val="00577C4D"/>
    <w:rsid w:val="00581932"/>
    <w:rsid w:val="00582869"/>
    <w:rsid w:val="0058356A"/>
    <w:rsid w:val="00586141"/>
    <w:rsid w:val="00586AB3"/>
    <w:rsid w:val="005875AD"/>
    <w:rsid w:val="00594524"/>
    <w:rsid w:val="005963BB"/>
    <w:rsid w:val="005A3173"/>
    <w:rsid w:val="005A3223"/>
    <w:rsid w:val="005A33AA"/>
    <w:rsid w:val="005A3DA3"/>
    <w:rsid w:val="005A52C4"/>
    <w:rsid w:val="005A6346"/>
    <w:rsid w:val="005B2FA2"/>
    <w:rsid w:val="005B424F"/>
    <w:rsid w:val="005B5686"/>
    <w:rsid w:val="005B7395"/>
    <w:rsid w:val="005C1765"/>
    <w:rsid w:val="005C3F87"/>
    <w:rsid w:val="005C78DA"/>
    <w:rsid w:val="005D03AB"/>
    <w:rsid w:val="005D0418"/>
    <w:rsid w:val="005D3661"/>
    <w:rsid w:val="005D5017"/>
    <w:rsid w:val="005D5604"/>
    <w:rsid w:val="005D56B2"/>
    <w:rsid w:val="005D7BAE"/>
    <w:rsid w:val="005D7D03"/>
    <w:rsid w:val="005E1333"/>
    <w:rsid w:val="005E1E97"/>
    <w:rsid w:val="005E25C5"/>
    <w:rsid w:val="005F2934"/>
    <w:rsid w:val="005F3F56"/>
    <w:rsid w:val="00601A91"/>
    <w:rsid w:val="00602BA3"/>
    <w:rsid w:val="00602E6A"/>
    <w:rsid w:val="00603042"/>
    <w:rsid w:val="006033FE"/>
    <w:rsid w:val="00607B61"/>
    <w:rsid w:val="006111A0"/>
    <w:rsid w:val="00612BFD"/>
    <w:rsid w:val="00612E34"/>
    <w:rsid w:val="00614159"/>
    <w:rsid w:val="00617C00"/>
    <w:rsid w:val="00624F9A"/>
    <w:rsid w:val="006263BF"/>
    <w:rsid w:val="00626E4C"/>
    <w:rsid w:val="0062748A"/>
    <w:rsid w:val="006279CE"/>
    <w:rsid w:val="00630A2C"/>
    <w:rsid w:val="00634F06"/>
    <w:rsid w:val="0063682E"/>
    <w:rsid w:val="00641CF2"/>
    <w:rsid w:val="00642714"/>
    <w:rsid w:val="006436CD"/>
    <w:rsid w:val="00644DA1"/>
    <w:rsid w:val="00646A23"/>
    <w:rsid w:val="00647E82"/>
    <w:rsid w:val="00651169"/>
    <w:rsid w:val="00653D69"/>
    <w:rsid w:val="006608EC"/>
    <w:rsid w:val="006670BE"/>
    <w:rsid w:val="00670A76"/>
    <w:rsid w:val="006711AA"/>
    <w:rsid w:val="00672955"/>
    <w:rsid w:val="00672B57"/>
    <w:rsid w:val="00675622"/>
    <w:rsid w:val="00675E4A"/>
    <w:rsid w:val="006764B5"/>
    <w:rsid w:val="0067747D"/>
    <w:rsid w:val="00681D83"/>
    <w:rsid w:val="006906DB"/>
    <w:rsid w:val="00691E6C"/>
    <w:rsid w:val="00696129"/>
    <w:rsid w:val="00697CF2"/>
    <w:rsid w:val="006A12A5"/>
    <w:rsid w:val="006B0D94"/>
    <w:rsid w:val="006B27B6"/>
    <w:rsid w:val="006B485D"/>
    <w:rsid w:val="006C032B"/>
    <w:rsid w:val="006C146B"/>
    <w:rsid w:val="006C1540"/>
    <w:rsid w:val="006C3250"/>
    <w:rsid w:val="006C708E"/>
    <w:rsid w:val="006D02D1"/>
    <w:rsid w:val="006D091D"/>
    <w:rsid w:val="006D6493"/>
    <w:rsid w:val="006D6EC7"/>
    <w:rsid w:val="006D7BF8"/>
    <w:rsid w:val="006E266A"/>
    <w:rsid w:val="006E4A47"/>
    <w:rsid w:val="006E64C1"/>
    <w:rsid w:val="006F0481"/>
    <w:rsid w:val="006F168C"/>
    <w:rsid w:val="006F2D8D"/>
    <w:rsid w:val="006F48CD"/>
    <w:rsid w:val="006F4BFE"/>
    <w:rsid w:val="006F5125"/>
    <w:rsid w:val="006F5176"/>
    <w:rsid w:val="00701869"/>
    <w:rsid w:val="007021D3"/>
    <w:rsid w:val="00702B6F"/>
    <w:rsid w:val="0071340B"/>
    <w:rsid w:val="00716760"/>
    <w:rsid w:val="007174BB"/>
    <w:rsid w:val="0072025D"/>
    <w:rsid w:val="00725BF0"/>
    <w:rsid w:val="007353D3"/>
    <w:rsid w:val="00737A40"/>
    <w:rsid w:val="00740BD5"/>
    <w:rsid w:val="00755189"/>
    <w:rsid w:val="007574A9"/>
    <w:rsid w:val="0076420C"/>
    <w:rsid w:val="00765134"/>
    <w:rsid w:val="00767C53"/>
    <w:rsid w:val="007719D9"/>
    <w:rsid w:val="007748AD"/>
    <w:rsid w:val="007753C2"/>
    <w:rsid w:val="00775AC6"/>
    <w:rsid w:val="007771BF"/>
    <w:rsid w:val="007771CF"/>
    <w:rsid w:val="00782CBC"/>
    <w:rsid w:val="00783638"/>
    <w:rsid w:val="007838B8"/>
    <w:rsid w:val="00783B8A"/>
    <w:rsid w:val="00795EC0"/>
    <w:rsid w:val="00797FD3"/>
    <w:rsid w:val="007A54E8"/>
    <w:rsid w:val="007A6453"/>
    <w:rsid w:val="007A7530"/>
    <w:rsid w:val="007A7F8D"/>
    <w:rsid w:val="007B2B98"/>
    <w:rsid w:val="007B32F6"/>
    <w:rsid w:val="007B416E"/>
    <w:rsid w:val="007C0B1E"/>
    <w:rsid w:val="007C0F57"/>
    <w:rsid w:val="007C34B2"/>
    <w:rsid w:val="007C40B6"/>
    <w:rsid w:val="007C729F"/>
    <w:rsid w:val="007D2FD1"/>
    <w:rsid w:val="007D60F5"/>
    <w:rsid w:val="007D6136"/>
    <w:rsid w:val="007D64B1"/>
    <w:rsid w:val="007E1497"/>
    <w:rsid w:val="007E1D28"/>
    <w:rsid w:val="007E409C"/>
    <w:rsid w:val="007E4A9D"/>
    <w:rsid w:val="007F2021"/>
    <w:rsid w:val="007F2641"/>
    <w:rsid w:val="007F40D4"/>
    <w:rsid w:val="007F52E6"/>
    <w:rsid w:val="007F70E9"/>
    <w:rsid w:val="007F7C36"/>
    <w:rsid w:val="00804B2D"/>
    <w:rsid w:val="00805B3D"/>
    <w:rsid w:val="00806796"/>
    <w:rsid w:val="00807C2A"/>
    <w:rsid w:val="00810F8D"/>
    <w:rsid w:val="008151D6"/>
    <w:rsid w:val="00816635"/>
    <w:rsid w:val="008177B5"/>
    <w:rsid w:val="008235F8"/>
    <w:rsid w:val="00826F6D"/>
    <w:rsid w:val="008306F3"/>
    <w:rsid w:val="008366F4"/>
    <w:rsid w:val="00840A0C"/>
    <w:rsid w:val="00842146"/>
    <w:rsid w:val="008431F8"/>
    <w:rsid w:val="008522DE"/>
    <w:rsid w:val="00856DDD"/>
    <w:rsid w:val="008575E5"/>
    <w:rsid w:val="00857E1C"/>
    <w:rsid w:val="00860E5A"/>
    <w:rsid w:val="00861240"/>
    <w:rsid w:val="00862483"/>
    <w:rsid w:val="00863E68"/>
    <w:rsid w:val="00864E95"/>
    <w:rsid w:val="008707FC"/>
    <w:rsid w:val="00870EFA"/>
    <w:rsid w:val="00870F2E"/>
    <w:rsid w:val="008745F8"/>
    <w:rsid w:val="008755E7"/>
    <w:rsid w:val="00875D05"/>
    <w:rsid w:val="008766BF"/>
    <w:rsid w:val="008818F9"/>
    <w:rsid w:val="00882085"/>
    <w:rsid w:val="00883188"/>
    <w:rsid w:val="0088435E"/>
    <w:rsid w:val="00894124"/>
    <w:rsid w:val="00895B01"/>
    <w:rsid w:val="00897D58"/>
    <w:rsid w:val="00897F22"/>
    <w:rsid w:val="008A1956"/>
    <w:rsid w:val="008A4937"/>
    <w:rsid w:val="008A50F1"/>
    <w:rsid w:val="008A66A8"/>
    <w:rsid w:val="008B0214"/>
    <w:rsid w:val="008B3B11"/>
    <w:rsid w:val="008B7868"/>
    <w:rsid w:val="008C06ED"/>
    <w:rsid w:val="008C2B71"/>
    <w:rsid w:val="008C4CE4"/>
    <w:rsid w:val="008C74B4"/>
    <w:rsid w:val="008D0C1A"/>
    <w:rsid w:val="008D16E6"/>
    <w:rsid w:val="008D1B5C"/>
    <w:rsid w:val="008D3C82"/>
    <w:rsid w:val="008D401A"/>
    <w:rsid w:val="008D447E"/>
    <w:rsid w:val="008D7A41"/>
    <w:rsid w:val="008E3680"/>
    <w:rsid w:val="008E5870"/>
    <w:rsid w:val="008F1434"/>
    <w:rsid w:val="008F4A1D"/>
    <w:rsid w:val="008F57AE"/>
    <w:rsid w:val="008F7355"/>
    <w:rsid w:val="00901405"/>
    <w:rsid w:val="009027DB"/>
    <w:rsid w:val="00904393"/>
    <w:rsid w:val="009050D3"/>
    <w:rsid w:val="009067B7"/>
    <w:rsid w:val="00906B87"/>
    <w:rsid w:val="00910D29"/>
    <w:rsid w:val="0091170C"/>
    <w:rsid w:val="0091684D"/>
    <w:rsid w:val="00923E3B"/>
    <w:rsid w:val="00924818"/>
    <w:rsid w:val="00924C0A"/>
    <w:rsid w:val="00925303"/>
    <w:rsid w:val="00927744"/>
    <w:rsid w:val="00930937"/>
    <w:rsid w:val="00932DBF"/>
    <w:rsid w:val="00933E6C"/>
    <w:rsid w:val="00936063"/>
    <w:rsid w:val="00937276"/>
    <w:rsid w:val="00937958"/>
    <w:rsid w:val="00940F41"/>
    <w:rsid w:val="00942160"/>
    <w:rsid w:val="00946E2C"/>
    <w:rsid w:val="0095146F"/>
    <w:rsid w:val="00952A13"/>
    <w:rsid w:val="00952A20"/>
    <w:rsid w:val="0095474B"/>
    <w:rsid w:val="00956B39"/>
    <w:rsid w:val="00957787"/>
    <w:rsid w:val="009602C5"/>
    <w:rsid w:val="0096176E"/>
    <w:rsid w:val="00962223"/>
    <w:rsid w:val="00962D69"/>
    <w:rsid w:val="00966D0D"/>
    <w:rsid w:val="00972FD4"/>
    <w:rsid w:val="009747D2"/>
    <w:rsid w:val="00974C21"/>
    <w:rsid w:val="00980A90"/>
    <w:rsid w:val="0098268C"/>
    <w:rsid w:val="009852A1"/>
    <w:rsid w:val="00986B32"/>
    <w:rsid w:val="00986EA2"/>
    <w:rsid w:val="00987639"/>
    <w:rsid w:val="00987F08"/>
    <w:rsid w:val="009910AF"/>
    <w:rsid w:val="00992490"/>
    <w:rsid w:val="009928D6"/>
    <w:rsid w:val="009A0ADF"/>
    <w:rsid w:val="009A372C"/>
    <w:rsid w:val="009A52BA"/>
    <w:rsid w:val="009A5CD9"/>
    <w:rsid w:val="009B01DF"/>
    <w:rsid w:val="009B0F67"/>
    <w:rsid w:val="009B66F9"/>
    <w:rsid w:val="009C22B1"/>
    <w:rsid w:val="009C2341"/>
    <w:rsid w:val="009C2515"/>
    <w:rsid w:val="009C2663"/>
    <w:rsid w:val="009C4E9A"/>
    <w:rsid w:val="009C5095"/>
    <w:rsid w:val="009C703C"/>
    <w:rsid w:val="009D3CAA"/>
    <w:rsid w:val="009D41B3"/>
    <w:rsid w:val="009D4700"/>
    <w:rsid w:val="009D50CC"/>
    <w:rsid w:val="009D6697"/>
    <w:rsid w:val="009E01D2"/>
    <w:rsid w:val="009E612C"/>
    <w:rsid w:val="009E64A0"/>
    <w:rsid w:val="009E7A11"/>
    <w:rsid w:val="009F0DFD"/>
    <w:rsid w:val="009F19A8"/>
    <w:rsid w:val="009F4E46"/>
    <w:rsid w:val="009F5B65"/>
    <w:rsid w:val="009F5F2E"/>
    <w:rsid w:val="00A00050"/>
    <w:rsid w:val="00A00A62"/>
    <w:rsid w:val="00A05C26"/>
    <w:rsid w:val="00A06225"/>
    <w:rsid w:val="00A11377"/>
    <w:rsid w:val="00A128E6"/>
    <w:rsid w:val="00A1537A"/>
    <w:rsid w:val="00A20873"/>
    <w:rsid w:val="00A22150"/>
    <w:rsid w:val="00A22C6D"/>
    <w:rsid w:val="00A23C06"/>
    <w:rsid w:val="00A23CC0"/>
    <w:rsid w:val="00A252F9"/>
    <w:rsid w:val="00A30F63"/>
    <w:rsid w:val="00A34E6C"/>
    <w:rsid w:val="00A35E54"/>
    <w:rsid w:val="00A3799B"/>
    <w:rsid w:val="00A37C8D"/>
    <w:rsid w:val="00A406DE"/>
    <w:rsid w:val="00A464AA"/>
    <w:rsid w:val="00A5031E"/>
    <w:rsid w:val="00A50B42"/>
    <w:rsid w:val="00A5273B"/>
    <w:rsid w:val="00A537DD"/>
    <w:rsid w:val="00A53A9D"/>
    <w:rsid w:val="00A55FEE"/>
    <w:rsid w:val="00A56BBA"/>
    <w:rsid w:val="00A62C1A"/>
    <w:rsid w:val="00A6426D"/>
    <w:rsid w:val="00A65124"/>
    <w:rsid w:val="00A65B41"/>
    <w:rsid w:val="00A665C1"/>
    <w:rsid w:val="00A70622"/>
    <w:rsid w:val="00A70977"/>
    <w:rsid w:val="00A709FA"/>
    <w:rsid w:val="00A72CBC"/>
    <w:rsid w:val="00A77613"/>
    <w:rsid w:val="00A77AE5"/>
    <w:rsid w:val="00A830CE"/>
    <w:rsid w:val="00A8390C"/>
    <w:rsid w:val="00A928BD"/>
    <w:rsid w:val="00AA15B4"/>
    <w:rsid w:val="00AA1B27"/>
    <w:rsid w:val="00AA2ED3"/>
    <w:rsid w:val="00AA4D1C"/>
    <w:rsid w:val="00AB40DE"/>
    <w:rsid w:val="00AC1394"/>
    <w:rsid w:val="00AC193C"/>
    <w:rsid w:val="00AC5206"/>
    <w:rsid w:val="00AC7B42"/>
    <w:rsid w:val="00AD0567"/>
    <w:rsid w:val="00AD187A"/>
    <w:rsid w:val="00AE11A5"/>
    <w:rsid w:val="00AE13E2"/>
    <w:rsid w:val="00AE22D3"/>
    <w:rsid w:val="00AE276F"/>
    <w:rsid w:val="00AE5354"/>
    <w:rsid w:val="00AE6376"/>
    <w:rsid w:val="00AF0F5A"/>
    <w:rsid w:val="00AF21D8"/>
    <w:rsid w:val="00AF496B"/>
    <w:rsid w:val="00AF62DF"/>
    <w:rsid w:val="00AF68CC"/>
    <w:rsid w:val="00AF7412"/>
    <w:rsid w:val="00AF74AA"/>
    <w:rsid w:val="00B01C1C"/>
    <w:rsid w:val="00B0209B"/>
    <w:rsid w:val="00B0302B"/>
    <w:rsid w:val="00B03725"/>
    <w:rsid w:val="00B1059E"/>
    <w:rsid w:val="00B10BFE"/>
    <w:rsid w:val="00B11CFA"/>
    <w:rsid w:val="00B13178"/>
    <w:rsid w:val="00B15B11"/>
    <w:rsid w:val="00B15EF7"/>
    <w:rsid w:val="00B176C8"/>
    <w:rsid w:val="00B20209"/>
    <w:rsid w:val="00B205AA"/>
    <w:rsid w:val="00B20F27"/>
    <w:rsid w:val="00B21551"/>
    <w:rsid w:val="00B22E84"/>
    <w:rsid w:val="00B23B66"/>
    <w:rsid w:val="00B24523"/>
    <w:rsid w:val="00B247E9"/>
    <w:rsid w:val="00B25F75"/>
    <w:rsid w:val="00B2642F"/>
    <w:rsid w:val="00B26B3F"/>
    <w:rsid w:val="00B31545"/>
    <w:rsid w:val="00B3331B"/>
    <w:rsid w:val="00B33A7F"/>
    <w:rsid w:val="00B35A66"/>
    <w:rsid w:val="00B363A7"/>
    <w:rsid w:val="00B43E90"/>
    <w:rsid w:val="00B4524B"/>
    <w:rsid w:val="00B467DC"/>
    <w:rsid w:val="00B528F4"/>
    <w:rsid w:val="00B53AC1"/>
    <w:rsid w:val="00B56076"/>
    <w:rsid w:val="00B56118"/>
    <w:rsid w:val="00B56A17"/>
    <w:rsid w:val="00B579B2"/>
    <w:rsid w:val="00B6079B"/>
    <w:rsid w:val="00B635DA"/>
    <w:rsid w:val="00B6773F"/>
    <w:rsid w:val="00B7064D"/>
    <w:rsid w:val="00B73C93"/>
    <w:rsid w:val="00B74BF9"/>
    <w:rsid w:val="00B801BA"/>
    <w:rsid w:val="00B80229"/>
    <w:rsid w:val="00B8155D"/>
    <w:rsid w:val="00B82071"/>
    <w:rsid w:val="00B836A9"/>
    <w:rsid w:val="00B84D5C"/>
    <w:rsid w:val="00B857E5"/>
    <w:rsid w:val="00B85BB2"/>
    <w:rsid w:val="00B87A1D"/>
    <w:rsid w:val="00B97EAD"/>
    <w:rsid w:val="00BA5507"/>
    <w:rsid w:val="00BB0462"/>
    <w:rsid w:val="00BB04BF"/>
    <w:rsid w:val="00BB1682"/>
    <w:rsid w:val="00BB1D7F"/>
    <w:rsid w:val="00BB2452"/>
    <w:rsid w:val="00BB2B30"/>
    <w:rsid w:val="00BB69F5"/>
    <w:rsid w:val="00BB7EC3"/>
    <w:rsid w:val="00BC37C4"/>
    <w:rsid w:val="00BC4B9A"/>
    <w:rsid w:val="00BD1639"/>
    <w:rsid w:val="00BD2B94"/>
    <w:rsid w:val="00BD4CE5"/>
    <w:rsid w:val="00BD4CEE"/>
    <w:rsid w:val="00BD513B"/>
    <w:rsid w:val="00BD6806"/>
    <w:rsid w:val="00BD784C"/>
    <w:rsid w:val="00BD7ECB"/>
    <w:rsid w:val="00BE6112"/>
    <w:rsid w:val="00BF26CE"/>
    <w:rsid w:val="00BF2F57"/>
    <w:rsid w:val="00BF4CB6"/>
    <w:rsid w:val="00BF67C6"/>
    <w:rsid w:val="00BF69F5"/>
    <w:rsid w:val="00C00DA7"/>
    <w:rsid w:val="00C03BF7"/>
    <w:rsid w:val="00C12768"/>
    <w:rsid w:val="00C13404"/>
    <w:rsid w:val="00C149FD"/>
    <w:rsid w:val="00C15E23"/>
    <w:rsid w:val="00C20FEC"/>
    <w:rsid w:val="00C22F06"/>
    <w:rsid w:val="00C24CFE"/>
    <w:rsid w:val="00C27B58"/>
    <w:rsid w:val="00C31999"/>
    <w:rsid w:val="00C33EEA"/>
    <w:rsid w:val="00C35996"/>
    <w:rsid w:val="00C364BF"/>
    <w:rsid w:val="00C40A09"/>
    <w:rsid w:val="00C412AB"/>
    <w:rsid w:val="00C41511"/>
    <w:rsid w:val="00C42080"/>
    <w:rsid w:val="00C43661"/>
    <w:rsid w:val="00C4572E"/>
    <w:rsid w:val="00C4692F"/>
    <w:rsid w:val="00C4747E"/>
    <w:rsid w:val="00C4794B"/>
    <w:rsid w:val="00C5097A"/>
    <w:rsid w:val="00C52726"/>
    <w:rsid w:val="00C5342C"/>
    <w:rsid w:val="00C56710"/>
    <w:rsid w:val="00C60286"/>
    <w:rsid w:val="00C603D4"/>
    <w:rsid w:val="00C6256A"/>
    <w:rsid w:val="00C62A10"/>
    <w:rsid w:val="00C64844"/>
    <w:rsid w:val="00C65CA5"/>
    <w:rsid w:val="00C67FAB"/>
    <w:rsid w:val="00C7353D"/>
    <w:rsid w:val="00C73B90"/>
    <w:rsid w:val="00C77891"/>
    <w:rsid w:val="00C87E7E"/>
    <w:rsid w:val="00C90152"/>
    <w:rsid w:val="00C91449"/>
    <w:rsid w:val="00C92D10"/>
    <w:rsid w:val="00C9368E"/>
    <w:rsid w:val="00C96CB0"/>
    <w:rsid w:val="00C96EC8"/>
    <w:rsid w:val="00CA44A1"/>
    <w:rsid w:val="00CA5313"/>
    <w:rsid w:val="00CB1BFA"/>
    <w:rsid w:val="00CC1396"/>
    <w:rsid w:val="00CC4C29"/>
    <w:rsid w:val="00CC6735"/>
    <w:rsid w:val="00CD00A8"/>
    <w:rsid w:val="00CD22C3"/>
    <w:rsid w:val="00CE10C4"/>
    <w:rsid w:val="00CE27B5"/>
    <w:rsid w:val="00CE5995"/>
    <w:rsid w:val="00CF1B22"/>
    <w:rsid w:val="00CF2ED3"/>
    <w:rsid w:val="00CF5838"/>
    <w:rsid w:val="00D01799"/>
    <w:rsid w:val="00D0321E"/>
    <w:rsid w:val="00D06CE8"/>
    <w:rsid w:val="00D1190F"/>
    <w:rsid w:val="00D1455A"/>
    <w:rsid w:val="00D16BD7"/>
    <w:rsid w:val="00D17A51"/>
    <w:rsid w:val="00D265CA"/>
    <w:rsid w:val="00D31150"/>
    <w:rsid w:val="00D3138B"/>
    <w:rsid w:val="00D31960"/>
    <w:rsid w:val="00D3200A"/>
    <w:rsid w:val="00D3280C"/>
    <w:rsid w:val="00D34043"/>
    <w:rsid w:val="00D3406A"/>
    <w:rsid w:val="00D3464E"/>
    <w:rsid w:val="00D4046A"/>
    <w:rsid w:val="00D4128A"/>
    <w:rsid w:val="00D41811"/>
    <w:rsid w:val="00D439EE"/>
    <w:rsid w:val="00D4572C"/>
    <w:rsid w:val="00D469B2"/>
    <w:rsid w:val="00D5313B"/>
    <w:rsid w:val="00D606B0"/>
    <w:rsid w:val="00D72921"/>
    <w:rsid w:val="00D741EB"/>
    <w:rsid w:val="00D77CBD"/>
    <w:rsid w:val="00D80FC7"/>
    <w:rsid w:val="00D83605"/>
    <w:rsid w:val="00D83F61"/>
    <w:rsid w:val="00D84934"/>
    <w:rsid w:val="00D867A2"/>
    <w:rsid w:val="00D90E7F"/>
    <w:rsid w:val="00D91271"/>
    <w:rsid w:val="00D95B97"/>
    <w:rsid w:val="00DA0BFC"/>
    <w:rsid w:val="00DA0F9A"/>
    <w:rsid w:val="00DA2CB5"/>
    <w:rsid w:val="00DA4BAC"/>
    <w:rsid w:val="00DA5DAC"/>
    <w:rsid w:val="00DD129C"/>
    <w:rsid w:val="00DD134E"/>
    <w:rsid w:val="00DD2454"/>
    <w:rsid w:val="00DD4C02"/>
    <w:rsid w:val="00DD7A9F"/>
    <w:rsid w:val="00DE6D27"/>
    <w:rsid w:val="00DE73B8"/>
    <w:rsid w:val="00DF217D"/>
    <w:rsid w:val="00DF26A7"/>
    <w:rsid w:val="00DF5417"/>
    <w:rsid w:val="00DF5BB9"/>
    <w:rsid w:val="00DF6E96"/>
    <w:rsid w:val="00E01590"/>
    <w:rsid w:val="00E0362C"/>
    <w:rsid w:val="00E0491C"/>
    <w:rsid w:val="00E04E51"/>
    <w:rsid w:val="00E15627"/>
    <w:rsid w:val="00E15BD2"/>
    <w:rsid w:val="00E164B3"/>
    <w:rsid w:val="00E16910"/>
    <w:rsid w:val="00E20439"/>
    <w:rsid w:val="00E267D4"/>
    <w:rsid w:val="00E27128"/>
    <w:rsid w:val="00E33C9C"/>
    <w:rsid w:val="00E36A52"/>
    <w:rsid w:val="00E42BDB"/>
    <w:rsid w:val="00E46068"/>
    <w:rsid w:val="00E52011"/>
    <w:rsid w:val="00E572F3"/>
    <w:rsid w:val="00E573C0"/>
    <w:rsid w:val="00E57EEB"/>
    <w:rsid w:val="00E60869"/>
    <w:rsid w:val="00E62715"/>
    <w:rsid w:val="00E627EE"/>
    <w:rsid w:val="00E62D94"/>
    <w:rsid w:val="00E648F5"/>
    <w:rsid w:val="00E65E54"/>
    <w:rsid w:val="00E66EAE"/>
    <w:rsid w:val="00E66FF9"/>
    <w:rsid w:val="00E74803"/>
    <w:rsid w:val="00E80155"/>
    <w:rsid w:val="00E81F28"/>
    <w:rsid w:val="00E83A36"/>
    <w:rsid w:val="00E83E25"/>
    <w:rsid w:val="00E848C0"/>
    <w:rsid w:val="00E87019"/>
    <w:rsid w:val="00E87A73"/>
    <w:rsid w:val="00E91412"/>
    <w:rsid w:val="00E91A72"/>
    <w:rsid w:val="00E91B96"/>
    <w:rsid w:val="00E941A1"/>
    <w:rsid w:val="00E95CE3"/>
    <w:rsid w:val="00E9638B"/>
    <w:rsid w:val="00E96E7D"/>
    <w:rsid w:val="00EA10B1"/>
    <w:rsid w:val="00EA1B50"/>
    <w:rsid w:val="00EA2825"/>
    <w:rsid w:val="00EA3454"/>
    <w:rsid w:val="00EA60AA"/>
    <w:rsid w:val="00EB0B63"/>
    <w:rsid w:val="00EB1936"/>
    <w:rsid w:val="00EB1D68"/>
    <w:rsid w:val="00EB4707"/>
    <w:rsid w:val="00EB49A4"/>
    <w:rsid w:val="00EB5088"/>
    <w:rsid w:val="00EB6F36"/>
    <w:rsid w:val="00EC1F06"/>
    <w:rsid w:val="00EC47E3"/>
    <w:rsid w:val="00EC5883"/>
    <w:rsid w:val="00EC6D9C"/>
    <w:rsid w:val="00ED152C"/>
    <w:rsid w:val="00ED1644"/>
    <w:rsid w:val="00ED2593"/>
    <w:rsid w:val="00ED5EE7"/>
    <w:rsid w:val="00ED7D9C"/>
    <w:rsid w:val="00EE0D1D"/>
    <w:rsid w:val="00EE2D14"/>
    <w:rsid w:val="00EE442E"/>
    <w:rsid w:val="00EE5297"/>
    <w:rsid w:val="00EE5E2B"/>
    <w:rsid w:val="00EE697B"/>
    <w:rsid w:val="00EF44A0"/>
    <w:rsid w:val="00EF4FED"/>
    <w:rsid w:val="00EF70C2"/>
    <w:rsid w:val="00F00C8A"/>
    <w:rsid w:val="00F026CD"/>
    <w:rsid w:val="00F03948"/>
    <w:rsid w:val="00F04245"/>
    <w:rsid w:val="00F049D6"/>
    <w:rsid w:val="00F050BD"/>
    <w:rsid w:val="00F05657"/>
    <w:rsid w:val="00F05BAD"/>
    <w:rsid w:val="00F06DC9"/>
    <w:rsid w:val="00F1189D"/>
    <w:rsid w:val="00F118D8"/>
    <w:rsid w:val="00F11C2D"/>
    <w:rsid w:val="00F13A25"/>
    <w:rsid w:val="00F144A9"/>
    <w:rsid w:val="00F146FE"/>
    <w:rsid w:val="00F168F8"/>
    <w:rsid w:val="00F175E5"/>
    <w:rsid w:val="00F17D86"/>
    <w:rsid w:val="00F215B6"/>
    <w:rsid w:val="00F2172D"/>
    <w:rsid w:val="00F23B24"/>
    <w:rsid w:val="00F24BE9"/>
    <w:rsid w:val="00F25578"/>
    <w:rsid w:val="00F258E5"/>
    <w:rsid w:val="00F26CD5"/>
    <w:rsid w:val="00F300BC"/>
    <w:rsid w:val="00F305BC"/>
    <w:rsid w:val="00F30809"/>
    <w:rsid w:val="00F30D9E"/>
    <w:rsid w:val="00F31049"/>
    <w:rsid w:val="00F3239A"/>
    <w:rsid w:val="00F3290A"/>
    <w:rsid w:val="00F3334E"/>
    <w:rsid w:val="00F335DB"/>
    <w:rsid w:val="00F36956"/>
    <w:rsid w:val="00F36CCB"/>
    <w:rsid w:val="00F374E5"/>
    <w:rsid w:val="00F40FFC"/>
    <w:rsid w:val="00F41787"/>
    <w:rsid w:val="00F43AF2"/>
    <w:rsid w:val="00F4519A"/>
    <w:rsid w:val="00F46669"/>
    <w:rsid w:val="00F50A70"/>
    <w:rsid w:val="00F50EC4"/>
    <w:rsid w:val="00F550CF"/>
    <w:rsid w:val="00F552FE"/>
    <w:rsid w:val="00F5634E"/>
    <w:rsid w:val="00F57A6D"/>
    <w:rsid w:val="00F638CC"/>
    <w:rsid w:val="00F64CC1"/>
    <w:rsid w:val="00F72317"/>
    <w:rsid w:val="00F7733A"/>
    <w:rsid w:val="00F80475"/>
    <w:rsid w:val="00F80640"/>
    <w:rsid w:val="00F8201E"/>
    <w:rsid w:val="00F82216"/>
    <w:rsid w:val="00F8247A"/>
    <w:rsid w:val="00F83CA4"/>
    <w:rsid w:val="00F85503"/>
    <w:rsid w:val="00F91C0A"/>
    <w:rsid w:val="00F937DD"/>
    <w:rsid w:val="00F960E0"/>
    <w:rsid w:val="00F9629A"/>
    <w:rsid w:val="00F97EFC"/>
    <w:rsid w:val="00FA3799"/>
    <w:rsid w:val="00FA5883"/>
    <w:rsid w:val="00FA6055"/>
    <w:rsid w:val="00FB1AEF"/>
    <w:rsid w:val="00FB322F"/>
    <w:rsid w:val="00FB442F"/>
    <w:rsid w:val="00FB45EC"/>
    <w:rsid w:val="00FB4875"/>
    <w:rsid w:val="00FB591F"/>
    <w:rsid w:val="00FB7738"/>
    <w:rsid w:val="00FC1929"/>
    <w:rsid w:val="00FC3D32"/>
    <w:rsid w:val="00FC4FA5"/>
    <w:rsid w:val="00FC5B46"/>
    <w:rsid w:val="00FC6412"/>
    <w:rsid w:val="00FC6D83"/>
    <w:rsid w:val="00FD6D8E"/>
    <w:rsid w:val="00FD70A3"/>
    <w:rsid w:val="00FD7809"/>
    <w:rsid w:val="00FE03C5"/>
    <w:rsid w:val="00FE0E94"/>
    <w:rsid w:val="00FE26FB"/>
    <w:rsid w:val="00FE3AE8"/>
    <w:rsid w:val="00FE6871"/>
    <w:rsid w:val="00FF00BD"/>
    <w:rsid w:val="00FF1ED4"/>
    <w:rsid w:val="00FF2801"/>
    <w:rsid w:val="00FF6B0C"/>
    <w:rsid w:val="00FF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62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7"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9D"/>
    <w:rPr>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basedOn w:val="Normal"/>
    <w:next w:val="Normal"/>
    <w:link w:val="Heading2Char"/>
    <w:uiPriority w:val="9"/>
    <w:qFormat/>
    <w:rsid w:val="00F31049"/>
    <w:pPr>
      <w:keepNext/>
      <w:spacing w:after="120"/>
      <w:outlineLvl w:val="1"/>
    </w:pPr>
    <w:rPr>
      <w:rFonts w:asciiTheme="minorHAnsi" w:eastAsiaTheme="majorEastAsia" w:hAnsiTheme="minorHAnsi" w:cstheme="minorHAnsi"/>
      <w:b/>
      <w:i/>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7744"/>
    <w:pPr>
      <w:keepNext/>
      <w:keepLines/>
      <w:spacing w:before="40" w:line="360" w:lineRule="auto"/>
      <w:ind w:left="864" w:hanging="864"/>
      <w:jc w:val="both"/>
      <w:outlineLvl w:val="3"/>
    </w:pPr>
    <w:rPr>
      <w:rFonts w:asciiTheme="majorHAnsi" w:eastAsiaTheme="majorEastAsia" w:hAnsiTheme="majorHAnsi" w:cstheme="majorBidi"/>
      <w:i/>
      <w:iCs/>
      <w:color w:val="365F91" w:themeColor="accent1" w:themeShade="BF"/>
      <w:sz w:val="22"/>
      <w:szCs w:val="20"/>
      <w:lang w:eastAsia="en-US"/>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7744"/>
    <w:pPr>
      <w:keepNext/>
      <w:keepLines/>
      <w:spacing w:before="40" w:line="360" w:lineRule="auto"/>
      <w:ind w:left="1296" w:hanging="1296"/>
      <w:jc w:val="both"/>
      <w:outlineLvl w:val="6"/>
    </w:pPr>
    <w:rPr>
      <w:rFonts w:asciiTheme="majorHAnsi" w:eastAsiaTheme="majorEastAsia" w:hAnsiTheme="majorHAnsi" w:cstheme="majorBidi"/>
      <w:i/>
      <w:iCs/>
      <w:color w:val="243F60" w:themeColor="accent1" w:themeShade="7F"/>
      <w:sz w:val="22"/>
      <w:szCs w:val="20"/>
      <w:lang w:eastAsia="en-US"/>
    </w:rPr>
  </w:style>
  <w:style w:type="paragraph" w:styleId="Heading8">
    <w:name w:val="heading 8"/>
    <w:basedOn w:val="Normal"/>
    <w:next w:val="Normal"/>
    <w:link w:val="Heading8Char"/>
    <w:uiPriority w:val="7"/>
    <w:unhideWhenUsed/>
    <w:qFormat/>
    <w:rsid w:val="003E48E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27744"/>
    <w:pPr>
      <w:keepNext/>
      <w:keepLines/>
      <w:spacing w:before="40" w:line="360"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List Paragraph1,Numbered para,Footnote,Bullet point,List Paragraph11,Recommendation,L,Bullet Point,Bulletr List Paragraph,Content descriptions,FooterText,List Bullet 1,List Paragraph2,List Paragraph21,Listeafsnit1,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List Paragraph1 Char,Numbered para Char,Footnote Char,Bullet point Char,List Paragraph11 Char,Recommendation Char,L Char,Bullet Point Char,Bulletr List Paragraph Char,Content descriptions Char,FooterText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9"/>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9"/>
    <w:rsid w:val="00F31049"/>
    <w:rPr>
      <w:rFonts w:asciiTheme="minorHAnsi" w:eastAsiaTheme="majorEastAsia" w:hAnsiTheme="minorHAnsi" w:cstheme="minorHAnsi"/>
      <w:b/>
      <w:i/>
      <w:sz w:val="24"/>
      <w:szCs w:val="24"/>
    </w:rPr>
  </w:style>
  <w:style w:type="paragraph" w:styleId="BodyText">
    <w:name w:val="Body Text"/>
    <w:basedOn w:val="Normal"/>
    <w:link w:val="BodyTextChar"/>
    <w:rsid w:val="00FB1AEF"/>
    <w:pPr>
      <w:spacing w:after="120"/>
    </w:pPr>
  </w:style>
  <w:style w:type="character" w:customStyle="1" w:styleId="BodyTextChar">
    <w:name w:val="Body Text Char"/>
    <w:basedOn w:val="DefaultParagraphFont"/>
    <w:link w:val="BodyText"/>
    <w:rsid w:val="00FB1AEF"/>
    <w:rPr>
      <w:sz w:val="24"/>
      <w:szCs w:val="24"/>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857E1C"/>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857E1C"/>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857E1C"/>
  </w:style>
  <w:style w:type="character" w:styleId="FootnoteReference">
    <w:name w:val="footnote reference"/>
    <w:basedOn w:val="DefaultParagraphFont"/>
    <w:uiPriority w:val="99"/>
    <w:unhideWhenUsed/>
    <w:rsid w:val="00857E1C"/>
    <w:rPr>
      <w:vertAlign w:val="superscript"/>
    </w:rPr>
  </w:style>
  <w:style w:type="character" w:customStyle="1" w:styleId="Heading8Char">
    <w:name w:val="Heading 8 Char"/>
    <w:basedOn w:val="DefaultParagraphFont"/>
    <w:link w:val="Heading8"/>
    <w:uiPriority w:val="7"/>
    <w:rsid w:val="003E48E3"/>
    <w:rPr>
      <w:rFonts w:asciiTheme="majorHAnsi" w:eastAsiaTheme="majorEastAsia" w:hAnsiTheme="majorHAnsi" w:cstheme="majorBidi"/>
      <w:color w:val="272727" w:themeColor="text1" w:themeTint="D8"/>
      <w:sz w:val="21"/>
      <w:szCs w:val="21"/>
      <w:lang w:eastAsia="en-US"/>
    </w:rPr>
  </w:style>
  <w:style w:type="paragraph" w:customStyle="1" w:styleId="TableText0">
    <w:name w:val="Table Text"/>
    <w:basedOn w:val="Normal"/>
    <w:link w:val="TableTextChar0"/>
    <w:qFormat/>
    <w:rsid w:val="00F144A9"/>
    <w:pPr>
      <w:widowControl w:val="0"/>
      <w:spacing w:before="40" w:after="40"/>
      <w:jc w:val="both"/>
    </w:pPr>
    <w:rPr>
      <w:rFonts w:ascii="Arial Narrow" w:eastAsiaTheme="minorHAnsi" w:hAnsi="Arial Narrow" w:cstheme="minorBidi"/>
      <w:sz w:val="20"/>
      <w:szCs w:val="22"/>
      <w:lang w:eastAsia="en-US"/>
    </w:rPr>
  </w:style>
  <w:style w:type="character" w:customStyle="1" w:styleId="TableTextChar0">
    <w:name w:val="Table Text Char"/>
    <w:link w:val="TableText0"/>
    <w:rsid w:val="00F144A9"/>
    <w:rPr>
      <w:rFonts w:ascii="Arial Narrow" w:eastAsiaTheme="minorHAnsi" w:hAnsi="Arial Narrow" w:cstheme="minorBidi"/>
      <w:szCs w:val="22"/>
      <w:lang w:eastAsia="en-US"/>
    </w:rPr>
  </w:style>
  <w:style w:type="paragraph" w:customStyle="1" w:styleId="TableHeading0">
    <w:name w:val="Table Heading"/>
    <w:basedOn w:val="Normal"/>
    <w:qFormat/>
    <w:rsid w:val="00B0302B"/>
    <w:pPr>
      <w:keepNext/>
      <w:spacing w:before="240" w:after="60"/>
      <w:jc w:val="both"/>
    </w:pPr>
    <w:rPr>
      <w:rFonts w:ascii="Arial Narrow" w:eastAsiaTheme="minorHAnsi" w:hAnsi="Arial Narrow" w:cstheme="minorBidi"/>
      <w:b/>
      <w:sz w:val="20"/>
      <w:szCs w:val="22"/>
      <w:lang w:eastAsia="en-US"/>
    </w:rPr>
  </w:style>
  <w:style w:type="paragraph" w:customStyle="1" w:styleId="PBACheading10">
    <w:name w:val="PBAC heading 1"/>
    <w:qFormat/>
    <w:rsid w:val="0046682C"/>
    <w:pPr>
      <w:ind w:left="720" w:hanging="720"/>
      <w:outlineLvl w:val="0"/>
    </w:pPr>
    <w:rPr>
      <w:rFonts w:ascii="Arial" w:hAnsi="Arial" w:cs="Arial"/>
      <w:snapToGrid w:val="0"/>
      <w:sz w:val="22"/>
      <w:szCs w:val="22"/>
      <w:lang w:eastAsia="en-US"/>
    </w:rPr>
  </w:style>
  <w:style w:type="paragraph" w:styleId="Caption">
    <w:name w:val="caption"/>
    <w:basedOn w:val="Normal"/>
    <w:next w:val="Normal"/>
    <w:uiPriority w:val="35"/>
    <w:unhideWhenUsed/>
    <w:qFormat/>
    <w:rsid w:val="00BF67C6"/>
    <w:pPr>
      <w:spacing w:after="200"/>
    </w:pPr>
    <w:rPr>
      <w:b/>
      <w:bCs/>
      <w:color w:val="4F81BD" w:themeColor="accent1"/>
      <w:sz w:val="18"/>
      <w:szCs w:val="18"/>
    </w:rPr>
  </w:style>
  <w:style w:type="paragraph" w:styleId="Revision">
    <w:name w:val="Revision"/>
    <w:hidden/>
    <w:uiPriority w:val="71"/>
    <w:rsid w:val="008F4A1D"/>
    <w:rPr>
      <w:sz w:val="24"/>
      <w:szCs w:val="24"/>
    </w:rPr>
  </w:style>
  <w:style w:type="character" w:customStyle="1" w:styleId="TabletextChar">
    <w:name w:val="Table text Char"/>
    <w:basedOn w:val="DefaultParagraphFont"/>
    <w:link w:val="Tabletext"/>
    <w:rsid w:val="004F10A5"/>
    <w:rPr>
      <w:rFonts w:ascii="Arial" w:hAnsi="Arial"/>
      <w:lang w:eastAsia="en-US"/>
    </w:rPr>
  </w:style>
  <w:style w:type="paragraph" w:customStyle="1" w:styleId="Tablenotes0">
    <w:name w:val="Table notes"/>
    <w:basedOn w:val="Normal"/>
    <w:link w:val="TablenotesChar"/>
    <w:qFormat/>
    <w:rsid w:val="00E66EAE"/>
    <w:rPr>
      <w:rFonts w:ascii="Arial" w:hAnsi="Arial"/>
      <w:sz w:val="20"/>
      <w:szCs w:val="20"/>
      <w:lang w:eastAsia="en-US"/>
    </w:rPr>
  </w:style>
  <w:style w:type="character" w:customStyle="1" w:styleId="TablenotesChar">
    <w:name w:val="Table notes Char"/>
    <w:basedOn w:val="DefaultParagraphFont"/>
    <w:link w:val="Tablenotes0"/>
    <w:rsid w:val="00E66EAE"/>
    <w:rPr>
      <w:rFonts w:ascii="Arial" w:hAnsi="Arial"/>
      <w:lang w:eastAsia="en-US"/>
    </w:rPr>
  </w:style>
  <w:style w:type="table" w:customStyle="1" w:styleId="TableGrid1">
    <w:name w:val="Table Grid1"/>
    <w:basedOn w:val="TableNormal"/>
    <w:next w:val="TableGrid"/>
    <w:uiPriority w:val="39"/>
    <w:rsid w:val="00895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27744"/>
    <w:rPr>
      <w:rFonts w:asciiTheme="majorHAnsi" w:eastAsiaTheme="majorEastAsia" w:hAnsiTheme="majorHAnsi" w:cstheme="majorBidi"/>
      <w:i/>
      <w:iCs/>
      <w:color w:val="365F91" w:themeColor="accent1" w:themeShade="BF"/>
      <w:sz w:val="22"/>
      <w:lang w:eastAsia="en-US"/>
    </w:rPr>
  </w:style>
  <w:style w:type="character" w:customStyle="1" w:styleId="Heading7Char">
    <w:name w:val="Heading 7 Char"/>
    <w:basedOn w:val="DefaultParagraphFont"/>
    <w:link w:val="Heading7"/>
    <w:uiPriority w:val="9"/>
    <w:semiHidden/>
    <w:rsid w:val="00927744"/>
    <w:rPr>
      <w:rFonts w:asciiTheme="majorHAnsi" w:eastAsiaTheme="majorEastAsia" w:hAnsiTheme="majorHAnsi" w:cstheme="majorBidi"/>
      <w:i/>
      <w:iCs/>
      <w:color w:val="243F60" w:themeColor="accent1" w:themeShade="7F"/>
      <w:sz w:val="22"/>
      <w:lang w:eastAsia="en-US"/>
    </w:rPr>
  </w:style>
  <w:style w:type="character" w:customStyle="1" w:styleId="Heading9Char">
    <w:name w:val="Heading 9 Char"/>
    <w:basedOn w:val="DefaultParagraphFont"/>
    <w:link w:val="Heading9"/>
    <w:uiPriority w:val="9"/>
    <w:semiHidden/>
    <w:rsid w:val="00927744"/>
    <w:rPr>
      <w:rFonts w:asciiTheme="majorHAnsi" w:eastAsiaTheme="majorEastAsia" w:hAnsiTheme="majorHAnsi" w:cstheme="majorBidi"/>
      <w:i/>
      <w:iCs/>
      <w:color w:val="272727" w:themeColor="text1" w:themeTint="D8"/>
      <w:sz w:val="21"/>
      <w:szCs w:val="21"/>
      <w:lang w:eastAsia="en-US"/>
    </w:rPr>
  </w:style>
  <w:style w:type="character" w:styleId="FollowedHyperlink">
    <w:name w:val="FollowedHyperlink"/>
    <w:basedOn w:val="DefaultParagraphFont"/>
    <w:semiHidden/>
    <w:unhideWhenUsed/>
    <w:rsid w:val="00F17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52512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408261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BCD7-9C16-40F0-B299-E46C8CC3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6017</Words>
  <Characters>36423</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2019-06-24T04:26:00Z</dcterms:created>
  <dcterms:modified xsi:type="dcterms:W3CDTF">2019-07-01T04:53:00Z</dcterms:modified>
</cp:coreProperties>
</file>