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EA" w:rsidRPr="00B70CFC" w:rsidRDefault="00FE3BE7" w:rsidP="00C5037B">
      <w:pPr>
        <w:pStyle w:val="Title"/>
        <w:spacing w:before="120" w:after="160"/>
        <w:ind w:left="720" w:hanging="720"/>
      </w:pPr>
      <w:r w:rsidRPr="00B70CFC">
        <w:rPr>
          <w:rFonts w:asciiTheme="minorHAnsi" w:hAnsiTheme="minorHAnsi"/>
          <w:sz w:val="36"/>
          <w:szCs w:val="36"/>
        </w:rPr>
        <w:t>5.13</w:t>
      </w:r>
      <w:r w:rsidRPr="00B70CFC">
        <w:rPr>
          <w:rFonts w:asciiTheme="minorHAnsi" w:hAnsiTheme="minorHAnsi"/>
          <w:sz w:val="36"/>
          <w:szCs w:val="36"/>
        </w:rPr>
        <w:tab/>
      </w:r>
      <w:r w:rsidR="00A148ED" w:rsidRPr="00B70CFC">
        <w:rPr>
          <w:rFonts w:asciiTheme="minorHAnsi" w:hAnsiTheme="minorHAnsi"/>
          <w:sz w:val="36"/>
          <w:szCs w:val="36"/>
        </w:rPr>
        <w:t xml:space="preserve">PACLITAXEL, </w:t>
      </w:r>
      <w:r w:rsidRPr="00B70CFC">
        <w:rPr>
          <w:rFonts w:asciiTheme="minorHAnsi" w:hAnsiTheme="minorHAnsi"/>
          <w:sz w:val="36"/>
          <w:szCs w:val="36"/>
        </w:rPr>
        <w:t xml:space="preserve">NANOPARTICLE ALBUMIN-BOUND </w:t>
      </w:r>
      <w:r w:rsidRPr="00B70CFC">
        <w:rPr>
          <w:rFonts w:asciiTheme="minorHAnsi" w:hAnsiTheme="minorHAnsi"/>
          <w:sz w:val="36"/>
          <w:szCs w:val="36"/>
        </w:rPr>
        <w:br/>
        <w:t xml:space="preserve">Powder for I.V. injection containing 250 mg paclitaxel, </w:t>
      </w:r>
      <w:r w:rsidRPr="00B70CFC">
        <w:rPr>
          <w:rFonts w:asciiTheme="minorHAnsi" w:hAnsiTheme="minorHAnsi"/>
          <w:sz w:val="36"/>
          <w:szCs w:val="36"/>
        </w:rPr>
        <w:br/>
      </w:r>
      <w:proofErr w:type="spellStart"/>
      <w:r w:rsidRPr="00B70CFC">
        <w:rPr>
          <w:rFonts w:asciiTheme="minorHAnsi" w:hAnsiTheme="minorHAnsi"/>
          <w:sz w:val="36"/>
          <w:szCs w:val="36"/>
        </w:rPr>
        <w:t>Abrax</w:t>
      </w:r>
      <w:r w:rsidR="00C31DBF" w:rsidRPr="00B70CFC">
        <w:rPr>
          <w:rFonts w:asciiTheme="minorHAnsi" w:hAnsiTheme="minorHAnsi"/>
          <w:sz w:val="36"/>
          <w:szCs w:val="36"/>
        </w:rPr>
        <w:t>ane</w:t>
      </w:r>
      <w:proofErr w:type="spellEnd"/>
      <w:r w:rsidR="006D6493" w:rsidRPr="00B70CFC">
        <w:rPr>
          <w:rFonts w:asciiTheme="minorHAnsi" w:hAnsiTheme="minorHAnsi"/>
          <w:sz w:val="36"/>
          <w:szCs w:val="36"/>
          <w:vertAlign w:val="superscript"/>
        </w:rPr>
        <w:t>®</w:t>
      </w:r>
      <w:r w:rsidRPr="00B70CFC">
        <w:rPr>
          <w:rFonts w:asciiTheme="minorHAnsi" w:hAnsiTheme="minorHAnsi"/>
          <w:sz w:val="36"/>
          <w:szCs w:val="36"/>
        </w:rPr>
        <w:t>, Specialised Therapeutics Pty Ltd</w:t>
      </w:r>
      <w:r w:rsidR="00B01AC4" w:rsidRPr="00B70CFC">
        <w:rPr>
          <w:rFonts w:asciiTheme="minorHAnsi" w:hAnsiTheme="minorHAnsi"/>
          <w:sz w:val="36"/>
          <w:szCs w:val="36"/>
        </w:rPr>
        <w:t>.</w:t>
      </w:r>
    </w:p>
    <w:p w:rsidR="008A50F1" w:rsidRPr="00B70CFC" w:rsidRDefault="00CE10C4" w:rsidP="00F62236">
      <w:pPr>
        <w:pStyle w:val="PBACHeading1"/>
        <w:spacing w:before="240" w:after="120"/>
        <w:ind w:left="709" w:hanging="709"/>
        <w:rPr>
          <w:rFonts w:asciiTheme="minorHAnsi" w:hAnsiTheme="minorHAnsi"/>
          <w:sz w:val="32"/>
          <w:szCs w:val="32"/>
        </w:rPr>
      </w:pPr>
      <w:r w:rsidRPr="00B70CFC">
        <w:rPr>
          <w:rFonts w:asciiTheme="minorHAnsi" w:hAnsiTheme="minorHAnsi"/>
          <w:sz w:val="32"/>
          <w:szCs w:val="32"/>
        </w:rPr>
        <w:t xml:space="preserve">Purpose of </w:t>
      </w:r>
      <w:r w:rsidR="0004240E" w:rsidRPr="00B70CFC">
        <w:rPr>
          <w:rFonts w:asciiTheme="minorHAnsi" w:hAnsiTheme="minorHAnsi"/>
          <w:sz w:val="32"/>
          <w:szCs w:val="32"/>
        </w:rPr>
        <w:t>Application</w:t>
      </w:r>
    </w:p>
    <w:p w:rsidR="006A12A5" w:rsidRPr="00B70CFC" w:rsidRDefault="00EF44A0" w:rsidP="00F6223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70CFC">
        <w:rPr>
          <w:rFonts w:asciiTheme="minorHAnsi" w:eastAsiaTheme="minorHAnsi" w:hAnsiTheme="minorHAnsi" w:cstheme="minorBidi"/>
          <w:snapToGrid/>
          <w:sz w:val="24"/>
          <w:szCs w:val="22"/>
        </w:rPr>
        <w:t>The mi</w:t>
      </w:r>
      <w:r w:rsidR="00FF2801" w:rsidRPr="00B70CFC">
        <w:rPr>
          <w:rFonts w:asciiTheme="minorHAnsi" w:eastAsiaTheme="minorHAnsi" w:hAnsiTheme="minorHAnsi" w:cstheme="minorBidi"/>
          <w:snapToGrid/>
          <w:sz w:val="24"/>
          <w:szCs w:val="22"/>
        </w:rPr>
        <w:t>nor submission requested</w:t>
      </w:r>
      <w:r w:rsidR="0036153E" w:rsidRPr="00B70CFC">
        <w:rPr>
          <w:rFonts w:asciiTheme="minorHAnsi" w:eastAsiaTheme="minorHAnsi" w:hAnsiTheme="minorHAnsi" w:cstheme="minorBidi"/>
          <w:snapToGrid/>
          <w:sz w:val="24"/>
          <w:szCs w:val="22"/>
        </w:rPr>
        <w:t xml:space="preserve"> </w:t>
      </w:r>
      <w:r w:rsidR="00B01AC4" w:rsidRPr="00B70CFC">
        <w:rPr>
          <w:rFonts w:asciiTheme="minorHAnsi" w:eastAsiaTheme="minorHAnsi" w:hAnsiTheme="minorHAnsi" w:cstheme="minorBidi"/>
          <w:snapToGrid/>
          <w:sz w:val="24"/>
          <w:szCs w:val="22"/>
        </w:rPr>
        <w:t xml:space="preserve">a </w:t>
      </w:r>
      <w:r w:rsidR="0036153E" w:rsidRPr="00B70CFC">
        <w:rPr>
          <w:rFonts w:asciiTheme="minorHAnsi" w:eastAsiaTheme="minorHAnsi" w:hAnsiTheme="minorHAnsi" w:cstheme="minorBidi"/>
          <w:snapToGrid/>
          <w:sz w:val="24"/>
          <w:szCs w:val="22"/>
        </w:rPr>
        <w:t xml:space="preserve">Section 100 (Efficient Funding of Chemotherapy) Authority </w:t>
      </w:r>
      <w:proofErr w:type="gramStart"/>
      <w:r w:rsidR="0036153E" w:rsidRPr="00B70CFC">
        <w:rPr>
          <w:rFonts w:asciiTheme="minorHAnsi" w:eastAsiaTheme="minorHAnsi" w:hAnsiTheme="minorHAnsi" w:cstheme="minorBidi"/>
          <w:snapToGrid/>
          <w:sz w:val="24"/>
          <w:szCs w:val="22"/>
        </w:rPr>
        <w:t>Required</w:t>
      </w:r>
      <w:proofErr w:type="gramEnd"/>
      <w:r w:rsidR="0036153E" w:rsidRPr="00B70CFC">
        <w:rPr>
          <w:rFonts w:asciiTheme="minorHAnsi" w:eastAsiaTheme="minorHAnsi" w:hAnsiTheme="minorHAnsi" w:cstheme="minorBidi"/>
          <w:snapToGrid/>
          <w:sz w:val="24"/>
          <w:szCs w:val="22"/>
        </w:rPr>
        <w:t xml:space="preserve"> </w:t>
      </w:r>
      <w:r w:rsidR="006262C6" w:rsidRPr="00B70CFC">
        <w:rPr>
          <w:rFonts w:asciiTheme="minorHAnsi" w:eastAsiaTheme="minorHAnsi" w:hAnsiTheme="minorHAnsi" w:cstheme="minorBidi"/>
          <w:snapToGrid/>
          <w:sz w:val="24"/>
          <w:szCs w:val="22"/>
        </w:rPr>
        <w:t>listing for an additional</w:t>
      </w:r>
      <w:r w:rsidR="0036153E" w:rsidRPr="00B70CFC">
        <w:rPr>
          <w:rFonts w:asciiTheme="minorHAnsi" w:eastAsiaTheme="minorHAnsi" w:hAnsiTheme="minorHAnsi" w:cstheme="minorBidi"/>
          <w:snapToGrid/>
          <w:sz w:val="24"/>
          <w:szCs w:val="22"/>
        </w:rPr>
        <w:t xml:space="preserve"> 250 mg </w:t>
      </w:r>
      <w:r w:rsidR="003C661F" w:rsidRPr="00B70CFC">
        <w:rPr>
          <w:rFonts w:asciiTheme="minorHAnsi" w:eastAsiaTheme="minorHAnsi" w:hAnsiTheme="minorHAnsi" w:cstheme="minorBidi"/>
          <w:snapToGrid/>
          <w:sz w:val="24"/>
          <w:szCs w:val="22"/>
        </w:rPr>
        <w:t>strength</w:t>
      </w:r>
      <w:r w:rsidR="0036153E" w:rsidRPr="00B70CFC">
        <w:rPr>
          <w:rFonts w:asciiTheme="minorHAnsi" w:eastAsiaTheme="minorHAnsi" w:hAnsiTheme="minorHAnsi" w:cstheme="minorBidi"/>
          <w:snapToGrid/>
          <w:sz w:val="24"/>
          <w:szCs w:val="22"/>
        </w:rPr>
        <w:t xml:space="preserve"> of nanoparticle albumin-bound pacli</w:t>
      </w:r>
      <w:r w:rsidR="00D40356" w:rsidRPr="00B70CFC">
        <w:rPr>
          <w:rFonts w:asciiTheme="minorHAnsi" w:eastAsiaTheme="minorHAnsi" w:hAnsiTheme="minorHAnsi" w:cstheme="minorBidi"/>
          <w:snapToGrid/>
          <w:sz w:val="24"/>
          <w:szCs w:val="22"/>
        </w:rPr>
        <w:t>taxel (</w:t>
      </w:r>
      <w:r w:rsidR="00D40356" w:rsidRPr="00B70CFC">
        <w:rPr>
          <w:rFonts w:asciiTheme="minorHAnsi" w:eastAsiaTheme="minorHAnsi" w:hAnsiTheme="minorHAnsi" w:cstheme="minorBidi"/>
          <w:i/>
          <w:snapToGrid/>
          <w:sz w:val="24"/>
          <w:szCs w:val="22"/>
        </w:rPr>
        <w:t>nab</w:t>
      </w:r>
      <w:r w:rsidR="00D40356" w:rsidRPr="00B70CFC">
        <w:rPr>
          <w:rFonts w:asciiTheme="minorHAnsi" w:eastAsiaTheme="minorHAnsi" w:hAnsiTheme="minorHAnsi" w:cstheme="minorBidi"/>
          <w:snapToGrid/>
          <w:sz w:val="24"/>
          <w:szCs w:val="22"/>
        </w:rPr>
        <w:t>-pa</w:t>
      </w:r>
      <w:r w:rsidR="00532377" w:rsidRPr="00B70CFC">
        <w:rPr>
          <w:rFonts w:asciiTheme="minorHAnsi" w:eastAsiaTheme="minorHAnsi" w:hAnsiTheme="minorHAnsi" w:cstheme="minorBidi"/>
          <w:snapToGrid/>
          <w:sz w:val="24"/>
          <w:szCs w:val="22"/>
        </w:rPr>
        <w:t>cli</w:t>
      </w:r>
      <w:r w:rsidR="00A87F2F" w:rsidRPr="00B70CFC">
        <w:rPr>
          <w:rFonts w:asciiTheme="minorHAnsi" w:eastAsiaTheme="minorHAnsi" w:hAnsiTheme="minorHAnsi" w:cstheme="minorBidi"/>
          <w:snapToGrid/>
          <w:sz w:val="24"/>
          <w:szCs w:val="22"/>
        </w:rPr>
        <w:t xml:space="preserve">taxel) and a price increase for </w:t>
      </w:r>
      <w:r w:rsidR="00A87F2F" w:rsidRPr="00B70CFC">
        <w:rPr>
          <w:rFonts w:asciiTheme="minorHAnsi" w:eastAsiaTheme="minorHAnsi" w:hAnsiTheme="minorHAnsi" w:cstheme="minorBidi"/>
          <w:i/>
          <w:snapToGrid/>
          <w:sz w:val="24"/>
          <w:szCs w:val="22"/>
        </w:rPr>
        <w:t>nab</w:t>
      </w:r>
      <w:r w:rsidR="00A87F2F" w:rsidRPr="00B70CFC">
        <w:rPr>
          <w:rFonts w:asciiTheme="minorHAnsi" w:eastAsiaTheme="minorHAnsi" w:hAnsiTheme="minorHAnsi" w:cstheme="minorBidi"/>
          <w:snapToGrid/>
          <w:sz w:val="24"/>
          <w:szCs w:val="22"/>
        </w:rPr>
        <w:t xml:space="preserve">-paclitaxel use in pancreatic cancer. </w:t>
      </w:r>
    </w:p>
    <w:p w:rsidR="006A12A5" w:rsidRPr="00B70CFC" w:rsidRDefault="006A12A5" w:rsidP="00F62236">
      <w:pPr>
        <w:pStyle w:val="PBACHeading1"/>
        <w:spacing w:before="240" w:after="120"/>
        <w:ind w:left="709" w:hanging="709"/>
        <w:rPr>
          <w:rFonts w:asciiTheme="minorHAnsi" w:hAnsiTheme="minorHAnsi"/>
          <w:sz w:val="32"/>
          <w:szCs w:val="32"/>
        </w:rPr>
      </w:pPr>
      <w:r w:rsidRPr="00B70CFC">
        <w:rPr>
          <w:rFonts w:asciiTheme="minorHAnsi" w:hAnsiTheme="minorHAnsi"/>
          <w:sz w:val="32"/>
          <w:szCs w:val="32"/>
        </w:rPr>
        <w:t>Requested listing</w:t>
      </w:r>
    </w:p>
    <w:p w:rsidR="00835EC7" w:rsidRPr="00517AAE" w:rsidRDefault="00EF44A0" w:rsidP="00F62236">
      <w:pPr>
        <w:pStyle w:val="ListParagraph"/>
        <w:widowControl/>
        <w:numPr>
          <w:ilvl w:val="1"/>
          <w:numId w:val="14"/>
        </w:numPr>
        <w:spacing w:after="120"/>
        <w:contextualSpacing w:val="0"/>
        <w:rPr>
          <w:rFonts w:eastAsiaTheme="minorHAnsi"/>
          <w:snapToGrid/>
        </w:rPr>
      </w:pPr>
      <w:r w:rsidRPr="00B70CFC">
        <w:rPr>
          <w:rFonts w:asciiTheme="minorHAnsi" w:eastAsiaTheme="minorHAnsi" w:hAnsiTheme="minorHAnsi" w:cstheme="minorBidi"/>
          <w:snapToGrid/>
          <w:sz w:val="24"/>
          <w:szCs w:val="22"/>
        </w:rPr>
        <w:t xml:space="preserve">The submission </w:t>
      </w:r>
      <w:r w:rsidR="00FF2801" w:rsidRPr="00B70CFC">
        <w:rPr>
          <w:rFonts w:asciiTheme="minorHAnsi" w:eastAsiaTheme="minorHAnsi" w:hAnsiTheme="minorHAnsi" w:cstheme="minorBidi"/>
          <w:snapToGrid/>
          <w:sz w:val="24"/>
          <w:szCs w:val="22"/>
        </w:rPr>
        <w:t>requested</w:t>
      </w:r>
      <w:r w:rsidR="00D40356" w:rsidRPr="00B70CFC">
        <w:rPr>
          <w:rFonts w:asciiTheme="minorHAnsi" w:eastAsiaTheme="minorHAnsi" w:hAnsiTheme="minorHAnsi" w:cstheme="minorBidi"/>
          <w:snapToGrid/>
          <w:sz w:val="24"/>
          <w:szCs w:val="22"/>
        </w:rPr>
        <w:t xml:space="preserve"> </w:t>
      </w:r>
      <w:r w:rsidR="008313F6" w:rsidRPr="00B70CFC">
        <w:rPr>
          <w:rFonts w:asciiTheme="minorHAnsi" w:eastAsiaTheme="minorHAnsi" w:hAnsiTheme="minorHAnsi" w:cstheme="minorBidi"/>
          <w:snapToGrid/>
          <w:sz w:val="24"/>
          <w:szCs w:val="22"/>
        </w:rPr>
        <w:t xml:space="preserve">the </w:t>
      </w:r>
      <w:r w:rsidR="00C45EE6" w:rsidRPr="00B70CFC">
        <w:rPr>
          <w:rFonts w:asciiTheme="minorHAnsi" w:eastAsiaTheme="minorHAnsi" w:hAnsiTheme="minorHAnsi" w:cstheme="minorBidi"/>
          <w:snapToGrid/>
          <w:sz w:val="24"/>
          <w:szCs w:val="22"/>
        </w:rPr>
        <w:t>250 mg</w:t>
      </w:r>
      <w:r w:rsidR="008313F6" w:rsidRPr="00B70CFC">
        <w:rPr>
          <w:rFonts w:asciiTheme="minorHAnsi" w:eastAsiaTheme="minorHAnsi" w:hAnsiTheme="minorHAnsi" w:cstheme="minorBidi"/>
          <w:snapToGrid/>
          <w:sz w:val="24"/>
          <w:szCs w:val="22"/>
        </w:rPr>
        <w:t xml:space="preserve"> vial to </w:t>
      </w:r>
      <w:proofErr w:type="gramStart"/>
      <w:r w:rsidR="008313F6" w:rsidRPr="00B70CFC">
        <w:rPr>
          <w:rFonts w:asciiTheme="minorHAnsi" w:eastAsiaTheme="minorHAnsi" w:hAnsiTheme="minorHAnsi" w:cstheme="minorBidi"/>
          <w:snapToGrid/>
          <w:sz w:val="24"/>
          <w:szCs w:val="22"/>
        </w:rPr>
        <w:t>be listed</w:t>
      </w:r>
      <w:proofErr w:type="gramEnd"/>
      <w:r w:rsidR="008313F6" w:rsidRPr="00B70CFC">
        <w:rPr>
          <w:rFonts w:asciiTheme="minorHAnsi" w:eastAsiaTheme="minorHAnsi" w:hAnsiTheme="minorHAnsi" w:cstheme="minorBidi"/>
          <w:snapToGrid/>
          <w:sz w:val="24"/>
          <w:szCs w:val="22"/>
        </w:rPr>
        <w:t xml:space="preserve"> for the same indication and </w:t>
      </w:r>
      <w:r w:rsidR="0022274B" w:rsidRPr="00B70CFC">
        <w:rPr>
          <w:rFonts w:asciiTheme="minorHAnsi" w:eastAsiaTheme="minorHAnsi" w:hAnsiTheme="minorHAnsi" w:cstheme="minorBidi"/>
          <w:snapToGrid/>
          <w:sz w:val="24"/>
          <w:szCs w:val="22"/>
        </w:rPr>
        <w:t xml:space="preserve">under the same </w:t>
      </w:r>
      <w:r w:rsidR="00BC373F" w:rsidRPr="00B70CFC">
        <w:rPr>
          <w:rFonts w:asciiTheme="minorHAnsi" w:eastAsiaTheme="minorHAnsi" w:hAnsiTheme="minorHAnsi" w:cstheme="minorBidi"/>
          <w:snapToGrid/>
          <w:sz w:val="24"/>
          <w:szCs w:val="22"/>
        </w:rPr>
        <w:t>conditions</w:t>
      </w:r>
      <w:r w:rsidR="008313F6" w:rsidRPr="00B70CFC">
        <w:rPr>
          <w:rFonts w:asciiTheme="minorHAnsi" w:eastAsiaTheme="minorHAnsi" w:hAnsiTheme="minorHAnsi" w:cstheme="minorBidi"/>
          <w:snapToGrid/>
          <w:sz w:val="24"/>
          <w:szCs w:val="22"/>
        </w:rPr>
        <w:t xml:space="preserve"> as </w:t>
      </w:r>
      <w:r w:rsidR="00B01AC4" w:rsidRPr="00B70CFC">
        <w:rPr>
          <w:rFonts w:asciiTheme="minorHAnsi" w:eastAsiaTheme="minorHAnsi" w:hAnsiTheme="minorHAnsi" w:cstheme="minorBidi"/>
          <w:snapToGrid/>
          <w:sz w:val="24"/>
          <w:szCs w:val="22"/>
        </w:rPr>
        <w:t xml:space="preserve">the </w:t>
      </w:r>
      <w:r w:rsidR="008313F6" w:rsidRPr="00B70CFC">
        <w:rPr>
          <w:rFonts w:asciiTheme="minorHAnsi" w:eastAsiaTheme="minorHAnsi" w:hAnsiTheme="minorHAnsi" w:cstheme="minorBidi"/>
          <w:snapToGrid/>
          <w:sz w:val="24"/>
          <w:szCs w:val="22"/>
        </w:rPr>
        <w:t xml:space="preserve">currently listed </w:t>
      </w:r>
      <w:r w:rsidR="008313F6" w:rsidRPr="00B70CFC">
        <w:rPr>
          <w:rFonts w:asciiTheme="minorHAnsi" w:eastAsiaTheme="minorHAnsi" w:hAnsiTheme="minorHAnsi" w:cstheme="minorBidi"/>
          <w:i/>
          <w:snapToGrid/>
          <w:sz w:val="24"/>
          <w:szCs w:val="22"/>
        </w:rPr>
        <w:t>nab</w:t>
      </w:r>
      <w:r w:rsidR="008313F6" w:rsidRPr="00B70CFC">
        <w:rPr>
          <w:rFonts w:asciiTheme="minorHAnsi" w:eastAsiaTheme="minorHAnsi" w:hAnsiTheme="minorHAnsi" w:cstheme="minorBidi"/>
          <w:snapToGrid/>
          <w:sz w:val="24"/>
          <w:szCs w:val="22"/>
        </w:rPr>
        <w:t xml:space="preserve">-paclitaxel 100 mg vial. </w:t>
      </w:r>
      <w:r w:rsidR="00925F23" w:rsidRPr="00B70CFC">
        <w:rPr>
          <w:rFonts w:asciiTheme="minorHAnsi" w:eastAsiaTheme="minorHAnsi" w:hAnsiTheme="minorHAnsi" w:cstheme="minorBidi"/>
          <w:snapToGrid/>
          <w:sz w:val="24"/>
          <w:szCs w:val="22"/>
        </w:rPr>
        <w:t>The spo</w:t>
      </w:r>
      <w:r w:rsidR="004A103B" w:rsidRPr="00B70CFC">
        <w:rPr>
          <w:rFonts w:asciiTheme="minorHAnsi" w:eastAsiaTheme="minorHAnsi" w:hAnsiTheme="minorHAnsi" w:cstheme="minorBidi"/>
          <w:snapToGrid/>
          <w:sz w:val="24"/>
          <w:szCs w:val="22"/>
        </w:rPr>
        <w:t>nsor did not request</w:t>
      </w:r>
      <w:r w:rsidR="00925F23" w:rsidRPr="00B70CFC">
        <w:rPr>
          <w:rFonts w:asciiTheme="minorHAnsi" w:eastAsiaTheme="minorHAnsi" w:hAnsiTheme="minorHAnsi" w:cstheme="minorBidi"/>
          <w:snapToGrid/>
          <w:sz w:val="24"/>
          <w:szCs w:val="22"/>
        </w:rPr>
        <w:t xml:space="preserve"> restriction changes. </w:t>
      </w:r>
    </w:p>
    <w:p w:rsidR="00E70265" w:rsidRPr="00B70CFC" w:rsidRDefault="00E70265" w:rsidP="00F62236">
      <w:pPr>
        <w:pStyle w:val="PBACHeading1"/>
        <w:spacing w:before="240" w:after="120"/>
        <w:ind w:left="709" w:hanging="709"/>
        <w:rPr>
          <w:rFonts w:asciiTheme="minorHAnsi" w:hAnsiTheme="minorHAnsi"/>
          <w:sz w:val="32"/>
          <w:szCs w:val="32"/>
        </w:rPr>
      </w:pPr>
      <w:r w:rsidRPr="00B70CFC">
        <w:rPr>
          <w:rFonts w:asciiTheme="minorHAnsi" w:hAnsiTheme="minorHAnsi"/>
          <w:sz w:val="32"/>
          <w:szCs w:val="32"/>
        </w:rPr>
        <w:t>Background</w:t>
      </w:r>
    </w:p>
    <w:p w:rsidR="00E70265" w:rsidRPr="00B70CFC" w:rsidRDefault="00E70265" w:rsidP="00F62236">
      <w:pPr>
        <w:pStyle w:val="ListParagraph"/>
        <w:widowControl/>
        <w:numPr>
          <w:ilvl w:val="1"/>
          <w:numId w:val="5"/>
        </w:numPr>
        <w:spacing w:before="160" w:after="120"/>
        <w:contextualSpacing w:val="0"/>
        <w:rPr>
          <w:rFonts w:asciiTheme="minorHAnsi" w:eastAsiaTheme="minorHAnsi" w:hAnsiTheme="minorHAnsi" w:cstheme="minorBidi"/>
          <w:snapToGrid/>
          <w:sz w:val="24"/>
          <w:szCs w:val="22"/>
        </w:rPr>
      </w:pPr>
      <w:r w:rsidRPr="00B70CFC">
        <w:rPr>
          <w:rFonts w:asciiTheme="minorHAnsi" w:eastAsiaTheme="minorHAnsi" w:hAnsiTheme="minorHAnsi" w:cstheme="minorBidi"/>
          <w:i/>
          <w:snapToGrid/>
          <w:sz w:val="24"/>
          <w:szCs w:val="22"/>
        </w:rPr>
        <w:t>Nab</w:t>
      </w:r>
      <w:r w:rsidRPr="00B70CFC">
        <w:rPr>
          <w:rFonts w:asciiTheme="minorHAnsi" w:eastAsiaTheme="minorHAnsi" w:hAnsiTheme="minorHAnsi" w:cstheme="minorBidi"/>
          <w:snapToGrid/>
          <w:sz w:val="24"/>
          <w:szCs w:val="22"/>
        </w:rPr>
        <w:t>-paclitaxel 100 mg is TGA registered for:</w:t>
      </w:r>
    </w:p>
    <w:p w:rsidR="00E70265" w:rsidRPr="00B70CFC" w:rsidRDefault="00E70265" w:rsidP="00F62236">
      <w:pPr>
        <w:pStyle w:val="ListParagraph"/>
        <w:widowControl/>
        <w:numPr>
          <w:ilvl w:val="3"/>
          <w:numId w:val="5"/>
        </w:numPr>
        <w:spacing w:before="160" w:after="120"/>
        <w:ind w:hanging="371"/>
        <w:contextualSpacing w:val="0"/>
        <w:rPr>
          <w:rFonts w:asciiTheme="minorHAnsi" w:eastAsiaTheme="minorHAnsi" w:hAnsiTheme="minorHAnsi" w:cstheme="minorBidi"/>
          <w:snapToGrid/>
          <w:sz w:val="24"/>
          <w:szCs w:val="22"/>
        </w:rPr>
      </w:pPr>
      <w:proofErr w:type="gramStart"/>
      <w:r w:rsidRPr="00B70CFC">
        <w:rPr>
          <w:rFonts w:asciiTheme="minorHAnsi" w:eastAsiaTheme="minorHAnsi" w:hAnsiTheme="minorHAnsi" w:cstheme="minorBidi"/>
          <w:snapToGrid/>
          <w:sz w:val="24"/>
          <w:szCs w:val="22"/>
        </w:rPr>
        <w:t>in</w:t>
      </w:r>
      <w:proofErr w:type="gramEnd"/>
      <w:r w:rsidRPr="00B70CFC">
        <w:rPr>
          <w:rFonts w:asciiTheme="minorHAnsi" w:eastAsiaTheme="minorHAnsi" w:hAnsiTheme="minorHAnsi" w:cstheme="minorBidi"/>
          <w:snapToGrid/>
          <w:sz w:val="24"/>
          <w:szCs w:val="22"/>
        </w:rPr>
        <w:t xml:space="preserve"> combination with gemcitabine, the first-line treatment of patients with metastatic </w:t>
      </w:r>
      <w:r w:rsidR="001C31F8" w:rsidRPr="00B70CFC">
        <w:rPr>
          <w:rFonts w:asciiTheme="minorHAnsi" w:eastAsiaTheme="minorHAnsi" w:hAnsiTheme="minorHAnsi" w:cstheme="minorBidi"/>
          <w:snapToGrid/>
          <w:sz w:val="24"/>
          <w:szCs w:val="22"/>
        </w:rPr>
        <w:t>adenocarcinoma of the pancreas.</w:t>
      </w:r>
    </w:p>
    <w:p w:rsidR="00E70265" w:rsidRPr="00B70CFC" w:rsidRDefault="00E70265" w:rsidP="00F62236">
      <w:pPr>
        <w:pStyle w:val="ListParagraph"/>
        <w:widowControl/>
        <w:numPr>
          <w:ilvl w:val="3"/>
          <w:numId w:val="5"/>
        </w:numPr>
        <w:spacing w:before="160" w:after="120"/>
        <w:ind w:hanging="371"/>
        <w:contextualSpacing w:val="0"/>
        <w:rPr>
          <w:rFonts w:asciiTheme="minorHAnsi" w:eastAsiaTheme="minorHAnsi" w:hAnsiTheme="minorHAnsi" w:cstheme="minorBidi"/>
          <w:snapToGrid/>
          <w:sz w:val="24"/>
          <w:szCs w:val="22"/>
        </w:rPr>
      </w:pPr>
      <w:proofErr w:type="gramStart"/>
      <w:r w:rsidRPr="00B70CFC">
        <w:rPr>
          <w:rFonts w:asciiTheme="minorHAnsi" w:eastAsiaTheme="minorHAnsi" w:hAnsiTheme="minorHAnsi" w:cstheme="minorBidi"/>
          <w:snapToGrid/>
          <w:sz w:val="24"/>
          <w:szCs w:val="22"/>
        </w:rPr>
        <w:t>the</w:t>
      </w:r>
      <w:proofErr w:type="gramEnd"/>
      <w:r w:rsidRPr="00B70CFC">
        <w:rPr>
          <w:rFonts w:asciiTheme="minorHAnsi" w:eastAsiaTheme="minorHAnsi" w:hAnsiTheme="minorHAnsi" w:cstheme="minorBidi"/>
          <w:snapToGrid/>
          <w:sz w:val="24"/>
          <w:szCs w:val="22"/>
        </w:rPr>
        <w:t xml:space="preserve"> treatment of metastatic carcinoma of the breast after failure of </w:t>
      </w:r>
      <w:proofErr w:type="spellStart"/>
      <w:r w:rsidRPr="00B70CFC">
        <w:rPr>
          <w:rFonts w:asciiTheme="minorHAnsi" w:eastAsiaTheme="minorHAnsi" w:hAnsiTheme="minorHAnsi" w:cstheme="minorBidi"/>
          <w:snapToGrid/>
          <w:sz w:val="24"/>
          <w:szCs w:val="22"/>
        </w:rPr>
        <w:t>anthracycline</w:t>
      </w:r>
      <w:proofErr w:type="spellEnd"/>
      <w:r w:rsidRPr="00B70CFC">
        <w:rPr>
          <w:rFonts w:asciiTheme="minorHAnsi" w:eastAsiaTheme="minorHAnsi" w:hAnsiTheme="minorHAnsi" w:cstheme="minorBidi"/>
          <w:snapToGrid/>
          <w:sz w:val="24"/>
          <w:szCs w:val="22"/>
        </w:rPr>
        <w:t xml:space="preserve"> therapy.</w:t>
      </w:r>
    </w:p>
    <w:p w:rsidR="00E70265" w:rsidRPr="00B70CFC" w:rsidRDefault="00E70265" w:rsidP="00F62236">
      <w:pPr>
        <w:pStyle w:val="ListParagraph"/>
        <w:widowControl/>
        <w:numPr>
          <w:ilvl w:val="3"/>
          <w:numId w:val="5"/>
        </w:numPr>
        <w:spacing w:before="160" w:after="120"/>
        <w:ind w:hanging="371"/>
        <w:contextualSpacing w:val="0"/>
        <w:rPr>
          <w:rFonts w:asciiTheme="minorHAnsi" w:eastAsiaTheme="minorHAnsi" w:hAnsiTheme="minorHAnsi" w:cstheme="minorBidi"/>
          <w:snapToGrid/>
          <w:sz w:val="24"/>
          <w:szCs w:val="22"/>
        </w:rPr>
      </w:pPr>
      <w:r w:rsidRPr="00B70CFC">
        <w:rPr>
          <w:rFonts w:asciiTheme="minorHAnsi" w:eastAsiaTheme="minorHAnsi" w:hAnsiTheme="minorHAnsi" w:cstheme="minorBidi"/>
          <w:snapToGrid/>
          <w:sz w:val="24"/>
          <w:szCs w:val="22"/>
        </w:rPr>
        <w:t xml:space="preserve">in combination with carboplatin, the first-line treatment of non-small cell lung cancer in patients who are not candidates for potentially curative surgery and/or radiation </w:t>
      </w:r>
    </w:p>
    <w:p w:rsidR="00E70265" w:rsidRPr="00B70CFC" w:rsidRDefault="00E70265" w:rsidP="00F62236">
      <w:pPr>
        <w:pStyle w:val="ListParagraph"/>
        <w:widowControl/>
        <w:numPr>
          <w:ilvl w:val="1"/>
          <w:numId w:val="5"/>
        </w:numPr>
        <w:spacing w:before="160" w:after="120"/>
        <w:contextualSpacing w:val="0"/>
        <w:rPr>
          <w:rFonts w:asciiTheme="minorHAnsi" w:eastAsiaTheme="minorHAnsi" w:hAnsiTheme="minorHAnsi" w:cstheme="minorBidi"/>
          <w:snapToGrid/>
          <w:sz w:val="24"/>
          <w:szCs w:val="22"/>
        </w:rPr>
      </w:pPr>
      <w:r w:rsidRPr="00B70CFC">
        <w:rPr>
          <w:rFonts w:asciiTheme="minorHAnsi" w:eastAsiaTheme="minorHAnsi" w:hAnsiTheme="minorHAnsi" w:cstheme="minorBidi"/>
          <w:i/>
          <w:snapToGrid/>
          <w:sz w:val="24"/>
          <w:szCs w:val="22"/>
        </w:rPr>
        <w:t>Nab</w:t>
      </w:r>
      <w:r w:rsidRPr="00B70CFC">
        <w:rPr>
          <w:rFonts w:asciiTheme="minorHAnsi" w:eastAsiaTheme="minorHAnsi" w:hAnsiTheme="minorHAnsi" w:cstheme="minorBidi"/>
          <w:snapToGrid/>
          <w:sz w:val="24"/>
          <w:szCs w:val="22"/>
        </w:rPr>
        <w:t xml:space="preserve">-paclitaxel was recommended by the PBAC at its March 2014 meeting for the treatment of metastatic (stage IV) adenocarcinoma of the pancreas in combination with gemcitabine. The PBAC considered that the 100 mg vial should be available only under special arrangements under Section 100 – Efficient Funding of Chemotherapy. The PBAC was satisfied that </w:t>
      </w:r>
      <w:r w:rsidRPr="00B70CFC">
        <w:rPr>
          <w:rFonts w:asciiTheme="minorHAnsi" w:eastAsiaTheme="minorHAnsi" w:hAnsiTheme="minorHAnsi" w:cstheme="minorBidi"/>
          <w:i/>
          <w:snapToGrid/>
          <w:sz w:val="24"/>
          <w:szCs w:val="22"/>
        </w:rPr>
        <w:t>nab</w:t>
      </w:r>
      <w:r w:rsidRPr="00B70CFC">
        <w:rPr>
          <w:rFonts w:asciiTheme="minorHAnsi" w:eastAsiaTheme="minorHAnsi" w:hAnsiTheme="minorHAnsi" w:cstheme="minorBidi"/>
          <w:snapToGrid/>
          <w:sz w:val="24"/>
          <w:szCs w:val="22"/>
        </w:rPr>
        <w:t xml:space="preserve">-paclitaxel in combination with gemcitabine provides, for some patients, a significant improvement in efficacy over gemcitabine </w:t>
      </w:r>
      <w:proofErr w:type="gramStart"/>
      <w:r w:rsidRPr="00B70CFC">
        <w:rPr>
          <w:rFonts w:asciiTheme="minorHAnsi" w:eastAsiaTheme="minorHAnsi" w:hAnsiTheme="minorHAnsi" w:cstheme="minorBidi"/>
          <w:snapToGrid/>
          <w:sz w:val="24"/>
          <w:szCs w:val="22"/>
        </w:rPr>
        <w:t>monotherapy</w:t>
      </w:r>
      <w:proofErr w:type="gramEnd"/>
      <w:r w:rsidRPr="00B70CFC">
        <w:rPr>
          <w:rFonts w:asciiTheme="minorHAnsi" w:eastAsiaTheme="minorHAnsi" w:hAnsiTheme="minorHAnsi" w:cstheme="minorBidi"/>
          <w:snapToGrid/>
          <w:sz w:val="24"/>
          <w:szCs w:val="22"/>
        </w:rPr>
        <w:t xml:space="preserve">. The PBAC had not previously considered </w:t>
      </w:r>
      <w:r w:rsidRPr="00B70CFC">
        <w:rPr>
          <w:rFonts w:asciiTheme="minorHAnsi" w:eastAsiaTheme="minorHAnsi" w:hAnsiTheme="minorHAnsi" w:cstheme="minorBidi"/>
          <w:i/>
          <w:snapToGrid/>
          <w:sz w:val="24"/>
          <w:szCs w:val="22"/>
        </w:rPr>
        <w:t>nab</w:t>
      </w:r>
      <w:r w:rsidRPr="00B70CFC">
        <w:rPr>
          <w:rFonts w:asciiTheme="minorHAnsi" w:eastAsiaTheme="minorHAnsi" w:hAnsiTheme="minorHAnsi" w:cstheme="minorBidi"/>
          <w:snapToGrid/>
          <w:sz w:val="24"/>
          <w:szCs w:val="22"/>
        </w:rPr>
        <w:t xml:space="preserve">-paclitaxel for this indication. </w:t>
      </w:r>
    </w:p>
    <w:p w:rsidR="00954929" w:rsidRPr="00B70CFC" w:rsidRDefault="00954929" w:rsidP="00F62236">
      <w:pPr>
        <w:pStyle w:val="PBACHeading1"/>
        <w:numPr>
          <w:ilvl w:val="1"/>
          <w:numId w:val="5"/>
        </w:numPr>
        <w:spacing w:before="160" w:after="120"/>
        <w:outlineLvl w:val="9"/>
        <w:rPr>
          <w:rFonts w:asciiTheme="minorHAnsi" w:hAnsiTheme="minorHAnsi"/>
          <w:b w:val="0"/>
          <w:sz w:val="24"/>
          <w:szCs w:val="24"/>
        </w:rPr>
      </w:pPr>
      <w:r w:rsidRPr="00B70CFC">
        <w:rPr>
          <w:rFonts w:asciiTheme="minorHAnsi" w:eastAsiaTheme="minorHAnsi" w:hAnsiTheme="minorHAnsi" w:cstheme="minorBidi"/>
          <w:b w:val="0"/>
          <w:snapToGrid/>
          <w:sz w:val="24"/>
        </w:rPr>
        <w:t xml:space="preserve">The PBAC noted at the March 2014 meeting that the 250 mg vial of </w:t>
      </w:r>
      <w:r w:rsidRPr="00B70CFC">
        <w:rPr>
          <w:rFonts w:asciiTheme="minorHAnsi" w:eastAsiaTheme="minorHAnsi" w:hAnsiTheme="minorHAnsi" w:cstheme="minorBidi"/>
          <w:b w:val="0"/>
          <w:i/>
          <w:snapToGrid/>
          <w:sz w:val="24"/>
        </w:rPr>
        <w:t>nab</w:t>
      </w:r>
      <w:r w:rsidRPr="00B70CFC">
        <w:rPr>
          <w:rFonts w:asciiTheme="minorHAnsi" w:eastAsiaTheme="minorHAnsi" w:hAnsiTheme="minorHAnsi" w:cstheme="minorBidi"/>
          <w:b w:val="0"/>
          <w:snapToGrid/>
          <w:sz w:val="24"/>
        </w:rPr>
        <w:t>-paclitaxel was not yet TGA registered, and considered that the absence of the 250 mg vial may increase wastage.</w:t>
      </w:r>
    </w:p>
    <w:p w:rsidR="00304503" w:rsidRPr="00B70CFC" w:rsidRDefault="00AB5142" w:rsidP="00F62236">
      <w:pPr>
        <w:pStyle w:val="ListParagraph"/>
        <w:widowControl/>
        <w:numPr>
          <w:ilvl w:val="1"/>
          <w:numId w:val="5"/>
        </w:numPr>
        <w:spacing w:before="160" w:after="120"/>
        <w:contextualSpacing w:val="0"/>
        <w:rPr>
          <w:rFonts w:asciiTheme="minorHAnsi" w:eastAsiaTheme="minorHAnsi" w:hAnsiTheme="minorHAnsi" w:cstheme="minorBidi"/>
          <w:snapToGrid/>
          <w:sz w:val="24"/>
          <w:szCs w:val="22"/>
        </w:rPr>
      </w:pPr>
      <w:r w:rsidRPr="00B70CFC">
        <w:rPr>
          <w:rFonts w:asciiTheme="minorHAnsi" w:eastAsiaTheme="minorHAnsi" w:hAnsiTheme="minorHAnsi" w:cstheme="minorBidi"/>
          <w:i/>
          <w:snapToGrid/>
          <w:sz w:val="24"/>
          <w:szCs w:val="22"/>
        </w:rPr>
        <w:lastRenderedPageBreak/>
        <w:t>Nab</w:t>
      </w:r>
      <w:r w:rsidRPr="00B70CFC">
        <w:rPr>
          <w:rFonts w:asciiTheme="minorHAnsi" w:eastAsiaTheme="minorHAnsi" w:hAnsiTheme="minorHAnsi" w:cstheme="minorBidi"/>
          <w:snapToGrid/>
          <w:sz w:val="24"/>
          <w:szCs w:val="22"/>
        </w:rPr>
        <w:t>-paclitaxel</w:t>
      </w:r>
      <w:r w:rsidR="00304503" w:rsidRPr="00B70CFC">
        <w:rPr>
          <w:rFonts w:asciiTheme="minorHAnsi" w:eastAsiaTheme="minorHAnsi" w:hAnsiTheme="minorHAnsi" w:cstheme="minorBidi"/>
          <w:snapToGrid/>
          <w:sz w:val="24"/>
          <w:szCs w:val="22"/>
        </w:rPr>
        <w:t xml:space="preserve"> 100 mg vial </w:t>
      </w:r>
      <w:proofErr w:type="gramStart"/>
      <w:r w:rsidR="00304503" w:rsidRPr="00B70CFC">
        <w:rPr>
          <w:rFonts w:asciiTheme="minorHAnsi" w:eastAsiaTheme="minorHAnsi" w:hAnsiTheme="minorHAnsi" w:cstheme="minorBidi"/>
          <w:snapToGrid/>
          <w:sz w:val="24"/>
          <w:szCs w:val="22"/>
        </w:rPr>
        <w:t>was listed</w:t>
      </w:r>
      <w:proofErr w:type="gramEnd"/>
      <w:r>
        <w:rPr>
          <w:rFonts w:asciiTheme="minorHAnsi" w:eastAsiaTheme="minorHAnsi" w:hAnsiTheme="minorHAnsi" w:cstheme="minorBidi"/>
          <w:snapToGrid/>
          <w:sz w:val="24"/>
          <w:szCs w:val="22"/>
        </w:rPr>
        <w:t xml:space="preserve"> on 1 November 2014 for </w:t>
      </w:r>
      <w:r w:rsidRPr="00AB5142">
        <w:rPr>
          <w:rFonts w:asciiTheme="minorHAnsi" w:eastAsiaTheme="minorHAnsi" w:hAnsiTheme="minorHAnsi" w:cstheme="minorBidi"/>
          <w:snapToGrid/>
          <w:sz w:val="24"/>
          <w:szCs w:val="22"/>
        </w:rPr>
        <w:t>Stage IV (metastatic) adenocarcinoma of the pancreas</w:t>
      </w:r>
      <w:r w:rsidR="00304503" w:rsidRPr="00B70CFC">
        <w:rPr>
          <w:rFonts w:asciiTheme="minorHAnsi" w:eastAsiaTheme="minorHAnsi" w:hAnsiTheme="minorHAnsi" w:cstheme="minorBidi"/>
          <w:snapToGrid/>
          <w:sz w:val="24"/>
          <w:szCs w:val="22"/>
        </w:rPr>
        <w:t>.</w:t>
      </w:r>
    </w:p>
    <w:p w:rsidR="00C962FA" w:rsidRPr="00B70CFC" w:rsidRDefault="00954929" w:rsidP="00F62236">
      <w:pPr>
        <w:pStyle w:val="ListParagraph"/>
        <w:widowControl/>
        <w:numPr>
          <w:ilvl w:val="1"/>
          <w:numId w:val="5"/>
        </w:numPr>
        <w:spacing w:before="16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rPr>
        <w:t>A</w:t>
      </w:r>
      <w:r w:rsidR="00C962FA" w:rsidRPr="00B70CFC">
        <w:rPr>
          <w:rFonts w:asciiTheme="minorHAnsi" w:eastAsiaTheme="minorHAnsi" w:hAnsiTheme="minorHAnsi" w:cstheme="minorBidi"/>
          <w:snapToGrid/>
          <w:sz w:val="24"/>
        </w:rPr>
        <w:t xml:space="preserve"> minor submission </w:t>
      </w:r>
      <w:proofErr w:type="gramStart"/>
      <w:r w:rsidR="00C962FA" w:rsidRPr="00B70CFC">
        <w:rPr>
          <w:rFonts w:asciiTheme="minorHAnsi" w:eastAsiaTheme="minorHAnsi" w:hAnsiTheme="minorHAnsi" w:cstheme="minorBidi"/>
          <w:snapToGrid/>
          <w:sz w:val="24"/>
        </w:rPr>
        <w:t>was</w:t>
      </w:r>
      <w:r>
        <w:rPr>
          <w:rFonts w:asciiTheme="minorHAnsi" w:eastAsiaTheme="minorHAnsi" w:hAnsiTheme="minorHAnsi" w:cstheme="minorBidi"/>
          <w:snapToGrid/>
          <w:sz w:val="24"/>
        </w:rPr>
        <w:t xml:space="preserve"> submitted</w:t>
      </w:r>
      <w:proofErr w:type="gramEnd"/>
      <w:r>
        <w:rPr>
          <w:rFonts w:asciiTheme="minorHAnsi" w:eastAsiaTheme="minorHAnsi" w:hAnsiTheme="minorHAnsi" w:cstheme="minorBidi"/>
          <w:snapToGrid/>
          <w:sz w:val="24"/>
        </w:rPr>
        <w:t xml:space="preserve"> to the November 2018 PBAC meeting</w:t>
      </w:r>
      <w:r w:rsidR="00C962FA" w:rsidRPr="00B70CFC">
        <w:rPr>
          <w:rFonts w:asciiTheme="minorHAnsi" w:eastAsiaTheme="minorHAnsi" w:hAnsiTheme="minorHAnsi" w:cstheme="minorBidi"/>
          <w:snapToGrid/>
          <w:sz w:val="24"/>
        </w:rPr>
        <w:t xml:space="preserve"> seeking a price increase for use in pancreatic cancer and reimbursement of a 250 mg vial presentation. However, </w:t>
      </w:r>
      <w:r w:rsidR="00517AAE">
        <w:rPr>
          <w:rFonts w:asciiTheme="minorHAnsi" w:eastAsiaTheme="minorHAnsi" w:hAnsiTheme="minorHAnsi" w:cstheme="minorBidi"/>
          <w:snapToGrid/>
          <w:sz w:val="24"/>
        </w:rPr>
        <w:t xml:space="preserve">the 250 mg vial presentation was </w:t>
      </w:r>
      <w:r w:rsidR="00936826">
        <w:rPr>
          <w:rFonts w:asciiTheme="minorHAnsi" w:eastAsiaTheme="minorHAnsi" w:hAnsiTheme="minorHAnsi" w:cstheme="minorBidi"/>
          <w:snapToGrid/>
          <w:sz w:val="24"/>
        </w:rPr>
        <w:t xml:space="preserve">concurrently </w:t>
      </w:r>
      <w:r w:rsidR="00517AAE">
        <w:rPr>
          <w:rFonts w:asciiTheme="minorHAnsi" w:eastAsiaTheme="minorHAnsi" w:hAnsiTheme="minorHAnsi" w:cstheme="minorBidi"/>
          <w:snapToGrid/>
          <w:sz w:val="24"/>
        </w:rPr>
        <w:t xml:space="preserve">under </w:t>
      </w:r>
      <w:r w:rsidR="00F23415">
        <w:rPr>
          <w:rFonts w:asciiTheme="minorHAnsi" w:eastAsiaTheme="minorHAnsi" w:hAnsiTheme="minorHAnsi" w:cstheme="minorBidi"/>
          <w:snapToGrid/>
          <w:sz w:val="24"/>
        </w:rPr>
        <w:t xml:space="preserve">TGA </w:t>
      </w:r>
      <w:r w:rsidR="00517AAE">
        <w:rPr>
          <w:rFonts w:asciiTheme="minorHAnsi" w:eastAsiaTheme="minorHAnsi" w:hAnsiTheme="minorHAnsi" w:cstheme="minorBidi"/>
          <w:snapToGrid/>
          <w:sz w:val="24"/>
        </w:rPr>
        <w:t>evaluation</w:t>
      </w:r>
      <w:r w:rsidR="00F23415">
        <w:rPr>
          <w:rFonts w:asciiTheme="minorHAnsi" w:eastAsiaTheme="minorHAnsi" w:hAnsiTheme="minorHAnsi" w:cstheme="minorBidi"/>
          <w:snapToGrid/>
          <w:sz w:val="24"/>
        </w:rPr>
        <w:t xml:space="preserve"> for registration</w:t>
      </w:r>
      <w:r w:rsidR="00517AAE">
        <w:rPr>
          <w:rFonts w:asciiTheme="minorHAnsi" w:eastAsiaTheme="minorHAnsi" w:hAnsiTheme="minorHAnsi" w:cstheme="minorBidi"/>
          <w:snapToGrid/>
          <w:sz w:val="24"/>
        </w:rPr>
        <w:t xml:space="preserve"> and a Delegate’s overview was not available at the time of submission</w:t>
      </w:r>
      <w:r w:rsidR="009A327C" w:rsidRPr="00B70CFC">
        <w:rPr>
          <w:rFonts w:asciiTheme="minorHAnsi" w:eastAsiaTheme="minorHAnsi" w:hAnsiTheme="minorHAnsi" w:cstheme="minorBidi"/>
          <w:snapToGrid/>
          <w:sz w:val="24"/>
        </w:rPr>
        <w:t>.</w:t>
      </w:r>
      <w:r w:rsidR="00C962FA" w:rsidRPr="00B70CFC">
        <w:rPr>
          <w:rFonts w:asciiTheme="minorHAnsi" w:eastAsiaTheme="minorHAnsi" w:hAnsiTheme="minorHAnsi" w:cstheme="minorBidi"/>
          <w:snapToGrid/>
          <w:sz w:val="24"/>
        </w:rPr>
        <w:t xml:space="preserve"> </w:t>
      </w:r>
      <w:r w:rsidR="009A327C" w:rsidRPr="00B70CFC">
        <w:rPr>
          <w:rFonts w:asciiTheme="minorHAnsi" w:eastAsiaTheme="minorHAnsi" w:hAnsiTheme="minorHAnsi" w:cstheme="minorBidi"/>
          <w:snapToGrid/>
          <w:sz w:val="24"/>
        </w:rPr>
        <w:t>The sponsor</w:t>
      </w:r>
      <w:r w:rsidR="00C962FA" w:rsidRPr="00B70CFC">
        <w:rPr>
          <w:rFonts w:asciiTheme="minorHAnsi" w:eastAsiaTheme="minorHAnsi" w:hAnsiTheme="minorHAnsi" w:cstheme="minorBidi"/>
          <w:snapToGrid/>
          <w:sz w:val="24"/>
        </w:rPr>
        <w:t xml:space="preserve"> </w:t>
      </w:r>
      <w:proofErr w:type="gramStart"/>
      <w:r w:rsidR="00C962FA" w:rsidRPr="00B70CFC">
        <w:rPr>
          <w:rFonts w:asciiTheme="minorHAnsi" w:eastAsiaTheme="minorHAnsi" w:hAnsiTheme="minorHAnsi" w:cstheme="minorBidi"/>
          <w:snapToGrid/>
          <w:sz w:val="24"/>
        </w:rPr>
        <w:t>was notified</w:t>
      </w:r>
      <w:proofErr w:type="gramEnd"/>
      <w:r w:rsidR="00C962FA" w:rsidRPr="00B70CFC">
        <w:rPr>
          <w:rFonts w:asciiTheme="minorHAnsi" w:eastAsiaTheme="minorHAnsi" w:hAnsiTheme="minorHAnsi" w:cstheme="minorBidi"/>
          <w:snapToGrid/>
          <w:sz w:val="24"/>
        </w:rPr>
        <w:t xml:space="preserve"> that the TGA/PBAC parallel process was not available for minor submissions</w:t>
      </w:r>
      <w:r w:rsidR="007846D5" w:rsidRPr="00B70CFC">
        <w:rPr>
          <w:rFonts w:asciiTheme="minorHAnsi" w:eastAsiaTheme="minorHAnsi" w:hAnsiTheme="minorHAnsi" w:cstheme="minorBidi"/>
          <w:snapToGrid/>
          <w:sz w:val="24"/>
        </w:rPr>
        <w:t xml:space="preserve"> and therefore the</w:t>
      </w:r>
      <w:r w:rsidR="003E3E93" w:rsidRPr="00B70CFC">
        <w:rPr>
          <w:rFonts w:asciiTheme="minorHAnsi" w:eastAsiaTheme="minorHAnsi" w:hAnsiTheme="minorHAnsi" w:cstheme="minorBidi"/>
          <w:snapToGrid/>
          <w:sz w:val="24"/>
        </w:rPr>
        <w:t xml:space="preserve"> submission proceeded to the November 2018 meeting for consideration of the price increase request only.</w:t>
      </w:r>
    </w:p>
    <w:p w:rsidR="00A56E0D" w:rsidRPr="00B70CFC" w:rsidRDefault="00304503" w:rsidP="00F62236">
      <w:pPr>
        <w:pStyle w:val="PBACHeading1"/>
        <w:numPr>
          <w:ilvl w:val="1"/>
          <w:numId w:val="5"/>
        </w:numPr>
        <w:spacing w:before="160" w:after="120"/>
        <w:outlineLvl w:val="9"/>
        <w:rPr>
          <w:rFonts w:asciiTheme="minorHAnsi" w:hAnsiTheme="minorHAnsi"/>
          <w:b w:val="0"/>
          <w:sz w:val="24"/>
          <w:szCs w:val="24"/>
        </w:rPr>
      </w:pPr>
      <w:r w:rsidRPr="00B70CFC">
        <w:rPr>
          <w:rFonts w:asciiTheme="minorHAnsi" w:hAnsiTheme="minorHAnsi"/>
          <w:b w:val="0"/>
          <w:sz w:val="24"/>
          <w:szCs w:val="24"/>
        </w:rPr>
        <w:t xml:space="preserve">At its November 2018 </w:t>
      </w:r>
      <w:r w:rsidR="00B70CFC">
        <w:rPr>
          <w:rFonts w:asciiTheme="minorHAnsi" w:hAnsiTheme="minorHAnsi"/>
          <w:b w:val="0"/>
          <w:sz w:val="24"/>
          <w:szCs w:val="24"/>
        </w:rPr>
        <w:t>M</w:t>
      </w:r>
      <w:r w:rsidR="00B70CFC" w:rsidRPr="00B70CFC">
        <w:rPr>
          <w:rFonts w:asciiTheme="minorHAnsi" w:hAnsiTheme="minorHAnsi"/>
          <w:b w:val="0"/>
          <w:sz w:val="24"/>
          <w:szCs w:val="24"/>
        </w:rPr>
        <w:t>eeting</w:t>
      </w:r>
      <w:r w:rsidR="00B70CFC">
        <w:rPr>
          <w:rFonts w:asciiTheme="minorHAnsi" w:hAnsiTheme="minorHAnsi"/>
          <w:b w:val="0"/>
          <w:sz w:val="24"/>
          <w:szCs w:val="24"/>
        </w:rPr>
        <w:t>,</w:t>
      </w:r>
      <w:r w:rsidR="00B70CFC" w:rsidRPr="00B70CFC">
        <w:rPr>
          <w:rFonts w:asciiTheme="minorHAnsi" w:hAnsiTheme="minorHAnsi"/>
          <w:b w:val="0"/>
          <w:sz w:val="24"/>
          <w:szCs w:val="24"/>
        </w:rPr>
        <w:t xml:space="preserve"> </w:t>
      </w:r>
      <w:r w:rsidR="0007486A" w:rsidRPr="00B70CFC">
        <w:rPr>
          <w:rFonts w:asciiTheme="minorHAnsi" w:hAnsiTheme="minorHAnsi"/>
          <w:b w:val="0"/>
          <w:sz w:val="24"/>
          <w:szCs w:val="24"/>
        </w:rPr>
        <w:t>t</w:t>
      </w:r>
      <w:r w:rsidR="009F1DB8" w:rsidRPr="00B70CFC">
        <w:rPr>
          <w:rFonts w:asciiTheme="minorHAnsi" w:hAnsiTheme="minorHAnsi"/>
          <w:b w:val="0"/>
          <w:sz w:val="24"/>
          <w:szCs w:val="24"/>
        </w:rPr>
        <w:t xml:space="preserve">he PBAC did not recommend the request for an increase in the price of </w:t>
      </w:r>
      <w:r w:rsidR="009F1DB8" w:rsidRPr="00B70CFC">
        <w:rPr>
          <w:rFonts w:asciiTheme="minorHAnsi" w:hAnsiTheme="minorHAnsi"/>
          <w:b w:val="0"/>
          <w:i/>
          <w:sz w:val="24"/>
          <w:szCs w:val="24"/>
        </w:rPr>
        <w:t>nab</w:t>
      </w:r>
      <w:r w:rsidR="009F1DB8" w:rsidRPr="00B70CFC">
        <w:rPr>
          <w:rFonts w:asciiTheme="minorHAnsi" w:hAnsiTheme="minorHAnsi"/>
          <w:b w:val="0"/>
          <w:sz w:val="24"/>
          <w:szCs w:val="24"/>
        </w:rPr>
        <w:t>-paclitaxel for use in pancreatic cancer as the submission did not provide an adequate justification for a price increase.</w:t>
      </w:r>
      <w:r w:rsidR="000C7631" w:rsidRPr="00B70CFC">
        <w:rPr>
          <w:rFonts w:asciiTheme="minorHAnsi" w:hAnsiTheme="minorHAnsi"/>
          <w:b w:val="0"/>
          <w:sz w:val="24"/>
          <w:szCs w:val="24"/>
        </w:rPr>
        <w:t xml:space="preserve"> </w:t>
      </w:r>
      <w:r w:rsidR="00DC2FAC" w:rsidRPr="00B70CFC">
        <w:rPr>
          <w:rFonts w:asciiTheme="minorHAnsi" w:hAnsiTheme="minorHAnsi"/>
          <w:b w:val="0"/>
          <w:sz w:val="24"/>
          <w:szCs w:val="24"/>
        </w:rPr>
        <w:t>The PBAC noted the Department’s advice that the sponsor has the option of approaching the Department to change or remove its special pricing arrangement as such arrangements are put in place at the request of the sponsor. The PBAC further noted that removing the special pricing arrangement would remove the rebate, thus resolving the issue described by the sponsor.</w:t>
      </w:r>
    </w:p>
    <w:p w:rsidR="00F23415" w:rsidRPr="00B70CFC" w:rsidRDefault="00F23415" w:rsidP="00F62236">
      <w:pPr>
        <w:pStyle w:val="PBACHeading1"/>
        <w:numPr>
          <w:ilvl w:val="1"/>
          <w:numId w:val="5"/>
        </w:numPr>
        <w:spacing w:before="160" w:after="120"/>
        <w:outlineLvl w:val="9"/>
        <w:rPr>
          <w:rFonts w:asciiTheme="minorHAnsi" w:hAnsiTheme="minorHAnsi"/>
          <w:b w:val="0"/>
          <w:sz w:val="24"/>
          <w:szCs w:val="24"/>
        </w:rPr>
      </w:pPr>
      <w:r w:rsidRPr="00B70CFC">
        <w:rPr>
          <w:rFonts w:asciiTheme="minorHAnsi" w:eastAsiaTheme="minorHAnsi" w:hAnsiTheme="minorHAnsi" w:cstheme="minorBidi"/>
          <w:b w:val="0"/>
          <w:snapToGrid/>
          <w:sz w:val="24"/>
        </w:rPr>
        <w:t xml:space="preserve">The 250 mg vial of </w:t>
      </w:r>
      <w:r w:rsidRPr="00B70CFC">
        <w:rPr>
          <w:rFonts w:asciiTheme="minorHAnsi" w:eastAsiaTheme="minorHAnsi" w:hAnsiTheme="minorHAnsi" w:cstheme="minorBidi"/>
          <w:b w:val="0"/>
          <w:i/>
          <w:snapToGrid/>
          <w:sz w:val="24"/>
        </w:rPr>
        <w:t>nab</w:t>
      </w:r>
      <w:r w:rsidRPr="00B70CFC">
        <w:rPr>
          <w:rFonts w:asciiTheme="minorHAnsi" w:eastAsiaTheme="minorHAnsi" w:hAnsiTheme="minorHAnsi" w:cstheme="minorBidi"/>
          <w:b w:val="0"/>
          <w:snapToGrid/>
          <w:sz w:val="24"/>
        </w:rPr>
        <w:t xml:space="preserve">-paclitaxel </w:t>
      </w:r>
      <w:proofErr w:type="gramStart"/>
      <w:r w:rsidRPr="00B70CFC">
        <w:rPr>
          <w:rFonts w:asciiTheme="minorHAnsi" w:eastAsiaTheme="minorHAnsi" w:hAnsiTheme="minorHAnsi" w:cstheme="minorBidi"/>
          <w:b w:val="0"/>
          <w:snapToGrid/>
          <w:sz w:val="24"/>
        </w:rPr>
        <w:t>was approved</w:t>
      </w:r>
      <w:proofErr w:type="gramEnd"/>
      <w:r w:rsidRPr="00B70CFC">
        <w:rPr>
          <w:rFonts w:asciiTheme="minorHAnsi" w:eastAsiaTheme="minorHAnsi" w:hAnsiTheme="minorHAnsi" w:cstheme="minorBidi"/>
          <w:b w:val="0"/>
          <w:snapToGrid/>
          <w:sz w:val="24"/>
        </w:rPr>
        <w:t xml:space="preserve"> by the TGA on 27 November 2018 for the same indication as 100 mg vial.</w:t>
      </w:r>
    </w:p>
    <w:p w:rsidR="0007486A" w:rsidRPr="00B70CFC" w:rsidRDefault="00BE3AEE" w:rsidP="00F62236">
      <w:pPr>
        <w:pStyle w:val="PBACHeading1"/>
        <w:numPr>
          <w:ilvl w:val="1"/>
          <w:numId w:val="5"/>
        </w:numPr>
        <w:spacing w:before="160" w:after="120"/>
        <w:outlineLvl w:val="9"/>
        <w:rPr>
          <w:rFonts w:asciiTheme="minorHAnsi" w:hAnsiTheme="minorHAnsi"/>
          <w:b w:val="0"/>
          <w:sz w:val="24"/>
          <w:szCs w:val="24"/>
        </w:rPr>
      </w:pPr>
      <w:r w:rsidRPr="00B70CFC">
        <w:rPr>
          <w:rFonts w:asciiTheme="minorHAnsi" w:hAnsiTheme="minorHAnsi"/>
          <w:b w:val="0"/>
          <w:sz w:val="24"/>
          <w:szCs w:val="24"/>
        </w:rPr>
        <w:t>In this minor</w:t>
      </w:r>
      <w:r w:rsidR="00945DD4" w:rsidRPr="00B70CFC">
        <w:rPr>
          <w:rFonts w:asciiTheme="minorHAnsi" w:hAnsiTheme="minorHAnsi"/>
          <w:b w:val="0"/>
          <w:sz w:val="24"/>
          <w:szCs w:val="24"/>
        </w:rPr>
        <w:t xml:space="preserve"> </w:t>
      </w:r>
      <w:r w:rsidRPr="00B70CFC">
        <w:rPr>
          <w:rFonts w:asciiTheme="minorHAnsi" w:hAnsiTheme="minorHAnsi"/>
          <w:b w:val="0"/>
          <w:sz w:val="24"/>
          <w:szCs w:val="24"/>
        </w:rPr>
        <w:t>submission, t</w:t>
      </w:r>
      <w:r w:rsidR="0007486A" w:rsidRPr="00B70CFC">
        <w:rPr>
          <w:rFonts w:asciiTheme="minorHAnsi" w:hAnsiTheme="minorHAnsi"/>
          <w:b w:val="0"/>
          <w:sz w:val="24"/>
          <w:szCs w:val="24"/>
        </w:rPr>
        <w:t>he sponsor requested a price increase</w:t>
      </w:r>
      <w:r w:rsidRPr="00B70CFC">
        <w:rPr>
          <w:rFonts w:asciiTheme="minorHAnsi" w:hAnsiTheme="minorHAnsi"/>
          <w:b w:val="0"/>
          <w:sz w:val="24"/>
          <w:szCs w:val="24"/>
        </w:rPr>
        <w:t xml:space="preserve"> </w:t>
      </w:r>
      <w:r w:rsidR="00C744B6" w:rsidRPr="00B70CFC">
        <w:rPr>
          <w:rFonts w:asciiTheme="minorHAnsi" w:hAnsiTheme="minorHAnsi"/>
          <w:b w:val="0"/>
          <w:sz w:val="24"/>
          <w:szCs w:val="24"/>
        </w:rPr>
        <w:t xml:space="preserve">based only on the reduction of wastage due to the availability of the 250 mg vial. </w:t>
      </w:r>
      <w:r w:rsidR="000D52AD" w:rsidRPr="00B70CFC">
        <w:rPr>
          <w:rFonts w:asciiTheme="minorHAnsi" w:hAnsiTheme="minorHAnsi"/>
          <w:b w:val="0"/>
          <w:sz w:val="24"/>
          <w:szCs w:val="24"/>
        </w:rPr>
        <w:t>The sponsor state</w:t>
      </w:r>
      <w:r w:rsidRPr="00B70CFC">
        <w:rPr>
          <w:rFonts w:asciiTheme="minorHAnsi" w:hAnsiTheme="minorHAnsi"/>
          <w:b w:val="0"/>
          <w:sz w:val="24"/>
          <w:szCs w:val="24"/>
        </w:rPr>
        <w:t>d that the cost per patient would</w:t>
      </w:r>
      <w:r w:rsidR="000D52AD" w:rsidRPr="00B70CFC">
        <w:rPr>
          <w:rFonts w:asciiTheme="minorHAnsi" w:hAnsiTheme="minorHAnsi"/>
          <w:b w:val="0"/>
          <w:sz w:val="24"/>
          <w:szCs w:val="24"/>
        </w:rPr>
        <w:t xml:space="preserve"> remain the same. </w:t>
      </w:r>
    </w:p>
    <w:p w:rsidR="00E70265" w:rsidRPr="00B70CFC" w:rsidRDefault="00E70265" w:rsidP="00F62236">
      <w:pPr>
        <w:pStyle w:val="Heading2"/>
        <w:keepLines/>
        <w:spacing w:before="240" w:after="120"/>
        <w:rPr>
          <w:rFonts w:asciiTheme="minorHAnsi" w:eastAsiaTheme="majorEastAsia" w:hAnsiTheme="minorHAnsi" w:cstheme="majorBidi"/>
          <w:sz w:val="28"/>
          <w:szCs w:val="28"/>
          <w:lang w:eastAsia="en-US"/>
        </w:rPr>
      </w:pPr>
      <w:r w:rsidRPr="00B70CFC">
        <w:rPr>
          <w:rFonts w:asciiTheme="minorHAnsi" w:eastAsiaTheme="majorEastAsia" w:hAnsiTheme="minorHAnsi" w:cstheme="majorBidi"/>
          <w:sz w:val="28"/>
          <w:szCs w:val="28"/>
          <w:lang w:eastAsia="en-US"/>
        </w:rPr>
        <w:t>Current situation</w:t>
      </w:r>
    </w:p>
    <w:p w:rsidR="00E70265" w:rsidRPr="00B70CFC" w:rsidRDefault="00E70265" w:rsidP="00F62236">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B70CFC">
        <w:rPr>
          <w:rFonts w:asciiTheme="minorHAnsi" w:eastAsiaTheme="minorHAnsi" w:hAnsiTheme="minorHAnsi" w:cstheme="minorBidi"/>
          <w:snapToGrid/>
          <w:sz w:val="24"/>
          <w:szCs w:val="22"/>
        </w:rPr>
        <w:t xml:space="preserve">The current Deed of Agreement for </w:t>
      </w:r>
      <w:r w:rsidRPr="00B70CFC">
        <w:rPr>
          <w:rFonts w:asciiTheme="minorHAnsi" w:eastAsiaTheme="minorHAnsi" w:hAnsiTheme="minorHAnsi" w:cstheme="minorBidi"/>
          <w:i/>
          <w:snapToGrid/>
          <w:sz w:val="24"/>
          <w:szCs w:val="22"/>
        </w:rPr>
        <w:t>nab</w:t>
      </w:r>
      <w:r w:rsidRPr="00B70CFC">
        <w:rPr>
          <w:rFonts w:asciiTheme="minorHAnsi" w:eastAsiaTheme="minorHAnsi" w:hAnsiTheme="minorHAnsi" w:cstheme="minorBidi"/>
          <w:snapToGrid/>
          <w:sz w:val="24"/>
          <w:szCs w:val="22"/>
        </w:rPr>
        <w:t xml:space="preserve">-paclitaxel includes a </w:t>
      </w:r>
      <w:r w:rsidR="00456DBC" w:rsidRPr="00B70CFC">
        <w:rPr>
          <w:rFonts w:asciiTheme="minorHAnsi" w:eastAsiaTheme="minorHAnsi" w:hAnsiTheme="minorHAnsi" w:cstheme="minorBidi"/>
          <w:snapToGrid/>
          <w:sz w:val="24"/>
          <w:szCs w:val="22"/>
        </w:rPr>
        <w:t>s</w:t>
      </w:r>
      <w:r w:rsidRPr="00B70CFC">
        <w:rPr>
          <w:rFonts w:asciiTheme="minorHAnsi" w:eastAsiaTheme="minorHAnsi" w:hAnsiTheme="minorHAnsi" w:cstheme="minorBidi"/>
          <w:snapToGrid/>
          <w:sz w:val="24"/>
          <w:szCs w:val="22"/>
        </w:rPr>
        <w:t xml:space="preserve">pecial </w:t>
      </w:r>
      <w:r w:rsidR="00456DBC" w:rsidRPr="00B70CFC">
        <w:rPr>
          <w:rFonts w:asciiTheme="minorHAnsi" w:eastAsiaTheme="minorHAnsi" w:hAnsiTheme="minorHAnsi" w:cstheme="minorBidi"/>
          <w:snapToGrid/>
          <w:sz w:val="24"/>
          <w:szCs w:val="22"/>
        </w:rPr>
        <w:t>p</w:t>
      </w:r>
      <w:r w:rsidRPr="00B70CFC">
        <w:rPr>
          <w:rFonts w:asciiTheme="minorHAnsi" w:eastAsiaTheme="minorHAnsi" w:hAnsiTheme="minorHAnsi" w:cstheme="minorBidi"/>
          <w:snapToGrid/>
          <w:sz w:val="24"/>
          <w:szCs w:val="22"/>
        </w:rPr>
        <w:t xml:space="preserve">ricing </w:t>
      </w:r>
      <w:r w:rsidR="00456DBC" w:rsidRPr="00B70CFC">
        <w:rPr>
          <w:rFonts w:asciiTheme="minorHAnsi" w:eastAsiaTheme="minorHAnsi" w:hAnsiTheme="minorHAnsi" w:cstheme="minorBidi"/>
          <w:snapToGrid/>
          <w:sz w:val="24"/>
          <w:szCs w:val="22"/>
        </w:rPr>
        <w:t>a</w:t>
      </w:r>
      <w:r w:rsidRPr="00B70CFC">
        <w:rPr>
          <w:rFonts w:asciiTheme="minorHAnsi" w:eastAsiaTheme="minorHAnsi" w:hAnsiTheme="minorHAnsi" w:cstheme="minorBidi"/>
          <w:snapToGrid/>
          <w:sz w:val="24"/>
          <w:szCs w:val="22"/>
        </w:rPr>
        <w:t xml:space="preserve">rrangement consisting of a </w:t>
      </w:r>
      <w:proofErr w:type="gramStart"/>
      <w:r w:rsidR="000B270D">
        <w:rPr>
          <w:rFonts w:asciiTheme="minorHAnsi" w:eastAsiaTheme="minorHAnsi" w:hAnsiTheme="minorHAnsi" w:cstheme="minorBidi"/>
          <w:noProof/>
          <w:snapToGrid/>
          <w:color w:val="000000"/>
          <w:sz w:val="24"/>
          <w:szCs w:val="22"/>
          <w:highlight w:val="black"/>
        </w:rPr>
        <w:t>''''''''</w:t>
      </w:r>
      <w:r w:rsidRPr="00B70CFC">
        <w:rPr>
          <w:rFonts w:asciiTheme="minorHAnsi" w:eastAsiaTheme="minorHAnsi" w:hAnsiTheme="minorHAnsi" w:cstheme="minorBidi"/>
          <w:snapToGrid/>
          <w:sz w:val="24"/>
          <w:szCs w:val="22"/>
        </w:rPr>
        <w:t>%</w:t>
      </w:r>
      <w:proofErr w:type="gramEnd"/>
      <w:r w:rsidRPr="00B70CFC">
        <w:rPr>
          <w:rFonts w:asciiTheme="minorHAnsi" w:eastAsiaTheme="minorHAnsi" w:hAnsiTheme="minorHAnsi" w:cstheme="minorBidi"/>
          <w:snapToGrid/>
          <w:sz w:val="24"/>
          <w:szCs w:val="22"/>
        </w:rPr>
        <w:t xml:space="preserve"> rebate. </w:t>
      </w:r>
    </w:p>
    <w:p w:rsidR="00E70265" w:rsidRPr="00B70CFC" w:rsidRDefault="00E70265" w:rsidP="00F62236">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B70CFC">
        <w:rPr>
          <w:rFonts w:asciiTheme="minorHAnsi" w:eastAsiaTheme="minorHAnsi" w:hAnsiTheme="minorHAnsi" w:cstheme="minorBidi"/>
          <w:snapToGrid/>
          <w:sz w:val="24"/>
          <w:szCs w:val="22"/>
        </w:rPr>
        <w:t>The submission requested an increase in the effective dispensed price for maximum amount (DPMA)</w:t>
      </w:r>
      <w:r w:rsidR="00276FD0" w:rsidRPr="00B70CFC">
        <w:rPr>
          <w:rFonts w:asciiTheme="minorHAnsi" w:eastAsiaTheme="minorHAnsi" w:hAnsiTheme="minorHAnsi" w:cstheme="minorBidi"/>
          <w:snapToGrid/>
          <w:sz w:val="24"/>
          <w:szCs w:val="22"/>
        </w:rPr>
        <w:t xml:space="preserve"> for the 100 mg vial to $</w:t>
      </w:r>
      <w:r w:rsidR="000B270D">
        <w:rPr>
          <w:rFonts w:asciiTheme="minorHAnsi" w:eastAsiaTheme="minorHAnsi" w:hAnsiTheme="minorHAnsi" w:cstheme="minorBidi"/>
          <w:noProof/>
          <w:snapToGrid/>
          <w:color w:val="000000"/>
          <w:sz w:val="24"/>
          <w:szCs w:val="22"/>
          <w:highlight w:val="black"/>
        </w:rPr>
        <w:t>'''''''''''''''</w:t>
      </w:r>
      <w:r w:rsidRPr="00B70CFC">
        <w:rPr>
          <w:rFonts w:asciiTheme="minorHAnsi" w:eastAsiaTheme="minorHAnsi" w:hAnsiTheme="minorHAnsi" w:cstheme="minorBidi"/>
          <w:snapToGrid/>
          <w:sz w:val="24"/>
          <w:szCs w:val="22"/>
        </w:rPr>
        <w:t xml:space="preserve"> (</w:t>
      </w:r>
      <w:r w:rsidR="00276FD0" w:rsidRPr="00B70CFC">
        <w:rPr>
          <w:rFonts w:asciiTheme="minorHAnsi" w:eastAsiaTheme="minorHAnsi" w:hAnsiTheme="minorHAnsi" w:cstheme="minorBidi"/>
          <w:snapToGrid/>
          <w:sz w:val="24"/>
          <w:szCs w:val="22"/>
        </w:rPr>
        <w:t>private) and $</w:t>
      </w:r>
      <w:r w:rsidR="000B270D">
        <w:rPr>
          <w:rFonts w:asciiTheme="minorHAnsi" w:eastAsiaTheme="minorHAnsi" w:hAnsiTheme="minorHAnsi" w:cstheme="minorBidi"/>
          <w:noProof/>
          <w:snapToGrid/>
          <w:color w:val="000000"/>
          <w:sz w:val="24"/>
          <w:szCs w:val="22"/>
          <w:highlight w:val="black"/>
        </w:rPr>
        <w:t>''''''''''''''</w:t>
      </w:r>
      <w:r w:rsidR="00276FD0" w:rsidRPr="00B70CFC">
        <w:rPr>
          <w:rFonts w:asciiTheme="minorHAnsi" w:eastAsiaTheme="minorHAnsi" w:hAnsiTheme="minorHAnsi" w:cstheme="minorBidi"/>
          <w:snapToGrid/>
          <w:sz w:val="24"/>
          <w:szCs w:val="22"/>
        </w:rPr>
        <w:t xml:space="preserve"> (public). The requested price for the 250 mg vial is $</w:t>
      </w:r>
      <w:r w:rsidR="000B270D">
        <w:rPr>
          <w:rFonts w:asciiTheme="minorHAnsi" w:eastAsiaTheme="minorHAnsi" w:hAnsiTheme="minorHAnsi" w:cstheme="minorBidi"/>
          <w:noProof/>
          <w:snapToGrid/>
          <w:color w:val="000000"/>
          <w:sz w:val="24"/>
          <w:szCs w:val="22"/>
          <w:highlight w:val="black"/>
        </w:rPr>
        <w:t>'''''''''''''''</w:t>
      </w:r>
      <w:r w:rsidR="00276FD0" w:rsidRPr="00B70CFC">
        <w:rPr>
          <w:rFonts w:asciiTheme="minorHAnsi" w:eastAsiaTheme="minorHAnsi" w:hAnsiTheme="minorHAnsi" w:cstheme="minorBidi"/>
          <w:snapToGrid/>
          <w:sz w:val="24"/>
          <w:szCs w:val="22"/>
        </w:rPr>
        <w:t xml:space="preserve"> (private) and $</w:t>
      </w:r>
      <w:r w:rsidR="000B270D">
        <w:rPr>
          <w:rFonts w:asciiTheme="minorHAnsi" w:eastAsiaTheme="minorHAnsi" w:hAnsiTheme="minorHAnsi" w:cstheme="minorBidi"/>
          <w:noProof/>
          <w:snapToGrid/>
          <w:color w:val="000000"/>
          <w:sz w:val="24"/>
          <w:szCs w:val="22"/>
          <w:highlight w:val="black"/>
        </w:rPr>
        <w:t>''''''''''''''''</w:t>
      </w:r>
      <w:r w:rsidR="00276FD0" w:rsidRPr="00B70CFC">
        <w:rPr>
          <w:rFonts w:asciiTheme="minorHAnsi" w:eastAsiaTheme="minorHAnsi" w:hAnsiTheme="minorHAnsi" w:cstheme="minorBidi"/>
          <w:snapToGrid/>
          <w:sz w:val="24"/>
          <w:szCs w:val="22"/>
        </w:rPr>
        <w:t xml:space="preserve"> (public). The submission stated that listing of the 250 mg vial </w:t>
      </w:r>
      <w:r w:rsidR="000B56CF" w:rsidRPr="00B70CFC">
        <w:rPr>
          <w:rFonts w:asciiTheme="minorHAnsi" w:eastAsiaTheme="minorHAnsi" w:hAnsiTheme="minorHAnsi" w:cstheme="minorBidi"/>
          <w:snapToGrid/>
          <w:sz w:val="24"/>
          <w:szCs w:val="22"/>
        </w:rPr>
        <w:t>would</w:t>
      </w:r>
      <w:r w:rsidR="00276FD0" w:rsidRPr="00B70CFC">
        <w:rPr>
          <w:rFonts w:asciiTheme="minorHAnsi" w:eastAsiaTheme="minorHAnsi" w:hAnsiTheme="minorHAnsi" w:cstheme="minorBidi"/>
          <w:snapToGrid/>
          <w:sz w:val="24"/>
          <w:szCs w:val="22"/>
        </w:rPr>
        <w:t xml:space="preserve"> reduce wastage</w:t>
      </w:r>
      <w:r w:rsidR="00A50F37" w:rsidRPr="00B70CFC">
        <w:rPr>
          <w:rFonts w:asciiTheme="minorHAnsi" w:eastAsiaTheme="minorHAnsi" w:hAnsiTheme="minorHAnsi" w:cstheme="minorBidi"/>
          <w:snapToGrid/>
          <w:sz w:val="24"/>
          <w:szCs w:val="22"/>
        </w:rPr>
        <w:t>, using the September 20</w:t>
      </w:r>
      <w:r w:rsidR="003B1EDC" w:rsidRPr="00B70CFC">
        <w:rPr>
          <w:rFonts w:asciiTheme="minorHAnsi" w:eastAsiaTheme="minorHAnsi" w:hAnsiTheme="minorHAnsi" w:cstheme="minorBidi"/>
          <w:snapToGrid/>
          <w:sz w:val="24"/>
          <w:szCs w:val="22"/>
        </w:rPr>
        <w:t>17 DUSC report</w:t>
      </w:r>
      <w:r w:rsidR="00915193" w:rsidRPr="00B70CFC">
        <w:rPr>
          <w:rFonts w:asciiTheme="minorHAnsi" w:eastAsiaTheme="minorHAnsi" w:hAnsiTheme="minorHAnsi" w:cstheme="minorBidi"/>
          <w:snapToGrid/>
          <w:sz w:val="24"/>
          <w:szCs w:val="22"/>
        </w:rPr>
        <w:t xml:space="preserve"> as </w:t>
      </w:r>
      <w:r w:rsidR="00074907" w:rsidRPr="00B70CFC">
        <w:rPr>
          <w:rFonts w:asciiTheme="minorHAnsi" w:eastAsiaTheme="minorHAnsi" w:hAnsiTheme="minorHAnsi" w:cstheme="minorBidi"/>
          <w:snapToGrid/>
          <w:sz w:val="24"/>
          <w:szCs w:val="22"/>
        </w:rPr>
        <w:t>evidence</w:t>
      </w:r>
      <w:r w:rsidR="00915193" w:rsidRPr="00B70CFC">
        <w:rPr>
          <w:rFonts w:asciiTheme="minorHAnsi" w:eastAsiaTheme="minorHAnsi" w:hAnsiTheme="minorHAnsi" w:cstheme="minorBidi"/>
          <w:snapToGrid/>
          <w:sz w:val="24"/>
          <w:szCs w:val="22"/>
        </w:rPr>
        <w:t xml:space="preserve"> presented</w:t>
      </w:r>
      <w:r w:rsidR="003B1EDC" w:rsidRPr="00B70CFC">
        <w:rPr>
          <w:rFonts w:asciiTheme="minorHAnsi" w:eastAsiaTheme="minorHAnsi" w:hAnsiTheme="minorHAnsi" w:cstheme="minorBidi"/>
          <w:snapToGrid/>
          <w:sz w:val="24"/>
          <w:szCs w:val="22"/>
        </w:rPr>
        <w:t xml:space="preserve"> in </w:t>
      </w:r>
      <w:r w:rsidR="007846D5" w:rsidRPr="00B70CFC">
        <w:rPr>
          <w:rFonts w:asciiTheme="minorHAnsi" w:eastAsiaTheme="minorHAnsi" w:hAnsiTheme="minorHAnsi" w:cstheme="minorBidi"/>
          <w:snapToGrid/>
          <w:sz w:val="24"/>
          <w:szCs w:val="22"/>
        </w:rPr>
        <w:t>T</w:t>
      </w:r>
      <w:r w:rsidR="003B1EDC" w:rsidRPr="00B70CFC">
        <w:rPr>
          <w:rFonts w:asciiTheme="minorHAnsi" w:eastAsiaTheme="minorHAnsi" w:hAnsiTheme="minorHAnsi" w:cstheme="minorBidi"/>
          <w:snapToGrid/>
          <w:sz w:val="24"/>
          <w:szCs w:val="22"/>
        </w:rPr>
        <w:t>able</w:t>
      </w:r>
      <w:r w:rsidR="00EB00FD" w:rsidRPr="00B70CFC">
        <w:rPr>
          <w:rFonts w:asciiTheme="minorHAnsi" w:eastAsiaTheme="minorHAnsi" w:hAnsiTheme="minorHAnsi" w:cstheme="minorBidi"/>
          <w:snapToGrid/>
          <w:sz w:val="24"/>
          <w:szCs w:val="22"/>
        </w:rPr>
        <w:t xml:space="preserve"> 1</w:t>
      </w:r>
      <w:r w:rsidR="003B1EDC" w:rsidRPr="00B70CFC">
        <w:rPr>
          <w:rFonts w:asciiTheme="minorHAnsi" w:eastAsiaTheme="minorHAnsi" w:hAnsiTheme="minorHAnsi" w:cstheme="minorBidi"/>
          <w:snapToGrid/>
          <w:sz w:val="24"/>
          <w:szCs w:val="22"/>
        </w:rPr>
        <w:t xml:space="preserve"> below. </w:t>
      </w:r>
    </w:p>
    <w:p w:rsidR="00143C07" w:rsidRPr="000B56CF" w:rsidRDefault="00DB5FB2" w:rsidP="000B56CF">
      <w:pPr>
        <w:pStyle w:val="Caption"/>
        <w:keepNext/>
        <w:spacing w:after="0"/>
        <w:jc w:val="both"/>
        <w:rPr>
          <w:rFonts w:ascii="Arial Narrow" w:hAnsi="Arial Narrow" w:cstheme="minorHAnsi"/>
          <w:b w:val="0"/>
          <w:color w:val="auto"/>
          <w:sz w:val="20"/>
          <w:szCs w:val="22"/>
        </w:rPr>
      </w:pPr>
      <w:r w:rsidRPr="000B56CF">
        <w:rPr>
          <w:rFonts w:ascii="Arial Narrow" w:hAnsi="Arial Narrow" w:cstheme="minorHAnsi"/>
          <w:color w:val="auto"/>
          <w:sz w:val="20"/>
          <w:szCs w:val="22"/>
        </w:rPr>
        <w:lastRenderedPageBreak/>
        <w:t>Table 1</w:t>
      </w:r>
      <w:r w:rsidR="00D73E83">
        <w:rPr>
          <w:rFonts w:ascii="Arial Narrow" w:hAnsi="Arial Narrow" w:cstheme="minorHAnsi"/>
          <w:color w:val="auto"/>
          <w:sz w:val="20"/>
          <w:szCs w:val="22"/>
        </w:rPr>
        <w:t xml:space="preserve">: </w:t>
      </w:r>
      <w:r w:rsidR="00143C07" w:rsidRPr="000B56CF">
        <w:rPr>
          <w:rFonts w:ascii="Arial Narrow" w:hAnsi="Arial Narrow" w:cstheme="minorHAnsi"/>
          <w:color w:val="auto"/>
          <w:sz w:val="20"/>
          <w:szCs w:val="22"/>
        </w:rPr>
        <w:t xml:space="preserve">Vials and wastage of </w:t>
      </w:r>
      <w:proofErr w:type="spellStart"/>
      <w:r w:rsidR="00143C07" w:rsidRPr="000B56CF">
        <w:rPr>
          <w:rFonts w:ascii="Arial Narrow" w:hAnsi="Arial Narrow" w:cstheme="minorHAnsi"/>
          <w:color w:val="auto"/>
          <w:sz w:val="20"/>
          <w:szCs w:val="22"/>
        </w:rPr>
        <w:t>Abraxane</w:t>
      </w:r>
      <w:proofErr w:type="spellEnd"/>
      <w:r w:rsidR="00143C07" w:rsidRPr="000B56CF">
        <w:rPr>
          <w:rFonts w:ascii="Arial Narrow" w:hAnsi="Arial Narrow" w:cstheme="minorHAnsi"/>
          <w:color w:val="auto"/>
          <w:sz w:val="20"/>
          <w:szCs w:val="22"/>
        </w:rPr>
        <w:t xml:space="preserve"> with and without a 250 mg vial listed (pancreatic cancer)</w:t>
      </w:r>
    </w:p>
    <w:tbl>
      <w:tblPr>
        <w:tblW w:w="5000" w:type="pct"/>
        <w:tblInd w:w="93" w:type="dxa"/>
        <w:tblLayout w:type="fixed"/>
        <w:tblLook w:val="04A0" w:firstRow="1" w:lastRow="0" w:firstColumn="1" w:lastColumn="0" w:noHBand="0" w:noVBand="1"/>
        <w:tblCaption w:val="Vials and wastage of nab-paclitaxel with and without a 250 mg vial listed"/>
        <w:tblDescription w:val="Vials and wastage of nab-paclitaxel with and without a 250 mg vial listed"/>
      </w:tblPr>
      <w:tblGrid>
        <w:gridCol w:w="2993"/>
        <w:gridCol w:w="1332"/>
        <w:gridCol w:w="1172"/>
        <w:gridCol w:w="1173"/>
        <w:gridCol w:w="1173"/>
        <w:gridCol w:w="1173"/>
      </w:tblGrid>
      <w:tr w:rsidR="00143C07" w:rsidRPr="00D73E83" w:rsidTr="00D73E83">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C07" w:rsidRPr="00D73E83" w:rsidRDefault="00143C07" w:rsidP="00143C07">
            <w:pPr>
              <w:keepNext/>
              <w:spacing w:line="276" w:lineRule="auto"/>
              <w:rPr>
                <w:rFonts w:ascii="Arial Narrow" w:hAnsi="Arial Narrow" w:cstheme="minorHAnsi"/>
                <w:b/>
                <w:color w:val="000000"/>
                <w:sz w:val="20"/>
                <w:szCs w:val="20"/>
                <w:lang w:eastAsia="en-US"/>
              </w:rPr>
            </w:pPr>
            <w:r w:rsidRPr="00D73E83">
              <w:rPr>
                <w:rFonts w:ascii="Arial Narrow" w:hAnsi="Arial Narrow" w:cstheme="minorHAnsi"/>
                <w:b/>
                <w:color w:val="000000"/>
                <w:sz w:val="20"/>
                <w:szCs w:val="20"/>
                <w:lang w:eastAsia="en-US"/>
              </w:rPr>
              <w:t> </w:t>
            </w:r>
          </w:p>
        </w:tc>
        <w:tc>
          <w:tcPr>
            <w:tcW w:w="1445" w:type="dxa"/>
            <w:tcBorders>
              <w:top w:val="single" w:sz="4" w:space="0" w:color="auto"/>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jc w:val="center"/>
              <w:rPr>
                <w:rFonts w:ascii="Arial Narrow" w:hAnsi="Arial Narrow" w:cstheme="minorHAnsi"/>
                <w:b/>
                <w:sz w:val="20"/>
                <w:szCs w:val="20"/>
              </w:rPr>
            </w:pPr>
            <w:r w:rsidRPr="00D73E83">
              <w:rPr>
                <w:rFonts w:ascii="Arial Narrow" w:hAnsi="Arial Narrow" w:cstheme="minorHAnsi"/>
                <w:b/>
                <w:sz w:val="20"/>
                <w:szCs w:val="20"/>
              </w:rPr>
              <w:t>Year</w:t>
            </w:r>
          </w:p>
        </w:tc>
        <w:tc>
          <w:tcPr>
            <w:tcW w:w="1268" w:type="dxa"/>
            <w:tcBorders>
              <w:top w:val="single" w:sz="4" w:space="0" w:color="auto"/>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jc w:val="center"/>
              <w:rPr>
                <w:rFonts w:ascii="Arial Narrow" w:hAnsi="Arial Narrow" w:cstheme="minorHAnsi"/>
                <w:b/>
                <w:sz w:val="20"/>
                <w:szCs w:val="20"/>
              </w:rPr>
            </w:pPr>
            <w:r w:rsidRPr="00D73E83">
              <w:rPr>
                <w:rFonts w:ascii="Arial Narrow" w:hAnsi="Arial Narrow" w:cstheme="minorHAnsi"/>
                <w:b/>
                <w:sz w:val="20"/>
                <w:szCs w:val="20"/>
              </w:rPr>
              <w:t>2014</w:t>
            </w:r>
          </w:p>
        </w:tc>
        <w:tc>
          <w:tcPr>
            <w:tcW w:w="1269" w:type="dxa"/>
            <w:tcBorders>
              <w:top w:val="single" w:sz="4" w:space="0" w:color="auto"/>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jc w:val="center"/>
              <w:rPr>
                <w:rFonts w:ascii="Arial Narrow" w:hAnsi="Arial Narrow" w:cstheme="minorHAnsi"/>
                <w:b/>
                <w:sz w:val="20"/>
                <w:szCs w:val="20"/>
              </w:rPr>
            </w:pPr>
            <w:r w:rsidRPr="00D73E83">
              <w:rPr>
                <w:rFonts w:ascii="Arial Narrow" w:hAnsi="Arial Narrow" w:cstheme="minorHAnsi"/>
                <w:b/>
                <w:sz w:val="20"/>
                <w:szCs w:val="20"/>
              </w:rPr>
              <w:t>2015</w:t>
            </w:r>
          </w:p>
        </w:tc>
        <w:tc>
          <w:tcPr>
            <w:tcW w:w="1269" w:type="dxa"/>
            <w:tcBorders>
              <w:top w:val="single" w:sz="4" w:space="0" w:color="auto"/>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jc w:val="center"/>
              <w:rPr>
                <w:rFonts w:ascii="Arial Narrow" w:hAnsi="Arial Narrow" w:cstheme="minorHAnsi"/>
                <w:b/>
                <w:sz w:val="20"/>
                <w:szCs w:val="20"/>
              </w:rPr>
            </w:pPr>
            <w:r w:rsidRPr="00D73E83">
              <w:rPr>
                <w:rFonts w:ascii="Arial Narrow" w:hAnsi="Arial Narrow" w:cstheme="minorHAnsi"/>
                <w:b/>
                <w:sz w:val="20"/>
                <w:szCs w:val="20"/>
              </w:rPr>
              <w:t>2016</w:t>
            </w:r>
          </w:p>
        </w:tc>
        <w:tc>
          <w:tcPr>
            <w:tcW w:w="1269" w:type="dxa"/>
            <w:tcBorders>
              <w:top w:val="single" w:sz="4" w:space="0" w:color="auto"/>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jc w:val="center"/>
              <w:rPr>
                <w:rFonts w:ascii="Arial Narrow" w:hAnsi="Arial Narrow" w:cstheme="minorHAnsi"/>
                <w:b/>
                <w:sz w:val="20"/>
                <w:szCs w:val="20"/>
              </w:rPr>
            </w:pPr>
            <w:r w:rsidRPr="00D73E83">
              <w:rPr>
                <w:rFonts w:ascii="Arial Narrow" w:hAnsi="Arial Narrow" w:cstheme="minorHAnsi"/>
                <w:b/>
                <w:sz w:val="20"/>
                <w:szCs w:val="20"/>
              </w:rPr>
              <w:t>2017</w:t>
            </w:r>
          </w:p>
        </w:tc>
      </w:tr>
      <w:tr w:rsidR="00143C07" w:rsidRPr="00D73E83" w:rsidTr="00D73E83">
        <w:trPr>
          <w:trHeight w:val="300"/>
        </w:trPr>
        <w:tc>
          <w:tcPr>
            <w:tcW w:w="3276" w:type="dxa"/>
            <w:tcBorders>
              <w:top w:val="single" w:sz="4" w:space="0" w:color="auto"/>
              <w:left w:val="single" w:sz="4" w:space="0" w:color="auto"/>
              <w:right w:val="single" w:sz="4" w:space="0" w:color="auto"/>
            </w:tcBorders>
            <w:shd w:val="clear" w:color="auto" w:fill="auto"/>
            <w:vAlign w:val="center"/>
            <w:hideMark/>
          </w:tcPr>
          <w:p w:rsidR="00143C07" w:rsidRPr="00D73E83" w:rsidRDefault="00143C07" w:rsidP="00143C07">
            <w:pPr>
              <w:keepNext/>
              <w:spacing w:line="276" w:lineRule="auto"/>
              <w:jc w:val="both"/>
              <w:rPr>
                <w:rFonts w:ascii="Arial Narrow" w:hAnsi="Arial Narrow" w:cstheme="minorHAnsi"/>
                <w:sz w:val="20"/>
                <w:szCs w:val="20"/>
              </w:rPr>
            </w:pPr>
            <w:r w:rsidRPr="00D73E83">
              <w:rPr>
                <w:rFonts w:ascii="Arial Narrow" w:hAnsi="Arial Narrow" w:cstheme="minorHAnsi"/>
                <w:sz w:val="20"/>
                <w:szCs w:val="20"/>
              </w:rPr>
              <w:t>With 100 mg vial</w:t>
            </w:r>
          </w:p>
        </w:tc>
        <w:tc>
          <w:tcPr>
            <w:tcW w:w="1445" w:type="dxa"/>
            <w:tcBorders>
              <w:top w:val="nil"/>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rPr>
                <w:rFonts w:ascii="Arial Narrow" w:hAnsi="Arial Narrow" w:cstheme="minorHAnsi"/>
                <w:sz w:val="20"/>
                <w:szCs w:val="20"/>
              </w:rPr>
            </w:pPr>
            <w:r w:rsidRPr="00D73E83">
              <w:rPr>
                <w:rFonts w:ascii="Arial Narrow" w:hAnsi="Arial Narrow" w:cstheme="minorHAnsi"/>
                <w:sz w:val="20"/>
                <w:szCs w:val="20"/>
              </w:rPr>
              <w:t>Vials</w:t>
            </w:r>
          </w:p>
        </w:tc>
        <w:tc>
          <w:tcPr>
            <w:tcW w:w="1268"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3,909</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35,618</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36,929</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38,404</w:t>
            </w:r>
          </w:p>
        </w:tc>
      </w:tr>
      <w:tr w:rsidR="00143C07" w:rsidRPr="00D73E83" w:rsidTr="00D73E83">
        <w:trPr>
          <w:trHeight w:val="300"/>
        </w:trPr>
        <w:tc>
          <w:tcPr>
            <w:tcW w:w="3276" w:type="dxa"/>
            <w:tcBorders>
              <w:top w:val="nil"/>
              <w:left w:val="single" w:sz="4" w:space="0" w:color="auto"/>
              <w:right w:val="single" w:sz="4" w:space="0" w:color="auto"/>
            </w:tcBorders>
            <w:shd w:val="clear" w:color="auto" w:fill="auto"/>
            <w:vAlign w:val="center"/>
            <w:hideMark/>
          </w:tcPr>
          <w:p w:rsidR="00143C07" w:rsidRPr="00D73E83" w:rsidRDefault="00143C07" w:rsidP="00143C07">
            <w:pPr>
              <w:keepNext/>
              <w:spacing w:line="276" w:lineRule="auto"/>
              <w:jc w:val="both"/>
              <w:rPr>
                <w:rFonts w:ascii="Arial Narrow" w:hAnsi="Arial Narrow" w:cstheme="minorHAnsi"/>
                <w:sz w:val="20"/>
                <w:szCs w:val="20"/>
              </w:rPr>
            </w:pPr>
          </w:p>
        </w:tc>
        <w:tc>
          <w:tcPr>
            <w:tcW w:w="1445" w:type="dxa"/>
            <w:tcBorders>
              <w:top w:val="nil"/>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rPr>
                <w:rFonts w:ascii="Arial Narrow" w:hAnsi="Arial Narrow" w:cstheme="minorHAnsi"/>
                <w:sz w:val="20"/>
                <w:szCs w:val="20"/>
              </w:rPr>
            </w:pPr>
            <w:r w:rsidRPr="00D73E83">
              <w:rPr>
                <w:rFonts w:ascii="Arial Narrow" w:hAnsi="Arial Narrow" w:cstheme="minorHAnsi"/>
                <w:sz w:val="20"/>
                <w:szCs w:val="20"/>
              </w:rPr>
              <w:t>Wastage (mg)</w:t>
            </w:r>
          </w:p>
        </w:tc>
        <w:tc>
          <w:tcPr>
            <w:tcW w:w="1268"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65,422</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596,274</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667,018</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668,472</w:t>
            </w:r>
          </w:p>
        </w:tc>
      </w:tr>
      <w:tr w:rsidR="00143C07" w:rsidRPr="00D73E83" w:rsidTr="00D73E83">
        <w:trPr>
          <w:trHeight w:val="300"/>
        </w:trPr>
        <w:tc>
          <w:tcPr>
            <w:tcW w:w="3276" w:type="dxa"/>
            <w:tcBorders>
              <w:top w:val="single" w:sz="4" w:space="0" w:color="auto"/>
              <w:left w:val="single" w:sz="4" w:space="0" w:color="auto"/>
              <w:right w:val="single" w:sz="4" w:space="0" w:color="auto"/>
            </w:tcBorders>
            <w:shd w:val="clear" w:color="auto" w:fill="auto"/>
            <w:vAlign w:val="center"/>
            <w:hideMark/>
          </w:tcPr>
          <w:p w:rsidR="00143C07" w:rsidRPr="00D73E83" w:rsidRDefault="00143C07" w:rsidP="00143C07">
            <w:pPr>
              <w:keepNext/>
              <w:spacing w:line="276" w:lineRule="auto"/>
              <w:jc w:val="both"/>
              <w:rPr>
                <w:rFonts w:ascii="Arial Narrow" w:hAnsi="Arial Narrow" w:cstheme="minorHAnsi"/>
                <w:sz w:val="20"/>
                <w:szCs w:val="20"/>
              </w:rPr>
            </w:pPr>
            <w:r w:rsidRPr="00D73E83">
              <w:rPr>
                <w:rFonts w:ascii="Arial Narrow" w:hAnsi="Arial Narrow" w:cstheme="minorHAnsi"/>
                <w:sz w:val="20"/>
                <w:szCs w:val="20"/>
              </w:rPr>
              <w:t>With 100 mg and 250 mg vials</w:t>
            </w:r>
          </w:p>
        </w:tc>
        <w:tc>
          <w:tcPr>
            <w:tcW w:w="1445" w:type="dxa"/>
            <w:tcBorders>
              <w:top w:val="nil"/>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rPr>
                <w:rFonts w:ascii="Arial Narrow" w:hAnsi="Arial Narrow" w:cstheme="minorHAnsi"/>
                <w:sz w:val="20"/>
                <w:szCs w:val="20"/>
              </w:rPr>
            </w:pPr>
            <w:r w:rsidRPr="00D73E83">
              <w:rPr>
                <w:rFonts w:ascii="Arial Narrow" w:hAnsi="Arial Narrow" w:cstheme="minorHAnsi"/>
                <w:sz w:val="20"/>
                <w:szCs w:val="20"/>
              </w:rPr>
              <w:t>100 mg vials</w:t>
            </w:r>
          </w:p>
        </w:tc>
        <w:tc>
          <w:tcPr>
            <w:tcW w:w="1268"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2,026</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20,630</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21,130</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22,140</w:t>
            </w:r>
          </w:p>
        </w:tc>
      </w:tr>
      <w:tr w:rsidR="00143C07" w:rsidRPr="00D73E83" w:rsidTr="00D73E83">
        <w:trPr>
          <w:trHeight w:val="300"/>
        </w:trPr>
        <w:tc>
          <w:tcPr>
            <w:tcW w:w="3276" w:type="dxa"/>
            <w:tcBorders>
              <w:top w:val="nil"/>
              <w:left w:val="single" w:sz="4" w:space="0" w:color="auto"/>
              <w:right w:val="single" w:sz="4" w:space="0" w:color="auto"/>
            </w:tcBorders>
            <w:shd w:val="clear" w:color="auto" w:fill="auto"/>
            <w:vAlign w:val="center"/>
            <w:hideMark/>
          </w:tcPr>
          <w:p w:rsidR="00143C07" w:rsidRPr="00D73E83" w:rsidRDefault="00143C07" w:rsidP="00143C07">
            <w:pPr>
              <w:keepNext/>
              <w:spacing w:line="276" w:lineRule="auto"/>
              <w:jc w:val="both"/>
              <w:rPr>
                <w:rFonts w:ascii="Arial Narrow" w:hAnsi="Arial Narrow" w:cstheme="minorHAnsi"/>
                <w:sz w:val="20"/>
                <w:szCs w:val="20"/>
              </w:rPr>
            </w:pPr>
          </w:p>
        </w:tc>
        <w:tc>
          <w:tcPr>
            <w:tcW w:w="1445" w:type="dxa"/>
            <w:tcBorders>
              <w:top w:val="nil"/>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rPr>
                <w:rFonts w:ascii="Arial Narrow" w:hAnsi="Arial Narrow" w:cstheme="minorHAnsi"/>
                <w:sz w:val="20"/>
                <w:szCs w:val="20"/>
              </w:rPr>
            </w:pPr>
            <w:r w:rsidRPr="00D73E83">
              <w:rPr>
                <w:rFonts w:ascii="Arial Narrow" w:hAnsi="Arial Narrow" w:cstheme="minorHAnsi"/>
                <w:sz w:val="20"/>
                <w:szCs w:val="20"/>
              </w:rPr>
              <w:t>250 mg vials</w:t>
            </w:r>
          </w:p>
        </w:tc>
        <w:tc>
          <w:tcPr>
            <w:tcW w:w="1268"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650</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5212</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5519</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5,612</w:t>
            </w:r>
          </w:p>
        </w:tc>
      </w:tr>
      <w:tr w:rsidR="00143C07" w:rsidRPr="00D73E83" w:rsidTr="00D73E83">
        <w:trPr>
          <w:trHeight w:val="300"/>
        </w:trPr>
        <w:tc>
          <w:tcPr>
            <w:tcW w:w="3276" w:type="dxa"/>
            <w:tcBorders>
              <w:top w:val="nil"/>
              <w:left w:val="single" w:sz="4" w:space="0" w:color="auto"/>
              <w:right w:val="single" w:sz="4" w:space="0" w:color="auto"/>
            </w:tcBorders>
            <w:shd w:val="clear" w:color="auto" w:fill="auto"/>
            <w:vAlign w:val="center"/>
            <w:hideMark/>
          </w:tcPr>
          <w:p w:rsidR="00143C07" w:rsidRPr="00D73E83" w:rsidRDefault="00143C07" w:rsidP="00143C07">
            <w:pPr>
              <w:keepNext/>
              <w:spacing w:line="276" w:lineRule="auto"/>
              <w:jc w:val="both"/>
              <w:rPr>
                <w:rFonts w:ascii="Arial Narrow" w:hAnsi="Arial Narrow" w:cstheme="minorHAnsi"/>
                <w:sz w:val="20"/>
                <w:szCs w:val="20"/>
              </w:rPr>
            </w:pPr>
          </w:p>
        </w:tc>
        <w:tc>
          <w:tcPr>
            <w:tcW w:w="1445" w:type="dxa"/>
            <w:tcBorders>
              <w:top w:val="nil"/>
              <w:left w:val="nil"/>
              <w:bottom w:val="single" w:sz="4" w:space="0" w:color="auto"/>
              <w:right w:val="single" w:sz="4" w:space="0" w:color="auto"/>
            </w:tcBorders>
            <w:shd w:val="clear" w:color="auto" w:fill="auto"/>
            <w:noWrap/>
            <w:hideMark/>
          </w:tcPr>
          <w:p w:rsidR="00143C07" w:rsidRPr="00D73E83" w:rsidRDefault="00143C07" w:rsidP="00143C07">
            <w:pPr>
              <w:keepNext/>
              <w:spacing w:line="276" w:lineRule="auto"/>
              <w:rPr>
                <w:rFonts w:ascii="Arial Narrow" w:hAnsi="Arial Narrow" w:cstheme="minorHAnsi"/>
                <w:sz w:val="20"/>
                <w:szCs w:val="20"/>
              </w:rPr>
            </w:pPr>
            <w:r w:rsidRPr="00D73E83">
              <w:rPr>
                <w:rFonts w:ascii="Arial Narrow" w:hAnsi="Arial Narrow" w:cstheme="minorHAnsi"/>
                <w:sz w:val="20"/>
                <w:szCs w:val="20"/>
              </w:rPr>
              <w:t>Wastage (mg)</w:t>
            </w:r>
          </w:p>
        </w:tc>
        <w:tc>
          <w:tcPr>
            <w:tcW w:w="1268"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39,622</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400,474</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466,868</w:t>
            </w:r>
          </w:p>
        </w:tc>
        <w:tc>
          <w:tcPr>
            <w:tcW w:w="1269" w:type="dxa"/>
            <w:tcBorders>
              <w:top w:val="nil"/>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445,072</w:t>
            </w:r>
          </w:p>
        </w:tc>
      </w:tr>
      <w:tr w:rsidR="00143C07" w:rsidRPr="00D73E83" w:rsidTr="00D73E83">
        <w:trPr>
          <w:trHeight w:val="300"/>
        </w:trPr>
        <w:tc>
          <w:tcPr>
            <w:tcW w:w="3276" w:type="dxa"/>
            <w:tcBorders>
              <w:top w:val="single" w:sz="4" w:space="0" w:color="auto"/>
              <w:left w:val="single" w:sz="4" w:space="0" w:color="auto"/>
              <w:bottom w:val="single" w:sz="4" w:space="0" w:color="auto"/>
            </w:tcBorders>
            <w:shd w:val="clear" w:color="auto" w:fill="auto"/>
            <w:noWrap/>
            <w:vAlign w:val="center"/>
            <w:hideMark/>
          </w:tcPr>
          <w:p w:rsidR="00143C07" w:rsidRPr="00D73E83" w:rsidRDefault="00143C07" w:rsidP="00143C07">
            <w:pPr>
              <w:keepNext/>
              <w:spacing w:line="276" w:lineRule="auto"/>
              <w:jc w:val="both"/>
              <w:rPr>
                <w:rFonts w:ascii="Arial Narrow" w:hAnsi="Arial Narrow" w:cstheme="minorHAnsi"/>
                <w:sz w:val="20"/>
                <w:szCs w:val="20"/>
              </w:rPr>
            </w:pPr>
            <w:r w:rsidRPr="00D73E83">
              <w:rPr>
                <w:rFonts w:ascii="Arial Narrow" w:hAnsi="Arial Narrow" w:cstheme="minorHAnsi"/>
                <w:sz w:val="20"/>
                <w:szCs w:val="20"/>
              </w:rPr>
              <w:t>Wastage difference (mg)</w:t>
            </w:r>
          </w:p>
        </w:tc>
        <w:tc>
          <w:tcPr>
            <w:tcW w:w="1445" w:type="dxa"/>
            <w:tcBorders>
              <w:top w:val="single" w:sz="4" w:space="0" w:color="auto"/>
              <w:bottom w:val="single" w:sz="4" w:space="0" w:color="auto"/>
              <w:right w:val="single" w:sz="4" w:space="0" w:color="auto"/>
            </w:tcBorders>
            <w:shd w:val="clear" w:color="auto" w:fill="auto"/>
          </w:tcPr>
          <w:p w:rsidR="00143C07" w:rsidRPr="00D73E83" w:rsidRDefault="00143C07" w:rsidP="00143C07">
            <w:pPr>
              <w:keepNext/>
              <w:spacing w:line="276" w:lineRule="auto"/>
              <w:rPr>
                <w:rFonts w:ascii="Arial Narrow" w:hAnsi="Arial Narrow" w:cstheme="minorHAnsi"/>
                <w:sz w:val="20"/>
                <w:szCs w:val="20"/>
              </w:rPr>
            </w:pP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25,800</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195,800</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200,150</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143C07" w:rsidRPr="00D73E83" w:rsidRDefault="00143C07" w:rsidP="00143C07">
            <w:pPr>
              <w:keepNext/>
              <w:spacing w:line="276" w:lineRule="auto"/>
              <w:jc w:val="center"/>
              <w:rPr>
                <w:rFonts w:ascii="Arial Narrow" w:hAnsi="Arial Narrow" w:cstheme="minorHAnsi"/>
                <w:sz w:val="20"/>
                <w:szCs w:val="20"/>
              </w:rPr>
            </w:pPr>
            <w:r w:rsidRPr="00D73E83">
              <w:rPr>
                <w:rFonts w:ascii="Arial Narrow" w:hAnsi="Arial Narrow" w:cstheme="minorHAnsi"/>
                <w:color w:val="000000"/>
                <w:sz w:val="20"/>
                <w:szCs w:val="20"/>
                <w:lang w:eastAsia="en-US"/>
              </w:rPr>
              <w:t>223,400</w:t>
            </w:r>
          </w:p>
        </w:tc>
      </w:tr>
    </w:tbl>
    <w:p w:rsidR="00143C07" w:rsidRPr="00D73E83" w:rsidRDefault="00143C07" w:rsidP="00143C07">
      <w:pPr>
        <w:keepNext/>
        <w:widowControl w:val="0"/>
        <w:jc w:val="both"/>
        <w:rPr>
          <w:rFonts w:ascii="Arial Narrow" w:hAnsi="Arial Narrow" w:cstheme="minorHAnsi"/>
          <w:snapToGrid w:val="0"/>
          <w:sz w:val="18"/>
          <w:szCs w:val="20"/>
          <w:lang w:eastAsia="en-US"/>
        </w:rPr>
      </w:pPr>
      <w:r w:rsidRPr="00D73E83">
        <w:rPr>
          <w:rFonts w:ascii="Arial Narrow" w:hAnsi="Arial Narrow" w:cstheme="minorHAnsi"/>
          <w:snapToGrid w:val="0"/>
          <w:sz w:val="18"/>
          <w:szCs w:val="20"/>
          <w:lang w:eastAsia="en-US"/>
        </w:rPr>
        <w:t xml:space="preserve">Source: Minor submission page </w:t>
      </w:r>
      <w:r w:rsidRPr="00C728B6">
        <w:rPr>
          <w:rFonts w:ascii="Arial Narrow" w:hAnsi="Arial Narrow" w:cstheme="minorHAnsi"/>
          <w:snapToGrid w:val="0"/>
          <w:sz w:val="18"/>
          <w:szCs w:val="20"/>
          <w:lang w:eastAsia="en-US"/>
        </w:rPr>
        <w:t>4</w:t>
      </w:r>
      <w:r w:rsidR="00B70CFC" w:rsidRPr="00D73E83">
        <w:rPr>
          <w:rFonts w:ascii="Arial Narrow" w:hAnsi="Arial Narrow" w:cstheme="minorHAnsi"/>
          <w:snapToGrid w:val="0"/>
          <w:sz w:val="18"/>
          <w:szCs w:val="20"/>
          <w:lang w:eastAsia="en-US"/>
        </w:rPr>
        <w:t xml:space="preserve">. </w:t>
      </w:r>
      <w:r w:rsidRPr="00D73E83">
        <w:rPr>
          <w:rFonts w:ascii="Arial Narrow" w:hAnsi="Arial Narrow" w:cstheme="minorHAnsi"/>
          <w:snapToGrid w:val="0"/>
          <w:sz w:val="18"/>
          <w:szCs w:val="20"/>
          <w:lang w:eastAsia="en-US"/>
        </w:rPr>
        <w:t xml:space="preserve">Adapted from Table </w:t>
      </w:r>
      <w:r w:rsidRPr="00C728B6">
        <w:rPr>
          <w:rFonts w:ascii="Arial Narrow" w:hAnsi="Arial Narrow" w:cstheme="minorHAnsi"/>
          <w:snapToGrid w:val="0"/>
          <w:sz w:val="18"/>
          <w:szCs w:val="20"/>
          <w:lang w:eastAsia="en-US"/>
        </w:rPr>
        <w:t>10</w:t>
      </w:r>
      <w:r w:rsidRPr="00D73E83">
        <w:rPr>
          <w:rFonts w:ascii="Arial Narrow" w:hAnsi="Arial Narrow" w:cstheme="minorHAnsi"/>
          <w:snapToGrid w:val="0"/>
          <w:sz w:val="18"/>
          <w:szCs w:val="20"/>
          <w:lang w:eastAsia="en-US"/>
        </w:rPr>
        <w:t xml:space="preserve"> of September 2017 DUSC Report</w:t>
      </w:r>
    </w:p>
    <w:p w:rsidR="00143C07" w:rsidRPr="00D73E83" w:rsidRDefault="00143C07" w:rsidP="00143C07">
      <w:pPr>
        <w:widowControl w:val="0"/>
        <w:jc w:val="both"/>
        <w:rPr>
          <w:rFonts w:ascii="Arial Narrow" w:hAnsi="Arial Narrow" w:cstheme="minorHAnsi"/>
          <w:snapToGrid w:val="0"/>
          <w:sz w:val="18"/>
          <w:szCs w:val="20"/>
          <w:lang w:eastAsia="en-US"/>
        </w:rPr>
      </w:pPr>
      <w:r w:rsidRPr="00D73E83">
        <w:rPr>
          <w:rFonts w:ascii="Arial Narrow" w:hAnsi="Arial Narrow" w:cstheme="minorHAnsi"/>
          <w:snapToGrid w:val="0"/>
          <w:sz w:val="18"/>
          <w:szCs w:val="20"/>
          <w:lang w:eastAsia="en-US"/>
        </w:rPr>
        <w:t xml:space="preserve">Note 2017 data </w:t>
      </w:r>
      <w:proofErr w:type="gramStart"/>
      <w:r w:rsidRPr="00D73E83">
        <w:rPr>
          <w:rFonts w:ascii="Arial Narrow" w:hAnsi="Arial Narrow" w:cstheme="minorHAnsi"/>
          <w:snapToGrid w:val="0"/>
          <w:sz w:val="18"/>
          <w:szCs w:val="20"/>
          <w:lang w:eastAsia="en-US"/>
        </w:rPr>
        <w:t xml:space="preserve">were extracted from DUSC report and annualised, rather than extracting actual sales data from the PBS website and calculating dosing and wastage by </w:t>
      </w:r>
      <w:r w:rsidR="00B70CFC" w:rsidRPr="00D73E83">
        <w:rPr>
          <w:rFonts w:ascii="Arial Narrow" w:hAnsi="Arial Narrow" w:cstheme="minorHAnsi"/>
          <w:snapToGrid w:val="0"/>
          <w:sz w:val="18"/>
          <w:szCs w:val="20"/>
          <w:lang w:eastAsia="en-US"/>
        </w:rPr>
        <w:t>methods that</w:t>
      </w:r>
      <w:r w:rsidRPr="00D73E83">
        <w:rPr>
          <w:rFonts w:ascii="Arial Narrow" w:hAnsi="Arial Narrow" w:cstheme="minorHAnsi"/>
          <w:snapToGrid w:val="0"/>
          <w:sz w:val="18"/>
          <w:szCs w:val="20"/>
          <w:lang w:eastAsia="en-US"/>
        </w:rPr>
        <w:t xml:space="preserve"> may not match that used for previous years</w:t>
      </w:r>
      <w:proofErr w:type="gramEnd"/>
      <w:r w:rsidRPr="00D73E83">
        <w:rPr>
          <w:rFonts w:ascii="Arial Narrow" w:hAnsi="Arial Narrow" w:cstheme="minorHAnsi"/>
          <w:snapToGrid w:val="0"/>
          <w:sz w:val="18"/>
          <w:szCs w:val="20"/>
          <w:lang w:eastAsia="en-US"/>
        </w:rPr>
        <w:t>.</w:t>
      </w:r>
    </w:p>
    <w:p w:rsidR="00E70265" w:rsidRPr="00B70CFC" w:rsidRDefault="001A4CAE" w:rsidP="00F62236">
      <w:pPr>
        <w:pStyle w:val="ListParagraph"/>
        <w:widowControl/>
        <w:numPr>
          <w:ilvl w:val="1"/>
          <w:numId w:val="5"/>
        </w:numPr>
        <w:spacing w:before="120" w:after="120"/>
        <w:contextualSpacing w:val="0"/>
        <w:rPr>
          <w:rFonts w:asciiTheme="minorHAnsi" w:hAnsiTheme="minorHAnsi" w:cstheme="minorHAnsi"/>
          <w:sz w:val="24"/>
          <w:szCs w:val="24"/>
        </w:rPr>
      </w:pPr>
      <w:r w:rsidRPr="00B70CFC">
        <w:rPr>
          <w:rFonts w:asciiTheme="minorHAnsi" w:eastAsiaTheme="minorHAnsi" w:hAnsiTheme="minorHAnsi" w:cstheme="minorBidi"/>
          <w:snapToGrid/>
          <w:sz w:val="24"/>
          <w:szCs w:val="22"/>
        </w:rPr>
        <w:t>The Sponsor state</w:t>
      </w:r>
      <w:r w:rsidR="00F81973" w:rsidRPr="00B70CFC">
        <w:rPr>
          <w:rFonts w:asciiTheme="minorHAnsi" w:eastAsiaTheme="minorHAnsi" w:hAnsiTheme="minorHAnsi" w:cstheme="minorBidi"/>
          <w:snapToGrid/>
          <w:sz w:val="24"/>
          <w:szCs w:val="22"/>
        </w:rPr>
        <w:t>d</w:t>
      </w:r>
      <w:r w:rsidRPr="00B70CFC">
        <w:rPr>
          <w:rFonts w:asciiTheme="minorHAnsi" w:eastAsiaTheme="minorHAnsi" w:hAnsiTheme="minorHAnsi" w:cstheme="minorBidi"/>
          <w:snapToGrid/>
          <w:sz w:val="24"/>
          <w:szCs w:val="22"/>
        </w:rPr>
        <w:t xml:space="preserve"> that t</w:t>
      </w:r>
      <w:r w:rsidR="00E70265" w:rsidRPr="00B70CFC">
        <w:rPr>
          <w:rFonts w:asciiTheme="minorHAnsi" w:eastAsiaTheme="minorHAnsi" w:hAnsiTheme="minorHAnsi" w:cstheme="minorBidi"/>
          <w:snapToGrid/>
          <w:sz w:val="24"/>
          <w:szCs w:val="22"/>
        </w:rPr>
        <w:t>he</w:t>
      </w:r>
      <w:r w:rsidR="00406B91" w:rsidRPr="00B70CFC">
        <w:rPr>
          <w:rFonts w:asciiTheme="minorHAnsi" w:eastAsiaTheme="minorHAnsi" w:hAnsiTheme="minorHAnsi" w:cstheme="minorBidi"/>
          <w:snapToGrid/>
          <w:sz w:val="24"/>
          <w:szCs w:val="22"/>
        </w:rPr>
        <w:t xml:space="preserve"> current</w:t>
      </w:r>
      <w:r w:rsidR="00E70265" w:rsidRPr="00B70CFC">
        <w:rPr>
          <w:rFonts w:asciiTheme="minorHAnsi" w:eastAsiaTheme="minorHAnsi" w:hAnsiTheme="minorHAnsi" w:cstheme="minorBidi"/>
          <w:snapToGrid/>
          <w:sz w:val="24"/>
          <w:szCs w:val="22"/>
        </w:rPr>
        <w:t xml:space="preserve"> submission</w:t>
      </w:r>
      <w:r w:rsidR="00956DCB" w:rsidRPr="00B70CFC">
        <w:rPr>
          <w:rFonts w:asciiTheme="minorHAnsi" w:eastAsiaTheme="minorHAnsi" w:hAnsiTheme="minorHAnsi" w:cstheme="minorBidi"/>
          <w:snapToGrid/>
          <w:sz w:val="24"/>
          <w:szCs w:val="22"/>
        </w:rPr>
        <w:t xml:space="preserve"> </w:t>
      </w:r>
      <w:r w:rsidRPr="00B70CFC">
        <w:rPr>
          <w:rFonts w:asciiTheme="minorHAnsi" w:eastAsiaTheme="minorHAnsi" w:hAnsiTheme="minorHAnsi" w:cstheme="minorBidi"/>
          <w:snapToGrid/>
          <w:sz w:val="24"/>
          <w:szCs w:val="22"/>
        </w:rPr>
        <w:t>d</w:t>
      </w:r>
      <w:r w:rsidR="00F81973" w:rsidRPr="00B70CFC">
        <w:rPr>
          <w:rFonts w:asciiTheme="minorHAnsi" w:eastAsiaTheme="minorHAnsi" w:hAnsiTheme="minorHAnsi" w:cstheme="minorBidi"/>
          <w:snapToGrid/>
          <w:sz w:val="24"/>
          <w:szCs w:val="22"/>
        </w:rPr>
        <w:t>id</w:t>
      </w:r>
      <w:r w:rsidRPr="00B70CFC">
        <w:rPr>
          <w:rFonts w:asciiTheme="minorHAnsi" w:eastAsiaTheme="minorHAnsi" w:hAnsiTheme="minorHAnsi" w:cstheme="minorBidi"/>
          <w:snapToGrid/>
          <w:sz w:val="24"/>
          <w:szCs w:val="22"/>
        </w:rPr>
        <w:t xml:space="preserve"> not include wastage due to vial sharing in the scope of the submission </w:t>
      </w:r>
      <w:r w:rsidR="00B70CFC" w:rsidRPr="00B70CFC">
        <w:rPr>
          <w:rFonts w:asciiTheme="minorHAnsi" w:eastAsiaTheme="minorHAnsi" w:hAnsiTheme="minorHAnsi" w:cstheme="minorBidi"/>
          <w:snapToGrid/>
          <w:sz w:val="24"/>
          <w:szCs w:val="22"/>
        </w:rPr>
        <w:t>however;</w:t>
      </w:r>
      <w:r w:rsidRPr="00B70CFC">
        <w:rPr>
          <w:rFonts w:asciiTheme="minorHAnsi" w:eastAsiaTheme="minorHAnsi" w:hAnsiTheme="minorHAnsi" w:cstheme="minorBidi"/>
          <w:snapToGrid/>
          <w:sz w:val="24"/>
          <w:szCs w:val="22"/>
        </w:rPr>
        <w:t xml:space="preserve"> guidance </w:t>
      </w:r>
      <w:proofErr w:type="gramStart"/>
      <w:r w:rsidR="00F81973" w:rsidRPr="00B70CFC">
        <w:rPr>
          <w:rFonts w:asciiTheme="minorHAnsi" w:eastAsiaTheme="minorHAnsi" w:hAnsiTheme="minorHAnsi" w:cstheme="minorBidi"/>
          <w:snapToGrid/>
          <w:sz w:val="24"/>
          <w:szCs w:val="22"/>
        </w:rPr>
        <w:t>was</w:t>
      </w:r>
      <w:r w:rsidRPr="00B70CFC">
        <w:rPr>
          <w:rFonts w:asciiTheme="minorHAnsi" w:eastAsiaTheme="minorHAnsi" w:hAnsiTheme="minorHAnsi" w:cstheme="minorBidi"/>
          <w:snapToGrid/>
          <w:sz w:val="24"/>
          <w:szCs w:val="22"/>
        </w:rPr>
        <w:t xml:space="preserve"> requested</w:t>
      </w:r>
      <w:proofErr w:type="gramEnd"/>
      <w:r w:rsidRPr="00B70CFC">
        <w:rPr>
          <w:rFonts w:asciiTheme="minorHAnsi" w:eastAsiaTheme="minorHAnsi" w:hAnsiTheme="minorHAnsi" w:cstheme="minorBidi"/>
          <w:snapToGrid/>
          <w:sz w:val="24"/>
          <w:szCs w:val="22"/>
        </w:rPr>
        <w:t xml:space="preserve"> regarding the Efficient Funding of Chemotherapy process. The Secretariat note</w:t>
      </w:r>
      <w:r w:rsidR="00F81973" w:rsidRPr="00B70CFC">
        <w:rPr>
          <w:rFonts w:asciiTheme="minorHAnsi" w:eastAsiaTheme="minorHAnsi" w:hAnsiTheme="minorHAnsi" w:cstheme="minorBidi"/>
          <w:snapToGrid/>
          <w:sz w:val="24"/>
          <w:szCs w:val="22"/>
        </w:rPr>
        <w:t>d</w:t>
      </w:r>
      <w:r w:rsidRPr="00B70CFC">
        <w:rPr>
          <w:rFonts w:asciiTheme="minorHAnsi" w:eastAsiaTheme="minorHAnsi" w:hAnsiTheme="minorHAnsi" w:cstheme="minorBidi"/>
          <w:snapToGrid/>
          <w:sz w:val="24"/>
          <w:szCs w:val="22"/>
        </w:rPr>
        <w:t xml:space="preserve"> that </w:t>
      </w:r>
      <w:r w:rsidR="000B5051" w:rsidRPr="00B70CFC">
        <w:rPr>
          <w:rFonts w:asciiTheme="minorHAnsi" w:eastAsiaTheme="minorHAnsi" w:hAnsiTheme="minorHAnsi" w:cstheme="minorBidi"/>
          <w:snapToGrid/>
          <w:sz w:val="24"/>
          <w:szCs w:val="22"/>
        </w:rPr>
        <w:t>the process of the Efficient Funding of Chemotherapy is</w:t>
      </w:r>
      <w:r w:rsidRPr="00B70CFC">
        <w:rPr>
          <w:rFonts w:asciiTheme="minorHAnsi" w:eastAsiaTheme="minorHAnsi" w:hAnsiTheme="minorHAnsi" w:cstheme="minorBidi"/>
          <w:snapToGrid/>
          <w:sz w:val="24"/>
          <w:szCs w:val="22"/>
        </w:rPr>
        <w:t xml:space="preserve"> outside of the </w:t>
      </w:r>
      <w:r w:rsidR="000B5051" w:rsidRPr="00B70CFC">
        <w:rPr>
          <w:rFonts w:asciiTheme="minorHAnsi" w:eastAsiaTheme="minorHAnsi" w:hAnsiTheme="minorHAnsi" w:cstheme="minorBidi"/>
          <w:snapToGrid/>
          <w:sz w:val="24"/>
          <w:szCs w:val="22"/>
        </w:rPr>
        <w:t>scope</w:t>
      </w:r>
      <w:r w:rsidRPr="00B70CFC">
        <w:rPr>
          <w:rFonts w:asciiTheme="minorHAnsi" w:eastAsiaTheme="minorHAnsi" w:hAnsiTheme="minorHAnsi" w:cstheme="minorBidi"/>
          <w:snapToGrid/>
          <w:sz w:val="24"/>
          <w:szCs w:val="22"/>
        </w:rPr>
        <w:t xml:space="preserve"> of the PBAC.</w:t>
      </w:r>
      <w:r w:rsidRPr="00B70CFC">
        <w:rPr>
          <w:rFonts w:asciiTheme="minorHAnsi" w:eastAsiaTheme="minorHAnsi" w:hAnsiTheme="minorHAnsi" w:cstheme="minorBidi"/>
          <w:i/>
          <w:snapToGrid/>
          <w:sz w:val="24"/>
          <w:szCs w:val="22"/>
        </w:rPr>
        <w:t xml:space="preserve"> </w:t>
      </w:r>
    </w:p>
    <w:p w:rsidR="001E5985" w:rsidRPr="00B70CFC" w:rsidRDefault="001E5985" w:rsidP="00F62236">
      <w:pPr>
        <w:pStyle w:val="ListParagraph"/>
        <w:widowControl/>
        <w:numPr>
          <w:ilvl w:val="1"/>
          <w:numId w:val="5"/>
        </w:numPr>
        <w:spacing w:before="120" w:after="120"/>
        <w:contextualSpacing w:val="0"/>
        <w:rPr>
          <w:rFonts w:asciiTheme="minorHAnsi" w:hAnsiTheme="minorHAnsi" w:cstheme="minorHAnsi"/>
          <w:sz w:val="24"/>
          <w:szCs w:val="24"/>
        </w:rPr>
      </w:pPr>
      <w:r w:rsidRPr="00B70CFC">
        <w:rPr>
          <w:rFonts w:asciiTheme="minorHAnsi" w:eastAsiaTheme="minorHAnsi" w:hAnsiTheme="minorHAnsi" w:cstheme="minorBidi"/>
          <w:snapToGrid/>
          <w:sz w:val="24"/>
          <w:szCs w:val="22"/>
        </w:rPr>
        <w:t>The submission did not provide any additional evidence or basis for the requested price increase.</w:t>
      </w:r>
    </w:p>
    <w:p w:rsidR="00835EC7" w:rsidRPr="00D73E83" w:rsidRDefault="00835EC7" w:rsidP="00F62236">
      <w:pPr>
        <w:pStyle w:val="ListParagraph"/>
        <w:spacing w:before="120" w:after="120"/>
        <w:ind w:left="709"/>
        <w:rPr>
          <w:sz w:val="24"/>
          <w:szCs w:val="24"/>
        </w:rPr>
      </w:pPr>
      <w:r w:rsidRPr="00D73E83">
        <w:rPr>
          <w:rFonts w:asciiTheme="minorHAnsi" w:hAnsiTheme="minorHAnsi"/>
          <w:i/>
          <w:sz w:val="24"/>
          <w:szCs w:val="24"/>
        </w:rPr>
        <w:t>For more detail on PBAC’s view, see section 7 PBAC outcome.</w:t>
      </w:r>
    </w:p>
    <w:p w:rsidR="00E70265" w:rsidRPr="00B70CFC" w:rsidRDefault="00E70265" w:rsidP="00F62236">
      <w:pPr>
        <w:pStyle w:val="Heading1"/>
        <w:keepNext/>
        <w:keepLines/>
        <w:widowControl/>
        <w:numPr>
          <w:ilvl w:val="0"/>
          <w:numId w:val="5"/>
        </w:numPr>
        <w:spacing w:before="120" w:after="120"/>
        <w:ind w:left="709" w:hanging="709"/>
        <w:contextualSpacing w:val="0"/>
        <w:jc w:val="left"/>
        <w:rPr>
          <w:rFonts w:asciiTheme="minorHAnsi" w:hAnsiTheme="minorHAnsi"/>
          <w:sz w:val="32"/>
          <w:szCs w:val="32"/>
        </w:rPr>
      </w:pPr>
      <w:r w:rsidRPr="00B70CFC">
        <w:rPr>
          <w:rFonts w:asciiTheme="minorHAnsi" w:hAnsiTheme="minorHAnsi"/>
          <w:sz w:val="32"/>
          <w:szCs w:val="32"/>
        </w:rPr>
        <w:t>Consideration of the evidence</w:t>
      </w:r>
    </w:p>
    <w:p w:rsidR="00EA3CE1" w:rsidRPr="00B70CFC" w:rsidRDefault="00EA3CE1" w:rsidP="00F62236">
      <w:pPr>
        <w:pStyle w:val="Heading2"/>
        <w:keepLines/>
        <w:spacing w:before="120" w:after="120"/>
        <w:rPr>
          <w:rFonts w:asciiTheme="minorHAnsi" w:hAnsiTheme="minorHAnsi" w:cs="Arial"/>
          <w:bCs/>
          <w:snapToGrid w:val="0"/>
          <w:sz w:val="28"/>
          <w:szCs w:val="28"/>
        </w:rPr>
      </w:pPr>
      <w:r w:rsidRPr="00B70CFC">
        <w:rPr>
          <w:rFonts w:asciiTheme="minorHAnsi" w:hAnsiTheme="minorHAnsi" w:cs="Arial"/>
          <w:bCs/>
          <w:snapToGrid w:val="0"/>
          <w:sz w:val="28"/>
          <w:szCs w:val="28"/>
        </w:rPr>
        <w:t>Sponsor hearing</w:t>
      </w:r>
    </w:p>
    <w:p w:rsidR="00EA3CE1" w:rsidRPr="00494199" w:rsidRDefault="00EA3CE1" w:rsidP="00F62236">
      <w:pPr>
        <w:widowControl w:val="0"/>
        <w:numPr>
          <w:ilvl w:val="1"/>
          <w:numId w:val="5"/>
        </w:numPr>
        <w:spacing w:before="120" w:after="120"/>
        <w:jc w:val="both"/>
        <w:rPr>
          <w:rFonts w:asciiTheme="minorHAnsi" w:hAnsiTheme="minorHAnsi" w:cs="Arial"/>
          <w:bCs/>
          <w:snapToGrid w:val="0"/>
        </w:rPr>
      </w:pPr>
      <w:r w:rsidRPr="00B70CFC">
        <w:rPr>
          <w:rFonts w:asciiTheme="minorHAnsi" w:hAnsiTheme="minorHAnsi" w:cs="Arial"/>
          <w:bCs/>
          <w:snapToGrid w:val="0"/>
        </w:rPr>
        <w:t>There was no hearing for this item as it was a minor submission.</w:t>
      </w:r>
    </w:p>
    <w:p w:rsidR="00A564B2" w:rsidRPr="00D26617" w:rsidRDefault="00A564B2" w:rsidP="00F62236">
      <w:pPr>
        <w:pStyle w:val="Heading2"/>
        <w:keepLines/>
        <w:spacing w:before="120" w:after="120"/>
        <w:rPr>
          <w:rFonts w:asciiTheme="minorHAnsi" w:hAnsiTheme="minorHAnsi" w:cs="Arial"/>
          <w:bCs/>
          <w:snapToGrid w:val="0"/>
          <w:sz w:val="28"/>
          <w:szCs w:val="28"/>
        </w:rPr>
      </w:pPr>
      <w:r w:rsidRPr="000E6927">
        <w:rPr>
          <w:rFonts w:asciiTheme="minorHAnsi" w:hAnsiTheme="minorHAnsi" w:cs="Arial"/>
          <w:bCs/>
          <w:snapToGrid w:val="0"/>
          <w:sz w:val="28"/>
          <w:szCs w:val="28"/>
        </w:rPr>
        <w:t>Consumer comments</w:t>
      </w:r>
    </w:p>
    <w:p w:rsidR="00A564B2" w:rsidRPr="000E6927" w:rsidRDefault="00A564B2" w:rsidP="00F62236">
      <w:pPr>
        <w:numPr>
          <w:ilvl w:val="1"/>
          <w:numId w:val="5"/>
        </w:numPr>
        <w:spacing w:before="120" w:after="120"/>
        <w:jc w:val="both"/>
        <w:rPr>
          <w:rFonts w:asciiTheme="minorHAnsi" w:hAnsiTheme="minorHAnsi" w:cs="Arial"/>
          <w:bCs/>
          <w:snapToGrid w:val="0"/>
        </w:rPr>
      </w:pPr>
      <w:r w:rsidRPr="000E6927">
        <w:rPr>
          <w:rFonts w:asciiTheme="minorHAnsi" w:hAnsiTheme="minorHAnsi" w:cs="Arial"/>
          <w:bCs/>
          <w:snapToGrid w:val="0"/>
        </w:rPr>
        <w:t xml:space="preserve">The PBAC noted that no consumer comments </w:t>
      </w:r>
      <w:proofErr w:type="gramStart"/>
      <w:r w:rsidRPr="000E6927">
        <w:rPr>
          <w:rFonts w:asciiTheme="minorHAnsi" w:hAnsiTheme="minorHAnsi" w:cs="Arial"/>
          <w:bCs/>
          <w:snapToGrid w:val="0"/>
        </w:rPr>
        <w:t>were received</w:t>
      </w:r>
      <w:proofErr w:type="gramEnd"/>
      <w:r w:rsidRPr="000E6927">
        <w:rPr>
          <w:rFonts w:asciiTheme="minorHAnsi" w:hAnsiTheme="minorHAnsi" w:cs="Arial"/>
          <w:bCs/>
          <w:snapToGrid w:val="0"/>
        </w:rPr>
        <w:t xml:space="preserve"> for this item.</w:t>
      </w:r>
    </w:p>
    <w:p w:rsidR="00E70265" w:rsidRPr="00B70CFC" w:rsidRDefault="00E70265" w:rsidP="00F62236">
      <w:pPr>
        <w:pStyle w:val="Heading2"/>
        <w:keepLines/>
        <w:spacing w:before="120" w:after="120"/>
        <w:rPr>
          <w:rFonts w:asciiTheme="minorHAnsi" w:eastAsiaTheme="majorEastAsia" w:hAnsiTheme="minorHAnsi" w:cstheme="majorBidi"/>
          <w:sz w:val="28"/>
          <w:szCs w:val="28"/>
          <w:lang w:eastAsia="en-US"/>
        </w:rPr>
      </w:pPr>
      <w:r w:rsidRPr="00B70CFC">
        <w:rPr>
          <w:rFonts w:asciiTheme="minorHAnsi" w:eastAsiaTheme="majorEastAsia" w:hAnsiTheme="minorHAnsi" w:cstheme="majorBidi"/>
          <w:sz w:val="28"/>
          <w:szCs w:val="28"/>
          <w:lang w:eastAsia="en-US"/>
        </w:rPr>
        <w:t>Economic analysis</w:t>
      </w:r>
    </w:p>
    <w:p w:rsidR="00E70265" w:rsidRPr="00B70CFC" w:rsidRDefault="00E70265" w:rsidP="00F62236">
      <w:pPr>
        <w:pStyle w:val="ListParagraph"/>
        <w:widowControl/>
        <w:numPr>
          <w:ilvl w:val="1"/>
          <w:numId w:val="5"/>
        </w:numPr>
        <w:spacing w:before="120" w:after="120"/>
        <w:ind w:left="709"/>
        <w:contextualSpacing w:val="0"/>
        <w:rPr>
          <w:rFonts w:asciiTheme="minorHAnsi" w:hAnsiTheme="minorHAnsi"/>
          <w:sz w:val="24"/>
          <w:szCs w:val="24"/>
        </w:rPr>
      </w:pPr>
      <w:r w:rsidRPr="00B70CFC">
        <w:rPr>
          <w:rFonts w:asciiTheme="minorHAnsi" w:hAnsiTheme="minorHAnsi"/>
          <w:sz w:val="24"/>
          <w:szCs w:val="24"/>
        </w:rPr>
        <w:t xml:space="preserve">The submission did not present an economic analysis. </w:t>
      </w:r>
    </w:p>
    <w:p w:rsidR="00E70265" w:rsidRPr="00B70CFC" w:rsidRDefault="00E70265" w:rsidP="00F62236">
      <w:pPr>
        <w:pStyle w:val="Heading2"/>
        <w:keepLines/>
        <w:spacing w:before="120" w:after="120"/>
        <w:rPr>
          <w:rFonts w:asciiTheme="minorHAnsi" w:eastAsiaTheme="majorEastAsia" w:hAnsiTheme="minorHAnsi" w:cstheme="majorBidi"/>
          <w:sz w:val="28"/>
          <w:szCs w:val="28"/>
          <w:lang w:eastAsia="en-US"/>
        </w:rPr>
      </w:pPr>
      <w:r w:rsidRPr="00B70CFC">
        <w:rPr>
          <w:rFonts w:asciiTheme="minorHAnsi" w:eastAsiaTheme="majorEastAsia" w:hAnsiTheme="minorHAnsi" w:cstheme="majorBidi"/>
          <w:sz w:val="28"/>
          <w:szCs w:val="28"/>
          <w:lang w:eastAsia="en-US"/>
        </w:rPr>
        <w:t>Estimated PBS usage &amp; financial implications</w:t>
      </w:r>
    </w:p>
    <w:p w:rsidR="00E70265" w:rsidRPr="00B70CFC" w:rsidRDefault="00945DD4" w:rsidP="00F62236">
      <w:pPr>
        <w:pStyle w:val="ListParagraph"/>
        <w:widowControl/>
        <w:numPr>
          <w:ilvl w:val="1"/>
          <w:numId w:val="5"/>
        </w:numPr>
        <w:spacing w:before="120" w:after="120"/>
        <w:contextualSpacing w:val="0"/>
        <w:rPr>
          <w:rFonts w:asciiTheme="minorHAnsi" w:eastAsiaTheme="minorHAnsi" w:hAnsiTheme="minorHAnsi" w:cstheme="minorHAnsi"/>
          <w:i/>
          <w:snapToGrid/>
          <w:sz w:val="24"/>
          <w:szCs w:val="24"/>
        </w:rPr>
      </w:pPr>
      <w:r w:rsidRPr="00B70CFC">
        <w:rPr>
          <w:rFonts w:asciiTheme="minorHAnsi" w:hAnsiTheme="minorHAnsi" w:cstheme="minorHAnsi"/>
          <w:sz w:val="24"/>
          <w:szCs w:val="24"/>
        </w:rPr>
        <w:t xml:space="preserve">The minor submission </w:t>
      </w:r>
      <w:r w:rsidR="00384601" w:rsidRPr="00B70CFC">
        <w:rPr>
          <w:rFonts w:asciiTheme="minorHAnsi" w:hAnsiTheme="minorHAnsi" w:cstheme="minorHAnsi"/>
          <w:sz w:val="24"/>
          <w:szCs w:val="24"/>
        </w:rPr>
        <w:t xml:space="preserve">presented estimates based on data from </w:t>
      </w:r>
      <w:r w:rsidR="003778F6">
        <w:rPr>
          <w:rFonts w:asciiTheme="minorHAnsi" w:hAnsiTheme="minorHAnsi" w:cstheme="minorHAnsi"/>
          <w:sz w:val="24"/>
          <w:szCs w:val="24"/>
        </w:rPr>
        <w:t xml:space="preserve">the </w:t>
      </w:r>
      <w:r w:rsidR="003778F6" w:rsidRPr="00B70CFC">
        <w:rPr>
          <w:rFonts w:asciiTheme="minorHAnsi" w:hAnsiTheme="minorHAnsi" w:cstheme="minorHAnsi"/>
          <w:sz w:val="24"/>
          <w:szCs w:val="24"/>
        </w:rPr>
        <w:t>September 2017</w:t>
      </w:r>
      <w:r w:rsidR="003778F6">
        <w:rPr>
          <w:rFonts w:asciiTheme="minorHAnsi" w:hAnsiTheme="minorHAnsi" w:cstheme="minorHAnsi"/>
          <w:sz w:val="24"/>
          <w:szCs w:val="24"/>
        </w:rPr>
        <w:t xml:space="preserve"> </w:t>
      </w:r>
      <w:r w:rsidR="00384601" w:rsidRPr="00B70CFC">
        <w:rPr>
          <w:rFonts w:asciiTheme="minorHAnsi" w:hAnsiTheme="minorHAnsi" w:cstheme="minorHAnsi"/>
          <w:sz w:val="24"/>
          <w:szCs w:val="24"/>
        </w:rPr>
        <w:t xml:space="preserve">DUSC report </w:t>
      </w:r>
      <w:r w:rsidR="00DB5FB2" w:rsidRPr="00B70CFC">
        <w:rPr>
          <w:rFonts w:asciiTheme="minorHAnsi" w:hAnsiTheme="minorHAnsi" w:cstheme="minorHAnsi"/>
          <w:sz w:val="24"/>
          <w:szCs w:val="24"/>
        </w:rPr>
        <w:t>that the sponsor stated</w:t>
      </w:r>
      <w:r w:rsidR="00384601" w:rsidRPr="00B70CFC">
        <w:rPr>
          <w:rFonts w:asciiTheme="minorHAnsi" w:hAnsiTheme="minorHAnsi" w:cstheme="minorHAnsi"/>
          <w:sz w:val="24"/>
          <w:szCs w:val="24"/>
        </w:rPr>
        <w:t xml:space="preserve"> differ</w:t>
      </w:r>
      <w:r w:rsidR="00DB5FB2" w:rsidRPr="00B70CFC">
        <w:rPr>
          <w:rFonts w:asciiTheme="minorHAnsi" w:hAnsiTheme="minorHAnsi" w:cstheme="minorHAnsi"/>
          <w:sz w:val="24"/>
          <w:szCs w:val="24"/>
        </w:rPr>
        <w:t xml:space="preserve">s </w:t>
      </w:r>
      <w:r w:rsidR="00384601" w:rsidRPr="00B70CFC">
        <w:rPr>
          <w:rFonts w:asciiTheme="minorHAnsi" w:hAnsiTheme="minorHAnsi" w:cstheme="minorHAnsi"/>
          <w:sz w:val="24"/>
          <w:szCs w:val="24"/>
        </w:rPr>
        <w:t xml:space="preserve">from the Medicare usage report. </w:t>
      </w:r>
      <w:r w:rsidR="00364344" w:rsidRPr="00B70CFC">
        <w:rPr>
          <w:rFonts w:asciiTheme="minorHAnsi" w:hAnsiTheme="minorHAnsi" w:cstheme="minorHAnsi"/>
          <w:sz w:val="24"/>
          <w:szCs w:val="24"/>
        </w:rPr>
        <w:t xml:space="preserve">The sponsor claims that the uptake of </w:t>
      </w:r>
      <w:r w:rsidR="00364344" w:rsidRPr="00B70CFC">
        <w:rPr>
          <w:rFonts w:asciiTheme="minorHAnsi" w:hAnsiTheme="minorHAnsi" w:cstheme="minorHAnsi"/>
          <w:i/>
          <w:sz w:val="24"/>
          <w:szCs w:val="24"/>
        </w:rPr>
        <w:t>nab-</w:t>
      </w:r>
      <w:r w:rsidR="00364344" w:rsidRPr="00B70CFC">
        <w:rPr>
          <w:rFonts w:asciiTheme="minorHAnsi" w:hAnsiTheme="minorHAnsi" w:cstheme="minorHAnsi"/>
          <w:sz w:val="24"/>
          <w:szCs w:val="24"/>
        </w:rPr>
        <w:t xml:space="preserve">paclitaxel has been lower than forecast, therefore the financial implication </w:t>
      </w:r>
      <w:proofErr w:type="gramStart"/>
      <w:r w:rsidR="000B56CF">
        <w:rPr>
          <w:rFonts w:asciiTheme="minorHAnsi" w:hAnsiTheme="minorHAnsi" w:cstheme="minorHAnsi"/>
          <w:sz w:val="24"/>
          <w:szCs w:val="24"/>
        </w:rPr>
        <w:t xml:space="preserve">was </w:t>
      </w:r>
      <w:r w:rsidR="00364344" w:rsidRPr="00B70CFC">
        <w:rPr>
          <w:rFonts w:asciiTheme="minorHAnsi" w:hAnsiTheme="minorHAnsi" w:cstheme="minorHAnsi"/>
          <w:sz w:val="24"/>
          <w:szCs w:val="24"/>
        </w:rPr>
        <w:t>calculated</w:t>
      </w:r>
      <w:proofErr w:type="gramEnd"/>
      <w:r w:rsidR="00364344" w:rsidRPr="00B70CFC">
        <w:rPr>
          <w:rFonts w:asciiTheme="minorHAnsi" w:hAnsiTheme="minorHAnsi" w:cstheme="minorHAnsi"/>
          <w:sz w:val="24"/>
          <w:szCs w:val="24"/>
        </w:rPr>
        <w:t xml:space="preserve"> based on the known usage</w:t>
      </w:r>
      <w:r w:rsidR="00794768" w:rsidRPr="00B70CFC">
        <w:rPr>
          <w:rFonts w:asciiTheme="minorHAnsi" w:hAnsiTheme="minorHAnsi" w:cstheme="minorHAnsi"/>
          <w:sz w:val="24"/>
          <w:szCs w:val="24"/>
        </w:rPr>
        <w:t xml:space="preserve"> and a linear forecast </w:t>
      </w:r>
      <w:r w:rsidR="000B56CF">
        <w:rPr>
          <w:rFonts w:asciiTheme="minorHAnsi" w:hAnsiTheme="minorHAnsi" w:cstheme="minorHAnsi"/>
          <w:sz w:val="24"/>
          <w:szCs w:val="24"/>
        </w:rPr>
        <w:t>w</w:t>
      </w:r>
      <w:r w:rsidR="003E708A">
        <w:rPr>
          <w:rFonts w:asciiTheme="minorHAnsi" w:hAnsiTheme="minorHAnsi" w:cstheme="minorHAnsi"/>
          <w:sz w:val="24"/>
          <w:szCs w:val="24"/>
        </w:rPr>
        <w:t>as</w:t>
      </w:r>
      <w:r w:rsidR="00794768" w:rsidRPr="00B70CFC">
        <w:rPr>
          <w:rFonts w:asciiTheme="minorHAnsi" w:hAnsiTheme="minorHAnsi" w:cstheme="minorHAnsi"/>
          <w:sz w:val="24"/>
          <w:szCs w:val="24"/>
        </w:rPr>
        <w:t xml:space="preserve"> applied for the forthcoming years.</w:t>
      </w:r>
    </w:p>
    <w:p w:rsidR="00DB5FB2" w:rsidRPr="000B56CF" w:rsidRDefault="00DB5FB2" w:rsidP="006E16C9">
      <w:pPr>
        <w:pStyle w:val="Caption"/>
        <w:keepNext/>
        <w:spacing w:after="0"/>
        <w:jc w:val="both"/>
        <w:rPr>
          <w:rFonts w:ascii="Arial Narrow" w:hAnsi="Arial Narrow" w:cstheme="minorHAnsi"/>
          <w:color w:val="auto"/>
          <w:sz w:val="20"/>
          <w:szCs w:val="22"/>
        </w:rPr>
      </w:pPr>
      <w:bookmarkStart w:id="0" w:name="_Ref527978617"/>
      <w:r w:rsidRPr="000B56CF">
        <w:rPr>
          <w:rFonts w:ascii="Arial Narrow" w:hAnsi="Arial Narrow" w:cstheme="minorHAnsi"/>
          <w:color w:val="auto"/>
          <w:sz w:val="20"/>
          <w:szCs w:val="22"/>
        </w:rPr>
        <w:lastRenderedPageBreak/>
        <w:t>Table 2</w:t>
      </w:r>
      <w:bookmarkEnd w:id="0"/>
      <w:r w:rsidR="00D73E83">
        <w:rPr>
          <w:rFonts w:ascii="Arial Narrow" w:hAnsi="Arial Narrow" w:cstheme="minorHAnsi"/>
          <w:color w:val="auto"/>
          <w:sz w:val="20"/>
          <w:szCs w:val="22"/>
        </w:rPr>
        <w:t xml:space="preserve">: </w:t>
      </w:r>
      <w:r w:rsidRPr="000B56CF">
        <w:rPr>
          <w:rFonts w:ascii="Arial Narrow" w:hAnsi="Arial Narrow" w:cstheme="minorHAnsi"/>
          <w:color w:val="auto"/>
          <w:sz w:val="20"/>
          <w:szCs w:val="22"/>
        </w:rPr>
        <w:t>Estimated financial implications of price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Estimated financial implications of price change"/>
      </w:tblPr>
      <w:tblGrid>
        <w:gridCol w:w="4070"/>
        <w:gridCol w:w="1236"/>
        <w:gridCol w:w="1237"/>
        <w:gridCol w:w="1236"/>
        <w:gridCol w:w="1237"/>
      </w:tblGrid>
      <w:tr w:rsidR="00DB5FB2" w:rsidRPr="000B56CF" w:rsidTr="00D73E83">
        <w:trPr>
          <w:trHeight w:val="315"/>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b/>
                <w:sz w:val="20"/>
                <w:szCs w:val="20"/>
              </w:rPr>
            </w:pPr>
            <w:r w:rsidRPr="000B56CF">
              <w:rPr>
                <w:rFonts w:ascii="Arial Narrow" w:hAnsi="Arial Narrow" w:cstheme="minorHAnsi"/>
                <w:b/>
                <w:sz w:val="20"/>
                <w:szCs w:val="20"/>
              </w:rPr>
              <w:t>Year</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b/>
                <w:sz w:val="20"/>
                <w:szCs w:val="20"/>
              </w:rPr>
            </w:pPr>
            <w:r w:rsidRPr="000B56CF">
              <w:rPr>
                <w:rFonts w:ascii="Arial Narrow" w:hAnsi="Arial Narrow" w:cstheme="minorHAnsi"/>
                <w:b/>
                <w:sz w:val="20"/>
                <w:szCs w:val="20"/>
              </w:rPr>
              <w:t>2019</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b/>
                <w:sz w:val="20"/>
                <w:szCs w:val="20"/>
              </w:rPr>
            </w:pPr>
            <w:r w:rsidRPr="000B56CF">
              <w:rPr>
                <w:rFonts w:ascii="Arial Narrow" w:hAnsi="Arial Narrow" w:cstheme="minorHAnsi"/>
                <w:b/>
                <w:sz w:val="20"/>
                <w:szCs w:val="20"/>
              </w:rPr>
              <w:t>2020</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b/>
                <w:sz w:val="20"/>
                <w:szCs w:val="20"/>
              </w:rPr>
            </w:pPr>
            <w:r w:rsidRPr="000B56CF">
              <w:rPr>
                <w:rFonts w:ascii="Arial Narrow" w:hAnsi="Arial Narrow" w:cstheme="minorHAnsi"/>
                <w:b/>
                <w:sz w:val="20"/>
                <w:szCs w:val="20"/>
              </w:rPr>
              <w:t>2021</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b/>
                <w:sz w:val="20"/>
                <w:szCs w:val="20"/>
              </w:rPr>
            </w:pPr>
            <w:r w:rsidRPr="000B56CF">
              <w:rPr>
                <w:rFonts w:ascii="Arial Narrow" w:hAnsi="Arial Narrow" w:cstheme="minorHAnsi"/>
                <w:b/>
                <w:sz w:val="20"/>
                <w:szCs w:val="20"/>
              </w:rPr>
              <w:t>2022</w:t>
            </w: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PBS Scripts (Medicare Data)</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Vials (DUSC)</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DB5FB2" w:rsidRPr="000B56CF" w:rsidTr="00D73E83">
        <w:trPr>
          <w:trHeight w:val="315"/>
        </w:trPr>
        <w:tc>
          <w:tcPr>
            <w:tcW w:w="4052" w:type="dxa"/>
            <w:tcBorders>
              <w:top w:val="single" w:sz="4" w:space="0" w:color="auto"/>
              <w:left w:val="single" w:sz="4" w:space="0" w:color="auto"/>
              <w:bottom w:val="single" w:sz="4" w:space="0" w:color="auto"/>
              <w:right w:val="nil"/>
            </w:tcBorders>
            <w:shd w:val="clear" w:color="auto" w:fill="D9D9D9" w:themeFill="background1" w:themeFillShade="D9"/>
            <w:noWrap/>
          </w:tcPr>
          <w:p w:rsidR="00DB5FB2" w:rsidRPr="000B56CF" w:rsidRDefault="00DB5FB2" w:rsidP="00DB5FB2">
            <w:pPr>
              <w:keepNext/>
              <w:spacing w:line="276" w:lineRule="auto"/>
              <w:jc w:val="both"/>
              <w:rPr>
                <w:rFonts w:ascii="Arial Narrow" w:hAnsi="Arial Narrow" w:cstheme="minorHAnsi"/>
                <w:b/>
                <w:sz w:val="20"/>
                <w:szCs w:val="20"/>
              </w:rPr>
            </w:pPr>
            <w:r w:rsidRPr="000B56CF">
              <w:rPr>
                <w:rFonts w:ascii="Arial Narrow" w:hAnsi="Arial Narrow" w:cstheme="minorHAnsi"/>
                <w:b/>
                <w:sz w:val="20"/>
                <w:szCs w:val="20"/>
              </w:rPr>
              <w:t>Calculations based on PBS Scripts (Medicare Data)</w:t>
            </w:r>
          </w:p>
        </w:tc>
        <w:tc>
          <w:tcPr>
            <w:tcW w:w="1230" w:type="dxa"/>
            <w:tcBorders>
              <w:top w:val="single" w:sz="4" w:space="0" w:color="auto"/>
              <w:left w:val="nil"/>
              <w:bottom w:val="single" w:sz="4" w:space="0" w:color="auto"/>
              <w:right w:val="nil"/>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nil"/>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sz w:val="20"/>
                <w:szCs w:val="20"/>
              </w:rPr>
            </w:pPr>
          </w:p>
        </w:tc>
        <w:tc>
          <w:tcPr>
            <w:tcW w:w="1230" w:type="dxa"/>
            <w:tcBorders>
              <w:top w:val="single" w:sz="4" w:space="0" w:color="auto"/>
              <w:left w:val="nil"/>
              <w:bottom w:val="single" w:sz="4" w:space="0" w:color="auto"/>
              <w:right w:val="nil"/>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single" w:sz="4" w:space="0" w:color="auto"/>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sz w:val="20"/>
                <w:szCs w:val="20"/>
              </w:rPr>
            </w:pPr>
          </w:p>
        </w:tc>
      </w:tr>
      <w:tr w:rsidR="00DB5FB2" w:rsidRPr="000B56CF" w:rsidTr="00D73E83">
        <w:trPr>
          <w:trHeight w:val="315"/>
        </w:trPr>
        <w:tc>
          <w:tcPr>
            <w:tcW w:w="4052" w:type="dxa"/>
            <w:tcBorders>
              <w:top w:val="single" w:sz="4" w:space="0" w:color="auto"/>
              <w:left w:val="single" w:sz="4" w:space="0" w:color="auto"/>
              <w:bottom w:val="single" w:sz="4" w:space="0" w:color="auto"/>
              <w:right w:val="nil"/>
            </w:tcBorders>
            <w:shd w:val="clear" w:color="auto" w:fill="auto"/>
            <w:noWrap/>
            <w:hideMark/>
          </w:tcPr>
          <w:p w:rsidR="00DB5FB2" w:rsidRPr="000B56CF" w:rsidRDefault="00DB5FB2" w:rsidP="00DB5FB2">
            <w:pPr>
              <w:keepNext/>
              <w:spacing w:line="276" w:lineRule="auto"/>
              <w:jc w:val="both"/>
              <w:rPr>
                <w:rFonts w:ascii="Arial Narrow" w:hAnsi="Arial Narrow" w:cstheme="minorHAnsi"/>
                <w:b/>
                <w:sz w:val="20"/>
                <w:szCs w:val="20"/>
              </w:rPr>
            </w:pPr>
            <w:r w:rsidRPr="000B56CF">
              <w:rPr>
                <w:rFonts w:ascii="Arial Narrow" w:hAnsi="Arial Narrow" w:cstheme="minorHAnsi"/>
                <w:b/>
                <w:sz w:val="20"/>
                <w:szCs w:val="20"/>
              </w:rPr>
              <w:t>PBS/RPBS Benefit</w:t>
            </w:r>
          </w:p>
        </w:tc>
        <w:tc>
          <w:tcPr>
            <w:tcW w:w="1230"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0"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single" w:sz="4" w:space="0" w:color="auto"/>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PBS Benefit (Medicare Data)</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270D" w:rsidRDefault="000B270D" w:rsidP="00D73E83">
            <w:pPr>
              <w:keepNext/>
              <w:spacing w:line="276" w:lineRule="auto"/>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DB5FB2" w:rsidRPr="000B56CF" w:rsidTr="00D73E83">
        <w:trPr>
          <w:trHeight w:val="315"/>
        </w:trPr>
        <w:tc>
          <w:tcPr>
            <w:tcW w:w="4052" w:type="dxa"/>
            <w:tcBorders>
              <w:top w:val="single" w:sz="4" w:space="0" w:color="auto"/>
              <w:left w:val="single" w:sz="4" w:space="0" w:color="auto"/>
              <w:bottom w:val="single" w:sz="4" w:space="0" w:color="auto"/>
              <w:right w:val="nil"/>
            </w:tcBorders>
            <w:shd w:val="clear" w:color="auto" w:fill="D9D9D9" w:themeFill="background1" w:themeFillShade="D9"/>
            <w:noWrap/>
          </w:tcPr>
          <w:p w:rsidR="00DB5FB2" w:rsidRPr="000B56CF" w:rsidRDefault="00DB5FB2" w:rsidP="00DB5FB2">
            <w:pPr>
              <w:keepNext/>
              <w:spacing w:line="276" w:lineRule="auto"/>
              <w:jc w:val="both"/>
              <w:rPr>
                <w:rFonts w:ascii="Arial Narrow" w:hAnsi="Arial Narrow" w:cstheme="minorHAnsi"/>
                <w:b/>
                <w:sz w:val="20"/>
                <w:szCs w:val="20"/>
              </w:rPr>
            </w:pPr>
            <w:r w:rsidRPr="000B56CF">
              <w:rPr>
                <w:rFonts w:ascii="Arial Narrow" w:hAnsi="Arial Narrow" w:cstheme="minorHAnsi"/>
                <w:b/>
                <w:sz w:val="20"/>
                <w:szCs w:val="20"/>
              </w:rPr>
              <w:t>Calculations based on Vials Dispensed (DUSC)</w:t>
            </w:r>
          </w:p>
        </w:tc>
        <w:tc>
          <w:tcPr>
            <w:tcW w:w="1230" w:type="dxa"/>
            <w:tcBorders>
              <w:top w:val="single" w:sz="4" w:space="0" w:color="auto"/>
              <w:left w:val="nil"/>
              <w:bottom w:val="single" w:sz="4" w:space="0" w:color="auto"/>
              <w:right w:val="nil"/>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b/>
                <w:sz w:val="20"/>
                <w:szCs w:val="20"/>
              </w:rPr>
            </w:pPr>
          </w:p>
        </w:tc>
        <w:tc>
          <w:tcPr>
            <w:tcW w:w="1231" w:type="dxa"/>
            <w:tcBorders>
              <w:top w:val="single" w:sz="4" w:space="0" w:color="auto"/>
              <w:left w:val="nil"/>
              <w:bottom w:val="single" w:sz="4" w:space="0" w:color="auto"/>
              <w:right w:val="nil"/>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sz w:val="20"/>
                <w:szCs w:val="20"/>
              </w:rPr>
            </w:pPr>
          </w:p>
        </w:tc>
        <w:tc>
          <w:tcPr>
            <w:tcW w:w="1230" w:type="dxa"/>
            <w:tcBorders>
              <w:top w:val="single" w:sz="4" w:space="0" w:color="auto"/>
              <w:left w:val="nil"/>
              <w:bottom w:val="single" w:sz="4" w:space="0" w:color="auto"/>
              <w:right w:val="nil"/>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single" w:sz="4" w:space="0" w:color="auto"/>
            </w:tcBorders>
            <w:shd w:val="clear" w:color="auto" w:fill="D9D9D9" w:themeFill="background1" w:themeFillShade="D9"/>
            <w:noWrap/>
          </w:tcPr>
          <w:p w:rsidR="00DB5FB2" w:rsidRPr="000B56CF" w:rsidRDefault="00DB5FB2" w:rsidP="00D73E83">
            <w:pPr>
              <w:keepNext/>
              <w:spacing w:line="276" w:lineRule="auto"/>
              <w:jc w:val="center"/>
              <w:rPr>
                <w:rFonts w:ascii="Arial Narrow" w:hAnsi="Arial Narrow" w:cstheme="minorHAnsi"/>
                <w:sz w:val="20"/>
                <w:szCs w:val="20"/>
              </w:rPr>
            </w:pPr>
          </w:p>
        </w:tc>
      </w:tr>
      <w:tr w:rsidR="00DB5FB2" w:rsidRPr="000B56CF" w:rsidTr="00D73E83">
        <w:trPr>
          <w:trHeight w:val="315"/>
        </w:trPr>
        <w:tc>
          <w:tcPr>
            <w:tcW w:w="4052" w:type="dxa"/>
            <w:tcBorders>
              <w:top w:val="single" w:sz="4" w:space="0" w:color="auto"/>
              <w:left w:val="single" w:sz="4" w:space="0" w:color="auto"/>
              <w:bottom w:val="single" w:sz="4" w:space="0" w:color="auto"/>
              <w:right w:val="nil"/>
            </w:tcBorders>
            <w:shd w:val="clear" w:color="auto" w:fill="auto"/>
            <w:noWrap/>
            <w:hideMark/>
          </w:tcPr>
          <w:p w:rsidR="00DB5FB2" w:rsidRPr="000B56CF" w:rsidRDefault="00DB5FB2" w:rsidP="00DB5FB2">
            <w:pPr>
              <w:keepNext/>
              <w:spacing w:line="276" w:lineRule="auto"/>
              <w:jc w:val="both"/>
              <w:rPr>
                <w:rFonts w:ascii="Arial Narrow" w:hAnsi="Arial Narrow" w:cstheme="minorHAnsi"/>
                <w:b/>
                <w:sz w:val="20"/>
                <w:szCs w:val="20"/>
              </w:rPr>
            </w:pPr>
            <w:r w:rsidRPr="000B56CF">
              <w:rPr>
                <w:rFonts w:ascii="Arial Narrow" w:hAnsi="Arial Narrow" w:cstheme="minorHAnsi"/>
                <w:b/>
                <w:sz w:val="20"/>
                <w:szCs w:val="20"/>
              </w:rPr>
              <w:t>Cost to PBS/RPBS</w:t>
            </w:r>
          </w:p>
        </w:tc>
        <w:tc>
          <w:tcPr>
            <w:tcW w:w="1230"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0"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single" w:sz="4" w:space="0" w:color="auto"/>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Cost to PBS (current effective price)</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Cost to PBS (current published price)</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Cost to PBS (proposed new price)</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r>
      <w:tr w:rsidR="00DB5FB2" w:rsidRPr="000B56CF" w:rsidTr="00D73E83">
        <w:trPr>
          <w:trHeight w:val="315"/>
        </w:trPr>
        <w:tc>
          <w:tcPr>
            <w:tcW w:w="4052" w:type="dxa"/>
            <w:tcBorders>
              <w:top w:val="single" w:sz="4" w:space="0" w:color="auto"/>
              <w:left w:val="single" w:sz="4" w:space="0" w:color="auto"/>
              <w:bottom w:val="single" w:sz="4" w:space="0" w:color="auto"/>
              <w:right w:val="nil"/>
            </w:tcBorders>
            <w:shd w:val="clear" w:color="auto" w:fill="auto"/>
            <w:noWrap/>
            <w:hideMark/>
          </w:tcPr>
          <w:p w:rsidR="00DB5FB2" w:rsidRPr="000B56CF" w:rsidRDefault="00DB5FB2" w:rsidP="00DB5FB2">
            <w:pPr>
              <w:keepNext/>
              <w:spacing w:line="276" w:lineRule="auto"/>
              <w:jc w:val="both"/>
              <w:rPr>
                <w:rFonts w:ascii="Arial Narrow" w:hAnsi="Arial Narrow" w:cstheme="minorHAnsi"/>
                <w:b/>
                <w:sz w:val="20"/>
                <w:szCs w:val="20"/>
              </w:rPr>
            </w:pPr>
            <w:r w:rsidRPr="000B56CF">
              <w:rPr>
                <w:rFonts w:ascii="Arial Narrow" w:hAnsi="Arial Narrow" w:cstheme="minorHAnsi"/>
                <w:b/>
                <w:sz w:val="20"/>
                <w:szCs w:val="20"/>
              </w:rPr>
              <w:t>PBS/RPBS Benefit</w:t>
            </w:r>
          </w:p>
        </w:tc>
        <w:tc>
          <w:tcPr>
            <w:tcW w:w="1230"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0" w:type="dxa"/>
            <w:tcBorders>
              <w:top w:val="single" w:sz="4" w:space="0" w:color="auto"/>
              <w:left w:val="nil"/>
              <w:bottom w:val="single" w:sz="4" w:space="0" w:color="auto"/>
              <w:right w:val="nil"/>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c>
          <w:tcPr>
            <w:tcW w:w="1231" w:type="dxa"/>
            <w:tcBorders>
              <w:top w:val="single" w:sz="4" w:space="0" w:color="auto"/>
              <w:left w:val="nil"/>
              <w:bottom w:val="single" w:sz="4" w:space="0" w:color="auto"/>
              <w:right w:val="single" w:sz="4" w:space="0" w:color="auto"/>
            </w:tcBorders>
            <w:shd w:val="clear" w:color="auto" w:fill="auto"/>
            <w:noWrap/>
            <w:hideMark/>
          </w:tcPr>
          <w:p w:rsidR="00DB5FB2" w:rsidRPr="000B56CF" w:rsidRDefault="00DB5FB2" w:rsidP="00D73E83">
            <w:pPr>
              <w:keepNext/>
              <w:spacing w:line="276" w:lineRule="auto"/>
              <w:jc w:val="center"/>
              <w:rPr>
                <w:rFonts w:ascii="Arial Narrow" w:hAnsi="Arial Narrow" w:cstheme="minorHAnsi"/>
                <w:sz w:val="20"/>
                <w:szCs w:val="20"/>
              </w:rPr>
            </w:pP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PBS Benefit (current effective price)</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PBS Benefit (current published price)</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r>
      <w:tr w:rsidR="00DB5FB2" w:rsidRPr="000B56CF" w:rsidTr="00D73E83">
        <w:trPr>
          <w:trHeight w:val="300"/>
        </w:trPr>
        <w:tc>
          <w:tcPr>
            <w:tcW w:w="4052" w:type="dxa"/>
            <w:tcBorders>
              <w:top w:val="single" w:sz="4" w:space="0" w:color="auto"/>
              <w:left w:val="single" w:sz="4" w:space="0" w:color="auto"/>
              <w:bottom w:val="single" w:sz="4" w:space="0" w:color="auto"/>
              <w:right w:val="single" w:sz="4" w:space="0" w:color="auto"/>
            </w:tcBorders>
            <w:noWrap/>
            <w:hideMark/>
          </w:tcPr>
          <w:p w:rsidR="00DB5FB2" w:rsidRPr="000B56CF" w:rsidRDefault="00DB5FB2" w:rsidP="00DB5FB2">
            <w:pPr>
              <w:keepNext/>
              <w:spacing w:line="276" w:lineRule="auto"/>
              <w:jc w:val="both"/>
              <w:rPr>
                <w:rFonts w:ascii="Arial Narrow" w:hAnsi="Arial Narrow" w:cstheme="minorHAnsi"/>
                <w:sz w:val="20"/>
                <w:szCs w:val="20"/>
              </w:rPr>
            </w:pPr>
            <w:r w:rsidRPr="000B56CF">
              <w:rPr>
                <w:rFonts w:ascii="Arial Narrow" w:hAnsi="Arial Narrow" w:cstheme="minorHAnsi"/>
                <w:sz w:val="20"/>
                <w:szCs w:val="20"/>
              </w:rPr>
              <w:t>PBS Benefit (proposed new price)</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DB5FB2" w:rsidRPr="000B56CF" w:rsidRDefault="00DB5FB2" w:rsidP="00D73E83">
            <w:pPr>
              <w:keepNext/>
              <w:spacing w:line="276" w:lineRule="auto"/>
              <w:jc w:val="center"/>
              <w:rPr>
                <w:rFonts w:ascii="Arial Narrow" w:hAnsi="Arial Narrow" w:cstheme="minorHAnsi"/>
                <w:sz w:val="20"/>
                <w:szCs w:val="20"/>
              </w:rPr>
            </w:pPr>
            <w:r w:rsidRPr="000B56CF">
              <w:rPr>
                <w:rFonts w:ascii="Arial Narrow" w:hAnsi="Arial Narrow" w:cstheme="minorHAnsi"/>
                <w:sz w:val="20"/>
                <w:szCs w:val="20"/>
              </w:rPr>
              <w:t>$</w:t>
            </w:r>
            <w:r w:rsidR="000B270D">
              <w:rPr>
                <w:rFonts w:ascii="Arial Narrow" w:hAnsi="Arial Narrow" w:cstheme="minorHAnsi"/>
                <w:noProof/>
                <w:color w:val="000000"/>
                <w:sz w:val="20"/>
                <w:szCs w:val="20"/>
                <w:highlight w:val="black"/>
              </w:rPr>
              <w:t>'''''''''''''''''''''''</w:t>
            </w:r>
          </w:p>
        </w:tc>
      </w:tr>
    </w:tbl>
    <w:p w:rsidR="00C34D77" w:rsidRPr="00F62236" w:rsidRDefault="00316B9E" w:rsidP="00F62236">
      <w:pPr>
        <w:spacing w:before="120" w:after="120"/>
        <w:rPr>
          <w:rFonts w:asciiTheme="minorHAnsi" w:eastAsiaTheme="minorHAnsi" w:hAnsiTheme="minorHAnsi" w:cstheme="minorHAnsi"/>
          <w:i/>
        </w:rPr>
      </w:pPr>
      <w:r w:rsidRPr="00F62236">
        <w:rPr>
          <w:rFonts w:asciiTheme="minorHAnsi" w:eastAsiaTheme="minorHAnsi" w:hAnsiTheme="minorHAnsi" w:cstheme="minorHAnsi"/>
          <w:i/>
        </w:rPr>
        <w:t xml:space="preserve">The redacted table shows that at Year 4, the estimated number of </w:t>
      </w:r>
      <w:r w:rsidR="00AC6DF2" w:rsidRPr="00F62236">
        <w:rPr>
          <w:rFonts w:asciiTheme="minorHAnsi" w:eastAsiaTheme="minorHAnsi" w:hAnsiTheme="minorHAnsi" w:cstheme="minorHAnsi"/>
          <w:i/>
        </w:rPr>
        <w:t>vials</w:t>
      </w:r>
      <w:r w:rsidRPr="00F62236">
        <w:rPr>
          <w:rFonts w:asciiTheme="minorHAnsi" w:eastAsiaTheme="minorHAnsi" w:hAnsiTheme="minorHAnsi" w:cstheme="minorHAnsi"/>
          <w:i/>
        </w:rPr>
        <w:t xml:space="preserve"> was 10,000 to 50,000 and the net cost to the PBS/RPBS would be $</w:t>
      </w:r>
      <w:r w:rsidR="00AC6DF2" w:rsidRPr="00F62236">
        <w:rPr>
          <w:rFonts w:asciiTheme="minorHAnsi" w:eastAsiaTheme="minorHAnsi" w:hAnsiTheme="minorHAnsi" w:cstheme="minorHAnsi"/>
          <w:i/>
        </w:rPr>
        <w:t>10 to $20</w:t>
      </w:r>
      <w:r w:rsidRPr="00F62236">
        <w:rPr>
          <w:rFonts w:asciiTheme="minorHAnsi" w:eastAsiaTheme="minorHAnsi" w:hAnsiTheme="minorHAnsi" w:cstheme="minorHAnsi"/>
          <w:i/>
        </w:rPr>
        <w:t xml:space="preserve"> million. </w:t>
      </w:r>
    </w:p>
    <w:p w:rsidR="00EA3CE1" w:rsidRPr="00B70CFC" w:rsidRDefault="00835EC7" w:rsidP="00F62236">
      <w:pPr>
        <w:spacing w:before="120" w:after="120"/>
        <w:ind w:firstLine="720"/>
        <w:rPr>
          <w:rFonts w:ascii="Calibri" w:hAnsi="Calibri" w:cs="Arial"/>
          <w:b/>
          <w:snapToGrid w:val="0"/>
          <w:sz w:val="32"/>
          <w:szCs w:val="22"/>
          <w:lang w:eastAsia="en-US"/>
        </w:rPr>
      </w:pPr>
      <w:r w:rsidRPr="00B70CFC">
        <w:rPr>
          <w:rFonts w:asciiTheme="minorHAnsi" w:eastAsiaTheme="minorHAnsi" w:hAnsiTheme="minorHAnsi" w:cstheme="minorHAnsi"/>
          <w:i/>
        </w:rPr>
        <w:t>For more detail on PBAC’s view, see section 7 PBAC outcome.</w:t>
      </w:r>
    </w:p>
    <w:p w:rsidR="00EA3CE1" w:rsidRPr="00A564B2" w:rsidRDefault="00EA3CE1" w:rsidP="00F62236">
      <w:pPr>
        <w:pStyle w:val="Heading1"/>
        <w:keepNext/>
        <w:keepLines/>
        <w:widowControl/>
        <w:numPr>
          <w:ilvl w:val="0"/>
          <w:numId w:val="5"/>
        </w:numPr>
        <w:spacing w:before="120" w:after="120"/>
        <w:ind w:left="709" w:hanging="709"/>
        <w:contextualSpacing w:val="0"/>
        <w:jc w:val="left"/>
        <w:rPr>
          <w:rFonts w:asciiTheme="minorHAnsi" w:hAnsiTheme="minorHAnsi"/>
          <w:sz w:val="32"/>
          <w:szCs w:val="32"/>
        </w:rPr>
      </w:pPr>
      <w:r w:rsidRPr="00A564B2">
        <w:rPr>
          <w:rFonts w:asciiTheme="minorHAnsi" w:hAnsiTheme="minorHAnsi"/>
          <w:sz w:val="32"/>
          <w:szCs w:val="32"/>
        </w:rPr>
        <w:t>PBAC Outcome</w:t>
      </w:r>
    </w:p>
    <w:p w:rsidR="00EA3CE1" w:rsidRPr="0047510D" w:rsidRDefault="00EA3CE1" w:rsidP="00F62236">
      <w:pPr>
        <w:widowControl w:val="0"/>
        <w:numPr>
          <w:ilvl w:val="1"/>
          <w:numId w:val="5"/>
        </w:numPr>
        <w:spacing w:before="120" w:after="120"/>
        <w:jc w:val="both"/>
        <w:rPr>
          <w:rFonts w:asciiTheme="minorHAnsi" w:hAnsiTheme="minorHAnsi" w:cs="Arial"/>
          <w:bCs/>
          <w:snapToGrid w:val="0"/>
          <w:lang w:eastAsia="en-US"/>
        </w:rPr>
      </w:pPr>
      <w:r w:rsidRPr="0047510D">
        <w:rPr>
          <w:rFonts w:asciiTheme="minorHAnsi" w:hAnsiTheme="minorHAnsi" w:cs="Arial"/>
          <w:bCs/>
          <w:snapToGrid w:val="0"/>
          <w:lang w:eastAsia="en-US"/>
        </w:rPr>
        <w:t>The PBAC recommended the listing of</w:t>
      </w:r>
      <w:r w:rsidR="00F81973" w:rsidRPr="00B70CFC">
        <w:rPr>
          <w:rFonts w:asciiTheme="minorHAnsi" w:hAnsiTheme="minorHAnsi" w:cs="Arial"/>
          <w:bCs/>
          <w:snapToGrid w:val="0"/>
          <w:lang w:eastAsia="en-US"/>
        </w:rPr>
        <w:t xml:space="preserve"> </w:t>
      </w:r>
      <w:r w:rsidR="002D3F5E">
        <w:rPr>
          <w:rFonts w:asciiTheme="minorHAnsi" w:hAnsiTheme="minorHAnsi" w:cs="Arial"/>
          <w:bCs/>
          <w:snapToGrid w:val="0"/>
          <w:lang w:eastAsia="en-US"/>
        </w:rPr>
        <w:t xml:space="preserve">a </w:t>
      </w:r>
      <w:r w:rsidR="00F81973" w:rsidRPr="00B70CFC">
        <w:rPr>
          <w:rFonts w:asciiTheme="minorHAnsi" w:hAnsiTheme="minorHAnsi" w:cs="Arial"/>
          <w:bCs/>
          <w:snapToGrid w:val="0"/>
          <w:lang w:eastAsia="en-US"/>
        </w:rPr>
        <w:t xml:space="preserve">250 mg </w:t>
      </w:r>
      <w:r w:rsidR="002D3F5E">
        <w:rPr>
          <w:rFonts w:asciiTheme="minorHAnsi" w:hAnsiTheme="minorHAnsi" w:cs="Arial"/>
          <w:bCs/>
          <w:snapToGrid w:val="0"/>
          <w:lang w:eastAsia="en-US"/>
        </w:rPr>
        <w:t>vial</w:t>
      </w:r>
      <w:r w:rsidR="002D3F5E" w:rsidRPr="00B70CFC">
        <w:rPr>
          <w:rFonts w:asciiTheme="minorHAnsi" w:hAnsiTheme="minorHAnsi" w:cs="Arial"/>
          <w:bCs/>
          <w:snapToGrid w:val="0"/>
          <w:lang w:eastAsia="en-US"/>
        </w:rPr>
        <w:t xml:space="preserve"> </w:t>
      </w:r>
      <w:r w:rsidR="00F81973" w:rsidRPr="00B70CFC">
        <w:rPr>
          <w:rFonts w:asciiTheme="minorHAnsi" w:hAnsiTheme="minorHAnsi" w:cs="Arial"/>
          <w:bCs/>
          <w:snapToGrid w:val="0"/>
          <w:lang w:eastAsia="en-US"/>
        </w:rPr>
        <w:t>of nanoparticle albumin-bound paclitaxel (</w:t>
      </w:r>
      <w:r w:rsidR="00F81973" w:rsidRPr="00B70CFC">
        <w:rPr>
          <w:rFonts w:asciiTheme="minorHAnsi" w:hAnsiTheme="minorHAnsi" w:cs="Arial"/>
          <w:bCs/>
          <w:i/>
          <w:snapToGrid w:val="0"/>
          <w:lang w:eastAsia="en-US"/>
        </w:rPr>
        <w:t>nab</w:t>
      </w:r>
      <w:r w:rsidR="00F81973" w:rsidRPr="00B70CFC">
        <w:rPr>
          <w:rFonts w:asciiTheme="minorHAnsi" w:hAnsiTheme="minorHAnsi" w:cs="Arial"/>
          <w:bCs/>
          <w:snapToGrid w:val="0"/>
          <w:lang w:eastAsia="en-US"/>
        </w:rPr>
        <w:t xml:space="preserve">-paclitaxel) </w:t>
      </w:r>
      <w:r w:rsidR="002D3F5E">
        <w:rPr>
          <w:rFonts w:asciiTheme="minorHAnsi" w:hAnsiTheme="minorHAnsi" w:cs="Arial"/>
          <w:bCs/>
          <w:snapToGrid w:val="0"/>
          <w:lang w:eastAsia="en-US"/>
        </w:rPr>
        <w:t xml:space="preserve">powder for injection </w:t>
      </w:r>
      <w:r w:rsidR="00F81973" w:rsidRPr="00B70CFC">
        <w:rPr>
          <w:rFonts w:asciiTheme="minorHAnsi" w:hAnsiTheme="minorHAnsi" w:cs="Arial"/>
          <w:bCs/>
          <w:snapToGrid w:val="0"/>
          <w:lang w:eastAsia="en-US"/>
        </w:rPr>
        <w:t xml:space="preserve">under the same conditions as the currently listed </w:t>
      </w:r>
      <w:r w:rsidR="00F81973" w:rsidRPr="00B70CFC">
        <w:rPr>
          <w:rFonts w:asciiTheme="minorHAnsi" w:hAnsiTheme="minorHAnsi" w:cs="Arial"/>
          <w:bCs/>
          <w:i/>
          <w:snapToGrid w:val="0"/>
          <w:lang w:eastAsia="en-US"/>
        </w:rPr>
        <w:t>nab</w:t>
      </w:r>
      <w:r w:rsidR="00F81973" w:rsidRPr="00B70CFC">
        <w:rPr>
          <w:rFonts w:asciiTheme="minorHAnsi" w:hAnsiTheme="minorHAnsi" w:cs="Arial"/>
          <w:bCs/>
          <w:snapToGrid w:val="0"/>
          <w:lang w:eastAsia="en-US"/>
        </w:rPr>
        <w:t>-paclitaxel 100 mg vial</w:t>
      </w:r>
      <w:r w:rsidR="00B70CFC">
        <w:rPr>
          <w:rFonts w:asciiTheme="minorHAnsi" w:hAnsiTheme="minorHAnsi" w:cs="Arial"/>
          <w:bCs/>
          <w:snapToGrid w:val="0"/>
          <w:lang w:eastAsia="en-US"/>
        </w:rPr>
        <w:t xml:space="preserve">. </w:t>
      </w:r>
      <w:r w:rsidR="00991880">
        <w:rPr>
          <w:rFonts w:asciiTheme="minorHAnsi" w:hAnsiTheme="minorHAnsi" w:cs="Arial"/>
          <w:bCs/>
          <w:snapToGrid w:val="0"/>
          <w:lang w:eastAsia="en-US"/>
        </w:rPr>
        <w:t xml:space="preserve">The PBAC did not recommend a price increase for </w:t>
      </w:r>
      <w:r w:rsidR="00991880">
        <w:rPr>
          <w:rFonts w:asciiTheme="minorHAnsi" w:hAnsiTheme="minorHAnsi" w:cs="Arial"/>
          <w:bCs/>
          <w:i/>
          <w:snapToGrid w:val="0"/>
          <w:lang w:eastAsia="en-US"/>
        </w:rPr>
        <w:t>nab-</w:t>
      </w:r>
      <w:r w:rsidR="00991880">
        <w:rPr>
          <w:rFonts w:asciiTheme="minorHAnsi" w:hAnsiTheme="minorHAnsi" w:cs="Arial"/>
          <w:bCs/>
          <w:snapToGrid w:val="0"/>
          <w:lang w:eastAsia="en-US"/>
        </w:rPr>
        <w:t xml:space="preserve">paclitaxel use in pancreatic cancer. </w:t>
      </w:r>
    </w:p>
    <w:p w:rsidR="00EA3CE1" w:rsidRDefault="00EA3CE1" w:rsidP="00F62236">
      <w:pPr>
        <w:widowControl w:val="0"/>
        <w:numPr>
          <w:ilvl w:val="1"/>
          <w:numId w:val="5"/>
        </w:numPr>
        <w:spacing w:before="120" w:after="120"/>
        <w:jc w:val="both"/>
        <w:rPr>
          <w:rFonts w:asciiTheme="minorHAnsi" w:hAnsiTheme="minorHAnsi" w:cs="Arial"/>
          <w:bCs/>
          <w:snapToGrid w:val="0"/>
          <w:lang w:eastAsia="en-US"/>
        </w:rPr>
      </w:pPr>
      <w:r w:rsidRPr="0047510D">
        <w:rPr>
          <w:rFonts w:asciiTheme="minorHAnsi" w:hAnsiTheme="minorHAnsi" w:cs="Arial"/>
          <w:bCs/>
          <w:snapToGrid w:val="0"/>
          <w:lang w:eastAsia="en-US"/>
        </w:rPr>
        <w:t xml:space="preserve">The PBAC </w:t>
      </w:r>
      <w:r w:rsidR="005539B3" w:rsidRPr="0047510D">
        <w:rPr>
          <w:rFonts w:asciiTheme="minorHAnsi" w:hAnsiTheme="minorHAnsi" w:cs="Arial"/>
          <w:bCs/>
          <w:snapToGrid w:val="0"/>
          <w:lang w:eastAsia="en-US"/>
        </w:rPr>
        <w:t xml:space="preserve">recommended </w:t>
      </w:r>
      <w:r w:rsidR="002D3F5E">
        <w:rPr>
          <w:rFonts w:asciiTheme="minorHAnsi" w:hAnsiTheme="minorHAnsi" w:cs="Arial"/>
          <w:bCs/>
          <w:snapToGrid w:val="0"/>
          <w:lang w:eastAsia="en-US"/>
        </w:rPr>
        <w:t xml:space="preserve">the </w:t>
      </w:r>
      <w:r w:rsidR="005539B3" w:rsidRPr="0047510D">
        <w:rPr>
          <w:rFonts w:asciiTheme="minorHAnsi" w:hAnsiTheme="minorHAnsi" w:cs="Arial"/>
          <w:bCs/>
          <w:snapToGrid w:val="0"/>
          <w:lang w:eastAsia="en-US"/>
        </w:rPr>
        <w:t xml:space="preserve">250 mg vial </w:t>
      </w:r>
      <w:proofErr w:type="gramStart"/>
      <w:r w:rsidR="005539B3" w:rsidRPr="0047510D">
        <w:rPr>
          <w:rFonts w:asciiTheme="minorHAnsi" w:hAnsiTheme="minorHAnsi" w:cs="Arial"/>
          <w:bCs/>
          <w:snapToGrid w:val="0"/>
          <w:lang w:eastAsia="en-US"/>
        </w:rPr>
        <w:t xml:space="preserve">at </w:t>
      </w:r>
      <w:r w:rsidR="003A765C">
        <w:rPr>
          <w:rFonts w:asciiTheme="minorHAnsi" w:hAnsiTheme="minorHAnsi" w:cs="Arial"/>
          <w:bCs/>
          <w:snapToGrid w:val="0"/>
          <w:lang w:eastAsia="en-US"/>
        </w:rPr>
        <w:t>a</w:t>
      </w:r>
      <w:r w:rsidR="00EB35FF">
        <w:rPr>
          <w:rFonts w:asciiTheme="minorHAnsi" w:hAnsiTheme="minorHAnsi" w:cs="Arial"/>
          <w:bCs/>
          <w:snapToGrid w:val="0"/>
          <w:lang w:eastAsia="en-US"/>
        </w:rPr>
        <w:t>n equivalent price per mg</w:t>
      </w:r>
      <w:r w:rsidR="003A765C" w:rsidRPr="0047510D">
        <w:rPr>
          <w:rFonts w:asciiTheme="minorHAnsi" w:hAnsiTheme="minorHAnsi" w:cs="Arial"/>
          <w:bCs/>
          <w:snapToGrid w:val="0"/>
          <w:lang w:eastAsia="en-US"/>
        </w:rPr>
        <w:t xml:space="preserve"> </w:t>
      </w:r>
      <w:r w:rsidR="005539B3" w:rsidRPr="0047510D">
        <w:rPr>
          <w:rFonts w:asciiTheme="minorHAnsi" w:hAnsiTheme="minorHAnsi" w:cs="Arial"/>
          <w:bCs/>
          <w:snapToGrid w:val="0"/>
          <w:lang w:eastAsia="en-US"/>
        </w:rPr>
        <w:t>to the existing 100</w:t>
      </w:r>
      <w:r w:rsidR="002D3F5E">
        <w:rPr>
          <w:rFonts w:asciiTheme="minorHAnsi" w:hAnsiTheme="minorHAnsi" w:cs="Arial"/>
          <w:bCs/>
          <w:snapToGrid w:val="0"/>
          <w:lang w:eastAsia="en-US"/>
        </w:rPr>
        <w:t> </w:t>
      </w:r>
      <w:r w:rsidR="005539B3" w:rsidRPr="0047510D">
        <w:rPr>
          <w:rFonts w:asciiTheme="minorHAnsi" w:hAnsiTheme="minorHAnsi" w:cs="Arial"/>
          <w:bCs/>
          <w:snapToGrid w:val="0"/>
          <w:lang w:eastAsia="en-US"/>
        </w:rPr>
        <w:t>mg vial</w:t>
      </w:r>
      <w:r w:rsidR="003A1B1A">
        <w:rPr>
          <w:rFonts w:asciiTheme="minorHAnsi" w:hAnsiTheme="minorHAnsi" w:cs="Arial"/>
          <w:bCs/>
          <w:snapToGrid w:val="0"/>
          <w:lang w:eastAsia="en-US"/>
        </w:rPr>
        <w:t xml:space="preserve"> for its corresponding indications</w:t>
      </w:r>
      <w:proofErr w:type="gramEnd"/>
      <w:r w:rsidR="005539B3" w:rsidRPr="0047510D">
        <w:rPr>
          <w:rFonts w:asciiTheme="minorHAnsi" w:hAnsiTheme="minorHAnsi" w:cs="Arial"/>
          <w:bCs/>
          <w:snapToGrid w:val="0"/>
          <w:lang w:eastAsia="en-US"/>
        </w:rPr>
        <w:t>.</w:t>
      </w:r>
      <w:r w:rsidR="00BE4559" w:rsidRPr="0047510D">
        <w:rPr>
          <w:rFonts w:asciiTheme="minorHAnsi" w:hAnsiTheme="minorHAnsi" w:cs="Arial"/>
          <w:bCs/>
          <w:snapToGrid w:val="0"/>
          <w:lang w:eastAsia="en-US"/>
        </w:rPr>
        <w:t xml:space="preserve"> The PBAC noted</w:t>
      </w:r>
      <w:r w:rsidR="000E6EC9">
        <w:rPr>
          <w:rFonts w:asciiTheme="minorHAnsi" w:hAnsiTheme="minorHAnsi" w:cs="Arial"/>
          <w:bCs/>
          <w:snapToGrid w:val="0"/>
          <w:lang w:eastAsia="en-US"/>
        </w:rPr>
        <w:t xml:space="preserve"> that</w:t>
      </w:r>
      <w:r w:rsidR="00BE4559" w:rsidRPr="0047510D">
        <w:rPr>
          <w:rFonts w:asciiTheme="minorHAnsi" w:hAnsiTheme="minorHAnsi" w:cs="Arial"/>
          <w:bCs/>
          <w:snapToGrid w:val="0"/>
          <w:lang w:eastAsia="en-US"/>
        </w:rPr>
        <w:t xml:space="preserve"> since there should be no increase in patient numbers or the cost for each patient, the 250</w:t>
      </w:r>
      <w:r w:rsidR="003A1B1A">
        <w:rPr>
          <w:rFonts w:asciiTheme="minorHAnsi" w:hAnsiTheme="minorHAnsi" w:cs="Arial"/>
          <w:bCs/>
          <w:snapToGrid w:val="0"/>
          <w:lang w:eastAsia="en-US"/>
        </w:rPr>
        <w:t> </w:t>
      </w:r>
      <w:r w:rsidR="00BE4559" w:rsidRPr="0047510D">
        <w:rPr>
          <w:rFonts w:asciiTheme="minorHAnsi" w:hAnsiTheme="minorHAnsi" w:cs="Arial"/>
          <w:bCs/>
          <w:snapToGrid w:val="0"/>
          <w:lang w:eastAsia="en-US"/>
        </w:rPr>
        <w:t xml:space="preserve">mg vial listing should not increase overall cost to the Government. </w:t>
      </w:r>
    </w:p>
    <w:p w:rsidR="00A172AA" w:rsidRDefault="00AE4E76" w:rsidP="00F62236">
      <w:pPr>
        <w:widowControl w:val="0"/>
        <w:numPr>
          <w:ilvl w:val="1"/>
          <w:numId w:val="5"/>
        </w:numPr>
        <w:spacing w:before="120" w:after="120"/>
        <w:jc w:val="both"/>
        <w:rPr>
          <w:rFonts w:asciiTheme="minorHAnsi" w:hAnsiTheme="minorHAnsi" w:cs="Arial"/>
          <w:bCs/>
          <w:snapToGrid w:val="0"/>
          <w:lang w:eastAsia="en-US"/>
        </w:rPr>
      </w:pPr>
      <w:r>
        <w:rPr>
          <w:rFonts w:asciiTheme="minorHAnsi" w:hAnsiTheme="minorHAnsi" w:cs="Arial"/>
          <w:bCs/>
          <w:snapToGrid w:val="0"/>
          <w:lang w:eastAsia="en-US"/>
        </w:rPr>
        <w:t xml:space="preserve">The PBAC recalled </w:t>
      </w:r>
      <w:r w:rsidR="003A1B1A">
        <w:rPr>
          <w:rFonts w:asciiTheme="minorHAnsi" w:hAnsiTheme="minorHAnsi" w:cs="Arial"/>
          <w:bCs/>
          <w:snapToGrid w:val="0"/>
          <w:lang w:eastAsia="en-US"/>
        </w:rPr>
        <w:t>that it had</w:t>
      </w:r>
      <w:r>
        <w:rPr>
          <w:rFonts w:asciiTheme="minorHAnsi" w:hAnsiTheme="minorHAnsi" w:cs="Arial"/>
          <w:bCs/>
          <w:snapToGrid w:val="0"/>
          <w:lang w:eastAsia="en-US"/>
        </w:rPr>
        <w:t xml:space="preserve"> not recommend</w:t>
      </w:r>
      <w:r w:rsidR="003A1B1A">
        <w:rPr>
          <w:rFonts w:asciiTheme="minorHAnsi" w:hAnsiTheme="minorHAnsi" w:cs="Arial"/>
          <w:bCs/>
          <w:snapToGrid w:val="0"/>
          <w:lang w:eastAsia="en-US"/>
        </w:rPr>
        <w:t>ed</w:t>
      </w:r>
      <w:r>
        <w:rPr>
          <w:rFonts w:asciiTheme="minorHAnsi" w:hAnsiTheme="minorHAnsi" w:cs="Arial"/>
          <w:bCs/>
          <w:snapToGrid w:val="0"/>
          <w:lang w:eastAsia="en-US"/>
        </w:rPr>
        <w:t xml:space="preserve"> the request </w:t>
      </w:r>
      <w:proofErr w:type="gramStart"/>
      <w:r>
        <w:rPr>
          <w:rFonts w:asciiTheme="minorHAnsi" w:hAnsiTheme="minorHAnsi" w:cs="Arial"/>
          <w:bCs/>
          <w:snapToGrid w:val="0"/>
          <w:lang w:eastAsia="en-US"/>
        </w:rPr>
        <w:t xml:space="preserve">for </w:t>
      </w:r>
      <w:r w:rsidR="003A1B1A">
        <w:rPr>
          <w:rFonts w:asciiTheme="minorHAnsi" w:hAnsiTheme="minorHAnsi" w:cs="Arial"/>
          <w:bCs/>
          <w:snapToGrid w:val="0"/>
          <w:lang w:eastAsia="en-US"/>
        </w:rPr>
        <w:t xml:space="preserve">a price </w:t>
      </w:r>
      <w:r>
        <w:rPr>
          <w:rFonts w:asciiTheme="minorHAnsi" w:hAnsiTheme="minorHAnsi" w:cs="Arial"/>
          <w:bCs/>
          <w:snapToGrid w:val="0"/>
          <w:lang w:eastAsia="en-US"/>
        </w:rPr>
        <w:t xml:space="preserve">increase </w:t>
      </w:r>
      <w:r w:rsidR="002F0534">
        <w:rPr>
          <w:rFonts w:asciiTheme="minorHAnsi" w:hAnsiTheme="minorHAnsi" w:cs="Arial"/>
          <w:bCs/>
          <w:snapToGrid w:val="0"/>
          <w:lang w:eastAsia="en-US"/>
        </w:rPr>
        <w:t>for</w:t>
      </w:r>
      <w:r>
        <w:rPr>
          <w:rFonts w:asciiTheme="minorHAnsi" w:hAnsiTheme="minorHAnsi" w:cs="Arial"/>
          <w:bCs/>
          <w:snapToGrid w:val="0"/>
          <w:lang w:eastAsia="en-US"/>
        </w:rPr>
        <w:t xml:space="preserve"> </w:t>
      </w:r>
      <w:r>
        <w:rPr>
          <w:rFonts w:asciiTheme="minorHAnsi" w:hAnsiTheme="minorHAnsi" w:cs="Arial"/>
          <w:bCs/>
          <w:i/>
          <w:snapToGrid w:val="0"/>
          <w:lang w:eastAsia="en-US"/>
        </w:rPr>
        <w:t>nab-</w:t>
      </w:r>
      <w:r>
        <w:rPr>
          <w:rFonts w:asciiTheme="minorHAnsi" w:hAnsiTheme="minorHAnsi" w:cs="Arial"/>
          <w:bCs/>
          <w:snapToGrid w:val="0"/>
          <w:lang w:eastAsia="en-US"/>
        </w:rPr>
        <w:t xml:space="preserve">paclitaxel for use in pancreatic cancer </w:t>
      </w:r>
      <w:r w:rsidR="002F0534">
        <w:rPr>
          <w:rFonts w:asciiTheme="minorHAnsi" w:hAnsiTheme="minorHAnsi" w:cs="Arial"/>
          <w:bCs/>
          <w:snapToGrid w:val="0"/>
          <w:lang w:eastAsia="en-US"/>
        </w:rPr>
        <w:t xml:space="preserve">at its November 2018 meeting, </w:t>
      </w:r>
      <w:r>
        <w:rPr>
          <w:rFonts w:asciiTheme="minorHAnsi" w:hAnsiTheme="minorHAnsi" w:cs="Arial"/>
          <w:bCs/>
          <w:snapToGrid w:val="0"/>
          <w:lang w:eastAsia="en-US"/>
        </w:rPr>
        <w:t>based on</w:t>
      </w:r>
      <w:r w:rsidR="00391594">
        <w:rPr>
          <w:rFonts w:asciiTheme="minorHAnsi" w:hAnsiTheme="minorHAnsi" w:cs="Arial"/>
          <w:bCs/>
          <w:snapToGrid w:val="0"/>
          <w:lang w:eastAsia="en-US"/>
        </w:rPr>
        <w:t xml:space="preserve"> inadequate justification provided in the </w:t>
      </w:r>
      <w:r w:rsidR="002F0534">
        <w:rPr>
          <w:rFonts w:asciiTheme="minorHAnsi" w:hAnsiTheme="minorHAnsi" w:cs="Arial"/>
          <w:bCs/>
          <w:snapToGrid w:val="0"/>
          <w:lang w:eastAsia="en-US"/>
        </w:rPr>
        <w:t>sponsor’s submission</w:t>
      </w:r>
      <w:proofErr w:type="gramEnd"/>
      <w:r w:rsidR="00391594">
        <w:rPr>
          <w:rFonts w:asciiTheme="minorHAnsi" w:hAnsiTheme="minorHAnsi" w:cs="Arial"/>
          <w:bCs/>
          <w:snapToGrid w:val="0"/>
          <w:lang w:eastAsia="en-US"/>
        </w:rPr>
        <w:t>.</w:t>
      </w:r>
    </w:p>
    <w:p w:rsidR="00AE4E76" w:rsidRPr="0047510D" w:rsidRDefault="00A172AA" w:rsidP="00EA3CE1">
      <w:pPr>
        <w:widowControl w:val="0"/>
        <w:numPr>
          <w:ilvl w:val="1"/>
          <w:numId w:val="5"/>
        </w:numPr>
        <w:spacing w:after="120"/>
        <w:jc w:val="both"/>
        <w:rPr>
          <w:rFonts w:asciiTheme="minorHAnsi" w:hAnsiTheme="minorHAnsi" w:cs="Arial"/>
          <w:bCs/>
          <w:snapToGrid w:val="0"/>
          <w:lang w:eastAsia="en-US"/>
        </w:rPr>
      </w:pPr>
      <w:r>
        <w:rPr>
          <w:rFonts w:asciiTheme="minorHAnsi" w:hAnsiTheme="minorHAnsi" w:cs="Arial"/>
          <w:bCs/>
          <w:snapToGrid w:val="0"/>
          <w:lang w:eastAsia="en-US"/>
        </w:rPr>
        <w:t xml:space="preserve">The PBAC </w:t>
      </w:r>
      <w:r w:rsidR="006A5EFE">
        <w:rPr>
          <w:rFonts w:asciiTheme="minorHAnsi" w:hAnsiTheme="minorHAnsi" w:cs="Arial"/>
          <w:bCs/>
          <w:snapToGrid w:val="0"/>
          <w:lang w:eastAsia="en-US"/>
        </w:rPr>
        <w:t>recalled</w:t>
      </w:r>
      <w:r>
        <w:rPr>
          <w:rFonts w:asciiTheme="minorHAnsi" w:hAnsiTheme="minorHAnsi" w:cs="Arial"/>
          <w:bCs/>
          <w:snapToGrid w:val="0"/>
          <w:lang w:eastAsia="en-US"/>
        </w:rPr>
        <w:t xml:space="preserve"> that </w:t>
      </w:r>
      <w:r w:rsidR="00697ACE">
        <w:rPr>
          <w:rFonts w:asciiTheme="minorHAnsi" w:hAnsiTheme="minorHAnsi" w:cs="Arial"/>
          <w:bCs/>
          <w:snapToGrid w:val="0"/>
          <w:lang w:eastAsia="en-US"/>
        </w:rPr>
        <w:t>at</w:t>
      </w:r>
      <w:r>
        <w:rPr>
          <w:rFonts w:asciiTheme="minorHAnsi" w:hAnsiTheme="minorHAnsi" w:cs="Arial"/>
          <w:bCs/>
          <w:snapToGrid w:val="0"/>
          <w:lang w:eastAsia="en-US"/>
        </w:rPr>
        <w:t xml:space="preserve"> its March 2014 </w:t>
      </w:r>
      <w:r w:rsidR="00697ACE">
        <w:rPr>
          <w:rFonts w:asciiTheme="minorHAnsi" w:hAnsiTheme="minorHAnsi" w:cs="Arial"/>
          <w:bCs/>
          <w:snapToGrid w:val="0"/>
          <w:lang w:eastAsia="en-US"/>
        </w:rPr>
        <w:t>meeting</w:t>
      </w:r>
      <w:r>
        <w:rPr>
          <w:rFonts w:asciiTheme="minorHAnsi" w:hAnsiTheme="minorHAnsi" w:cs="Arial"/>
          <w:bCs/>
          <w:snapToGrid w:val="0"/>
          <w:lang w:eastAsia="en-US"/>
        </w:rPr>
        <w:t xml:space="preserve">, it had considered that </w:t>
      </w:r>
      <w:r w:rsidRPr="008E317A">
        <w:rPr>
          <w:rFonts w:asciiTheme="minorHAnsi" w:hAnsiTheme="minorHAnsi" w:cs="Arial"/>
          <w:bCs/>
          <w:i/>
          <w:snapToGrid w:val="0"/>
          <w:lang w:eastAsia="en-US"/>
        </w:rPr>
        <w:t>nab-</w:t>
      </w:r>
      <w:r>
        <w:rPr>
          <w:rFonts w:asciiTheme="minorHAnsi" w:hAnsiTheme="minorHAnsi" w:cs="Arial"/>
          <w:bCs/>
          <w:snapToGrid w:val="0"/>
          <w:lang w:eastAsia="en-US"/>
        </w:rPr>
        <w:t>paclitaxel would not be cost effective at the base case ICER of</w:t>
      </w:r>
      <w:r w:rsidR="00CB4A4A">
        <w:rPr>
          <w:rFonts w:asciiTheme="minorHAnsi" w:hAnsiTheme="minorHAnsi" w:cs="Arial"/>
          <w:bCs/>
          <w:snapToGrid w:val="0"/>
          <w:lang w:eastAsia="en-US"/>
        </w:rPr>
        <w:t xml:space="preserve"> </w:t>
      </w:r>
      <w:r w:rsidR="00CF62BD">
        <w:rPr>
          <w:rFonts w:asciiTheme="minorHAnsi" w:hAnsiTheme="minorHAnsi" w:cs="Arial"/>
          <w:bCs/>
          <w:snapToGrid w:val="0"/>
          <w:lang w:eastAsia="en-US"/>
        </w:rPr>
        <w:t>$45,000 to $75,000</w:t>
      </w:r>
      <w:r>
        <w:rPr>
          <w:rFonts w:asciiTheme="minorHAnsi" w:hAnsiTheme="minorHAnsi" w:cs="Arial"/>
          <w:bCs/>
          <w:snapToGrid w:val="0"/>
          <w:lang w:eastAsia="en-US"/>
        </w:rPr>
        <w:t xml:space="preserve">/LYS, and that an ICER in the vicinity of </w:t>
      </w:r>
      <w:r w:rsidR="00CB4A4A">
        <w:rPr>
          <w:rFonts w:asciiTheme="minorHAnsi" w:hAnsiTheme="minorHAnsi" w:cs="Arial"/>
          <w:bCs/>
          <w:snapToGrid w:val="0"/>
          <w:lang w:eastAsia="en-US"/>
        </w:rPr>
        <w:t>$15,000 to $45,000</w:t>
      </w:r>
      <w:r>
        <w:rPr>
          <w:rFonts w:asciiTheme="minorHAnsi" w:hAnsiTheme="minorHAnsi" w:cs="Arial"/>
          <w:bCs/>
          <w:snapToGrid w:val="0"/>
          <w:lang w:eastAsia="en-US"/>
        </w:rPr>
        <w:t xml:space="preserve">/LYS would be appropriate. The PBAC considered that </w:t>
      </w:r>
      <w:r w:rsidR="005F4595">
        <w:rPr>
          <w:rFonts w:asciiTheme="minorHAnsi" w:hAnsiTheme="minorHAnsi" w:cs="Arial"/>
          <w:bCs/>
          <w:snapToGrid w:val="0"/>
          <w:lang w:eastAsia="en-US"/>
        </w:rPr>
        <w:t xml:space="preserve">the </w:t>
      </w:r>
      <w:r w:rsidR="00BD720D">
        <w:rPr>
          <w:rFonts w:asciiTheme="minorHAnsi" w:hAnsiTheme="minorHAnsi" w:cs="Arial"/>
          <w:bCs/>
          <w:snapToGrid w:val="0"/>
          <w:lang w:eastAsia="en-US"/>
        </w:rPr>
        <w:t xml:space="preserve">price </w:t>
      </w:r>
      <w:r w:rsidR="002F0534">
        <w:rPr>
          <w:rFonts w:asciiTheme="minorHAnsi" w:hAnsiTheme="minorHAnsi" w:cs="Arial"/>
          <w:bCs/>
          <w:snapToGrid w:val="0"/>
          <w:lang w:eastAsia="en-US"/>
        </w:rPr>
        <w:t>negotiated</w:t>
      </w:r>
      <w:r w:rsidR="00BD720D">
        <w:rPr>
          <w:rFonts w:asciiTheme="minorHAnsi" w:hAnsiTheme="minorHAnsi" w:cs="Arial"/>
          <w:bCs/>
          <w:snapToGrid w:val="0"/>
          <w:lang w:eastAsia="en-US"/>
        </w:rPr>
        <w:t xml:space="preserve"> by the sponsor </w:t>
      </w:r>
      <w:r w:rsidR="002F0534">
        <w:rPr>
          <w:rFonts w:asciiTheme="minorHAnsi" w:hAnsiTheme="minorHAnsi" w:cs="Arial"/>
          <w:bCs/>
          <w:snapToGrid w:val="0"/>
          <w:lang w:eastAsia="en-US"/>
        </w:rPr>
        <w:t>at the time of</w:t>
      </w:r>
      <w:r w:rsidR="00BD720D">
        <w:rPr>
          <w:rFonts w:asciiTheme="minorHAnsi" w:hAnsiTheme="minorHAnsi" w:cs="Arial"/>
          <w:bCs/>
          <w:snapToGrid w:val="0"/>
          <w:lang w:eastAsia="en-US"/>
        </w:rPr>
        <w:t xml:space="preserve"> listing </w:t>
      </w:r>
      <w:r w:rsidR="00BD720D" w:rsidRPr="008E317A">
        <w:rPr>
          <w:rFonts w:asciiTheme="minorHAnsi" w:hAnsiTheme="minorHAnsi" w:cs="Arial"/>
          <w:bCs/>
          <w:i/>
          <w:snapToGrid w:val="0"/>
          <w:lang w:eastAsia="en-US"/>
        </w:rPr>
        <w:t>nab</w:t>
      </w:r>
      <w:r w:rsidR="00BD720D">
        <w:rPr>
          <w:rFonts w:asciiTheme="minorHAnsi" w:hAnsiTheme="minorHAnsi" w:cs="Arial"/>
          <w:bCs/>
          <w:snapToGrid w:val="0"/>
          <w:lang w:eastAsia="en-US"/>
        </w:rPr>
        <w:t>-paclitaxel for pancreatic cancer</w:t>
      </w:r>
      <w:r w:rsidR="004D4CE0">
        <w:rPr>
          <w:rFonts w:asciiTheme="minorHAnsi" w:hAnsiTheme="minorHAnsi" w:cs="Arial"/>
          <w:bCs/>
          <w:snapToGrid w:val="0"/>
          <w:lang w:eastAsia="en-US"/>
        </w:rPr>
        <w:t xml:space="preserve"> placed it at the higher </w:t>
      </w:r>
      <w:r w:rsidR="003A1B1A">
        <w:rPr>
          <w:rFonts w:asciiTheme="minorHAnsi" w:hAnsiTheme="minorHAnsi" w:cs="Arial"/>
          <w:bCs/>
          <w:snapToGrid w:val="0"/>
          <w:lang w:eastAsia="en-US"/>
        </w:rPr>
        <w:t>end</w:t>
      </w:r>
      <w:r w:rsidR="004D4CE0">
        <w:rPr>
          <w:rFonts w:asciiTheme="minorHAnsi" w:hAnsiTheme="minorHAnsi" w:cs="Arial"/>
          <w:bCs/>
          <w:snapToGrid w:val="0"/>
          <w:lang w:eastAsia="en-US"/>
        </w:rPr>
        <w:t xml:space="preserve"> of</w:t>
      </w:r>
      <w:r w:rsidR="003A1B1A">
        <w:rPr>
          <w:rFonts w:asciiTheme="minorHAnsi" w:hAnsiTheme="minorHAnsi" w:cs="Arial"/>
          <w:bCs/>
          <w:snapToGrid w:val="0"/>
          <w:lang w:eastAsia="en-US"/>
        </w:rPr>
        <w:t xml:space="preserve"> </w:t>
      </w:r>
      <w:r w:rsidR="000B56CF">
        <w:rPr>
          <w:rFonts w:asciiTheme="minorHAnsi" w:hAnsiTheme="minorHAnsi" w:cs="Arial"/>
          <w:bCs/>
          <w:snapToGrid w:val="0"/>
          <w:lang w:eastAsia="en-US"/>
        </w:rPr>
        <w:t xml:space="preserve">an appropriate </w:t>
      </w:r>
      <w:r w:rsidR="004D4CE0">
        <w:rPr>
          <w:rFonts w:asciiTheme="minorHAnsi" w:hAnsiTheme="minorHAnsi" w:cs="Arial"/>
          <w:bCs/>
          <w:snapToGrid w:val="0"/>
          <w:lang w:eastAsia="en-US"/>
        </w:rPr>
        <w:t>cost-effectiveness</w:t>
      </w:r>
      <w:r w:rsidR="003A1B1A">
        <w:rPr>
          <w:rFonts w:asciiTheme="minorHAnsi" w:hAnsiTheme="minorHAnsi" w:cs="Arial"/>
          <w:bCs/>
          <w:snapToGrid w:val="0"/>
          <w:lang w:eastAsia="en-US"/>
        </w:rPr>
        <w:t xml:space="preserve"> </w:t>
      </w:r>
      <w:r w:rsidR="000B56CF">
        <w:rPr>
          <w:rFonts w:asciiTheme="minorHAnsi" w:hAnsiTheme="minorHAnsi" w:cs="Arial"/>
          <w:bCs/>
          <w:snapToGrid w:val="0"/>
          <w:lang w:eastAsia="en-US"/>
        </w:rPr>
        <w:t>range</w:t>
      </w:r>
      <w:r w:rsidR="004D4CE0">
        <w:rPr>
          <w:rFonts w:asciiTheme="minorHAnsi" w:hAnsiTheme="minorHAnsi" w:cs="Arial"/>
          <w:bCs/>
          <w:snapToGrid w:val="0"/>
          <w:lang w:eastAsia="en-US"/>
        </w:rPr>
        <w:t xml:space="preserve">. </w:t>
      </w:r>
      <w:r w:rsidR="003A1B1A">
        <w:rPr>
          <w:rFonts w:asciiTheme="minorHAnsi" w:hAnsiTheme="minorHAnsi" w:cs="Arial"/>
          <w:bCs/>
          <w:snapToGrid w:val="0"/>
          <w:lang w:eastAsia="en-US"/>
        </w:rPr>
        <w:t xml:space="preserve">It was uncertain whether </w:t>
      </w:r>
      <w:r w:rsidR="003A1B1A" w:rsidRPr="008E317A">
        <w:rPr>
          <w:rFonts w:asciiTheme="minorHAnsi" w:hAnsiTheme="minorHAnsi" w:cs="Arial"/>
          <w:bCs/>
          <w:i/>
          <w:snapToGrid w:val="0"/>
          <w:lang w:eastAsia="en-US"/>
        </w:rPr>
        <w:t>nab</w:t>
      </w:r>
      <w:r w:rsidR="003A1B1A">
        <w:rPr>
          <w:rFonts w:asciiTheme="minorHAnsi" w:hAnsiTheme="minorHAnsi" w:cs="Arial"/>
          <w:bCs/>
          <w:snapToGrid w:val="0"/>
          <w:lang w:eastAsia="en-US"/>
        </w:rPr>
        <w:t>-paclitaxel would still be cost-effective for this indication at a higher price.</w:t>
      </w:r>
      <w:r w:rsidR="004D4CE0">
        <w:rPr>
          <w:rFonts w:asciiTheme="minorHAnsi" w:hAnsiTheme="minorHAnsi" w:cs="Arial"/>
          <w:bCs/>
          <w:snapToGrid w:val="0"/>
          <w:lang w:eastAsia="en-US"/>
        </w:rPr>
        <w:t xml:space="preserve"> </w:t>
      </w:r>
      <w:r w:rsidR="00150AF8">
        <w:rPr>
          <w:rFonts w:asciiTheme="minorHAnsi" w:hAnsiTheme="minorHAnsi" w:cs="Arial"/>
          <w:bCs/>
          <w:snapToGrid w:val="0"/>
          <w:lang w:eastAsia="en-US"/>
        </w:rPr>
        <w:t xml:space="preserve">The PBAC also noted that at the time of its March 2014 recommendation, a sensitivity analysis </w:t>
      </w:r>
      <w:r w:rsidR="00AB3F96">
        <w:rPr>
          <w:rFonts w:asciiTheme="minorHAnsi" w:hAnsiTheme="minorHAnsi" w:cs="Arial"/>
          <w:bCs/>
          <w:snapToGrid w:val="0"/>
          <w:lang w:eastAsia="en-US"/>
        </w:rPr>
        <w:t xml:space="preserve">in which the 250 mg vial was </w:t>
      </w:r>
      <w:r w:rsidR="00AB3F96">
        <w:rPr>
          <w:rFonts w:asciiTheme="minorHAnsi" w:hAnsiTheme="minorHAnsi" w:cs="Arial"/>
          <w:bCs/>
          <w:snapToGrid w:val="0"/>
          <w:lang w:eastAsia="en-US"/>
        </w:rPr>
        <w:lastRenderedPageBreak/>
        <w:t>not available showed an increase</w:t>
      </w:r>
      <w:r w:rsidR="001D365D">
        <w:rPr>
          <w:rFonts w:asciiTheme="minorHAnsi" w:hAnsiTheme="minorHAnsi" w:cs="Arial"/>
          <w:bCs/>
          <w:snapToGrid w:val="0"/>
          <w:lang w:eastAsia="en-US"/>
        </w:rPr>
        <w:t>d</w:t>
      </w:r>
      <w:r w:rsidR="00AB3F96">
        <w:rPr>
          <w:rFonts w:asciiTheme="minorHAnsi" w:hAnsiTheme="minorHAnsi" w:cs="Arial"/>
          <w:bCs/>
          <w:snapToGrid w:val="0"/>
          <w:lang w:eastAsia="en-US"/>
        </w:rPr>
        <w:t xml:space="preserve"> ICER </w:t>
      </w:r>
      <w:r w:rsidR="001D365D">
        <w:rPr>
          <w:rFonts w:asciiTheme="minorHAnsi" w:hAnsiTheme="minorHAnsi" w:cs="Arial"/>
          <w:bCs/>
          <w:snapToGrid w:val="0"/>
          <w:lang w:eastAsia="en-US"/>
        </w:rPr>
        <w:t xml:space="preserve">compared </w:t>
      </w:r>
      <w:r w:rsidR="00AB3F96">
        <w:rPr>
          <w:rFonts w:asciiTheme="minorHAnsi" w:hAnsiTheme="minorHAnsi" w:cs="Arial"/>
          <w:bCs/>
          <w:snapToGrid w:val="0"/>
          <w:lang w:eastAsia="en-US"/>
        </w:rPr>
        <w:t>to the base case. The PBAC considered that l</w:t>
      </w:r>
      <w:r w:rsidR="001D365D">
        <w:rPr>
          <w:rFonts w:asciiTheme="minorHAnsi" w:hAnsiTheme="minorHAnsi" w:cs="Arial"/>
          <w:bCs/>
          <w:snapToGrid w:val="0"/>
          <w:lang w:eastAsia="en-US"/>
        </w:rPr>
        <w:t>isting of the 250 mg vial did not warrant a price increase, but may provide some assurance that the pancreatic cancer listing is cost effective.</w:t>
      </w:r>
    </w:p>
    <w:p w:rsidR="00EA3CE1" w:rsidRPr="0047510D" w:rsidRDefault="00C82E7C" w:rsidP="00C82E7C">
      <w:pPr>
        <w:widowControl w:val="0"/>
        <w:numPr>
          <w:ilvl w:val="1"/>
          <w:numId w:val="5"/>
        </w:numPr>
        <w:spacing w:after="120"/>
        <w:jc w:val="both"/>
        <w:rPr>
          <w:rFonts w:asciiTheme="minorHAnsi" w:hAnsiTheme="minorHAnsi" w:cs="Arial"/>
          <w:bCs/>
          <w:snapToGrid w:val="0"/>
          <w:lang w:eastAsia="en-US"/>
        </w:rPr>
      </w:pPr>
      <w:r w:rsidRPr="0047510D">
        <w:rPr>
          <w:rFonts w:asciiTheme="minorHAnsi" w:hAnsiTheme="minorHAnsi" w:cs="Arial"/>
          <w:bCs/>
          <w:snapToGrid w:val="0"/>
          <w:lang w:eastAsia="en-US"/>
        </w:rPr>
        <w:t xml:space="preserve">The PBAC recommended that the wording of the restriction be the same as for the currently listed 100 mg vial. </w:t>
      </w:r>
    </w:p>
    <w:p w:rsidR="00EA3CE1" w:rsidRPr="0047510D" w:rsidRDefault="00EA3CE1" w:rsidP="008A42C0">
      <w:pPr>
        <w:widowControl w:val="0"/>
        <w:numPr>
          <w:ilvl w:val="1"/>
          <w:numId w:val="5"/>
        </w:numPr>
        <w:spacing w:after="120"/>
        <w:jc w:val="both"/>
        <w:rPr>
          <w:rFonts w:asciiTheme="minorHAnsi" w:hAnsiTheme="minorHAnsi" w:cs="Arial"/>
          <w:bCs/>
          <w:snapToGrid w:val="0"/>
          <w:lang w:eastAsia="en-US"/>
        </w:rPr>
      </w:pPr>
      <w:r w:rsidRPr="0047510D">
        <w:rPr>
          <w:rFonts w:asciiTheme="minorHAnsi" w:hAnsiTheme="minorHAnsi" w:cs="Arial"/>
          <w:bCs/>
          <w:snapToGrid w:val="0"/>
          <w:lang w:eastAsia="en-US"/>
        </w:rPr>
        <w:t xml:space="preserve">The PBAC advised, under </w:t>
      </w:r>
      <w:r w:rsidR="008A42C0" w:rsidRPr="00B70CFC">
        <w:rPr>
          <w:rFonts w:asciiTheme="minorHAnsi" w:hAnsiTheme="minorHAnsi" w:cs="Arial"/>
          <w:bCs/>
          <w:snapToGrid w:val="0"/>
          <w:lang w:eastAsia="en-US"/>
        </w:rPr>
        <w:t xml:space="preserve">Section 101 3BA of the </w:t>
      </w:r>
      <w:r w:rsidR="008A42C0" w:rsidRPr="00B70CFC">
        <w:rPr>
          <w:rFonts w:asciiTheme="minorHAnsi" w:hAnsiTheme="minorHAnsi" w:cs="Arial"/>
          <w:bCs/>
          <w:i/>
          <w:snapToGrid w:val="0"/>
          <w:lang w:eastAsia="en-US"/>
        </w:rPr>
        <w:t>National Health Act</w:t>
      </w:r>
      <w:r w:rsidR="008A42C0" w:rsidRPr="0047510D">
        <w:rPr>
          <w:rFonts w:asciiTheme="minorHAnsi" w:hAnsiTheme="minorHAnsi" w:cs="Arial"/>
          <w:bCs/>
          <w:snapToGrid w:val="0"/>
          <w:lang w:eastAsia="en-US"/>
        </w:rPr>
        <w:t xml:space="preserve">, that </w:t>
      </w:r>
      <w:r w:rsidR="008A42C0" w:rsidRPr="0047510D">
        <w:rPr>
          <w:rFonts w:asciiTheme="minorHAnsi" w:hAnsiTheme="minorHAnsi" w:cs="Arial"/>
          <w:bCs/>
          <w:i/>
          <w:snapToGrid w:val="0"/>
          <w:lang w:eastAsia="en-US"/>
        </w:rPr>
        <w:t>nab</w:t>
      </w:r>
      <w:r w:rsidR="008A42C0" w:rsidRPr="0047510D">
        <w:rPr>
          <w:rFonts w:asciiTheme="minorHAnsi" w:hAnsiTheme="minorHAnsi" w:cs="Arial"/>
          <w:bCs/>
          <w:snapToGrid w:val="0"/>
          <w:lang w:eastAsia="en-US"/>
        </w:rPr>
        <w:t>-paclitaxel</w:t>
      </w:r>
      <w:r w:rsidRPr="0047510D">
        <w:rPr>
          <w:rFonts w:asciiTheme="minorHAnsi" w:hAnsiTheme="minorHAnsi" w:cs="Arial"/>
          <w:bCs/>
          <w:snapToGrid w:val="0"/>
          <w:lang w:eastAsia="en-US"/>
        </w:rPr>
        <w:t xml:space="preserve"> </w:t>
      </w:r>
      <w:proofErr w:type="gramStart"/>
      <w:r w:rsidR="008A42C0" w:rsidRPr="00B70CFC">
        <w:rPr>
          <w:rFonts w:asciiTheme="minorHAnsi" w:hAnsiTheme="minorHAnsi" w:cs="Arial"/>
          <w:bCs/>
          <w:snapToGrid w:val="0"/>
          <w:lang w:eastAsia="en-US"/>
        </w:rPr>
        <w:t>should not be treated</w:t>
      </w:r>
      <w:proofErr w:type="gramEnd"/>
      <w:r w:rsidR="008A42C0" w:rsidRPr="00B70CFC">
        <w:rPr>
          <w:rFonts w:asciiTheme="minorHAnsi" w:hAnsiTheme="minorHAnsi" w:cs="Arial"/>
          <w:bCs/>
          <w:snapToGrid w:val="0"/>
          <w:lang w:eastAsia="en-US"/>
        </w:rPr>
        <w:t xml:space="preserve"> as interchangeable on an individual patient basis with any other drug(s) or medicinal preparation(s).</w:t>
      </w:r>
    </w:p>
    <w:p w:rsidR="00EA3CE1" w:rsidRPr="0047510D" w:rsidRDefault="00AC4DEC" w:rsidP="00EA3CE1">
      <w:pPr>
        <w:widowControl w:val="0"/>
        <w:numPr>
          <w:ilvl w:val="1"/>
          <w:numId w:val="5"/>
        </w:numPr>
        <w:spacing w:after="120"/>
        <w:jc w:val="both"/>
        <w:rPr>
          <w:rFonts w:asciiTheme="minorHAnsi" w:hAnsiTheme="minorHAnsi" w:cs="Arial"/>
          <w:bCs/>
          <w:snapToGrid w:val="0"/>
          <w:lang w:eastAsia="en-US"/>
        </w:rPr>
      </w:pPr>
      <w:r w:rsidRPr="0047510D">
        <w:rPr>
          <w:rFonts w:asciiTheme="minorHAnsi" w:hAnsiTheme="minorHAnsi" w:cs="Arial"/>
          <w:bCs/>
          <w:snapToGrid w:val="0"/>
          <w:lang w:eastAsia="en-US"/>
        </w:rPr>
        <w:t xml:space="preserve">The PBAC advised that </w:t>
      </w:r>
      <w:r w:rsidRPr="0047510D">
        <w:rPr>
          <w:rFonts w:asciiTheme="minorHAnsi" w:hAnsiTheme="minorHAnsi" w:cs="Arial"/>
          <w:bCs/>
          <w:i/>
          <w:snapToGrid w:val="0"/>
          <w:lang w:eastAsia="en-US"/>
        </w:rPr>
        <w:t>nab-</w:t>
      </w:r>
      <w:r w:rsidRPr="0047510D">
        <w:rPr>
          <w:rFonts w:asciiTheme="minorHAnsi" w:hAnsiTheme="minorHAnsi" w:cs="Arial"/>
          <w:bCs/>
          <w:snapToGrid w:val="0"/>
          <w:lang w:eastAsia="en-US"/>
        </w:rPr>
        <w:t xml:space="preserve">paclitaxel is </w:t>
      </w:r>
      <w:r w:rsidR="00EA3CE1" w:rsidRPr="0047510D">
        <w:rPr>
          <w:rFonts w:asciiTheme="minorHAnsi" w:hAnsiTheme="minorHAnsi" w:cs="Arial"/>
          <w:bCs/>
          <w:snapToGrid w:val="0"/>
          <w:lang w:eastAsia="en-US"/>
        </w:rPr>
        <w:t>not suitable for prescribing by nurse practitioners</w:t>
      </w:r>
      <w:r w:rsidR="00B70CFC">
        <w:rPr>
          <w:rFonts w:asciiTheme="minorHAnsi" w:hAnsiTheme="minorHAnsi" w:cs="Arial"/>
          <w:bCs/>
          <w:snapToGrid w:val="0"/>
          <w:lang w:eastAsia="en-US"/>
        </w:rPr>
        <w:t xml:space="preserve">. </w:t>
      </w:r>
    </w:p>
    <w:p w:rsidR="00EA3CE1" w:rsidRPr="0047510D" w:rsidRDefault="00EA3CE1" w:rsidP="00AC4DEC">
      <w:pPr>
        <w:widowControl w:val="0"/>
        <w:numPr>
          <w:ilvl w:val="1"/>
          <w:numId w:val="5"/>
        </w:numPr>
        <w:spacing w:after="120"/>
        <w:jc w:val="both"/>
        <w:rPr>
          <w:rFonts w:asciiTheme="minorHAnsi" w:hAnsiTheme="minorHAnsi" w:cs="Arial"/>
          <w:bCs/>
          <w:snapToGrid w:val="0"/>
          <w:lang w:eastAsia="en-US"/>
        </w:rPr>
      </w:pPr>
      <w:r w:rsidRPr="0047510D">
        <w:rPr>
          <w:rFonts w:asciiTheme="minorHAnsi" w:hAnsiTheme="minorHAnsi" w:cs="Arial"/>
          <w:bCs/>
          <w:snapToGrid w:val="0"/>
          <w:lang w:eastAsia="en-US"/>
        </w:rPr>
        <w:t>The PBAC recommended that the Early Sup</w:t>
      </w:r>
      <w:r w:rsidR="008A42C0" w:rsidRPr="0047510D">
        <w:rPr>
          <w:rFonts w:asciiTheme="minorHAnsi" w:hAnsiTheme="minorHAnsi" w:cs="Arial"/>
          <w:bCs/>
          <w:snapToGrid w:val="0"/>
          <w:lang w:eastAsia="en-US"/>
        </w:rPr>
        <w:t xml:space="preserve">ply Rule </w:t>
      </w:r>
      <w:r w:rsidRPr="0047510D">
        <w:rPr>
          <w:rFonts w:asciiTheme="minorHAnsi" w:hAnsiTheme="minorHAnsi" w:cs="Arial"/>
          <w:bCs/>
          <w:snapToGrid w:val="0"/>
          <w:lang w:eastAsia="en-US"/>
        </w:rPr>
        <w:t xml:space="preserve">should not apply. </w:t>
      </w:r>
    </w:p>
    <w:p w:rsidR="00EA3CE1" w:rsidRPr="0047510D" w:rsidRDefault="00EA3CE1" w:rsidP="00EA3CE1">
      <w:pPr>
        <w:widowControl w:val="0"/>
        <w:numPr>
          <w:ilvl w:val="1"/>
          <w:numId w:val="5"/>
        </w:numPr>
        <w:spacing w:after="120"/>
        <w:jc w:val="both"/>
        <w:rPr>
          <w:rFonts w:asciiTheme="minorHAnsi" w:hAnsiTheme="minorHAnsi" w:cs="Arial"/>
          <w:bCs/>
          <w:snapToGrid w:val="0"/>
          <w:lang w:eastAsia="en-US"/>
        </w:rPr>
      </w:pPr>
      <w:r w:rsidRPr="0047510D">
        <w:rPr>
          <w:rFonts w:asciiTheme="minorHAnsi" w:hAnsiTheme="minorHAnsi" w:cs="Arial"/>
          <w:bCs/>
          <w:snapToGrid w:val="0"/>
          <w:lang w:eastAsia="en-US"/>
        </w:rPr>
        <w:t>The PBA</w:t>
      </w:r>
      <w:r w:rsidR="00AC4DEC" w:rsidRPr="0047510D">
        <w:rPr>
          <w:rFonts w:asciiTheme="minorHAnsi" w:hAnsiTheme="minorHAnsi" w:cs="Arial"/>
          <w:bCs/>
          <w:snapToGrid w:val="0"/>
          <w:lang w:eastAsia="en-US"/>
        </w:rPr>
        <w:t xml:space="preserve">C noted that this submission </w:t>
      </w:r>
      <w:r w:rsidRPr="0047510D">
        <w:rPr>
          <w:rFonts w:asciiTheme="minorHAnsi" w:hAnsiTheme="minorHAnsi" w:cs="Arial"/>
          <w:bCs/>
          <w:snapToGrid w:val="0"/>
          <w:lang w:eastAsia="en-US"/>
        </w:rPr>
        <w:t>is not eligible for an Independent Review</w:t>
      </w:r>
      <w:r w:rsidR="00AC4DEC" w:rsidRPr="0047510D">
        <w:rPr>
          <w:rFonts w:asciiTheme="minorHAnsi" w:hAnsiTheme="minorHAnsi" w:cs="Arial"/>
          <w:bCs/>
          <w:snapToGrid w:val="0"/>
          <w:lang w:eastAsia="en-US"/>
        </w:rPr>
        <w:t xml:space="preserve"> as it received a positive recommendation</w:t>
      </w:r>
      <w:r w:rsidR="00B70CFC">
        <w:rPr>
          <w:rFonts w:asciiTheme="minorHAnsi" w:hAnsiTheme="minorHAnsi" w:cs="Arial"/>
          <w:bCs/>
          <w:snapToGrid w:val="0"/>
          <w:lang w:eastAsia="en-US"/>
        </w:rPr>
        <w:t xml:space="preserve">. </w:t>
      </w:r>
    </w:p>
    <w:p w:rsidR="00EA3CE1" w:rsidRPr="0047510D" w:rsidRDefault="00EA3CE1" w:rsidP="00EA3CE1">
      <w:pPr>
        <w:spacing w:before="240" w:after="120"/>
        <w:jc w:val="both"/>
        <w:rPr>
          <w:rFonts w:asciiTheme="minorHAnsi" w:hAnsiTheme="minorHAnsi" w:cs="Arial"/>
          <w:b/>
          <w:bCs/>
          <w:snapToGrid w:val="0"/>
          <w:lang w:eastAsia="en-US"/>
        </w:rPr>
      </w:pPr>
      <w:r w:rsidRPr="0047510D">
        <w:rPr>
          <w:rFonts w:asciiTheme="minorHAnsi" w:hAnsiTheme="minorHAnsi" w:cs="Arial"/>
          <w:b/>
          <w:bCs/>
          <w:snapToGrid w:val="0"/>
          <w:lang w:eastAsia="en-US"/>
        </w:rPr>
        <w:t>Outcome:</w:t>
      </w:r>
    </w:p>
    <w:p w:rsidR="00EA3CE1" w:rsidRDefault="00EA3CE1" w:rsidP="00AC4DEC">
      <w:pPr>
        <w:spacing w:after="120"/>
        <w:jc w:val="both"/>
        <w:rPr>
          <w:rFonts w:asciiTheme="minorHAnsi" w:hAnsiTheme="minorHAnsi" w:cs="Arial"/>
          <w:bCs/>
          <w:snapToGrid w:val="0"/>
          <w:lang w:eastAsia="en-US"/>
        </w:rPr>
      </w:pPr>
      <w:r w:rsidRPr="0047510D">
        <w:rPr>
          <w:rFonts w:asciiTheme="minorHAnsi" w:hAnsiTheme="minorHAnsi" w:cs="Arial"/>
          <w:bCs/>
          <w:snapToGrid w:val="0"/>
          <w:lang w:eastAsia="en-US"/>
        </w:rPr>
        <w:t xml:space="preserve">Recommended </w:t>
      </w:r>
    </w:p>
    <w:p w:rsidR="00EA3CE1" w:rsidRPr="00A564B2" w:rsidRDefault="00EA3CE1" w:rsidP="00A564B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A564B2">
        <w:rPr>
          <w:rFonts w:asciiTheme="minorHAnsi" w:hAnsiTheme="minorHAnsi"/>
          <w:sz w:val="32"/>
          <w:szCs w:val="32"/>
        </w:rPr>
        <w:t>Recommended listing</w:t>
      </w:r>
    </w:p>
    <w:p w:rsidR="00835EC7" w:rsidRPr="00B70CFC" w:rsidRDefault="00EA3CE1" w:rsidP="00D73E83">
      <w:pPr>
        <w:widowControl w:val="0"/>
        <w:numPr>
          <w:ilvl w:val="1"/>
          <w:numId w:val="5"/>
        </w:numPr>
        <w:spacing w:after="120"/>
        <w:jc w:val="both"/>
        <w:rPr>
          <w:rFonts w:asciiTheme="minorHAnsi" w:eastAsiaTheme="minorHAnsi" w:hAnsiTheme="minorHAnsi" w:cstheme="minorHAnsi"/>
          <w:i/>
        </w:rPr>
      </w:pPr>
      <w:r w:rsidRPr="00B70CFC">
        <w:rPr>
          <w:rFonts w:asciiTheme="minorHAnsi" w:hAnsiTheme="minorHAnsi" w:cs="Arial"/>
          <w:bCs/>
          <w:snapToGrid w:val="0"/>
          <w:lang w:eastAsia="en-US"/>
        </w:rPr>
        <w:t>Add new item:</w:t>
      </w:r>
    </w:p>
    <w:tbl>
      <w:tblPr>
        <w:tblW w:w="9214" w:type="dxa"/>
        <w:tblInd w:w="108" w:type="dxa"/>
        <w:tblLayout w:type="fixed"/>
        <w:tblLook w:val="04A0" w:firstRow="1" w:lastRow="0" w:firstColumn="1" w:lastColumn="0" w:noHBand="0" w:noVBand="1"/>
      </w:tblPr>
      <w:tblGrid>
        <w:gridCol w:w="2835"/>
        <w:gridCol w:w="1276"/>
        <w:gridCol w:w="1134"/>
        <w:gridCol w:w="851"/>
        <w:gridCol w:w="283"/>
        <w:gridCol w:w="1559"/>
        <w:gridCol w:w="1276"/>
      </w:tblGrid>
      <w:tr w:rsidR="00C06BB3" w:rsidRPr="00B70CFC" w:rsidTr="003E708A">
        <w:trPr>
          <w:cantSplit/>
          <w:trHeight w:val="471"/>
        </w:trPr>
        <w:tc>
          <w:tcPr>
            <w:tcW w:w="4111" w:type="dxa"/>
            <w:gridSpan w:val="2"/>
            <w:tcBorders>
              <w:top w:val="nil"/>
              <w:left w:val="nil"/>
              <w:bottom w:val="single" w:sz="4" w:space="0" w:color="auto"/>
              <w:right w:val="nil"/>
            </w:tcBorders>
            <w:hideMark/>
          </w:tcPr>
          <w:p w:rsidR="00C06BB3" w:rsidRPr="00B70CFC" w:rsidRDefault="00C06BB3">
            <w:pPr>
              <w:keepNext/>
              <w:ind w:left="-108"/>
              <w:jc w:val="both"/>
              <w:rPr>
                <w:rFonts w:ascii="Arial Narrow" w:hAnsi="Arial Narrow" w:cs="Arial"/>
                <w:sz w:val="20"/>
                <w:szCs w:val="20"/>
              </w:rPr>
            </w:pPr>
            <w:r w:rsidRPr="00B70CFC">
              <w:rPr>
                <w:rFonts w:ascii="Arial Narrow" w:hAnsi="Arial Narrow" w:cs="Arial"/>
                <w:sz w:val="20"/>
                <w:szCs w:val="20"/>
              </w:rPr>
              <w:t>Name, Restriction,</w:t>
            </w:r>
          </w:p>
          <w:p w:rsidR="00C06BB3" w:rsidRPr="00B70CFC" w:rsidRDefault="00C06BB3">
            <w:pPr>
              <w:keepNext/>
              <w:ind w:left="-108"/>
              <w:jc w:val="both"/>
              <w:rPr>
                <w:rFonts w:ascii="Arial Narrow" w:hAnsi="Arial Narrow" w:cs="Arial"/>
                <w:sz w:val="20"/>
                <w:szCs w:val="20"/>
              </w:rPr>
            </w:pPr>
            <w:r w:rsidRPr="00B70CFC">
              <w:rPr>
                <w:rFonts w:ascii="Arial Narrow" w:hAnsi="Arial Narrow" w:cs="Arial"/>
                <w:sz w:val="20"/>
                <w:szCs w:val="20"/>
              </w:rPr>
              <w:t>Manner of administration and form</w:t>
            </w:r>
          </w:p>
        </w:tc>
        <w:tc>
          <w:tcPr>
            <w:tcW w:w="1134" w:type="dxa"/>
            <w:tcBorders>
              <w:top w:val="nil"/>
              <w:left w:val="nil"/>
              <w:bottom w:val="single" w:sz="4" w:space="0" w:color="auto"/>
              <w:right w:val="nil"/>
            </w:tcBorders>
            <w:hideMark/>
          </w:tcPr>
          <w:p w:rsidR="00C06BB3" w:rsidRPr="00B70CFC" w:rsidRDefault="00C06BB3">
            <w:pPr>
              <w:keepNext/>
              <w:ind w:left="-108"/>
              <w:jc w:val="both"/>
              <w:rPr>
                <w:rFonts w:ascii="Arial Narrow" w:hAnsi="Arial Narrow" w:cs="Arial"/>
                <w:sz w:val="20"/>
                <w:szCs w:val="20"/>
              </w:rPr>
            </w:pPr>
            <w:r w:rsidRPr="00B70CFC">
              <w:rPr>
                <w:rFonts w:ascii="Arial Narrow" w:hAnsi="Arial Narrow" w:cs="Arial"/>
                <w:sz w:val="20"/>
                <w:szCs w:val="20"/>
              </w:rPr>
              <w:t>Max.</w:t>
            </w:r>
          </w:p>
          <w:p w:rsidR="00C06BB3" w:rsidRPr="00B70CFC" w:rsidRDefault="003A765C">
            <w:pPr>
              <w:keepNext/>
              <w:ind w:left="-108"/>
              <w:jc w:val="both"/>
              <w:rPr>
                <w:rFonts w:ascii="Arial Narrow" w:hAnsi="Arial Narrow" w:cs="Arial"/>
                <w:sz w:val="20"/>
                <w:szCs w:val="20"/>
              </w:rPr>
            </w:pPr>
            <w:r>
              <w:rPr>
                <w:rFonts w:ascii="Arial Narrow" w:hAnsi="Arial Narrow" w:cs="Arial"/>
                <w:sz w:val="20"/>
                <w:szCs w:val="20"/>
              </w:rPr>
              <w:t>amount</w:t>
            </w:r>
          </w:p>
        </w:tc>
        <w:tc>
          <w:tcPr>
            <w:tcW w:w="851" w:type="dxa"/>
            <w:tcBorders>
              <w:top w:val="nil"/>
              <w:left w:val="nil"/>
              <w:bottom w:val="single" w:sz="4" w:space="0" w:color="auto"/>
              <w:right w:val="nil"/>
            </w:tcBorders>
            <w:hideMark/>
          </w:tcPr>
          <w:p w:rsidR="00C06BB3" w:rsidRPr="00B70CFC" w:rsidRDefault="00C06BB3">
            <w:pPr>
              <w:keepNext/>
              <w:ind w:left="-108"/>
              <w:jc w:val="both"/>
              <w:rPr>
                <w:rFonts w:ascii="Arial Narrow" w:hAnsi="Arial Narrow" w:cs="Arial"/>
                <w:sz w:val="20"/>
                <w:szCs w:val="20"/>
              </w:rPr>
            </w:pPr>
            <w:r w:rsidRPr="00B70CFC">
              <w:rPr>
                <w:rFonts w:ascii="Arial Narrow" w:hAnsi="Arial Narrow" w:cs="Arial"/>
                <w:sz w:val="20"/>
                <w:szCs w:val="20"/>
              </w:rPr>
              <w:t>№.of</w:t>
            </w:r>
          </w:p>
          <w:p w:rsidR="00C06BB3" w:rsidRPr="00B70CFC" w:rsidRDefault="00C06BB3">
            <w:pPr>
              <w:keepNext/>
              <w:ind w:left="-108"/>
              <w:jc w:val="both"/>
              <w:rPr>
                <w:rFonts w:ascii="Arial Narrow" w:hAnsi="Arial Narrow" w:cs="Arial"/>
                <w:sz w:val="20"/>
                <w:szCs w:val="20"/>
              </w:rPr>
            </w:pPr>
            <w:proofErr w:type="spellStart"/>
            <w:r w:rsidRPr="00B70CFC">
              <w:rPr>
                <w:rFonts w:ascii="Arial Narrow" w:hAnsi="Arial Narrow" w:cs="Arial"/>
                <w:sz w:val="20"/>
                <w:szCs w:val="20"/>
              </w:rPr>
              <w:t>Rpts</w:t>
            </w:r>
            <w:proofErr w:type="spellEnd"/>
          </w:p>
        </w:tc>
        <w:tc>
          <w:tcPr>
            <w:tcW w:w="283" w:type="dxa"/>
            <w:tcBorders>
              <w:top w:val="nil"/>
              <w:left w:val="nil"/>
              <w:bottom w:val="single" w:sz="4" w:space="0" w:color="auto"/>
              <w:right w:val="nil"/>
            </w:tcBorders>
          </w:tcPr>
          <w:p w:rsidR="00C06BB3" w:rsidRPr="00B70CFC" w:rsidRDefault="00C06BB3">
            <w:pPr>
              <w:keepNext/>
              <w:ind w:left="-108"/>
              <w:jc w:val="both"/>
              <w:rPr>
                <w:rFonts w:ascii="Arial Narrow" w:hAnsi="Arial Narrow" w:cs="Arial"/>
                <w:sz w:val="20"/>
                <w:szCs w:val="20"/>
              </w:rPr>
            </w:pPr>
          </w:p>
        </w:tc>
        <w:tc>
          <w:tcPr>
            <w:tcW w:w="2835" w:type="dxa"/>
            <w:gridSpan w:val="2"/>
            <w:tcBorders>
              <w:top w:val="nil"/>
              <w:left w:val="nil"/>
              <w:bottom w:val="single" w:sz="4" w:space="0" w:color="auto"/>
              <w:right w:val="nil"/>
            </w:tcBorders>
            <w:hideMark/>
          </w:tcPr>
          <w:p w:rsidR="00C06BB3" w:rsidRPr="0047510D" w:rsidRDefault="00C06BB3">
            <w:pPr>
              <w:keepNext/>
              <w:jc w:val="both"/>
              <w:rPr>
                <w:rFonts w:ascii="Arial Narrow" w:hAnsi="Arial Narrow" w:cs="Arial"/>
                <w:sz w:val="20"/>
                <w:szCs w:val="20"/>
              </w:rPr>
            </w:pPr>
            <w:r w:rsidRPr="00B70CFC">
              <w:rPr>
                <w:rFonts w:ascii="Arial Narrow" w:hAnsi="Arial Narrow" w:cs="Arial"/>
                <w:sz w:val="20"/>
                <w:szCs w:val="20"/>
              </w:rPr>
              <w:t>Proprietary Name and Manufacturer</w:t>
            </w:r>
          </w:p>
        </w:tc>
      </w:tr>
      <w:tr w:rsidR="00C06BB3" w:rsidRPr="00B70CFC" w:rsidTr="00D73E83">
        <w:trPr>
          <w:cantSplit/>
          <w:trHeight w:val="577"/>
        </w:trPr>
        <w:tc>
          <w:tcPr>
            <w:tcW w:w="4111" w:type="dxa"/>
            <w:gridSpan w:val="2"/>
            <w:hideMark/>
          </w:tcPr>
          <w:p w:rsidR="00C06BB3" w:rsidRPr="00B70CFC" w:rsidRDefault="007537C0" w:rsidP="007537C0">
            <w:pPr>
              <w:keepNext/>
              <w:ind w:left="-108"/>
              <w:jc w:val="both"/>
              <w:rPr>
                <w:rFonts w:ascii="Arial Narrow" w:hAnsi="Arial Narrow" w:cs="Arial"/>
                <w:sz w:val="20"/>
                <w:szCs w:val="20"/>
              </w:rPr>
            </w:pPr>
            <w:r w:rsidRPr="00B70CFC">
              <w:rPr>
                <w:rFonts w:ascii="Arial Narrow" w:hAnsi="Arial Narrow" w:cs="Arial"/>
                <w:smallCaps/>
                <w:sz w:val="20"/>
                <w:szCs w:val="20"/>
              </w:rPr>
              <w:t xml:space="preserve">PACLITAXEL, NANOPARTICLE ALBUMIN-BOUND, </w:t>
            </w:r>
            <w:r w:rsidRPr="00B70CFC">
              <w:rPr>
                <w:rFonts w:ascii="Arial Narrow" w:hAnsi="Arial Narrow" w:cs="Arial"/>
                <w:sz w:val="20"/>
                <w:szCs w:val="20"/>
              </w:rPr>
              <w:t>Powder for I.V. injection containing 250 mg paclitaxel</w:t>
            </w:r>
          </w:p>
        </w:tc>
        <w:tc>
          <w:tcPr>
            <w:tcW w:w="1134" w:type="dxa"/>
          </w:tcPr>
          <w:p w:rsidR="00C06BB3" w:rsidRPr="00B70CFC" w:rsidRDefault="00C06BB3">
            <w:pPr>
              <w:keepNext/>
              <w:ind w:left="-108"/>
              <w:jc w:val="both"/>
              <w:rPr>
                <w:rFonts w:ascii="Arial Narrow" w:hAnsi="Arial Narrow" w:cs="Arial"/>
                <w:sz w:val="20"/>
                <w:szCs w:val="20"/>
              </w:rPr>
            </w:pPr>
          </w:p>
          <w:p w:rsidR="00C06BB3" w:rsidRPr="00B70CFC" w:rsidRDefault="007537C0">
            <w:pPr>
              <w:keepNext/>
              <w:ind w:left="-108"/>
              <w:jc w:val="both"/>
              <w:rPr>
                <w:rFonts w:ascii="Arial Narrow" w:hAnsi="Arial Narrow" w:cs="Arial"/>
                <w:sz w:val="20"/>
                <w:szCs w:val="20"/>
              </w:rPr>
            </w:pPr>
            <w:r w:rsidRPr="00B70CFC">
              <w:rPr>
                <w:rFonts w:ascii="Arial Narrow" w:hAnsi="Arial Narrow" w:cs="Arial"/>
                <w:sz w:val="20"/>
                <w:szCs w:val="20"/>
              </w:rPr>
              <w:t>275</w:t>
            </w:r>
            <w:r w:rsidR="003A765C">
              <w:rPr>
                <w:rFonts w:ascii="Arial Narrow" w:hAnsi="Arial Narrow" w:cs="Arial"/>
                <w:sz w:val="20"/>
                <w:szCs w:val="20"/>
              </w:rPr>
              <w:t> </w:t>
            </w:r>
            <w:r w:rsidRPr="00B70CFC">
              <w:rPr>
                <w:rFonts w:ascii="Arial Narrow" w:hAnsi="Arial Narrow" w:cs="Arial"/>
                <w:sz w:val="20"/>
                <w:szCs w:val="20"/>
              </w:rPr>
              <w:t>mg</w:t>
            </w:r>
          </w:p>
        </w:tc>
        <w:tc>
          <w:tcPr>
            <w:tcW w:w="851" w:type="dxa"/>
          </w:tcPr>
          <w:p w:rsidR="00C06BB3" w:rsidRPr="00B70CFC" w:rsidRDefault="00C06BB3">
            <w:pPr>
              <w:keepNext/>
              <w:ind w:left="-108"/>
              <w:jc w:val="both"/>
              <w:rPr>
                <w:rFonts w:ascii="Arial Narrow" w:hAnsi="Arial Narrow" w:cs="Arial"/>
                <w:sz w:val="20"/>
                <w:szCs w:val="20"/>
              </w:rPr>
            </w:pPr>
          </w:p>
          <w:p w:rsidR="00C06BB3" w:rsidRPr="00B70CFC" w:rsidRDefault="007537C0">
            <w:pPr>
              <w:keepNext/>
              <w:ind w:left="-108"/>
              <w:jc w:val="both"/>
              <w:rPr>
                <w:rFonts w:ascii="Arial Narrow" w:hAnsi="Arial Narrow" w:cs="Arial"/>
                <w:sz w:val="20"/>
                <w:szCs w:val="20"/>
              </w:rPr>
            </w:pPr>
            <w:r w:rsidRPr="00B70CFC">
              <w:rPr>
                <w:rFonts w:ascii="Arial Narrow" w:hAnsi="Arial Narrow" w:cs="Arial"/>
                <w:sz w:val="20"/>
                <w:szCs w:val="20"/>
              </w:rPr>
              <w:t>11</w:t>
            </w:r>
          </w:p>
        </w:tc>
        <w:tc>
          <w:tcPr>
            <w:tcW w:w="283" w:type="dxa"/>
          </w:tcPr>
          <w:p w:rsidR="00C06BB3" w:rsidRPr="00B70CFC" w:rsidRDefault="00C06BB3">
            <w:pPr>
              <w:keepNext/>
              <w:ind w:left="-108"/>
              <w:jc w:val="both"/>
              <w:rPr>
                <w:rFonts w:ascii="Arial Narrow" w:hAnsi="Arial Narrow" w:cs="Arial"/>
                <w:sz w:val="20"/>
                <w:szCs w:val="20"/>
              </w:rPr>
            </w:pPr>
          </w:p>
        </w:tc>
        <w:tc>
          <w:tcPr>
            <w:tcW w:w="1559" w:type="dxa"/>
            <w:hideMark/>
          </w:tcPr>
          <w:p w:rsidR="00C06BB3" w:rsidRPr="00B70CFC" w:rsidRDefault="007537C0">
            <w:pPr>
              <w:keepNext/>
              <w:jc w:val="both"/>
              <w:rPr>
                <w:rFonts w:ascii="Arial Narrow" w:hAnsi="Arial Narrow" w:cs="Arial"/>
                <w:sz w:val="20"/>
                <w:szCs w:val="20"/>
              </w:rPr>
            </w:pPr>
            <w:proofErr w:type="spellStart"/>
            <w:r w:rsidRPr="00B70CFC">
              <w:rPr>
                <w:rFonts w:ascii="Arial Narrow" w:hAnsi="Arial Narrow" w:cs="Arial"/>
                <w:sz w:val="20"/>
                <w:szCs w:val="20"/>
              </w:rPr>
              <w:t>Abraxane</w:t>
            </w:r>
            <w:proofErr w:type="spellEnd"/>
          </w:p>
        </w:tc>
        <w:tc>
          <w:tcPr>
            <w:tcW w:w="1276" w:type="dxa"/>
            <w:hideMark/>
          </w:tcPr>
          <w:p w:rsidR="00C06BB3" w:rsidRPr="00B70CFC" w:rsidRDefault="007537C0" w:rsidP="003A765C">
            <w:pPr>
              <w:keepNext/>
              <w:jc w:val="both"/>
              <w:rPr>
                <w:rFonts w:ascii="Arial Narrow" w:hAnsi="Arial Narrow" w:cs="Arial"/>
                <w:sz w:val="20"/>
                <w:szCs w:val="20"/>
              </w:rPr>
            </w:pPr>
            <w:r w:rsidRPr="00B70CFC">
              <w:rPr>
                <w:rFonts w:ascii="Arial Narrow" w:hAnsi="Arial Narrow" w:cs="Arial"/>
                <w:sz w:val="20"/>
                <w:szCs w:val="20"/>
              </w:rPr>
              <w:t>Specialised Therapeutics Pty Ltd</w:t>
            </w:r>
          </w:p>
        </w:tc>
      </w:tr>
      <w:tr w:rsidR="00C06BB3" w:rsidRPr="00B70CFC" w:rsidTr="00D73E83">
        <w:trPr>
          <w:cantSplit/>
          <w:trHeight w:val="360"/>
        </w:trPr>
        <w:tc>
          <w:tcPr>
            <w:tcW w:w="9214" w:type="dxa"/>
            <w:gridSpan w:val="7"/>
            <w:tcBorders>
              <w:top w:val="nil"/>
              <w:left w:val="nil"/>
              <w:bottom w:val="single" w:sz="4" w:space="0" w:color="auto"/>
              <w:right w:val="nil"/>
            </w:tcBorders>
          </w:tcPr>
          <w:p w:rsidR="00C06BB3" w:rsidRPr="00B70CFC" w:rsidRDefault="00C06BB3">
            <w:pPr>
              <w:jc w:val="both"/>
              <w:rPr>
                <w:rFonts w:ascii="Arial Narrow" w:hAnsi="Arial Narrow" w:cs="Arial"/>
                <w:sz w:val="20"/>
                <w:szCs w:val="20"/>
              </w:rPr>
            </w:pPr>
          </w:p>
        </w:tc>
      </w:tr>
      <w:tr w:rsidR="00C06BB3" w:rsidRPr="00B70CFC" w:rsidTr="00D73E83">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t xml:space="preserve">Category / </w:t>
            </w:r>
          </w:p>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C06BB3" w:rsidRPr="00B70CFC" w:rsidRDefault="00C06BB3">
            <w:pPr>
              <w:rPr>
                <w:rFonts w:ascii="Arial Narrow" w:hAnsi="Arial Narrow" w:cs="Arial"/>
                <w:sz w:val="20"/>
                <w:szCs w:val="20"/>
              </w:rPr>
            </w:pPr>
            <w:r w:rsidRPr="00B70CFC">
              <w:rPr>
                <w:rFonts w:ascii="Arial Narrow" w:hAnsi="Arial Narrow" w:cs="Arial"/>
                <w:sz w:val="20"/>
                <w:szCs w:val="20"/>
              </w:rPr>
              <w:t>Section 100 – Efficient funding of Chemotherapy</w:t>
            </w:r>
          </w:p>
        </w:tc>
      </w:tr>
      <w:tr w:rsidR="00C06BB3" w:rsidRPr="00B70CFC" w:rsidTr="00C06BB3">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t>Prescriber type:</w:t>
            </w:r>
          </w:p>
          <w:p w:rsidR="00C06BB3" w:rsidRPr="00B70CFC" w:rsidRDefault="00C06BB3">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Check1"/>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Dental  </w:t>
            </w:r>
            <w:r w:rsidRPr="0047510D">
              <w:rPr>
                <w:rFonts w:ascii="Arial Narrow" w:hAnsi="Arial Narrow" w:cs="Arial"/>
                <w:sz w:val="20"/>
                <w:szCs w:val="20"/>
              </w:rPr>
              <w:fldChar w:fldCharType="begin">
                <w:ffData>
                  <w:name w:val=""/>
                  <w:enabled/>
                  <w:calcOnExit w:val="0"/>
                  <w:checkBox>
                    <w:sizeAuto/>
                    <w:default w:val="1"/>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Medical Practitioners  </w:t>
            </w:r>
            <w:r w:rsidRPr="0047510D">
              <w:rPr>
                <w:rFonts w:ascii="Arial Narrow" w:hAnsi="Arial Narrow" w:cs="Arial"/>
                <w:sz w:val="20"/>
                <w:szCs w:val="20"/>
              </w:rPr>
              <w:fldChar w:fldCharType="begin">
                <w:ffData>
                  <w:name w:val="Check3"/>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Nurse practitioners  </w:t>
            </w: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Optometrists</w:t>
            </w:r>
          </w:p>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Midwives</w:t>
            </w:r>
          </w:p>
        </w:tc>
      </w:tr>
      <w:tr w:rsidR="00C06BB3" w:rsidRPr="00B70CFC" w:rsidTr="00C06B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t>PBS Indication:</w:t>
            </w:r>
          </w:p>
          <w:p w:rsidR="00C06BB3" w:rsidRPr="00B70CFC" w:rsidRDefault="00C06BB3">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06BB3" w:rsidRPr="00B70CFC" w:rsidRDefault="007537C0">
            <w:pPr>
              <w:rPr>
                <w:rFonts w:ascii="Arial Narrow" w:hAnsi="Arial Narrow" w:cs="Arial"/>
                <w:sz w:val="20"/>
                <w:szCs w:val="20"/>
              </w:rPr>
            </w:pPr>
            <w:r w:rsidRPr="0047510D">
              <w:rPr>
                <w:rFonts w:ascii="Arial Narrow" w:hAnsi="Arial Narrow" w:cs="Arial"/>
                <w:sz w:val="20"/>
                <w:szCs w:val="20"/>
              </w:rPr>
              <w:t>Stage IV (metastatic) adenocarcinoma of the pancreas</w:t>
            </w:r>
          </w:p>
        </w:tc>
      </w:tr>
      <w:tr w:rsidR="00C06BB3" w:rsidRPr="00B70CFC" w:rsidTr="00C06B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t>Restriction Level / Method:</w:t>
            </w:r>
          </w:p>
          <w:p w:rsidR="00C06BB3" w:rsidRPr="00B70CFC" w:rsidRDefault="00C06BB3">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Check1"/>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Restricted benefit</w:t>
            </w:r>
          </w:p>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In Writing</w:t>
            </w:r>
          </w:p>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Check3"/>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Telephone</w:t>
            </w:r>
          </w:p>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Emergency</w:t>
            </w:r>
          </w:p>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Electronic</w:t>
            </w:r>
          </w:p>
          <w:p w:rsidR="00C06BB3" w:rsidRPr="00B70CFC" w:rsidRDefault="00C06BB3">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1"/>
                  </w:checkBox>
                </w:ffData>
              </w:fldChar>
            </w:r>
            <w:bookmarkStart w:id="1" w:name="Check5"/>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bookmarkEnd w:id="1"/>
            <w:r w:rsidRPr="00B70CFC">
              <w:rPr>
                <w:rFonts w:ascii="Arial Narrow" w:hAnsi="Arial Narrow" w:cs="Arial"/>
                <w:sz w:val="20"/>
                <w:szCs w:val="20"/>
              </w:rPr>
              <w:t>Streamlined</w:t>
            </w:r>
          </w:p>
        </w:tc>
      </w:tr>
      <w:tr w:rsidR="00C06BB3" w:rsidRPr="00B70CFC" w:rsidTr="00C06B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t>Clinical criteria:</w:t>
            </w:r>
          </w:p>
          <w:p w:rsidR="00C06BB3" w:rsidRPr="00B70CFC" w:rsidRDefault="00C06BB3" w:rsidP="00C06BB3">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537C0" w:rsidRPr="0047510D" w:rsidRDefault="007537C0" w:rsidP="007537C0">
            <w:pPr>
              <w:rPr>
                <w:rFonts w:ascii="Arial Narrow" w:hAnsi="Arial Narrow" w:cs="Arial"/>
                <w:sz w:val="20"/>
                <w:szCs w:val="20"/>
              </w:rPr>
            </w:pPr>
            <w:r w:rsidRPr="0047510D">
              <w:rPr>
                <w:rFonts w:ascii="Arial Narrow" w:hAnsi="Arial Narrow" w:cs="Arial"/>
                <w:sz w:val="20"/>
                <w:szCs w:val="20"/>
              </w:rPr>
              <w:t>The treatment must be in combination with gemcitabine</w:t>
            </w:r>
          </w:p>
          <w:p w:rsidR="007537C0" w:rsidRPr="0047510D" w:rsidRDefault="007537C0" w:rsidP="007537C0">
            <w:pPr>
              <w:rPr>
                <w:rFonts w:ascii="Arial Narrow" w:hAnsi="Arial Narrow" w:cs="Arial"/>
                <w:sz w:val="20"/>
                <w:szCs w:val="20"/>
              </w:rPr>
            </w:pPr>
            <w:r w:rsidRPr="0047510D">
              <w:rPr>
                <w:rFonts w:ascii="Arial Narrow" w:hAnsi="Arial Narrow" w:cs="Arial"/>
                <w:sz w:val="20"/>
                <w:szCs w:val="20"/>
              </w:rPr>
              <w:t>AND</w:t>
            </w:r>
          </w:p>
          <w:p w:rsidR="007537C0" w:rsidRPr="0047510D" w:rsidRDefault="007537C0" w:rsidP="007537C0">
            <w:pPr>
              <w:rPr>
                <w:rFonts w:ascii="Arial Narrow" w:hAnsi="Arial Narrow" w:cs="Arial"/>
                <w:sz w:val="20"/>
                <w:szCs w:val="20"/>
              </w:rPr>
            </w:pPr>
            <w:r w:rsidRPr="0047510D">
              <w:rPr>
                <w:rFonts w:ascii="Arial Narrow" w:hAnsi="Arial Narrow" w:cs="Arial"/>
                <w:sz w:val="20"/>
                <w:szCs w:val="20"/>
              </w:rPr>
              <w:t>The condition must not have been treated previously with PBS-subsidised therapy</w:t>
            </w:r>
          </w:p>
          <w:p w:rsidR="007537C0" w:rsidRPr="0047510D" w:rsidRDefault="007537C0" w:rsidP="007537C0">
            <w:pPr>
              <w:rPr>
                <w:rFonts w:ascii="Arial Narrow" w:hAnsi="Arial Narrow" w:cs="Arial"/>
                <w:sz w:val="20"/>
                <w:szCs w:val="20"/>
              </w:rPr>
            </w:pPr>
            <w:r w:rsidRPr="0047510D">
              <w:rPr>
                <w:rFonts w:ascii="Arial Narrow" w:hAnsi="Arial Narrow" w:cs="Arial"/>
                <w:sz w:val="20"/>
                <w:szCs w:val="20"/>
              </w:rPr>
              <w:t>AND</w:t>
            </w:r>
          </w:p>
          <w:p w:rsidR="007537C0" w:rsidRPr="0047510D" w:rsidRDefault="007537C0" w:rsidP="007537C0">
            <w:pPr>
              <w:rPr>
                <w:rFonts w:ascii="Arial Narrow" w:hAnsi="Arial Narrow" w:cs="Arial"/>
                <w:sz w:val="20"/>
                <w:szCs w:val="20"/>
              </w:rPr>
            </w:pPr>
            <w:r w:rsidRPr="0047510D">
              <w:rPr>
                <w:rFonts w:ascii="Arial Narrow" w:hAnsi="Arial Narrow" w:cs="Arial"/>
                <w:sz w:val="20"/>
                <w:szCs w:val="20"/>
              </w:rPr>
              <w:t>Patient must have an Eastern Cooperative Oncology Group (ECOG) performance status score of 2 or less</w:t>
            </w:r>
          </w:p>
          <w:p w:rsidR="00C06BB3" w:rsidRPr="00B70CFC" w:rsidRDefault="00C06BB3">
            <w:pPr>
              <w:jc w:val="both"/>
              <w:rPr>
                <w:rFonts w:ascii="Arial Narrow" w:hAnsi="Arial Narrow" w:cs="Arial"/>
                <w:sz w:val="20"/>
                <w:szCs w:val="20"/>
              </w:rPr>
            </w:pPr>
          </w:p>
        </w:tc>
      </w:tr>
      <w:tr w:rsidR="00C06BB3" w:rsidRPr="00B70CFC" w:rsidTr="00C06B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lastRenderedPageBreak/>
              <w:t>Prescriber Instructions</w:t>
            </w:r>
          </w:p>
          <w:p w:rsidR="00C06BB3" w:rsidRPr="00B70CFC" w:rsidRDefault="00C06BB3" w:rsidP="00C06BB3">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06BB3" w:rsidRPr="00B70CFC" w:rsidRDefault="007537C0">
            <w:pPr>
              <w:rPr>
                <w:rFonts w:ascii="Arial Narrow" w:hAnsi="Arial Narrow" w:cs="Arial"/>
                <w:sz w:val="20"/>
                <w:szCs w:val="20"/>
              </w:rPr>
            </w:pPr>
            <w:r w:rsidRPr="0047510D">
              <w:rPr>
                <w:rFonts w:ascii="Arial Narrow" w:hAnsi="Arial Narrow" w:cs="Arial"/>
                <w:sz w:val="20"/>
                <w:szCs w:val="20"/>
              </w:rPr>
              <w:t>A patient who has progressive disease when treated with this drug is no longer eligible for PBS-subsidised treatment with this drug.</w:t>
            </w:r>
          </w:p>
        </w:tc>
      </w:tr>
      <w:tr w:rsidR="00C06BB3" w:rsidRPr="00B70CFC" w:rsidTr="00C06B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C06BB3" w:rsidRPr="00B70CFC" w:rsidRDefault="00C06BB3">
            <w:pPr>
              <w:jc w:val="both"/>
              <w:rPr>
                <w:rFonts w:ascii="Arial Narrow" w:hAnsi="Arial Narrow" w:cs="Arial"/>
                <w:b/>
                <w:sz w:val="20"/>
                <w:szCs w:val="20"/>
              </w:rPr>
            </w:pPr>
            <w:r w:rsidRPr="00B70CFC">
              <w:rPr>
                <w:rFonts w:ascii="Arial Narrow" w:hAnsi="Arial Narrow" w:cs="Arial"/>
                <w:b/>
                <w:sz w:val="20"/>
                <w:szCs w:val="20"/>
              </w:rPr>
              <w:t>Administrative Advice</w:t>
            </w:r>
          </w:p>
          <w:p w:rsidR="00C06BB3" w:rsidRPr="00B70CFC" w:rsidRDefault="00C06BB3" w:rsidP="00C06BB3">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06BB3" w:rsidRPr="00B70CFC" w:rsidRDefault="007537C0">
            <w:pPr>
              <w:rPr>
                <w:rFonts w:ascii="Arial Narrow" w:hAnsi="Arial Narrow" w:cs="Arial"/>
                <w:sz w:val="20"/>
                <w:szCs w:val="20"/>
              </w:rPr>
            </w:pPr>
            <w:r w:rsidRPr="0047510D">
              <w:rPr>
                <w:rFonts w:ascii="Arial Narrow" w:hAnsi="Arial Narrow" w:cs="Arial"/>
                <w:sz w:val="20"/>
                <w:szCs w:val="20"/>
              </w:rPr>
              <w:t xml:space="preserve">Not for use as </w:t>
            </w:r>
            <w:proofErr w:type="spellStart"/>
            <w:r w:rsidRPr="0047510D">
              <w:rPr>
                <w:rFonts w:ascii="Arial Narrow" w:hAnsi="Arial Narrow" w:cs="Arial"/>
                <w:sz w:val="20"/>
                <w:szCs w:val="20"/>
              </w:rPr>
              <w:t>neoadjuvant</w:t>
            </w:r>
            <w:proofErr w:type="spellEnd"/>
            <w:r w:rsidRPr="0047510D">
              <w:rPr>
                <w:rFonts w:ascii="Arial Narrow" w:hAnsi="Arial Narrow" w:cs="Arial"/>
                <w:sz w:val="20"/>
                <w:szCs w:val="20"/>
              </w:rPr>
              <w:t xml:space="preserve"> or adjuvant therapy</w:t>
            </w:r>
          </w:p>
        </w:tc>
      </w:tr>
    </w:tbl>
    <w:p w:rsidR="00C06BB3" w:rsidRPr="00B70CFC" w:rsidRDefault="00C06BB3" w:rsidP="00C06BB3">
      <w:pPr>
        <w:rPr>
          <w:rFonts w:ascii="Arial" w:hAnsi="Arial" w:cs="Arial"/>
          <w:sz w:val="22"/>
          <w:szCs w:val="22"/>
        </w:rPr>
      </w:pPr>
    </w:p>
    <w:p w:rsidR="007537C0" w:rsidRPr="00B70CFC" w:rsidRDefault="00C06BB3" w:rsidP="00C06BB3">
      <w:pPr>
        <w:spacing w:after="120"/>
        <w:rPr>
          <w:rFonts w:asciiTheme="minorHAnsi" w:eastAsiaTheme="minorHAnsi" w:hAnsiTheme="minorHAnsi" w:cstheme="minorHAnsi"/>
        </w:rPr>
      </w:pPr>
      <w:r w:rsidRPr="00B70CFC" w:rsidDel="00C06BB3">
        <w:rPr>
          <w:rFonts w:asciiTheme="minorHAnsi" w:eastAsiaTheme="minorHAnsi" w:hAnsiTheme="minorHAnsi" w:cstheme="minorHAnsi"/>
        </w:rPr>
        <w:t xml:space="preserve"> </w:t>
      </w:r>
    </w:p>
    <w:tbl>
      <w:tblPr>
        <w:tblW w:w="9214" w:type="dxa"/>
        <w:tblInd w:w="108" w:type="dxa"/>
        <w:tblLayout w:type="fixed"/>
        <w:tblLook w:val="04A0" w:firstRow="1" w:lastRow="0" w:firstColumn="1" w:lastColumn="0" w:noHBand="0" w:noVBand="1"/>
      </w:tblPr>
      <w:tblGrid>
        <w:gridCol w:w="2835"/>
        <w:gridCol w:w="1560"/>
        <w:gridCol w:w="992"/>
        <w:gridCol w:w="709"/>
        <w:gridCol w:w="283"/>
        <w:gridCol w:w="1559"/>
        <w:gridCol w:w="1276"/>
      </w:tblGrid>
      <w:tr w:rsidR="007537C0" w:rsidRPr="00B70CFC" w:rsidTr="003E708A">
        <w:trPr>
          <w:cantSplit/>
          <w:trHeight w:val="471"/>
        </w:trPr>
        <w:tc>
          <w:tcPr>
            <w:tcW w:w="4395" w:type="dxa"/>
            <w:gridSpan w:val="2"/>
            <w:tcBorders>
              <w:top w:val="nil"/>
              <w:left w:val="nil"/>
              <w:bottom w:val="single" w:sz="4" w:space="0" w:color="auto"/>
              <w:right w:val="nil"/>
            </w:tcBorders>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Name, Restriction,</w:t>
            </w:r>
          </w:p>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Manner of administration and form</w:t>
            </w:r>
          </w:p>
        </w:tc>
        <w:tc>
          <w:tcPr>
            <w:tcW w:w="992" w:type="dxa"/>
            <w:tcBorders>
              <w:top w:val="nil"/>
              <w:left w:val="nil"/>
              <w:bottom w:val="single" w:sz="4" w:space="0" w:color="auto"/>
              <w:right w:val="nil"/>
            </w:tcBorders>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Max.</w:t>
            </w:r>
          </w:p>
          <w:p w:rsidR="007537C0" w:rsidRPr="00B70CFC" w:rsidRDefault="00517AAE" w:rsidP="00F23415">
            <w:pPr>
              <w:keepNext/>
              <w:ind w:left="-108"/>
              <w:jc w:val="both"/>
              <w:rPr>
                <w:rFonts w:ascii="Arial Narrow" w:hAnsi="Arial Narrow" w:cs="Arial"/>
                <w:sz w:val="20"/>
                <w:szCs w:val="20"/>
              </w:rPr>
            </w:pPr>
            <w:r>
              <w:rPr>
                <w:rFonts w:ascii="Arial Narrow" w:hAnsi="Arial Narrow" w:cs="Arial"/>
                <w:sz w:val="20"/>
                <w:szCs w:val="20"/>
              </w:rPr>
              <w:t>amount</w:t>
            </w:r>
          </w:p>
        </w:tc>
        <w:tc>
          <w:tcPr>
            <w:tcW w:w="709" w:type="dxa"/>
            <w:tcBorders>
              <w:top w:val="nil"/>
              <w:left w:val="nil"/>
              <w:bottom w:val="single" w:sz="4" w:space="0" w:color="auto"/>
              <w:right w:val="nil"/>
            </w:tcBorders>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№.of</w:t>
            </w:r>
          </w:p>
          <w:p w:rsidR="007537C0" w:rsidRPr="00B70CFC" w:rsidRDefault="007537C0" w:rsidP="00F23415">
            <w:pPr>
              <w:keepNext/>
              <w:ind w:left="-108"/>
              <w:jc w:val="both"/>
              <w:rPr>
                <w:rFonts w:ascii="Arial Narrow" w:hAnsi="Arial Narrow" w:cs="Arial"/>
                <w:sz w:val="20"/>
                <w:szCs w:val="20"/>
              </w:rPr>
            </w:pPr>
            <w:proofErr w:type="spellStart"/>
            <w:r w:rsidRPr="00B70CFC">
              <w:rPr>
                <w:rFonts w:ascii="Arial Narrow" w:hAnsi="Arial Narrow" w:cs="Arial"/>
                <w:sz w:val="20"/>
                <w:szCs w:val="20"/>
              </w:rPr>
              <w:t>Rpts</w:t>
            </w:r>
            <w:proofErr w:type="spellEnd"/>
          </w:p>
        </w:tc>
        <w:tc>
          <w:tcPr>
            <w:tcW w:w="283" w:type="dxa"/>
            <w:tcBorders>
              <w:top w:val="nil"/>
              <w:left w:val="nil"/>
              <w:bottom w:val="single" w:sz="4" w:space="0" w:color="auto"/>
              <w:right w:val="nil"/>
            </w:tcBorders>
          </w:tcPr>
          <w:p w:rsidR="007537C0" w:rsidRPr="00B70CFC" w:rsidRDefault="007537C0" w:rsidP="00F23415">
            <w:pPr>
              <w:keepNext/>
              <w:ind w:left="-108"/>
              <w:jc w:val="both"/>
              <w:rPr>
                <w:rFonts w:ascii="Arial Narrow" w:hAnsi="Arial Narrow" w:cs="Arial"/>
                <w:sz w:val="20"/>
                <w:szCs w:val="20"/>
              </w:rPr>
            </w:pPr>
          </w:p>
        </w:tc>
        <w:tc>
          <w:tcPr>
            <w:tcW w:w="2835" w:type="dxa"/>
            <w:gridSpan w:val="2"/>
            <w:tcBorders>
              <w:top w:val="nil"/>
              <w:left w:val="nil"/>
              <w:bottom w:val="single" w:sz="4" w:space="0" w:color="auto"/>
              <w:right w:val="nil"/>
            </w:tcBorders>
            <w:hideMark/>
          </w:tcPr>
          <w:p w:rsidR="007537C0" w:rsidRPr="0047510D" w:rsidRDefault="007537C0" w:rsidP="00F23415">
            <w:pPr>
              <w:keepNext/>
              <w:jc w:val="both"/>
              <w:rPr>
                <w:rFonts w:ascii="Arial Narrow" w:hAnsi="Arial Narrow" w:cs="Arial"/>
                <w:sz w:val="20"/>
                <w:szCs w:val="20"/>
              </w:rPr>
            </w:pPr>
            <w:r w:rsidRPr="00B70CFC">
              <w:rPr>
                <w:rFonts w:ascii="Arial Narrow" w:hAnsi="Arial Narrow" w:cs="Arial"/>
                <w:sz w:val="20"/>
                <w:szCs w:val="20"/>
              </w:rPr>
              <w:t>Proprietary Name and Manufacturer</w:t>
            </w:r>
          </w:p>
        </w:tc>
      </w:tr>
      <w:tr w:rsidR="007537C0" w:rsidRPr="00B70CFC" w:rsidTr="003E708A">
        <w:trPr>
          <w:cantSplit/>
          <w:trHeight w:val="577"/>
        </w:trPr>
        <w:tc>
          <w:tcPr>
            <w:tcW w:w="4395" w:type="dxa"/>
            <w:gridSpan w:val="2"/>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mallCaps/>
                <w:sz w:val="20"/>
                <w:szCs w:val="20"/>
              </w:rPr>
              <w:t xml:space="preserve">PACLITAXEL, NANOPARTICLE ALBUMIN-BOUND, </w:t>
            </w:r>
            <w:r w:rsidRPr="00B70CFC">
              <w:rPr>
                <w:rFonts w:ascii="Arial Narrow" w:hAnsi="Arial Narrow" w:cs="Arial"/>
                <w:sz w:val="20"/>
                <w:szCs w:val="20"/>
              </w:rPr>
              <w:t>Powder for I.V. injection containing 250 mg paclitaxel</w:t>
            </w:r>
          </w:p>
        </w:tc>
        <w:tc>
          <w:tcPr>
            <w:tcW w:w="992" w:type="dxa"/>
          </w:tcPr>
          <w:p w:rsidR="007537C0" w:rsidRPr="00B70CFC" w:rsidRDefault="007537C0" w:rsidP="00F23415">
            <w:pPr>
              <w:keepNext/>
              <w:ind w:left="-108"/>
              <w:jc w:val="both"/>
              <w:rPr>
                <w:rFonts w:ascii="Arial Narrow" w:hAnsi="Arial Narrow" w:cs="Arial"/>
                <w:sz w:val="20"/>
                <w:szCs w:val="20"/>
              </w:rPr>
            </w:pPr>
          </w:p>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580</w:t>
            </w:r>
            <w:r w:rsidR="00517AAE">
              <w:rPr>
                <w:rFonts w:ascii="Arial Narrow" w:hAnsi="Arial Narrow" w:cs="Arial"/>
                <w:sz w:val="20"/>
                <w:szCs w:val="20"/>
              </w:rPr>
              <w:t> </w:t>
            </w:r>
            <w:r w:rsidRPr="00B70CFC">
              <w:rPr>
                <w:rFonts w:ascii="Arial Narrow" w:hAnsi="Arial Narrow" w:cs="Arial"/>
                <w:sz w:val="20"/>
                <w:szCs w:val="20"/>
              </w:rPr>
              <w:t>mg</w:t>
            </w:r>
          </w:p>
        </w:tc>
        <w:tc>
          <w:tcPr>
            <w:tcW w:w="709" w:type="dxa"/>
          </w:tcPr>
          <w:p w:rsidR="007537C0" w:rsidRPr="00B70CFC" w:rsidRDefault="007537C0" w:rsidP="00F23415">
            <w:pPr>
              <w:keepNext/>
              <w:ind w:left="-108"/>
              <w:jc w:val="both"/>
              <w:rPr>
                <w:rFonts w:ascii="Arial Narrow" w:hAnsi="Arial Narrow" w:cs="Arial"/>
                <w:sz w:val="20"/>
                <w:szCs w:val="20"/>
              </w:rPr>
            </w:pPr>
          </w:p>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5</w:t>
            </w:r>
          </w:p>
        </w:tc>
        <w:tc>
          <w:tcPr>
            <w:tcW w:w="283" w:type="dxa"/>
          </w:tcPr>
          <w:p w:rsidR="007537C0" w:rsidRPr="00B70CFC" w:rsidRDefault="007537C0" w:rsidP="00F23415">
            <w:pPr>
              <w:keepNext/>
              <w:ind w:left="-108"/>
              <w:jc w:val="both"/>
              <w:rPr>
                <w:rFonts w:ascii="Arial Narrow" w:hAnsi="Arial Narrow" w:cs="Arial"/>
                <w:sz w:val="20"/>
                <w:szCs w:val="20"/>
              </w:rPr>
            </w:pPr>
          </w:p>
        </w:tc>
        <w:tc>
          <w:tcPr>
            <w:tcW w:w="1559" w:type="dxa"/>
            <w:hideMark/>
          </w:tcPr>
          <w:p w:rsidR="007537C0" w:rsidRPr="00B70CFC" w:rsidRDefault="007537C0" w:rsidP="00F23415">
            <w:pPr>
              <w:keepNext/>
              <w:jc w:val="both"/>
              <w:rPr>
                <w:rFonts w:ascii="Arial Narrow" w:hAnsi="Arial Narrow" w:cs="Arial"/>
                <w:sz w:val="20"/>
                <w:szCs w:val="20"/>
              </w:rPr>
            </w:pPr>
            <w:proofErr w:type="spellStart"/>
            <w:r w:rsidRPr="00B70CFC">
              <w:rPr>
                <w:rFonts w:ascii="Arial Narrow" w:hAnsi="Arial Narrow" w:cs="Arial"/>
                <w:sz w:val="20"/>
                <w:szCs w:val="20"/>
              </w:rPr>
              <w:t>Abraxane</w:t>
            </w:r>
            <w:proofErr w:type="spellEnd"/>
          </w:p>
        </w:tc>
        <w:tc>
          <w:tcPr>
            <w:tcW w:w="1276" w:type="dxa"/>
            <w:hideMark/>
          </w:tcPr>
          <w:p w:rsidR="007537C0" w:rsidRPr="00B70CFC" w:rsidRDefault="007537C0" w:rsidP="00517AAE">
            <w:pPr>
              <w:keepNext/>
              <w:jc w:val="both"/>
              <w:rPr>
                <w:rFonts w:ascii="Arial Narrow" w:hAnsi="Arial Narrow" w:cs="Arial"/>
                <w:sz w:val="20"/>
                <w:szCs w:val="20"/>
              </w:rPr>
            </w:pPr>
            <w:r w:rsidRPr="00B70CFC">
              <w:rPr>
                <w:rFonts w:ascii="Arial Narrow" w:hAnsi="Arial Narrow" w:cs="Arial"/>
                <w:sz w:val="20"/>
                <w:szCs w:val="20"/>
              </w:rPr>
              <w:t>Specialised Therapeutics Pty Ltd</w:t>
            </w:r>
          </w:p>
        </w:tc>
      </w:tr>
      <w:tr w:rsidR="007537C0" w:rsidRPr="00B70CFC" w:rsidTr="00F23415">
        <w:trPr>
          <w:cantSplit/>
          <w:trHeight w:val="360"/>
        </w:trPr>
        <w:tc>
          <w:tcPr>
            <w:tcW w:w="9214" w:type="dxa"/>
            <w:gridSpan w:val="7"/>
            <w:tcBorders>
              <w:top w:val="nil"/>
              <w:left w:val="nil"/>
              <w:bottom w:val="single" w:sz="4" w:space="0" w:color="auto"/>
              <w:right w:val="nil"/>
            </w:tcBorders>
          </w:tcPr>
          <w:p w:rsidR="007537C0" w:rsidRPr="00B70CFC" w:rsidRDefault="007537C0" w:rsidP="00F23415">
            <w:pPr>
              <w:jc w:val="both"/>
              <w:rPr>
                <w:rFonts w:ascii="Arial Narrow" w:hAnsi="Arial Narrow" w:cs="Arial"/>
                <w:sz w:val="20"/>
                <w:szCs w:val="20"/>
              </w:rPr>
            </w:pP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 xml:space="preserve">Category / </w:t>
            </w:r>
          </w:p>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rPr>
                <w:rFonts w:ascii="Arial Narrow" w:hAnsi="Arial Narrow" w:cs="Arial"/>
                <w:sz w:val="20"/>
                <w:szCs w:val="20"/>
              </w:rPr>
            </w:pPr>
            <w:r w:rsidRPr="00B70CFC">
              <w:rPr>
                <w:rFonts w:ascii="Arial Narrow" w:hAnsi="Arial Narrow" w:cs="Arial"/>
                <w:sz w:val="20"/>
                <w:szCs w:val="20"/>
              </w:rPr>
              <w:t>Section 100 – Efficient funding of Chemotherapy</w:t>
            </w: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Prescriber type:</w:t>
            </w:r>
          </w:p>
          <w:p w:rsidR="007537C0" w:rsidRPr="00B70CFC" w:rsidRDefault="007537C0" w:rsidP="00F23415">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1"/>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Dental  </w:t>
            </w:r>
            <w:r w:rsidRPr="0047510D">
              <w:rPr>
                <w:rFonts w:ascii="Arial Narrow" w:hAnsi="Arial Narrow" w:cs="Arial"/>
                <w:sz w:val="20"/>
                <w:szCs w:val="20"/>
              </w:rPr>
              <w:fldChar w:fldCharType="begin">
                <w:ffData>
                  <w:name w:val=""/>
                  <w:enabled/>
                  <w:calcOnExit w:val="0"/>
                  <w:checkBox>
                    <w:sizeAuto/>
                    <w:default w:val="1"/>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Medical Practitioners  </w:t>
            </w:r>
            <w:r w:rsidRPr="0047510D">
              <w:rPr>
                <w:rFonts w:ascii="Arial Narrow" w:hAnsi="Arial Narrow" w:cs="Arial"/>
                <w:sz w:val="20"/>
                <w:szCs w:val="20"/>
              </w:rPr>
              <w:fldChar w:fldCharType="begin">
                <w:ffData>
                  <w:name w:val="Check3"/>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Nurse practitioners  </w:t>
            </w: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Optometrists</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Midwives</w:t>
            </w: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PBS Indication:</w:t>
            </w:r>
          </w:p>
          <w:p w:rsidR="007537C0" w:rsidRPr="00B70CFC" w:rsidRDefault="007537C0" w:rsidP="00F23415">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537C0" w:rsidRPr="00B70CFC" w:rsidRDefault="007537C0" w:rsidP="00F23415">
            <w:pPr>
              <w:rPr>
                <w:rFonts w:ascii="Arial Narrow" w:hAnsi="Arial Narrow" w:cs="Arial"/>
                <w:sz w:val="20"/>
                <w:szCs w:val="20"/>
              </w:rPr>
            </w:pPr>
            <w:r w:rsidRPr="00B70CFC">
              <w:rPr>
                <w:rFonts w:ascii="Arial Narrow" w:hAnsi="Arial Narrow" w:cs="Arial"/>
                <w:sz w:val="20"/>
                <w:szCs w:val="20"/>
              </w:rPr>
              <w:t>Metastatic breast cancer</w:t>
            </w: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Restriction Level / Method:</w:t>
            </w:r>
          </w:p>
          <w:p w:rsidR="007537C0" w:rsidRPr="00B70CFC" w:rsidRDefault="007537C0" w:rsidP="00F23415">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1"/>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Restricted benefit</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In Writing</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3"/>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Telephone</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Emergency</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Electronic</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1"/>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Streamlined</w:t>
            </w:r>
          </w:p>
        </w:tc>
      </w:tr>
    </w:tbl>
    <w:p w:rsidR="00C82E7C" w:rsidRPr="00B70CFC" w:rsidRDefault="00C82E7C" w:rsidP="00EA3CE1">
      <w:pPr>
        <w:spacing w:after="120"/>
        <w:rPr>
          <w:rFonts w:asciiTheme="minorHAnsi" w:eastAsiaTheme="minorHAnsi" w:hAnsiTheme="minorHAnsi" w:cstheme="minorHAnsi"/>
          <w:i/>
        </w:rPr>
      </w:pPr>
    </w:p>
    <w:tbl>
      <w:tblPr>
        <w:tblW w:w="9214" w:type="dxa"/>
        <w:tblInd w:w="108" w:type="dxa"/>
        <w:tblLayout w:type="fixed"/>
        <w:tblLook w:val="04A0" w:firstRow="1" w:lastRow="0" w:firstColumn="1" w:lastColumn="0" w:noHBand="0" w:noVBand="1"/>
      </w:tblPr>
      <w:tblGrid>
        <w:gridCol w:w="2835"/>
        <w:gridCol w:w="1560"/>
        <w:gridCol w:w="992"/>
        <w:gridCol w:w="567"/>
        <w:gridCol w:w="425"/>
        <w:gridCol w:w="1559"/>
        <w:gridCol w:w="1276"/>
      </w:tblGrid>
      <w:tr w:rsidR="007537C0" w:rsidRPr="00B70CFC" w:rsidTr="003E708A">
        <w:trPr>
          <w:cantSplit/>
          <w:trHeight w:val="471"/>
        </w:trPr>
        <w:tc>
          <w:tcPr>
            <w:tcW w:w="4395" w:type="dxa"/>
            <w:gridSpan w:val="2"/>
            <w:tcBorders>
              <w:top w:val="nil"/>
              <w:left w:val="nil"/>
              <w:bottom w:val="single" w:sz="4" w:space="0" w:color="auto"/>
              <w:right w:val="nil"/>
            </w:tcBorders>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Name, Restriction,</w:t>
            </w:r>
          </w:p>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Manner of administration and form</w:t>
            </w:r>
          </w:p>
        </w:tc>
        <w:tc>
          <w:tcPr>
            <w:tcW w:w="992" w:type="dxa"/>
            <w:tcBorders>
              <w:top w:val="nil"/>
              <w:left w:val="nil"/>
              <w:bottom w:val="single" w:sz="4" w:space="0" w:color="auto"/>
              <w:right w:val="nil"/>
            </w:tcBorders>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Max.</w:t>
            </w:r>
          </w:p>
          <w:p w:rsidR="007537C0" w:rsidRPr="00B70CFC" w:rsidRDefault="00517AAE" w:rsidP="00F23415">
            <w:pPr>
              <w:keepNext/>
              <w:ind w:left="-108"/>
              <w:jc w:val="both"/>
              <w:rPr>
                <w:rFonts w:ascii="Arial Narrow" w:hAnsi="Arial Narrow" w:cs="Arial"/>
                <w:sz w:val="20"/>
                <w:szCs w:val="20"/>
              </w:rPr>
            </w:pPr>
            <w:r>
              <w:rPr>
                <w:rFonts w:ascii="Arial Narrow" w:hAnsi="Arial Narrow" w:cs="Arial"/>
                <w:sz w:val="20"/>
                <w:szCs w:val="20"/>
              </w:rPr>
              <w:t>amount</w:t>
            </w:r>
          </w:p>
        </w:tc>
        <w:tc>
          <w:tcPr>
            <w:tcW w:w="567" w:type="dxa"/>
            <w:tcBorders>
              <w:top w:val="nil"/>
              <w:left w:val="nil"/>
              <w:bottom w:val="single" w:sz="4" w:space="0" w:color="auto"/>
              <w:right w:val="nil"/>
            </w:tcBorders>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№.of</w:t>
            </w:r>
          </w:p>
          <w:p w:rsidR="007537C0" w:rsidRPr="00B70CFC" w:rsidRDefault="007537C0" w:rsidP="00F23415">
            <w:pPr>
              <w:keepNext/>
              <w:ind w:left="-108"/>
              <w:jc w:val="both"/>
              <w:rPr>
                <w:rFonts w:ascii="Arial Narrow" w:hAnsi="Arial Narrow" w:cs="Arial"/>
                <w:sz w:val="20"/>
                <w:szCs w:val="20"/>
              </w:rPr>
            </w:pPr>
            <w:proofErr w:type="spellStart"/>
            <w:r w:rsidRPr="00B70CFC">
              <w:rPr>
                <w:rFonts w:ascii="Arial Narrow" w:hAnsi="Arial Narrow" w:cs="Arial"/>
                <w:sz w:val="20"/>
                <w:szCs w:val="20"/>
              </w:rPr>
              <w:t>Rpts</w:t>
            </w:r>
            <w:proofErr w:type="spellEnd"/>
          </w:p>
        </w:tc>
        <w:tc>
          <w:tcPr>
            <w:tcW w:w="425" w:type="dxa"/>
            <w:tcBorders>
              <w:top w:val="nil"/>
              <w:left w:val="nil"/>
              <w:bottom w:val="single" w:sz="4" w:space="0" w:color="auto"/>
              <w:right w:val="nil"/>
            </w:tcBorders>
          </w:tcPr>
          <w:p w:rsidR="007537C0" w:rsidRPr="00B70CFC" w:rsidRDefault="007537C0" w:rsidP="00F23415">
            <w:pPr>
              <w:keepNext/>
              <w:ind w:left="-108"/>
              <w:jc w:val="both"/>
              <w:rPr>
                <w:rFonts w:ascii="Arial Narrow" w:hAnsi="Arial Narrow" w:cs="Arial"/>
                <w:sz w:val="20"/>
                <w:szCs w:val="20"/>
              </w:rPr>
            </w:pPr>
          </w:p>
        </w:tc>
        <w:tc>
          <w:tcPr>
            <w:tcW w:w="2835" w:type="dxa"/>
            <w:gridSpan w:val="2"/>
            <w:tcBorders>
              <w:top w:val="nil"/>
              <w:left w:val="nil"/>
              <w:bottom w:val="single" w:sz="4" w:space="0" w:color="auto"/>
              <w:right w:val="nil"/>
            </w:tcBorders>
            <w:hideMark/>
          </w:tcPr>
          <w:p w:rsidR="007537C0" w:rsidRPr="0047510D" w:rsidRDefault="007537C0" w:rsidP="00F23415">
            <w:pPr>
              <w:keepNext/>
              <w:jc w:val="both"/>
              <w:rPr>
                <w:rFonts w:ascii="Arial Narrow" w:hAnsi="Arial Narrow" w:cs="Arial"/>
                <w:sz w:val="20"/>
                <w:szCs w:val="20"/>
              </w:rPr>
            </w:pPr>
            <w:r w:rsidRPr="00B70CFC">
              <w:rPr>
                <w:rFonts w:ascii="Arial Narrow" w:hAnsi="Arial Narrow" w:cs="Arial"/>
                <w:sz w:val="20"/>
                <w:szCs w:val="20"/>
              </w:rPr>
              <w:t>Proprietary Name and Manufacturer</w:t>
            </w:r>
          </w:p>
        </w:tc>
      </w:tr>
      <w:tr w:rsidR="007537C0" w:rsidRPr="00B70CFC" w:rsidTr="003E708A">
        <w:trPr>
          <w:cantSplit/>
          <w:trHeight w:val="577"/>
        </w:trPr>
        <w:tc>
          <w:tcPr>
            <w:tcW w:w="4395" w:type="dxa"/>
            <w:gridSpan w:val="2"/>
            <w:hideMark/>
          </w:tcPr>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mallCaps/>
                <w:sz w:val="20"/>
                <w:szCs w:val="20"/>
              </w:rPr>
              <w:t xml:space="preserve">PACLITAXEL, NANOPARTICLE ALBUMIN-BOUND, </w:t>
            </w:r>
            <w:r w:rsidRPr="00B70CFC">
              <w:rPr>
                <w:rFonts w:ascii="Arial Narrow" w:hAnsi="Arial Narrow" w:cs="Arial"/>
                <w:sz w:val="20"/>
                <w:szCs w:val="20"/>
              </w:rPr>
              <w:t>Powder for I.V. injection containing 250 mg paclitaxel</w:t>
            </w:r>
          </w:p>
        </w:tc>
        <w:tc>
          <w:tcPr>
            <w:tcW w:w="992" w:type="dxa"/>
          </w:tcPr>
          <w:p w:rsidR="007537C0" w:rsidRPr="00B70CFC" w:rsidRDefault="007537C0" w:rsidP="00F23415">
            <w:pPr>
              <w:keepNext/>
              <w:ind w:left="-108"/>
              <w:jc w:val="both"/>
              <w:rPr>
                <w:rFonts w:ascii="Arial Narrow" w:hAnsi="Arial Narrow" w:cs="Arial"/>
                <w:sz w:val="20"/>
                <w:szCs w:val="20"/>
              </w:rPr>
            </w:pPr>
          </w:p>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580</w:t>
            </w:r>
            <w:r w:rsidR="00517AAE">
              <w:rPr>
                <w:rFonts w:ascii="Arial Narrow" w:hAnsi="Arial Narrow" w:cs="Arial"/>
                <w:sz w:val="20"/>
                <w:szCs w:val="20"/>
              </w:rPr>
              <w:t> </w:t>
            </w:r>
            <w:r w:rsidRPr="00B70CFC">
              <w:rPr>
                <w:rFonts w:ascii="Arial Narrow" w:hAnsi="Arial Narrow" w:cs="Arial"/>
                <w:sz w:val="20"/>
                <w:szCs w:val="20"/>
              </w:rPr>
              <w:t>mg</w:t>
            </w:r>
          </w:p>
        </w:tc>
        <w:tc>
          <w:tcPr>
            <w:tcW w:w="567" w:type="dxa"/>
          </w:tcPr>
          <w:p w:rsidR="007537C0" w:rsidRPr="00B70CFC" w:rsidRDefault="007537C0" w:rsidP="00F23415">
            <w:pPr>
              <w:keepNext/>
              <w:ind w:left="-108"/>
              <w:jc w:val="both"/>
              <w:rPr>
                <w:rFonts w:ascii="Arial Narrow" w:hAnsi="Arial Narrow" w:cs="Arial"/>
                <w:sz w:val="20"/>
                <w:szCs w:val="20"/>
              </w:rPr>
            </w:pPr>
          </w:p>
          <w:p w:rsidR="007537C0" w:rsidRPr="00B70CFC" w:rsidRDefault="007537C0" w:rsidP="00F23415">
            <w:pPr>
              <w:keepNext/>
              <w:ind w:left="-108"/>
              <w:jc w:val="both"/>
              <w:rPr>
                <w:rFonts w:ascii="Arial Narrow" w:hAnsi="Arial Narrow" w:cs="Arial"/>
                <w:sz w:val="20"/>
                <w:szCs w:val="20"/>
              </w:rPr>
            </w:pPr>
            <w:r w:rsidRPr="00B70CFC">
              <w:rPr>
                <w:rFonts w:ascii="Arial Narrow" w:hAnsi="Arial Narrow" w:cs="Arial"/>
                <w:sz w:val="20"/>
                <w:szCs w:val="20"/>
              </w:rPr>
              <w:t>5</w:t>
            </w:r>
          </w:p>
        </w:tc>
        <w:tc>
          <w:tcPr>
            <w:tcW w:w="425" w:type="dxa"/>
          </w:tcPr>
          <w:p w:rsidR="007537C0" w:rsidRPr="00B70CFC" w:rsidRDefault="007537C0" w:rsidP="00F23415">
            <w:pPr>
              <w:keepNext/>
              <w:ind w:left="-108"/>
              <w:jc w:val="both"/>
              <w:rPr>
                <w:rFonts w:ascii="Arial Narrow" w:hAnsi="Arial Narrow" w:cs="Arial"/>
                <w:sz w:val="20"/>
                <w:szCs w:val="20"/>
              </w:rPr>
            </w:pPr>
          </w:p>
        </w:tc>
        <w:tc>
          <w:tcPr>
            <w:tcW w:w="1559" w:type="dxa"/>
            <w:hideMark/>
          </w:tcPr>
          <w:p w:rsidR="007537C0" w:rsidRPr="00B70CFC" w:rsidRDefault="007537C0" w:rsidP="00F23415">
            <w:pPr>
              <w:keepNext/>
              <w:jc w:val="both"/>
              <w:rPr>
                <w:rFonts w:ascii="Arial Narrow" w:hAnsi="Arial Narrow" w:cs="Arial"/>
                <w:sz w:val="20"/>
                <w:szCs w:val="20"/>
              </w:rPr>
            </w:pPr>
            <w:proofErr w:type="spellStart"/>
            <w:r w:rsidRPr="00B70CFC">
              <w:rPr>
                <w:rFonts w:ascii="Arial Narrow" w:hAnsi="Arial Narrow" w:cs="Arial"/>
                <w:sz w:val="20"/>
                <w:szCs w:val="20"/>
              </w:rPr>
              <w:t>Abraxane</w:t>
            </w:r>
            <w:proofErr w:type="spellEnd"/>
          </w:p>
        </w:tc>
        <w:tc>
          <w:tcPr>
            <w:tcW w:w="1276" w:type="dxa"/>
            <w:hideMark/>
          </w:tcPr>
          <w:p w:rsidR="007537C0" w:rsidRPr="00B70CFC" w:rsidRDefault="007537C0" w:rsidP="00517AAE">
            <w:pPr>
              <w:keepNext/>
              <w:jc w:val="both"/>
              <w:rPr>
                <w:rFonts w:ascii="Arial Narrow" w:hAnsi="Arial Narrow" w:cs="Arial"/>
                <w:sz w:val="20"/>
                <w:szCs w:val="20"/>
              </w:rPr>
            </w:pPr>
            <w:r w:rsidRPr="00B70CFC">
              <w:rPr>
                <w:rFonts w:ascii="Arial Narrow" w:hAnsi="Arial Narrow" w:cs="Arial"/>
                <w:sz w:val="20"/>
                <w:szCs w:val="20"/>
              </w:rPr>
              <w:t>Specialised Therapeutics Pty Ltd</w:t>
            </w:r>
          </w:p>
        </w:tc>
      </w:tr>
      <w:tr w:rsidR="007537C0" w:rsidRPr="00B70CFC" w:rsidTr="00F23415">
        <w:trPr>
          <w:cantSplit/>
          <w:trHeight w:val="360"/>
        </w:trPr>
        <w:tc>
          <w:tcPr>
            <w:tcW w:w="9214" w:type="dxa"/>
            <w:gridSpan w:val="7"/>
            <w:tcBorders>
              <w:top w:val="nil"/>
              <w:left w:val="nil"/>
              <w:bottom w:val="single" w:sz="4" w:space="0" w:color="auto"/>
              <w:right w:val="nil"/>
            </w:tcBorders>
          </w:tcPr>
          <w:p w:rsidR="007537C0" w:rsidRPr="00B70CFC" w:rsidRDefault="007537C0" w:rsidP="00F23415">
            <w:pPr>
              <w:jc w:val="both"/>
              <w:rPr>
                <w:rFonts w:ascii="Arial Narrow" w:hAnsi="Arial Narrow" w:cs="Arial"/>
                <w:sz w:val="20"/>
                <w:szCs w:val="20"/>
              </w:rPr>
            </w:pP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 xml:space="preserve">Category / </w:t>
            </w:r>
          </w:p>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rPr>
                <w:rFonts w:ascii="Arial Narrow" w:hAnsi="Arial Narrow" w:cs="Arial"/>
                <w:sz w:val="20"/>
                <w:szCs w:val="20"/>
              </w:rPr>
            </w:pPr>
            <w:r w:rsidRPr="00B70CFC">
              <w:rPr>
                <w:rFonts w:ascii="Arial Narrow" w:hAnsi="Arial Narrow" w:cs="Arial"/>
                <w:sz w:val="20"/>
                <w:szCs w:val="20"/>
              </w:rPr>
              <w:t>Section 100 – Efficient funding of Chemotherapy</w:t>
            </w: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Prescriber type:</w:t>
            </w:r>
          </w:p>
          <w:p w:rsidR="007537C0" w:rsidRPr="00B70CFC" w:rsidRDefault="007537C0" w:rsidP="00F23415">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1"/>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Dental  </w:t>
            </w:r>
            <w:r w:rsidRPr="0047510D">
              <w:rPr>
                <w:rFonts w:ascii="Arial Narrow" w:hAnsi="Arial Narrow" w:cs="Arial"/>
                <w:sz w:val="20"/>
                <w:szCs w:val="20"/>
              </w:rPr>
              <w:fldChar w:fldCharType="begin">
                <w:ffData>
                  <w:name w:val=""/>
                  <w:enabled/>
                  <w:calcOnExit w:val="0"/>
                  <w:checkBox>
                    <w:sizeAuto/>
                    <w:default w:val="1"/>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Medical Practitioners  </w:t>
            </w:r>
            <w:r w:rsidRPr="0047510D">
              <w:rPr>
                <w:rFonts w:ascii="Arial Narrow" w:hAnsi="Arial Narrow" w:cs="Arial"/>
                <w:sz w:val="20"/>
                <w:szCs w:val="20"/>
              </w:rPr>
              <w:fldChar w:fldCharType="begin">
                <w:ffData>
                  <w:name w:val="Check3"/>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 xml:space="preserve">Nurse practitioners  </w:t>
            </w: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Optometrists</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Midwives</w:t>
            </w: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37C0" w:rsidRPr="00D73E83" w:rsidRDefault="007537C0" w:rsidP="00F23415">
            <w:pPr>
              <w:jc w:val="both"/>
              <w:rPr>
                <w:rFonts w:ascii="Arial Narrow" w:hAnsi="Arial Narrow" w:cs="Arial"/>
                <w:b/>
                <w:sz w:val="20"/>
                <w:szCs w:val="20"/>
              </w:rPr>
            </w:pPr>
            <w:r w:rsidRPr="00B70CFC">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t>HER2 positive breast cancer</w:t>
            </w:r>
          </w:p>
        </w:tc>
      </w:tr>
      <w:tr w:rsidR="007537C0" w:rsidRPr="00B70CFC" w:rsidTr="00F2341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37C0" w:rsidRPr="00B70CFC" w:rsidRDefault="007537C0" w:rsidP="00F23415">
            <w:pPr>
              <w:jc w:val="both"/>
              <w:rPr>
                <w:rFonts w:ascii="Arial Narrow" w:hAnsi="Arial Narrow" w:cs="Arial"/>
                <w:b/>
                <w:sz w:val="20"/>
                <w:szCs w:val="20"/>
              </w:rPr>
            </w:pPr>
            <w:r w:rsidRPr="00B70CFC">
              <w:rPr>
                <w:rFonts w:ascii="Arial Narrow" w:hAnsi="Arial Narrow" w:cs="Arial"/>
                <w:b/>
                <w:sz w:val="20"/>
                <w:szCs w:val="20"/>
              </w:rPr>
              <w:t>Restriction Level / Method:</w:t>
            </w:r>
          </w:p>
          <w:p w:rsidR="007537C0" w:rsidRPr="00B70CFC" w:rsidRDefault="007537C0" w:rsidP="00F23415">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1"/>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Restricted benefit</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In Writing</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3"/>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Telephone</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Emergency</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0"/>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Authority Required - Electronic</w:t>
            </w:r>
          </w:p>
          <w:p w:rsidR="007537C0" w:rsidRPr="00B70CFC" w:rsidRDefault="007537C0" w:rsidP="00F23415">
            <w:pPr>
              <w:rPr>
                <w:rFonts w:ascii="Arial Narrow" w:hAnsi="Arial Narrow" w:cs="Arial"/>
                <w:sz w:val="20"/>
                <w:szCs w:val="20"/>
              </w:rPr>
            </w:pPr>
            <w:r w:rsidRPr="0047510D">
              <w:rPr>
                <w:rFonts w:ascii="Arial Narrow" w:hAnsi="Arial Narrow" w:cs="Arial"/>
                <w:sz w:val="20"/>
                <w:szCs w:val="20"/>
              </w:rPr>
              <w:fldChar w:fldCharType="begin">
                <w:ffData>
                  <w:name w:val="Check5"/>
                  <w:enabled/>
                  <w:calcOnExit w:val="0"/>
                  <w:checkBox>
                    <w:sizeAuto/>
                    <w:default w:val="1"/>
                  </w:checkBox>
                </w:ffData>
              </w:fldChar>
            </w:r>
            <w:r w:rsidRPr="00B70CFC">
              <w:rPr>
                <w:rFonts w:ascii="Arial Narrow" w:hAnsi="Arial Narrow" w:cs="Arial"/>
                <w:sz w:val="20"/>
                <w:szCs w:val="20"/>
              </w:rPr>
              <w:instrText xml:space="preserve"> FORMCHECKBOX </w:instrText>
            </w:r>
            <w:r w:rsidR="0050617F">
              <w:rPr>
                <w:rFonts w:ascii="Arial Narrow" w:hAnsi="Arial Narrow" w:cs="Arial"/>
                <w:sz w:val="20"/>
                <w:szCs w:val="20"/>
              </w:rPr>
            </w:r>
            <w:r w:rsidR="0050617F">
              <w:rPr>
                <w:rFonts w:ascii="Arial Narrow" w:hAnsi="Arial Narrow" w:cs="Arial"/>
                <w:sz w:val="20"/>
                <w:szCs w:val="20"/>
              </w:rPr>
              <w:fldChar w:fldCharType="separate"/>
            </w:r>
            <w:r w:rsidRPr="0047510D">
              <w:rPr>
                <w:rFonts w:ascii="Arial Narrow" w:hAnsi="Arial Narrow" w:cs="Arial"/>
                <w:sz w:val="20"/>
                <w:szCs w:val="20"/>
              </w:rPr>
              <w:fldChar w:fldCharType="end"/>
            </w:r>
            <w:r w:rsidRPr="00B70CFC">
              <w:rPr>
                <w:rFonts w:ascii="Arial Narrow" w:hAnsi="Arial Narrow" w:cs="Arial"/>
                <w:sz w:val="20"/>
                <w:szCs w:val="20"/>
              </w:rPr>
              <w:t>Streamlined</w:t>
            </w:r>
          </w:p>
        </w:tc>
      </w:tr>
    </w:tbl>
    <w:p w:rsidR="00C34D77" w:rsidRPr="00C07617" w:rsidRDefault="00C34D77" w:rsidP="00316B9E">
      <w:pPr>
        <w:pStyle w:val="Heading1"/>
        <w:keepNext/>
        <w:keepLines/>
        <w:widowControl/>
        <w:numPr>
          <w:ilvl w:val="0"/>
          <w:numId w:val="5"/>
        </w:numPr>
        <w:spacing w:before="240" w:after="120"/>
        <w:ind w:left="709" w:hanging="709"/>
        <w:contextualSpacing w:val="0"/>
        <w:jc w:val="left"/>
        <w:rPr>
          <w:rFonts w:asciiTheme="minorHAnsi" w:hAnsiTheme="minorHAnsi"/>
          <w:b w:val="0"/>
          <w:sz w:val="32"/>
        </w:rPr>
      </w:pPr>
      <w:r w:rsidRPr="00C07617">
        <w:rPr>
          <w:rFonts w:asciiTheme="minorHAnsi" w:hAnsiTheme="minorHAnsi"/>
          <w:sz w:val="32"/>
        </w:rPr>
        <w:t xml:space="preserve">Context </w:t>
      </w:r>
      <w:r w:rsidRPr="00C34D77">
        <w:rPr>
          <w:rFonts w:asciiTheme="minorHAnsi" w:hAnsiTheme="minorHAnsi"/>
          <w:sz w:val="32"/>
          <w:szCs w:val="32"/>
        </w:rPr>
        <w:t>for</w:t>
      </w:r>
      <w:r w:rsidRPr="00C07617">
        <w:rPr>
          <w:rFonts w:asciiTheme="minorHAnsi" w:hAnsiTheme="minorHAnsi"/>
          <w:sz w:val="32"/>
        </w:rPr>
        <w:t xml:space="preserve"> Decision</w:t>
      </w:r>
    </w:p>
    <w:p w:rsidR="00C34D77" w:rsidRPr="007715CC" w:rsidRDefault="00C34D77" w:rsidP="007715CC">
      <w:pPr>
        <w:widowControl w:val="0"/>
        <w:spacing w:after="120"/>
        <w:ind w:left="720"/>
        <w:jc w:val="both"/>
        <w:rPr>
          <w:rFonts w:asciiTheme="minorHAnsi" w:hAnsiTheme="minorHAnsi" w:cs="Arial"/>
          <w:bCs/>
          <w:snapToGrid w:val="0"/>
          <w:lang w:eastAsia="en-US"/>
        </w:rPr>
      </w:pPr>
      <w:r w:rsidRPr="007715CC">
        <w:rPr>
          <w:rFonts w:asciiTheme="minorHAnsi" w:hAnsiTheme="minorHAnsi" w:cs="Arial"/>
          <w:bCs/>
          <w:snapToGrid w:val="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34D77" w:rsidRPr="00C07617" w:rsidRDefault="00C34D77" w:rsidP="00316B9E">
      <w:pPr>
        <w:pStyle w:val="Heading1"/>
        <w:keepNext/>
        <w:keepLines/>
        <w:widowControl/>
        <w:numPr>
          <w:ilvl w:val="0"/>
          <w:numId w:val="5"/>
        </w:numPr>
        <w:spacing w:before="240" w:after="120"/>
        <w:ind w:left="709" w:hanging="709"/>
        <w:contextualSpacing w:val="0"/>
        <w:jc w:val="left"/>
        <w:rPr>
          <w:rFonts w:asciiTheme="minorHAnsi" w:hAnsiTheme="minorHAnsi"/>
          <w:b w:val="0"/>
          <w:sz w:val="32"/>
        </w:rPr>
      </w:pPr>
      <w:r>
        <w:rPr>
          <w:rFonts w:asciiTheme="minorHAnsi" w:hAnsiTheme="minorHAnsi"/>
          <w:sz w:val="32"/>
        </w:rPr>
        <w:lastRenderedPageBreak/>
        <w:t>Sponsor’s Comment</w:t>
      </w:r>
    </w:p>
    <w:p w:rsidR="00C34D77" w:rsidRPr="007715CC" w:rsidRDefault="00C34D77" w:rsidP="0050617F">
      <w:pPr>
        <w:widowControl w:val="0"/>
        <w:spacing w:after="120"/>
        <w:ind w:left="720"/>
        <w:jc w:val="both"/>
        <w:rPr>
          <w:rFonts w:asciiTheme="minorHAnsi" w:hAnsiTheme="minorHAnsi" w:cs="Arial"/>
          <w:bCs/>
          <w:snapToGrid w:val="0"/>
          <w:lang w:eastAsia="en-US"/>
        </w:rPr>
      </w:pPr>
      <w:r w:rsidRPr="007715CC">
        <w:rPr>
          <w:rFonts w:asciiTheme="minorHAnsi" w:hAnsiTheme="minorHAnsi" w:cs="Arial"/>
          <w:bCs/>
          <w:snapToGrid w:val="0"/>
          <w:lang w:eastAsia="en-US"/>
        </w:rPr>
        <w:t>The sponsor had no comment.</w:t>
      </w:r>
      <w:bookmarkStart w:id="2" w:name="_GoBack"/>
      <w:bookmarkEnd w:id="2"/>
    </w:p>
    <w:sectPr w:rsidR="00C34D77" w:rsidRPr="007715C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0D" w:rsidRDefault="000B270D">
      <w:r>
        <w:separator/>
      </w:r>
    </w:p>
    <w:p w:rsidR="000B270D" w:rsidRDefault="000B270D"/>
  </w:endnote>
  <w:endnote w:type="continuationSeparator" w:id="0">
    <w:p w:rsidR="000B270D" w:rsidRDefault="000B270D">
      <w:r>
        <w:continuationSeparator/>
      </w:r>
    </w:p>
    <w:p w:rsidR="000B270D" w:rsidRDefault="000B2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6204" w:rsidTr="005A3173">
      <w:trPr>
        <w:trHeight w:val="151"/>
      </w:trPr>
      <w:tc>
        <w:tcPr>
          <w:tcW w:w="2250" w:type="pct"/>
          <w:tcBorders>
            <w:top w:val="nil"/>
            <w:left w:val="nil"/>
            <w:bottom w:val="single" w:sz="4" w:space="0" w:color="4F81BD"/>
            <w:right w:val="nil"/>
          </w:tcBorders>
        </w:tcPr>
        <w:p w:rsidR="00E56204" w:rsidRPr="005A3173" w:rsidRDefault="00E562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6204" w:rsidRPr="005A3173" w:rsidRDefault="00E562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6204" w:rsidRPr="005A3173" w:rsidRDefault="00E56204" w:rsidP="005A3173">
          <w:pPr>
            <w:pStyle w:val="Header"/>
            <w:spacing w:line="276" w:lineRule="auto"/>
            <w:rPr>
              <w:rFonts w:ascii="Calibri" w:eastAsia="MS Gothic" w:hAnsi="Calibri"/>
              <w:b/>
              <w:bCs/>
              <w:color w:val="4F81BD"/>
            </w:rPr>
          </w:pPr>
        </w:p>
      </w:tc>
    </w:tr>
    <w:tr w:rsidR="00E56204" w:rsidTr="005A3173">
      <w:trPr>
        <w:trHeight w:val="150"/>
      </w:trPr>
      <w:tc>
        <w:tcPr>
          <w:tcW w:w="2250" w:type="pct"/>
          <w:tcBorders>
            <w:top w:val="single" w:sz="4" w:space="0" w:color="4F81BD"/>
            <w:left w:val="nil"/>
            <w:bottom w:val="nil"/>
            <w:right w:val="nil"/>
          </w:tcBorders>
        </w:tcPr>
        <w:p w:rsidR="00E56204" w:rsidRPr="005A3173" w:rsidRDefault="00E56204" w:rsidP="005A3173">
          <w:pPr>
            <w:pStyle w:val="Header"/>
            <w:spacing w:line="276" w:lineRule="auto"/>
            <w:rPr>
              <w:rFonts w:ascii="Calibri" w:eastAsia="MS Gothic" w:hAnsi="Calibri"/>
              <w:b/>
              <w:bCs/>
              <w:color w:val="4F81BD"/>
            </w:rPr>
          </w:pPr>
        </w:p>
      </w:tc>
      <w:tc>
        <w:tcPr>
          <w:tcW w:w="0" w:type="auto"/>
          <w:vMerge/>
          <w:vAlign w:val="center"/>
          <w:hideMark/>
        </w:tcPr>
        <w:p w:rsidR="00E56204" w:rsidRPr="005A3173" w:rsidRDefault="00E5620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6204" w:rsidRPr="005A3173" w:rsidRDefault="00E56204" w:rsidP="005A3173">
          <w:pPr>
            <w:pStyle w:val="Header"/>
            <w:spacing w:line="276" w:lineRule="auto"/>
            <w:rPr>
              <w:rFonts w:ascii="Calibri" w:eastAsia="MS Gothic" w:hAnsi="Calibri"/>
              <w:b/>
              <w:bCs/>
              <w:color w:val="4F81BD"/>
            </w:rPr>
          </w:pPr>
        </w:p>
      </w:tc>
    </w:tr>
  </w:tbl>
  <w:p w:rsidR="00E56204" w:rsidRDefault="00E5620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6204" w:rsidRDefault="00E56204">
    <w:pPr>
      <w:pStyle w:val="Footer"/>
    </w:pPr>
  </w:p>
  <w:p w:rsidR="00E56204" w:rsidRDefault="00E562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4529"/>
      <w:docPartObj>
        <w:docPartGallery w:val="Page Numbers (Bottom of Page)"/>
        <w:docPartUnique/>
      </w:docPartObj>
    </w:sdtPr>
    <w:sdtEndPr>
      <w:rPr>
        <w:rFonts w:asciiTheme="minorHAnsi" w:hAnsiTheme="minorHAnsi" w:cstheme="minorHAnsi"/>
        <w:b/>
        <w:noProof/>
        <w:sz w:val="20"/>
      </w:rPr>
    </w:sdtEndPr>
    <w:sdtContent>
      <w:p w:rsidR="00352799" w:rsidRPr="00D73E83" w:rsidRDefault="00352799" w:rsidP="00352799">
        <w:pPr>
          <w:pStyle w:val="Footer"/>
          <w:jc w:val="center"/>
        </w:pPr>
      </w:p>
      <w:p w:rsidR="00E56204" w:rsidRPr="00352799" w:rsidRDefault="00E56204" w:rsidP="00352799">
        <w:pPr>
          <w:pStyle w:val="Footer"/>
          <w:jc w:val="center"/>
          <w:rPr>
            <w:rFonts w:asciiTheme="minorHAnsi" w:hAnsiTheme="minorHAnsi" w:cstheme="minorHAnsi"/>
            <w:b/>
            <w:sz w:val="20"/>
          </w:rPr>
        </w:pPr>
        <w:r w:rsidRPr="00D73E83">
          <w:rPr>
            <w:rFonts w:asciiTheme="minorHAnsi" w:hAnsiTheme="minorHAnsi" w:cstheme="minorHAnsi"/>
            <w:b/>
          </w:rPr>
          <w:fldChar w:fldCharType="begin"/>
        </w:r>
        <w:r w:rsidRPr="00D73E83">
          <w:rPr>
            <w:rFonts w:asciiTheme="minorHAnsi" w:hAnsiTheme="minorHAnsi" w:cstheme="minorHAnsi"/>
            <w:b/>
          </w:rPr>
          <w:instrText xml:space="preserve"> PAGE   \* MERGEFORMAT </w:instrText>
        </w:r>
        <w:r w:rsidRPr="00D73E83">
          <w:rPr>
            <w:rFonts w:asciiTheme="minorHAnsi" w:hAnsiTheme="minorHAnsi" w:cstheme="minorHAnsi"/>
            <w:b/>
          </w:rPr>
          <w:fldChar w:fldCharType="separate"/>
        </w:r>
        <w:r w:rsidR="0050617F">
          <w:rPr>
            <w:rFonts w:asciiTheme="minorHAnsi" w:hAnsiTheme="minorHAnsi" w:cstheme="minorHAnsi"/>
            <w:b/>
            <w:noProof/>
          </w:rPr>
          <w:t>7</w:t>
        </w:r>
        <w:r w:rsidRPr="00D73E83">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56204" w:rsidTr="005A3173">
      <w:trPr>
        <w:trHeight w:val="151"/>
      </w:trPr>
      <w:tc>
        <w:tcPr>
          <w:tcW w:w="2250" w:type="pct"/>
          <w:tcBorders>
            <w:top w:val="nil"/>
            <w:left w:val="nil"/>
            <w:bottom w:val="single" w:sz="4" w:space="0" w:color="4F81BD"/>
            <w:right w:val="nil"/>
          </w:tcBorders>
        </w:tcPr>
        <w:p w:rsidR="00E56204" w:rsidRPr="005A3173" w:rsidRDefault="00E562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6204" w:rsidRPr="005A3173" w:rsidRDefault="00E562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6204" w:rsidRPr="005A3173" w:rsidRDefault="00E56204" w:rsidP="005A3173">
          <w:pPr>
            <w:pStyle w:val="Header"/>
            <w:spacing w:line="276" w:lineRule="auto"/>
            <w:rPr>
              <w:rFonts w:ascii="Calibri" w:eastAsia="MS Gothic" w:hAnsi="Calibri"/>
              <w:b/>
              <w:bCs/>
              <w:color w:val="4F81BD"/>
            </w:rPr>
          </w:pPr>
        </w:p>
      </w:tc>
    </w:tr>
    <w:tr w:rsidR="00E56204" w:rsidTr="005A3173">
      <w:trPr>
        <w:trHeight w:val="150"/>
      </w:trPr>
      <w:tc>
        <w:tcPr>
          <w:tcW w:w="2250" w:type="pct"/>
          <w:tcBorders>
            <w:top w:val="single" w:sz="4" w:space="0" w:color="4F81BD"/>
            <w:left w:val="nil"/>
            <w:bottom w:val="nil"/>
            <w:right w:val="nil"/>
          </w:tcBorders>
        </w:tcPr>
        <w:p w:rsidR="00E56204" w:rsidRPr="005A3173" w:rsidRDefault="00E56204" w:rsidP="005A3173">
          <w:pPr>
            <w:pStyle w:val="Header"/>
            <w:spacing w:line="276" w:lineRule="auto"/>
            <w:rPr>
              <w:rFonts w:ascii="Calibri" w:eastAsia="MS Gothic" w:hAnsi="Calibri"/>
              <w:b/>
              <w:bCs/>
              <w:color w:val="4F81BD"/>
            </w:rPr>
          </w:pPr>
        </w:p>
      </w:tc>
      <w:tc>
        <w:tcPr>
          <w:tcW w:w="0" w:type="auto"/>
          <w:vMerge/>
          <w:vAlign w:val="center"/>
          <w:hideMark/>
        </w:tcPr>
        <w:p w:rsidR="00E56204" w:rsidRPr="005A3173" w:rsidRDefault="00E5620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6204" w:rsidRPr="005A3173" w:rsidRDefault="00E5620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6204" w:rsidTr="005A3173">
      <w:trPr>
        <w:trHeight w:val="151"/>
      </w:trPr>
      <w:tc>
        <w:tcPr>
          <w:tcW w:w="2250" w:type="pct"/>
          <w:tcBorders>
            <w:top w:val="nil"/>
            <w:left w:val="nil"/>
            <w:bottom w:val="single" w:sz="4" w:space="0" w:color="4F81BD"/>
            <w:right w:val="nil"/>
          </w:tcBorders>
        </w:tcPr>
        <w:p w:rsidR="00E56204" w:rsidRPr="005A3173" w:rsidRDefault="00E562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6204" w:rsidRPr="005A3173" w:rsidRDefault="00E562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6204" w:rsidRPr="005A3173" w:rsidRDefault="00E56204" w:rsidP="005A3173">
          <w:pPr>
            <w:pStyle w:val="Header"/>
            <w:spacing w:line="276" w:lineRule="auto"/>
            <w:rPr>
              <w:rFonts w:ascii="Calibri" w:eastAsia="MS Gothic" w:hAnsi="Calibri"/>
              <w:b/>
              <w:bCs/>
              <w:color w:val="4F81BD"/>
            </w:rPr>
          </w:pPr>
        </w:p>
      </w:tc>
    </w:tr>
    <w:tr w:rsidR="00E56204" w:rsidTr="005A3173">
      <w:trPr>
        <w:trHeight w:val="150"/>
      </w:trPr>
      <w:tc>
        <w:tcPr>
          <w:tcW w:w="2250" w:type="pct"/>
          <w:tcBorders>
            <w:top w:val="single" w:sz="4" w:space="0" w:color="4F81BD"/>
            <w:left w:val="nil"/>
            <w:bottom w:val="nil"/>
            <w:right w:val="nil"/>
          </w:tcBorders>
        </w:tcPr>
        <w:p w:rsidR="00E56204" w:rsidRPr="005A3173" w:rsidRDefault="00E56204" w:rsidP="005A3173">
          <w:pPr>
            <w:pStyle w:val="Header"/>
            <w:spacing w:line="276" w:lineRule="auto"/>
            <w:rPr>
              <w:rFonts w:ascii="Calibri" w:eastAsia="MS Gothic" w:hAnsi="Calibri"/>
              <w:b/>
              <w:bCs/>
              <w:color w:val="4F81BD"/>
            </w:rPr>
          </w:pPr>
        </w:p>
      </w:tc>
      <w:tc>
        <w:tcPr>
          <w:tcW w:w="0" w:type="auto"/>
          <w:vMerge/>
          <w:vAlign w:val="center"/>
          <w:hideMark/>
        </w:tcPr>
        <w:p w:rsidR="00E56204" w:rsidRPr="005A3173" w:rsidRDefault="00E5620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6204" w:rsidRPr="005A3173" w:rsidRDefault="00E56204" w:rsidP="005A3173">
          <w:pPr>
            <w:pStyle w:val="Header"/>
            <w:spacing w:line="276" w:lineRule="auto"/>
            <w:rPr>
              <w:rFonts w:ascii="Calibri" w:eastAsia="MS Gothic" w:hAnsi="Calibri"/>
              <w:b/>
              <w:bCs/>
              <w:color w:val="4F81BD"/>
            </w:rPr>
          </w:pPr>
        </w:p>
      </w:tc>
    </w:tr>
  </w:tbl>
  <w:p w:rsidR="00E56204" w:rsidRPr="007C0F57" w:rsidRDefault="00E5620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56204" w:rsidRPr="007C0F57" w:rsidRDefault="00E56204" w:rsidP="007C0F57">
    <w:pPr>
      <w:pStyle w:val="Footer"/>
      <w:jc w:val="center"/>
      <w:rPr>
        <w:b/>
        <w:i/>
        <w:sz w:val="20"/>
        <w:szCs w:val="20"/>
      </w:rPr>
    </w:pPr>
    <w:r w:rsidRPr="007C0F57">
      <w:rPr>
        <w:b/>
        <w:i/>
        <w:sz w:val="20"/>
        <w:szCs w:val="20"/>
      </w:rPr>
      <w:t>Commercial-in-Confidence</w:t>
    </w:r>
  </w:p>
  <w:p w:rsidR="00E56204" w:rsidRDefault="00E562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0D" w:rsidRDefault="000B270D">
      <w:r>
        <w:separator/>
      </w:r>
    </w:p>
    <w:p w:rsidR="000B270D" w:rsidRDefault="000B270D"/>
  </w:footnote>
  <w:footnote w:type="continuationSeparator" w:id="0">
    <w:p w:rsidR="000B270D" w:rsidRDefault="000B270D">
      <w:r>
        <w:continuationSeparator/>
      </w:r>
    </w:p>
    <w:p w:rsidR="000B270D" w:rsidRDefault="000B27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56204" w:rsidRPr="008E0D90" w:rsidTr="00A06225">
      <w:trPr>
        <w:trHeight w:val="151"/>
      </w:trPr>
      <w:tc>
        <w:tcPr>
          <w:tcW w:w="2389" w:type="pct"/>
          <w:tcBorders>
            <w:top w:val="nil"/>
            <w:left w:val="nil"/>
            <w:bottom w:val="single" w:sz="4" w:space="0" w:color="4F81BD"/>
            <w:right w:val="nil"/>
          </w:tcBorders>
        </w:tcPr>
        <w:p w:rsidR="00E56204" w:rsidRPr="00A06225" w:rsidRDefault="00E56204">
          <w:pPr>
            <w:pStyle w:val="Header"/>
            <w:spacing w:line="276" w:lineRule="auto"/>
            <w:rPr>
              <w:rFonts w:ascii="Cambria" w:eastAsia="MS Gothic" w:hAnsi="Cambria"/>
              <w:b/>
              <w:bCs/>
              <w:color w:val="4F81BD"/>
            </w:rPr>
          </w:pPr>
        </w:p>
      </w:tc>
      <w:tc>
        <w:tcPr>
          <w:tcW w:w="333" w:type="pct"/>
          <w:vMerge w:val="restart"/>
          <w:noWrap/>
          <w:vAlign w:val="center"/>
          <w:hideMark/>
        </w:tcPr>
        <w:p w:rsidR="00E56204" w:rsidRPr="00A06225" w:rsidRDefault="00E5620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56204" w:rsidRPr="00A06225" w:rsidRDefault="00E56204">
          <w:pPr>
            <w:pStyle w:val="Header"/>
            <w:spacing w:line="276" w:lineRule="auto"/>
            <w:rPr>
              <w:rFonts w:ascii="Cambria" w:eastAsia="MS Gothic" w:hAnsi="Cambria"/>
              <w:b/>
              <w:bCs/>
              <w:color w:val="4F81BD"/>
            </w:rPr>
          </w:pPr>
        </w:p>
      </w:tc>
    </w:tr>
    <w:tr w:rsidR="00E56204" w:rsidRPr="008E0D90" w:rsidTr="00A06225">
      <w:trPr>
        <w:trHeight w:val="150"/>
      </w:trPr>
      <w:tc>
        <w:tcPr>
          <w:tcW w:w="2389" w:type="pct"/>
          <w:tcBorders>
            <w:top w:val="single" w:sz="4" w:space="0" w:color="4F81BD"/>
            <w:left w:val="nil"/>
            <w:bottom w:val="nil"/>
            <w:right w:val="nil"/>
          </w:tcBorders>
        </w:tcPr>
        <w:p w:rsidR="00E56204" w:rsidRPr="00A06225" w:rsidRDefault="00E56204">
          <w:pPr>
            <w:pStyle w:val="Header"/>
            <w:spacing w:line="276" w:lineRule="auto"/>
            <w:rPr>
              <w:rFonts w:ascii="Cambria" w:eastAsia="MS Gothic" w:hAnsi="Cambria"/>
              <w:b/>
              <w:bCs/>
              <w:color w:val="4F81BD"/>
            </w:rPr>
          </w:pPr>
        </w:p>
      </w:tc>
      <w:tc>
        <w:tcPr>
          <w:tcW w:w="0" w:type="auto"/>
          <w:vMerge/>
          <w:vAlign w:val="center"/>
          <w:hideMark/>
        </w:tcPr>
        <w:p w:rsidR="00E56204" w:rsidRPr="00A06225" w:rsidRDefault="00E56204">
          <w:pPr>
            <w:rPr>
              <w:rFonts w:ascii="Cambria" w:hAnsi="Cambria"/>
              <w:color w:val="4F81BD"/>
              <w:sz w:val="22"/>
              <w:szCs w:val="22"/>
            </w:rPr>
          </w:pPr>
        </w:p>
      </w:tc>
      <w:tc>
        <w:tcPr>
          <w:tcW w:w="2278" w:type="pct"/>
          <w:tcBorders>
            <w:top w:val="single" w:sz="4" w:space="0" w:color="4F81BD"/>
            <w:left w:val="nil"/>
            <w:bottom w:val="nil"/>
            <w:right w:val="nil"/>
          </w:tcBorders>
        </w:tcPr>
        <w:p w:rsidR="00E56204" w:rsidRPr="00A06225" w:rsidRDefault="00E56204">
          <w:pPr>
            <w:pStyle w:val="Header"/>
            <w:spacing w:line="276" w:lineRule="auto"/>
            <w:rPr>
              <w:rFonts w:ascii="Cambria" w:eastAsia="MS Gothic" w:hAnsi="Cambria"/>
              <w:b/>
              <w:bCs/>
              <w:color w:val="4F81BD"/>
            </w:rPr>
          </w:pPr>
        </w:p>
      </w:tc>
    </w:tr>
  </w:tbl>
  <w:p w:rsidR="00E56204" w:rsidRDefault="00E56204">
    <w:pPr>
      <w:pStyle w:val="Header"/>
    </w:pPr>
  </w:p>
  <w:p w:rsidR="00E56204" w:rsidRDefault="00E562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04" w:rsidRPr="00822417" w:rsidRDefault="00BB1B11" w:rsidP="00BB1B11">
    <w:pPr>
      <w:pStyle w:val="NoSpacing"/>
      <w:tabs>
        <w:tab w:val="left" w:pos="3630"/>
      </w:tabs>
      <w:jc w:val="center"/>
      <w:rPr>
        <w:rFonts w:asciiTheme="minorHAnsi" w:hAnsiTheme="minorHAnsi" w:cs="Arial"/>
        <w:i/>
        <w:color w:val="808080"/>
        <w:sz w:val="24"/>
        <w:lang w:eastAsia="en-US"/>
      </w:rPr>
    </w:pPr>
    <w:r w:rsidRPr="00822417">
      <w:rPr>
        <w:rFonts w:asciiTheme="minorHAnsi" w:hAnsiTheme="minorHAnsi" w:cs="Arial"/>
        <w:i/>
        <w:color w:val="808080"/>
        <w:sz w:val="24"/>
        <w:lang w:eastAsia="en-US"/>
      </w:rPr>
      <w:t xml:space="preserve">Public Summary Document </w:t>
    </w:r>
    <w:r w:rsidR="00E56204" w:rsidRPr="00822417">
      <w:rPr>
        <w:rFonts w:asciiTheme="minorHAnsi" w:hAnsiTheme="minorHAnsi" w:cs="Arial"/>
        <w:i/>
        <w:color w:val="808080"/>
        <w:sz w:val="24"/>
        <w:lang w:eastAsia="en-US"/>
      </w:rPr>
      <w:t>– March 2019 PBAC Meetin</w:t>
    </w:r>
    <w:r w:rsidRPr="00822417">
      <w:rPr>
        <w:rFonts w:asciiTheme="minorHAnsi" w:hAnsiTheme="minorHAnsi" w:cs="Arial"/>
        <w:i/>
        <w:color w:val="808080"/>
        <w:sz w:val="24"/>
        <w:lang w:eastAsia="en-US"/>
      </w:rPr>
      <w:t>g</w:t>
    </w:r>
  </w:p>
  <w:p w:rsidR="00BB1B11" w:rsidRDefault="00BB1B11" w:rsidP="00BB1B11">
    <w:pPr>
      <w:pStyle w:val="NoSpacing"/>
      <w:tabs>
        <w:tab w:val="left" w:pos="363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0D" w:rsidRDefault="000B2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036A2"/>
    <w:multiLevelType w:val="hybridMultilevel"/>
    <w:tmpl w:val="B2D062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47166BB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color w:val="auto"/>
        <w:sz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95D87"/>
    <w:multiLevelType w:val="hybridMultilevel"/>
    <w:tmpl w:val="1DEC35DC"/>
    <w:lvl w:ilvl="0" w:tplc="919EE1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4"/>
  </w:num>
  <w:num w:numId="5">
    <w:abstractNumId w:val="17"/>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7"/>
  </w:num>
  <w:num w:numId="15">
    <w:abstractNumId w:val="17"/>
  </w:num>
  <w:num w:numId="16">
    <w:abstractNumId w:val="18"/>
  </w:num>
  <w:num w:numId="17">
    <w:abstractNumId w:val="15"/>
  </w:num>
  <w:num w:numId="18">
    <w:abstractNumId w:val="16"/>
  </w:num>
  <w:num w:numId="19">
    <w:abstractNumId w:val="5"/>
  </w:num>
  <w:num w:numId="20">
    <w:abstractNumId w:val="2"/>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147"/>
    <w:rsid w:val="000025AD"/>
    <w:rsid w:val="0000335D"/>
    <w:rsid w:val="0002464A"/>
    <w:rsid w:val="0003106B"/>
    <w:rsid w:val="000421A1"/>
    <w:rsid w:val="0004240E"/>
    <w:rsid w:val="0004303C"/>
    <w:rsid w:val="00045E26"/>
    <w:rsid w:val="000514B5"/>
    <w:rsid w:val="00060E64"/>
    <w:rsid w:val="00064A07"/>
    <w:rsid w:val="00066755"/>
    <w:rsid w:val="00071D64"/>
    <w:rsid w:val="0007486A"/>
    <w:rsid w:val="00074907"/>
    <w:rsid w:val="00077143"/>
    <w:rsid w:val="00082169"/>
    <w:rsid w:val="00090B39"/>
    <w:rsid w:val="00090C0D"/>
    <w:rsid w:val="000969AD"/>
    <w:rsid w:val="000B270D"/>
    <w:rsid w:val="000B5051"/>
    <w:rsid w:val="000B558D"/>
    <w:rsid w:val="000B56CF"/>
    <w:rsid w:val="000C6996"/>
    <w:rsid w:val="000C7631"/>
    <w:rsid w:val="000D23BA"/>
    <w:rsid w:val="000D52AD"/>
    <w:rsid w:val="000E4E9E"/>
    <w:rsid w:val="000E681E"/>
    <w:rsid w:val="000E6EC9"/>
    <w:rsid w:val="000F0003"/>
    <w:rsid w:val="000F0A5A"/>
    <w:rsid w:val="000F1057"/>
    <w:rsid w:val="000F4E6A"/>
    <w:rsid w:val="001023F4"/>
    <w:rsid w:val="00102B45"/>
    <w:rsid w:val="00104227"/>
    <w:rsid w:val="00106F19"/>
    <w:rsid w:val="001107BF"/>
    <w:rsid w:val="0012417C"/>
    <w:rsid w:val="001250E8"/>
    <w:rsid w:val="00137D42"/>
    <w:rsid w:val="00142395"/>
    <w:rsid w:val="00142714"/>
    <w:rsid w:val="00143C07"/>
    <w:rsid w:val="001452ED"/>
    <w:rsid w:val="001460DD"/>
    <w:rsid w:val="00150AF8"/>
    <w:rsid w:val="00162087"/>
    <w:rsid w:val="00163329"/>
    <w:rsid w:val="00164623"/>
    <w:rsid w:val="00165B64"/>
    <w:rsid w:val="00180713"/>
    <w:rsid w:val="001830CE"/>
    <w:rsid w:val="0018643B"/>
    <w:rsid w:val="0019090E"/>
    <w:rsid w:val="00196307"/>
    <w:rsid w:val="001A33EA"/>
    <w:rsid w:val="001A4CAE"/>
    <w:rsid w:val="001B017F"/>
    <w:rsid w:val="001B2BBC"/>
    <w:rsid w:val="001B5129"/>
    <w:rsid w:val="001B6714"/>
    <w:rsid w:val="001C1195"/>
    <w:rsid w:val="001C31F8"/>
    <w:rsid w:val="001D365D"/>
    <w:rsid w:val="001D7183"/>
    <w:rsid w:val="001E5985"/>
    <w:rsid w:val="001F1850"/>
    <w:rsid w:val="00202EAF"/>
    <w:rsid w:val="00203FAC"/>
    <w:rsid w:val="00211490"/>
    <w:rsid w:val="00213CFB"/>
    <w:rsid w:val="002143E3"/>
    <w:rsid w:val="00217BE1"/>
    <w:rsid w:val="0022274B"/>
    <w:rsid w:val="00242F2C"/>
    <w:rsid w:val="00245D32"/>
    <w:rsid w:val="0025570D"/>
    <w:rsid w:val="00271BA1"/>
    <w:rsid w:val="0027329B"/>
    <w:rsid w:val="002762FA"/>
    <w:rsid w:val="00276FD0"/>
    <w:rsid w:val="00277505"/>
    <w:rsid w:val="0029458F"/>
    <w:rsid w:val="002A05D6"/>
    <w:rsid w:val="002A104C"/>
    <w:rsid w:val="002A4960"/>
    <w:rsid w:val="002B1AE6"/>
    <w:rsid w:val="002B2DE8"/>
    <w:rsid w:val="002B2F0D"/>
    <w:rsid w:val="002B30F8"/>
    <w:rsid w:val="002B5596"/>
    <w:rsid w:val="002C1BF8"/>
    <w:rsid w:val="002C212F"/>
    <w:rsid w:val="002D3F5E"/>
    <w:rsid w:val="002D4543"/>
    <w:rsid w:val="002E2DE7"/>
    <w:rsid w:val="002E3153"/>
    <w:rsid w:val="002E67E6"/>
    <w:rsid w:val="002E72CA"/>
    <w:rsid w:val="002F0534"/>
    <w:rsid w:val="002F600D"/>
    <w:rsid w:val="00300AD6"/>
    <w:rsid w:val="00300CFB"/>
    <w:rsid w:val="00304503"/>
    <w:rsid w:val="00310887"/>
    <w:rsid w:val="00315343"/>
    <w:rsid w:val="00316B9E"/>
    <w:rsid w:val="00317C6C"/>
    <w:rsid w:val="00326E79"/>
    <w:rsid w:val="0033518A"/>
    <w:rsid w:val="003367EF"/>
    <w:rsid w:val="00340B67"/>
    <w:rsid w:val="00341AE4"/>
    <w:rsid w:val="00352799"/>
    <w:rsid w:val="0035423B"/>
    <w:rsid w:val="0036153E"/>
    <w:rsid w:val="00364344"/>
    <w:rsid w:val="003778F6"/>
    <w:rsid w:val="00384601"/>
    <w:rsid w:val="003872CF"/>
    <w:rsid w:val="003878BD"/>
    <w:rsid w:val="00391594"/>
    <w:rsid w:val="0039782C"/>
    <w:rsid w:val="003A1B1A"/>
    <w:rsid w:val="003A5B4A"/>
    <w:rsid w:val="003A765C"/>
    <w:rsid w:val="003B1EDC"/>
    <w:rsid w:val="003B23C5"/>
    <w:rsid w:val="003B2A75"/>
    <w:rsid w:val="003B6124"/>
    <w:rsid w:val="003C2FB5"/>
    <w:rsid w:val="003C661F"/>
    <w:rsid w:val="003D37BE"/>
    <w:rsid w:val="003D4AC4"/>
    <w:rsid w:val="003D63B7"/>
    <w:rsid w:val="003E0EEE"/>
    <w:rsid w:val="003E3E93"/>
    <w:rsid w:val="003E468B"/>
    <w:rsid w:val="003E708A"/>
    <w:rsid w:val="003F3228"/>
    <w:rsid w:val="003F3ABC"/>
    <w:rsid w:val="003F5C8C"/>
    <w:rsid w:val="00406B91"/>
    <w:rsid w:val="004252EC"/>
    <w:rsid w:val="004273C8"/>
    <w:rsid w:val="004465BD"/>
    <w:rsid w:val="00453C5E"/>
    <w:rsid w:val="00456DBC"/>
    <w:rsid w:val="00466ADA"/>
    <w:rsid w:val="00466C44"/>
    <w:rsid w:val="00467023"/>
    <w:rsid w:val="0047510D"/>
    <w:rsid w:val="00476245"/>
    <w:rsid w:val="00483035"/>
    <w:rsid w:val="00485940"/>
    <w:rsid w:val="00494199"/>
    <w:rsid w:val="0049640D"/>
    <w:rsid w:val="004A103B"/>
    <w:rsid w:val="004A2484"/>
    <w:rsid w:val="004A5A85"/>
    <w:rsid w:val="004A71D1"/>
    <w:rsid w:val="004B32FF"/>
    <w:rsid w:val="004B5640"/>
    <w:rsid w:val="004B6C0B"/>
    <w:rsid w:val="004C1BD7"/>
    <w:rsid w:val="004C31FE"/>
    <w:rsid w:val="004C691D"/>
    <w:rsid w:val="004C6C07"/>
    <w:rsid w:val="004D4CE0"/>
    <w:rsid w:val="004E692D"/>
    <w:rsid w:val="00501554"/>
    <w:rsid w:val="00504C4C"/>
    <w:rsid w:val="0050617F"/>
    <w:rsid w:val="00514CD7"/>
    <w:rsid w:val="00517AAE"/>
    <w:rsid w:val="005319B2"/>
    <w:rsid w:val="00532377"/>
    <w:rsid w:val="00532402"/>
    <w:rsid w:val="00532C74"/>
    <w:rsid w:val="00534E2E"/>
    <w:rsid w:val="00544552"/>
    <w:rsid w:val="005539B3"/>
    <w:rsid w:val="00577C4D"/>
    <w:rsid w:val="00577D94"/>
    <w:rsid w:val="00581932"/>
    <w:rsid w:val="005963BB"/>
    <w:rsid w:val="005A27E9"/>
    <w:rsid w:val="005A3173"/>
    <w:rsid w:val="005A3223"/>
    <w:rsid w:val="005A3DA3"/>
    <w:rsid w:val="005A52C4"/>
    <w:rsid w:val="005C1A26"/>
    <w:rsid w:val="005D03AB"/>
    <w:rsid w:val="005D5017"/>
    <w:rsid w:val="005D6C98"/>
    <w:rsid w:val="005E1333"/>
    <w:rsid w:val="005F4595"/>
    <w:rsid w:val="00601A91"/>
    <w:rsid w:val="00602BA3"/>
    <w:rsid w:val="0060449E"/>
    <w:rsid w:val="00606EED"/>
    <w:rsid w:val="00612E34"/>
    <w:rsid w:val="00614159"/>
    <w:rsid w:val="00617C00"/>
    <w:rsid w:val="006262C6"/>
    <w:rsid w:val="006263BF"/>
    <w:rsid w:val="0062748A"/>
    <w:rsid w:val="00630A2C"/>
    <w:rsid w:val="0063682E"/>
    <w:rsid w:val="00641791"/>
    <w:rsid w:val="006436CD"/>
    <w:rsid w:val="00651169"/>
    <w:rsid w:val="00653D69"/>
    <w:rsid w:val="006670BE"/>
    <w:rsid w:val="0067081F"/>
    <w:rsid w:val="00670A76"/>
    <w:rsid w:val="006711AA"/>
    <w:rsid w:val="00672B57"/>
    <w:rsid w:val="00675622"/>
    <w:rsid w:val="0067747D"/>
    <w:rsid w:val="006804A3"/>
    <w:rsid w:val="0068124C"/>
    <w:rsid w:val="006906DB"/>
    <w:rsid w:val="00691E6C"/>
    <w:rsid w:val="00696129"/>
    <w:rsid w:val="00697ACE"/>
    <w:rsid w:val="00697CF2"/>
    <w:rsid w:val="006A12A5"/>
    <w:rsid w:val="006A5EFE"/>
    <w:rsid w:val="006B0D94"/>
    <w:rsid w:val="006B485D"/>
    <w:rsid w:val="006B65E7"/>
    <w:rsid w:val="006C708E"/>
    <w:rsid w:val="006C79F4"/>
    <w:rsid w:val="006D14E7"/>
    <w:rsid w:val="006D6493"/>
    <w:rsid w:val="006D6EC7"/>
    <w:rsid w:val="006E16C9"/>
    <w:rsid w:val="006F077D"/>
    <w:rsid w:val="006F5125"/>
    <w:rsid w:val="00702B6F"/>
    <w:rsid w:val="00711F40"/>
    <w:rsid w:val="0071340B"/>
    <w:rsid w:val="007174BB"/>
    <w:rsid w:val="0072025D"/>
    <w:rsid w:val="007353D3"/>
    <w:rsid w:val="007373C8"/>
    <w:rsid w:val="00737EC0"/>
    <w:rsid w:val="00745B0B"/>
    <w:rsid w:val="007537C0"/>
    <w:rsid w:val="00754511"/>
    <w:rsid w:val="0076420C"/>
    <w:rsid w:val="00770969"/>
    <w:rsid w:val="007715CC"/>
    <w:rsid w:val="007753C2"/>
    <w:rsid w:val="007829E2"/>
    <w:rsid w:val="007838B8"/>
    <w:rsid w:val="007846D5"/>
    <w:rsid w:val="00793931"/>
    <w:rsid w:val="00794768"/>
    <w:rsid w:val="00797E97"/>
    <w:rsid w:val="007C0F57"/>
    <w:rsid w:val="007C40B6"/>
    <w:rsid w:val="007C729F"/>
    <w:rsid w:val="007D2FE2"/>
    <w:rsid w:val="007D7D69"/>
    <w:rsid w:val="007E1D28"/>
    <w:rsid w:val="007F2081"/>
    <w:rsid w:val="007F2641"/>
    <w:rsid w:val="007F7C36"/>
    <w:rsid w:val="00806796"/>
    <w:rsid w:val="008151D6"/>
    <w:rsid w:val="00822417"/>
    <w:rsid w:val="00826F6D"/>
    <w:rsid w:val="008306F3"/>
    <w:rsid w:val="008313F6"/>
    <w:rsid w:val="00835EC7"/>
    <w:rsid w:val="00856DDD"/>
    <w:rsid w:val="00863E68"/>
    <w:rsid w:val="00867AE3"/>
    <w:rsid w:val="00882085"/>
    <w:rsid w:val="00883188"/>
    <w:rsid w:val="00897D58"/>
    <w:rsid w:val="00897F22"/>
    <w:rsid w:val="008A09B4"/>
    <w:rsid w:val="008A1956"/>
    <w:rsid w:val="008A42C0"/>
    <w:rsid w:val="008A4937"/>
    <w:rsid w:val="008A50F1"/>
    <w:rsid w:val="008C0737"/>
    <w:rsid w:val="008D0230"/>
    <w:rsid w:val="008D1B5C"/>
    <w:rsid w:val="008D3C82"/>
    <w:rsid w:val="008D447E"/>
    <w:rsid w:val="008D5AC1"/>
    <w:rsid w:val="008D7A41"/>
    <w:rsid w:val="008E317A"/>
    <w:rsid w:val="008E3680"/>
    <w:rsid w:val="008E5870"/>
    <w:rsid w:val="008F1434"/>
    <w:rsid w:val="008F714A"/>
    <w:rsid w:val="008F7355"/>
    <w:rsid w:val="009067B7"/>
    <w:rsid w:val="00912BF5"/>
    <w:rsid w:val="00915193"/>
    <w:rsid w:val="00922F9C"/>
    <w:rsid w:val="0092592F"/>
    <w:rsid w:val="00925F23"/>
    <w:rsid w:val="00930937"/>
    <w:rsid w:val="00933E6C"/>
    <w:rsid w:val="00936826"/>
    <w:rsid w:val="00937958"/>
    <w:rsid w:val="00942160"/>
    <w:rsid w:val="00945DD4"/>
    <w:rsid w:val="0095146F"/>
    <w:rsid w:val="00954929"/>
    <w:rsid w:val="00956DCB"/>
    <w:rsid w:val="009602C5"/>
    <w:rsid w:val="00962223"/>
    <w:rsid w:val="009628C0"/>
    <w:rsid w:val="00966D0D"/>
    <w:rsid w:val="00974C21"/>
    <w:rsid w:val="00991880"/>
    <w:rsid w:val="00993D59"/>
    <w:rsid w:val="009A327C"/>
    <w:rsid w:val="009B0F67"/>
    <w:rsid w:val="009C703C"/>
    <w:rsid w:val="009D3CAA"/>
    <w:rsid w:val="009E40E1"/>
    <w:rsid w:val="009F1DB8"/>
    <w:rsid w:val="009F4E46"/>
    <w:rsid w:val="009F5267"/>
    <w:rsid w:val="009F5B65"/>
    <w:rsid w:val="009F5F2E"/>
    <w:rsid w:val="00A06225"/>
    <w:rsid w:val="00A128E6"/>
    <w:rsid w:val="00A148ED"/>
    <w:rsid w:val="00A172AA"/>
    <w:rsid w:val="00A34E6C"/>
    <w:rsid w:val="00A351CE"/>
    <w:rsid w:val="00A37C8D"/>
    <w:rsid w:val="00A50F37"/>
    <w:rsid w:val="00A5273B"/>
    <w:rsid w:val="00A53A9D"/>
    <w:rsid w:val="00A54203"/>
    <w:rsid w:val="00A55FEE"/>
    <w:rsid w:val="00A564B2"/>
    <w:rsid w:val="00A56E0D"/>
    <w:rsid w:val="00A62C1A"/>
    <w:rsid w:val="00A6426D"/>
    <w:rsid w:val="00A65DF7"/>
    <w:rsid w:val="00A665C1"/>
    <w:rsid w:val="00A70622"/>
    <w:rsid w:val="00A70977"/>
    <w:rsid w:val="00A77613"/>
    <w:rsid w:val="00A8390C"/>
    <w:rsid w:val="00A87F2F"/>
    <w:rsid w:val="00A928BD"/>
    <w:rsid w:val="00A94B93"/>
    <w:rsid w:val="00AA4D1C"/>
    <w:rsid w:val="00AB3F96"/>
    <w:rsid w:val="00AB5142"/>
    <w:rsid w:val="00AB61DB"/>
    <w:rsid w:val="00AC0A25"/>
    <w:rsid w:val="00AC193C"/>
    <w:rsid w:val="00AC4DEC"/>
    <w:rsid w:val="00AC5206"/>
    <w:rsid w:val="00AC6DF2"/>
    <w:rsid w:val="00AD5533"/>
    <w:rsid w:val="00AE11A5"/>
    <w:rsid w:val="00AE13E2"/>
    <w:rsid w:val="00AE22D3"/>
    <w:rsid w:val="00AE4E76"/>
    <w:rsid w:val="00AF0ABC"/>
    <w:rsid w:val="00AF6077"/>
    <w:rsid w:val="00AF62DF"/>
    <w:rsid w:val="00AF68CC"/>
    <w:rsid w:val="00AF7C50"/>
    <w:rsid w:val="00B01AC4"/>
    <w:rsid w:val="00B1059E"/>
    <w:rsid w:val="00B176C8"/>
    <w:rsid w:val="00B205AA"/>
    <w:rsid w:val="00B22E84"/>
    <w:rsid w:val="00B25F75"/>
    <w:rsid w:val="00B26B3F"/>
    <w:rsid w:val="00B43E90"/>
    <w:rsid w:val="00B467DC"/>
    <w:rsid w:val="00B56118"/>
    <w:rsid w:val="00B6773F"/>
    <w:rsid w:val="00B70CFC"/>
    <w:rsid w:val="00B801BA"/>
    <w:rsid w:val="00B84D5C"/>
    <w:rsid w:val="00B86170"/>
    <w:rsid w:val="00B97F9E"/>
    <w:rsid w:val="00BB1705"/>
    <w:rsid w:val="00BB1B11"/>
    <w:rsid w:val="00BB1CE3"/>
    <w:rsid w:val="00BB4EE3"/>
    <w:rsid w:val="00BB69F5"/>
    <w:rsid w:val="00BB7EC3"/>
    <w:rsid w:val="00BC373F"/>
    <w:rsid w:val="00BC4B9A"/>
    <w:rsid w:val="00BC7841"/>
    <w:rsid w:val="00BD4867"/>
    <w:rsid w:val="00BD720D"/>
    <w:rsid w:val="00BD784C"/>
    <w:rsid w:val="00BE3AEE"/>
    <w:rsid w:val="00BE4559"/>
    <w:rsid w:val="00BF4CB6"/>
    <w:rsid w:val="00C00DA7"/>
    <w:rsid w:val="00C06BB3"/>
    <w:rsid w:val="00C12768"/>
    <w:rsid w:val="00C16DE2"/>
    <w:rsid w:val="00C2217F"/>
    <w:rsid w:val="00C27B58"/>
    <w:rsid w:val="00C31DBF"/>
    <w:rsid w:val="00C34D77"/>
    <w:rsid w:val="00C35996"/>
    <w:rsid w:val="00C45EE6"/>
    <w:rsid w:val="00C46E35"/>
    <w:rsid w:val="00C4747E"/>
    <w:rsid w:val="00C5037B"/>
    <w:rsid w:val="00C5264B"/>
    <w:rsid w:val="00C5342C"/>
    <w:rsid w:val="00C603D4"/>
    <w:rsid w:val="00C6256A"/>
    <w:rsid w:val="00C6363E"/>
    <w:rsid w:val="00C728B6"/>
    <w:rsid w:val="00C744B6"/>
    <w:rsid w:val="00C75C3E"/>
    <w:rsid w:val="00C77891"/>
    <w:rsid w:val="00C8242B"/>
    <w:rsid w:val="00C82E7C"/>
    <w:rsid w:val="00C91449"/>
    <w:rsid w:val="00C92D10"/>
    <w:rsid w:val="00C962FA"/>
    <w:rsid w:val="00CB4A4A"/>
    <w:rsid w:val="00CB5C35"/>
    <w:rsid w:val="00CC41EA"/>
    <w:rsid w:val="00CD1563"/>
    <w:rsid w:val="00CE10C4"/>
    <w:rsid w:val="00CE27B5"/>
    <w:rsid w:val="00CF62BD"/>
    <w:rsid w:val="00D0321E"/>
    <w:rsid w:val="00D1455A"/>
    <w:rsid w:val="00D26617"/>
    <w:rsid w:val="00D31150"/>
    <w:rsid w:val="00D3138B"/>
    <w:rsid w:val="00D3280C"/>
    <w:rsid w:val="00D3406A"/>
    <w:rsid w:val="00D40356"/>
    <w:rsid w:val="00D4572C"/>
    <w:rsid w:val="00D469B2"/>
    <w:rsid w:val="00D73E83"/>
    <w:rsid w:val="00D741EB"/>
    <w:rsid w:val="00D83605"/>
    <w:rsid w:val="00D84934"/>
    <w:rsid w:val="00D8640B"/>
    <w:rsid w:val="00D91271"/>
    <w:rsid w:val="00D919F5"/>
    <w:rsid w:val="00D93A6E"/>
    <w:rsid w:val="00D94F03"/>
    <w:rsid w:val="00D959A1"/>
    <w:rsid w:val="00DA2CB5"/>
    <w:rsid w:val="00DA4BAC"/>
    <w:rsid w:val="00DB5FB2"/>
    <w:rsid w:val="00DC2FAC"/>
    <w:rsid w:val="00DC3ECC"/>
    <w:rsid w:val="00DC7374"/>
    <w:rsid w:val="00DD2CD4"/>
    <w:rsid w:val="00DE0974"/>
    <w:rsid w:val="00DE6D27"/>
    <w:rsid w:val="00DF217D"/>
    <w:rsid w:val="00DF26A7"/>
    <w:rsid w:val="00E1048C"/>
    <w:rsid w:val="00E15627"/>
    <w:rsid w:val="00E164B3"/>
    <w:rsid w:val="00E16910"/>
    <w:rsid w:val="00E30AF4"/>
    <w:rsid w:val="00E42BDB"/>
    <w:rsid w:val="00E52DC5"/>
    <w:rsid w:val="00E5585A"/>
    <w:rsid w:val="00E56204"/>
    <w:rsid w:val="00E57EEB"/>
    <w:rsid w:val="00E62D94"/>
    <w:rsid w:val="00E6440A"/>
    <w:rsid w:val="00E65E54"/>
    <w:rsid w:val="00E70265"/>
    <w:rsid w:val="00E80155"/>
    <w:rsid w:val="00E81F28"/>
    <w:rsid w:val="00E848C0"/>
    <w:rsid w:val="00E90039"/>
    <w:rsid w:val="00E91B96"/>
    <w:rsid w:val="00E941A1"/>
    <w:rsid w:val="00E95CE3"/>
    <w:rsid w:val="00EA2825"/>
    <w:rsid w:val="00EA3CE1"/>
    <w:rsid w:val="00EA6CB1"/>
    <w:rsid w:val="00EB00FD"/>
    <w:rsid w:val="00EB0B63"/>
    <w:rsid w:val="00EB1936"/>
    <w:rsid w:val="00EB1D40"/>
    <w:rsid w:val="00EB35FF"/>
    <w:rsid w:val="00EB5088"/>
    <w:rsid w:val="00EC0F2C"/>
    <w:rsid w:val="00EC6670"/>
    <w:rsid w:val="00ED1644"/>
    <w:rsid w:val="00ED1C4E"/>
    <w:rsid w:val="00ED2593"/>
    <w:rsid w:val="00ED7D9C"/>
    <w:rsid w:val="00ED7F49"/>
    <w:rsid w:val="00EE1A5E"/>
    <w:rsid w:val="00EE7EF6"/>
    <w:rsid w:val="00EF44A0"/>
    <w:rsid w:val="00EF4FED"/>
    <w:rsid w:val="00F050BD"/>
    <w:rsid w:val="00F05657"/>
    <w:rsid w:val="00F21F45"/>
    <w:rsid w:val="00F23415"/>
    <w:rsid w:val="00F25578"/>
    <w:rsid w:val="00F258E5"/>
    <w:rsid w:val="00F300BC"/>
    <w:rsid w:val="00F3334E"/>
    <w:rsid w:val="00F36CCB"/>
    <w:rsid w:val="00F374E5"/>
    <w:rsid w:val="00F43AF2"/>
    <w:rsid w:val="00F46C37"/>
    <w:rsid w:val="00F47DA6"/>
    <w:rsid w:val="00F5007E"/>
    <w:rsid w:val="00F50EC4"/>
    <w:rsid w:val="00F550CF"/>
    <w:rsid w:val="00F57A6D"/>
    <w:rsid w:val="00F62236"/>
    <w:rsid w:val="00F6320C"/>
    <w:rsid w:val="00F638CC"/>
    <w:rsid w:val="00F64CC1"/>
    <w:rsid w:val="00F72317"/>
    <w:rsid w:val="00F80475"/>
    <w:rsid w:val="00F81973"/>
    <w:rsid w:val="00F8247A"/>
    <w:rsid w:val="00F82BB2"/>
    <w:rsid w:val="00F93DC4"/>
    <w:rsid w:val="00F9629A"/>
    <w:rsid w:val="00F97EFC"/>
    <w:rsid w:val="00FA1D44"/>
    <w:rsid w:val="00FA5883"/>
    <w:rsid w:val="00FA6055"/>
    <w:rsid w:val="00FB322F"/>
    <w:rsid w:val="00FB442F"/>
    <w:rsid w:val="00FB5F22"/>
    <w:rsid w:val="00FC1929"/>
    <w:rsid w:val="00FC5B46"/>
    <w:rsid w:val="00FD6B7D"/>
    <w:rsid w:val="00FD6D8E"/>
    <w:rsid w:val="00FE0E94"/>
    <w:rsid w:val="00FE3BE7"/>
    <w:rsid w:val="00FF00BD"/>
    <w:rsid w:val="00FF1ED4"/>
    <w:rsid w:val="00FF2801"/>
    <w:rsid w:val="00FF3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AD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C35"/>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Text"/>
    <w:basedOn w:val="Normal"/>
    <w:link w:val="TableTextChar"/>
    <w:qFormat/>
    <w:rsid w:val="00E70265"/>
    <w:pPr>
      <w:keepNext/>
      <w:spacing w:before="40" w:after="40"/>
    </w:pPr>
    <w:rPr>
      <w:rFonts w:ascii="Arial" w:hAnsi="Arial" w:cs="Arial Narrow"/>
      <w:sz w:val="20"/>
      <w:szCs w:val="20"/>
      <w:lang w:eastAsia="en-US"/>
    </w:rPr>
  </w:style>
  <w:style w:type="character" w:customStyle="1" w:styleId="TableTextChar">
    <w:name w:val="TableText Char"/>
    <w:basedOn w:val="DefaultParagraphFont"/>
    <w:link w:val="TableText0"/>
    <w:rsid w:val="00E70265"/>
    <w:rPr>
      <w:rFonts w:ascii="Arial" w:hAnsi="Arial" w:cs="Arial Narrow"/>
      <w:lang w:eastAsia="en-US"/>
    </w:rPr>
  </w:style>
  <w:style w:type="paragraph" w:styleId="Caption">
    <w:name w:val="caption"/>
    <w:aliases w:val="Caption Char1,Caption Char Char,Caption Char,Bayer Caption,IB Caption,Medical Caption,Bayer Normal Zchn Zchn"/>
    <w:basedOn w:val="Normal"/>
    <w:next w:val="Normal"/>
    <w:link w:val="CaptionChar2"/>
    <w:uiPriority w:val="35"/>
    <w:unhideWhenUsed/>
    <w:qFormat/>
    <w:rsid w:val="00E70265"/>
    <w:pPr>
      <w:spacing w:after="200"/>
    </w:pPr>
    <w:rPr>
      <w:b/>
      <w:bCs/>
      <w:color w:val="4F81BD" w:themeColor="accent1"/>
      <w:sz w:val="18"/>
      <w:szCs w:val="18"/>
    </w:rPr>
  </w:style>
  <w:style w:type="character" w:styleId="FollowedHyperlink">
    <w:name w:val="FollowedHyperlink"/>
    <w:basedOn w:val="DefaultParagraphFont"/>
    <w:semiHidden/>
    <w:unhideWhenUsed/>
    <w:rsid w:val="00B86170"/>
    <w:rPr>
      <w:color w:val="800080" w:themeColor="followedHyperlink"/>
      <w:u w:val="single"/>
    </w:rPr>
  </w:style>
  <w:style w:type="character" w:customStyle="1" w:styleId="CaptionChar2">
    <w:name w:val="Caption Char2"/>
    <w:aliases w:val="Caption Char1 Char,Caption Char Char Char,Caption Char Char1,Bayer Caption Char,IB Caption Char,Medical Caption Char,Bayer Normal Zchn Zchn Char"/>
    <w:link w:val="Caption"/>
    <w:uiPriority w:val="35"/>
    <w:rsid w:val="00143C07"/>
    <w:rPr>
      <w:b/>
      <w:bCs/>
      <w:color w:val="4F81BD" w:themeColor="accent1"/>
      <w:sz w:val="18"/>
      <w:szCs w:val="18"/>
    </w:rPr>
  </w:style>
  <w:style w:type="paragraph" w:styleId="Revision">
    <w:name w:val="Revision"/>
    <w:hidden/>
    <w:uiPriority w:val="71"/>
    <w:semiHidden/>
    <w:rsid w:val="009549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7679502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5112-FFC8-4ED6-A3D8-512611F6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2019-06-25T03:55:00Z</dcterms:created>
  <dcterms:modified xsi:type="dcterms:W3CDTF">2019-07-01T04:38:00Z</dcterms:modified>
</cp:coreProperties>
</file>