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BD2EEA" w:rsidRDefault="00FE385D" w:rsidP="00BD2EEA">
      <w:pPr>
        <w:pStyle w:val="Heading1"/>
        <w:spacing w:after="120"/>
        <w:jc w:val="left"/>
        <w:rPr>
          <w:sz w:val="36"/>
        </w:rPr>
      </w:pPr>
      <w:r w:rsidRPr="00BD2EEA">
        <w:rPr>
          <w:sz w:val="36"/>
        </w:rPr>
        <w:t>6</w:t>
      </w:r>
      <w:r w:rsidR="00433044" w:rsidRPr="00BD2EEA">
        <w:rPr>
          <w:sz w:val="36"/>
        </w:rPr>
        <w:t>.</w:t>
      </w:r>
      <w:r w:rsidRPr="00BD2EEA">
        <w:rPr>
          <w:sz w:val="36"/>
        </w:rPr>
        <w:t>06</w:t>
      </w:r>
      <w:r w:rsidR="00B60939" w:rsidRPr="00BD2EEA">
        <w:rPr>
          <w:sz w:val="36"/>
        </w:rPr>
        <w:tab/>
      </w:r>
      <w:r w:rsidR="009E09E9" w:rsidRPr="00BD2EEA">
        <w:rPr>
          <w:sz w:val="36"/>
        </w:rPr>
        <w:t>PEMBROLIZUMAB</w:t>
      </w:r>
      <w:r w:rsidR="00B60939" w:rsidRPr="00BD2EEA">
        <w:rPr>
          <w:sz w:val="36"/>
        </w:rPr>
        <w:t xml:space="preserve">, </w:t>
      </w:r>
      <w:r w:rsidR="004F4A63" w:rsidRPr="00BD2EEA">
        <w:rPr>
          <w:sz w:val="36"/>
        </w:rPr>
        <w:br/>
        <w:t>S</w:t>
      </w:r>
      <w:r w:rsidR="00984726" w:rsidRPr="00BD2EEA">
        <w:rPr>
          <w:sz w:val="36"/>
        </w:rPr>
        <w:t>olution concentrate for I.V. infusion 100</w:t>
      </w:r>
      <w:r w:rsidR="00994196" w:rsidRPr="00BD2EEA">
        <w:rPr>
          <w:sz w:val="36"/>
        </w:rPr>
        <w:t> </w:t>
      </w:r>
      <w:r w:rsidR="00984726" w:rsidRPr="00BD2EEA">
        <w:rPr>
          <w:sz w:val="36"/>
        </w:rPr>
        <w:t>mg in 4</w:t>
      </w:r>
      <w:r w:rsidR="00994196" w:rsidRPr="00BD2EEA">
        <w:rPr>
          <w:sz w:val="36"/>
        </w:rPr>
        <w:t> </w:t>
      </w:r>
      <w:r w:rsidR="00984726" w:rsidRPr="00BD2EEA">
        <w:rPr>
          <w:sz w:val="36"/>
        </w:rPr>
        <w:t>mL,</w:t>
      </w:r>
      <w:r w:rsidR="00BD2EEA">
        <w:rPr>
          <w:sz w:val="36"/>
        </w:rPr>
        <w:t xml:space="preserve"> </w:t>
      </w:r>
      <w:r w:rsidR="004F4A63" w:rsidRPr="00BD2EEA">
        <w:rPr>
          <w:sz w:val="36"/>
        </w:rPr>
        <w:t>Keytruda</w:t>
      </w:r>
      <w:r w:rsidR="009E09E9" w:rsidRPr="00BD2EEA">
        <w:rPr>
          <w:sz w:val="36"/>
        </w:rPr>
        <w:t>®,</w:t>
      </w:r>
      <w:r w:rsidR="004F4A63" w:rsidRPr="00BD2EEA">
        <w:rPr>
          <w:sz w:val="36"/>
        </w:rPr>
        <w:t xml:space="preserve"> </w:t>
      </w:r>
      <w:r w:rsidR="009E09E9" w:rsidRPr="00BD2EEA">
        <w:rPr>
          <w:sz w:val="36"/>
        </w:rPr>
        <w:t>Mer</w:t>
      </w:r>
      <w:r w:rsidR="0086501D" w:rsidRPr="00BD2EEA">
        <w:rPr>
          <w:sz w:val="36"/>
        </w:rPr>
        <w:t>c</w:t>
      </w:r>
      <w:r w:rsidR="009E09E9" w:rsidRPr="00BD2EEA">
        <w:rPr>
          <w:sz w:val="36"/>
        </w:rPr>
        <w:t>k Sharp &amp; Dohme</w:t>
      </w:r>
      <w:r w:rsidR="004F4A63" w:rsidRPr="00BD2EEA">
        <w:rPr>
          <w:sz w:val="36"/>
        </w:rPr>
        <w:t xml:space="preserve"> (Australia) Pty Ltd</w:t>
      </w:r>
    </w:p>
    <w:p w:rsidR="00B50DB8" w:rsidRPr="00F90B95" w:rsidRDefault="00B50DB8" w:rsidP="0044164E">
      <w:pPr>
        <w:pStyle w:val="PBACHeading1"/>
        <w:spacing w:before="120" w:after="120"/>
      </w:pPr>
      <w:bookmarkStart w:id="0" w:name="_Toc535588635"/>
      <w:r w:rsidRPr="00F90B95">
        <w:t>Purpose of Application</w:t>
      </w:r>
      <w:bookmarkEnd w:id="0"/>
    </w:p>
    <w:p w:rsidR="002C2775" w:rsidRPr="00F90B95" w:rsidRDefault="00465B6D" w:rsidP="0044164E">
      <w:pPr>
        <w:pStyle w:val="ListParagraph"/>
        <w:widowControl/>
        <w:numPr>
          <w:ilvl w:val="1"/>
          <w:numId w:val="2"/>
        </w:numPr>
        <w:spacing w:before="120" w:after="120"/>
      </w:pPr>
      <w:r w:rsidRPr="00F90B95">
        <w:t xml:space="preserve">The submission requested a </w:t>
      </w:r>
      <w:r w:rsidR="008B1757" w:rsidRPr="00F90B95">
        <w:t>Section 100</w:t>
      </w:r>
      <w:r w:rsidR="009770B0" w:rsidRPr="00F90B95">
        <w:t xml:space="preserve"> (Efficient Funding of Chemotherapy)</w:t>
      </w:r>
      <w:r w:rsidR="008B1757" w:rsidRPr="00F90B95">
        <w:t xml:space="preserve">, </w:t>
      </w:r>
      <w:proofErr w:type="gramStart"/>
      <w:r w:rsidR="00B96BB4" w:rsidRPr="00F90B95">
        <w:t>Streamlined</w:t>
      </w:r>
      <w:proofErr w:type="gramEnd"/>
      <w:r w:rsidR="00B96BB4" w:rsidRPr="00F90B95">
        <w:t xml:space="preserve"> </w:t>
      </w:r>
      <w:r w:rsidR="008B1757" w:rsidRPr="00F90B95">
        <w:t xml:space="preserve">listing for </w:t>
      </w:r>
      <w:r w:rsidR="00B96BB4" w:rsidRPr="00F90B95">
        <w:t>pembrolizumab</w:t>
      </w:r>
      <w:r w:rsidR="008B1757" w:rsidRPr="00F90B95">
        <w:t xml:space="preserve"> for </w:t>
      </w:r>
      <w:r w:rsidR="009770B0" w:rsidRPr="00F90B95">
        <w:t xml:space="preserve">the </w:t>
      </w:r>
      <w:r w:rsidR="008B1757" w:rsidRPr="00F90B95">
        <w:t xml:space="preserve">treatment of </w:t>
      </w:r>
      <w:r w:rsidR="00464753" w:rsidRPr="00F90B95">
        <w:t>locally advanced (unresectable) or Stage IV (metastatic) colorectal cancer (</w:t>
      </w:r>
      <w:proofErr w:type="spellStart"/>
      <w:r w:rsidR="00464753" w:rsidRPr="00F90B95">
        <w:t>mCRC</w:t>
      </w:r>
      <w:proofErr w:type="spellEnd"/>
      <w:r w:rsidR="00464753" w:rsidRPr="00F90B95">
        <w:t>)</w:t>
      </w:r>
      <w:r w:rsidR="008D60F9" w:rsidRPr="00F90B95">
        <w:t xml:space="preserve"> with deficient mismatch repair (</w:t>
      </w:r>
      <w:proofErr w:type="spellStart"/>
      <w:r w:rsidR="008D60F9" w:rsidRPr="00F90B95">
        <w:t>dMMR</w:t>
      </w:r>
      <w:proofErr w:type="spellEnd"/>
      <w:r w:rsidR="008D60F9" w:rsidRPr="00F90B95">
        <w:t>)</w:t>
      </w:r>
      <w:r w:rsidR="005E19C9" w:rsidRPr="00F90B95">
        <w:t>,</w:t>
      </w:r>
      <w:r w:rsidR="008D60F9" w:rsidRPr="00F90B95">
        <w:t xml:space="preserve"> hereafter referred to as </w:t>
      </w:r>
      <w:proofErr w:type="spellStart"/>
      <w:r w:rsidR="008D60F9" w:rsidRPr="00F90B95">
        <w:t>dMMR</w:t>
      </w:r>
      <w:proofErr w:type="spellEnd"/>
      <w:r w:rsidR="008D60F9" w:rsidRPr="00F90B95">
        <w:t xml:space="preserve"> </w:t>
      </w:r>
      <w:proofErr w:type="spellStart"/>
      <w:r w:rsidR="008D60F9" w:rsidRPr="00F90B95">
        <w:t>mCRC</w:t>
      </w:r>
      <w:proofErr w:type="spellEnd"/>
      <w:r w:rsidR="00464753" w:rsidRPr="00F90B95">
        <w:t>.</w:t>
      </w:r>
      <w:r w:rsidR="008B1757" w:rsidRPr="00F90B95">
        <w:t xml:space="preserve"> </w:t>
      </w:r>
      <w:r w:rsidR="00464753" w:rsidRPr="00F90B95">
        <w:t>Pembrolizumab has not been c</w:t>
      </w:r>
      <w:r w:rsidR="00744C6E" w:rsidRPr="00F90B95">
        <w:t>onsidered</w:t>
      </w:r>
      <w:r w:rsidR="00464753" w:rsidRPr="00F90B95">
        <w:t xml:space="preserve"> by the PBAC for this indication previously.</w:t>
      </w:r>
    </w:p>
    <w:p w:rsidR="0027784A" w:rsidRPr="00F90B95" w:rsidRDefault="0027784A" w:rsidP="0044164E">
      <w:pPr>
        <w:pStyle w:val="ListParagraph"/>
        <w:numPr>
          <w:ilvl w:val="1"/>
          <w:numId w:val="2"/>
        </w:numPr>
        <w:spacing w:before="120" w:after="120"/>
      </w:pPr>
      <w:r w:rsidRPr="00F90B95">
        <w:t xml:space="preserve">The requested listing was based on </w:t>
      </w:r>
      <w:r w:rsidR="00F93D52" w:rsidRPr="00F90B95">
        <w:t xml:space="preserve">a </w:t>
      </w:r>
      <w:r w:rsidRPr="00F90B95">
        <w:t xml:space="preserve">cost-utility analysis of pembrolizumab compared with </w:t>
      </w:r>
      <w:r w:rsidR="005E19C9" w:rsidRPr="00F90B95">
        <w:t>s</w:t>
      </w:r>
      <w:r w:rsidRPr="00F90B95">
        <w:t xml:space="preserve">tandard of </w:t>
      </w:r>
      <w:r w:rsidR="005E19C9" w:rsidRPr="00F90B95">
        <w:t>c</w:t>
      </w:r>
      <w:r w:rsidRPr="00F90B95">
        <w:t xml:space="preserve">are (SOC), represented by </w:t>
      </w:r>
      <w:r w:rsidR="00E54CE1" w:rsidRPr="00F90B95">
        <w:t>FOLFIRI (</w:t>
      </w:r>
      <w:proofErr w:type="spellStart"/>
      <w:r w:rsidR="00E54CE1" w:rsidRPr="00F90B95">
        <w:t>folinic</w:t>
      </w:r>
      <w:proofErr w:type="spellEnd"/>
      <w:r w:rsidR="00E54CE1" w:rsidRPr="00F90B95">
        <w:t xml:space="preserve"> acid, 5-fluorouracil and </w:t>
      </w:r>
      <w:proofErr w:type="spellStart"/>
      <w:r w:rsidR="00E54CE1" w:rsidRPr="00F90B95">
        <w:t>irinotecan</w:t>
      </w:r>
      <w:proofErr w:type="spellEnd"/>
      <w:r w:rsidR="00E54CE1" w:rsidRPr="00F90B95">
        <w:t>)</w:t>
      </w:r>
      <w:r w:rsidR="0004366C" w:rsidRPr="00F90B95">
        <w:t>,</w:t>
      </w:r>
      <w:r w:rsidRPr="00F90B95">
        <w:t xml:space="preserve"> FOLFIRI with bevacizumab</w:t>
      </w:r>
      <w:r w:rsidR="0004366C" w:rsidRPr="00F90B95">
        <w:t>,</w:t>
      </w:r>
      <w:r w:rsidRPr="00F90B95">
        <w:t xml:space="preserve"> or FOLFIRI with </w:t>
      </w:r>
      <w:proofErr w:type="spellStart"/>
      <w:r w:rsidRPr="00F90B95">
        <w:t>cetuximab</w:t>
      </w:r>
      <w:proofErr w:type="spellEnd"/>
      <w:r w:rsidRPr="00F90B95">
        <w:t>. The key components of the clinical issue addressed by the submission are summarised below.</w:t>
      </w:r>
    </w:p>
    <w:p w:rsidR="00192EB2" w:rsidRPr="00F90B95" w:rsidRDefault="00192EB2" w:rsidP="006D78E0">
      <w:pPr>
        <w:pStyle w:val="Caption"/>
        <w:keepNext/>
      </w:pPr>
      <w:r w:rsidRPr="00F90B95">
        <w:t xml:space="preserve">Table </w:t>
      </w:r>
      <w:r w:rsidR="00E04C56" w:rsidRPr="00F90B95">
        <w:t>1</w:t>
      </w:r>
      <w:r w:rsidRPr="00F90B95">
        <w:t xml:space="preserve">: </w:t>
      </w:r>
      <w:r w:rsidR="000B3CA5" w:rsidRPr="00F90B95">
        <w:rPr>
          <w:szCs w:val="16"/>
        </w:rPr>
        <w:t xml:space="preserve">Key components of the clinical issue addressed </w:t>
      </w:r>
      <w:r w:rsidR="00F93D52" w:rsidRPr="00F90B95">
        <w:rPr>
          <w:szCs w:val="16"/>
        </w:rPr>
        <w:t xml:space="preserve">in </w:t>
      </w:r>
      <w:r w:rsidR="000B3CA5" w:rsidRPr="00F90B95">
        <w:rPr>
          <w:szCs w:val="16"/>
        </w:rPr>
        <w:t>the submission</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560"/>
        <w:gridCol w:w="7488"/>
      </w:tblGrid>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b/>
                <w:snapToGrid/>
                <w:sz w:val="20"/>
              </w:rPr>
            </w:pPr>
            <w:r w:rsidRPr="00F90B95">
              <w:rPr>
                <w:rFonts w:ascii="Arial Narrow" w:hAnsi="Arial Narrow" w:cs="Times New Roman"/>
                <w:b/>
                <w:snapToGrid/>
                <w:sz w:val="20"/>
              </w:rPr>
              <w:t>Component</w:t>
            </w:r>
          </w:p>
        </w:tc>
        <w:tc>
          <w:tcPr>
            <w:tcW w:w="7488" w:type="dxa"/>
            <w:vAlign w:val="center"/>
          </w:tcPr>
          <w:p w:rsidR="004D25BA" w:rsidRPr="00F90B95" w:rsidRDefault="004D25BA" w:rsidP="006D78E0">
            <w:pPr>
              <w:keepNext/>
              <w:widowControl/>
              <w:jc w:val="center"/>
              <w:rPr>
                <w:rFonts w:ascii="Arial Narrow" w:hAnsi="Arial Narrow" w:cs="Times New Roman"/>
                <w:b/>
                <w:snapToGrid/>
                <w:sz w:val="20"/>
              </w:rPr>
            </w:pPr>
            <w:r w:rsidRPr="00F90B95">
              <w:rPr>
                <w:rFonts w:ascii="Arial Narrow" w:hAnsi="Arial Narrow" w:cs="Times New Roman"/>
                <w:b/>
                <w:snapToGrid/>
                <w:sz w:val="20"/>
              </w:rPr>
              <w:t>Description</w:t>
            </w:r>
          </w:p>
        </w:tc>
      </w:tr>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Population</w:t>
            </w:r>
          </w:p>
        </w:tc>
        <w:tc>
          <w:tcPr>
            <w:tcW w:w="7488"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Patients with locally advanced unresectable, or Stage IV (metastatic) colorectal cancer (</w:t>
            </w:r>
            <w:proofErr w:type="spellStart"/>
            <w:r w:rsidRPr="00F90B95">
              <w:rPr>
                <w:rFonts w:ascii="Arial Narrow" w:hAnsi="Arial Narrow" w:cs="Times New Roman"/>
                <w:snapToGrid/>
                <w:sz w:val="20"/>
              </w:rPr>
              <w:t>mCRC</w:t>
            </w:r>
            <w:proofErr w:type="spellEnd"/>
            <w:r w:rsidRPr="00F90B95">
              <w:rPr>
                <w:rFonts w:ascii="Arial Narrow" w:hAnsi="Arial Narrow" w:cs="Times New Roman"/>
                <w:snapToGrid/>
                <w:sz w:val="20"/>
              </w:rPr>
              <w:t>), with mismatch repair deficient (</w:t>
            </w:r>
            <w:proofErr w:type="spellStart"/>
            <w:r w:rsidRPr="00F90B95">
              <w:rPr>
                <w:rFonts w:ascii="Arial Narrow" w:hAnsi="Arial Narrow" w:cs="Times New Roman"/>
                <w:snapToGrid/>
                <w:sz w:val="20"/>
              </w:rPr>
              <w:t>dMMR</w:t>
            </w:r>
            <w:proofErr w:type="spellEnd"/>
            <w:r w:rsidRPr="00F90B95">
              <w:rPr>
                <w:rFonts w:ascii="Arial Narrow" w:hAnsi="Arial Narrow" w:cs="Times New Roman"/>
                <w:snapToGrid/>
                <w:sz w:val="20"/>
              </w:rPr>
              <w:t>) tumours and who have received at least one prior therapy, i.e. second-line and beyond.</w:t>
            </w:r>
          </w:p>
        </w:tc>
      </w:tr>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Intervention</w:t>
            </w:r>
          </w:p>
        </w:tc>
        <w:tc>
          <w:tcPr>
            <w:tcW w:w="7488" w:type="dxa"/>
            <w:vAlign w:val="center"/>
          </w:tcPr>
          <w:p w:rsidR="004D25BA" w:rsidRPr="00F90B95" w:rsidRDefault="004D25BA" w:rsidP="00994196">
            <w:pPr>
              <w:keepNext/>
              <w:widowControl/>
              <w:jc w:val="left"/>
              <w:rPr>
                <w:rFonts w:ascii="Arial Narrow" w:hAnsi="Arial Narrow" w:cs="Times New Roman"/>
                <w:snapToGrid/>
                <w:sz w:val="20"/>
              </w:rPr>
            </w:pPr>
            <w:r w:rsidRPr="00F90B95">
              <w:rPr>
                <w:rFonts w:ascii="Arial Narrow" w:hAnsi="Arial Narrow" w:cs="Times New Roman"/>
                <w:snapToGrid/>
                <w:sz w:val="20"/>
              </w:rPr>
              <w:t>Pembrolizumab 200</w:t>
            </w:r>
            <w:r w:rsidR="00994196" w:rsidRPr="00F90B95">
              <w:rPr>
                <w:rFonts w:ascii="Arial Narrow" w:hAnsi="Arial Narrow" w:cs="Times New Roman"/>
                <w:snapToGrid/>
                <w:sz w:val="20"/>
              </w:rPr>
              <w:t> </w:t>
            </w:r>
            <w:r w:rsidRPr="00F90B95">
              <w:rPr>
                <w:rFonts w:ascii="Arial Narrow" w:hAnsi="Arial Narrow" w:cs="Times New Roman"/>
                <w:snapToGrid/>
                <w:sz w:val="20"/>
              </w:rPr>
              <w:t>mg every three weeks (Q3W) for up to 35 cycles.</w:t>
            </w:r>
          </w:p>
        </w:tc>
      </w:tr>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Comparator</w:t>
            </w:r>
          </w:p>
        </w:tc>
        <w:tc>
          <w:tcPr>
            <w:tcW w:w="7488"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 xml:space="preserve">Standard of </w:t>
            </w:r>
            <w:r w:rsidR="005E19C9" w:rsidRPr="00F90B95">
              <w:rPr>
                <w:rFonts w:ascii="Arial Narrow" w:hAnsi="Arial Narrow" w:cs="Times New Roman"/>
                <w:snapToGrid/>
                <w:sz w:val="20"/>
              </w:rPr>
              <w:t>c</w:t>
            </w:r>
            <w:r w:rsidRPr="00F90B95">
              <w:rPr>
                <w:rFonts w:ascii="Arial Narrow" w:hAnsi="Arial Narrow" w:cs="Times New Roman"/>
                <w:snapToGrid/>
                <w:sz w:val="20"/>
              </w:rPr>
              <w:t>are (SOC). The following therapies were identified as the main</w:t>
            </w:r>
            <w:r w:rsidR="005E19C9" w:rsidRPr="00F90B95">
              <w:rPr>
                <w:rFonts w:ascii="Arial Narrow" w:hAnsi="Arial Narrow" w:cs="Times New Roman"/>
                <w:snapToGrid/>
                <w:sz w:val="20"/>
              </w:rPr>
              <w:t xml:space="preserve"> comparators in the submission:</w:t>
            </w:r>
          </w:p>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w:t>
            </w:r>
            <w:r w:rsidRPr="00F90B95">
              <w:rPr>
                <w:rFonts w:ascii="Arial Narrow" w:hAnsi="Arial Narrow" w:cs="Times New Roman"/>
                <w:snapToGrid/>
                <w:sz w:val="20"/>
              </w:rPr>
              <w:tab/>
              <w:t>FOLFIRI (represent</w:t>
            </w:r>
            <w:r w:rsidR="00F001F0" w:rsidRPr="00F90B95">
              <w:rPr>
                <w:rFonts w:ascii="Arial Narrow" w:hAnsi="Arial Narrow" w:cs="Times New Roman"/>
                <w:snapToGrid/>
                <w:sz w:val="20"/>
              </w:rPr>
              <w:t>ing</w:t>
            </w:r>
            <w:r w:rsidRPr="00F90B95">
              <w:rPr>
                <w:rFonts w:ascii="Arial Narrow" w:hAnsi="Arial Narrow" w:cs="Times New Roman"/>
                <w:snapToGrid/>
                <w:sz w:val="20"/>
              </w:rPr>
              <w:t xml:space="preserve"> other chemotherapy regime</w:t>
            </w:r>
            <w:r w:rsidR="00092C5D" w:rsidRPr="00F90B95">
              <w:rPr>
                <w:rFonts w:ascii="Arial Narrow" w:hAnsi="Arial Narrow" w:cs="Times New Roman"/>
                <w:snapToGrid/>
                <w:sz w:val="20"/>
              </w:rPr>
              <w:t>ns including FOLFOX and XELOX)</w:t>
            </w:r>
          </w:p>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w:t>
            </w:r>
            <w:r w:rsidRPr="00F90B95">
              <w:rPr>
                <w:rFonts w:ascii="Arial Narrow" w:hAnsi="Arial Narrow" w:cs="Times New Roman"/>
                <w:snapToGrid/>
                <w:sz w:val="20"/>
              </w:rPr>
              <w:tab/>
            </w:r>
            <w:proofErr w:type="spellStart"/>
            <w:r w:rsidRPr="00F90B95">
              <w:rPr>
                <w:rFonts w:ascii="Arial Narrow" w:hAnsi="Arial Narrow" w:cs="Times New Roman"/>
                <w:snapToGrid/>
                <w:sz w:val="20"/>
              </w:rPr>
              <w:t>Cetuximab</w:t>
            </w:r>
            <w:proofErr w:type="spellEnd"/>
            <w:r w:rsidRPr="00F90B95">
              <w:rPr>
                <w:rFonts w:ascii="Arial Narrow" w:hAnsi="Arial Narrow" w:cs="Times New Roman"/>
                <w:snapToGrid/>
                <w:sz w:val="20"/>
              </w:rPr>
              <w:t xml:space="preserve"> + FOLFIRI (representing EGFR antibodies + chemotherapy)</w:t>
            </w:r>
          </w:p>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w:t>
            </w:r>
            <w:r w:rsidRPr="00F90B95">
              <w:rPr>
                <w:rFonts w:ascii="Arial Narrow" w:hAnsi="Arial Narrow" w:cs="Times New Roman"/>
                <w:snapToGrid/>
                <w:sz w:val="20"/>
              </w:rPr>
              <w:tab/>
              <w:t>Bevacizumab + FOLFIRI (representing bevacizumab + chemotherapy).</w:t>
            </w:r>
          </w:p>
        </w:tc>
      </w:tr>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Outcomes</w:t>
            </w:r>
          </w:p>
        </w:tc>
        <w:tc>
          <w:tcPr>
            <w:tcW w:w="7488" w:type="dxa"/>
            <w:vAlign w:val="center"/>
          </w:tcPr>
          <w:p w:rsidR="004D25BA" w:rsidRPr="00F90B95" w:rsidRDefault="004D25BA" w:rsidP="005E19C9">
            <w:pPr>
              <w:keepNext/>
              <w:widowControl/>
              <w:jc w:val="left"/>
              <w:rPr>
                <w:rFonts w:ascii="Arial Narrow" w:hAnsi="Arial Narrow" w:cs="Times New Roman"/>
                <w:snapToGrid/>
                <w:sz w:val="20"/>
              </w:rPr>
            </w:pPr>
            <w:r w:rsidRPr="00F90B95">
              <w:rPr>
                <w:rFonts w:ascii="Arial Narrow" w:hAnsi="Arial Narrow" w:cs="Times New Roman"/>
                <w:snapToGrid/>
                <w:sz w:val="20"/>
              </w:rPr>
              <w:t>Objective re</w:t>
            </w:r>
            <w:r w:rsidR="0042305E" w:rsidRPr="00F90B95">
              <w:rPr>
                <w:rFonts w:ascii="Arial Narrow" w:hAnsi="Arial Narrow" w:cs="Times New Roman"/>
                <w:snapToGrid/>
                <w:sz w:val="20"/>
              </w:rPr>
              <w:t xml:space="preserve">sponse rate (ORR), </w:t>
            </w:r>
            <w:r w:rsidR="005E19C9" w:rsidRPr="00F90B95">
              <w:rPr>
                <w:rFonts w:ascii="Arial Narrow" w:hAnsi="Arial Narrow" w:cs="Times New Roman"/>
                <w:snapToGrid/>
                <w:sz w:val="20"/>
              </w:rPr>
              <w:t>progression-</w:t>
            </w:r>
            <w:r w:rsidR="0042305E" w:rsidRPr="00F90B95">
              <w:rPr>
                <w:rFonts w:ascii="Arial Narrow" w:hAnsi="Arial Narrow" w:cs="Times New Roman"/>
                <w:snapToGrid/>
                <w:sz w:val="20"/>
              </w:rPr>
              <w:t>free s</w:t>
            </w:r>
            <w:r w:rsidRPr="00F90B95">
              <w:rPr>
                <w:rFonts w:ascii="Arial Narrow" w:hAnsi="Arial Narrow" w:cs="Times New Roman"/>
                <w:snapToGrid/>
                <w:sz w:val="20"/>
              </w:rPr>
              <w:t xml:space="preserve">urvival </w:t>
            </w:r>
            <w:r w:rsidR="00D64A6C" w:rsidRPr="00F90B95">
              <w:rPr>
                <w:rFonts w:ascii="Arial Narrow" w:hAnsi="Arial Narrow" w:cs="Times New Roman"/>
                <w:snapToGrid/>
                <w:sz w:val="20"/>
              </w:rPr>
              <w:t xml:space="preserve">(PFS) </w:t>
            </w:r>
            <w:r w:rsidR="0042305E" w:rsidRPr="00F90B95">
              <w:rPr>
                <w:rFonts w:ascii="Arial Narrow" w:hAnsi="Arial Narrow" w:cs="Times New Roman"/>
                <w:snapToGrid/>
                <w:sz w:val="20"/>
              </w:rPr>
              <w:t xml:space="preserve">and </w:t>
            </w:r>
            <w:r w:rsidR="005E19C9" w:rsidRPr="00F90B95">
              <w:rPr>
                <w:rFonts w:ascii="Arial Narrow" w:hAnsi="Arial Narrow" w:cs="Times New Roman"/>
                <w:snapToGrid/>
                <w:sz w:val="20"/>
              </w:rPr>
              <w:t>o</w:t>
            </w:r>
            <w:r w:rsidR="0042305E" w:rsidRPr="00F90B95">
              <w:rPr>
                <w:rFonts w:ascii="Arial Narrow" w:hAnsi="Arial Narrow" w:cs="Times New Roman"/>
                <w:snapToGrid/>
                <w:sz w:val="20"/>
              </w:rPr>
              <w:t>verall s</w:t>
            </w:r>
            <w:r w:rsidRPr="00F90B95">
              <w:rPr>
                <w:rFonts w:ascii="Arial Narrow" w:hAnsi="Arial Narrow" w:cs="Times New Roman"/>
                <w:snapToGrid/>
                <w:sz w:val="20"/>
              </w:rPr>
              <w:t>urvival</w:t>
            </w:r>
            <w:r w:rsidR="00D64A6C" w:rsidRPr="00F90B95">
              <w:rPr>
                <w:rFonts w:ascii="Arial Narrow" w:hAnsi="Arial Narrow" w:cs="Times New Roman"/>
                <w:snapToGrid/>
                <w:sz w:val="20"/>
              </w:rPr>
              <w:t xml:space="preserve"> (OS)</w:t>
            </w:r>
            <w:r w:rsidR="00092C5D" w:rsidRPr="00F90B95">
              <w:rPr>
                <w:rFonts w:ascii="Arial Narrow" w:hAnsi="Arial Narrow" w:cs="Times New Roman"/>
                <w:snapToGrid/>
                <w:sz w:val="20"/>
              </w:rPr>
              <w:t>.</w:t>
            </w:r>
          </w:p>
        </w:tc>
      </w:tr>
      <w:tr w:rsidR="004D25BA" w:rsidRPr="00F90B95" w:rsidTr="00123CB5">
        <w:tc>
          <w:tcPr>
            <w:tcW w:w="1560"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Clinical claim</w:t>
            </w:r>
          </w:p>
        </w:tc>
        <w:tc>
          <w:tcPr>
            <w:tcW w:w="7488" w:type="dxa"/>
            <w:vAlign w:val="center"/>
          </w:tcPr>
          <w:p w:rsidR="004D25BA" w:rsidRPr="00F90B95" w:rsidRDefault="004D25BA" w:rsidP="006D78E0">
            <w:pPr>
              <w:keepNext/>
              <w:widowControl/>
              <w:jc w:val="left"/>
              <w:rPr>
                <w:rFonts w:ascii="Arial Narrow" w:hAnsi="Arial Narrow" w:cs="Times New Roman"/>
                <w:snapToGrid/>
                <w:sz w:val="20"/>
              </w:rPr>
            </w:pPr>
            <w:r w:rsidRPr="00F90B95">
              <w:rPr>
                <w:rFonts w:ascii="Arial Narrow" w:hAnsi="Arial Narrow" w:cs="Times New Roman"/>
                <w:snapToGrid/>
                <w:sz w:val="20"/>
              </w:rPr>
              <w:t>In patients with locally advanced unresectable, or Stage IV (metastatic) mismatch repair deficient (</w:t>
            </w:r>
            <w:proofErr w:type="spellStart"/>
            <w:r w:rsidRPr="00F90B95">
              <w:rPr>
                <w:rFonts w:ascii="Arial Narrow" w:hAnsi="Arial Narrow" w:cs="Times New Roman"/>
                <w:snapToGrid/>
                <w:sz w:val="20"/>
              </w:rPr>
              <w:t>dMMR</w:t>
            </w:r>
            <w:proofErr w:type="spellEnd"/>
            <w:r w:rsidRPr="00F90B95">
              <w:rPr>
                <w:rFonts w:ascii="Arial Narrow" w:hAnsi="Arial Narrow" w:cs="Times New Roman"/>
                <w:snapToGrid/>
                <w:sz w:val="20"/>
              </w:rPr>
              <w:t xml:space="preserve">) colorectal cancer, who have failed at least one prior therapy; pembrolizumab is more effective than standard chemotherapy, </w:t>
            </w:r>
            <w:proofErr w:type="spellStart"/>
            <w:r w:rsidRPr="00F90B95">
              <w:rPr>
                <w:rFonts w:ascii="Arial Narrow" w:hAnsi="Arial Narrow" w:cs="Times New Roman"/>
                <w:snapToGrid/>
                <w:sz w:val="20"/>
              </w:rPr>
              <w:t>cetuximab</w:t>
            </w:r>
            <w:proofErr w:type="spellEnd"/>
            <w:r w:rsidRPr="00F90B95">
              <w:rPr>
                <w:rFonts w:ascii="Arial Narrow" w:hAnsi="Arial Narrow" w:cs="Times New Roman"/>
                <w:snapToGrid/>
                <w:sz w:val="20"/>
              </w:rPr>
              <w:t xml:space="preserve"> + chemotherapy or bevacizumab + chemotherapy at improving survival</w:t>
            </w:r>
            <w:r w:rsidRPr="00F90B95">
              <w:rPr>
                <w:rFonts w:ascii="Arial Narrow" w:hAnsi="Arial Narrow" w:cs="Times New Roman"/>
                <w:i/>
                <w:snapToGrid/>
                <w:sz w:val="20"/>
              </w:rPr>
              <w:t>.</w:t>
            </w:r>
          </w:p>
        </w:tc>
      </w:tr>
    </w:tbl>
    <w:p w:rsidR="004D25BA" w:rsidRPr="00F90B95" w:rsidRDefault="0026712B" w:rsidP="004D25BA">
      <w:pPr>
        <w:rPr>
          <w:rFonts w:ascii="Arial Narrow" w:hAnsi="Arial Narrow"/>
          <w:sz w:val="18"/>
        </w:rPr>
      </w:pPr>
      <w:r w:rsidRPr="00F90B95">
        <w:rPr>
          <w:rFonts w:ascii="Arial Narrow" w:hAnsi="Arial Narrow"/>
          <w:sz w:val="18"/>
        </w:rPr>
        <w:t xml:space="preserve">FOLFIRI = </w:t>
      </w:r>
      <w:proofErr w:type="spellStart"/>
      <w:r w:rsidRPr="00F90B95">
        <w:rPr>
          <w:rFonts w:ascii="Arial Narrow" w:hAnsi="Arial Narrow"/>
          <w:sz w:val="18"/>
        </w:rPr>
        <w:t>L</w:t>
      </w:r>
      <w:r w:rsidR="004D25BA" w:rsidRPr="00F90B95">
        <w:rPr>
          <w:rFonts w:ascii="Arial Narrow" w:hAnsi="Arial Narrow"/>
          <w:sz w:val="18"/>
        </w:rPr>
        <w:t>eucovorin</w:t>
      </w:r>
      <w:proofErr w:type="spellEnd"/>
      <w:r w:rsidR="004D25BA" w:rsidRPr="00F90B95">
        <w:rPr>
          <w:rFonts w:ascii="Arial Narrow" w:hAnsi="Arial Narrow"/>
          <w:sz w:val="18"/>
        </w:rPr>
        <w:t xml:space="preserve"> calcium (</w:t>
      </w:r>
      <w:proofErr w:type="spellStart"/>
      <w:r w:rsidR="004D25BA" w:rsidRPr="00F90B95">
        <w:rPr>
          <w:rFonts w:ascii="Arial Narrow" w:hAnsi="Arial Narrow"/>
          <w:sz w:val="18"/>
        </w:rPr>
        <w:t>folinic</w:t>
      </w:r>
      <w:proofErr w:type="spellEnd"/>
      <w:r w:rsidR="004D25BA" w:rsidRPr="00F90B95">
        <w:rPr>
          <w:rFonts w:ascii="Arial Narrow" w:hAnsi="Arial Narrow"/>
          <w:sz w:val="18"/>
        </w:rPr>
        <w:t xml:space="preserve"> acid), 5-fluourouracil, </w:t>
      </w:r>
      <w:proofErr w:type="spellStart"/>
      <w:r w:rsidR="004D25BA" w:rsidRPr="00F90B95">
        <w:rPr>
          <w:rFonts w:ascii="Arial Narrow" w:hAnsi="Arial Narrow"/>
          <w:sz w:val="18"/>
        </w:rPr>
        <w:t>irinotecan</w:t>
      </w:r>
      <w:proofErr w:type="spellEnd"/>
      <w:r w:rsidR="004D25BA" w:rsidRPr="00F90B95">
        <w:rPr>
          <w:rFonts w:ascii="Arial Narrow" w:hAnsi="Arial Narrow"/>
          <w:sz w:val="18"/>
        </w:rPr>
        <w:t xml:space="preserve">; </w:t>
      </w:r>
      <w:r w:rsidRPr="00F90B95">
        <w:rPr>
          <w:rFonts w:ascii="Arial Narrow" w:hAnsi="Arial Narrow"/>
          <w:sz w:val="18"/>
        </w:rPr>
        <w:t xml:space="preserve">FOLFOX = </w:t>
      </w:r>
      <w:proofErr w:type="spellStart"/>
      <w:r w:rsidRPr="00F90B95">
        <w:rPr>
          <w:rFonts w:ascii="Arial Narrow" w:hAnsi="Arial Narrow"/>
          <w:sz w:val="18"/>
        </w:rPr>
        <w:t>L</w:t>
      </w:r>
      <w:r w:rsidR="004D25BA" w:rsidRPr="00F90B95">
        <w:rPr>
          <w:rFonts w:ascii="Arial Narrow" w:hAnsi="Arial Narrow"/>
          <w:sz w:val="18"/>
        </w:rPr>
        <w:t>eucovorin</w:t>
      </w:r>
      <w:proofErr w:type="spellEnd"/>
      <w:r w:rsidR="004D25BA" w:rsidRPr="00F90B95">
        <w:rPr>
          <w:rFonts w:ascii="Arial Narrow" w:hAnsi="Arial Narrow"/>
          <w:sz w:val="18"/>
        </w:rPr>
        <w:t xml:space="preserve"> calcium (</w:t>
      </w:r>
      <w:proofErr w:type="spellStart"/>
      <w:r w:rsidR="004D25BA" w:rsidRPr="00F90B95">
        <w:rPr>
          <w:rFonts w:ascii="Arial Narrow" w:hAnsi="Arial Narrow"/>
          <w:sz w:val="18"/>
        </w:rPr>
        <w:t>folinic</w:t>
      </w:r>
      <w:proofErr w:type="spellEnd"/>
      <w:r w:rsidR="004D25BA" w:rsidRPr="00F90B95">
        <w:rPr>
          <w:rFonts w:ascii="Arial Narrow" w:hAnsi="Arial Narrow"/>
          <w:sz w:val="18"/>
        </w:rPr>
        <w:t xml:space="preserve"> acid), 5-fluourouracil, </w:t>
      </w:r>
      <w:proofErr w:type="spellStart"/>
      <w:r w:rsidR="004D25BA" w:rsidRPr="00F90B95">
        <w:rPr>
          <w:rFonts w:ascii="Arial Narrow" w:hAnsi="Arial Narrow"/>
          <w:sz w:val="18"/>
        </w:rPr>
        <w:t>oxaliplatin</w:t>
      </w:r>
      <w:proofErr w:type="spellEnd"/>
      <w:r w:rsidRPr="00F90B95">
        <w:rPr>
          <w:rFonts w:ascii="Arial Narrow" w:hAnsi="Arial Narrow"/>
          <w:sz w:val="18"/>
        </w:rPr>
        <w:t xml:space="preserve">; EGFR = </w:t>
      </w:r>
      <w:r w:rsidR="00092C5D" w:rsidRPr="00F90B95">
        <w:rPr>
          <w:rFonts w:ascii="Arial Narrow" w:hAnsi="Arial Narrow"/>
          <w:sz w:val="18"/>
        </w:rPr>
        <w:t>e</w:t>
      </w:r>
      <w:r w:rsidR="004D25BA" w:rsidRPr="00F90B95">
        <w:rPr>
          <w:rFonts w:ascii="Arial Narrow" w:hAnsi="Arial Narrow"/>
          <w:sz w:val="18"/>
        </w:rPr>
        <w:t xml:space="preserve">pidermal growth factor receptor; XELOX = </w:t>
      </w:r>
      <w:proofErr w:type="spellStart"/>
      <w:r w:rsidR="00092C5D" w:rsidRPr="00F90B95">
        <w:rPr>
          <w:rFonts w:ascii="Arial Narrow" w:hAnsi="Arial Narrow"/>
          <w:sz w:val="18"/>
        </w:rPr>
        <w:t>o</w:t>
      </w:r>
      <w:r w:rsidR="004D25BA" w:rsidRPr="00F90B95">
        <w:rPr>
          <w:rFonts w:ascii="Arial Narrow" w:hAnsi="Arial Narrow"/>
          <w:sz w:val="18"/>
        </w:rPr>
        <w:t>xaliplatin</w:t>
      </w:r>
      <w:proofErr w:type="spellEnd"/>
      <w:r w:rsidR="004D25BA" w:rsidRPr="00F90B95">
        <w:rPr>
          <w:rFonts w:ascii="Arial Narrow" w:hAnsi="Arial Narrow"/>
          <w:sz w:val="18"/>
        </w:rPr>
        <w:t xml:space="preserve"> + </w:t>
      </w:r>
      <w:proofErr w:type="spellStart"/>
      <w:r w:rsidR="004D25BA" w:rsidRPr="00F90B95">
        <w:rPr>
          <w:rFonts w:ascii="Arial Narrow" w:hAnsi="Arial Narrow"/>
          <w:sz w:val="18"/>
        </w:rPr>
        <w:t>capecitabine</w:t>
      </w:r>
      <w:proofErr w:type="spellEnd"/>
      <w:r w:rsidR="004D25BA" w:rsidRPr="00F90B95">
        <w:rPr>
          <w:rFonts w:ascii="Arial Narrow" w:hAnsi="Arial Narrow"/>
          <w:sz w:val="18"/>
        </w:rPr>
        <w:t>.</w:t>
      </w:r>
    </w:p>
    <w:p w:rsidR="008B1757" w:rsidRPr="00F90B95" w:rsidRDefault="004D25BA" w:rsidP="004D25BA">
      <w:pPr>
        <w:rPr>
          <w:rFonts w:ascii="Arial Narrow" w:hAnsi="Arial Narrow"/>
          <w:sz w:val="18"/>
        </w:rPr>
      </w:pPr>
      <w:r w:rsidRPr="00F90B95">
        <w:rPr>
          <w:rFonts w:ascii="Arial Narrow" w:hAnsi="Arial Narrow"/>
          <w:sz w:val="18"/>
        </w:rPr>
        <w:t>Source: Table 1.1-1, p3 of the main submission</w:t>
      </w:r>
      <w:r w:rsidR="008B1757" w:rsidRPr="00F90B95">
        <w:rPr>
          <w:rFonts w:ascii="Arial Narrow" w:hAnsi="Arial Narrow"/>
          <w:sz w:val="18"/>
        </w:rPr>
        <w:t>.</w:t>
      </w:r>
    </w:p>
    <w:p w:rsidR="00AC3BAF" w:rsidRPr="00F90B95" w:rsidRDefault="00B50DB8" w:rsidP="0044164E">
      <w:pPr>
        <w:pStyle w:val="PBACHeading1"/>
        <w:keepNext/>
        <w:spacing w:before="120" w:after="120"/>
      </w:pPr>
      <w:bookmarkStart w:id="1" w:name="_Toc535588636"/>
      <w:r w:rsidRPr="00F90B95">
        <w:lastRenderedPageBreak/>
        <w:t>Requested listing</w:t>
      </w:r>
      <w:bookmarkEnd w:id="1"/>
    </w:p>
    <w:p w:rsidR="00DB2CC1" w:rsidRPr="00F90B95" w:rsidRDefault="00C74D3B" w:rsidP="00F0669F">
      <w:pPr>
        <w:pStyle w:val="Caption"/>
        <w:keepNext/>
        <w:keepLines/>
      </w:pPr>
      <w:r>
        <w:t xml:space="preserve">  </w:t>
      </w:r>
      <w:r w:rsidR="00DB2CC1" w:rsidRPr="00F90B95">
        <w:t>Essential elements of the requested listing</w:t>
      </w:r>
    </w:p>
    <w:tbl>
      <w:tblPr>
        <w:tblW w:w="9072" w:type="dxa"/>
        <w:tblInd w:w="108" w:type="dxa"/>
        <w:tblLayout w:type="fixed"/>
        <w:tblLook w:val="04A0" w:firstRow="1" w:lastRow="0" w:firstColumn="1" w:lastColumn="0" w:noHBand="0" w:noVBand="1"/>
      </w:tblPr>
      <w:tblGrid>
        <w:gridCol w:w="2977"/>
        <w:gridCol w:w="851"/>
        <w:gridCol w:w="708"/>
        <w:gridCol w:w="2127"/>
        <w:gridCol w:w="2409"/>
      </w:tblGrid>
      <w:tr w:rsidR="00DB2CC1" w:rsidRPr="00F90B95" w:rsidTr="004F4A63">
        <w:trPr>
          <w:trHeight w:val="58"/>
        </w:trPr>
        <w:tc>
          <w:tcPr>
            <w:tcW w:w="2977" w:type="dxa"/>
            <w:tcBorders>
              <w:top w:val="single" w:sz="4" w:space="0" w:color="auto"/>
              <w:bottom w:val="single" w:sz="4" w:space="0" w:color="auto"/>
            </w:tcBorders>
          </w:tcPr>
          <w:p w:rsidR="00DB2CC1" w:rsidRPr="00F90B95" w:rsidRDefault="00DB2CC1" w:rsidP="00F0669F">
            <w:pPr>
              <w:keepNext/>
              <w:keepLines/>
              <w:ind w:left="-108"/>
              <w:rPr>
                <w:rFonts w:ascii="Arial Narrow" w:hAnsi="Arial Narrow"/>
                <w:b/>
                <w:sz w:val="20"/>
              </w:rPr>
            </w:pPr>
            <w:r w:rsidRPr="00F90B95">
              <w:rPr>
                <w:rFonts w:ascii="Arial Narrow" w:hAnsi="Arial Narrow"/>
                <w:b/>
                <w:sz w:val="20"/>
              </w:rPr>
              <w:t>Name, Restriction,</w:t>
            </w:r>
          </w:p>
          <w:p w:rsidR="00DB2CC1" w:rsidRPr="00F90B95" w:rsidRDefault="00DB2CC1" w:rsidP="00F0669F">
            <w:pPr>
              <w:keepNext/>
              <w:keepLines/>
              <w:ind w:left="-108"/>
              <w:rPr>
                <w:rFonts w:ascii="Arial Narrow" w:hAnsi="Arial Narrow"/>
                <w:b/>
                <w:sz w:val="20"/>
              </w:rPr>
            </w:pPr>
            <w:r w:rsidRPr="00F90B95">
              <w:rPr>
                <w:rFonts w:ascii="Arial Narrow" w:hAnsi="Arial Narrow"/>
                <w:b/>
                <w:sz w:val="20"/>
              </w:rPr>
              <w:t>Manner of administration and form</w:t>
            </w:r>
          </w:p>
        </w:tc>
        <w:tc>
          <w:tcPr>
            <w:tcW w:w="851" w:type="dxa"/>
            <w:tcBorders>
              <w:top w:val="single" w:sz="4" w:space="0" w:color="auto"/>
              <w:bottom w:val="single" w:sz="4" w:space="0" w:color="auto"/>
            </w:tcBorders>
          </w:tcPr>
          <w:p w:rsidR="00DB2CC1" w:rsidRPr="00F90B95" w:rsidRDefault="00DB2CC1" w:rsidP="00F0669F">
            <w:pPr>
              <w:keepNext/>
              <w:keepLines/>
              <w:ind w:left="-108"/>
              <w:jc w:val="center"/>
              <w:rPr>
                <w:rFonts w:ascii="Arial Narrow" w:hAnsi="Arial Narrow"/>
                <w:b/>
                <w:sz w:val="20"/>
              </w:rPr>
            </w:pPr>
            <w:r w:rsidRPr="00F90B95">
              <w:rPr>
                <w:rFonts w:ascii="Arial Narrow" w:hAnsi="Arial Narrow"/>
                <w:b/>
                <w:sz w:val="20"/>
              </w:rPr>
              <w:t>Max.</w:t>
            </w:r>
          </w:p>
          <w:p w:rsidR="00DB2CC1" w:rsidRPr="00F90B95" w:rsidRDefault="00DB2CC1" w:rsidP="00F0669F">
            <w:pPr>
              <w:keepNext/>
              <w:keepLines/>
              <w:ind w:left="-108"/>
              <w:jc w:val="center"/>
              <w:rPr>
                <w:rFonts w:ascii="Arial Narrow" w:hAnsi="Arial Narrow"/>
                <w:b/>
                <w:sz w:val="20"/>
              </w:rPr>
            </w:pPr>
            <w:r w:rsidRPr="00F90B95">
              <w:rPr>
                <w:rFonts w:ascii="Arial Narrow" w:hAnsi="Arial Narrow"/>
                <w:b/>
                <w:sz w:val="20"/>
              </w:rPr>
              <w:t>Amount</w:t>
            </w:r>
          </w:p>
        </w:tc>
        <w:tc>
          <w:tcPr>
            <w:tcW w:w="708" w:type="dxa"/>
            <w:tcBorders>
              <w:top w:val="single" w:sz="4" w:space="0" w:color="auto"/>
              <w:bottom w:val="single" w:sz="4" w:space="0" w:color="auto"/>
            </w:tcBorders>
          </w:tcPr>
          <w:p w:rsidR="00DB2CC1" w:rsidRPr="00F90B95" w:rsidRDefault="00DB2CC1" w:rsidP="00F0669F">
            <w:pPr>
              <w:keepNext/>
              <w:keepLines/>
              <w:ind w:left="-108"/>
              <w:jc w:val="center"/>
              <w:rPr>
                <w:rFonts w:ascii="Arial Narrow" w:hAnsi="Arial Narrow"/>
                <w:b/>
                <w:sz w:val="20"/>
              </w:rPr>
            </w:pPr>
            <w:r w:rsidRPr="00F90B95">
              <w:rPr>
                <w:rFonts w:ascii="Arial Narrow" w:hAnsi="Arial Narrow"/>
                <w:b/>
                <w:sz w:val="20"/>
              </w:rPr>
              <w:t>№.of</w:t>
            </w:r>
          </w:p>
          <w:p w:rsidR="00DB2CC1" w:rsidRPr="00F90B95" w:rsidRDefault="00DB2CC1" w:rsidP="00F0669F">
            <w:pPr>
              <w:keepNext/>
              <w:keepLines/>
              <w:ind w:left="-108"/>
              <w:jc w:val="center"/>
              <w:rPr>
                <w:rFonts w:ascii="Arial Narrow" w:hAnsi="Arial Narrow"/>
                <w:b/>
                <w:sz w:val="20"/>
              </w:rPr>
            </w:pPr>
            <w:proofErr w:type="spellStart"/>
            <w:r w:rsidRPr="00F90B95">
              <w:rPr>
                <w:rFonts w:ascii="Arial Narrow" w:hAnsi="Arial Narrow"/>
                <w:b/>
                <w:sz w:val="20"/>
              </w:rPr>
              <w:t>Rpts</w:t>
            </w:r>
            <w:proofErr w:type="spellEnd"/>
          </w:p>
        </w:tc>
        <w:tc>
          <w:tcPr>
            <w:tcW w:w="2127" w:type="dxa"/>
            <w:tcBorders>
              <w:top w:val="single" w:sz="4" w:space="0" w:color="auto"/>
              <w:bottom w:val="single" w:sz="4" w:space="0" w:color="auto"/>
            </w:tcBorders>
          </w:tcPr>
          <w:p w:rsidR="00DB2CC1" w:rsidRPr="00F90B95" w:rsidRDefault="00DB2CC1" w:rsidP="00F0669F">
            <w:pPr>
              <w:keepNext/>
              <w:keepLines/>
              <w:ind w:left="-108"/>
              <w:jc w:val="left"/>
              <w:rPr>
                <w:rFonts w:ascii="Arial Narrow" w:hAnsi="Arial Narrow"/>
                <w:b/>
                <w:sz w:val="20"/>
                <w:vertAlign w:val="superscript"/>
              </w:rPr>
            </w:pPr>
            <w:r w:rsidRPr="00F90B95">
              <w:rPr>
                <w:rFonts w:ascii="Arial Narrow" w:hAnsi="Arial Narrow"/>
                <w:b/>
                <w:sz w:val="20"/>
              </w:rPr>
              <w:t>Dispensed Price for Max. Amount</w:t>
            </w:r>
          </w:p>
        </w:tc>
        <w:tc>
          <w:tcPr>
            <w:tcW w:w="2409" w:type="dxa"/>
            <w:tcBorders>
              <w:top w:val="single" w:sz="4" w:space="0" w:color="auto"/>
              <w:bottom w:val="single" w:sz="4" w:space="0" w:color="auto"/>
            </w:tcBorders>
          </w:tcPr>
          <w:p w:rsidR="00DB2CC1" w:rsidRPr="00F90B95" w:rsidRDefault="00DB2CC1" w:rsidP="00F0669F">
            <w:pPr>
              <w:keepNext/>
              <w:keepLines/>
              <w:ind w:left="-108"/>
              <w:jc w:val="left"/>
              <w:rPr>
                <w:rFonts w:ascii="Arial Narrow" w:hAnsi="Arial Narrow"/>
                <w:b/>
                <w:sz w:val="20"/>
              </w:rPr>
            </w:pPr>
            <w:r w:rsidRPr="00F90B95">
              <w:rPr>
                <w:rFonts w:ascii="Arial Narrow" w:hAnsi="Arial Narrow"/>
                <w:b/>
                <w:sz w:val="20"/>
              </w:rPr>
              <w:t>Proprietary Name and Manufacturer</w:t>
            </w:r>
          </w:p>
        </w:tc>
      </w:tr>
      <w:tr w:rsidR="00DB2CC1" w:rsidRPr="00F90B95" w:rsidTr="004F4A63">
        <w:trPr>
          <w:trHeight w:val="58"/>
        </w:trPr>
        <w:tc>
          <w:tcPr>
            <w:tcW w:w="2977" w:type="dxa"/>
            <w:tcBorders>
              <w:top w:val="single" w:sz="4" w:space="0" w:color="auto"/>
            </w:tcBorders>
          </w:tcPr>
          <w:p w:rsidR="00DB2CC1" w:rsidRPr="00F90B95" w:rsidRDefault="00DB2CC1" w:rsidP="00F0669F">
            <w:pPr>
              <w:keepNext/>
              <w:keepLines/>
              <w:ind w:left="-108"/>
              <w:rPr>
                <w:rFonts w:ascii="Arial Narrow" w:hAnsi="Arial Narrow"/>
                <w:smallCaps/>
                <w:sz w:val="20"/>
              </w:rPr>
            </w:pPr>
            <w:r w:rsidRPr="00F90B95">
              <w:rPr>
                <w:rFonts w:ascii="Arial Narrow" w:hAnsi="Arial Narrow"/>
                <w:smallCaps/>
                <w:sz w:val="20"/>
              </w:rPr>
              <w:t>PEMBROLIZUMAB</w:t>
            </w:r>
          </w:p>
          <w:p w:rsidR="00823F5A" w:rsidRPr="00F90B95" w:rsidRDefault="00823F5A" w:rsidP="00F0669F">
            <w:pPr>
              <w:keepNext/>
              <w:keepLines/>
              <w:ind w:left="-108"/>
              <w:rPr>
                <w:rFonts w:ascii="Arial Narrow" w:hAnsi="Arial Narrow"/>
                <w:sz w:val="20"/>
                <w:u w:val="single"/>
              </w:rPr>
            </w:pPr>
            <w:r w:rsidRPr="00F90B95">
              <w:rPr>
                <w:rFonts w:ascii="Arial Narrow" w:hAnsi="Arial Narrow"/>
                <w:sz w:val="20"/>
                <w:u w:val="single"/>
              </w:rPr>
              <w:t>Initial treatment</w:t>
            </w:r>
          </w:p>
          <w:p w:rsidR="00DB2CC1" w:rsidRPr="00F90B95" w:rsidRDefault="00DB2CC1" w:rsidP="00F0669F">
            <w:pPr>
              <w:keepNext/>
              <w:keepLines/>
              <w:ind w:left="-108"/>
              <w:rPr>
                <w:rFonts w:ascii="Arial Narrow" w:hAnsi="Arial Narrow"/>
                <w:sz w:val="20"/>
              </w:rPr>
            </w:pPr>
            <w:r w:rsidRPr="00F90B95">
              <w:rPr>
                <w:rFonts w:ascii="Arial Narrow" w:hAnsi="Arial Narrow"/>
                <w:sz w:val="20"/>
              </w:rPr>
              <w:t>100 mg/4 mL injection, 1 x 4 mL vial</w:t>
            </w:r>
          </w:p>
        </w:tc>
        <w:tc>
          <w:tcPr>
            <w:tcW w:w="851" w:type="dxa"/>
            <w:vMerge w:val="restart"/>
            <w:tcBorders>
              <w:top w:val="single" w:sz="4" w:space="0" w:color="auto"/>
            </w:tcBorders>
          </w:tcPr>
          <w:p w:rsidR="00823F5A" w:rsidRPr="00F90B95" w:rsidRDefault="00823F5A" w:rsidP="00F0669F">
            <w:pPr>
              <w:keepNext/>
              <w:keepLines/>
              <w:ind w:left="-108"/>
              <w:jc w:val="center"/>
              <w:rPr>
                <w:rFonts w:ascii="Arial Narrow" w:hAnsi="Arial Narrow"/>
                <w:sz w:val="20"/>
              </w:rPr>
            </w:pPr>
          </w:p>
          <w:p w:rsidR="00823F5A" w:rsidRPr="00F90B95" w:rsidRDefault="00823F5A" w:rsidP="00F0669F">
            <w:pPr>
              <w:keepNext/>
              <w:keepLines/>
              <w:ind w:left="-108"/>
              <w:jc w:val="center"/>
              <w:rPr>
                <w:rFonts w:ascii="Arial Narrow" w:hAnsi="Arial Narrow"/>
                <w:sz w:val="20"/>
              </w:rPr>
            </w:pPr>
          </w:p>
          <w:p w:rsidR="00DB2CC1" w:rsidRPr="00F90B95" w:rsidRDefault="00DB2CC1" w:rsidP="00F0669F">
            <w:pPr>
              <w:keepNext/>
              <w:keepLines/>
              <w:ind w:left="-108"/>
              <w:jc w:val="center"/>
              <w:rPr>
                <w:rFonts w:ascii="Arial Narrow" w:hAnsi="Arial Narrow"/>
                <w:sz w:val="20"/>
              </w:rPr>
            </w:pPr>
            <w:r w:rsidRPr="00F90B95">
              <w:rPr>
                <w:rFonts w:ascii="Arial Narrow" w:hAnsi="Arial Narrow"/>
                <w:sz w:val="20"/>
              </w:rPr>
              <w:t>200</w:t>
            </w:r>
            <w:r w:rsidR="00994196" w:rsidRPr="00F90B95">
              <w:rPr>
                <w:rFonts w:ascii="Arial Narrow" w:hAnsi="Arial Narrow"/>
                <w:sz w:val="20"/>
              </w:rPr>
              <w:t> </w:t>
            </w:r>
            <w:r w:rsidRPr="00F90B95">
              <w:rPr>
                <w:rFonts w:ascii="Arial Narrow" w:hAnsi="Arial Narrow"/>
                <w:sz w:val="20"/>
              </w:rPr>
              <w:t>mg</w:t>
            </w:r>
          </w:p>
          <w:p w:rsidR="00823F5A" w:rsidRPr="00F90B95" w:rsidRDefault="00823F5A" w:rsidP="00F0669F">
            <w:pPr>
              <w:keepNext/>
              <w:keepLines/>
              <w:ind w:left="-108"/>
              <w:jc w:val="center"/>
              <w:rPr>
                <w:rFonts w:ascii="Arial Narrow" w:hAnsi="Arial Narrow"/>
                <w:sz w:val="20"/>
              </w:rPr>
            </w:pPr>
          </w:p>
          <w:p w:rsidR="00823F5A" w:rsidRPr="00F90B95" w:rsidRDefault="00994196" w:rsidP="00F0669F">
            <w:pPr>
              <w:keepNext/>
              <w:keepLines/>
              <w:ind w:left="-108"/>
              <w:jc w:val="center"/>
              <w:rPr>
                <w:rFonts w:ascii="Arial Narrow" w:hAnsi="Arial Narrow"/>
                <w:sz w:val="20"/>
              </w:rPr>
            </w:pPr>
            <w:r w:rsidRPr="00F90B95">
              <w:rPr>
                <w:rFonts w:ascii="Arial Narrow" w:hAnsi="Arial Narrow"/>
                <w:sz w:val="20"/>
              </w:rPr>
              <w:t>200 </w:t>
            </w:r>
            <w:r w:rsidR="00823F5A" w:rsidRPr="00F90B95">
              <w:rPr>
                <w:rFonts w:ascii="Arial Narrow" w:hAnsi="Arial Narrow"/>
                <w:sz w:val="20"/>
              </w:rPr>
              <w:t>mg</w:t>
            </w:r>
          </w:p>
        </w:tc>
        <w:tc>
          <w:tcPr>
            <w:tcW w:w="708" w:type="dxa"/>
            <w:tcBorders>
              <w:top w:val="single" w:sz="4" w:space="0" w:color="auto"/>
            </w:tcBorders>
          </w:tcPr>
          <w:p w:rsidR="00823F5A" w:rsidRPr="00F90B95" w:rsidRDefault="00823F5A" w:rsidP="00F0669F">
            <w:pPr>
              <w:keepNext/>
              <w:keepLines/>
              <w:ind w:left="-108"/>
              <w:jc w:val="center"/>
              <w:rPr>
                <w:rFonts w:ascii="Arial Narrow" w:hAnsi="Arial Narrow"/>
                <w:sz w:val="20"/>
              </w:rPr>
            </w:pPr>
          </w:p>
          <w:p w:rsidR="0004366C" w:rsidRPr="00F90B95" w:rsidRDefault="0004366C" w:rsidP="00F0669F">
            <w:pPr>
              <w:keepNext/>
              <w:keepLines/>
              <w:ind w:left="-108"/>
              <w:jc w:val="center"/>
              <w:rPr>
                <w:rFonts w:ascii="Arial Narrow" w:hAnsi="Arial Narrow"/>
                <w:sz w:val="20"/>
              </w:rPr>
            </w:pPr>
          </w:p>
          <w:p w:rsidR="00DB2CC1" w:rsidRPr="00F90B95" w:rsidRDefault="00DB2CC1" w:rsidP="00F0669F">
            <w:pPr>
              <w:keepNext/>
              <w:keepLines/>
              <w:ind w:left="-108"/>
              <w:jc w:val="center"/>
              <w:rPr>
                <w:rFonts w:ascii="Arial Narrow" w:hAnsi="Arial Narrow"/>
                <w:sz w:val="20"/>
              </w:rPr>
            </w:pPr>
            <w:r w:rsidRPr="00F90B95">
              <w:rPr>
                <w:rFonts w:ascii="Arial Narrow" w:hAnsi="Arial Narrow"/>
                <w:sz w:val="20"/>
              </w:rPr>
              <w:t>5</w:t>
            </w:r>
          </w:p>
        </w:tc>
        <w:tc>
          <w:tcPr>
            <w:tcW w:w="2127" w:type="dxa"/>
            <w:vMerge w:val="restart"/>
            <w:tcBorders>
              <w:top w:val="single" w:sz="4" w:space="0" w:color="auto"/>
            </w:tcBorders>
            <w:vAlign w:val="center"/>
          </w:tcPr>
          <w:p w:rsidR="0066647C" w:rsidRPr="00F90B95" w:rsidRDefault="0066647C" w:rsidP="00F0669F">
            <w:pPr>
              <w:keepNext/>
              <w:keepLines/>
              <w:ind w:left="-108"/>
              <w:rPr>
                <w:rFonts w:ascii="Arial Narrow" w:hAnsi="Arial Narrow"/>
                <w:sz w:val="20"/>
              </w:rPr>
            </w:pPr>
            <w:r w:rsidRPr="00F90B95">
              <w:rPr>
                <w:rFonts w:ascii="Arial Narrow" w:hAnsi="Arial Narrow"/>
                <w:sz w:val="20"/>
              </w:rPr>
              <w:t xml:space="preserve">Published: </w:t>
            </w:r>
          </w:p>
          <w:p w:rsidR="0066647C" w:rsidRPr="00F90B95" w:rsidRDefault="0066647C" w:rsidP="00F0669F">
            <w:pPr>
              <w:keepNext/>
              <w:keepLines/>
              <w:ind w:left="-108"/>
              <w:rPr>
                <w:rFonts w:ascii="Arial Narrow" w:hAnsi="Arial Narrow"/>
                <w:sz w:val="20"/>
              </w:rPr>
            </w:pPr>
            <w:r w:rsidRPr="00F90B95">
              <w:rPr>
                <w:rFonts w:ascii="Arial Narrow" w:hAnsi="Arial Narrow"/>
                <w:sz w:val="20"/>
              </w:rPr>
              <w:t>$9,024.44 (Public)</w:t>
            </w:r>
          </w:p>
          <w:p w:rsidR="0066647C" w:rsidRPr="00F90B95" w:rsidRDefault="0066647C" w:rsidP="00F0669F">
            <w:pPr>
              <w:keepNext/>
              <w:keepLines/>
              <w:ind w:left="-108"/>
              <w:rPr>
                <w:rFonts w:ascii="Arial Narrow" w:hAnsi="Arial Narrow"/>
                <w:sz w:val="20"/>
              </w:rPr>
            </w:pPr>
            <w:r w:rsidRPr="00F90B95">
              <w:rPr>
                <w:rFonts w:ascii="Arial Narrow" w:hAnsi="Arial Narrow"/>
                <w:sz w:val="20"/>
              </w:rPr>
              <w:t xml:space="preserve">$9,188.54 (Private) </w:t>
            </w:r>
          </w:p>
          <w:p w:rsidR="0066647C" w:rsidRPr="00F90B95" w:rsidRDefault="0066647C" w:rsidP="00F0669F">
            <w:pPr>
              <w:keepNext/>
              <w:keepLines/>
              <w:ind w:left="-108"/>
              <w:rPr>
                <w:rFonts w:ascii="Arial Narrow" w:hAnsi="Arial Narrow"/>
                <w:sz w:val="20"/>
              </w:rPr>
            </w:pPr>
          </w:p>
          <w:p w:rsidR="0066647C" w:rsidRPr="00F90B95" w:rsidRDefault="0066647C" w:rsidP="00F0669F">
            <w:pPr>
              <w:keepNext/>
              <w:keepLines/>
              <w:ind w:left="-108"/>
              <w:rPr>
                <w:rFonts w:ascii="Arial Narrow" w:hAnsi="Arial Narrow"/>
                <w:sz w:val="20"/>
              </w:rPr>
            </w:pPr>
            <w:r w:rsidRPr="00F90B95">
              <w:rPr>
                <w:rFonts w:ascii="Arial Narrow" w:hAnsi="Arial Narrow"/>
                <w:sz w:val="20"/>
              </w:rPr>
              <w:t>Effective:</w:t>
            </w:r>
          </w:p>
          <w:p w:rsidR="0066647C" w:rsidRPr="00F90B95" w:rsidRDefault="0066647C" w:rsidP="00F0669F">
            <w:pPr>
              <w:keepNext/>
              <w:keepLines/>
              <w:ind w:left="-108"/>
              <w:rPr>
                <w:rFonts w:ascii="Arial Narrow" w:hAnsi="Arial Narrow"/>
                <w:sz w:val="20"/>
              </w:rPr>
            </w:pPr>
            <w:r w:rsidRPr="00F90B95">
              <w:rPr>
                <w:rFonts w:ascii="Arial Narrow" w:hAnsi="Arial Narrow"/>
                <w:sz w:val="20"/>
              </w:rPr>
              <w:t>$</w:t>
            </w:r>
            <w:r w:rsidR="00A36C14">
              <w:rPr>
                <w:rFonts w:ascii="Arial Narrow" w:hAnsi="Arial Narrow"/>
                <w:noProof/>
                <w:color w:val="000000"/>
                <w:sz w:val="20"/>
                <w:highlight w:val="black"/>
              </w:rPr>
              <w:t>''''''''''''''''''''</w:t>
            </w:r>
            <w:r w:rsidRPr="00F90B95">
              <w:rPr>
                <w:rFonts w:ascii="Arial Narrow" w:hAnsi="Arial Narrow"/>
                <w:sz w:val="20"/>
              </w:rPr>
              <w:t xml:space="preserve"> (Public)</w:t>
            </w:r>
          </w:p>
          <w:p w:rsidR="00823F5A" w:rsidRPr="00F90B95" w:rsidRDefault="0066647C" w:rsidP="00AC3BAF">
            <w:pPr>
              <w:keepNext/>
              <w:keepLines/>
              <w:ind w:left="-108"/>
              <w:rPr>
                <w:rFonts w:ascii="Arial Narrow" w:hAnsi="Arial Narrow"/>
                <w:sz w:val="20"/>
              </w:rPr>
            </w:pPr>
            <w:r w:rsidRPr="00F90B95">
              <w:rPr>
                <w:rFonts w:ascii="Arial Narrow" w:hAnsi="Arial Narrow"/>
                <w:sz w:val="20"/>
              </w:rPr>
              <w:t>$</w:t>
            </w:r>
            <w:r w:rsidR="00A36C14">
              <w:rPr>
                <w:rFonts w:ascii="Arial Narrow" w:hAnsi="Arial Narrow"/>
                <w:noProof/>
                <w:color w:val="000000"/>
                <w:sz w:val="20"/>
                <w:highlight w:val="black"/>
              </w:rPr>
              <w:t>'''''''''''''''''''</w:t>
            </w:r>
            <w:r w:rsidRPr="00F90B95">
              <w:rPr>
                <w:rFonts w:ascii="Arial Narrow" w:hAnsi="Arial Narrow"/>
                <w:sz w:val="20"/>
              </w:rPr>
              <w:t xml:space="preserve"> (Private)</w:t>
            </w:r>
            <w:r w:rsidR="00DB2CC1" w:rsidRPr="00F90B95">
              <w:rPr>
                <w:rFonts w:ascii="Arial Narrow" w:hAnsi="Arial Narrow"/>
                <w:sz w:val="20"/>
              </w:rPr>
              <w:t xml:space="preserve"> </w:t>
            </w:r>
          </w:p>
          <w:p w:rsidR="008A5A7F" w:rsidRPr="00F90B95" w:rsidRDefault="008A5A7F" w:rsidP="00AC3BAF">
            <w:pPr>
              <w:keepNext/>
              <w:keepLines/>
              <w:ind w:left="-108"/>
              <w:rPr>
                <w:rFonts w:ascii="Arial Narrow" w:hAnsi="Arial Narrow"/>
                <w:sz w:val="20"/>
              </w:rPr>
            </w:pPr>
          </w:p>
        </w:tc>
        <w:tc>
          <w:tcPr>
            <w:tcW w:w="2409" w:type="dxa"/>
            <w:vMerge w:val="restart"/>
            <w:tcBorders>
              <w:top w:val="single" w:sz="4" w:space="0" w:color="auto"/>
            </w:tcBorders>
          </w:tcPr>
          <w:p w:rsidR="00DB2CC1" w:rsidRPr="00F90B95" w:rsidRDefault="00DB2CC1" w:rsidP="00F0669F">
            <w:pPr>
              <w:keepNext/>
              <w:keepLines/>
              <w:ind w:right="-57"/>
              <w:jc w:val="left"/>
              <w:rPr>
                <w:rFonts w:ascii="Arial Narrow" w:hAnsi="Arial Narrow"/>
                <w:sz w:val="20"/>
              </w:rPr>
            </w:pPr>
            <w:r w:rsidRPr="00F90B95">
              <w:rPr>
                <w:rFonts w:ascii="Arial Narrow" w:hAnsi="Arial Narrow"/>
                <w:sz w:val="20"/>
              </w:rPr>
              <w:t>KEYTRUDA</w:t>
            </w:r>
            <w:r w:rsidRPr="00F90B95">
              <w:rPr>
                <w:rFonts w:ascii="Arial Narrow" w:hAnsi="Arial Narrow"/>
                <w:sz w:val="20"/>
                <w:vertAlign w:val="superscript"/>
              </w:rPr>
              <w:t>®</w:t>
            </w:r>
          </w:p>
          <w:p w:rsidR="00DB2CC1" w:rsidRPr="00F90B95" w:rsidRDefault="00DB2CC1" w:rsidP="00F0669F">
            <w:pPr>
              <w:keepNext/>
              <w:keepLines/>
              <w:ind w:left="-108"/>
              <w:jc w:val="left"/>
              <w:rPr>
                <w:rFonts w:ascii="Arial Narrow" w:hAnsi="Arial Narrow"/>
                <w:sz w:val="20"/>
              </w:rPr>
            </w:pPr>
            <w:r w:rsidRPr="00F90B95">
              <w:rPr>
                <w:rFonts w:ascii="Arial Narrow" w:hAnsi="Arial Narrow"/>
                <w:sz w:val="20"/>
              </w:rPr>
              <w:t>Merck Sharp &amp; Dohme Pty L</w:t>
            </w:r>
            <w:r w:rsidR="00823F5A" w:rsidRPr="00F90B95">
              <w:rPr>
                <w:rFonts w:ascii="Arial Narrow" w:hAnsi="Arial Narrow"/>
                <w:sz w:val="20"/>
              </w:rPr>
              <w:t>td</w:t>
            </w:r>
          </w:p>
        </w:tc>
      </w:tr>
      <w:tr w:rsidR="00DB2CC1" w:rsidRPr="00F90B95" w:rsidTr="004F4A63">
        <w:trPr>
          <w:trHeight w:val="58"/>
        </w:trPr>
        <w:tc>
          <w:tcPr>
            <w:tcW w:w="2977" w:type="dxa"/>
          </w:tcPr>
          <w:p w:rsidR="00DB2CC1" w:rsidRPr="00F90B95" w:rsidRDefault="00DB2CC1" w:rsidP="00837A2D">
            <w:pPr>
              <w:keepNext/>
              <w:ind w:left="-108"/>
              <w:rPr>
                <w:rFonts w:ascii="Arial Narrow" w:hAnsi="Arial Narrow"/>
                <w:sz w:val="20"/>
                <w:u w:val="single"/>
              </w:rPr>
            </w:pPr>
            <w:r w:rsidRPr="00F90B95">
              <w:rPr>
                <w:rFonts w:ascii="Arial Narrow" w:hAnsi="Arial Narrow"/>
                <w:sz w:val="20"/>
                <w:u w:val="single"/>
              </w:rPr>
              <w:t>Continuing treatment</w:t>
            </w:r>
          </w:p>
          <w:p w:rsidR="00DB2CC1" w:rsidRPr="00F90B95" w:rsidRDefault="00DB2CC1" w:rsidP="00823F5A">
            <w:pPr>
              <w:keepNext/>
              <w:ind w:left="-108"/>
              <w:rPr>
                <w:rFonts w:ascii="Arial Narrow" w:hAnsi="Arial Narrow"/>
                <w:smallCaps/>
                <w:sz w:val="20"/>
              </w:rPr>
            </w:pPr>
            <w:r w:rsidRPr="00F90B95">
              <w:rPr>
                <w:rFonts w:ascii="Arial Narrow" w:hAnsi="Arial Narrow"/>
                <w:sz w:val="20"/>
              </w:rPr>
              <w:t>100 mg/4 mL injection, 1 x 4 mL vial</w:t>
            </w:r>
          </w:p>
        </w:tc>
        <w:tc>
          <w:tcPr>
            <w:tcW w:w="851" w:type="dxa"/>
            <w:vMerge/>
          </w:tcPr>
          <w:p w:rsidR="00DB2CC1" w:rsidRPr="00F90B95" w:rsidRDefault="00DB2CC1" w:rsidP="00837A2D">
            <w:pPr>
              <w:keepNext/>
              <w:ind w:left="-108"/>
              <w:jc w:val="center"/>
              <w:rPr>
                <w:rFonts w:ascii="Arial Narrow" w:hAnsi="Arial Narrow"/>
                <w:sz w:val="20"/>
              </w:rPr>
            </w:pPr>
          </w:p>
        </w:tc>
        <w:tc>
          <w:tcPr>
            <w:tcW w:w="708" w:type="dxa"/>
          </w:tcPr>
          <w:p w:rsidR="00823F5A" w:rsidRPr="00F90B95" w:rsidRDefault="00823F5A" w:rsidP="00837A2D">
            <w:pPr>
              <w:keepNext/>
              <w:ind w:left="-108"/>
              <w:jc w:val="center"/>
              <w:rPr>
                <w:rFonts w:ascii="Arial Narrow" w:hAnsi="Arial Narrow"/>
                <w:sz w:val="20"/>
              </w:rPr>
            </w:pPr>
          </w:p>
          <w:p w:rsidR="00DB2CC1" w:rsidRPr="00F90B95" w:rsidRDefault="00DB2CC1" w:rsidP="00837A2D">
            <w:pPr>
              <w:keepNext/>
              <w:ind w:left="-108"/>
              <w:jc w:val="center"/>
              <w:rPr>
                <w:rFonts w:ascii="Arial Narrow" w:hAnsi="Arial Narrow"/>
                <w:strike/>
                <w:sz w:val="20"/>
              </w:rPr>
            </w:pPr>
            <w:r w:rsidRPr="00F90B95">
              <w:rPr>
                <w:rFonts w:ascii="Arial Narrow" w:hAnsi="Arial Narrow"/>
                <w:sz w:val="20"/>
              </w:rPr>
              <w:t>6</w:t>
            </w:r>
          </w:p>
        </w:tc>
        <w:tc>
          <w:tcPr>
            <w:tcW w:w="2127" w:type="dxa"/>
            <w:vMerge/>
            <w:tcBorders>
              <w:left w:val="nil"/>
            </w:tcBorders>
          </w:tcPr>
          <w:p w:rsidR="00DB2CC1" w:rsidRPr="00F90B95" w:rsidRDefault="00DB2CC1" w:rsidP="00837A2D">
            <w:pPr>
              <w:keepNext/>
              <w:ind w:left="-108"/>
              <w:rPr>
                <w:rFonts w:ascii="Arial Narrow" w:hAnsi="Arial Narrow"/>
                <w:sz w:val="20"/>
              </w:rPr>
            </w:pPr>
          </w:p>
        </w:tc>
        <w:tc>
          <w:tcPr>
            <w:tcW w:w="2409" w:type="dxa"/>
            <w:vMerge/>
            <w:vAlign w:val="center"/>
          </w:tcPr>
          <w:p w:rsidR="00DB2CC1" w:rsidRPr="00F90B95" w:rsidRDefault="00DB2CC1" w:rsidP="00837A2D">
            <w:pPr>
              <w:keepNext/>
              <w:ind w:left="-108"/>
              <w:jc w:val="center"/>
              <w:rPr>
                <w:rFonts w:ascii="Arial Narrow" w:hAnsi="Arial Narrow"/>
                <w:sz w:val="20"/>
              </w:rPr>
            </w:pPr>
          </w:p>
        </w:tc>
      </w:tr>
    </w:tbl>
    <w:p w:rsidR="004F4A63" w:rsidRDefault="004F4A63"/>
    <w:tbl>
      <w:tblPr>
        <w:tblW w:w="9072" w:type="dxa"/>
        <w:tblInd w:w="103" w:type="dxa"/>
        <w:tblLayout w:type="fixed"/>
        <w:tblLook w:val="04A0" w:firstRow="1" w:lastRow="0" w:firstColumn="1" w:lastColumn="0" w:noHBand="0" w:noVBand="1"/>
      </w:tblPr>
      <w:tblGrid>
        <w:gridCol w:w="2268"/>
        <w:gridCol w:w="6804"/>
      </w:tblGrid>
      <w:tr w:rsidR="00DB2CC1" w:rsidRPr="00F90B95" w:rsidTr="004F4A63">
        <w:trPr>
          <w:cantSplit/>
          <w:trHeight w:val="58"/>
        </w:trPr>
        <w:tc>
          <w:tcPr>
            <w:tcW w:w="2268" w:type="dxa"/>
            <w:tcBorders>
              <w:left w:val="single" w:sz="4" w:space="0" w:color="auto"/>
              <w:bottom w:val="single" w:sz="4" w:space="0" w:color="auto"/>
              <w:right w:val="single" w:sz="4" w:space="0" w:color="auto"/>
            </w:tcBorders>
            <w:hideMark/>
          </w:tcPr>
          <w:p w:rsidR="00DB2CC1" w:rsidRPr="00F90B95" w:rsidRDefault="00DB2CC1" w:rsidP="005E19C9">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Category / Program:</w:t>
            </w:r>
          </w:p>
        </w:tc>
        <w:tc>
          <w:tcPr>
            <w:tcW w:w="6804" w:type="dxa"/>
            <w:tcBorders>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t>Section 100 - Efficient funding of Chemotherapy</w:t>
            </w:r>
          </w:p>
        </w:tc>
      </w:tr>
      <w:tr w:rsidR="00DB2CC1" w:rsidRPr="00F90B95" w:rsidTr="004F4A63">
        <w:trPr>
          <w:cantSplit/>
          <w:trHeight w:val="58"/>
        </w:trPr>
        <w:tc>
          <w:tcPr>
            <w:tcW w:w="2268" w:type="dxa"/>
            <w:tcBorders>
              <w:top w:val="single" w:sz="4" w:space="0" w:color="auto"/>
              <w:left w:val="single" w:sz="4" w:space="0" w:color="auto"/>
              <w:bottom w:val="single" w:sz="4" w:space="0" w:color="auto"/>
              <w:right w:val="single" w:sz="4" w:space="0" w:color="auto"/>
            </w:tcBorders>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Prescriber type</w:t>
            </w:r>
          </w:p>
        </w:tc>
        <w:tc>
          <w:tcPr>
            <w:tcW w:w="6804" w:type="dxa"/>
            <w:tcBorders>
              <w:top w:val="single" w:sz="4" w:space="0" w:color="auto"/>
              <w:left w:val="single" w:sz="4" w:space="0" w:color="auto"/>
              <w:bottom w:val="single" w:sz="4" w:space="0" w:color="auto"/>
              <w:right w:val="single" w:sz="4" w:space="0" w:color="auto"/>
            </w:tcBorders>
          </w:tcPr>
          <w:p w:rsidR="00DB2CC1" w:rsidRPr="00F90B95" w:rsidRDefault="00DB2CC1" w:rsidP="00837A2D">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t>Medical Practitioners</w:t>
            </w:r>
          </w:p>
        </w:tc>
      </w:tr>
      <w:tr w:rsidR="00DB2CC1" w:rsidRPr="00F90B95" w:rsidTr="004F4A63">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Severity:</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t>Locally advanced (unresectable) or metastatic (Stage IV)</w:t>
            </w:r>
          </w:p>
        </w:tc>
      </w:tr>
      <w:tr w:rsidR="00DB2CC1" w:rsidRPr="00F90B95" w:rsidTr="004F4A63">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Condition:</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olor w:val="000000" w:themeColor="text1"/>
                <w:sz w:val="20"/>
                <w:lang w:eastAsia="en-AU"/>
              </w:rPr>
            </w:pPr>
            <w:r w:rsidRPr="00F90B95">
              <w:rPr>
                <w:rFonts w:ascii="Arial Narrow" w:hAnsi="Arial Narrow"/>
                <w:color w:val="000000" w:themeColor="text1"/>
                <w:sz w:val="20"/>
                <w:lang w:eastAsia="en-AU"/>
              </w:rPr>
              <w:t xml:space="preserve">Locally advanced (unresectable), or Stage IV (metastatic) </w:t>
            </w:r>
            <w:proofErr w:type="spellStart"/>
            <w:r w:rsidRPr="00F90B95">
              <w:rPr>
                <w:rFonts w:ascii="Arial Narrow" w:hAnsi="Arial Narrow"/>
                <w:color w:val="000000" w:themeColor="text1"/>
                <w:sz w:val="20"/>
                <w:lang w:eastAsia="en-AU"/>
              </w:rPr>
              <w:t>dMMR</w:t>
            </w:r>
            <w:proofErr w:type="spellEnd"/>
            <w:r w:rsidRPr="00F90B95">
              <w:rPr>
                <w:rFonts w:ascii="Arial Narrow" w:hAnsi="Arial Narrow"/>
                <w:color w:val="000000" w:themeColor="text1"/>
                <w:sz w:val="20"/>
                <w:lang w:eastAsia="en-AU"/>
              </w:rPr>
              <w:t xml:space="preserve"> colorectal cancer</w:t>
            </w:r>
          </w:p>
        </w:tc>
      </w:tr>
      <w:tr w:rsidR="00DB2CC1" w:rsidRPr="00F90B95" w:rsidTr="004F4A63">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PBS Indication:</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olor w:val="000000" w:themeColor="text1"/>
                <w:sz w:val="20"/>
                <w:lang w:eastAsia="en-AU"/>
              </w:rPr>
            </w:pPr>
            <w:r w:rsidRPr="00F90B95">
              <w:rPr>
                <w:rFonts w:ascii="Arial Narrow" w:hAnsi="Arial Narrow"/>
                <w:color w:val="000000" w:themeColor="text1"/>
                <w:sz w:val="20"/>
                <w:lang w:eastAsia="en-AU"/>
              </w:rPr>
              <w:t xml:space="preserve">Locally advanced (unresectable) or Stage IV (metastatic) </w:t>
            </w:r>
            <w:proofErr w:type="spellStart"/>
            <w:r w:rsidRPr="00F90B95">
              <w:rPr>
                <w:rFonts w:ascii="Arial Narrow" w:hAnsi="Arial Narrow"/>
                <w:color w:val="000000" w:themeColor="text1"/>
                <w:sz w:val="20"/>
                <w:lang w:eastAsia="en-AU"/>
              </w:rPr>
              <w:t>dMMR</w:t>
            </w:r>
            <w:proofErr w:type="spellEnd"/>
            <w:r w:rsidRPr="00F90B95">
              <w:rPr>
                <w:rFonts w:ascii="Arial Narrow" w:hAnsi="Arial Narrow"/>
                <w:color w:val="000000" w:themeColor="text1"/>
                <w:sz w:val="20"/>
                <w:lang w:eastAsia="en-AU"/>
              </w:rPr>
              <w:t xml:space="preserve"> colorectal cancer in patients who have failed at least one prior therapy.</w:t>
            </w:r>
          </w:p>
        </w:tc>
      </w:tr>
      <w:tr w:rsidR="00DB2CC1" w:rsidRPr="00F90B95" w:rsidTr="004F4A63">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Treatment phase:</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olor w:val="000000" w:themeColor="text1"/>
                <w:sz w:val="20"/>
                <w:lang w:eastAsia="en-AU"/>
              </w:rPr>
            </w:pPr>
            <w:r w:rsidRPr="00F90B95">
              <w:rPr>
                <w:rFonts w:ascii="Arial Narrow" w:hAnsi="Arial Narrow"/>
                <w:color w:val="000000" w:themeColor="text1"/>
                <w:sz w:val="20"/>
                <w:lang w:eastAsia="en-AU"/>
              </w:rPr>
              <w:t>Initial treatment</w:t>
            </w:r>
          </w:p>
        </w:tc>
      </w:tr>
      <w:tr w:rsidR="00DB2CC1" w:rsidRPr="00F90B95" w:rsidTr="004F4A63">
        <w:trPr>
          <w:cantSplit/>
          <w:trHeight w:val="64"/>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04366C">
            <w:pPr>
              <w:keepNext/>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Restriction Level/Method:</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fldChar w:fldCharType="begin">
                <w:ffData>
                  <w:name w:val="Check5"/>
                  <w:enabled/>
                  <w:calcOnExit w:val="0"/>
                  <w:checkBox>
                    <w:sizeAuto/>
                    <w:default w:val="1"/>
                  </w:checkBox>
                </w:ffData>
              </w:fldChar>
            </w:r>
            <w:r w:rsidRPr="00F90B95">
              <w:rPr>
                <w:rFonts w:ascii="Arial Narrow" w:hAnsi="Arial Narrow" w:cs="Times New Roman"/>
                <w:color w:val="000000" w:themeColor="text1"/>
                <w:sz w:val="20"/>
                <w:lang w:eastAsia="en-AU"/>
              </w:rPr>
              <w:instrText xml:space="preserve"> FORMCHECKBOX </w:instrText>
            </w:r>
            <w:r w:rsidR="00B75383">
              <w:rPr>
                <w:rFonts w:ascii="Arial Narrow" w:hAnsi="Arial Narrow" w:cs="Times New Roman"/>
                <w:color w:val="000000" w:themeColor="text1"/>
                <w:sz w:val="20"/>
                <w:lang w:eastAsia="en-AU"/>
              </w:rPr>
            </w:r>
            <w:r w:rsidR="00B75383">
              <w:rPr>
                <w:rFonts w:ascii="Arial Narrow" w:hAnsi="Arial Narrow" w:cs="Times New Roman"/>
                <w:color w:val="000000" w:themeColor="text1"/>
                <w:sz w:val="20"/>
                <w:lang w:eastAsia="en-AU"/>
              </w:rPr>
              <w:fldChar w:fldCharType="separate"/>
            </w:r>
            <w:r w:rsidRPr="00F90B95">
              <w:rPr>
                <w:rFonts w:ascii="Arial Narrow" w:hAnsi="Arial Narrow" w:cs="Times New Roman"/>
                <w:color w:val="000000" w:themeColor="text1"/>
                <w:sz w:val="20"/>
                <w:lang w:eastAsia="en-AU"/>
              </w:rPr>
              <w:fldChar w:fldCharType="end"/>
            </w:r>
            <w:r w:rsidRPr="00F90B95">
              <w:rPr>
                <w:rFonts w:ascii="Arial Narrow" w:hAnsi="Arial Narrow" w:cs="Times New Roman"/>
                <w:color w:val="000000" w:themeColor="text1"/>
                <w:sz w:val="20"/>
                <w:lang w:eastAsia="en-AU"/>
              </w:rPr>
              <w:t>S</w:t>
            </w:r>
            <w:r w:rsidRPr="00F90B95">
              <w:rPr>
                <w:rFonts w:ascii="Arial Narrow" w:hAnsi="Arial Narrow"/>
                <w:color w:val="000000" w:themeColor="text1"/>
                <w:sz w:val="20"/>
                <w:lang w:eastAsia="en-AU"/>
              </w:rPr>
              <w:t>treamlined</w:t>
            </w:r>
          </w:p>
        </w:tc>
      </w:tr>
      <w:tr w:rsidR="00DB2CC1" w:rsidRPr="00F90B95" w:rsidTr="004F4A63">
        <w:trPr>
          <w:cantSplit/>
          <w:trHeight w:val="274"/>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42305E">
            <w:pPr>
              <w:jc w:val="left"/>
              <w:rPr>
                <w:rFonts w:ascii="Arial Narrow" w:hAnsi="Arial Narrow"/>
                <w:b/>
                <w:sz w:val="20"/>
                <w:lang w:eastAsia="en-AU"/>
              </w:rPr>
            </w:pPr>
            <w:r w:rsidRPr="00F90B95">
              <w:rPr>
                <w:rFonts w:ascii="Arial Narrow" w:hAnsi="Arial Narrow"/>
                <w:b/>
                <w:sz w:val="20"/>
                <w:lang w:eastAsia="en-AU"/>
              </w:rPr>
              <w:t>Clinical criteria:</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sz w:val="20"/>
              </w:rPr>
            </w:pPr>
            <w:r w:rsidRPr="00F90B95">
              <w:rPr>
                <w:rFonts w:ascii="Arial Narrow" w:hAnsi="Arial Narrow"/>
                <w:sz w:val="20"/>
              </w:rPr>
              <w:t xml:space="preserve">Locally advanced (unresectable) or </w:t>
            </w:r>
            <w:r w:rsidR="00CC3E2A" w:rsidRPr="00F90B95">
              <w:rPr>
                <w:rFonts w:ascii="Arial Narrow" w:hAnsi="Arial Narrow"/>
                <w:sz w:val="20"/>
              </w:rPr>
              <w:t>m</w:t>
            </w:r>
            <w:r w:rsidRPr="00F90B95">
              <w:rPr>
                <w:rFonts w:ascii="Arial Narrow" w:hAnsi="Arial Narrow"/>
                <w:sz w:val="20"/>
              </w:rPr>
              <w:t xml:space="preserve">etastatic (Stage IV) </w:t>
            </w:r>
            <w:r w:rsidR="00CC3E2A" w:rsidRPr="00F90B95">
              <w:rPr>
                <w:rFonts w:ascii="Arial Narrow" w:hAnsi="Arial Narrow"/>
                <w:sz w:val="20"/>
              </w:rPr>
              <w:t>m</w:t>
            </w:r>
            <w:r w:rsidRPr="00F90B95">
              <w:rPr>
                <w:rFonts w:ascii="Arial Narrow" w:hAnsi="Arial Narrow"/>
                <w:sz w:val="20"/>
              </w:rPr>
              <w:t xml:space="preserve">ismatch </w:t>
            </w:r>
            <w:r w:rsidR="00CC3E2A" w:rsidRPr="00F90B95">
              <w:rPr>
                <w:rFonts w:ascii="Arial Narrow" w:hAnsi="Arial Narrow"/>
                <w:sz w:val="20"/>
              </w:rPr>
              <w:t>r</w:t>
            </w:r>
            <w:r w:rsidRPr="00F90B95">
              <w:rPr>
                <w:rFonts w:ascii="Arial Narrow" w:hAnsi="Arial Narrow"/>
                <w:sz w:val="20"/>
              </w:rPr>
              <w:t xml:space="preserve">epair </w:t>
            </w:r>
            <w:r w:rsidR="00CC3E2A" w:rsidRPr="00F90B95">
              <w:rPr>
                <w:rFonts w:ascii="Arial Narrow" w:hAnsi="Arial Narrow"/>
                <w:sz w:val="20"/>
              </w:rPr>
              <w:t>d</w:t>
            </w:r>
            <w:r w:rsidRPr="00F90B95">
              <w:rPr>
                <w:rFonts w:ascii="Arial Narrow" w:hAnsi="Arial Narrow"/>
                <w:sz w:val="20"/>
              </w:rPr>
              <w:t>eficient (</w:t>
            </w:r>
            <w:proofErr w:type="spellStart"/>
            <w:r w:rsidRPr="00F90B95">
              <w:rPr>
                <w:rFonts w:ascii="Arial Narrow" w:hAnsi="Arial Narrow"/>
                <w:sz w:val="20"/>
              </w:rPr>
              <w:t>dMMR</w:t>
            </w:r>
            <w:proofErr w:type="spellEnd"/>
            <w:r w:rsidRPr="00F90B95">
              <w:rPr>
                <w:rFonts w:ascii="Arial Narrow" w:hAnsi="Arial Narrow"/>
                <w:sz w:val="20"/>
              </w:rPr>
              <w:t xml:space="preserve">) </w:t>
            </w:r>
            <w:r w:rsidR="00CC3E2A" w:rsidRPr="00F90B95">
              <w:rPr>
                <w:rFonts w:ascii="Arial Narrow" w:hAnsi="Arial Narrow"/>
                <w:sz w:val="20"/>
              </w:rPr>
              <w:t>c</w:t>
            </w:r>
            <w:r w:rsidRPr="00F90B95">
              <w:rPr>
                <w:rFonts w:ascii="Arial Narrow" w:hAnsi="Arial Narrow"/>
                <w:sz w:val="20"/>
              </w:rPr>
              <w:t xml:space="preserve">olorectal </w:t>
            </w:r>
            <w:r w:rsidR="00CC3E2A" w:rsidRPr="00F90B95">
              <w:rPr>
                <w:rFonts w:ascii="Arial Narrow" w:hAnsi="Arial Narrow"/>
                <w:sz w:val="20"/>
              </w:rPr>
              <w:t>carcinoma</w:t>
            </w:r>
          </w:p>
          <w:p w:rsidR="00DB2CC1" w:rsidRPr="00F90B95" w:rsidRDefault="00DB2CC1" w:rsidP="00837A2D">
            <w:pPr>
              <w:rPr>
                <w:rFonts w:ascii="Arial Narrow" w:hAnsi="Arial Narrow"/>
                <w:sz w:val="20"/>
              </w:rPr>
            </w:pPr>
            <w:r w:rsidRPr="00F90B95">
              <w:rPr>
                <w:rFonts w:ascii="Arial Narrow" w:hAnsi="Arial Narrow"/>
                <w:sz w:val="20"/>
              </w:rPr>
              <w:t>AND</w:t>
            </w:r>
          </w:p>
          <w:p w:rsidR="00DB2CC1" w:rsidRPr="00F90B95" w:rsidRDefault="00DB2CC1" w:rsidP="00837A2D">
            <w:pPr>
              <w:rPr>
                <w:rFonts w:ascii="Arial Narrow" w:hAnsi="Arial Narrow"/>
                <w:sz w:val="20"/>
              </w:rPr>
            </w:pPr>
            <w:r w:rsidRPr="00F90B95">
              <w:rPr>
                <w:rFonts w:ascii="Arial Narrow" w:hAnsi="Arial Narrow"/>
                <w:sz w:val="20"/>
              </w:rPr>
              <w:t>Patient must have failed at least one prior standard chemotherapy (with or wi</w:t>
            </w:r>
            <w:r w:rsidR="00CC3E2A" w:rsidRPr="00F90B95">
              <w:rPr>
                <w:rFonts w:ascii="Arial Narrow" w:hAnsi="Arial Narrow"/>
                <w:sz w:val="20"/>
              </w:rPr>
              <w:t>thout an EGFR or VEGF antibody)</w:t>
            </w:r>
          </w:p>
          <w:p w:rsidR="00DB2CC1" w:rsidRPr="00F90B95" w:rsidRDefault="00DB2CC1" w:rsidP="00837A2D">
            <w:pPr>
              <w:rPr>
                <w:rFonts w:ascii="Arial Narrow" w:hAnsi="Arial Narrow"/>
                <w:sz w:val="20"/>
              </w:rPr>
            </w:pPr>
            <w:r w:rsidRPr="00F90B95">
              <w:rPr>
                <w:rFonts w:ascii="Arial Narrow" w:hAnsi="Arial Narrow"/>
                <w:sz w:val="20"/>
              </w:rPr>
              <w:t>AND</w:t>
            </w:r>
          </w:p>
          <w:p w:rsidR="00DB2CC1" w:rsidRPr="00F90B95" w:rsidRDefault="00DB2CC1" w:rsidP="00837A2D">
            <w:pPr>
              <w:rPr>
                <w:rFonts w:ascii="Arial Narrow" w:hAnsi="Arial Narrow"/>
                <w:sz w:val="20"/>
              </w:rPr>
            </w:pPr>
            <w:r w:rsidRPr="00F90B95">
              <w:rPr>
                <w:rFonts w:ascii="Arial Narrow" w:hAnsi="Arial Narrow"/>
                <w:sz w:val="20"/>
              </w:rPr>
              <w:t>Patient must not have received prior PBS-subsidised treatment with a PD</w:t>
            </w:r>
            <w:r w:rsidR="00CC3E2A" w:rsidRPr="00F90B95">
              <w:rPr>
                <w:rFonts w:ascii="Arial Narrow" w:hAnsi="Arial Narrow"/>
                <w:sz w:val="20"/>
              </w:rPr>
              <w:t>-1 inhibitor for this condition</w:t>
            </w:r>
          </w:p>
          <w:p w:rsidR="00DB2CC1" w:rsidRPr="00F90B95" w:rsidRDefault="00DB2CC1" w:rsidP="00837A2D">
            <w:pPr>
              <w:rPr>
                <w:rFonts w:ascii="Arial Narrow" w:hAnsi="Arial Narrow"/>
                <w:sz w:val="20"/>
              </w:rPr>
            </w:pPr>
            <w:r w:rsidRPr="00F90B95">
              <w:rPr>
                <w:rFonts w:ascii="Arial Narrow" w:hAnsi="Arial Narrow"/>
                <w:sz w:val="20"/>
              </w:rPr>
              <w:t>AND</w:t>
            </w:r>
          </w:p>
          <w:p w:rsidR="00DB2CC1" w:rsidRPr="00F90B95" w:rsidRDefault="00DB2CC1" w:rsidP="00837A2D">
            <w:pPr>
              <w:rPr>
                <w:rFonts w:ascii="Arial Narrow" w:hAnsi="Arial Narrow"/>
                <w:sz w:val="20"/>
                <w:lang w:eastAsia="en-AU"/>
              </w:rPr>
            </w:pPr>
            <w:r w:rsidRPr="00F90B95">
              <w:rPr>
                <w:rFonts w:ascii="Arial Narrow" w:hAnsi="Arial Narrow"/>
                <w:sz w:val="20"/>
              </w:rPr>
              <w:t>The treatment must be the sole PBS-subsidised therapy for this condition.</w:t>
            </w:r>
          </w:p>
        </w:tc>
      </w:tr>
      <w:tr w:rsidR="00823F5A" w:rsidRPr="00F90B95" w:rsidTr="004F4A63">
        <w:trPr>
          <w:cantSplit/>
          <w:trHeight w:val="274"/>
        </w:trPr>
        <w:tc>
          <w:tcPr>
            <w:tcW w:w="2268" w:type="dxa"/>
            <w:tcBorders>
              <w:top w:val="single" w:sz="4" w:space="0" w:color="auto"/>
              <w:left w:val="single" w:sz="4" w:space="0" w:color="auto"/>
              <w:bottom w:val="single" w:sz="4" w:space="0" w:color="auto"/>
              <w:right w:val="single" w:sz="4" w:space="0" w:color="auto"/>
            </w:tcBorders>
            <w:hideMark/>
          </w:tcPr>
          <w:p w:rsidR="00823F5A" w:rsidRPr="00F90B95" w:rsidRDefault="00823F5A" w:rsidP="0019648B">
            <w:pPr>
              <w:rPr>
                <w:rFonts w:ascii="Arial Narrow" w:hAnsi="Arial Narrow"/>
                <w:b/>
                <w:sz w:val="20"/>
                <w:lang w:eastAsia="en-AU"/>
              </w:rPr>
            </w:pPr>
            <w:r w:rsidRPr="00F90B95">
              <w:rPr>
                <w:rFonts w:ascii="Arial Narrow" w:hAnsi="Arial Narrow"/>
                <w:b/>
                <w:sz w:val="20"/>
                <w:lang w:eastAsia="en-AU"/>
              </w:rPr>
              <w:t>Prescriber instructions</w:t>
            </w:r>
          </w:p>
        </w:tc>
        <w:tc>
          <w:tcPr>
            <w:tcW w:w="6804" w:type="dxa"/>
            <w:tcBorders>
              <w:top w:val="single" w:sz="4" w:space="0" w:color="auto"/>
              <w:left w:val="single" w:sz="4" w:space="0" w:color="auto"/>
              <w:bottom w:val="single" w:sz="4" w:space="0" w:color="auto"/>
              <w:right w:val="single" w:sz="4" w:space="0" w:color="auto"/>
            </w:tcBorders>
            <w:hideMark/>
          </w:tcPr>
          <w:p w:rsidR="00823F5A" w:rsidRPr="00F90B95" w:rsidRDefault="00823F5A" w:rsidP="0019648B">
            <w:pPr>
              <w:rPr>
                <w:rFonts w:ascii="Arial Narrow" w:hAnsi="Arial Narrow"/>
                <w:sz w:val="20"/>
              </w:rPr>
            </w:pPr>
            <w:r w:rsidRPr="00F90B95">
              <w:rPr>
                <w:rFonts w:ascii="Arial Narrow" w:hAnsi="Arial Narrow"/>
                <w:sz w:val="20"/>
              </w:rPr>
              <w:t>The treatment must not exceed a total of 35 cycles in a lifetime.</w:t>
            </w:r>
          </w:p>
        </w:tc>
      </w:tr>
      <w:tr w:rsidR="00823F5A" w:rsidRPr="00F90B95" w:rsidTr="004F4A63">
        <w:trPr>
          <w:cantSplit/>
          <w:trHeight w:val="274"/>
        </w:trPr>
        <w:tc>
          <w:tcPr>
            <w:tcW w:w="2268" w:type="dxa"/>
            <w:tcBorders>
              <w:top w:val="single" w:sz="4" w:space="0" w:color="auto"/>
              <w:left w:val="single" w:sz="4" w:space="0" w:color="auto"/>
              <w:bottom w:val="single" w:sz="4" w:space="0" w:color="auto"/>
              <w:right w:val="single" w:sz="4" w:space="0" w:color="auto"/>
            </w:tcBorders>
            <w:hideMark/>
          </w:tcPr>
          <w:p w:rsidR="00823F5A" w:rsidRPr="00F90B95" w:rsidRDefault="00823F5A" w:rsidP="00823F5A">
            <w:pPr>
              <w:rPr>
                <w:rFonts w:ascii="Arial Narrow" w:hAnsi="Arial Narrow"/>
                <w:b/>
                <w:sz w:val="20"/>
                <w:lang w:eastAsia="en-AU"/>
              </w:rPr>
            </w:pPr>
            <w:r w:rsidRPr="00F90B95">
              <w:rPr>
                <w:rFonts w:ascii="Arial Narrow" w:hAnsi="Arial Narrow"/>
                <w:b/>
                <w:sz w:val="20"/>
                <w:lang w:eastAsia="en-AU"/>
              </w:rPr>
              <w:t>Administrative Advice</w:t>
            </w:r>
          </w:p>
        </w:tc>
        <w:tc>
          <w:tcPr>
            <w:tcW w:w="6804" w:type="dxa"/>
            <w:tcBorders>
              <w:top w:val="single" w:sz="4" w:space="0" w:color="auto"/>
              <w:left w:val="single" w:sz="4" w:space="0" w:color="auto"/>
              <w:bottom w:val="single" w:sz="4" w:space="0" w:color="auto"/>
              <w:right w:val="single" w:sz="4" w:space="0" w:color="auto"/>
            </w:tcBorders>
            <w:hideMark/>
          </w:tcPr>
          <w:p w:rsidR="00823F5A" w:rsidRPr="00F90B95" w:rsidRDefault="00823F5A" w:rsidP="0019648B">
            <w:pPr>
              <w:rPr>
                <w:rFonts w:ascii="Arial Narrow" w:hAnsi="Arial Narrow"/>
                <w:sz w:val="20"/>
              </w:rPr>
            </w:pPr>
            <w:r w:rsidRPr="00F90B95">
              <w:rPr>
                <w:rFonts w:ascii="Arial Narrow" w:hAnsi="Arial Narrow"/>
                <w:sz w:val="20"/>
              </w:rPr>
              <w:t>No increase in the maximum numbe</w:t>
            </w:r>
            <w:r w:rsidR="00CC3E2A" w:rsidRPr="00F90B95">
              <w:rPr>
                <w:rFonts w:ascii="Arial Narrow" w:hAnsi="Arial Narrow"/>
                <w:sz w:val="20"/>
              </w:rPr>
              <w:t>r of repeats may be authorised.</w:t>
            </w:r>
          </w:p>
          <w:p w:rsidR="00823F5A" w:rsidRPr="00F90B95" w:rsidRDefault="00823F5A" w:rsidP="0019648B">
            <w:pPr>
              <w:rPr>
                <w:rFonts w:ascii="Arial Narrow" w:hAnsi="Arial Narrow"/>
                <w:sz w:val="20"/>
              </w:rPr>
            </w:pPr>
            <w:r w:rsidRPr="00F90B95">
              <w:rPr>
                <w:rFonts w:ascii="Arial Narrow" w:hAnsi="Arial Narrow"/>
                <w:sz w:val="20"/>
              </w:rPr>
              <w:t>No increase in the maximum quantity or nu</w:t>
            </w:r>
            <w:r w:rsidR="00CC3E2A" w:rsidRPr="00F90B95">
              <w:rPr>
                <w:rFonts w:ascii="Arial Narrow" w:hAnsi="Arial Narrow"/>
                <w:sz w:val="20"/>
              </w:rPr>
              <w:t>mber of units may be authorised.</w:t>
            </w:r>
          </w:p>
          <w:p w:rsidR="00823F5A" w:rsidRPr="00F90B95" w:rsidRDefault="00823F5A" w:rsidP="0019648B">
            <w:pPr>
              <w:rPr>
                <w:rFonts w:ascii="Arial Narrow" w:hAnsi="Arial Narrow"/>
                <w:sz w:val="20"/>
              </w:rPr>
            </w:pPr>
            <w:r w:rsidRPr="00F90B95">
              <w:rPr>
                <w:rFonts w:ascii="Arial Narrow" w:hAnsi="Arial Narrow"/>
                <w:sz w:val="20"/>
              </w:rPr>
              <w:t>Special Pricing Arrangements apply</w:t>
            </w:r>
          </w:p>
        </w:tc>
      </w:tr>
    </w:tbl>
    <w:p w:rsidR="00FB1CAA" w:rsidRPr="00F90B95" w:rsidRDefault="00FB1CAA" w:rsidP="00860ACD">
      <w:pPr>
        <w:rPr>
          <w:b/>
        </w:rPr>
      </w:pPr>
    </w:p>
    <w:tbl>
      <w:tblPr>
        <w:tblW w:w="0" w:type="auto"/>
        <w:tblInd w:w="108" w:type="dxa"/>
        <w:tblLayout w:type="fixed"/>
        <w:tblLook w:val="04A0" w:firstRow="1" w:lastRow="0" w:firstColumn="1" w:lastColumn="0" w:noHBand="0" w:noVBand="1"/>
      </w:tblPr>
      <w:tblGrid>
        <w:gridCol w:w="2268"/>
        <w:gridCol w:w="6804"/>
      </w:tblGrid>
      <w:tr w:rsidR="00DB2CC1" w:rsidRPr="00F90B95" w:rsidTr="008A5A7F">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42305E">
            <w:pPr>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Treatment phase:</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olor w:val="000000" w:themeColor="text1"/>
                <w:sz w:val="20"/>
                <w:lang w:eastAsia="en-AU"/>
              </w:rPr>
            </w:pPr>
            <w:r w:rsidRPr="00F90B95">
              <w:rPr>
                <w:rFonts w:ascii="Arial Narrow" w:hAnsi="Arial Narrow"/>
                <w:color w:val="000000" w:themeColor="text1"/>
                <w:sz w:val="20"/>
                <w:lang w:eastAsia="en-AU"/>
              </w:rPr>
              <w:t>Continuing treatment</w:t>
            </w:r>
          </w:p>
        </w:tc>
      </w:tr>
      <w:tr w:rsidR="00DB2CC1" w:rsidRPr="00F90B95" w:rsidTr="008A5A7F">
        <w:trPr>
          <w:cantSplit/>
          <w:trHeight w:val="134"/>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985978">
            <w:pPr>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Restriction Level/Method:</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fldChar w:fldCharType="begin">
                <w:ffData>
                  <w:name w:val="Check5"/>
                  <w:enabled/>
                  <w:calcOnExit w:val="0"/>
                  <w:checkBox>
                    <w:sizeAuto/>
                    <w:default w:val="1"/>
                  </w:checkBox>
                </w:ffData>
              </w:fldChar>
            </w:r>
            <w:r w:rsidRPr="00F90B95">
              <w:rPr>
                <w:rFonts w:ascii="Arial Narrow" w:hAnsi="Arial Narrow" w:cs="Times New Roman"/>
                <w:color w:val="000000" w:themeColor="text1"/>
                <w:sz w:val="20"/>
                <w:lang w:eastAsia="en-AU"/>
              </w:rPr>
              <w:instrText xml:space="preserve"> FORMCHECKBOX </w:instrText>
            </w:r>
            <w:r w:rsidR="00B75383">
              <w:rPr>
                <w:rFonts w:ascii="Arial Narrow" w:hAnsi="Arial Narrow" w:cs="Times New Roman"/>
                <w:color w:val="000000" w:themeColor="text1"/>
                <w:sz w:val="20"/>
                <w:lang w:eastAsia="en-AU"/>
              </w:rPr>
            </w:r>
            <w:r w:rsidR="00B75383">
              <w:rPr>
                <w:rFonts w:ascii="Arial Narrow" w:hAnsi="Arial Narrow" w:cs="Times New Roman"/>
                <w:color w:val="000000" w:themeColor="text1"/>
                <w:sz w:val="20"/>
                <w:lang w:eastAsia="en-AU"/>
              </w:rPr>
              <w:fldChar w:fldCharType="separate"/>
            </w:r>
            <w:r w:rsidRPr="00F90B95">
              <w:rPr>
                <w:rFonts w:ascii="Arial Narrow" w:hAnsi="Arial Narrow" w:cs="Times New Roman"/>
                <w:color w:val="000000" w:themeColor="text1"/>
                <w:sz w:val="20"/>
                <w:lang w:eastAsia="en-AU"/>
              </w:rPr>
              <w:fldChar w:fldCharType="end"/>
            </w:r>
            <w:r w:rsidRPr="00F90B95">
              <w:rPr>
                <w:rFonts w:ascii="Arial Narrow" w:hAnsi="Arial Narrow" w:cs="Times New Roman"/>
                <w:color w:val="000000" w:themeColor="text1"/>
                <w:sz w:val="20"/>
                <w:lang w:eastAsia="en-AU"/>
              </w:rPr>
              <w:t>S</w:t>
            </w:r>
            <w:r w:rsidRPr="00F90B95">
              <w:rPr>
                <w:rFonts w:ascii="Arial Narrow" w:hAnsi="Arial Narrow"/>
                <w:color w:val="000000" w:themeColor="text1"/>
                <w:sz w:val="20"/>
                <w:lang w:eastAsia="en-AU"/>
              </w:rPr>
              <w:t>treamlined</w:t>
            </w:r>
          </w:p>
        </w:tc>
      </w:tr>
      <w:tr w:rsidR="00DB2CC1" w:rsidRPr="00F90B95" w:rsidTr="008A5A7F">
        <w:trPr>
          <w:cantSplit/>
          <w:trHeight w:val="274"/>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42305E">
            <w:pPr>
              <w:jc w:val="left"/>
              <w:rPr>
                <w:rFonts w:ascii="Arial Narrow" w:hAnsi="Arial Narrow"/>
                <w:b/>
                <w:sz w:val="20"/>
                <w:lang w:eastAsia="en-AU"/>
              </w:rPr>
            </w:pPr>
            <w:r w:rsidRPr="00F90B95">
              <w:rPr>
                <w:rFonts w:ascii="Arial Narrow" w:hAnsi="Arial Narrow"/>
                <w:b/>
                <w:sz w:val="20"/>
                <w:lang w:eastAsia="en-AU"/>
              </w:rPr>
              <w:t>Clinical criteria:</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837A2D">
            <w:pPr>
              <w:rPr>
                <w:rFonts w:ascii="Arial Narrow" w:hAnsi="Arial Narrow"/>
                <w:sz w:val="20"/>
              </w:rPr>
            </w:pPr>
            <w:r w:rsidRPr="00F90B95">
              <w:rPr>
                <w:rFonts w:ascii="Arial Narrow" w:hAnsi="Arial Narrow"/>
                <w:sz w:val="20"/>
              </w:rPr>
              <w:t>Patient must have previously received PBS-subsidised treatment with this drug for this condition</w:t>
            </w:r>
          </w:p>
          <w:p w:rsidR="00DB2CC1" w:rsidRPr="00F90B95" w:rsidRDefault="00DB2CC1" w:rsidP="00837A2D">
            <w:pPr>
              <w:rPr>
                <w:rFonts w:ascii="Arial Narrow" w:hAnsi="Arial Narrow"/>
                <w:sz w:val="20"/>
              </w:rPr>
            </w:pPr>
            <w:r w:rsidRPr="00F90B95">
              <w:rPr>
                <w:rFonts w:ascii="Arial Narrow" w:hAnsi="Arial Narrow"/>
                <w:sz w:val="20"/>
              </w:rPr>
              <w:t>AND</w:t>
            </w:r>
          </w:p>
          <w:p w:rsidR="00DB2CC1" w:rsidRPr="00F90B95" w:rsidRDefault="00DB2CC1" w:rsidP="00837A2D">
            <w:pPr>
              <w:rPr>
                <w:rFonts w:ascii="Arial Narrow" w:hAnsi="Arial Narrow"/>
                <w:i/>
                <w:sz w:val="20"/>
                <w:lang w:eastAsia="en-AU"/>
              </w:rPr>
            </w:pPr>
            <w:r w:rsidRPr="00F90B95">
              <w:rPr>
                <w:rFonts w:ascii="Arial Narrow" w:hAnsi="Arial Narrow"/>
                <w:sz w:val="20"/>
              </w:rPr>
              <w:t>Patient must not have progressive disease while receiving PBS-subsidised treatment with this drug for this condition.</w:t>
            </w:r>
          </w:p>
        </w:tc>
      </w:tr>
      <w:tr w:rsidR="00DB2CC1" w:rsidRPr="00F90B95" w:rsidTr="008A5A7F">
        <w:trPr>
          <w:cantSplit/>
          <w:trHeight w:val="274"/>
        </w:trPr>
        <w:tc>
          <w:tcPr>
            <w:tcW w:w="2268" w:type="dxa"/>
            <w:tcBorders>
              <w:top w:val="single" w:sz="4" w:space="0" w:color="auto"/>
              <w:left w:val="single" w:sz="4" w:space="0" w:color="auto"/>
              <w:bottom w:val="single" w:sz="4" w:space="0" w:color="auto"/>
              <w:right w:val="single" w:sz="4" w:space="0" w:color="auto"/>
            </w:tcBorders>
          </w:tcPr>
          <w:p w:rsidR="00DB2CC1" w:rsidRPr="00F90B95" w:rsidRDefault="00DB2CC1" w:rsidP="0042305E">
            <w:pPr>
              <w:jc w:val="left"/>
              <w:rPr>
                <w:rFonts w:ascii="Arial Narrow" w:hAnsi="Arial Narrow"/>
                <w:b/>
                <w:sz w:val="20"/>
                <w:lang w:eastAsia="en-AU"/>
              </w:rPr>
            </w:pPr>
            <w:r w:rsidRPr="00F90B95">
              <w:rPr>
                <w:rFonts w:ascii="Arial Narrow" w:hAnsi="Arial Narrow"/>
                <w:b/>
                <w:sz w:val="20"/>
                <w:lang w:eastAsia="en-AU"/>
              </w:rPr>
              <w:t>Prescriber instructions</w:t>
            </w:r>
          </w:p>
        </w:tc>
        <w:tc>
          <w:tcPr>
            <w:tcW w:w="6804" w:type="dxa"/>
            <w:tcBorders>
              <w:top w:val="single" w:sz="4" w:space="0" w:color="auto"/>
              <w:left w:val="single" w:sz="4" w:space="0" w:color="auto"/>
              <w:bottom w:val="single" w:sz="4" w:space="0" w:color="auto"/>
              <w:right w:val="single" w:sz="4" w:space="0" w:color="auto"/>
            </w:tcBorders>
          </w:tcPr>
          <w:p w:rsidR="00DB2CC1" w:rsidRPr="00F90B95" w:rsidRDefault="00DB2CC1" w:rsidP="00837A2D">
            <w:pPr>
              <w:rPr>
                <w:rFonts w:ascii="Arial Narrow" w:hAnsi="Arial Narrow"/>
                <w:sz w:val="20"/>
              </w:rPr>
            </w:pPr>
            <w:r w:rsidRPr="00F90B95">
              <w:rPr>
                <w:rFonts w:ascii="Arial Narrow" w:hAnsi="Arial Narrow"/>
                <w:sz w:val="20"/>
              </w:rPr>
              <w:t>The treatment must not exceed a total of 35 cycles in a lifetime.</w:t>
            </w:r>
          </w:p>
        </w:tc>
      </w:tr>
      <w:tr w:rsidR="00DB2CC1" w:rsidRPr="00F90B95" w:rsidTr="008A5A7F">
        <w:trPr>
          <w:cantSplit/>
          <w:trHeight w:val="443"/>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42305E">
            <w:pPr>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Administrative Advice</w:t>
            </w:r>
          </w:p>
        </w:tc>
        <w:tc>
          <w:tcPr>
            <w:tcW w:w="6804" w:type="dxa"/>
            <w:tcBorders>
              <w:top w:val="single" w:sz="4" w:space="0" w:color="auto"/>
              <w:left w:val="single" w:sz="4" w:space="0" w:color="auto"/>
              <w:bottom w:val="single" w:sz="4" w:space="0" w:color="auto"/>
              <w:right w:val="single" w:sz="4" w:space="0" w:color="auto"/>
            </w:tcBorders>
            <w:vAlign w:val="center"/>
          </w:tcPr>
          <w:p w:rsidR="00DB2CC1" w:rsidRPr="00F90B95" w:rsidRDefault="00DB2CC1" w:rsidP="00837A2D">
            <w:pPr>
              <w:rPr>
                <w:rFonts w:ascii="Arial Narrow" w:hAnsi="Arial Narrow"/>
                <w:color w:val="000000" w:themeColor="text1"/>
                <w:sz w:val="20"/>
              </w:rPr>
            </w:pPr>
            <w:r w:rsidRPr="00F90B95">
              <w:rPr>
                <w:rFonts w:ascii="Arial Narrow" w:hAnsi="Arial Narrow"/>
                <w:color w:val="000000" w:themeColor="text1"/>
                <w:sz w:val="20"/>
              </w:rPr>
              <w:t>No increase in the maximum numbe</w:t>
            </w:r>
            <w:r w:rsidR="00CC3E2A" w:rsidRPr="00F90B95">
              <w:rPr>
                <w:rFonts w:ascii="Arial Narrow" w:hAnsi="Arial Narrow"/>
                <w:color w:val="000000" w:themeColor="text1"/>
                <w:sz w:val="20"/>
              </w:rPr>
              <w:t>r of repeats may be authorised.</w:t>
            </w:r>
          </w:p>
          <w:p w:rsidR="00DB2CC1" w:rsidRPr="00F90B95" w:rsidRDefault="00DB2CC1" w:rsidP="00837A2D">
            <w:pPr>
              <w:rPr>
                <w:rFonts w:ascii="Arial Narrow" w:hAnsi="Arial Narrow"/>
                <w:color w:val="000000" w:themeColor="text1"/>
                <w:sz w:val="20"/>
              </w:rPr>
            </w:pPr>
            <w:r w:rsidRPr="00F90B95">
              <w:rPr>
                <w:rFonts w:ascii="Arial Narrow" w:hAnsi="Arial Narrow"/>
                <w:color w:val="000000" w:themeColor="text1"/>
                <w:sz w:val="20"/>
              </w:rPr>
              <w:t>No increase in the maximum quantity or nu</w:t>
            </w:r>
            <w:r w:rsidR="00CC3E2A" w:rsidRPr="00F90B95">
              <w:rPr>
                <w:rFonts w:ascii="Arial Narrow" w:hAnsi="Arial Narrow"/>
                <w:color w:val="000000" w:themeColor="text1"/>
                <w:sz w:val="20"/>
              </w:rPr>
              <w:t>mber of units may be authorised.</w:t>
            </w:r>
          </w:p>
          <w:p w:rsidR="00DB2CC1" w:rsidRPr="00F90B95" w:rsidRDefault="00DB2CC1" w:rsidP="00837A2D">
            <w:pPr>
              <w:rPr>
                <w:rFonts w:ascii="Arial Narrow" w:hAnsi="Arial Narrow" w:cs="Times New Roman"/>
                <w:sz w:val="20"/>
                <w:highlight w:val="yellow"/>
              </w:rPr>
            </w:pPr>
            <w:r w:rsidRPr="00F90B95">
              <w:rPr>
                <w:rFonts w:ascii="Arial Narrow" w:hAnsi="Arial Narrow"/>
                <w:color w:val="000000" w:themeColor="text1"/>
                <w:sz w:val="20"/>
              </w:rPr>
              <w:t>Special Pricing Arrangements apply</w:t>
            </w:r>
          </w:p>
        </w:tc>
      </w:tr>
    </w:tbl>
    <w:p w:rsidR="00437B4E" w:rsidRPr="00F90B95" w:rsidRDefault="00437B4E">
      <w:pPr>
        <w:widowControl/>
        <w:jc w:val="left"/>
        <w:rPr>
          <w:b/>
        </w:rPr>
      </w:pPr>
    </w:p>
    <w:tbl>
      <w:tblPr>
        <w:tblW w:w="0" w:type="auto"/>
        <w:tblInd w:w="108" w:type="dxa"/>
        <w:tblLayout w:type="fixed"/>
        <w:tblLook w:val="04A0" w:firstRow="1" w:lastRow="0" w:firstColumn="1" w:lastColumn="0" w:noHBand="0" w:noVBand="1"/>
      </w:tblPr>
      <w:tblGrid>
        <w:gridCol w:w="2268"/>
        <w:gridCol w:w="6804"/>
      </w:tblGrid>
      <w:tr w:rsidR="00DB2CC1" w:rsidRPr="00F90B95" w:rsidTr="00F0669F">
        <w:trPr>
          <w:cantSplit/>
          <w:trHeight w:val="58"/>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F0669F">
            <w:pPr>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Treatment phase:</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F0669F">
            <w:pPr>
              <w:rPr>
                <w:rFonts w:ascii="Arial Narrow" w:hAnsi="Arial Narrow"/>
                <w:color w:val="000000" w:themeColor="text1"/>
                <w:sz w:val="20"/>
                <w:lang w:eastAsia="en-AU"/>
              </w:rPr>
            </w:pPr>
            <w:r w:rsidRPr="00F90B95">
              <w:rPr>
                <w:rFonts w:ascii="Arial Narrow" w:hAnsi="Arial Narrow"/>
                <w:color w:val="000000" w:themeColor="text1"/>
                <w:sz w:val="20"/>
                <w:lang w:eastAsia="en-AU"/>
              </w:rPr>
              <w:t>Grandfathering</w:t>
            </w:r>
          </w:p>
        </w:tc>
      </w:tr>
      <w:tr w:rsidR="003E2B95" w:rsidRPr="00F90B95" w:rsidTr="00F0669F">
        <w:trPr>
          <w:cantSplit/>
          <w:trHeight w:val="64"/>
        </w:trPr>
        <w:tc>
          <w:tcPr>
            <w:tcW w:w="2268" w:type="dxa"/>
            <w:tcBorders>
              <w:top w:val="single" w:sz="4" w:space="0" w:color="auto"/>
              <w:left w:val="single" w:sz="4" w:space="0" w:color="auto"/>
              <w:bottom w:val="single" w:sz="4" w:space="0" w:color="auto"/>
              <w:right w:val="single" w:sz="4" w:space="0" w:color="auto"/>
            </w:tcBorders>
            <w:hideMark/>
          </w:tcPr>
          <w:p w:rsidR="003E2B95" w:rsidRPr="00F90B95" w:rsidRDefault="003E2B95" w:rsidP="00F0669F">
            <w:pPr>
              <w:jc w:val="left"/>
              <w:rPr>
                <w:rFonts w:ascii="Arial Narrow" w:hAnsi="Arial Narrow"/>
                <w:b/>
                <w:color w:val="000000" w:themeColor="text1"/>
                <w:sz w:val="20"/>
                <w:lang w:eastAsia="en-AU"/>
              </w:rPr>
            </w:pPr>
            <w:r w:rsidRPr="00F90B95">
              <w:rPr>
                <w:rFonts w:ascii="Arial Narrow" w:hAnsi="Arial Narrow"/>
                <w:b/>
                <w:color w:val="000000" w:themeColor="text1"/>
                <w:sz w:val="20"/>
                <w:lang w:eastAsia="en-AU"/>
              </w:rPr>
              <w:t>Restriction Level/Method:</w:t>
            </w:r>
          </w:p>
        </w:tc>
        <w:tc>
          <w:tcPr>
            <w:tcW w:w="6804" w:type="dxa"/>
            <w:tcBorders>
              <w:top w:val="single" w:sz="4" w:space="0" w:color="auto"/>
              <w:left w:val="single" w:sz="4" w:space="0" w:color="auto"/>
              <w:bottom w:val="single" w:sz="4" w:space="0" w:color="auto"/>
              <w:right w:val="single" w:sz="4" w:space="0" w:color="auto"/>
            </w:tcBorders>
            <w:hideMark/>
          </w:tcPr>
          <w:p w:rsidR="003E2B95" w:rsidRPr="00F90B95" w:rsidRDefault="003E2B95" w:rsidP="00F0669F">
            <w:pPr>
              <w:rPr>
                <w:rFonts w:ascii="Arial Narrow" w:hAnsi="Arial Narrow" w:cs="Times New Roman"/>
                <w:color w:val="000000" w:themeColor="text1"/>
                <w:sz w:val="20"/>
                <w:lang w:eastAsia="en-AU"/>
              </w:rPr>
            </w:pPr>
            <w:r w:rsidRPr="00F90B95">
              <w:rPr>
                <w:rFonts w:ascii="Arial Narrow" w:hAnsi="Arial Narrow" w:cs="Times New Roman"/>
                <w:color w:val="000000" w:themeColor="text1"/>
                <w:sz w:val="20"/>
                <w:lang w:eastAsia="en-AU"/>
              </w:rPr>
              <w:fldChar w:fldCharType="begin">
                <w:ffData>
                  <w:name w:val="Check5"/>
                  <w:enabled/>
                  <w:calcOnExit w:val="0"/>
                  <w:checkBox>
                    <w:sizeAuto/>
                    <w:default w:val="1"/>
                  </w:checkBox>
                </w:ffData>
              </w:fldChar>
            </w:r>
            <w:r w:rsidRPr="00F90B95">
              <w:rPr>
                <w:rFonts w:ascii="Arial Narrow" w:hAnsi="Arial Narrow" w:cs="Times New Roman"/>
                <w:color w:val="000000" w:themeColor="text1"/>
                <w:sz w:val="20"/>
                <w:lang w:eastAsia="en-AU"/>
              </w:rPr>
              <w:instrText xml:space="preserve"> FORMCHECKBOX </w:instrText>
            </w:r>
            <w:r w:rsidR="00B75383">
              <w:rPr>
                <w:rFonts w:ascii="Arial Narrow" w:hAnsi="Arial Narrow" w:cs="Times New Roman"/>
                <w:color w:val="000000" w:themeColor="text1"/>
                <w:sz w:val="20"/>
                <w:lang w:eastAsia="en-AU"/>
              </w:rPr>
            </w:r>
            <w:r w:rsidR="00B75383">
              <w:rPr>
                <w:rFonts w:ascii="Arial Narrow" w:hAnsi="Arial Narrow" w:cs="Times New Roman"/>
                <w:color w:val="000000" w:themeColor="text1"/>
                <w:sz w:val="20"/>
                <w:lang w:eastAsia="en-AU"/>
              </w:rPr>
              <w:fldChar w:fldCharType="separate"/>
            </w:r>
            <w:r w:rsidRPr="00F90B95">
              <w:rPr>
                <w:rFonts w:ascii="Arial Narrow" w:hAnsi="Arial Narrow" w:cs="Times New Roman"/>
                <w:color w:val="000000" w:themeColor="text1"/>
                <w:sz w:val="20"/>
                <w:lang w:eastAsia="en-AU"/>
              </w:rPr>
              <w:fldChar w:fldCharType="end"/>
            </w:r>
            <w:r w:rsidRPr="00F90B95">
              <w:rPr>
                <w:rFonts w:ascii="Arial Narrow" w:hAnsi="Arial Narrow" w:cs="Times New Roman"/>
                <w:color w:val="000000" w:themeColor="text1"/>
                <w:sz w:val="20"/>
                <w:lang w:eastAsia="en-AU"/>
              </w:rPr>
              <w:t>S</w:t>
            </w:r>
            <w:r w:rsidRPr="00F90B95">
              <w:rPr>
                <w:rFonts w:ascii="Arial Narrow" w:hAnsi="Arial Narrow"/>
                <w:color w:val="000000" w:themeColor="text1"/>
                <w:sz w:val="20"/>
                <w:lang w:eastAsia="en-AU"/>
              </w:rPr>
              <w:t>treamlined</w:t>
            </w:r>
          </w:p>
        </w:tc>
      </w:tr>
      <w:tr w:rsidR="00DB2CC1" w:rsidRPr="00F90B95" w:rsidTr="00F0669F">
        <w:trPr>
          <w:cantSplit/>
          <w:trHeight w:val="274"/>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F0669F">
            <w:pPr>
              <w:jc w:val="left"/>
              <w:rPr>
                <w:rFonts w:ascii="Arial Narrow" w:hAnsi="Arial Narrow"/>
                <w:b/>
                <w:sz w:val="20"/>
                <w:highlight w:val="yellow"/>
                <w:lang w:eastAsia="en-AU"/>
              </w:rPr>
            </w:pPr>
            <w:r w:rsidRPr="00F90B95">
              <w:rPr>
                <w:rFonts w:ascii="Arial Narrow" w:hAnsi="Arial Narrow"/>
                <w:b/>
                <w:sz w:val="20"/>
                <w:lang w:eastAsia="en-AU"/>
              </w:rPr>
              <w:lastRenderedPageBreak/>
              <w:t>Clinical criteria:</w:t>
            </w:r>
          </w:p>
        </w:tc>
        <w:tc>
          <w:tcPr>
            <w:tcW w:w="6804" w:type="dxa"/>
            <w:tcBorders>
              <w:top w:val="single" w:sz="4" w:space="0" w:color="auto"/>
              <w:left w:val="single" w:sz="4" w:space="0" w:color="auto"/>
              <w:bottom w:val="single" w:sz="4" w:space="0" w:color="auto"/>
              <w:right w:val="single" w:sz="4" w:space="0" w:color="auto"/>
            </w:tcBorders>
            <w:hideMark/>
          </w:tcPr>
          <w:p w:rsidR="00DB2CC1" w:rsidRPr="00F90B95" w:rsidRDefault="00DB2CC1" w:rsidP="00F0669F">
            <w:pPr>
              <w:rPr>
                <w:rFonts w:ascii="Arial Narrow" w:hAnsi="Arial Narrow"/>
                <w:sz w:val="20"/>
              </w:rPr>
            </w:pPr>
            <w:r w:rsidRPr="00F90B95">
              <w:rPr>
                <w:rFonts w:ascii="Arial Narrow" w:hAnsi="Arial Narrow"/>
                <w:sz w:val="20"/>
              </w:rPr>
              <w:t xml:space="preserve">Patient must have received non-PBS-subsidised treatment with a programmed cell death 1 (PD-1) inhibitor for this condition prior to </w:t>
            </w:r>
            <w:r w:rsidR="00CC3E2A" w:rsidRPr="00F90B95">
              <w:rPr>
                <w:rFonts w:ascii="Arial Narrow" w:hAnsi="Arial Narrow"/>
                <w:sz w:val="20"/>
              </w:rPr>
              <w:t>[insert listing date]</w:t>
            </w:r>
          </w:p>
          <w:p w:rsidR="00DB2CC1" w:rsidRPr="00F90B95" w:rsidRDefault="00DB2CC1" w:rsidP="00F0669F">
            <w:pPr>
              <w:rPr>
                <w:rFonts w:ascii="Arial Narrow" w:hAnsi="Arial Narrow"/>
                <w:sz w:val="20"/>
              </w:rPr>
            </w:pPr>
            <w:r w:rsidRPr="00F90B95">
              <w:rPr>
                <w:rFonts w:ascii="Arial Narrow" w:hAnsi="Arial Narrow"/>
                <w:sz w:val="20"/>
              </w:rPr>
              <w:t>AND</w:t>
            </w:r>
          </w:p>
          <w:p w:rsidR="00DB2CC1" w:rsidRPr="00F90B95" w:rsidRDefault="00DB2CC1" w:rsidP="00F0669F">
            <w:pPr>
              <w:rPr>
                <w:rFonts w:ascii="Arial Narrow" w:hAnsi="Arial Narrow"/>
                <w:sz w:val="20"/>
              </w:rPr>
            </w:pPr>
            <w:r w:rsidRPr="00F90B95">
              <w:rPr>
                <w:rFonts w:ascii="Arial Narrow" w:hAnsi="Arial Narrow"/>
                <w:sz w:val="20"/>
              </w:rPr>
              <w:t>Patient must not have developed disease progression while receiving treatment with a PD-</w:t>
            </w:r>
            <w:r w:rsidR="00CC3E2A" w:rsidRPr="00F90B95">
              <w:rPr>
                <w:rFonts w:ascii="Arial Narrow" w:hAnsi="Arial Narrow"/>
                <w:sz w:val="20"/>
              </w:rPr>
              <w:t>1 inhibitor for this condition</w:t>
            </w:r>
          </w:p>
          <w:p w:rsidR="00DB2CC1" w:rsidRPr="00F90B95" w:rsidRDefault="00DB2CC1" w:rsidP="00F0669F">
            <w:pPr>
              <w:rPr>
                <w:rFonts w:ascii="Arial Narrow" w:hAnsi="Arial Narrow"/>
                <w:sz w:val="20"/>
              </w:rPr>
            </w:pPr>
            <w:r w:rsidRPr="00F90B95">
              <w:rPr>
                <w:rFonts w:ascii="Arial Narrow" w:hAnsi="Arial Narrow"/>
                <w:sz w:val="20"/>
              </w:rPr>
              <w:t>AND</w:t>
            </w:r>
          </w:p>
          <w:p w:rsidR="00DB2CC1" w:rsidRPr="00F90B95" w:rsidRDefault="00DB2CC1" w:rsidP="00F0669F">
            <w:pPr>
              <w:rPr>
                <w:rFonts w:ascii="Arial Narrow" w:hAnsi="Arial Narrow"/>
                <w:sz w:val="20"/>
              </w:rPr>
            </w:pPr>
            <w:r w:rsidRPr="00F90B95">
              <w:rPr>
                <w:rFonts w:ascii="Arial Narrow" w:hAnsi="Arial Narrow"/>
                <w:sz w:val="20"/>
              </w:rPr>
              <w:t>The treatment must be the sole PBS-subsid</w:t>
            </w:r>
            <w:r w:rsidR="00CC3E2A" w:rsidRPr="00F90B95">
              <w:rPr>
                <w:rFonts w:ascii="Arial Narrow" w:hAnsi="Arial Narrow"/>
                <w:sz w:val="20"/>
              </w:rPr>
              <w:t>ised therapy for this condition</w:t>
            </w:r>
          </w:p>
          <w:p w:rsidR="00DB2CC1" w:rsidRPr="00F90B95" w:rsidRDefault="00CC3E2A" w:rsidP="00F0669F">
            <w:pPr>
              <w:rPr>
                <w:rFonts w:ascii="Arial Narrow" w:hAnsi="Arial Narrow"/>
                <w:sz w:val="20"/>
              </w:rPr>
            </w:pPr>
            <w:r w:rsidRPr="00F90B95">
              <w:rPr>
                <w:rFonts w:ascii="Arial Narrow" w:hAnsi="Arial Narrow"/>
                <w:sz w:val="20"/>
              </w:rPr>
              <w:t>AND</w:t>
            </w:r>
          </w:p>
          <w:p w:rsidR="00DB2CC1" w:rsidRPr="00F90B95" w:rsidRDefault="00DB2CC1" w:rsidP="00F0669F">
            <w:pPr>
              <w:rPr>
                <w:rFonts w:ascii="Arial Narrow" w:hAnsi="Arial Narrow"/>
                <w:i/>
                <w:sz w:val="20"/>
                <w:highlight w:val="yellow"/>
                <w:lang w:eastAsia="en-AU"/>
              </w:rPr>
            </w:pPr>
            <w:r w:rsidRPr="00F90B95">
              <w:rPr>
                <w:rFonts w:ascii="Arial Narrow" w:hAnsi="Arial Narrow"/>
                <w:sz w:val="20"/>
              </w:rPr>
              <w:t>The treatment must not exceed a total of 35 cycles in a lifetime.</w:t>
            </w:r>
          </w:p>
        </w:tc>
      </w:tr>
      <w:tr w:rsidR="00DB2CC1" w:rsidRPr="00F90B95" w:rsidTr="00F0669F">
        <w:trPr>
          <w:cantSplit/>
          <w:trHeight w:val="274"/>
        </w:trPr>
        <w:tc>
          <w:tcPr>
            <w:tcW w:w="2268" w:type="dxa"/>
            <w:tcBorders>
              <w:top w:val="single" w:sz="4" w:space="0" w:color="auto"/>
              <w:left w:val="single" w:sz="4" w:space="0" w:color="auto"/>
              <w:bottom w:val="single" w:sz="4" w:space="0" w:color="auto"/>
              <w:right w:val="single" w:sz="4" w:space="0" w:color="auto"/>
            </w:tcBorders>
          </w:tcPr>
          <w:p w:rsidR="00DB2CC1" w:rsidRPr="00F90B95" w:rsidRDefault="00DB2CC1" w:rsidP="00F0669F">
            <w:pPr>
              <w:rPr>
                <w:rFonts w:ascii="Arial Narrow" w:hAnsi="Arial Narrow"/>
                <w:b/>
                <w:sz w:val="20"/>
              </w:rPr>
            </w:pPr>
            <w:r w:rsidRPr="00F90B95">
              <w:rPr>
                <w:rFonts w:ascii="Arial Narrow" w:hAnsi="Arial Narrow"/>
                <w:b/>
                <w:sz w:val="20"/>
              </w:rPr>
              <w:t>Prescriber Instructions</w:t>
            </w:r>
          </w:p>
        </w:tc>
        <w:tc>
          <w:tcPr>
            <w:tcW w:w="6804" w:type="dxa"/>
            <w:tcBorders>
              <w:top w:val="single" w:sz="4" w:space="0" w:color="auto"/>
              <w:left w:val="single" w:sz="4" w:space="0" w:color="auto"/>
              <w:bottom w:val="single" w:sz="4" w:space="0" w:color="auto"/>
              <w:right w:val="single" w:sz="4" w:space="0" w:color="auto"/>
            </w:tcBorders>
          </w:tcPr>
          <w:p w:rsidR="00DB2CC1" w:rsidRPr="00F90B95" w:rsidRDefault="00DB2CC1" w:rsidP="00F0669F">
            <w:pPr>
              <w:rPr>
                <w:rFonts w:ascii="Arial Narrow" w:hAnsi="Arial Narrow"/>
                <w:sz w:val="20"/>
              </w:rPr>
            </w:pPr>
            <w:r w:rsidRPr="00F90B95">
              <w:rPr>
                <w:rFonts w:ascii="Arial Narrow" w:hAnsi="Arial Narrow"/>
                <w:sz w:val="20"/>
              </w:rPr>
              <w:t>A patient may qualify for PBS-subsidised treatment under this restriction once only. For continuing PBS-subsidised treatment, a Grandfathered patient must qualify under the Continuing treatment criteria.</w:t>
            </w:r>
          </w:p>
        </w:tc>
      </w:tr>
      <w:tr w:rsidR="00DB2CC1" w:rsidRPr="00F90B95" w:rsidTr="00F0669F">
        <w:trPr>
          <w:cantSplit/>
          <w:trHeight w:val="443"/>
        </w:trPr>
        <w:tc>
          <w:tcPr>
            <w:tcW w:w="2268" w:type="dxa"/>
            <w:tcBorders>
              <w:top w:val="single" w:sz="4" w:space="0" w:color="auto"/>
              <w:left w:val="single" w:sz="4" w:space="0" w:color="auto"/>
              <w:bottom w:val="single" w:sz="4" w:space="0" w:color="auto"/>
              <w:right w:val="single" w:sz="4" w:space="0" w:color="auto"/>
            </w:tcBorders>
            <w:hideMark/>
          </w:tcPr>
          <w:p w:rsidR="00DB2CC1" w:rsidRPr="00F90B95" w:rsidRDefault="00DB2CC1" w:rsidP="00F0669F">
            <w:pPr>
              <w:jc w:val="left"/>
              <w:rPr>
                <w:rFonts w:ascii="Arial Narrow" w:hAnsi="Arial Narrow"/>
                <w:b/>
                <w:color w:val="000000" w:themeColor="text1"/>
                <w:sz w:val="20"/>
                <w:highlight w:val="yellow"/>
                <w:lang w:eastAsia="en-AU"/>
              </w:rPr>
            </w:pPr>
            <w:r w:rsidRPr="00F90B95">
              <w:rPr>
                <w:rFonts w:ascii="Arial Narrow" w:hAnsi="Arial Narrow"/>
                <w:b/>
                <w:color w:val="000000" w:themeColor="text1"/>
                <w:sz w:val="20"/>
                <w:lang w:eastAsia="en-AU"/>
              </w:rPr>
              <w:t>Administrative Advice</w:t>
            </w:r>
          </w:p>
        </w:tc>
        <w:tc>
          <w:tcPr>
            <w:tcW w:w="6804" w:type="dxa"/>
            <w:tcBorders>
              <w:top w:val="single" w:sz="4" w:space="0" w:color="auto"/>
              <w:left w:val="single" w:sz="4" w:space="0" w:color="auto"/>
              <w:bottom w:val="single" w:sz="4" w:space="0" w:color="auto"/>
              <w:right w:val="single" w:sz="4" w:space="0" w:color="auto"/>
            </w:tcBorders>
            <w:vAlign w:val="center"/>
          </w:tcPr>
          <w:p w:rsidR="00DB2CC1" w:rsidRPr="00F90B95" w:rsidRDefault="00DB2CC1" w:rsidP="00F0669F">
            <w:pPr>
              <w:rPr>
                <w:rFonts w:ascii="Arial Narrow" w:hAnsi="Arial Narrow"/>
                <w:color w:val="000000" w:themeColor="text1"/>
                <w:sz w:val="20"/>
              </w:rPr>
            </w:pPr>
            <w:r w:rsidRPr="00F90B95">
              <w:rPr>
                <w:rFonts w:ascii="Arial Narrow" w:hAnsi="Arial Narrow"/>
                <w:color w:val="000000" w:themeColor="text1"/>
                <w:sz w:val="20"/>
              </w:rPr>
              <w:t>No increase in the maximum number of repeats m</w:t>
            </w:r>
            <w:r w:rsidR="00CC3E2A" w:rsidRPr="00F90B95">
              <w:rPr>
                <w:rFonts w:ascii="Arial Narrow" w:hAnsi="Arial Narrow"/>
                <w:color w:val="000000" w:themeColor="text1"/>
                <w:sz w:val="20"/>
              </w:rPr>
              <w:t>ay be authorised.</w:t>
            </w:r>
          </w:p>
          <w:p w:rsidR="00DB2CC1" w:rsidRPr="00F90B95" w:rsidRDefault="00DB2CC1" w:rsidP="00F0669F">
            <w:pPr>
              <w:rPr>
                <w:rFonts w:ascii="Arial Narrow" w:hAnsi="Arial Narrow"/>
                <w:color w:val="000000" w:themeColor="text1"/>
                <w:sz w:val="20"/>
              </w:rPr>
            </w:pPr>
            <w:r w:rsidRPr="00F90B95">
              <w:rPr>
                <w:rFonts w:ascii="Arial Narrow" w:hAnsi="Arial Narrow"/>
                <w:color w:val="000000" w:themeColor="text1"/>
                <w:sz w:val="20"/>
              </w:rPr>
              <w:t>No increase in the maximum quantity or nu</w:t>
            </w:r>
            <w:r w:rsidR="00CC3E2A" w:rsidRPr="00F90B95">
              <w:rPr>
                <w:rFonts w:ascii="Arial Narrow" w:hAnsi="Arial Narrow"/>
                <w:color w:val="000000" w:themeColor="text1"/>
                <w:sz w:val="20"/>
              </w:rPr>
              <w:t>mber of units may be authorised.</w:t>
            </w:r>
          </w:p>
          <w:p w:rsidR="00DB2CC1" w:rsidRPr="00F90B95" w:rsidRDefault="00DB2CC1" w:rsidP="00F0669F">
            <w:pPr>
              <w:rPr>
                <w:rFonts w:ascii="Arial Narrow" w:hAnsi="Arial Narrow" w:cs="Times New Roman"/>
                <w:sz w:val="20"/>
                <w:highlight w:val="yellow"/>
              </w:rPr>
            </w:pPr>
            <w:r w:rsidRPr="00F90B95">
              <w:rPr>
                <w:rFonts w:ascii="Arial Narrow" w:hAnsi="Arial Narrow"/>
                <w:color w:val="000000" w:themeColor="text1"/>
                <w:sz w:val="20"/>
              </w:rPr>
              <w:t>Special Pricing Arrangements apply</w:t>
            </w:r>
          </w:p>
        </w:tc>
      </w:tr>
    </w:tbl>
    <w:p w:rsidR="00DB2CC1" w:rsidRPr="00F90B95" w:rsidRDefault="00DB2CC1" w:rsidP="00DB2CC1">
      <w:pPr>
        <w:pStyle w:val="TableFooter"/>
        <w:rPr>
          <w:szCs w:val="18"/>
        </w:rPr>
      </w:pPr>
      <w:r w:rsidRPr="00F90B95">
        <w:rPr>
          <w:szCs w:val="18"/>
        </w:rPr>
        <w:t>Source: pp12-16, Section 1.4 of the main submission.</w:t>
      </w:r>
    </w:p>
    <w:p w:rsidR="00ED3EF9" w:rsidRPr="00F90B95" w:rsidRDefault="00ED3EF9" w:rsidP="0044164E">
      <w:pPr>
        <w:pStyle w:val="ListParagraph"/>
        <w:numPr>
          <w:ilvl w:val="1"/>
          <w:numId w:val="8"/>
        </w:numPr>
        <w:spacing w:before="120" w:after="120"/>
      </w:pPr>
      <w:r w:rsidRPr="00F90B95">
        <w:t xml:space="preserve">During the evaluation, it was advised that the proposed target population in the submission had changed </w:t>
      </w:r>
      <w:r w:rsidR="00E97590" w:rsidRPr="00F90B95">
        <w:t>from</w:t>
      </w:r>
      <w:r w:rsidR="0042305E" w:rsidRPr="00F90B95">
        <w:t xml:space="preserve"> </w:t>
      </w:r>
      <w:proofErr w:type="spellStart"/>
      <w:r w:rsidR="00E97590" w:rsidRPr="00F90B95">
        <w:t>mCRC</w:t>
      </w:r>
      <w:proofErr w:type="spellEnd"/>
      <w:r w:rsidR="00E97590" w:rsidRPr="00F90B95">
        <w:t xml:space="preserve"> </w:t>
      </w:r>
      <w:r w:rsidRPr="00F90B95">
        <w:t xml:space="preserve">with </w:t>
      </w:r>
      <w:proofErr w:type="spellStart"/>
      <w:r w:rsidRPr="00F90B95">
        <w:t>dMMR</w:t>
      </w:r>
      <w:proofErr w:type="spellEnd"/>
      <w:r w:rsidRPr="00F90B95">
        <w:t xml:space="preserve"> </w:t>
      </w:r>
      <w:r w:rsidR="0042305E" w:rsidRPr="00F90B95">
        <w:t xml:space="preserve">or microsatellite instability high (MSI-H) status to </w:t>
      </w:r>
      <w:proofErr w:type="spellStart"/>
      <w:r w:rsidR="0042305E" w:rsidRPr="00F90B95">
        <w:t>dMMR</w:t>
      </w:r>
      <w:proofErr w:type="spellEnd"/>
      <w:r w:rsidR="0042305E" w:rsidRPr="00F90B95">
        <w:t xml:space="preserve"> </w:t>
      </w:r>
      <w:proofErr w:type="spellStart"/>
      <w:r w:rsidR="0042305E" w:rsidRPr="00F90B95">
        <w:t>mCRC</w:t>
      </w:r>
      <w:proofErr w:type="spellEnd"/>
      <w:r w:rsidR="0042305E" w:rsidRPr="00F90B95">
        <w:t xml:space="preserve"> </w:t>
      </w:r>
      <w:r w:rsidR="003E2B95" w:rsidRPr="00F90B95">
        <w:t>only</w:t>
      </w:r>
      <w:r w:rsidR="00E45DB5" w:rsidRPr="00F90B95">
        <w:t>,</w:t>
      </w:r>
      <w:r w:rsidR="0042305E" w:rsidRPr="00F90B95">
        <w:t xml:space="preserve"> as</w:t>
      </w:r>
      <w:r w:rsidR="003E2B95" w:rsidRPr="00F90B95">
        <w:t xml:space="preserve"> MSI-H testing is not currently reimbursed under a Medicare Benefits Schedule (MBS) item number</w:t>
      </w:r>
      <w:r w:rsidR="0042305E" w:rsidRPr="00F90B95">
        <w:t>.</w:t>
      </w:r>
      <w:r w:rsidR="003E2B95" w:rsidRPr="00F90B95">
        <w:t xml:space="preserve"> </w:t>
      </w:r>
      <w:r w:rsidR="00E97590" w:rsidRPr="00F90B95">
        <w:t>Unlike MSI</w:t>
      </w:r>
      <w:r w:rsidR="0042305E" w:rsidRPr="00F90B95">
        <w:t>-H</w:t>
      </w:r>
      <w:r w:rsidR="00E97590" w:rsidRPr="00F90B95">
        <w:t xml:space="preserve"> testing, </w:t>
      </w:r>
      <w:proofErr w:type="spellStart"/>
      <w:r w:rsidR="0042305E" w:rsidRPr="00F90B95">
        <w:t>d</w:t>
      </w:r>
      <w:r w:rsidR="00E97590" w:rsidRPr="00F90B95">
        <w:t>MMR</w:t>
      </w:r>
      <w:proofErr w:type="spellEnd"/>
      <w:r w:rsidR="00E97590" w:rsidRPr="00F90B95">
        <w:t xml:space="preserve"> testing in CRC is routine clinical practice in Australia (to identify patients with Lynch syndrome)</w:t>
      </w:r>
      <w:r w:rsidR="00211CBB" w:rsidRPr="00F90B95">
        <w:t xml:space="preserve">. For a </w:t>
      </w:r>
      <w:proofErr w:type="spellStart"/>
      <w:r w:rsidR="00211CBB" w:rsidRPr="00F90B95">
        <w:t>dMMR</w:t>
      </w:r>
      <w:proofErr w:type="spellEnd"/>
      <w:r w:rsidR="00211CBB" w:rsidRPr="00F90B95">
        <w:t xml:space="preserve"> </w:t>
      </w:r>
      <w:proofErr w:type="spellStart"/>
      <w:r w:rsidR="003C1DDF" w:rsidRPr="00F90B95">
        <w:t>m</w:t>
      </w:r>
      <w:r w:rsidR="00211CBB" w:rsidRPr="00F90B95">
        <w:t>CRC</w:t>
      </w:r>
      <w:proofErr w:type="spellEnd"/>
      <w:r w:rsidR="00211CBB" w:rsidRPr="00F90B95">
        <w:t xml:space="preserve"> target population, the Medical Services Advisory Committee (MSAC) Executive has </w:t>
      </w:r>
      <w:r w:rsidR="00DE4471" w:rsidRPr="00F90B95">
        <w:t xml:space="preserve">previously </w:t>
      </w:r>
      <w:r w:rsidR="00211CBB" w:rsidRPr="00F90B95">
        <w:t xml:space="preserve">advised the applicant that a </w:t>
      </w:r>
      <w:proofErr w:type="spellStart"/>
      <w:r w:rsidR="00211CBB" w:rsidRPr="00F90B95">
        <w:t>codependent</w:t>
      </w:r>
      <w:proofErr w:type="spellEnd"/>
      <w:r w:rsidR="00211CBB" w:rsidRPr="00F90B95">
        <w:t xml:space="preserve"> submission would not be required</w:t>
      </w:r>
      <w:r w:rsidR="001B1F6C" w:rsidRPr="00F90B95">
        <w:t>, as</w:t>
      </w:r>
      <w:r w:rsidR="00211CBB" w:rsidRPr="00F90B95">
        <w:t xml:space="preserve"> the </w:t>
      </w:r>
      <w:r w:rsidR="00DE4471" w:rsidRPr="00F90B95">
        <w:t xml:space="preserve">MMR </w:t>
      </w:r>
      <w:r w:rsidR="00211CBB" w:rsidRPr="00F90B95">
        <w:t xml:space="preserve">test is currently reimbursed under a general MBS item number for </w:t>
      </w:r>
      <w:proofErr w:type="spellStart"/>
      <w:r w:rsidR="00211CBB" w:rsidRPr="00F90B95">
        <w:t>immunohistochemical</w:t>
      </w:r>
      <w:proofErr w:type="spellEnd"/>
      <w:r w:rsidR="00211CBB" w:rsidRPr="00F90B95">
        <w:t xml:space="preserve"> (IHC) staining (MSAC Executive minutes 1452, March 3 2017).</w:t>
      </w:r>
      <w:r w:rsidR="00BC27CB" w:rsidRPr="00F90B95">
        <w:t xml:space="preserve"> </w:t>
      </w:r>
      <w:r w:rsidR="00FC400A" w:rsidRPr="00F90B95">
        <w:t>The Secretariat note</w:t>
      </w:r>
      <w:r w:rsidR="00B435CD" w:rsidRPr="00F90B95">
        <w:t>d</w:t>
      </w:r>
      <w:r w:rsidR="00FC400A" w:rsidRPr="00F90B95">
        <w:t xml:space="preserve"> that the MSAC </w:t>
      </w:r>
      <w:r w:rsidR="00B435CD" w:rsidRPr="00F90B95">
        <w:t xml:space="preserve">was </w:t>
      </w:r>
      <w:r w:rsidR="00FC400A" w:rsidRPr="00F90B95">
        <w:t xml:space="preserve">considering the </w:t>
      </w:r>
      <w:r w:rsidR="00B435CD" w:rsidRPr="00F90B95">
        <w:t xml:space="preserve">comparability </w:t>
      </w:r>
      <w:r w:rsidR="00FC400A" w:rsidRPr="00F90B95">
        <w:t xml:space="preserve">of MSI-H and </w:t>
      </w:r>
      <w:proofErr w:type="spellStart"/>
      <w:r w:rsidR="00FC400A" w:rsidRPr="00F90B95">
        <w:t>dMMR</w:t>
      </w:r>
      <w:proofErr w:type="spellEnd"/>
      <w:r w:rsidR="00FC400A" w:rsidRPr="00F90B95">
        <w:t xml:space="preserve"> testing</w:t>
      </w:r>
      <w:r w:rsidR="00B435CD" w:rsidRPr="00F90B95">
        <w:t xml:space="preserve">. </w:t>
      </w:r>
      <w:r w:rsidR="00DC4DA4" w:rsidRPr="00F90B95">
        <w:t xml:space="preserve">Current literature </w:t>
      </w:r>
      <w:r w:rsidR="00B435CD" w:rsidRPr="00F90B95">
        <w:t>(</w:t>
      </w:r>
      <w:proofErr w:type="spellStart"/>
      <w:r w:rsidR="00B435CD" w:rsidRPr="00F90B95">
        <w:t>Jin</w:t>
      </w:r>
      <w:proofErr w:type="spellEnd"/>
      <w:r w:rsidR="00B435CD" w:rsidRPr="00F90B95">
        <w:t xml:space="preserve"> et al, 2018</w:t>
      </w:r>
      <w:r w:rsidR="00E45DB5" w:rsidRPr="00F90B95">
        <w:rPr>
          <w:rStyle w:val="FootnoteReference"/>
        </w:rPr>
        <w:footnoteReference w:id="1"/>
      </w:r>
      <w:r w:rsidR="00B435CD" w:rsidRPr="00F90B95">
        <w:t xml:space="preserve">) </w:t>
      </w:r>
      <w:r w:rsidR="00DC4DA4" w:rsidRPr="00F90B95">
        <w:t xml:space="preserve">suggests that </w:t>
      </w:r>
      <w:r w:rsidR="00CC3E2A" w:rsidRPr="00F90B95">
        <w:t xml:space="preserve">colorectal </w:t>
      </w:r>
      <w:r w:rsidR="00F11087" w:rsidRPr="00F90B95">
        <w:t>tumours</w:t>
      </w:r>
      <w:r w:rsidR="00DC4DA4" w:rsidRPr="00F90B95">
        <w:t xml:space="preserve"> that have </w:t>
      </w:r>
      <w:proofErr w:type="spellStart"/>
      <w:r w:rsidR="00DC4DA4" w:rsidRPr="00F90B95">
        <w:t>dMMR</w:t>
      </w:r>
      <w:proofErr w:type="spellEnd"/>
      <w:r w:rsidR="00DC4DA4" w:rsidRPr="00F90B95">
        <w:t xml:space="preserve"> status are biologically </w:t>
      </w:r>
      <w:r w:rsidR="00B435CD" w:rsidRPr="00F90B95">
        <w:t>similar to</w:t>
      </w:r>
      <w:r w:rsidR="00DC4DA4" w:rsidRPr="00F90B95">
        <w:t xml:space="preserve"> those with MSI-H status</w:t>
      </w:r>
      <w:r w:rsidR="00B435CD" w:rsidRPr="00F90B95">
        <w:t>.</w:t>
      </w:r>
    </w:p>
    <w:p w:rsidR="00591957" w:rsidRPr="00F90B95" w:rsidRDefault="00DE4471" w:rsidP="0044164E">
      <w:pPr>
        <w:pStyle w:val="ListParagraph"/>
        <w:numPr>
          <w:ilvl w:val="1"/>
          <w:numId w:val="8"/>
        </w:numPr>
        <w:spacing w:before="120" w:after="120"/>
      </w:pPr>
      <w:r w:rsidRPr="00F90B95">
        <w:t xml:space="preserve">The submission </w:t>
      </w:r>
      <w:r w:rsidR="0066647C" w:rsidRPr="00F90B95">
        <w:t>proposed a Special Pricing Arrangement (SPA). The submission noted that t</w:t>
      </w:r>
      <w:r w:rsidR="00E97590" w:rsidRPr="00F90B95">
        <w:t xml:space="preserve">he effective </w:t>
      </w:r>
      <w:r w:rsidR="0004366C" w:rsidRPr="00F90B95">
        <w:t xml:space="preserve">approved </w:t>
      </w:r>
      <w:r w:rsidR="00E97590" w:rsidRPr="00F90B95">
        <w:t>ex-manufacturer pric</w:t>
      </w:r>
      <w:r w:rsidR="0066647C" w:rsidRPr="00F90B95">
        <w:t xml:space="preserve">e </w:t>
      </w:r>
      <w:r w:rsidR="0004366C" w:rsidRPr="00F90B95">
        <w:t xml:space="preserve">(AEMP) </w:t>
      </w:r>
      <w:r w:rsidR="0066647C" w:rsidRPr="00F90B95">
        <w:t>per 100</w:t>
      </w:r>
      <w:r w:rsidR="00994196" w:rsidRPr="00F90B95">
        <w:t> </w:t>
      </w:r>
      <w:r w:rsidR="0066647C" w:rsidRPr="00F90B95">
        <w:t xml:space="preserve">mg </w:t>
      </w:r>
      <w:r w:rsidR="004F2388" w:rsidRPr="00F90B95">
        <w:t xml:space="preserve">pembrolizumab </w:t>
      </w:r>
      <w:r w:rsidR="0066647C" w:rsidRPr="00F90B95">
        <w:t xml:space="preserve">vial </w:t>
      </w:r>
      <w:r w:rsidR="003E2B95" w:rsidRPr="00F90B95">
        <w:t>of</w:t>
      </w:r>
      <w:r w:rsidR="00E97590" w:rsidRPr="00F90B95">
        <w:t xml:space="preserve"> </w:t>
      </w:r>
      <w:r w:rsidR="004F2388" w:rsidRPr="00F90B95">
        <w:t>$</w:t>
      </w:r>
      <w:r w:rsidR="00A36C14">
        <w:rPr>
          <w:noProof/>
          <w:color w:val="000000"/>
          <w:highlight w:val="black"/>
        </w:rPr>
        <w:t>'''''''''''''''''</w:t>
      </w:r>
      <w:r w:rsidR="004F2388" w:rsidRPr="00F90B95">
        <w:t xml:space="preserve"> </w:t>
      </w:r>
      <w:r w:rsidR="003E2B95" w:rsidRPr="00F90B95">
        <w:t xml:space="preserve">was </w:t>
      </w:r>
      <w:r w:rsidR="00E97590" w:rsidRPr="00F90B95">
        <w:t xml:space="preserve">based on the </w:t>
      </w:r>
      <w:r w:rsidR="00622EAA" w:rsidRPr="00F90B95">
        <w:t>economic</w:t>
      </w:r>
      <w:r w:rsidR="00E97590" w:rsidRPr="00F90B95">
        <w:t xml:space="preserve"> evaluation. </w:t>
      </w:r>
      <w:r w:rsidR="004F2388" w:rsidRPr="00F90B95">
        <w:t>The submission stated that “</w:t>
      </w:r>
      <w:r w:rsidR="00E97590" w:rsidRPr="00F90B95">
        <w:t xml:space="preserve">If positively recommended, the Sponsor will work with the </w:t>
      </w:r>
      <w:r w:rsidR="003C1DDF" w:rsidRPr="00F90B95">
        <w:t>D</w:t>
      </w:r>
      <w:r w:rsidR="00E97590" w:rsidRPr="00F90B95">
        <w:t>epartment to develop a Deed to ensure the appropriate effective price is paid by the government”.</w:t>
      </w:r>
    </w:p>
    <w:p w:rsidR="00704103" w:rsidRPr="00F90B95" w:rsidRDefault="00704103" w:rsidP="0044164E">
      <w:pPr>
        <w:pStyle w:val="ListParagraph"/>
        <w:numPr>
          <w:ilvl w:val="1"/>
          <w:numId w:val="8"/>
        </w:numPr>
        <w:spacing w:before="120" w:after="120"/>
      </w:pPr>
      <w:r w:rsidRPr="00F90B95">
        <w:t xml:space="preserve">The </w:t>
      </w:r>
      <w:r w:rsidR="003767D1" w:rsidRPr="00F90B95">
        <w:t xml:space="preserve">PBAC noted that the </w:t>
      </w:r>
      <w:r w:rsidR="000F6E98" w:rsidRPr="00F90B95">
        <w:t>requested</w:t>
      </w:r>
      <w:r w:rsidRPr="00F90B95">
        <w:t xml:space="preserve"> restriction, as a second-line therapy, did not align with th</w:t>
      </w:r>
      <w:r w:rsidR="006D78E0" w:rsidRPr="00F90B95">
        <w:t xml:space="preserve">e </w:t>
      </w:r>
      <w:r w:rsidRPr="00F90B95">
        <w:t>recommend</w:t>
      </w:r>
      <w:r w:rsidR="006D78E0" w:rsidRPr="00F90B95">
        <w:t xml:space="preserve">ations made </w:t>
      </w:r>
      <w:r w:rsidRPr="00F90B95">
        <w:t>by the first Clinical Evaluation Report</w:t>
      </w:r>
      <w:r w:rsidR="000F6E98" w:rsidRPr="00F90B95">
        <w:t xml:space="preserve"> for the TGA</w:t>
      </w:r>
      <w:r w:rsidRPr="00F90B95">
        <w:t>. Th</w:t>
      </w:r>
      <w:r w:rsidR="000F6E98" w:rsidRPr="00F90B95">
        <w:t>is</w:t>
      </w:r>
      <w:r w:rsidRPr="00F90B95">
        <w:t xml:space="preserve"> recommended that pembrolizumab be used in patients who “have exhausted all subsequent effective or suitable treatment options” (see paragraphs 3.3 and 3.4</w:t>
      </w:r>
      <w:r w:rsidR="00994196" w:rsidRPr="00F90B95">
        <w:t xml:space="preserve"> below</w:t>
      </w:r>
      <w:r w:rsidRPr="00F90B95">
        <w:t>).</w:t>
      </w:r>
      <w:r w:rsidR="003767D1" w:rsidRPr="00F90B95">
        <w:t xml:space="preserve"> The PBAC </w:t>
      </w:r>
      <w:r w:rsidR="006E3395" w:rsidRPr="00F90B95">
        <w:t>advised</w:t>
      </w:r>
      <w:r w:rsidR="003767D1" w:rsidRPr="00F90B95">
        <w:t xml:space="preserve"> that </w:t>
      </w:r>
      <w:r w:rsidR="004C1EBB" w:rsidRPr="00F90B95">
        <w:t>the place in therapy and proposed PBS restriction should align with th</w:t>
      </w:r>
      <w:r w:rsidR="006E3395" w:rsidRPr="00F90B95">
        <w:t>is</w:t>
      </w:r>
      <w:r w:rsidR="004C1EBB" w:rsidRPr="00F90B95">
        <w:t xml:space="preserve"> recommended indication.</w:t>
      </w:r>
    </w:p>
    <w:p w:rsidR="004D3F47" w:rsidRPr="00F90B95" w:rsidRDefault="003C1DDF" w:rsidP="0044164E">
      <w:pPr>
        <w:pStyle w:val="ListParagraph"/>
        <w:numPr>
          <w:ilvl w:val="1"/>
          <w:numId w:val="8"/>
        </w:numPr>
        <w:spacing w:before="120" w:after="120"/>
      </w:pPr>
      <w:r w:rsidRPr="00F90B95">
        <w:lastRenderedPageBreak/>
        <w:t>A</w:t>
      </w:r>
      <w:r w:rsidR="004D3F47" w:rsidRPr="00F90B95">
        <w:t xml:space="preserve"> STREAMLINED authority was requested</w:t>
      </w:r>
      <w:r w:rsidR="00063FD1" w:rsidRPr="00F90B95">
        <w:t xml:space="preserve">, aligning with the </w:t>
      </w:r>
      <w:r w:rsidR="004D3F47" w:rsidRPr="00F90B95">
        <w:t xml:space="preserve">restrictions for </w:t>
      </w:r>
      <w:proofErr w:type="spellStart"/>
      <w:r w:rsidR="004D3F47" w:rsidRPr="00F90B95">
        <w:t>cetuximab</w:t>
      </w:r>
      <w:proofErr w:type="spellEnd"/>
      <w:r w:rsidR="004D3F47" w:rsidRPr="00F90B95">
        <w:t xml:space="preserve">, bevacizumab and </w:t>
      </w:r>
      <w:proofErr w:type="spellStart"/>
      <w:r w:rsidR="004D3F47" w:rsidRPr="00F90B95">
        <w:t>panitumumab</w:t>
      </w:r>
      <w:proofErr w:type="spellEnd"/>
      <w:r w:rsidR="004D3F47" w:rsidRPr="00F90B95">
        <w:t xml:space="preserve"> in the same line of therapy.</w:t>
      </w:r>
      <w:r w:rsidR="00511018" w:rsidRPr="00F90B95">
        <w:t xml:space="preserve"> The PBAC </w:t>
      </w:r>
      <w:r w:rsidR="006E3395" w:rsidRPr="00F90B95">
        <w:t>advised</w:t>
      </w:r>
      <w:r w:rsidR="00511018" w:rsidRPr="00F90B95">
        <w:t xml:space="preserve"> that the restriction level should be Authority Required (</w:t>
      </w:r>
      <w:r w:rsidR="00063FD1" w:rsidRPr="00F90B95">
        <w:t>W</w:t>
      </w:r>
      <w:r w:rsidR="00511018" w:rsidRPr="00F90B95">
        <w:t>ritten)</w:t>
      </w:r>
      <w:r w:rsidR="000E5B93" w:rsidRPr="00F90B95">
        <w:t>, with the clinician providing</w:t>
      </w:r>
      <w:r w:rsidR="00511018" w:rsidRPr="00F90B95">
        <w:t xml:space="preserve"> evidence of </w:t>
      </w:r>
      <w:proofErr w:type="spellStart"/>
      <w:r w:rsidR="00511018" w:rsidRPr="00F90B95">
        <w:t>dMMR</w:t>
      </w:r>
      <w:proofErr w:type="spellEnd"/>
      <w:r w:rsidR="00511018" w:rsidRPr="00F90B95">
        <w:t xml:space="preserve"> status.</w:t>
      </w:r>
    </w:p>
    <w:p w:rsidR="006F3E36" w:rsidRPr="00F90B95" w:rsidRDefault="006F3E36" w:rsidP="0044164E">
      <w:pPr>
        <w:pStyle w:val="ListParagraph"/>
        <w:keepLines/>
        <w:numPr>
          <w:ilvl w:val="1"/>
          <w:numId w:val="8"/>
        </w:numPr>
        <w:spacing w:before="120" w:after="120"/>
      </w:pPr>
      <w:r w:rsidRPr="00F90B95">
        <w:t>The submission proposed a grandfathering listing for patients who have already initiated pembrolizumab treatment before the PBS listing.</w:t>
      </w:r>
      <w:r w:rsidR="00B435CD" w:rsidRPr="00F90B95">
        <w:t xml:space="preserve"> The submission estimated that 59 patients would be eligible for grandfathering.</w:t>
      </w:r>
    </w:p>
    <w:p w:rsidR="00F001F0" w:rsidRPr="00F90B95" w:rsidRDefault="00F001F0" w:rsidP="0044164E">
      <w:pPr>
        <w:pStyle w:val="ListParagraph"/>
        <w:numPr>
          <w:ilvl w:val="1"/>
          <w:numId w:val="8"/>
        </w:numPr>
        <w:spacing w:before="120" w:after="120"/>
      </w:pPr>
      <w:r w:rsidRPr="00F90B95">
        <w:t xml:space="preserve">The requested PBS restriction states that a patient must have failed at least one prior standard chemotherapy (with or without an </w:t>
      </w:r>
      <w:r w:rsidR="00903D3E" w:rsidRPr="00F90B95">
        <w:t>epidermal growth factor receptor (</w:t>
      </w:r>
      <w:r w:rsidRPr="00F90B95">
        <w:t>EGFR</w:t>
      </w:r>
      <w:r w:rsidR="00903D3E" w:rsidRPr="00F90B95">
        <w:t>)</w:t>
      </w:r>
      <w:r w:rsidRPr="00F90B95">
        <w:t xml:space="preserve"> or </w:t>
      </w:r>
      <w:r w:rsidR="00903D3E" w:rsidRPr="00F90B95">
        <w:rPr>
          <w:rFonts w:cs="Calibri"/>
          <w:snapToGrid/>
          <w:szCs w:val="24"/>
          <w:lang w:eastAsia="en-AU"/>
        </w:rPr>
        <w:t>vascular endothelial growth factor</w:t>
      </w:r>
      <w:r w:rsidR="00903D3E" w:rsidRPr="00F90B95">
        <w:t xml:space="preserve"> (</w:t>
      </w:r>
      <w:r w:rsidRPr="00F90B95">
        <w:t>VEGF</w:t>
      </w:r>
      <w:r w:rsidR="00903D3E" w:rsidRPr="00F90B95">
        <w:t>)</w:t>
      </w:r>
      <w:r w:rsidRPr="00F90B95">
        <w:t xml:space="preserve"> antibody). Thus</w:t>
      </w:r>
      <w:r w:rsidR="003C1DDF" w:rsidRPr="00F90B95">
        <w:t>,</w:t>
      </w:r>
      <w:r w:rsidRPr="00F90B95">
        <w:t xml:space="preserve"> the re</w:t>
      </w:r>
      <w:r w:rsidR="00E76B82" w:rsidRPr="00F90B95">
        <w:t>quested restriction includes second</w:t>
      </w:r>
      <w:r w:rsidR="008612E6" w:rsidRPr="00F90B95">
        <w:t xml:space="preserve">- and later-line </w:t>
      </w:r>
      <w:r w:rsidRPr="00F90B95">
        <w:t xml:space="preserve">treatment. </w:t>
      </w:r>
      <w:r w:rsidR="003C1DDF" w:rsidRPr="00F90B95">
        <w:t>T</w:t>
      </w:r>
      <w:r w:rsidRPr="00F90B95">
        <w:t>he</w:t>
      </w:r>
      <w:r w:rsidR="003C1DDF" w:rsidRPr="00F90B95">
        <w:t xml:space="preserve"> KN164 study provided </w:t>
      </w:r>
      <w:r w:rsidRPr="00F90B95">
        <w:t xml:space="preserve">limited evidence </w:t>
      </w:r>
      <w:r w:rsidR="001B1F6C" w:rsidRPr="00F90B95">
        <w:t>for</w:t>
      </w:r>
      <w:r w:rsidRPr="00F90B95">
        <w:t xml:space="preserve"> treatment with pembrolizumab in the </w:t>
      </w:r>
      <w:r w:rsidR="00E76B82" w:rsidRPr="00F90B95">
        <w:t>second-line</w:t>
      </w:r>
      <w:r w:rsidRPr="00F90B95">
        <w:t xml:space="preserve"> setting as the majority of patients (90</w:t>
      </w:r>
      <w:r w:rsidR="00FB1CAA" w:rsidRPr="00F90B95">
        <w:t>.2</w:t>
      </w:r>
      <w:r w:rsidRPr="00F90B95">
        <w:t xml:space="preserve">%) had failed at least </w:t>
      </w:r>
      <w:r w:rsidR="00822A8F" w:rsidRPr="00F90B95">
        <w:t xml:space="preserve">two </w:t>
      </w:r>
      <w:r w:rsidRPr="00F90B95">
        <w:t>prior lines of therapy at study baseline. Approximately 44% and 23% of patients had progressed on at least three and at least four prior lines of therapy, respectively.</w:t>
      </w:r>
    </w:p>
    <w:p w:rsidR="0020732F" w:rsidRPr="00F90B95" w:rsidRDefault="00242B27" w:rsidP="0044164E">
      <w:pPr>
        <w:pStyle w:val="ListParagraph"/>
        <w:numPr>
          <w:ilvl w:val="1"/>
          <w:numId w:val="8"/>
        </w:numPr>
        <w:spacing w:before="120" w:after="120"/>
      </w:pPr>
      <w:r w:rsidRPr="00F90B95">
        <w:t>Consistent with the view of t</w:t>
      </w:r>
      <w:r w:rsidR="007035FA" w:rsidRPr="00F90B95">
        <w:t>he ESC</w:t>
      </w:r>
      <w:r w:rsidRPr="00F90B95">
        <w:t>, the</w:t>
      </w:r>
      <w:r w:rsidR="00511018" w:rsidRPr="00F90B95">
        <w:t xml:space="preserve"> PBAC </w:t>
      </w:r>
      <w:r w:rsidRPr="00F90B95">
        <w:t>advised</w:t>
      </w:r>
      <w:r w:rsidR="007035FA" w:rsidRPr="00F90B95">
        <w:t xml:space="preserve"> that a</w:t>
      </w:r>
      <w:r w:rsidR="00DE4471" w:rsidRPr="00F90B95">
        <w:t xml:space="preserve">n Eastern Cooperative Oncology Group (ECOG) performance status (PS) of 0 or 1 may need to be specified in the requested restriction </w:t>
      </w:r>
      <w:r w:rsidR="00822A8F" w:rsidRPr="00F90B95">
        <w:t xml:space="preserve">to: </w:t>
      </w:r>
      <w:r w:rsidR="00DE4471" w:rsidRPr="00F90B95">
        <w:t xml:space="preserve">1) reflect the KN164 study population, and 2) </w:t>
      </w:r>
      <w:r w:rsidR="004F2388" w:rsidRPr="00F90B95">
        <w:t xml:space="preserve">address the safety concern that </w:t>
      </w:r>
      <w:r w:rsidR="00DE4471" w:rsidRPr="00F90B95">
        <w:t xml:space="preserve">patients with a poor </w:t>
      </w:r>
      <w:r w:rsidR="00F001F0" w:rsidRPr="00F90B95">
        <w:t>PS</w:t>
      </w:r>
      <w:r w:rsidR="00DE4471" w:rsidRPr="00F90B95">
        <w:t xml:space="preserve"> </w:t>
      </w:r>
      <w:r w:rsidR="00F62933">
        <w:t>may be</w:t>
      </w:r>
      <w:r w:rsidR="00DE4471" w:rsidRPr="00F90B95">
        <w:t xml:space="preserve"> more </w:t>
      </w:r>
      <w:r w:rsidR="004F2388" w:rsidRPr="00F90B95">
        <w:t xml:space="preserve">likely to </w:t>
      </w:r>
      <w:r w:rsidR="00F62933">
        <w:t>have adverse outcomes from the</w:t>
      </w:r>
      <w:r w:rsidR="00DE4471" w:rsidRPr="00F90B95">
        <w:t xml:space="preserve"> immune mediated AEs associated with PD-1/PD-L1 inhibitors.</w:t>
      </w:r>
    </w:p>
    <w:p w:rsidR="00D34553" w:rsidRPr="00F90B95" w:rsidRDefault="00D34553" w:rsidP="0044164E">
      <w:pPr>
        <w:pStyle w:val="ListParagraph"/>
        <w:spacing w:before="120" w:after="120"/>
        <w:rPr>
          <w:i/>
        </w:rPr>
      </w:pPr>
      <w:r w:rsidRPr="00F90B95">
        <w:rPr>
          <w:i/>
        </w:rPr>
        <w:t>For more detail on PBAC’s view, see Section 7 PBAC outcome.</w:t>
      </w:r>
    </w:p>
    <w:p w:rsidR="00B50DB8" w:rsidRPr="00F90B95" w:rsidRDefault="00B50DB8" w:rsidP="0044164E">
      <w:pPr>
        <w:pStyle w:val="PBACHeading1"/>
        <w:keepNext/>
        <w:spacing w:before="120" w:after="120"/>
      </w:pPr>
      <w:bookmarkStart w:id="2" w:name="_Toc535588637"/>
      <w:r w:rsidRPr="00F90B95">
        <w:t>Background</w:t>
      </w:r>
      <w:bookmarkEnd w:id="2"/>
    </w:p>
    <w:p w:rsidR="00B60939" w:rsidRPr="004C4775" w:rsidRDefault="00591957" w:rsidP="0044164E">
      <w:pPr>
        <w:pStyle w:val="Heading2"/>
        <w:spacing w:before="120"/>
      </w:pPr>
      <w:r w:rsidRPr="004C4775">
        <w:t>Registration status</w:t>
      </w:r>
    </w:p>
    <w:p w:rsidR="00985978" w:rsidRPr="00F90B95" w:rsidRDefault="00EF692E" w:rsidP="0044164E">
      <w:pPr>
        <w:pStyle w:val="ListParagraph"/>
        <w:keepNext/>
        <w:widowControl/>
        <w:numPr>
          <w:ilvl w:val="1"/>
          <w:numId w:val="7"/>
        </w:numPr>
        <w:spacing w:before="120" w:after="120"/>
      </w:pPr>
      <w:r w:rsidRPr="00F90B95">
        <w:t>Pembrolizumab is currently under</w:t>
      </w:r>
      <w:r w:rsidR="00822A8F" w:rsidRPr="00F90B95">
        <w:t xml:space="preserve"> </w:t>
      </w:r>
      <w:r w:rsidR="00B2114E" w:rsidRPr="00F90B95">
        <w:t xml:space="preserve">review </w:t>
      </w:r>
      <w:r w:rsidRPr="00F90B95">
        <w:t>by the TGA</w:t>
      </w:r>
      <w:r w:rsidR="00764856">
        <w:t xml:space="preserve"> via the provisional approval pathway</w:t>
      </w:r>
      <w:r w:rsidRPr="00F90B95">
        <w:t xml:space="preserve"> and t</w:t>
      </w:r>
      <w:r w:rsidR="00B60939" w:rsidRPr="00F90B95">
        <w:t xml:space="preserve">he submission was made under </w:t>
      </w:r>
      <w:r w:rsidR="001B1F6C" w:rsidRPr="00F90B95">
        <w:t xml:space="preserve">the </w:t>
      </w:r>
      <w:r w:rsidR="00B60939" w:rsidRPr="00F90B95">
        <w:t xml:space="preserve">TGA/PBAC Parallel Process. </w:t>
      </w:r>
      <w:r w:rsidRPr="00F90B95">
        <w:t>The requested TGA indication is</w:t>
      </w:r>
      <w:r w:rsidR="00985978" w:rsidRPr="00F90B95">
        <w:t>:</w:t>
      </w:r>
    </w:p>
    <w:p w:rsidR="00985978" w:rsidRPr="00F90B95" w:rsidRDefault="00985978" w:rsidP="0044164E">
      <w:pPr>
        <w:pStyle w:val="ListParagraph"/>
        <w:widowControl/>
        <w:spacing w:before="120" w:after="120"/>
        <w:ind w:left="1440"/>
      </w:pPr>
      <w:r w:rsidRPr="00F90B95">
        <w:t>“U</w:t>
      </w:r>
      <w:r w:rsidR="00EF692E" w:rsidRPr="00F90B95">
        <w:t xml:space="preserve">se as monotherapy for the treatment of patients with advanced MSI-H or </w:t>
      </w:r>
      <w:proofErr w:type="spellStart"/>
      <w:r w:rsidR="00EF692E" w:rsidRPr="00F90B95">
        <w:t>dMMR</w:t>
      </w:r>
      <w:proofErr w:type="spellEnd"/>
      <w:r w:rsidR="00EF692E" w:rsidRPr="00F90B95">
        <w:t xml:space="preserve"> cancer who have received prior therapy.</w:t>
      </w:r>
      <w:r w:rsidRPr="00F90B95">
        <w:t>”</w:t>
      </w:r>
    </w:p>
    <w:p w:rsidR="00985978" w:rsidRPr="00F90B95" w:rsidRDefault="00985978" w:rsidP="0044164E">
      <w:pPr>
        <w:pStyle w:val="ListParagraph"/>
        <w:widowControl/>
        <w:numPr>
          <w:ilvl w:val="1"/>
          <w:numId w:val="7"/>
        </w:numPr>
        <w:spacing w:before="120" w:after="120"/>
      </w:pPr>
      <w:r w:rsidRPr="00F90B95">
        <w:t xml:space="preserve">The </w:t>
      </w:r>
      <w:r w:rsidR="006D78E0" w:rsidRPr="00F90B95">
        <w:t xml:space="preserve">requested </w:t>
      </w:r>
      <w:r w:rsidRPr="00F90B95">
        <w:t>TGA indication d</w:t>
      </w:r>
      <w:r w:rsidR="006D78E0" w:rsidRPr="00F90B95">
        <w:t>id</w:t>
      </w:r>
      <w:r w:rsidRPr="00F90B95">
        <w:t xml:space="preserve"> not specify tumour type, whereas the requested </w:t>
      </w:r>
      <w:r w:rsidR="006D78E0" w:rsidRPr="00F90B95">
        <w:t>PBS restriction wa</w:t>
      </w:r>
      <w:r w:rsidRPr="00F90B95">
        <w:t>s for locally advanced (unresectable) or metastatic Stage IV CRC.</w:t>
      </w:r>
    </w:p>
    <w:p w:rsidR="007035FA" w:rsidRPr="00F90B95" w:rsidRDefault="007035FA" w:rsidP="0044164E">
      <w:pPr>
        <w:pStyle w:val="ListParagraph"/>
        <w:widowControl/>
        <w:numPr>
          <w:ilvl w:val="1"/>
          <w:numId w:val="7"/>
        </w:numPr>
        <w:spacing w:before="120" w:after="120"/>
      </w:pPr>
      <w:r w:rsidRPr="00F90B95">
        <w:t xml:space="preserve">The first round </w:t>
      </w:r>
      <w:r w:rsidR="000F6E98" w:rsidRPr="00F90B95">
        <w:t>C</w:t>
      </w:r>
      <w:r w:rsidRPr="00F90B95">
        <w:t xml:space="preserve">linical </w:t>
      </w:r>
      <w:r w:rsidR="000F6E98" w:rsidRPr="00F90B95">
        <w:t>E</w:t>
      </w:r>
      <w:r w:rsidRPr="00F90B95">
        <w:t xml:space="preserve">valuation </w:t>
      </w:r>
      <w:r w:rsidR="000F6E98" w:rsidRPr="00F90B95">
        <w:t>R</w:t>
      </w:r>
      <w:r w:rsidRPr="00F90B95">
        <w:t xml:space="preserve">eport </w:t>
      </w:r>
      <w:r w:rsidR="000F6E98" w:rsidRPr="00F90B95">
        <w:t xml:space="preserve">for the TGA </w:t>
      </w:r>
      <w:r w:rsidRPr="00F90B95">
        <w:t>found that there was insufficient evidence to support registration of pembrolizumab for the proposed indications, and that the available evidence for treatment of MSI-H/</w:t>
      </w:r>
      <w:proofErr w:type="spellStart"/>
      <w:r w:rsidRPr="00F90B95">
        <w:t>dMMR</w:t>
      </w:r>
      <w:proofErr w:type="spellEnd"/>
      <w:r w:rsidRPr="00F90B95">
        <w:t xml:space="preserve"> colorectal and non-colorectal pan-tu</w:t>
      </w:r>
      <w:r w:rsidR="004A6B99" w:rsidRPr="00F90B95">
        <w:t>mour subtypes remained unclear.</w:t>
      </w:r>
    </w:p>
    <w:p w:rsidR="007035FA" w:rsidRPr="00F90B95" w:rsidRDefault="007035FA" w:rsidP="0044164E">
      <w:pPr>
        <w:pStyle w:val="ListParagraph"/>
        <w:widowControl/>
        <w:numPr>
          <w:ilvl w:val="1"/>
          <w:numId w:val="7"/>
        </w:numPr>
        <w:spacing w:before="120" w:after="120"/>
      </w:pPr>
      <w:r w:rsidRPr="00F90B95">
        <w:t>Th</w:t>
      </w:r>
      <w:r w:rsidR="004A6B99" w:rsidRPr="00F90B95">
        <w:t>is</w:t>
      </w:r>
      <w:r w:rsidRPr="00F90B95">
        <w:t xml:space="preserve"> </w:t>
      </w:r>
      <w:r w:rsidR="004A6B99" w:rsidRPr="00F90B95">
        <w:t>Clinical Evaluation Report</w:t>
      </w:r>
      <w:r w:rsidRPr="00F90B95">
        <w:t xml:space="preserve"> recommended two alternate indications:</w:t>
      </w:r>
    </w:p>
    <w:p w:rsidR="008A5A7F" w:rsidRPr="00F90B95" w:rsidRDefault="007035FA" w:rsidP="0044164E">
      <w:pPr>
        <w:pStyle w:val="ListParagraph"/>
        <w:widowControl/>
        <w:spacing w:before="120" w:after="120"/>
        <w:ind w:left="1440"/>
      </w:pPr>
      <w:r w:rsidRPr="00F90B95">
        <w:t>“</w:t>
      </w:r>
      <w:r w:rsidR="00BA4FAD" w:rsidRPr="00F90B95">
        <w:t>For the treatment of adult patients with unresectable or metastatic, microsatellite instability-high (MSI-H) or mismatch repair deficient (</w:t>
      </w:r>
      <w:proofErr w:type="spellStart"/>
      <w:r w:rsidR="00BA4FAD" w:rsidRPr="00F90B95">
        <w:t>dMMR</w:t>
      </w:r>
      <w:proofErr w:type="spellEnd"/>
      <w:r w:rsidR="00BA4FAD" w:rsidRPr="00F90B95">
        <w:t xml:space="preserve">), Stage IV colorectal cancer with no evidence of brain metastases and who have </w:t>
      </w:r>
      <w:r w:rsidR="00BA4FAD" w:rsidRPr="00F90B95">
        <w:lastRenderedPageBreak/>
        <w:t xml:space="preserve">progressed following prior standard treatment which included a </w:t>
      </w:r>
      <w:proofErr w:type="spellStart"/>
      <w:r w:rsidR="00BA4FAD" w:rsidRPr="00F90B95">
        <w:t>fluoropyrimidine</w:t>
      </w:r>
      <w:proofErr w:type="spellEnd"/>
      <w:r w:rsidR="00BA4FAD" w:rsidRPr="00F90B95">
        <w:t xml:space="preserve">, </w:t>
      </w:r>
      <w:proofErr w:type="spellStart"/>
      <w:r w:rsidR="00BA4FAD" w:rsidRPr="00F90B95">
        <w:t>oxaliplatin</w:t>
      </w:r>
      <w:proofErr w:type="spellEnd"/>
      <w:r w:rsidR="00BA4FAD" w:rsidRPr="00F90B95">
        <w:t xml:space="preserve">, and </w:t>
      </w:r>
      <w:proofErr w:type="spellStart"/>
      <w:r w:rsidR="00BA4FAD" w:rsidRPr="00F90B95">
        <w:t>irinotecan</w:t>
      </w:r>
      <w:proofErr w:type="spellEnd"/>
      <w:r w:rsidR="00BA4FAD" w:rsidRPr="00F90B95">
        <w:t>, and who have exhausted all subsequent effective or suitable treatment options</w:t>
      </w:r>
      <w:r w:rsidR="00935396" w:rsidRPr="00F90B95">
        <w:t>.</w:t>
      </w:r>
      <w:r w:rsidR="00F04CC3" w:rsidRPr="00F90B95">
        <w:t>”</w:t>
      </w:r>
    </w:p>
    <w:p w:rsidR="007035FA" w:rsidRPr="00F90B95" w:rsidRDefault="00BA4FAD" w:rsidP="0044164E">
      <w:pPr>
        <w:pStyle w:val="ListParagraph"/>
        <w:widowControl/>
        <w:spacing w:before="120" w:after="120"/>
        <w:ind w:left="1440"/>
      </w:pPr>
      <w:r w:rsidRPr="00F90B95">
        <w:t>OR</w:t>
      </w:r>
    </w:p>
    <w:p w:rsidR="00BA4FAD" w:rsidRPr="00F90B95" w:rsidRDefault="00BA4FAD" w:rsidP="0044164E">
      <w:pPr>
        <w:pStyle w:val="ListParagraph"/>
        <w:widowControl/>
        <w:spacing w:before="120" w:after="120"/>
        <w:ind w:left="1440"/>
      </w:pPr>
      <w:r w:rsidRPr="00F90B95">
        <w:t>“For the treatment of adult patients who have exhausted all effective or suitable treatment options and who have unresectable or metastatic, MS</w:t>
      </w:r>
      <w:r w:rsidR="004A6B99" w:rsidRPr="00F90B95">
        <w:t>I</w:t>
      </w:r>
      <w:r w:rsidRPr="00F90B95">
        <w:t xml:space="preserve">-H or </w:t>
      </w:r>
      <w:proofErr w:type="spellStart"/>
      <w:r w:rsidRPr="00F90B95">
        <w:t>dMMR</w:t>
      </w:r>
      <w:proofErr w:type="spellEnd"/>
      <w:r w:rsidRPr="00F90B95">
        <w:t>:</w:t>
      </w:r>
    </w:p>
    <w:p w:rsidR="00BA4FAD" w:rsidRPr="00F90B95" w:rsidRDefault="00BA4FAD" w:rsidP="0044164E">
      <w:pPr>
        <w:pStyle w:val="ListParagraph"/>
        <w:widowControl/>
        <w:numPr>
          <w:ilvl w:val="2"/>
          <w:numId w:val="12"/>
        </w:numPr>
        <w:spacing w:before="120" w:after="120"/>
        <w:ind w:left="1797" w:hanging="357"/>
      </w:pPr>
      <w:r w:rsidRPr="00F90B95">
        <w:t>Solid tumours that have progressed following prior standard treatments; or</w:t>
      </w:r>
    </w:p>
    <w:p w:rsidR="00BA4FAD" w:rsidRPr="00F90B95" w:rsidRDefault="00BA4FAD" w:rsidP="0044164E">
      <w:pPr>
        <w:pStyle w:val="ListParagraph"/>
        <w:widowControl/>
        <w:numPr>
          <w:ilvl w:val="2"/>
          <w:numId w:val="12"/>
        </w:numPr>
        <w:spacing w:before="120" w:after="120"/>
        <w:ind w:left="1797" w:hanging="357"/>
      </w:pPr>
      <w:r w:rsidRPr="00F90B95">
        <w:t xml:space="preserve">Stage IV colorectal cancer who have progressed following prior standard treatments which included a </w:t>
      </w:r>
      <w:proofErr w:type="spellStart"/>
      <w:r w:rsidRPr="00F90B95">
        <w:t>fluoropyrimidine</w:t>
      </w:r>
      <w:proofErr w:type="spellEnd"/>
      <w:r w:rsidRPr="00F90B95">
        <w:t xml:space="preserve">, </w:t>
      </w:r>
      <w:proofErr w:type="spellStart"/>
      <w:r w:rsidRPr="00F90B95">
        <w:t>oxaliplatin</w:t>
      </w:r>
      <w:proofErr w:type="spellEnd"/>
      <w:r w:rsidRPr="00F90B95">
        <w:t xml:space="preserve">, and </w:t>
      </w:r>
      <w:proofErr w:type="spellStart"/>
      <w:r w:rsidRPr="00F90B95">
        <w:t>irinotecan</w:t>
      </w:r>
      <w:proofErr w:type="spellEnd"/>
      <w:r w:rsidRPr="00F90B95">
        <w:t>.</w:t>
      </w:r>
    </w:p>
    <w:p w:rsidR="00BA4FAD" w:rsidRPr="00F90B95" w:rsidRDefault="00BA4FAD" w:rsidP="0044164E">
      <w:pPr>
        <w:widowControl/>
        <w:spacing w:before="120" w:after="120"/>
        <w:ind w:left="1440"/>
      </w:pPr>
      <w:r w:rsidRPr="00F90B95">
        <w:t>Patients with a history of brain metastases are not eligible for pembrolizumab.”</w:t>
      </w:r>
    </w:p>
    <w:p w:rsidR="00D64DCC" w:rsidRPr="00F90B95" w:rsidRDefault="000E5B93" w:rsidP="0044164E">
      <w:pPr>
        <w:pStyle w:val="ListParagraph"/>
        <w:widowControl/>
        <w:numPr>
          <w:ilvl w:val="1"/>
          <w:numId w:val="7"/>
        </w:numPr>
        <w:spacing w:before="120" w:after="120"/>
      </w:pPr>
      <w:r w:rsidRPr="00F90B95">
        <w:t>The pre-PBAC response</w:t>
      </w:r>
      <w:r w:rsidR="00D64DCC" w:rsidRPr="00F90B95">
        <w:t xml:space="preserve"> indicated a willingness to develop a </w:t>
      </w:r>
      <w:r w:rsidR="00AA7CEF" w:rsidRPr="00F90B95">
        <w:t xml:space="preserve">PBS </w:t>
      </w:r>
      <w:r w:rsidR="00D64DCC" w:rsidRPr="00F90B95">
        <w:t>restriction that aligned with the TGA proposed wording.</w:t>
      </w:r>
    </w:p>
    <w:p w:rsidR="00B60939" w:rsidRPr="00F90B95" w:rsidRDefault="008164B9" w:rsidP="0044164E">
      <w:pPr>
        <w:pStyle w:val="ListParagraph"/>
        <w:widowControl/>
        <w:numPr>
          <w:ilvl w:val="1"/>
          <w:numId w:val="7"/>
        </w:numPr>
        <w:spacing w:before="120" w:after="120"/>
      </w:pPr>
      <w:r w:rsidRPr="00F90B95">
        <w:t>Although t</w:t>
      </w:r>
      <w:r w:rsidR="00EF692E" w:rsidRPr="00F90B95">
        <w:t xml:space="preserve">he submission </w:t>
      </w:r>
      <w:r w:rsidRPr="00F90B95">
        <w:t xml:space="preserve">stated that the Delegate’s </w:t>
      </w:r>
      <w:r w:rsidR="00EF692E" w:rsidRPr="00F90B95">
        <w:t xml:space="preserve">overview </w:t>
      </w:r>
      <w:r w:rsidRPr="00F90B95">
        <w:t>would be</w:t>
      </w:r>
      <w:r w:rsidR="00EF692E" w:rsidRPr="00F90B95">
        <w:t xml:space="preserve"> made available prior to</w:t>
      </w:r>
      <w:r w:rsidR="001B1F6C" w:rsidRPr="00F90B95">
        <w:t xml:space="preserve"> the </w:t>
      </w:r>
      <w:r w:rsidR="00EF692E" w:rsidRPr="00F90B95">
        <w:t>PBAC meeting in March 2019</w:t>
      </w:r>
      <w:r w:rsidRPr="00F90B95">
        <w:t>, t</w:t>
      </w:r>
      <w:r w:rsidR="002F4E65" w:rsidRPr="00F90B95">
        <w:t xml:space="preserve">he </w:t>
      </w:r>
      <w:r w:rsidR="000B67E0" w:rsidRPr="00F90B95">
        <w:t>PBAC noted that</w:t>
      </w:r>
      <w:r w:rsidR="00AA7CEF" w:rsidRPr="00F90B95">
        <w:t xml:space="preserve"> this had not happened, and that the</w:t>
      </w:r>
      <w:r w:rsidR="000B67E0" w:rsidRPr="00F90B95">
        <w:t xml:space="preserve"> </w:t>
      </w:r>
      <w:r w:rsidR="002F4E65" w:rsidRPr="00F90B95">
        <w:t>TGA evaluation plan indicate</w:t>
      </w:r>
      <w:r w:rsidR="00F80315" w:rsidRPr="00F90B95">
        <w:t>d</w:t>
      </w:r>
      <w:r w:rsidR="002F4E65" w:rsidRPr="00F90B95">
        <w:t xml:space="preserve"> the </w:t>
      </w:r>
      <w:r w:rsidR="00AA7CEF" w:rsidRPr="00F90B95">
        <w:t xml:space="preserve">following due dates: </w:t>
      </w:r>
      <w:r w:rsidRPr="00F90B95">
        <w:t xml:space="preserve">Delegate’s overview </w:t>
      </w:r>
      <w:r w:rsidR="00AA7CEF" w:rsidRPr="00F90B95">
        <w:t>on</w:t>
      </w:r>
      <w:r w:rsidRPr="00F90B95">
        <w:t xml:space="preserve"> 7 May 2019, the </w:t>
      </w:r>
      <w:r w:rsidR="002F4E65" w:rsidRPr="00F90B95">
        <w:t xml:space="preserve">Advisory Committee on Medicines (ACM) outcomes </w:t>
      </w:r>
      <w:r w:rsidR="00AA7CEF" w:rsidRPr="00F90B95">
        <w:t xml:space="preserve">on </w:t>
      </w:r>
      <w:r w:rsidR="002F4E65" w:rsidRPr="00F90B95">
        <w:t>28 June 2019</w:t>
      </w:r>
      <w:r w:rsidR="00AA7CEF" w:rsidRPr="00F90B95">
        <w:t>,</w:t>
      </w:r>
      <w:r w:rsidR="002F4E65" w:rsidRPr="00F90B95">
        <w:t xml:space="preserve"> and the Decision letter in July 2019.</w:t>
      </w:r>
    </w:p>
    <w:p w:rsidR="003F25C7" w:rsidRPr="00F90B95" w:rsidRDefault="003F25C7" w:rsidP="0044164E">
      <w:pPr>
        <w:pStyle w:val="ListParagraph"/>
        <w:widowControl/>
        <w:numPr>
          <w:ilvl w:val="1"/>
          <w:numId w:val="7"/>
        </w:numPr>
        <w:spacing w:before="120" w:after="120"/>
      </w:pPr>
      <w:r w:rsidRPr="00F90B95">
        <w:t xml:space="preserve">Other TGA-approved indications include </w:t>
      </w:r>
      <w:r w:rsidR="000E5B93" w:rsidRPr="00F90B95">
        <w:t xml:space="preserve">previously untreated metastatic non-small cell lung cancer (NSCLC) patients with tumours that are programmed cell death ligand 1 (PD-L1) </w:t>
      </w:r>
      <w:r w:rsidR="00F04CC3" w:rsidRPr="00F90B95">
        <w:t>tumour proportion score (TPS) ≥ </w:t>
      </w:r>
      <w:r w:rsidR="000E5B93" w:rsidRPr="00F90B95">
        <w:t xml:space="preserve">50% (as determined by a validated test), </w:t>
      </w:r>
      <w:r w:rsidRPr="00F90B95">
        <w:t>advanced NSCLC (PD-L1 ≥</w:t>
      </w:r>
      <w:r w:rsidR="00F04CC3" w:rsidRPr="00F90B95">
        <w:t> </w:t>
      </w:r>
      <w:r w:rsidRPr="00F90B95">
        <w:t>1% TPS) pre-treated with platinum-containing chemotherapy, unresectable or metastatic melanoma in adults, recurrent or metastatic head and neck squamous cell carcinoma (HNSCC) with disease progression on or after platinum-containing chemotherapy, monotherapy for the treatment of adult patients with relapsed or refractory classical Hodgkin Lymphoma (</w:t>
      </w:r>
      <w:proofErr w:type="spellStart"/>
      <w:r w:rsidRPr="00F90B95">
        <w:t>cHL</w:t>
      </w:r>
      <w:proofErr w:type="spellEnd"/>
      <w:r w:rsidRPr="00F90B95">
        <w:t>) following autologous stem cell transplant or at least two prior therapies, and locally advanced or metastatic urothelial carcinoma who have received platinum containing chemotherapy or are not eligible for cisplatin-containing therapy.</w:t>
      </w:r>
    </w:p>
    <w:p w:rsidR="00B033E5" w:rsidRPr="004F4A63" w:rsidRDefault="00B033E5" w:rsidP="0044164E">
      <w:pPr>
        <w:pStyle w:val="Heading2"/>
        <w:spacing w:before="120"/>
      </w:pPr>
      <w:r w:rsidRPr="004F4A63">
        <w:t>Previous PBAC consideration</w:t>
      </w:r>
      <w:r w:rsidR="00E76B82" w:rsidRPr="004F4A63">
        <w:t>s</w:t>
      </w:r>
    </w:p>
    <w:p w:rsidR="00E55BB5" w:rsidRPr="00F90B95" w:rsidRDefault="00DB2CC1" w:rsidP="0044164E">
      <w:pPr>
        <w:pStyle w:val="ListParagraph"/>
        <w:widowControl/>
        <w:numPr>
          <w:ilvl w:val="1"/>
          <w:numId w:val="7"/>
        </w:numPr>
        <w:spacing w:before="120" w:after="120"/>
      </w:pPr>
      <w:r w:rsidRPr="00F90B95">
        <w:t xml:space="preserve">This is the first PBAC consideration of </w:t>
      </w:r>
      <w:r w:rsidR="0066647C" w:rsidRPr="00F90B95">
        <w:t>pembrolizumab</w:t>
      </w:r>
      <w:r w:rsidRPr="00F90B95">
        <w:t xml:space="preserve"> for the proposed indication</w:t>
      </w:r>
      <w:r w:rsidR="0066647C" w:rsidRPr="00F90B95">
        <w:t>.</w:t>
      </w:r>
      <w:r w:rsidRPr="00F90B95">
        <w:rPr>
          <w:rFonts w:cs="Calibri"/>
          <w:snapToGrid/>
          <w:color w:val="3366FF"/>
          <w:szCs w:val="24"/>
          <w:highlight w:val="cyan"/>
          <w:lang w:eastAsia="en-AU"/>
        </w:rPr>
        <w:t xml:space="preserve"> </w:t>
      </w:r>
      <w:r w:rsidR="00F80315" w:rsidRPr="00F90B95">
        <w:rPr>
          <w:rFonts w:cs="Calibri"/>
          <w:snapToGrid/>
          <w:szCs w:val="24"/>
          <w:lang w:eastAsia="en-AU"/>
        </w:rPr>
        <w:t xml:space="preserve">Pembrolizumab is currently listed on the PBS for unresectable Stage III or Stage IV malignant melanoma and for relapsed or refractory Hodgkin lymphoma, regardless of PD-L1 expression, and for previously untreated Stage IV (metastatic) non-small cell lung cancer (NSCLC) which must </w:t>
      </w:r>
      <w:r w:rsidR="00E2393D" w:rsidRPr="00F90B95">
        <w:rPr>
          <w:rFonts w:cs="Calibri"/>
          <w:snapToGrid/>
          <w:szCs w:val="24"/>
          <w:lang w:eastAsia="en-AU"/>
        </w:rPr>
        <w:t>have</w:t>
      </w:r>
      <w:r w:rsidR="00F80315" w:rsidRPr="00F90B95">
        <w:rPr>
          <w:rFonts w:cs="Calibri"/>
          <w:snapToGrid/>
          <w:szCs w:val="24"/>
          <w:lang w:eastAsia="en-AU"/>
        </w:rPr>
        <w:t xml:space="preserve"> </w:t>
      </w:r>
      <w:r w:rsidR="00E2393D" w:rsidRPr="00F90B95">
        <w:rPr>
          <w:rFonts w:cs="Calibri"/>
          <w:snapToGrid/>
          <w:szCs w:val="24"/>
          <w:lang w:eastAsia="en-AU"/>
        </w:rPr>
        <w:t xml:space="preserve">a </w:t>
      </w:r>
      <w:r w:rsidR="00F80315" w:rsidRPr="00F90B95">
        <w:rPr>
          <w:rFonts w:cs="Calibri"/>
          <w:snapToGrid/>
          <w:szCs w:val="24"/>
          <w:lang w:eastAsia="en-AU"/>
        </w:rPr>
        <w:t xml:space="preserve">PD-L1 </w:t>
      </w:r>
      <w:r w:rsidR="00E2393D" w:rsidRPr="00F90B95">
        <w:rPr>
          <w:rFonts w:cs="Calibri"/>
          <w:snapToGrid/>
          <w:szCs w:val="24"/>
          <w:lang w:eastAsia="en-AU"/>
        </w:rPr>
        <w:t>TPS o</w:t>
      </w:r>
      <w:r w:rsidR="00F80315" w:rsidRPr="00F90B95">
        <w:rPr>
          <w:rFonts w:cs="Calibri"/>
          <w:snapToGrid/>
          <w:szCs w:val="24"/>
          <w:lang w:eastAsia="en-AU"/>
        </w:rPr>
        <w:t>f at least 50%.</w:t>
      </w:r>
    </w:p>
    <w:p w:rsidR="00D34553" w:rsidRPr="00F90B95" w:rsidRDefault="00D34553" w:rsidP="0044164E">
      <w:pPr>
        <w:pStyle w:val="ListParagraph"/>
        <w:widowControl/>
        <w:spacing w:before="120" w:after="120"/>
        <w:rPr>
          <w:i/>
        </w:rPr>
      </w:pPr>
      <w:r w:rsidRPr="00F90B95">
        <w:rPr>
          <w:rFonts w:cs="Calibri"/>
          <w:i/>
          <w:snapToGrid/>
          <w:szCs w:val="24"/>
          <w:lang w:eastAsia="en-AU"/>
        </w:rPr>
        <w:t>For more detail on PBAC’s view, see Section 7 PBAC outcome.</w:t>
      </w:r>
    </w:p>
    <w:p w:rsidR="00B50DB8" w:rsidRPr="00F90B95" w:rsidRDefault="00203181" w:rsidP="0044164E">
      <w:pPr>
        <w:pStyle w:val="PBACHeading1"/>
        <w:spacing w:before="120" w:after="120"/>
      </w:pPr>
      <w:bookmarkStart w:id="3" w:name="_Toc535588638"/>
      <w:r w:rsidRPr="00F90B95">
        <w:lastRenderedPageBreak/>
        <w:t xml:space="preserve">Population and </w:t>
      </w:r>
      <w:r w:rsidR="008E0D3C" w:rsidRPr="00F90B95">
        <w:t>d</w:t>
      </w:r>
      <w:r w:rsidRPr="00F90B95">
        <w:t>isease</w:t>
      </w:r>
      <w:bookmarkEnd w:id="3"/>
    </w:p>
    <w:p w:rsidR="00894489" w:rsidRPr="00F90B95" w:rsidRDefault="002D760E" w:rsidP="0044164E">
      <w:pPr>
        <w:pStyle w:val="ListParagraph"/>
        <w:widowControl/>
        <w:numPr>
          <w:ilvl w:val="1"/>
          <w:numId w:val="7"/>
        </w:numPr>
        <w:spacing w:before="120" w:after="120"/>
      </w:pPr>
      <w:r w:rsidRPr="00F90B95">
        <w:t xml:space="preserve">Approximately 20% of people with CRC have metastatic disease at the time of initial diagnosis. Patients diagnosed with CRC have about an 8% chance of surviving for five years. The MMR system is mainly composed of four proteins interacting together to recognize any </w:t>
      </w:r>
      <w:r w:rsidR="00372BE6" w:rsidRPr="00F90B95">
        <w:t>deoxyribonucleic acid (</w:t>
      </w:r>
      <w:r w:rsidRPr="00F90B95">
        <w:t>DNA</w:t>
      </w:r>
      <w:r w:rsidR="00372BE6" w:rsidRPr="00F90B95">
        <w:t>)</w:t>
      </w:r>
      <w:r w:rsidRPr="00F90B95">
        <w:t xml:space="preserve"> mismatches during replication</w:t>
      </w:r>
      <w:r w:rsidR="00372BE6" w:rsidRPr="00F90B95">
        <w:t xml:space="preserve">. </w:t>
      </w:r>
      <w:proofErr w:type="spellStart"/>
      <w:proofErr w:type="gramStart"/>
      <w:r w:rsidR="00372BE6" w:rsidRPr="00F90B95">
        <w:t>dMMR</w:t>
      </w:r>
      <w:proofErr w:type="spellEnd"/>
      <w:proofErr w:type="gramEnd"/>
      <w:r w:rsidR="00372BE6" w:rsidRPr="00F90B95">
        <w:t xml:space="preserve"> results in a cancer with a 10- to 100-fold increase in the mutation rate and leads to the accumulation of frameshift mutations in microsatellites, which results in a genetic instability</w:t>
      </w:r>
      <w:r w:rsidR="00372BE6" w:rsidRPr="00F90B95">
        <w:rPr>
          <w:rStyle w:val="FootnoteReference"/>
        </w:rPr>
        <w:footnoteReference w:id="2"/>
      </w:r>
      <w:r w:rsidR="00372BE6" w:rsidRPr="00F90B95">
        <w:t>.</w:t>
      </w:r>
      <w:r w:rsidRPr="00F90B95">
        <w:t xml:space="preserve"> </w:t>
      </w:r>
      <w:proofErr w:type="spellStart"/>
      <w:proofErr w:type="gramStart"/>
      <w:r w:rsidR="00372BE6" w:rsidRPr="00F90B95">
        <w:t>dMMR</w:t>
      </w:r>
      <w:proofErr w:type="spellEnd"/>
      <w:proofErr w:type="gramEnd"/>
      <w:r w:rsidR="00372BE6" w:rsidRPr="00F90B95">
        <w:t xml:space="preserve"> tumours have significant gene upregulation of immune checkpoint proteins, including PD-L1, enabling them to survive the immune response. In </w:t>
      </w:r>
      <w:proofErr w:type="spellStart"/>
      <w:r w:rsidR="00372BE6" w:rsidRPr="00F90B95">
        <w:t>mCRC</w:t>
      </w:r>
      <w:proofErr w:type="spellEnd"/>
      <w:r w:rsidR="00372BE6" w:rsidRPr="00F90B95">
        <w:t xml:space="preserve">, the prevalence of </w:t>
      </w:r>
      <w:proofErr w:type="spellStart"/>
      <w:r w:rsidR="00372BE6" w:rsidRPr="00F90B95">
        <w:t>dMMR</w:t>
      </w:r>
      <w:proofErr w:type="spellEnd"/>
      <w:r w:rsidR="00372BE6" w:rsidRPr="00F90B95">
        <w:t xml:space="preserve"> is low (3.5%)</w:t>
      </w:r>
      <w:r w:rsidR="00E2393D" w:rsidRPr="00F90B95">
        <w:rPr>
          <w:rStyle w:val="FootnoteReference"/>
        </w:rPr>
        <w:footnoteReference w:id="3"/>
      </w:r>
      <w:r w:rsidR="00336338" w:rsidRPr="00F90B95">
        <w:t>.</w:t>
      </w:r>
      <w:r w:rsidR="00C92330" w:rsidRPr="00F90B95">
        <w:t xml:space="preserve"> The ESC </w:t>
      </w:r>
      <w:r w:rsidR="004A6B99" w:rsidRPr="00F90B95">
        <w:t xml:space="preserve">expressed concern that, with </w:t>
      </w:r>
      <w:r w:rsidR="00685626" w:rsidRPr="00F90B95">
        <w:t>th</w:t>
      </w:r>
      <w:r w:rsidR="004A6B99" w:rsidRPr="00F90B95">
        <w:t>is</w:t>
      </w:r>
      <w:r w:rsidR="00685626" w:rsidRPr="00F90B95">
        <w:t xml:space="preserve"> low </w:t>
      </w:r>
      <w:r w:rsidR="004A6B99" w:rsidRPr="00F90B95">
        <w:t>prevalence</w:t>
      </w:r>
      <w:r w:rsidR="00685626" w:rsidRPr="00F90B95">
        <w:t xml:space="preserve"> of </w:t>
      </w:r>
      <w:proofErr w:type="spellStart"/>
      <w:r w:rsidR="00685626" w:rsidRPr="00F90B95">
        <w:t>dMMR</w:t>
      </w:r>
      <w:proofErr w:type="spellEnd"/>
      <w:r w:rsidR="007468F0" w:rsidRPr="00F90B95">
        <w:t xml:space="preserve"> if tested at this stage of CRC</w:t>
      </w:r>
      <w:r w:rsidR="004A6B99" w:rsidRPr="00F90B95">
        <w:t>,</w:t>
      </w:r>
      <w:r w:rsidR="007468F0" w:rsidRPr="00F90B95">
        <w:t xml:space="preserve"> there would be a higher risk of false positive test results,</w:t>
      </w:r>
      <w:r w:rsidR="00685626" w:rsidRPr="00F90B95">
        <w:t xml:space="preserve"> and </w:t>
      </w:r>
      <w:r w:rsidR="007468F0" w:rsidRPr="00F90B95">
        <w:t>thus potentially futile therapy</w:t>
      </w:r>
      <w:r w:rsidR="00685626" w:rsidRPr="00F90B95">
        <w:t>.</w:t>
      </w:r>
    </w:p>
    <w:p w:rsidR="00B50DB8" w:rsidRPr="00F90B95" w:rsidRDefault="00B50DB8" w:rsidP="0044164E">
      <w:pPr>
        <w:pStyle w:val="PBACHeading1"/>
        <w:keepNext/>
        <w:spacing w:before="120" w:after="120"/>
      </w:pPr>
      <w:bookmarkStart w:id="4" w:name="_Toc535588639"/>
      <w:r w:rsidRPr="00F90B95">
        <w:t>Comparator</w:t>
      </w:r>
      <w:bookmarkEnd w:id="4"/>
    </w:p>
    <w:p w:rsidR="00903D3E" w:rsidRPr="00F90B95" w:rsidRDefault="00336338" w:rsidP="0044164E">
      <w:pPr>
        <w:pStyle w:val="ListParagraph"/>
        <w:keepNext/>
        <w:widowControl/>
        <w:numPr>
          <w:ilvl w:val="1"/>
          <w:numId w:val="7"/>
        </w:numPr>
        <w:spacing w:before="120" w:after="120"/>
        <w:rPr>
          <w:rFonts w:cs="Calibri"/>
          <w:snapToGrid/>
          <w:szCs w:val="24"/>
          <w:lang w:eastAsia="en-AU"/>
        </w:rPr>
      </w:pPr>
      <w:r w:rsidRPr="00F90B95">
        <w:rPr>
          <w:rFonts w:cs="Calibri"/>
          <w:snapToGrid/>
          <w:szCs w:val="24"/>
          <w:lang w:eastAsia="en-AU"/>
        </w:rPr>
        <w:t xml:space="preserve">The </w:t>
      </w:r>
      <w:r w:rsidR="00E2393D" w:rsidRPr="00F90B95">
        <w:rPr>
          <w:rFonts w:cs="Calibri"/>
          <w:snapToGrid/>
          <w:szCs w:val="24"/>
          <w:lang w:eastAsia="en-AU"/>
        </w:rPr>
        <w:t>submission nominated</w:t>
      </w:r>
      <w:r w:rsidR="006D78E0" w:rsidRPr="00F90B95">
        <w:rPr>
          <w:rFonts w:cs="Calibri"/>
          <w:snapToGrid/>
          <w:szCs w:val="24"/>
          <w:lang w:eastAsia="en-AU"/>
        </w:rPr>
        <w:t xml:space="preserve"> three main comparators</w:t>
      </w:r>
      <w:r w:rsidR="00903D3E" w:rsidRPr="00F90B95">
        <w:rPr>
          <w:rFonts w:cs="Calibri"/>
          <w:snapToGrid/>
          <w:szCs w:val="24"/>
          <w:lang w:eastAsia="en-AU"/>
        </w:rPr>
        <w:t>:</w:t>
      </w:r>
    </w:p>
    <w:p w:rsidR="00903D3E" w:rsidRPr="00F90B95" w:rsidRDefault="00363B4F" w:rsidP="0044164E">
      <w:pPr>
        <w:pStyle w:val="ListParagraph"/>
        <w:widowControl/>
        <w:numPr>
          <w:ilvl w:val="0"/>
          <w:numId w:val="13"/>
        </w:numPr>
        <w:spacing w:before="120" w:after="120"/>
        <w:rPr>
          <w:rFonts w:cs="Calibri"/>
          <w:snapToGrid/>
          <w:szCs w:val="24"/>
          <w:lang w:eastAsia="en-AU"/>
        </w:rPr>
      </w:pPr>
      <w:r w:rsidRPr="00F90B95">
        <w:rPr>
          <w:rFonts w:cs="Calibri"/>
          <w:snapToGrid/>
          <w:szCs w:val="24"/>
          <w:lang w:eastAsia="en-AU"/>
        </w:rPr>
        <w:t xml:space="preserve">chemotherapy, represented by </w:t>
      </w:r>
      <w:r w:rsidR="00E2393D" w:rsidRPr="00F90B95">
        <w:rPr>
          <w:rFonts w:cs="Calibri"/>
          <w:snapToGrid/>
          <w:szCs w:val="24"/>
          <w:lang w:eastAsia="en-AU"/>
        </w:rPr>
        <w:t>FOLFIRI</w:t>
      </w:r>
      <w:r w:rsidRPr="00F90B95">
        <w:rPr>
          <w:rFonts w:cs="Calibri"/>
          <w:snapToGrid/>
          <w:szCs w:val="24"/>
          <w:lang w:eastAsia="en-AU"/>
        </w:rPr>
        <w:t xml:space="preserve">, </w:t>
      </w:r>
      <w:r w:rsidR="00E2393D" w:rsidRPr="00F90B95">
        <w:rPr>
          <w:rFonts w:cs="Calibri"/>
          <w:snapToGrid/>
          <w:szCs w:val="24"/>
          <w:lang w:eastAsia="en-AU"/>
        </w:rPr>
        <w:t xml:space="preserve">as it was representative of all the chemotherapy regimens (FOLFOX and FOLFIRI are most commonly used and neither one is superior to, </w:t>
      </w:r>
      <w:r w:rsidR="00F62933">
        <w:rPr>
          <w:rFonts w:cs="Calibri"/>
          <w:snapToGrid/>
          <w:szCs w:val="24"/>
          <w:lang w:eastAsia="en-AU"/>
        </w:rPr>
        <w:t>n</w:t>
      </w:r>
      <w:r w:rsidR="00E2393D" w:rsidRPr="00F90B95">
        <w:rPr>
          <w:rFonts w:cs="Calibri"/>
          <w:snapToGrid/>
          <w:szCs w:val="24"/>
          <w:lang w:eastAsia="en-AU"/>
        </w:rPr>
        <w:t>or cheaper than, the other)</w:t>
      </w:r>
      <w:r w:rsidR="00903D3E" w:rsidRPr="00F90B95">
        <w:rPr>
          <w:rFonts w:cs="Calibri"/>
          <w:snapToGrid/>
          <w:szCs w:val="24"/>
          <w:lang w:eastAsia="en-AU"/>
        </w:rPr>
        <w:t>;</w:t>
      </w:r>
    </w:p>
    <w:p w:rsidR="00903D3E" w:rsidRPr="00F90B95" w:rsidRDefault="00E2393D" w:rsidP="0044164E">
      <w:pPr>
        <w:pStyle w:val="ListParagraph"/>
        <w:widowControl/>
        <w:numPr>
          <w:ilvl w:val="0"/>
          <w:numId w:val="13"/>
        </w:numPr>
        <w:spacing w:before="120" w:after="120"/>
        <w:rPr>
          <w:rFonts w:cs="Calibri"/>
          <w:snapToGrid/>
          <w:szCs w:val="24"/>
          <w:lang w:eastAsia="en-AU"/>
        </w:rPr>
      </w:pPr>
      <w:proofErr w:type="spellStart"/>
      <w:r w:rsidRPr="00F90B95">
        <w:rPr>
          <w:rFonts w:cs="Calibri"/>
          <w:snapToGrid/>
          <w:szCs w:val="24"/>
          <w:lang w:eastAsia="en-AU"/>
        </w:rPr>
        <w:t>cetuximab</w:t>
      </w:r>
      <w:proofErr w:type="spellEnd"/>
      <w:r w:rsidRPr="00F90B95">
        <w:rPr>
          <w:rFonts w:cs="Calibri"/>
          <w:snapToGrid/>
          <w:szCs w:val="24"/>
          <w:lang w:eastAsia="en-AU"/>
        </w:rPr>
        <w:t xml:space="preserve"> + </w:t>
      </w:r>
      <w:r w:rsidR="00363B4F" w:rsidRPr="00F90B95">
        <w:rPr>
          <w:rFonts w:cs="Calibri"/>
          <w:snapToGrid/>
          <w:szCs w:val="24"/>
          <w:lang w:eastAsia="en-AU"/>
        </w:rPr>
        <w:t>chemotherapy</w:t>
      </w:r>
      <w:r w:rsidRPr="00F90B95">
        <w:rPr>
          <w:rFonts w:cs="Calibri"/>
          <w:snapToGrid/>
          <w:szCs w:val="24"/>
          <w:lang w:eastAsia="en-AU"/>
        </w:rPr>
        <w:t xml:space="preserve"> as </w:t>
      </w:r>
      <w:proofErr w:type="spellStart"/>
      <w:r w:rsidRPr="00F90B95">
        <w:rPr>
          <w:rFonts w:cs="Calibri"/>
          <w:snapToGrid/>
          <w:szCs w:val="24"/>
          <w:lang w:eastAsia="en-AU"/>
        </w:rPr>
        <w:t>cetuximab</w:t>
      </w:r>
      <w:proofErr w:type="spellEnd"/>
      <w:r w:rsidRPr="00F90B95">
        <w:rPr>
          <w:rFonts w:cs="Calibri"/>
          <w:snapToGrid/>
          <w:szCs w:val="24"/>
          <w:lang w:eastAsia="en-AU"/>
        </w:rPr>
        <w:t xml:space="preserve"> was the most commonly used EGFR antibody and is similar in price and efficacy to </w:t>
      </w:r>
      <w:proofErr w:type="spellStart"/>
      <w:r w:rsidRPr="00F90B95">
        <w:rPr>
          <w:rFonts w:cs="Calibri"/>
          <w:snapToGrid/>
          <w:szCs w:val="24"/>
          <w:lang w:eastAsia="en-AU"/>
        </w:rPr>
        <w:t>panitumumab</w:t>
      </w:r>
      <w:proofErr w:type="spellEnd"/>
      <w:r w:rsidR="00903D3E" w:rsidRPr="00F90B95">
        <w:rPr>
          <w:rFonts w:cs="Calibri"/>
          <w:snapToGrid/>
          <w:szCs w:val="24"/>
          <w:lang w:eastAsia="en-AU"/>
        </w:rPr>
        <w:t>;</w:t>
      </w:r>
      <w:r w:rsidR="007468F0" w:rsidRPr="00F90B95">
        <w:rPr>
          <w:rFonts w:cs="Calibri"/>
          <w:snapToGrid/>
          <w:szCs w:val="24"/>
          <w:lang w:eastAsia="en-AU"/>
        </w:rPr>
        <w:t xml:space="preserve"> and</w:t>
      </w:r>
    </w:p>
    <w:p w:rsidR="00336338" w:rsidRPr="00F90B95" w:rsidRDefault="00E2393D" w:rsidP="0044164E">
      <w:pPr>
        <w:pStyle w:val="ListParagraph"/>
        <w:widowControl/>
        <w:numPr>
          <w:ilvl w:val="0"/>
          <w:numId w:val="13"/>
        </w:numPr>
        <w:spacing w:before="120" w:after="120"/>
        <w:rPr>
          <w:rFonts w:cs="Calibri"/>
          <w:snapToGrid/>
          <w:szCs w:val="24"/>
          <w:lang w:eastAsia="en-AU"/>
        </w:rPr>
      </w:pPr>
      <w:r w:rsidRPr="00F90B95">
        <w:rPr>
          <w:rFonts w:cs="Calibri"/>
          <w:snapToGrid/>
          <w:szCs w:val="24"/>
          <w:lang w:eastAsia="en-AU"/>
        </w:rPr>
        <w:t xml:space="preserve">bevacizumab + </w:t>
      </w:r>
      <w:r w:rsidR="00363B4F" w:rsidRPr="00F90B95">
        <w:rPr>
          <w:rFonts w:cs="Calibri"/>
          <w:snapToGrid/>
          <w:szCs w:val="24"/>
          <w:lang w:eastAsia="en-AU"/>
        </w:rPr>
        <w:t>chemotherapy</w:t>
      </w:r>
      <w:r w:rsidRPr="00F90B95">
        <w:rPr>
          <w:rFonts w:cs="Calibri"/>
          <w:snapToGrid/>
          <w:szCs w:val="24"/>
          <w:lang w:eastAsia="en-AU"/>
        </w:rPr>
        <w:t xml:space="preserve"> as bevacizumab is a VEGF antibody that is only PBS reimbursed in </w:t>
      </w:r>
      <w:r w:rsidR="00E76B82" w:rsidRPr="00F90B95">
        <w:rPr>
          <w:rFonts w:cs="Calibri"/>
          <w:snapToGrid/>
          <w:szCs w:val="24"/>
          <w:lang w:eastAsia="en-AU"/>
        </w:rPr>
        <w:t>second-line</w:t>
      </w:r>
      <w:r w:rsidRPr="00F90B95">
        <w:rPr>
          <w:rFonts w:cs="Calibri"/>
          <w:snapToGrid/>
          <w:szCs w:val="24"/>
          <w:lang w:eastAsia="en-AU"/>
        </w:rPr>
        <w:t xml:space="preserve"> RAS wild type patients who have failed prior EGFR therapy.</w:t>
      </w:r>
    </w:p>
    <w:p w:rsidR="00127707" w:rsidRPr="00F90B95" w:rsidRDefault="006A4897" w:rsidP="0044164E">
      <w:pPr>
        <w:pStyle w:val="ListParagraph"/>
        <w:numPr>
          <w:ilvl w:val="1"/>
          <w:numId w:val="7"/>
        </w:numPr>
        <w:spacing w:before="120" w:after="120"/>
      </w:pPr>
      <w:r w:rsidRPr="00F90B95">
        <w:t xml:space="preserve">The submission stated that the choice of chemotherapy agent in the second-line setting is determined by the patients’ RAS status, prior therapy, performance status (PS) and organ function. Patients who are RAS </w:t>
      </w:r>
      <w:proofErr w:type="spellStart"/>
      <w:r w:rsidRPr="00F90B95">
        <w:t>wildtype</w:t>
      </w:r>
      <w:proofErr w:type="spellEnd"/>
      <w:r w:rsidRPr="00F90B95">
        <w:t xml:space="preserve"> may receive an EGFR antibody (</w:t>
      </w:r>
      <w:proofErr w:type="spellStart"/>
      <w:r w:rsidRPr="00F90B95">
        <w:t>cetuximab</w:t>
      </w:r>
      <w:proofErr w:type="spellEnd"/>
      <w:r w:rsidRPr="00F90B95">
        <w:t xml:space="preserve"> or </w:t>
      </w:r>
      <w:proofErr w:type="spellStart"/>
      <w:r w:rsidRPr="00F90B95">
        <w:t>panitumumab</w:t>
      </w:r>
      <w:proofErr w:type="spellEnd"/>
      <w:r w:rsidRPr="00F90B95">
        <w:t>) or a VEGF antibody (bevacizumab) in combination with chemotherapy.</w:t>
      </w:r>
    </w:p>
    <w:p w:rsidR="00823EAB" w:rsidRPr="00F90B95" w:rsidRDefault="0004366C" w:rsidP="0044164E">
      <w:pPr>
        <w:pStyle w:val="ListParagraph"/>
        <w:numPr>
          <w:ilvl w:val="1"/>
          <w:numId w:val="7"/>
        </w:numPr>
        <w:spacing w:before="120" w:after="120"/>
      </w:pPr>
      <w:r w:rsidRPr="00F90B95">
        <w:t>T</w:t>
      </w:r>
      <w:r w:rsidR="00D83779" w:rsidRPr="00F90B95">
        <w:t xml:space="preserve">he submission did not nominate </w:t>
      </w:r>
      <w:proofErr w:type="spellStart"/>
      <w:r w:rsidR="00D83779" w:rsidRPr="00F90B95">
        <w:t>trifluridine</w:t>
      </w:r>
      <w:proofErr w:type="spellEnd"/>
      <w:r w:rsidR="00D83779" w:rsidRPr="00F90B95">
        <w:t xml:space="preserve"> with </w:t>
      </w:r>
      <w:proofErr w:type="spellStart"/>
      <w:r w:rsidR="00D83779" w:rsidRPr="00F90B95">
        <w:t>tipiracil</w:t>
      </w:r>
      <w:proofErr w:type="spellEnd"/>
      <w:r w:rsidR="00D83779" w:rsidRPr="00F90B95">
        <w:t xml:space="preserve"> as a relevant comparator. This combination was recommended by </w:t>
      </w:r>
      <w:r w:rsidR="00823EAB" w:rsidRPr="00F90B95">
        <w:t xml:space="preserve">the PBAC </w:t>
      </w:r>
      <w:r w:rsidR="00D83779" w:rsidRPr="00F90B95">
        <w:t xml:space="preserve">in July 2018 </w:t>
      </w:r>
      <w:r w:rsidR="00823EAB" w:rsidRPr="00F90B95">
        <w:t xml:space="preserve">for the treatment of </w:t>
      </w:r>
      <w:proofErr w:type="spellStart"/>
      <w:r w:rsidR="00823EAB" w:rsidRPr="00F90B95">
        <w:t>mCRC</w:t>
      </w:r>
      <w:proofErr w:type="spellEnd"/>
      <w:r w:rsidR="00823EAB" w:rsidRPr="00F90B95">
        <w:t xml:space="preserve"> patients who have been treated previously or are not considered suitable for current available therapies involving </w:t>
      </w:r>
      <w:proofErr w:type="spellStart"/>
      <w:r w:rsidR="00823EAB" w:rsidRPr="00F90B95">
        <w:t>fluoropyrimidine</w:t>
      </w:r>
      <w:proofErr w:type="spellEnd"/>
      <w:r w:rsidR="00823EAB" w:rsidRPr="00F90B95">
        <w:t xml:space="preserve">, </w:t>
      </w:r>
      <w:proofErr w:type="spellStart"/>
      <w:r w:rsidR="00823EAB" w:rsidRPr="00F90B95">
        <w:t>oxaliplatin</w:t>
      </w:r>
      <w:proofErr w:type="spellEnd"/>
      <w:r w:rsidR="00823EAB" w:rsidRPr="00F90B95">
        <w:t xml:space="preserve">, and </w:t>
      </w:r>
      <w:proofErr w:type="spellStart"/>
      <w:r w:rsidR="00823EAB" w:rsidRPr="00F90B95">
        <w:t>irinotecan</w:t>
      </w:r>
      <w:proofErr w:type="spellEnd"/>
      <w:r w:rsidR="00823EAB" w:rsidRPr="00F90B95">
        <w:t>-based chemotherapies,</w:t>
      </w:r>
      <w:r w:rsidRPr="00F90B95">
        <w:t xml:space="preserve"> or</w:t>
      </w:r>
      <w:r w:rsidR="00823EAB" w:rsidRPr="00F90B95">
        <w:t xml:space="preserve"> anti-VEGF or anti-EGFR agents (</w:t>
      </w:r>
      <w:proofErr w:type="spellStart"/>
      <w:r w:rsidR="009A6AD8" w:rsidRPr="00F90B95">
        <w:t>Trifluridine</w:t>
      </w:r>
      <w:proofErr w:type="spellEnd"/>
      <w:r w:rsidR="009A6AD8" w:rsidRPr="00F90B95">
        <w:t xml:space="preserve"> with </w:t>
      </w:r>
      <w:proofErr w:type="spellStart"/>
      <w:r w:rsidR="009A6AD8" w:rsidRPr="00F90B95">
        <w:t>tipiracil</w:t>
      </w:r>
      <w:proofErr w:type="spellEnd"/>
      <w:r w:rsidR="009A6AD8" w:rsidRPr="00F90B95">
        <w:t xml:space="preserve"> </w:t>
      </w:r>
      <w:r w:rsidR="00823EAB" w:rsidRPr="00F90B95">
        <w:t>Public Summ</w:t>
      </w:r>
      <w:r w:rsidR="00DE651B" w:rsidRPr="00F90B95">
        <w:t>ary Document (PSD), July 2018).</w:t>
      </w:r>
    </w:p>
    <w:p w:rsidR="0093645E" w:rsidRPr="00F90B95" w:rsidRDefault="00823EAB" w:rsidP="0044164E">
      <w:pPr>
        <w:pStyle w:val="ListParagraph"/>
        <w:widowControl/>
        <w:numPr>
          <w:ilvl w:val="1"/>
          <w:numId w:val="7"/>
        </w:numPr>
        <w:spacing w:before="120" w:after="120"/>
        <w:rPr>
          <w:rFonts w:cs="Calibri"/>
          <w:snapToGrid/>
          <w:szCs w:val="24"/>
          <w:lang w:eastAsia="en-AU"/>
        </w:rPr>
      </w:pPr>
      <w:r w:rsidRPr="00F90B95">
        <w:lastRenderedPageBreak/>
        <w:t xml:space="preserve">Although not currently TGA registered or PBS reimbursed, the submission nominated nivolumab or </w:t>
      </w:r>
      <w:proofErr w:type="spellStart"/>
      <w:r w:rsidRPr="00F90B95">
        <w:t>nivolumab</w:t>
      </w:r>
      <w:proofErr w:type="spellEnd"/>
      <w:r w:rsidRPr="00F90B95">
        <w:t xml:space="preserve"> + </w:t>
      </w:r>
      <w:proofErr w:type="spellStart"/>
      <w:r w:rsidRPr="00F90B95">
        <w:t>ipilimumab</w:t>
      </w:r>
      <w:proofErr w:type="spellEnd"/>
      <w:r w:rsidRPr="00F90B95">
        <w:t xml:space="preserve"> as near-</w:t>
      </w:r>
      <w:r w:rsidR="00363B4F" w:rsidRPr="00F90B95">
        <w:t>market</w:t>
      </w:r>
      <w:r w:rsidRPr="00F90B95">
        <w:t xml:space="preserve"> comparators</w:t>
      </w:r>
      <w:r w:rsidR="0004366C" w:rsidRPr="00F90B95">
        <w:t>. This was</w:t>
      </w:r>
      <w:r w:rsidRPr="00F90B95">
        <w:t xml:space="preserve"> based on a study of </w:t>
      </w:r>
      <w:proofErr w:type="spellStart"/>
      <w:r w:rsidRPr="00F90B95">
        <w:t>nivolumab</w:t>
      </w:r>
      <w:proofErr w:type="spellEnd"/>
      <w:r w:rsidRPr="00F90B95">
        <w:t xml:space="preserve"> ± </w:t>
      </w:r>
      <w:proofErr w:type="spellStart"/>
      <w:r w:rsidRPr="00F90B95">
        <w:t>ipilimumab</w:t>
      </w:r>
      <w:proofErr w:type="spellEnd"/>
      <w:r w:rsidRPr="00F90B95">
        <w:t xml:space="preserve"> in </w:t>
      </w:r>
      <w:proofErr w:type="spellStart"/>
      <w:r w:rsidRPr="00F90B95">
        <w:t>dMMR</w:t>
      </w:r>
      <w:proofErr w:type="spellEnd"/>
      <w:r w:rsidRPr="00F90B95">
        <w:t xml:space="preserve"> </w:t>
      </w:r>
      <w:proofErr w:type="spellStart"/>
      <w:r w:rsidRPr="00F90B95">
        <w:t>mCRC</w:t>
      </w:r>
      <w:proofErr w:type="spellEnd"/>
      <w:r w:rsidRPr="00F90B95">
        <w:t xml:space="preserve"> patients who have progressed following treatment with a </w:t>
      </w:r>
      <w:proofErr w:type="spellStart"/>
      <w:r w:rsidRPr="00F90B95">
        <w:t>fluoropyrimidine</w:t>
      </w:r>
      <w:proofErr w:type="spellEnd"/>
      <w:r w:rsidRPr="00F90B95">
        <w:t xml:space="preserve">, </w:t>
      </w:r>
      <w:proofErr w:type="spellStart"/>
      <w:r w:rsidRPr="00F90B95">
        <w:t>oxaliplatin</w:t>
      </w:r>
      <w:proofErr w:type="spellEnd"/>
      <w:r w:rsidRPr="00F90B95">
        <w:t xml:space="preserve">, and </w:t>
      </w:r>
      <w:proofErr w:type="spellStart"/>
      <w:r w:rsidRPr="00F90B95">
        <w:t>irinotecan</w:t>
      </w:r>
      <w:proofErr w:type="spellEnd"/>
      <w:r w:rsidRPr="00F90B95">
        <w:t>.</w:t>
      </w:r>
    </w:p>
    <w:p w:rsidR="002D1BBC" w:rsidRPr="00F90B95" w:rsidRDefault="002D1BBC" w:rsidP="0044164E">
      <w:pPr>
        <w:pStyle w:val="ListParagraph"/>
        <w:widowControl/>
        <w:numPr>
          <w:ilvl w:val="1"/>
          <w:numId w:val="7"/>
        </w:numPr>
        <w:spacing w:before="120" w:after="120"/>
        <w:rPr>
          <w:rFonts w:cs="Calibri"/>
          <w:snapToGrid/>
          <w:szCs w:val="24"/>
          <w:lang w:eastAsia="en-AU"/>
        </w:rPr>
      </w:pPr>
      <w:r w:rsidRPr="00F90B95">
        <w:rPr>
          <w:rFonts w:asciiTheme="minorHAnsi" w:hAnsiTheme="minorHAnsi"/>
          <w:bCs/>
        </w:rPr>
        <w:t>The PBAC</w:t>
      </w:r>
      <w:r w:rsidR="000E5B93" w:rsidRPr="00F90B95">
        <w:rPr>
          <w:rFonts w:asciiTheme="minorHAnsi" w:hAnsiTheme="minorHAnsi"/>
          <w:bCs/>
        </w:rPr>
        <w:t xml:space="preserve">, noting the Clinical Evaluation Report for the TGA, </w:t>
      </w:r>
      <w:r w:rsidRPr="00F90B95">
        <w:rPr>
          <w:rFonts w:asciiTheme="minorHAnsi" w:hAnsiTheme="minorHAnsi"/>
          <w:bCs/>
        </w:rPr>
        <w:t xml:space="preserve">considered that </w:t>
      </w:r>
      <w:r w:rsidR="004C1EBB" w:rsidRPr="00F90B95">
        <w:rPr>
          <w:rFonts w:asciiTheme="minorHAnsi" w:hAnsiTheme="minorHAnsi"/>
          <w:bCs/>
        </w:rPr>
        <w:t xml:space="preserve">as the appropriate place in therapy for pembrolizumab was as a last-line treatment option, </w:t>
      </w:r>
      <w:r w:rsidRPr="00F90B95">
        <w:rPr>
          <w:rFonts w:asciiTheme="minorHAnsi" w:hAnsiTheme="minorHAnsi"/>
          <w:bCs/>
        </w:rPr>
        <w:t>the comparator</w:t>
      </w:r>
      <w:r w:rsidR="004C1EBB" w:rsidRPr="00F90B95">
        <w:rPr>
          <w:rFonts w:asciiTheme="minorHAnsi" w:hAnsiTheme="minorHAnsi"/>
          <w:bCs/>
        </w:rPr>
        <w:t>s</w:t>
      </w:r>
      <w:r w:rsidRPr="00F90B95">
        <w:rPr>
          <w:rFonts w:asciiTheme="minorHAnsi" w:hAnsiTheme="minorHAnsi"/>
          <w:bCs/>
        </w:rPr>
        <w:t xml:space="preserve"> </w:t>
      </w:r>
      <w:r w:rsidR="004C1EBB" w:rsidRPr="00F90B95">
        <w:rPr>
          <w:rFonts w:asciiTheme="minorHAnsi" w:hAnsiTheme="minorHAnsi"/>
          <w:bCs/>
        </w:rPr>
        <w:t>nominated in the submission were</w:t>
      </w:r>
      <w:r w:rsidRPr="00F90B95">
        <w:rPr>
          <w:rFonts w:asciiTheme="minorHAnsi" w:hAnsiTheme="minorHAnsi"/>
          <w:bCs/>
        </w:rPr>
        <w:t xml:space="preserve"> inappropriate. The PBAC </w:t>
      </w:r>
      <w:r w:rsidR="00B518AA" w:rsidRPr="00F90B95">
        <w:rPr>
          <w:rFonts w:asciiTheme="minorHAnsi" w:hAnsiTheme="minorHAnsi"/>
          <w:bCs/>
        </w:rPr>
        <w:t>advised</w:t>
      </w:r>
      <w:r w:rsidRPr="00F90B95">
        <w:rPr>
          <w:rFonts w:asciiTheme="minorHAnsi" w:hAnsiTheme="minorHAnsi"/>
          <w:bCs/>
        </w:rPr>
        <w:t xml:space="preserve"> that </w:t>
      </w:r>
      <w:r w:rsidR="004C1EBB" w:rsidRPr="00F90B95">
        <w:rPr>
          <w:rFonts w:asciiTheme="minorHAnsi" w:hAnsiTheme="minorHAnsi"/>
          <w:bCs/>
        </w:rPr>
        <w:t>best supportive care (</w:t>
      </w:r>
      <w:r w:rsidRPr="00F90B95">
        <w:rPr>
          <w:rFonts w:asciiTheme="minorHAnsi" w:hAnsiTheme="minorHAnsi"/>
          <w:bCs/>
        </w:rPr>
        <w:t>BSC</w:t>
      </w:r>
      <w:r w:rsidR="004C1EBB" w:rsidRPr="00F90B95">
        <w:rPr>
          <w:rFonts w:asciiTheme="minorHAnsi" w:hAnsiTheme="minorHAnsi"/>
          <w:bCs/>
        </w:rPr>
        <w:t>)</w:t>
      </w:r>
      <w:r w:rsidRPr="00F90B95">
        <w:rPr>
          <w:rFonts w:asciiTheme="minorHAnsi" w:hAnsiTheme="minorHAnsi"/>
          <w:bCs/>
        </w:rPr>
        <w:t xml:space="preserve"> or </w:t>
      </w:r>
      <w:proofErr w:type="spellStart"/>
      <w:r w:rsidRPr="00F90B95">
        <w:t>trifluridine</w:t>
      </w:r>
      <w:proofErr w:type="spellEnd"/>
      <w:r w:rsidR="004C1EBB" w:rsidRPr="00F90B95">
        <w:t xml:space="preserve"> with </w:t>
      </w:r>
      <w:proofErr w:type="spellStart"/>
      <w:r w:rsidRPr="00F90B95">
        <w:t>tipiracil</w:t>
      </w:r>
      <w:proofErr w:type="spellEnd"/>
      <w:r w:rsidRPr="00F90B95">
        <w:t xml:space="preserve"> would be more appropriate </w:t>
      </w:r>
      <w:r w:rsidR="004C1EBB" w:rsidRPr="00F90B95">
        <w:t xml:space="preserve">comparators </w:t>
      </w:r>
      <w:r w:rsidRPr="00F90B95">
        <w:t>in a last line therapy population.</w:t>
      </w:r>
    </w:p>
    <w:p w:rsidR="00D34553" w:rsidRPr="00F90B95" w:rsidRDefault="00D34553" w:rsidP="0044164E">
      <w:pPr>
        <w:pStyle w:val="ListParagraph"/>
        <w:widowControl/>
        <w:spacing w:before="120" w:after="120"/>
        <w:rPr>
          <w:rFonts w:cs="Calibri"/>
          <w:i/>
          <w:snapToGrid/>
          <w:szCs w:val="24"/>
          <w:lang w:eastAsia="en-AU"/>
        </w:rPr>
      </w:pPr>
      <w:r w:rsidRPr="00F90B95">
        <w:rPr>
          <w:i/>
        </w:rPr>
        <w:t>For more detail on PBAC’s view, see Section 7 PBAC outcome.</w:t>
      </w:r>
    </w:p>
    <w:p w:rsidR="00B50DB8" w:rsidRPr="00F90B95" w:rsidRDefault="00BD6CF3" w:rsidP="0044164E">
      <w:pPr>
        <w:pStyle w:val="PBACHeading1"/>
        <w:keepNext/>
        <w:spacing w:before="120" w:after="120"/>
      </w:pPr>
      <w:bookmarkStart w:id="5" w:name="_Toc535588640"/>
      <w:r w:rsidRPr="00F90B95">
        <w:t>C</w:t>
      </w:r>
      <w:r w:rsidR="00B50DB8" w:rsidRPr="00F90B95">
        <w:t>onsideration of the evidence</w:t>
      </w:r>
      <w:bookmarkEnd w:id="5"/>
    </w:p>
    <w:p w:rsidR="00D34553" w:rsidRPr="00F90B95" w:rsidRDefault="00D34553" w:rsidP="0044164E">
      <w:pPr>
        <w:pStyle w:val="Heading2"/>
        <w:spacing w:before="120"/>
      </w:pPr>
      <w:bookmarkStart w:id="6" w:name="_Toc535588641"/>
      <w:bookmarkStart w:id="7" w:name="_GoBack"/>
      <w:bookmarkEnd w:id="7"/>
      <w:r w:rsidRPr="00F90B95">
        <w:t>Sponsor hearing</w:t>
      </w:r>
    </w:p>
    <w:p w:rsidR="00BA5DE4" w:rsidRDefault="00D34553" w:rsidP="0044164E">
      <w:pPr>
        <w:numPr>
          <w:ilvl w:val="1"/>
          <w:numId w:val="7"/>
        </w:numPr>
        <w:spacing w:before="120" w:after="120"/>
        <w:rPr>
          <w:rFonts w:asciiTheme="minorHAnsi" w:hAnsiTheme="minorHAnsi"/>
          <w:bCs/>
        </w:rPr>
      </w:pPr>
      <w:r w:rsidRPr="00F90B95">
        <w:rPr>
          <w:rFonts w:asciiTheme="minorHAnsi" w:hAnsiTheme="minorHAnsi"/>
          <w:bCs/>
        </w:rPr>
        <w:t>There was no hearing for this item.</w:t>
      </w:r>
    </w:p>
    <w:p w:rsidR="00BA5DE4" w:rsidRDefault="00BA5DE4" w:rsidP="0044164E">
      <w:pPr>
        <w:pStyle w:val="Heading2"/>
        <w:spacing w:before="120"/>
        <w:rPr>
          <w:rFonts w:asciiTheme="minorHAnsi" w:hAnsiTheme="minorHAnsi"/>
          <w:bCs/>
        </w:rPr>
      </w:pPr>
      <w:r w:rsidRPr="00F90B95">
        <w:t>Consumer comments</w:t>
      </w:r>
    </w:p>
    <w:p w:rsidR="00D34553" w:rsidRPr="00BA5DE4" w:rsidRDefault="00BA5DE4" w:rsidP="0044164E">
      <w:pPr>
        <w:numPr>
          <w:ilvl w:val="1"/>
          <w:numId w:val="7"/>
        </w:numPr>
        <w:spacing w:before="120" w:after="120"/>
        <w:rPr>
          <w:rFonts w:asciiTheme="minorHAnsi" w:hAnsiTheme="minorHAnsi"/>
          <w:bCs/>
        </w:rPr>
      </w:pPr>
      <w:r>
        <w:t xml:space="preserve">The PBAC noted and welcomed the input </w:t>
      </w:r>
      <w:r w:rsidR="00D34553" w:rsidRPr="00BA5DE4">
        <w:rPr>
          <w:rFonts w:asciiTheme="minorHAnsi" w:hAnsiTheme="minorHAnsi"/>
          <w:bCs/>
        </w:rPr>
        <w:t>from individuals (</w:t>
      </w:r>
      <w:r w:rsidR="003A6F9E" w:rsidRPr="00BA5DE4">
        <w:rPr>
          <w:rFonts w:asciiTheme="minorHAnsi" w:hAnsiTheme="minorHAnsi"/>
          <w:bCs/>
        </w:rPr>
        <w:t>10</w:t>
      </w:r>
      <w:r w:rsidR="00D34553" w:rsidRPr="00BA5DE4">
        <w:rPr>
          <w:rFonts w:asciiTheme="minorHAnsi" w:hAnsiTheme="minorHAnsi"/>
          <w:bCs/>
        </w:rPr>
        <w:t>)</w:t>
      </w:r>
      <w:r w:rsidR="003A6F9E" w:rsidRPr="00BA5DE4">
        <w:rPr>
          <w:rFonts w:asciiTheme="minorHAnsi" w:hAnsiTheme="minorHAnsi"/>
          <w:bCs/>
        </w:rPr>
        <w:t xml:space="preserve"> </w:t>
      </w:r>
      <w:r w:rsidR="00D34553" w:rsidRPr="00BA5DE4">
        <w:rPr>
          <w:rFonts w:asciiTheme="minorHAnsi" w:hAnsiTheme="minorHAnsi"/>
          <w:bCs/>
        </w:rPr>
        <w:t>and organisations (1) via the Consumer Comments facility on the PBS website. The comments described a range of benefits of treatment with</w:t>
      </w:r>
      <w:r w:rsidR="003A6F9E" w:rsidRPr="00BA5DE4">
        <w:rPr>
          <w:rFonts w:asciiTheme="minorHAnsi" w:hAnsiTheme="minorHAnsi"/>
          <w:bCs/>
        </w:rPr>
        <w:t xml:space="preserve"> pembrolizumab</w:t>
      </w:r>
      <w:r w:rsidR="004C1EBB" w:rsidRPr="00BA5DE4">
        <w:rPr>
          <w:rFonts w:asciiTheme="minorHAnsi" w:hAnsiTheme="minorHAnsi"/>
          <w:bCs/>
        </w:rPr>
        <w:t xml:space="preserve"> in general,</w:t>
      </w:r>
      <w:r w:rsidR="00D34553" w:rsidRPr="00BA5DE4">
        <w:rPr>
          <w:rFonts w:asciiTheme="minorHAnsi" w:hAnsiTheme="minorHAnsi"/>
          <w:bCs/>
        </w:rPr>
        <w:t xml:space="preserve"> including </w:t>
      </w:r>
      <w:r w:rsidR="003A6F9E" w:rsidRPr="00BA5DE4">
        <w:rPr>
          <w:rFonts w:asciiTheme="minorHAnsi" w:hAnsiTheme="minorHAnsi"/>
          <w:bCs/>
        </w:rPr>
        <w:t>improved survival.</w:t>
      </w:r>
    </w:p>
    <w:p w:rsidR="00D34553" w:rsidRPr="00F90B95" w:rsidRDefault="00D34553" w:rsidP="0044164E">
      <w:pPr>
        <w:numPr>
          <w:ilvl w:val="1"/>
          <w:numId w:val="7"/>
        </w:numPr>
        <w:spacing w:before="120" w:after="120"/>
        <w:rPr>
          <w:rFonts w:asciiTheme="minorHAnsi" w:hAnsiTheme="minorHAnsi"/>
          <w:bCs/>
        </w:rPr>
      </w:pPr>
      <w:r w:rsidRPr="00F90B95">
        <w:rPr>
          <w:rFonts w:asciiTheme="minorHAnsi" w:hAnsiTheme="minorHAnsi"/>
          <w:bCs/>
        </w:rPr>
        <w:t xml:space="preserve">The Medical Oncology Group of Australia (MOGA) also expressed its support for the </w:t>
      </w:r>
      <w:r w:rsidR="009D5C5F" w:rsidRPr="00F90B95">
        <w:rPr>
          <w:rFonts w:asciiTheme="minorHAnsi" w:hAnsiTheme="minorHAnsi"/>
          <w:bCs/>
        </w:rPr>
        <w:t>pembrolizumab</w:t>
      </w:r>
      <w:r w:rsidRPr="00F90B95">
        <w:rPr>
          <w:rFonts w:asciiTheme="minorHAnsi" w:hAnsiTheme="minorHAnsi"/>
          <w:bCs/>
        </w:rPr>
        <w:t xml:space="preserve"> submission, </w:t>
      </w:r>
      <w:r w:rsidR="009D5C5F" w:rsidRPr="00F90B95">
        <w:rPr>
          <w:rFonts w:asciiTheme="minorHAnsi" w:hAnsiTheme="minorHAnsi"/>
          <w:bCs/>
        </w:rPr>
        <w:t xml:space="preserve">categorising it as one of the therapies of “high priority for PBS listing” </w:t>
      </w:r>
      <w:r w:rsidRPr="00F90B95">
        <w:rPr>
          <w:rFonts w:asciiTheme="minorHAnsi" w:hAnsiTheme="minorHAnsi"/>
          <w:bCs/>
        </w:rPr>
        <w:t xml:space="preserve">on the basis of </w:t>
      </w:r>
      <w:r w:rsidR="009D5C5F" w:rsidRPr="00F90B95">
        <w:rPr>
          <w:rFonts w:asciiTheme="minorHAnsi" w:hAnsiTheme="minorHAnsi"/>
          <w:bCs/>
        </w:rPr>
        <w:t>the Keynote 164 study</w:t>
      </w:r>
      <w:r w:rsidRPr="00F90B95">
        <w:rPr>
          <w:rFonts w:asciiTheme="minorHAnsi" w:hAnsiTheme="minorHAnsi"/>
          <w:bCs/>
        </w:rPr>
        <w:t xml:space="preserve">. The PBAC noted that the MOGA presented the European Society for Medical Oncology Magnitude of Clinical Benefit Scale (ESMO-MCBS) for </w:t>
      </w:r>
      <w:r w:rsidR="009D5C5F" w:rsidRPr="00F90B95">
        <w:rPr>
          <w:rFonts w:asciiTheme="minorHAnsi" w:hAnsiTheme="minorHAnsi"/>
          <w:bCs/>
        </w:rPr>
        <w:t>pembrolizumab</w:t>
      </w:r>
      <w:r w:rsidRPr="00F90B95">
        <w:rPr>
          <w:rFonts w:asciiTheme="minorHAnsi" w:hAnsiTheme="minorHAnsi"/>
          <w:bCs/>
        </w:rPr>
        <w:t xml:space="preserve">, which was limited to </w:t>
      </w:r>
      <w:r w:rsidR="009D5C5F" w:rsidRPr="00F90B95">
        <w:rPr>
          <w:rFonts w:asciiTheme="minorHAnsi" w:hAnsiTheme="minorHAnsi"/>
          <w:bCs/>
        </w:rPr>
        <w:t>2</w:t>
      </w:r>
      <w:r w:rsidRPr="00F90B95">
        <w:rPr>
          <w:rFonts w:asciiTheme="minorHAnsi" w:hAnsiTheme="minorHAnsi"/>
          <w:bCs/>
        </w:rPr>
        <w:t xml:space="preserve"> (out of a maximum of 5, where 5 and 4 represent the grades with substantial improvement)</w:t>
      </w:r>
      <w:r w:rsidR="009D5C5F" w:rsidRPr="00F90B95">
        <w:rPr>
          <w:rStyle w:val="FootnoteReference"/>
          <w:rFonts w:asciiTheme="minorHAnsi" w:hAnsiTheme="minorHAnsi"/>
          <w:bCs/>
        </w:rPr>
        <w:footnoteReference w:id="4"/>
      </w:r>
      <w:r w:rsidR="009D5C5F" w:rsidRPr="00F90B95">
        <w:rPr>
          <w:rFonts w:asciiTheme="minorHAnsi" w:hAnsiTheme="minorHAnsi"/>
          <w:bCs/>
        </w:rPr>
        <w:t>.</w:t>
      </w:r>
    </w:p>
    <w:p w:rsidR="00B60939" w:rsidRPr="00F90B95" w:rsidRDefault="00B60939" w:rsidP="0044164E">
      <w:pPr>
        <w:pStyle w:val="Heading2"/>
        <w:spacing w:before="120"/>
      </w:pPr>
      <w:r w:rsidRPr="00F90B95">
        <w:t>Clinical trials</w:t>
      </w:r>
      <w:bookmarkEnd w:id="6"/>
    </w:p>
    <w:p w:rsidR="00D83779" w:rsidRPr="00F90B95" w:rsidRDefault="00F95C6B" w:rsidP="0044164E">
      <w:pPr>
        <w:pStyle w:val="ListParagraph"/>
        <w:keepNext/>
        <w:widowControl/>
        <w:numPr>
          <w:ilvl w:val="1"/>
          <w:numId w:val="7"/>
        </w:numPr>
        <w:spacing w:before="120" w:after="120"/>
        <w:rPr>
          <w:rFonts w:cs="Calibri"/>
          <w:snapToGrid/>
          <w:szCs w:val="24"/>
          <w:lang w:eastAsia="en-AU"/>
        </w:rPr>
      </w:pPr>
      <w:r w:rsidRPr="00F90B95">
        <w:rPr>
          <w:rFonts w:cs="Calibri"/>
          <w:snapToGrid/>
          <w:szCs w:val="24"/>
          <w:lang w:eastAsia="en-AU"/>
        </w:rPr>
        <w:t xml:space="preserve">The </w:t>
      </w:r>
      <w:r w:rsidR="00AD5D62" w:rsidRPr="00F90B95">
        <w:rPr>
          <w:rFonts w:cs="Calibri"/>
          <w:snapToGrid/>
          <w:szCs w:val="24"/>
          <w:lang w:eastAsia="en-AU"/>
        </w:rPr>
        <w:t xml:space="preserve">clinical evidence </w:t>
      </w:r>
      <w:r w:rsidR="00D83779" w:rsidRPr="00F90B95">
        <w:rPr>
          <w:rFonts w:cs="Calibri"/>
          <w:snapToGrid/>
          <w:szCs w:val="24"/>
          <w:lang w:eastAsia="en-AU"/>
        </w:rPr>
        <w:t xml:space="preserve">provided </w:t>
      </w:r>
      <w:r w:rsidR="00AD5D62" w:rsidRPr="00F90B95">
        <w:rPr>
          <w:rFonts w:cs="Calibri"/>
          <w:snapToGrid/>
          <w:szCs w:val="24"/>
          <w:lang w:eastAsia="en-AU"/>
        </w:rPr>
        <w:t xml:space="preserve">in the </w:t>
      </w:r>
      <w:r w:rsidRPr="00F90B95">
        <w:rPr>
          <w:rFonts w:cs="Calibri"/>
          <w:snapToGrid/>
          <w:szCs w:val="24"/>
          <w:lang w:eastAsia="en-AU"/>
        </w:rPr>
        <w:t xml:space="preserve">submission </w:t>
      </w:r>
      <w:r w:rsidR="00D83779" w:rsidRPr="00F90B95">
        <w:rPr>
          <w:rFonts w:cs="Calibri"/>
          <w:snapToGrid/>
          <w:szCs w:val="24"/>
          <w:lang w:eastAsia="en-AU"/>
        </w:rPr>
        <w:t>consisted of</w:t>
      </w:r>
      <w:r w:rsidRPr="00F90B95">
        <w:rPr>
          <w:rFonts w:cs="Calibri"/>
          <w:snapToGrid/>
          <w:szCs w:val="24"/>
          <w:lang w:eastAsia="en-AU"/>
        </w:rPr>
        <w:t xml:space="preserve"> a naïve </w:t>
      </w:r>
      <w:r w:rsidR="00E2393D" w:rsidRPr="00F90B95">
        <w:rPr>
          <w:rFonts w:cs="Calibri"/>
          <w:snapToGrid/>
          <w:szCs w:val="24"/>
          <w:lang w:eastAsia="en-AU"/>
        </w:rPr>
        <w:t xml:space="preserve">indirect </w:t>
      </w:r>
      <w:r w:rsidRPr="00F90B95">
        <w:rPr>
          <w:rFonts w:cs="Calibri"/>
          <w:snapToGrid/>
          <w:szCs w:val="24"/>
          <w:lang w:eastAsia="en-AU"/>
        </w:rPr>
        <w:t>comparison between</w:t>
      </w:r>
      <w:r w:rsidR="00D83779" w:rsidRPr="00F90B95">
        <w:rPr>
          <w:rFonts w:cs="Calibri"/>
          <w:snapToGrid/>
          <w:szCs w:val="24"/>
          <w:lang w:eastAsia="en-AU"/>
        </w:rPr>
        <w:t>:</w:t>
      </w:r>
    </w:p>
    <w:p w:rsidR="00D83779" w:rsidRPr="00F90B95" w:rsidRDefault="00D83779" w:rsidP="0044164E">
      <w:pPr>
        <w:pStyle w:val="ListParagraph"/>
        <w:widowControl/>
        <w:numPr>
          <w:ilvl w:val="0"/>
          <w:numId w:val="9"/>
        </w:numPr>
        <w:spacing w:before="120" w:after="120"/>
        <w:ind w:left="1077" w:hanging="357"/>
        <w:rPr>
          <w:rFonts w:cs="Calibri"/>
          <w:snapToGrid/>
          <w:szCs w:val="24"/>
          <w:lang w:eastAsia="en-AU"/>
        </w:rPr>
      </w:pPr>
      <w:r w:rsidRPr="00F90B95">
        <w:rPr>
          <w:rFonts w:cs="Calibri"/>
          <w:snapToGrid/>
          <w:szCs w:val="24"/>
          <w:lang w:eastAsia="en-AU"/>
        </w:rPr>
        <w:t xml:space="preserve">Study KN164: a </w:t>
      </w:r>
      <w:r w:rsidR="00496335" w:rsidRPr="00F90B95">
        <w:rPr>
          <w:rFonts w:cs="Calibri"/>
          <w:snapToGrid/>
          <w:szCs w:val="24"/>
          <w:lang w:eastAsia="en-AU"/>
        </w:rPr>
        <w:t>single-</w:t>
      </w:r>
      <w:r w:rsidR="00F95C6B" w:rsidRPr="00F90B95">
        <w:rPr>
          <w:rFonts w:cs="Calibri"/>
          <w:snapToGrid/>
          <w:szCs w:val="24"/>
          <w:lang w:eastAsia="en-AU"/>
        </w:rPr>
        <w:t xml:space="preserve">arm study of pembrolizumab </w:t>
      </w:r>
      <w:r w:rsidRPr="00F90B95">
        <w:rPr>
          <w:rFonts w:cs="Calibri"/>
          <w:snapToGrid/>
          <w:szCs w:val="24"/>
          <w:lang w:eastAsia="en-AU"/>
        </w:rPr>
        <w:t>(</w:t>
      </w:r>
      <w:r w:rsidR="00F95C6B" w:rsidRPr="00F90B95">
        <w:rPr>
          <w:rFonts w:cs="Calibri"/>
          <w:snapToGrid/>
          <w:szCs w:val="24"/>
          <w:lang w:eastAsia="en-AU"/>
        </w:rPr>
        <w:t>200</w:t>
      </w:r>
      <w:r w:rsidR="00994196" w:rsidRPr="00F90B95">
        <w:rPr>
          <w:rFonts w:cs="Calibri"/>
          <w:snapToGrid/>
          <w:szCs w:val="24"/>
          <w:lang w:eastAsia="en-AU"/>
        </w:rPr>
        <w:t> </w:t>
      </w:r>
      <w:r w:rsidR="00F95C6B" w:rsidRPr="00F90B95">
        <w:rPr>
          <w:rFonts w:cs="Calibri"/>
          <w:snapToGrid/>
          <w:szCs w:val="24"/>
          <w:lang w:eastAsia="en-AU"/>
        </w:rPr>
        <w:t xml:space="preserve">mg </w:t>
      </w:r>
      <w:r w:rsidR="0004366C" w:rsidRPr="00F90B95">
        <w:rPr>
          <w:rFonts w:cs="Calibri"/>
          <w:snapToGrid/>
          <w:szCs w:val="24"/>
          <w:lang w:eastAsia="en-AU"/>
        </w:rPr>
        <w:t>administered every three weeks</w:t>
      </w:r>
      <w:r w:rsidRPr="00F90B95">
        <w:rPr>
          <w:rFonts w:cs="Calibri"/>
          <w:snapToGrid/>
          <w:szCs w:val="24"/>
          <w:lang w:eastAsia="en-AU"/>
        </w:rPr>
        <w:t>)</w:t>
      </w:r>
      <w:r w:rsidR="00F95C6B" w:rsidRPr="00F90B95">
        <w:rPr>
          <w:rFonts w:cs="Calibri"/>
          <w:snapToGrid/>
          <w:szCs w:val="24"/>
          <w:lang w:eastAsia="en-AU"/>
        </w:rPr>
        <w:t xml:space="preserve"> in heavily pre-treated MSI-H/</w:t>
      </w:r>
      <w:proofErr w:type="spellStart"/>
      <w:r w:rsidR="00F95C6B" w:rsidRPr="00F90B95">
        <w:rPr>
          <w:rFonts w:cs="Calibri"/>
          <w:snapToGrid/>
          <w:szCs w:val="24"/>
          <w:lang w:eastAsia="en-AU"/>
        </w:rPr>
        <w:t>dMMR</w:t>
      </w:r>
      <w:proofErr w:type="spellEnd"/>
      <w:r w:rsidR="00F95C6B" w:rsidRPr="00F90B95">
        <w:rPr>
          <w:rFonts w:cs="Calibri"/>
          <w:snapToGrid/>
          <w:szCs w:val="24"/>
          <w:lang w:eastAsia="en-AU"/>
        </w:rPr>
        <w:t xml:space="preserve"> Stage IV </w:t>
      </w:r>
      <w:proofErr w:type="spellStart"/>
      <w:r w:rsidR="00F95C6B" w:rsidRPr="00F90B95">
        <w:rPr>
          <w:rFonts w:cs="Calibri"/>
          <w:snapToGrid/>
          <w:szCs w:val="24"/>
          <w:lang w:eastAsia="en-AU"/>
        </w:rPr>
        <w:t>mCRC</w:t>
      </w:r>
      <w:proofErr w:type="spellEnd"/>
      <w:r w:rsidR="00F95C6B" w:rsidRPr="00F90B95">
        <w:rPr>
          <w:rFonts w:cs="Calibri"/>
          <w:snapToGrid/>
          <w:szCs w:val="24"/>
          <w:lang w:eastAsia="en-AU"/>
        </w:rPr>
        <w:t xml:space="preserve"> patients</w:t>
      </w:r>
      <w:r w:rsidRPr="00F90B95">
        <w:rPr>
          <w:rFonts w:cs="Calibri"/>
          <w:snapToGrid/>
          <w:szCs w:val="24"/>
          <w:lang w:eastAsia="en-AU"/>
        </w:rPr>
        <w:t xml:space="preserve"> (N = 61)</w:t>
      </w:r>
      <w:r w:rsidR="003C30C2" w:rsidRPr="00F90B95">
        <w:rPr>
          <w:rFonts w:cs="Calibri"/>
          <w:snapToGrid/>
          <w:szCs w:val="24"/>
          <w:lang w:eastAsia="en-AU"/>
        </w:rPr>
        <w:t xml:space="preserve">. </w:t>
      </w:r>
      <w:r w:rsidR="006D78E0" w:rsidRPr="00F90B95">
        <w:rPr>
          <w:rFonts w:cs="Calibri"/>
          <w:snapToGrid/>
          <w:szCs w:val="24"/>
          <w:lang w:eastAsia="en-AU"/>
        </w:rPr>
        <w:t xml:space="preserve">Objective </w:t>
      </w:r>
      <w:r w:rsidR="006D78E0" w:rsidRPr="00F90B95">
        <w:t>response</w:t>
      </w:r>
      <w:r w:rsidR="003C30C2" w:rsidRPr="00F90B95">
        <w:t xml:space="preserve"> rate </w:t>
      </w:r>
      <w:r w:rsidR="004E1C13" w:rsidRPr="00F90B95">
        <w:t xml:space="preserve">(ORR), which was a summation of complete response and partial response, </w:t>
      </w:r>
      <w:r w:rsidR="003C30C2" w:rsidRPr="00F90B95">
        <w:t>was the primary outcome</w:t>
      </w:r>
      <w:r w:rsidR="004E1C13" w:rsidRPr="00F90B95">
        <w:t xml:space="preserve">. </w:t>
      </w:r>
      <w:r w:rsidR="003C30C2" w:rsidRPr="00F90B95">
        <w:t>OS data were immature</w:t>
      </w:r>
      <w:r w:rsidRPr="00F90B95">
        <w:rPr>
          <w:rFonts w:cs="Calibri"/>
          <w:snapToGrid/>
          <w:szCs w:val="24"/>
          <w:lang w:eastAsia="en-AU"/>
        </w:rPr>
        <w:t>;</w:t>
      </w:r>
      <w:r w:rsidR="00DE651B" w:rsidRPr="00F90B95">
        <w:rPr>
          <w:rFonts w:cs="Calibri"/>
          <w:snapToGrid/>
          <w:szCs w:val="24"/>
          <w:lang w:eastAsia="en-AU"/>
        </w:rPr>
        <w:t xml:space="preserve"> and</w:t>
      </w:r>
    </w:p>
    <w:p w:rsidR="00D83779" w:rsidRPr="00F90B95" w:rsidRDefault="00005542" w:rsidP="0044164E">
      <w:pPr>
        <w:pStyle w:val="ListParagraph"/>
        <w:widowControl/>
        <w:numPr>
          <w:ilvl w:val="0"/>
          <w:numId w:val="9"/>
        </w:numPr>
        <w:spacing w:before="120" w:after="120"/>
        <w:ind w:left="1077" w:hanging="357"/>
        <w:rPr>
          <w:rFonts w:cs="Calibri"/>
          <w:snapToGrid/>
          <w:szCs w:val="24"/>
          <w:lang w:eastAsia="en-AU"/>
        </w:rPr>
      </w:pPr>
      <w:r w:rsidRPr="00F90B95">
        <w:rPr>
          <w:rFonts w:cs="Calibri"/>
          <w:snapToGrid/>
          <w:szCs w:val="24"/>
          <w:lang w:eastAsia="en-AU"/>
        </w:rPr>
        <w:t>S</w:t>
      </w:r>
      <w:r w:rsidR="00E2393D" w:rsidRPr="00F90B95">
        <w:rPr>
          <w:rFonts w:cs="Calibri"/>
          <w:snapToGrid/>
          <w:szCs w:val="24"/>
          <w:lang w:eastAsia="en-AU"/>
        </w:rPr>
        <w:t xml:space="preserve">ingle arms from </w:t>
      </w:r>
      <w:r w:rsidR="00F95C6B" w:rsidRPr="00F90B95">
        <w:rPr>
          <w:rFonts w:cs="Calibri"/>
          <w:snapToGrid/>
          <w:szCs w:val="24"/>
          <w:lang w:eastAsia="en-AU"/>
        </w:rPr>
        <w:t>1</w:t>
      </w:r>
      <w:r w:rsidR="00FA5001" w:rsidRPr="00F90B95">
        <w:rPr>
          <w:rFonts w:cs="Calibri"/>
          <w:snapToGrid/>
          <w:szCs w:val="24"/>
          <w:lang w:eastAsia="en-AU"/>
        </w:rPr>
        <w:t>6</w:t>
      </w:r>
      <w:r w:rsidR="00F95C6B" w:rsidRPr="00F90B95">
        <w:rPr>
          <w:rFonts w:cs="Calibri"/>
          <w:snapToGrid/>
          <w:szCs w:val="24"/>
          <w:lang w:eastAsia="en-AU"/>
        </w:rPr>
        <w:t xml:space="preserve"> comparator studies (nine studies </w:t>
      </w:r>
      <w:r w:rsidR="00FA5001" w:rsidRPr="00F90B95">
        <w:rPr>
          <w:rFonts w:cs="Calibri"/>
          <w:snapToGrid/>
          <w:szCs w:val="24"/>
          <w:lang w:eastAsia="en-AU"/>
        </w:rPr>
        <w:t>of</w:t>
      </w:r>
      <w:r w:rsidR="00F95C6B" w:rsidRPr="00F90B95">
        <w:rPr>
          <w:rFonts w:cs="Calibri"/>
          <w:snapToGrid/>
          <w:szCs w:val="24"/>
          <w:lang w:eastAsia="en-AU"/>
        </w:rPr>
        <w:t xml:space="preserve"> bevacizumab + chemotherapy, five studies </w:t>
      </w:r>
      <w:r w:rsidR="00FA5001" w:rsidRPr="00F90B95">
        <w:rPr>
          <w:rFonts w:cs="Calibri"/>
          <w:snapToGrid/>
          <w:szCs w:val="24"/>
          <w:lang w:eastAsia="en-AU"/>
        </w:rPr>
        <w:t>of</w:t>
      </w:r>
      <w:r w:rsidR="00F95C6B" w:rsidRPr="00F90B95">
        <w:rPr>
          <w:rFonts w:cs="Calibri"/>
          <w:snapToGrid/>
          <w:szCs w:val="24"/>
          <w:lang w:eastAsia="en-AU"/>
        </w:rPr>
        <w:t xml:space="preserve"> </w:t>
      </w:r>
      <w:r w:rsidR="00363B4F" w:rsidRPr="00F90B95">
        <w:rPr>
          <w:rFonts w:cs="Calibri"/>
          <w:snapToGrid/>
          <w:szCs w:val="24"/>
          <w:lang w:eastAsia="en-AU"/>
        </w:rPr>
        <w:t>chemotherapy (</w:t>
      </w:r>
      <w:r w:rsidR="00F95C6B" w:rsidRPr="00F90B95">
        <w:rPr>
          <w:rFonts w:cs="Calibri"/>
          <w:snapToGrid/>
          <w:szCs w:val="24"/>
          <w:lang w:eastAsia="en-AU"/>
        </w:rPr>
        <w:t>FOLFIRI</w:t>
      </w:r>
      <w:r w:rsidR="00363B4F" w:rsidRPr="00F90B95">
        <w:rPr>
          <w:rFonts w:cs="Calibri"/>
          <w:snapToGrid/>
          <w:szCs w:val="24"/>
          <w:lang w:eastAsia="en-AU"/>
        </w:rPr>
        <w:t>)</w:t>
      </w:r>
      <w:r w:rsidR="00F95C6B" w:rsidRPr="00F90B95">
        <w:rPr>
          <w:rFonts w:cs="Calibri"/>
          <w:snapToGrid/>
          <w:szCs w:val="24"/>
          <w:lang w:eastAsia="en-AU"/>
        </w:rPr>
        <w:t xml:space="preserve">, one study </w:t>
      </w:r>
      <w:r w:rsidR="00FA5001" w:rsidRPr="00F90B95">
        <w:rPr>
          <w:rFonts w:cs="Calibri"/>
          <w:snapToGrid/>
          <w:szCs w:val="24"/>
          <w:lang w:eastAsia="en-AU"/>
        </w:rPr>
        <w:t>of</w:t>
      </w:r>
      <w:r w:rsidR="00F95C6B" w:rsidRPr="00F90B95">
        <w:rPr>
          <w:rFonts w:cs="Calibri"/>
          <w:snapToGrid/>
          <w:szCs w:val="24"/>
          <w:lang w:eastAsia="en-AU"/>
        </w:rPr>
        <w:t xml:space="preserve"> </w:t>
      </w:r>
      <w:proofErr w:type="spellStart"/>
      <w:r w:rsidR="00F95C6B" w:rsidRPr="00F90B95">
        <w:rPr>
          <w:rFonts w:cs="Calibri"/>
          <w:snapToGrid/>
          <w:szCs w:val="24"/>
          <w:lang w:eastAsia="en-AU"/>
        </w:rPr>
        <w:t>cetuximab</w:t>
      </w:r>
      <w:proofErr w:type="spellEnd"/>
      <w:r w:rsidR="00F95C6B" w:rsidRPr="00F90B95">
        <w:rPr>
          <w:rFonts w:cs="Calibri"/>
          <w:snapToGrid/>
          <w:szCs w:val="24"/>
          <w:lang w:eastAsia="en-AU"/>
        </w:rPr>
        <w:t xml:space="preserve"> + </w:t>
      </w:r>
      <w:r w:rsidR="00363B4F" w:rsidRPr="00F90B95">
        <w:rPr>
          <w:rFonts w:cs="Calibri"/>
          <w:snapToGrid/>
          <w:szCs w:val="24"/>
          <w:lang w:eastAsia="en-AU"/>
        </w:rPr>
        <w:t>chemotherapy</w:t>
      </w:r>
      <w:r w:rsidR="00FA5001" w:rsidRPr="00F90B95">
        <w:rPr>
          <w:rFonts w:cs="Calibri"/>
          <w:snapToGrid/>
          <w:szCs w:val="24"/>
          <w:lang w:eastAsia="en-AU"/>
        </w:rPr>
        <w:t>, and one study of the near-</w:t>
      </w:r>
      <w:r w:rsidR="00363B4F" w:rsidRPr="00F90B95">
        <w:rPr>
          <w:rFonts w:cs="Calibri"/>
          <w:snapToGrid/>
          <w:szCs w:val="24"/>
          <w:lang w:eastAsia="en-AU"/>
        </w:rPr>
        <w:t>market</w:t>
      </w:r>
      <w:r w:rsidR="00FA5001" w:rsidRPr="00F90B95">
        <w:rPr>
          <w:rFonts w:cs="Calibri"/>
          <w:snapToGrid/>
          <w:szCs w:val="24"/>
          <w:lang w:eastAsia="en-AU"/>
        </w:rPr>
        <w:t xml:space="preserve"> comparators</w:t>
      </w:r>
      <w:r w:rsidR="00363B4F" w:rsidRPr="00F90B95">
        <w:rPr>
          <w:rFonts w:cs="Calibri"/>
          <w:snapToGrid/>
          <w:szCs w:val="24"/>
          <w:lang w:eastAsia="en-AU"/>
        </w:rPr>
        <w:t>,</w:t>
      </w:r>
      <w:r w:rsidR="00FA5001" w:rsidRPr="00F90B95">
        <w:rPr>
          <w:rFonts w:cs="Calibri"/>
          <w:snapToGrid/>
          <w:szCs w:val="24"/>
          <w:lang w:eastAsia="en-AU"/>
        </w:rPr>
        <w:t xml:space="preserve"> </w:t>
      </w:r>
      <w:proofErr w:type="spellStart"/>
      <w:r w:rsidR="00FA5001" w:rsidRPr="00F90B95">
        <w:rPr>
          <w:rFonts w:cs="Calibri"/>
          <w:snapToGrid/>
          <w:szCs w:val="24"/>
          <w:lang w:eastAsia="en-AU"/>
        </w:rPr>
        <w:t>nivolumab</w:t>
      </w:r>
      <w:proofErr w:type="spellEnd"/>
      <w:r w:rsidR="00FA5001" w:rsidRPr="00F90B95">
        <w:rPr>
          <w:rFonts w:cs="Calibri"/>
          <w:snapToGrid/>
          <w:szCs w:val="24"/>
          <w:lang w:eastAsia="en-AU"/>
        </w:rPr>
        <w:t xml:space="preserve"> ± </w:t>
      </w:r>
      <w:proofErr w:type="spellStart"/>
      <w:r w:rsidR="00FA5001" w:rsidRPr="00F90B95">
        <w:rPr>
          <w:rFonts w:cs="Calibri"/>
          <w:snapToGrid/>
          <w:szCs w:val="24"/>
          <w:lang w:eastAsia="en-AU"/>
        </w:rPr>
        <w:lastRenderedPageBreak/>
        <w:t>ipilimumab</w:t>
      </w:r>
      <w:proofErr w:type="spellEnd"/>
      <w:r w:rsidR="00F95C6B" w:rsidRPr="00F90B95">
        <w:rPr>
          <w:rFonts w:cs="Calibri"/>
          <w:snapToGrid/>
          <w:szCs w:val="24"/>
          <w:lang w:eastAsia="en-AU"/>
        </w:rPr>
        <w:t xml:space="preserve">). All </w:t>
      </w:r>
      <w:r w:rsidR="00AD5D62" w:rsidRPr="00F90B95">
        <w:rPr>
          <w:rFonts w:cs="Calibri"/>
          <w:snapToGrid/>
          <w:szCs w:val="24"/>
          <w:lang w:eastAsia="en-AU"/>
        </w:rPr>
        <w:t xml:space="preserve">main </w:t>
      </w:r>
      <w:r w:rsidR="00F95C6B" w:rsidRPr="00F90B95">
        <w:rPr>
          <w:rFonts w:cs="Calibri"/>
          <w:snapToGrid/>
          <w:szCs w:val="24"/>
          <w:lang w:eastAsia="en-AU"/>
        </w:rPr>
        <w:t xml:space="preserve">comparator studies were </w:t>
      </w:r>
      <w:r w:rsidR="00AD5D62" w:rsidRPr="00F90B95">
        <w:rPr>
          <w:rFonts w:cs="Calibri"/>
          <w:snapToGrid/>
          <w:szCs w:val="24"/>
          <w:lang w:eastAsia="en-AU"/>
        </w:rPr>
        <w:t>conducted o</w:t>
      </w:r>
      <w:r w:rsidR="00F95C6B" w:rsidRPr="00F90B95">
        <w:rPr>
          <w:rFonts w:cs="Calibri"/>
          <w:snapToGrid/>
          <w:szCs w:val="24"/>
          <w:lang w:eastAsia="en-AU"/>
        </w:rPr>
        <w:t xml:space="preserve">n </w:t>
      </w:r>
      <w:r w:rsidR="00D83779" w:rsidRPr="00F90B95">
        <w:rPr>
          <w:rFonts w:cs="Calibri"/>
          <w:snapToGrid/>
          <w:szCs w:val="24"/>
          <w:lang w:eastAsia="en-AU"/>
        </w:rPr>
        <w:t>‘</w:t>
      </w:r>
      <w:r w:rsidR="00F95C6B" w:rsidRPr="00F90B95">
        <w:rPr>
          <w:rFonts w:cs="Calibri"/>
          <w:snapToGrid/>
          <w:szCs w:val="24"/>
          <w:lang w:eastAsia="en-AU"/>
        </w:rPr>
        <w:t>all comers</w:t>
      </w:r>
      <w:r w:rsidR="00D83779" w:rsidRPr="00F90B95">
        <w:rPr>
          <w:rFonts w:cs="Calibri"/>
          <w:snapToGrid/>
          <w:szCs w:val="24"/>
          <w:lang w:eastAsia="en-AU"/>
        </w:rPr>
        <w:t>’</w:t>
      </w:r>
      <w:r w:rsidR="00F95C6B" w:rsidRPr="00F90B95">
        <w:rPr>
          <w:rFonts w:cs="Calibri"/>
          <w:snapToGrid/>
          <w:szCs w:val="24"/>
          <w:lang w:eastAsia="en-AU"/>
        </w:rPr>
        <w:t xml:space="preserve"> (</w:t>
      </w:r>
      <w:r w:rsidR="00D83779" w:rsidRPr="00F90B95">
        <w:rPr>
          <w:rFonts w:cs="Calibri"/>
          <w:snapToGrid/>
          <w:szCs w:val="24"/>
          <w:lang w:eastAsia="en-AU"/>
        </w:rPr>
        <w:t xml:space="preserve">i.e. irrespective </w:t>
      </w:r>
      <w:r w:rsidR="00F95C6B" w:rsidRPr="00F90B95">
        <w:rPr>
          <w:rFonts w:cs="Calibri"/>
          <w:snapToGrid/>
          <w:szCs w:val="24"/>
          <w:lang w:eastAsia="en-AU"/>
        </w:rPr>
        <w:t>of MMR status)</w:t>
      </w:r>
      <w:r w:rsidR="00DE651B" w:rsidRPr="00F90B95">
        <w:rPr>
          <w:rFonts w:cs="Calibri"/>
          <w:snapToGrid/>
          <w:szCs w:val="24"/>
          <w:lang w:eastAsia="en-AU"/>
        </w:rPr>
        <w:t>.</w:t>
      </w:r>
    </w:p>
    <w:p w:rsidR="00FF79F9" w:rsidRPr="00F90B95" w:rsidRDefault="00FF79F9" w:rsidP="0044164E">
      <w:pPr>
        <w:pStyle w:val="ListParagraph"/>
        <w:widowControl/>
        <w:numPr>
          <w:ilvl w:val="1"/>
          <w:numId w:val="7"/>
        </w:numPr>
        <w:spacing w:before="120" w:after="120"/>
      </w:pPr>
      <w:r w:rsidRPr="00F90B95">
        <w:t>None of the evidence from the comparator studies was used in the economic evaluation.</w:t>
      </w:r>
    </w:p>
    <w:p w:rsidR="004C4775" w:rsidRDefault="00A73134" w:rsidP="0044164E">
      <w:pPr>
        <w:pStyle w:val="ListParagraph"/>
        <w:widowControl/>
        <w:numPr>
          <w:ilvl w:val="1"/>
          <w:numId w:val="7"/>
        </w:numPr>
        <w:spacing w:before="120" w:after="120"/>
        <w:rPr>
          <w:rFonts w:cs="Calibri"/>
          <w:snapToGrid/>
          <w:szCs w:val="24"/>
          <w:lang w:eastAsia="en-AU"/>
        </w:rPr>
      </w:pPr>
      <w:r w:rsidRPr="00F90B95">
        <w:rPr>
          <w:rFonts w:cs="Calibri"/>
          <w:snapToGrid/>
          <w:szCs w:val="24"/>
          <w:lang w:eastAsia="en-AU"/>
        </w:rPr>
        <w:t xml:space="preserve">Details of the </w:t>
      </w:r>
      <w:r w:rsidR="00837A2D" w:rsidRPr="00F90B95">
        <w:rPr>
          <w:rFonts w:cs="Calibri"/>
          <w:snapToGrid/>
          <w:szCs w:val="24"/>
          <w:lang w:eastAsia="en-AU"/>
        </w:rPr>
        <w:t>studies</w:t>
      </w:r>
      <w:r w:rsidRPr="00F90B95">
        <w:rPr>
          <w:rFonts w:cs="Calibri"/>
          <w:snapToGrid/>
          <w:szCs w:val="24"/>
          <w:lang w:eastAsia="en-AU"/>
        </w:rPr>
        <w:t xml:space="preserve"> </w:t>
      </w:r>
      <w:r w:rsidR="00F7343F" w:rsidRPr="00F90B95">
        <w:rPr>
          <w:rFonts w:cs="Calibri"/>
          <w:snapToGrid/>
          <w:szCs w:val="24"/>
          <w:lang w:eastAsia="en-AU"/>
        </w:rPr>
        <w:t>included</w:t>
      </w:r>
      <w:r w:rsidRPr="00F90B95">
        <w:rPr>
          <w:rFonts w:cs="Calibri"/>
          <w:snapToGrid/>
          <w:szCs w:val="24"/>
          <w:lang w:eastAsia="en-AU"/>
        </w:rPr>
        <w:t xml:space="preserve"> in the submission ar</w:t>
      </w:r>
      <w:r w:rsidR="00E76B82" w:rsidRPr="00F90B95">
        <w:rPr>
          <w:rFonts w:cs="Calibri"/>
          <w:snapToGrid/>
          <w:szCs w:val="24"/>
          <w:lang w:eastAsia="en-AU"/>
        </w:rPr>
        <w:t>e provided in the table below.</w:t>
      </w:r>
    </w:p>
    <w:p w:rsidR="00862502" w:rsidRPr="004C4775" w:rsidRDefault="004C4775" w:rsidP="0044164E">
      <w:pPr>
        <w:widowControl/>
        <w:spacing w:before="120" w:after="120"/>
        <w:jc w:val="left"/>
        <w:rPr>
          <w:rFonts w:cs="Calibri"/>
          <w:snapToGrid/>
          <w:szCs w:val="24"/>
          <w:lang w:eastAsia="en-AU"/>
        </w:rPr>
      </w:pPr>
      <w:r>
        <w:rPr>
          <w:rFonts w:cs="Calibri"/>
          <w:snapToGrid/>
          <w:szCs w:val="24"/>
          <w:lang w:eastAsia="en-AU"/>
        </w:rPr>
        <w:br w:type="page"/>
      </w:r>
    </w:p>
    <w:p w:rsidR="000B3CA5" w:rsidRPr="00F90B95" w:rsidRDefault="000B3CA5" w:rsidP="008A5A7F">
      <w:pPr>
        <w:pStyle w:val="Caption"/>
        <w:keepNext/>
      </w:pPr>
      <w:r w:rsidRPr="00F90B95">
        <w:lastRenderedPageBreak/>
        <w:t xml:space="preserve">Table </w:t>
      </w:r>
      <w:r w:rsidR="00E04C56" w:rsidRPr="00F90B95">
        <w:t>2</w:t>
      </w:r>
      <w:r w:rsidRPr="00F90B95">
        <w:t>:</w:t>
      </w:r>
      <w:r w:rsidRPr="00F90B95">
        <w:rPr>
          <w:rStyle w:val="CommentReference"/>
          <w:b/>
          <w:szCs w:val="18"/>
        </w:rPr>
        <w:t xml:space="preserve"> Studies and associated key reports presented in the submission</w:t>
      </w:r>
    </w:p>
    <w:tbl>
      <w:tblPr>
        <w:tblStyle w:val="TableGrid"/>
        <w:tblW w:w="5000" w:type="pct"/>
        <w:tblLook w:val="01E0" w:firstRow="1" w:lastRow="1" w:firstColumn="1" w:lastColumn="1" w:noHBand="0" w:noVBand="0"/>
        <w:tblCaption w:val="Table 2: Studies and associated key reports presented in the submission"/>
      </w:tblPr>
      <w:tblGrid>
        <w:gridCol w:w="1294"/>
        <w:gridCol w:w="5811"/>
        <w:gridCol w:w="1912"/>
      </w:tblGrid>
      <w:tr w:rsidR="00837A2D" w:rsidRPr="00F90B95" w:rsidTr="00FF79F9">
        <w:trPr>
          <w:cantSplit/>
          <w:tblHeader/>
        </w:trPr>
        <w:tc>
          <w:tcPr>
            <w:tcW w:w="718" w:type="pct"/>
            <w:tcMar>
              <w:left w:w="28" w:type="dxa"/>
              <w:right w:w="28" w:type="dxa"/>
            </w:tcMar>
          </w:tcPr>
          <w:p w:rsidR="00837A2D" w:rsidRPr="00F90B95" w:rsidRDefault="006C2B82" w:rsidP="008A5A7F">
            <w:pPr>
              <w:pStyle w:val="Tabletext"/>
              <w:keepNext/>
              <w:rPr>
                <w:b/>
              </w:rPr>
            </w:pPr>
            <w:r w:rsidRPr="00F90B95">
              <w:rPr>
                <w:b/>
              </w:rPr>
              <w:t>Study</w:t>
            </w:r>
            <w:r w:rsidR="00837A2D" w:rsidRPr="00F90B95">
              <w:rPr>
                <w:b/>
              </w:rPr>
              <w:t xml:space="preserve"> ID</w:t>
            </w:r>
          </w:p>
        </w:tc>
        <w:tc>
          <w:tcPr>
            <w:tcW w:w="3222" w:type="pct"/>
            <w:tcMar>
              <w:left w:w="28" w:type="dxa"/>
              <w:right w:w="28" w:type="dxa"/>
            </w:tcMar>
          </w:tcPr>
          <w:p w:rsidR="00837A2D" w:rsidRPr="00F90B95" w:rsidRDefault="00837A2D" w:rsidP="008A5A7F">
            <w:pPr>
              <w:pStyle w:val="Tabletext"/>
              <w:keepNext/>
              <w:jc w:val="center"/>
              <w:rPr>
                <w:b/>
              </w:rPr>
            </w:pPr>
            <w:r w:rsidRPr="00F90B95">
              <w:rPr>
                <w:b/>
              </w:rPr>
              <w:t>Protocol title/ Publication title</w:t>
            </w:r>
          </w:p>
        </w:tc>
        <w:tc>
          <w:tcPr>
            <w:tcW w:w="1060" w:type="pct"/>
            <w:tcMar>
              <w:left w:w="28" w:type="dxa"/>
              <w:right w:w="28" w:type="dxa"/>
            </w:tcMar>
          </w:tcPr>
          <w:p w:rsidR="00837A2D" w:rsidRPr="00F90B95" w:rsidRDefault="00837A2D" w:rsidP="008A5A7F">
            <w:pPr>
              <w:pStyle w:val="Tabletext"/>
              <w:keepNext/>
              <w:jc w:val="center"/>
              <w:rPr>
                <w:b/>
              </w:rPr>
            </w:pPr>
            <w:r w:rsidRPr="00F90B95">
              <w:rPr>
                <w:b/>
              </w:rPr>
              <w:t>Publication citation</w:t>
            </w:r>
          </w:p>
        </w:tc>
      </w:tr>
      <w:tr w:rsidR="00837A2D" w:rsidRPr="00F90B95" w:rsidTr="00FA5001">
        <w:trPr>
          <w:cantSplit/>
        </w:trPr>
        <w:tc>
          <w:tcPr>
            <w:tcW w:w="5000" w:type="pct"/>
            <w:gridSpan w:val="3"/>
            <w:tcMar>
              <w:left w:w="28" w:type="dxa"/>
              <w:right w:w="28" w:type="dxa"/>
            </w:tcMar>
          </w:tcPr>
          <w:p w:rsidR="00837A2D" w:rsidRPr="00F90B95" w:rsidRDefault="00837A2D" w:rsidP="00F04CC3">
            <w:pPr>
              <w:pStyle w:val="Tabletext"/>
              <w:keepNext/>
              <w:rPr>
                <w:b/>
              </w:rPr>
            </w:pPr>
            <w:r w:rsidRPr="00F90B95">
              <w:rPr>
                <w:b/>
              </w:rPr>
              <w:t xml:space="preserve">Proposed medicine: </w:t>
            </w:r>
            <w:r w:rsidR="00F04CC3" w:rsidRPr="00F90B95">
              <w:rPr>
                <w:b/>
              </w:rPr>
              <w:t>p</w:t>
            </w:r>
            <w:r w:rsidRPr="00F90B95">
              <w:rPr>
                <w:b/>
              </w:rPr>
              <w:t>embrolizumab</w:t>
            </w:r>
          </w:p>
        </w:tc>
      </w:tr>
      <w:tr w:rsidR="00837A2D" w:rsidRPr="00F90B95" w:rsidTr="00FF79F9">
        <w:trPr>
          <w:cantSplit/>
          <w:trHeight w:val="4687"/>
        </w:trPr>
        <w:tc>
          <w:tcPr>
            <w:tcW w:w="718" w:type="pct"/>
            <w:tcBorders>
              <w:bottom w:val="single" w:sz="4" w:space="0" w:color="auto"/>
            </w:tcBorders>
            <w:tcMar>
              <w:left w:w="28" w:type="dxa"/>
              <w:right w:w="28" w:type="dxa"/>
            </w:tcMar>
          </w:tcPr>
          <w:p w:rsidR="00837A2D" w:rsidRPr="00F90B95" w:rsidRDefault="00837A2D" w:rsidP="008A5A7F">
            <w:pPr>
              <w:pStyle w:val="Tabletext"/>
              <w:keepNext/>
              <w:rPr>
                <w:rFonts w:ascii="Times" w:hAnsi="Times"/>
              </w:rPr>
            </w:pPr>
            <w:r w:rsidRPr="00F90B95">
              <w:t>KN164</w:t>
            </w:r>
          </w:p>
        </w:tc>
        <w:tc>
          <w:tcPr>
            <w:tcW w:w="3222" w:type="pct"/>
            <w:tcBorders>
              <w:bottom w:val="single" w:sz="4" w:space="0" w:color="auto"/>
            </w:tcBorders>
            <w:tcMar>
              <w:left w:w="28" w:type="dxa"/>
              <w:right w:w="28" w:type="dxa"/>
            </w:tcMar>
          </w:tcPr>
          <w:p w:rsidR="00837A2D" w:rsidRPr="00F90B95" w:rsidRDefault="00837A2D" w:rsidP="008A5A7F">
            <w:pPr>
              <w:pStyle w:val="Tabletext"/>
              <w:keepNext/>
              <w:rPr>
                <w:szCs w:val="18"/>
              </w:rPr>
            </w:pPr>
            <w:r w:rsidRPr="00F90B95">
              <w:rPr>
                <w:szCs w:val="18"/>
              </w:rPr>
              <w:t>Clinical Study Report P164V02MK3475: A Phase II Study of Pembrolizumab (MK-3475) as Monotherapy in Subjects With Previously Treated Locally Advanced Unresectable or Metastatic (Stage IV) Mismatched Repair Deficient or Microsatellite Instability-High Colorectal Carcinoma (KEYNOTE-164).</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 xml:space="preserve">Dung T. Le, Petr </w:t>
            </w:r>
            <w:proofErr w:type="spellStart"/>
            <w:r w:rsidRPr="00F90B95">
              <w:rPr>
                <w:szCs w:val="18"/>
                <w:lang w:eastAsia="en-AU"/>
              </w:rPr>
              <w:t>Kavan</w:t>
            </w:r>
            <w:proofErr w:type="spellEnd"/>
            <w:r w:rsidRPr="00F90B95">
              <w:rPr>
                <w:szCs w:val="18"/>
                <w:lang w:eastAsia="en-AU"/>
              </w:rPr>
              <w:t xml:space="preserve">, Tae Won Kim, et al. KEYNOTE-164: Pembrolizumab for patients with advanced microsatellite instability </w:t>
            </w:r>
            <w:r w:rsidR="00DE651B" w:rsidRPr="00F90B95">
              <w:rPr>
                <w:szCs w:val="18"/>
                <w:lang w:eastAsia="en-AU"/>
              </w:rPr>
              <w:t>high (MSI-H) colorectal cancer.</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 xml:space="preserve">Dung T. Le, Takayuki Yoshino, Dirk </w:t>
            </w:r>
            <w:proofErr w:type="spellStart"/>
            <w:r w:rsidRPr="00F90B95">
              <w:rPr>
                <w:szCs w:val="18"/>
                <w:lang w:eastAsia="en-AU"/>
              </w:rPr>
              <w:t>Jäger</w:t>
            </w:r>
            <w:proofErr w:type="spellEnd"/>
            <w:r w:rsidRPr="00F90B95">
              <w:rPr>
                <w:szCs w:val="18"/>
                <w:lang w:eastAsia="en-AU"/>
              </w:rPr>
              <w:t>, et al. KEYNOTE-164: Phase II study of pembrolizumab (MK-3475) for patients with previously treated, microsatellite instability-high advanced colorectal carcinoma.</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 xml:space="preserve">Diaz L, A, </w:t>
            </w:r>
            <w:proofErr w:type="spellStart"/>
            <w:r w:rsidRPr="00F90B95">
              <w:rPr>
                <w:szCs w:val="18"/>
                <w:lang w:eastAsia="en-AU"/>
              </w:rPr>
              <w:t>Marabelle</w:t>
            </w:r>
            <w:proofErr w:type="spellEnd"/>
            <w:r w:rsidRPr="00F90B95">
              <w:rPr>
                <w:szCs w:val="18"/>
                <w:lang w:eastAsia="en-AU"/>
              </w:rPr>
              <w:t xml:space="preserve"> A, </w:t>
            </w:r>
            <w:proofErr w:type="spellStart"/>
            <w:r w:rsidRPr="00F90B95">
              <w:rPr>
                <w:szCs w:val="18"/>
                <w:lang w:eastAsia="en-AU"/>
              </w:rPr>
              <w:t>Delord</w:t>
            </w:r>
            <w:proofErr w:type="spellEnd"/>
            <w:r w:rsidRPr="00F90B95">
              <w:rPr>
                <w:szCs w:val="18"/>
                <w:lang w:eastAsia="en-AU"/>
              </w:rPr>
              <w:t xml:space="preserve"> JP, et al. Pembrolizumab therapy for microsatellite instability high (MSI-H) colorectal cancer (CRC) and non </w:t>
            </w:r>
            <w:r w:rsidR="00DE651B" w:rsidRPr="00F90B95">
              <w:rPr>
                <w:szCs w:val="18"/>
                <w:lang w:eastAsia="en-AU"/>
              </w:rPr>
              <w:t>–</w:t>
            </w:r>
            <w:r w:rsidRPr="00F90B95">
              <w:rPr>
                <w:szCs w:val="18"/>
                <w:lang w:eastAsia="en-AU"/>
              </w:rPr>
              <w:t>CRC</w:t>
            </w:r>
            <w:r w:rsidR="00DE651B" w:rsidRPr="00F90B95">
              <w:rPr>
                <w:szCs w:val="18"/>
                <w:lang w:eastAsia="en-AU"/>
              </w:rPr>
              <w:t>.</w:t>
            </w:r>
            <w:r w:rsidRPr="00F90B95">
              <w:rPr>
                <w:szCs w:val="18"/>
                <w:lang w:eastAsia="en-AU"/>
              </w:rPr>
              <w:t xml:space="preserve"> [abstract</w:t>
            </w:r>
            <w:r w:rsidR="00FA5001" w:rsidRPr="00F90B95">
              <w:rPr>
                <w:szCs w:val="18"/>
                <w:lang w:eastAsia="en-AU"/>
              </w:rPr>
              <w:t>]</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 xml:space="preserve">Diaz L, </w:t>
            </w:r>
            <w:proofErr w:type="spellStart"/>
            <w:r w:rsidRPr="00F90B95">
              <w:rPr>
                <w:szCs w:val="18"/>
                <w:lang w:eastAsia="en-AU"/>
              </w:rPr>
              <w:t>Marabelle</w:t>
            </w:r>
            <w:proofErr w:type="spellEnd"/>
            <w:r w:rsidRPr="00F90B95">
              <w:rPr>
                <w:szCs w:val="18"/>
                <w:lang w:eastAsia="en-AU"/>
              </w:rPr>
              <w:t xml:space="preserve"> A, Kim TW, et al. Efficacy of pembrolizumab in phase 2 KEYNOTE -164 and KEYNOTE- 158 studies of microsatellite instability high cancers.</w:t>
            </w:r>
          </w:p>
        </w:tc>
        <w:tc>
          <w:tcPr>
            <w:tcW w:w="1060" w:type="pct"/>
            <w:tcMar>
              <w:left w:w="28" w:type="dxa"/>
              <w:right w:w="28" w:type="dxa"/>
            </w:tcMar>
          </w:tcPr>
          <w:p w:rsidR="00837A2D" w:rsidRPr="00F90B95" w:rsidRDefault="00837A2D" w:rsidP="0044164E">
            <w:pPr>
              <w:pStyle w:val="Tabletext"/>
              <w:keepNext/>
              <w:spacing w:after="360"/>
              <w:rPr>
                <w:rFonts w:ascii="Times" w:hAnsi="Times"/>
              </w:rPr>
            </w:pPr>
            <w:r w:rsidRPr="00F90B95">
              <w:t>April 2018</w:t>
            </w:r>
          </w:p>
          <w:p w:rsidR="00837A2D" w:rsidRPr="00F90B95" w:rsidRDefault="00837A2D" w:rsidP="0044164E">
            <w:pPr>
              <w:pStyle w:val="Tabletext"/>
              <w:keepNext/>
              <w:spacing w:after="360"/>
              <w:rPr>
                <w:szCs w:val="18"/>
                <w:lang w:eastAsia="en-AU"/>
              </w:rPr>
            </w:pPr>
          </w:p>
          <w:p w:rsidR="00837A2D" w:rsidRPr="00F90B95" w:rsidRDefault="00837A2D" w:rsidP="0044164E">
            <w:pPr>
              <w:pStyle w:val="Tabletext"/>
              <w:keepNext/>
              <w:spacing w:after="360"/>
              <w:rPr>
                <w:szCs w:val="18"/>
                <w:lang w:eastAsia="en-AU"/>
              </w:rPr>
            </w:pPr>
            <w:r w:rsidRPr="00F90B95">
              <w:rPr>
                <w:szCs w:val="18"/>
                <w:lang w:eastAsia="en-AU"/>
              </w:rPr>
              <w:t>Journal of Clinical Oncology 2018; 36:15_suppl, 3514</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Journal of Clinical Oncology 2016; 34:4_suppl, TPS787-</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szCs w:val="18"/>
                <w:lang w:eastAsia="en-AU"/>
              </w:rPr>
            </w:pPr>
            <w:r w:rsidRPr="00F90B95">
              <w:rPr>
                <w:szCs w:val="18"/>
                <w:lang w:eastAsia="en-AU"/>
              </w:rPr>
              <w:t>Journal of Clinical Oncology 2017; (</w:t>
            </w:r>
            <w:proofErr w:type="spellStart"/>
            <w:r w:rsidRPr="00F90B95">
              <w:rPr>
                <w:szCs w:val="18"/>
                <w:lang w:eastAsia="en-AU"/>
              </w:rPr>
              <w:t>Suppl</w:t>
            </w:r>
            <w:proofErr w:type="spellEnd"/>
            <w:r w:rsidRPr="00F90B95">
              <w:rPr>
                <w:szCs w:val="18"/>
                <w:lang w:eastAsia="en-AU"/>
              </w:rPr>
              <w:t xml:space="preserve"> 15): Abstract no. 3071.</w:t>
            </w:r>
          </w:p>
          <w:p w:rsidR="00837A2D" w:rsidRPr="00F90B95" w:rsidRDefault="00837A2D" w:rsidP="008A5A7F">
            <w:pPr>
              <w:pStyle w:val="Tabletext"/>
              <w:keepNext/>
              <w:rPr>
                <w:szCs w:val="18"/>
                <w:lang w:eastAsia="en-AU"/>
              </w:rPr>
            </w:pPr>
          </w:p>
          <w:p w:rsidR="00837A2D" w:rsidRPr="00F90B95" w:rsidRDefault="00837A2D" w:rsidP="008A5A7F">
            <w:pPr>
              <w:pStyle w:val="Tabletext"/>
              <w:keepNext/>
              <w:rPr>
                <w:rFonts w:ascii="Times" w:hAnsi="Times"/>
              </w:rPr>
            </w:pPr>
            <w:r w:rsidRPr="00F90B95">
              <w:rPr>
                <w:szCs w:val="18"/>
                <w:lang w:eastAsia="en-AU"/>
              </w:rPr>
              <w:t>Annals of Oncology 2017; 28 (</w:t>
            </w:r>
            <w:proofErr w:type="spellStart"/>
            <w:r w:rsidRPr="00F90B95">
              <w:rPr>
                <w:szCs w:val="18"/>
                <w:lang w:eastAsia="en-AU"/>
              </w:rPr>
              <w:t>Suppl</w:t>
            </w:r>
            <w:proofErr w:type="spellEnd"/>
            <w:r w:rsidRPr="00F90B95">
              <w:rPr>
                <w:szCs w:val="18"/>
                <w:lang w:eastAsia="en-AU"/>
              </w:rPr>
              <w:t xml:space="preserve"> 5): 128-9:386P</w:t>
            </w:r>
          </w:p>
        </w:tc>
      </w:tr>
      <w:tr w:rsidR="00363B4F" w:rsidRPr="00F90B95" w:rsidTr="00FD257E">
        <w:trPr>
          <w:cantSplit/>
        </w:trPr>
        <w:tc>
          <w:tcPr>
            <w:tcW w:w="5000" w:type="pct"/>
            <w:gridSpan w:val="3"/>
            <w:tcMar>
              <w:left w:w="28" w:type="dxa"/>
              <w:right w:w="28" w:type="dxa"/>
            </w:tcMar>
          </w:tcPr>
          <w:p w:rsidR="00363B4F" w:rsidRPr="00F90B95" w:rsidRDefault="00363B4F" w:rsidP="00F04CC3">
            <w:pPr>
              <w:pStyle w:val="Tabletext"/>
              <w:keepNext/>
              <w:jc w:val="both"/>
              <w:rPr>
                <w:b/>
                <w:szCs w:val="18"/>
                <w:highlight w:val="yellow"/>
              </w:rPr>
            </w:pPr>
            <w:r w:rsidRPr="00F90B95">
              <w:rPr>
                <w:b/>
                <w:szCs w:val="18"/>
              </w:rPr>
              <w:t xml:space="preserve">Comparator: </w:t>
            </w:r>
            <w:r w:rsidR="00F04CC3" w:rsidRPr="00F90B95">
              <w:rPr>
                <w:b/>
                <w:szCs w:val="18"/>
              </w:rPr>
              <w:t>c</w:t>
            </w:r>
            <w:r w:rsidRPr="00F90B95">
              <w:rPr>
                <w:b/>
                <w:szCs w:val="18"/>
              </w:rPr>
              <w:t>hemotherapy (FOLFIRI)</w:t>
            </w:r>
          </w:p>
        </w:tc>
      </w:tr>
      <w:tr w:rsidR="00363B4F" w:rsidRPr="00F90B95" w:rsidTr="00FF79F9">
        <w:trPr>
          <w:cantSplit/>
        </w:trPr>
        <w:tc>
          <w:tcPr>
            <w:tcW w:w="718" w:type="pct"/>
            <w:tcMar>
              <w:left w:w="28" w:type="dxa"/>
              <w:right w:w="28" w:type="dxa"/>
            </w:tcMar>
          </w:tcPr>
          <w:p w:rsidR="00363B4F" w:rsidRPr="00F90B95" w:rsidRDefault="00363B4F" w:rsidP="008A5A7F">
            <w:pPr>
              <w:pStyle w:val="Tabletext"/>
              <w:keepNext/>
            </w:pPr>
            <w:proofErr w:type="spellStart"/>
            <w:r w:rsidRPr="00F90B95">
              <w:t>DaVINCI</w:t>
            </w:r>
            <w:proofErr w:type="spellEnd"/>
          </w:p>
        </w:tc>
        <w:tc>
          <w:tcPr>
            <w:tcW w:w="3222" w:type="pct"/>
            <w:tcMar>
              <w:left w:w="28" w:type="dxa"/>
              <w:right w:w="28" w:type="dxa"/>
            </w:tcMar>
          </w:tcPr>
          <w:p w:rsidR="00363B4F" w:rsidRPr="00F90B95" w:rsidRDefault="00363B4F" w:rsidP="008A5A7F">
            <w:pPr>
              <w:pStyle w:val="TableText0"/>
              <w:keepNext/>
            </w:pPr>
            <w:r w:rsidRPr="00F90B95">
              <w:t xml:space="preserve">Clarke SJ, Yip S, Brown C, van Hazel GA, et al on behalf of the Australasian Gastro - Intestinal Trials Group. Single-agent </w:t>
            </w:r>
            <w:proofErr w:type="spellStart"/>
            <w:r w:rsidRPr="00F90B95">
              <w:t>irinotecan</w:t>
            </w:r>
            <w:proofErr w:type="spellEnd"/>
            <w:r w:rsidRPr="00F90B95">
              <w:t xml:space="preserve"> or 5-fluorouracil and </w:t>
            </w:r>
            <w:proofErr w:type="spellStart"/>
            <w:r w:rsidRPr="00F90B95">
              <w:t>leucovorin</w:t>
            </w:r>
            <w:proofErr w:type="spellEnd"/>
            <w:r w:rsidRPr="00F90B95">
              <w:t xml:space="preserve"> (FOLFIRI) as second-line chemotherapy for advanced colorectal cancer; results of a randomised phase II stu</w:t>
            </w:r>
            <w:r w:rsidR="00DE651B" w:rsidRPr="00F90B95">
              <w:t>dy (</w:t>
            </w:r>
            <w:proofErr w:type="spellStart"/>
            <w:r w:rsidR="00DE651B" w:rsidRPr="00F90B95">
              <w:t>DaVINCI</w:t>
            </w:r>
            <w:proofErr w:type="spellEnd"/>
            <w:r w:rsidR="00DE651B" w:rsidRPr="00F90B95">
              <w:t>) and meta-analysis.</w:t>
            </w:r>
          </w:p>
        </w:tc>
        <w:tc>
          <w:tcPr>
            <w:tcW w:w="1060" w:type="pct"/>
            <w:tcMar>
              <w:left w:w="28" w:type="dxa"/>
              <w:right w:w="28" w:type="dxa"/>
            </w:tcMar>
          </w:tcPr>
          <w:p w:rsidR="00363B4F" w:rsidRPr="00F90B95" w:rsidRDefault="00363B4F" w:rsidP="008A5A7F">
            <w:pPr>
              <w:pStyle w:val="TableText0"/>
              <w:keepNext/>
            </w:pPr>
            <w:r w:rsidRPr="00F90B95">
              <w:t>European Journal of Cancer 2011</w:t>
            </w:r>
            <w:proofErr w:type="gramStart"/>
            <w:r w:rsidRPr="00F90B95">
              <w:t>;47</w:t>
            </w:r>
            <w:proofErr w:type="gramEnd"/>
            <w:r w:rsidRPr="00F90B95">
              <w:t>(12):1826–36</w:t>
            </w:r>
            <w:r w:rsidR="00A407BB" w:rsidRPr="00F90B95">
              <w:t>.</w:t>
            </w:r>
          </w:p>
        </w:tc>
      </w:tr>
      <w:tr w:rsidR="00363B4F" w:rsidRPr="00F90B95" w:rsidTr="00FF79F9">
        <w:trPr>
          <w:cantSplit/>
        </w:trPr>
        <w:tc>
          <w:tcPr>
            <w:tcW w:w="718" w:type="pct"/>
            <w:tcMar>
              <w:left w:w="28" w:type="dxa"/>
              <w:right w:w="28" w:type="dxa"/>
            </w:tcMar>
          </w:tcPr>
          <w:p w:rsidR="00363B4F" w:rsidRPr="00F90B95" w:rsidRDefault="00363B4F" w:rsidP="008A5A7F">
            <w:pPr>
              <w:pStyle w:val="Tabletext"/>
              <w:keepNext/>
            </w:pPr>
            <w:r w:rsidRPr="00F90B95">
              <w:t>GERCOR</w:t>
            </w:r>
          </w:p>
        </w:tc>
        <w:tc>
          <w:tcPr>
            <w:tcW w:w="3222" w:type="pct"/>
            <w:tcMar>
              <w:left w:w="28" w:type="dxa"/>
              <w:right w:w="28" w:type="dxa"/>
            </w:tcMar>
          </w:tcPr>
          <w:p w:rsidR="00363B4F" w:rsidRPr="00F90B95" w:rsidRDefault="00363B4F" w:rsidP="008A5A7F">
            <w:pPr>
              <w:pStyle w:val="TableText0"/>
              <w:keepNext/>
            </w:pPr>
            <w:proofErr w:type="spellStart"/>
            <w:r w:rsidRPr="00F90B95">
              <w:t>Tournigand</w:t>
            </w:r>
            <w:proofErr w:type="spellEnd"/>
            <w:r w:rsidRPr="00F90B95">
              <w:t xml:space="preserve"> C, Andre T, </w:t>
            </w:r>
            <w:proofErr w:type="spellStart"/>
            <w:r w:rsidRPr="00F90B95">
              <w:t>Achille</w:t>
            </w:r>
            <w:proofErr w:type="spellEnd"/>
            <w:r w:rsidRPr="00F90B95">
              <w:t xml:space="preserve"> E, et al. FOLFIRI Followed by FOLFOX6 or the Reverse Sequence in Advanced Colorectal Ca</w:t>
            </w:r>
            <w:r w:rsidR="00DE651B" w:rsidRPr="00F90B95">
              <w:t>ncer: A Randomized GERCOR Study.</w:t>
            </w:r>
          </w:p>
        </w:tc>
        <w:tc>
          <w:tcPr>
            <w:tcW w:w="1060" w:type="pct"/>
            <w:tcMar>
              <w:left w:w="28" w:type="dxa"/>
              <w:right w:w="28" w:type="dxa"/>
            </w:tcMar>
          </w:tcPr>
          <w:p w:rsidR="00363B4F" w:rsidRPr="00F90B95" w:rsidRDefault="00363B4F" w:rsidP="008A5A7F">
            <w:pPr>
              <w:pStyle w:val="TableText0"/>
              <w:keepNext/>
            </w:pPr>
            <w:r w:rsidRPr="00F90B95">
              <w:t>Journal of Clinical</w:t>
            </w:r>
            <w:r w:rsidR="00A407BB" w:rsidRPr="00F90B95">
              <w:t xml:space="preserve"> Oncology 2004; 22(2), 229-237.</w:t>
            </w:r>
          </w:p>
        </w:tc>
      </w:tr>
      <w:tr w:rsidR="00363B4F" w:rsidRPr="00F90B95" w:rsidTr="00FF79F9">
        <w:trPr>
          <w:cantSplit/>
        </w:trPr>
        <w:tc>
          <w:tcPr>
            <w:tcW w:w="718" w:type="pct"/>
            <w:tcMar>
              <w:left w:w="28" w:type="dxa"/>
              <w:right w:w="28" w:type="dxa"/>
            </w:tcMar>
          </w:tcPr>
          <w:p w:rsidR="00363B4F" w:rsidRPr="00F90B95" w:rsidRDefault="00363B4F" w:rsidP="008A5A7F">
            <w:pPr>
              <w:pStyle w:val="Tabletext"/>
              <w:keepNext/>
            </w:pPr>
            <w:r w:rsidRPr="00F90B95">
              <w:t>FLIGHT 2</w:t>
            </w:r>
          </w:p>
        </w:tc>
        <w:tc>
          <w:tcPr>
            <w:tcW w:w="3222" w:type="pct"/>
            <w:tcMar>
              <w:left w:w="28" w:type="dxa"/>
              <w:right w:w="28" w:type="dxa"/>
            </w:tcMar>
          </w:tcPr>
          <w:p w:rsidR="00363B4F" w:rsidRPr="00F90B95" w:rsidRDefault="00363B4F" w:rsidP="008A5A7F">
            <w:pPr>
              <w:pStyle w:val="TableText0"/>
              <w:keepNext/>
            </w:pPr>
            <w:r w:rsidRPr="00F90B95">
              <w:t>Hirata K, Nagata N, Kato T, et al. Prospective phase II trial of second-line FOLFIRI in patients with advanced colorectal cancer including analysis of UGT1A1</w:t>
            </w:r>
            <w:r w:rsidR="00DE651B" w:rsidRPr="00F90B95">
              <w:t xml:space="preserve"> polymorphisms: FLIGHT 2 study.</w:t>
            </w:r>
          </w:p>
        </w:tc>
        <w:tc>
          <w:tcPr>
            <w:tcW w:w="1060" w:type="pct"/>
            <w:tcMar>
              <w:left w:w="28" w:type="dxa"/>
              <w:right w:w="28" w:type="dxa"/>
            </w:tcMar>
          </w:tcPr>
          <w:p w:rsidR="00363B4F" w:rsidRPr="00F90B95" w:rsidRDefault="00363B4F" w:rsidP="008A5A7F">
            <w:pPr>
              <w:pStyle w:val="TableText0"/>
              <w:keepNext/>
            </w:pPr>
            <w:r w:rsidRPr="00F90B95">
              <w:t>Anticancer research 2014; 34 (1)</w:t>
            </w:r>
            <w:proofErr w:type="gramStart"/>
            <w:r w:rsidRPr="00F90B95">
              <w:t>,195</w:t>
            </w:r>
            <w:proofErr w:type="gramEnd"/>
            <w:r w:rsidRPr="00F90B95">
              <w:t>-201</w:t>
            </w:r>
            <w:r w:rsidR="00A407BB" w:rsidRPr="00F90B95">
              <w:t>.</w:t>
            </w:r>
          </w:p>
        </w:tc>
      </w:tr>
      <w:tr w:rsidR="00363B4F" w:rsidRPr="00F90B95" w:rsidTr="00FF79F9">
        <w:trPr>
          <w:cantSplit/>
        </w:trPr>
        <w:tc>
          <w:tcPr>
            <w:tcW w:w="718" w:type="pct"/>
            <w:tcMar>
              <w:left w:w="28" w:type="dxa"/>
              <w:right w:w="28" w:type="dxa"/>
            </w:tcMar>
          </w:tcPr>
          <w:p w:rsidR="00363B4F" w:rsidRPr="00F90B95" w:rsidRDefault="00363B4F" w:rsidP="008A5A7F">
            <w:pPr>
              <w:pStyle w:val="Tabletext"/>
              <w:keepNext/>
            </w:pPr>
            <w:r w:rsidRPr="00F90B95">
              <w:t>VELOUR</w:t>
            </w:r>
          </w:p>
        </w:tc>
        <w:tc>
          <w:tcPr>
            <w:tcW w:w="3222" w:type="pct"/>
            <w:tcMar>
              <w:left w:w="28" w:type="dxa"/>
              <w:right w:w="28" w:type="dxa"/>
            </w:tcMar>
          </w:tcPr>
          <w:p w:rsidR="00363B4F" w:rsidRPr="00F90B95" w:rsidRDefault="00363B4F" w:rsidP="008A5A7F">
            <w:pPr>
              <w:pStyle w:val="TableText0"/>
              <w:keepNext/>
            </w:pPr>
            <w:r w:rsidRPr="00F90B95">
              <w:t xml:space="preserve">Van </w:t>
            </w:r>
            <w:proofErr w:type="spellStart"/>
            <w:r w:rsidRPr="00F90B95">
              <w:t>Cutsem</w:t>
            </w:r>
            <w:proofErr w:type="spellEnd"/>
            <w:r w:rsidRPr="00F90B95">
              <w:t xml:space="preserve"> E, </w:t>
            </w:r>
            <w:proofErr w:type="spellStart"/>
            <w:r w:rsidRPr="00F90B95">
              <w:t>Tabernero</w:t>
            </w:r>
            <w:proofErr w:type="spellEnd"/>
            <w:r w:rsidRPr="00F90B95">
              <w:t xml:space="preserve"> J, </w:t>
            </w:r>
            <w:proofErr w:type="spellStart"/>
            <w:r w:rsidRPr="00F90B95">
              <w:t>Lakomy</w:t>
            </w:r>
            <w:proofErr w:type="spellEnd"/>
            <w:r w:rsidRPr="00F90B95">
              <w:t xml:space="preserve"> R, et al. Addition of </w:t>
            </w:r>
            <w:proofErr w:type="spellStart"/>
            <w:r w:rsidRPr="00F90B95">
              <w:t>aflibercept</w:t>
            </w:r>
            <w:proofErr w:type="spellEnd"/>
            <w:r w:rsidRPr="00F90B95">
              <w:t xml:space="preserve"> to fluorouracil, </w:t>
            </w:r>
            <w:proofErr w:type="spellStart"/>
            <w:r w:rsidRPr="00F90B95">
              <w:t>leucovorin</w:t>
            </w:r>
            <w:proofErr w:type="spellEnd"/>
            <w:r w:rsidRPr="00F90B95">
              <w:t xml:space="preserve">, and </w:t>
            </w:r>
            <w:proofErr w:type="spellStart"/>
            <w:r w:rsidRPr="00F90B95">
              <w:t>irinotecan</w:t>
            </w:r>
            <w:proofErr w:type="spellEnd"/>
            <w:r w:rsidRPr="00F90B95">
              <w:t xml:space="preserve"> improves survival in a phase III randomized trial in patients with metastatic colorectal cancer previously treated wit</w:t>
            </w:r>
            <w:r w:rsidR="00DE651B" w:rsidRPr="00F90B95">
              <w:t xml:space="preserve">h an </w:t>
            </w:r>
            <w:proofErr w:type="spellStart"/>
            <w:r w:rsidR="00DE651B" w:rsidRPr="00F90B95">
              <w:t>oxaliplatin</w:t>
            </w:r>
            <w:proofErr w:type="spellEnd"/>
            <w:r w:rsidR="00DE651B" w:rsidRPr="00F90B95">
              <w:t>-based regimen.</w:t>
            </w:r>
          </w:p>
        </w:tc>
        <w:tc>
          <w:tcPr>
            <w:tcW w:w="1060" w:type="pct"/>
            <w:tcMar>
              <w:left w:w="28" w:type="dxa"/>
              <w:right w:w="28" w:type="dxa"/>
            </w:tcMar>
          </w:tcPr>
          <w:p w:rsidR="00363B4F" w:rsidRPr="00F90B95" w:rsidRDefault="00363B4F" w:rsidP="008A5A7F">
            <w:pPr>
              <w:pStyle w:val="TableText0"/>
              <w:keepNext/>
            </w:pPr>
            <w:r w:rsidRPr="00F90B95">
              <w:t>Journal of Clinical Oncology 2012; 1</w:t>
            </w:r>
            <w:proofErr w:type="gramStart"/>
            <w:r w:rsidRPr="00F90B95">
              <w:t>;30</w:t>
            </w:r>
            <w:proofErr w:type="gramEnd"/>
            <w:r w:rsidRPr="00F90B95">
              <w:t>(28):3499-506.</w:t>
            </w:r>
          </w:p>
        </w:tc>
      </w:tr>
      <w:tr w:rsidR="00363B4F" w:rsidRPr="00F90B95" w:rsidTr="00FF79F9">
        <w:trPr>
          <w:cantSplit/>
        </w:trPr>
        <w:tc>
          <w:tcPr>
            <w:tcW w:w="718" w:type="pct"/>
            <w:tcMar>
              <w:left w:w="28" w:type="dxa"/>
              <w:right w:w="28" w:type="dxa"/>
            </w:tcMar>
          </w:tcPr>
          <w:p w:rsidR="00363B4F" w:rsidRPr="00F90B95" w:rsidRDefault="00363B4F" w:rsidP="008A5A7F">
            <w:pPr>
              <w:pStyle w:val="Tabletext"/>
              <w:keepNext/>
            </w:pPr>
            <w:proofErr w:type="spellStart"/>
            <w:r w:rsidRPr="00F90B95">
              <w:t>Sanoff</w:t>
            </w:r>
            <w:proofErr w:type="spellEnd"/>
            <w:r w:rsidRPr="00F90B95">
              <w:t xml:space="preserve"> 2018</w:t>
            </w:r>
          </w:p>
        </w:tc>
        <w:tc>
          <w:tcPr>
            <w:tcW w:w="3222" w:type="pct"/>
            <w:tcMar>
              <w:left w:w="28" w:type="dxa"/>
              <w:right w:w="28" w:type="dxa"/>
            </w:tcMar>
          </w:tcPr>
          <w:p w:rsidR="00363B4F" w:rsidRPr="00F90B95" w:rsidRDefault="00363B4F" w:rsidP="008A5A7F">
            <w:pPr>
              <w:pStyle w:val="TableText0"/>
              <w:keepNext/>
            </w:pPr>
            <w:proofErr w:type="spellStart"/>
            <w:r w:rsidRPr="00F90B95">
              <w:t>Sanoff</w:t>
            </w:r>
            <w:proofErr w:type="spellEnd"/>
            <w:r w:rsidRPr="00F90B95">
              <w:t xml:space="preserve"> K, Goldberg M, </w:t>
            </w:r>
            <w:proofErr w:type="spellStart"/>
            <w:r w:rsidRPr="00F90B95">
              <w:t>Ivanova</w:t>
            </w:r>
            <w:proofErr w:type="spellEnd"/>
            <w:r w:rsidRPr="00F90B95">
              <w:t xml:space="preserve"> A, et al. </w:t>
            </w:r>
            <w:proofErr w:type="spellStart"/>
            <w:r w:rsidRPr="00F90B95">
              <w:t>Multicenter</w:t>
            </w:r>
            <w:proofErr w:type="spellEnd"/>
            <w:r w:rsidRPr="00F90B95">
              <w:t xml:space="preserve">, randomized, double-blind phase 2 trial of FOLFIRI with </w:t>
            </w:r>
            <w:proofErr w:type="spellStart"/>
            <w:r w:rsidRPr="00F90B95">
              <w:t>regorafenib</w:t>
            </w:r>
            <w:proofErr w:type="spellEnd"/>
            <w:r w:rsidRPr="00F90B95">
              <w:t xml:space="preserve"> or placebo as second-line therapy fo</w:t>
            </w:r>
            <w:r w:rsidR="00DE651B" w:rsidRPr="00F90B95">
              <w:t>r metastatic colorectal cancer.</w:t>
            </w:r>
          </w:p>
        </w:tc>
        <w:tc>
          <w:tcPr>
            <w:tcW w:w="1060" w:type="pct"/>
            <w:tcMar>
              <w:left w:w="28" w:type="dxa"/>
              <w:right w:w="28" w:type="dxa"/>
            </w:tcMar>
          </w:tcPr>
          <w:p w:rsidR="00363B4F" w:rsidRPr="00F90B95" w:rsidRDefault="00363B4F" w:rsidP="008A5A7F">
            <w:pPr>
              <w:pStyle w:val="TableText0"/>
              <w:keepNext/>
            </w:pPr>
            <w:r w:rsidRPr="00F90B95">
              <w:t>Cancer 2018; 124(15), 3118-3126.</w:t>
            </w:r>
          </w:p>
        </w:tc>
      </w:tr>
      <w:tr w:rsidR="00363B4F" w:rsidRPr="00F90B95" w:rsidTr="00FD257E">
        <w:trPr>
          <w:cantSplit/>
        </w:trPr>
        <w:tc>
          <w:tcPr>
            <w:tcW w:w="5000" w:type="pct"/>
            <w:gridSpan w:val="3"/>
            <w:tcMar>
              <w:left w:w="28" w:type="dxa"/>
              <w:right w:w="28" w:type="dxa"/>
            </w:tcMar>
          </w:tcPr>
          <w:p w:rsidR="00363B4F" w:rsidRPr="00F90B95" w:rsidRDefault="00F04CC3" w:rsidP="00FD257E">
            <w:pPr>
              <w:pStyle w:val="Tabletext"/>
              <w:jc w:val="both"/>
              <w:rPr>
                <w:b/>
                <w:szCs w:val="18"/>
                <w:highlight w:val="yellow"/>
              </w:rPr>
            </w:pPr>
            <w:r w:rsidRPr="00F90B95">
              <w:rPr>
                <w:b/>
              </w:rPr>
              <w:t xml:space="preserve">Comparator: </w:t>
            </w:r>
            <w:proofErr w:type="spellStart"/>
            <w:r w:rsidRPr="00F90B95">
              <w:rPr>
                <w:b/>
              </w:rPr>
              <w:t>c</w:t>
            </w:r>
            <w:r w:rsidR="00363B4F" w:rsidRPr="00F90B95">
              <w:rPr>
                <w:b/>
              </w:rPr>
              <w:t>etuximab</w:t>
            </w:r>
            <w:proofErr w:type="spellEnd"/>
            <w:r w:rsidR="00363B4F" w:rsidRPr="00F90B95">
              <w:rPr>
                <w:b/>
              </w:rPr>
              <w:t xml:space="preserve"> + chemotherapy</w:t>
            </w:r>
          </w:p>
        </w:tc>
      </w:tr>
      <w:tr w:rsidR="00363B4F" w:rsidRPr="00F90B95" w:rsidTr="00FF79F9">
        <w:trPr>
          <w:cantSplit/>
        </w:trPr>
        <w:tc>
          <w:tcPr>
            <w:tcW w:w="718" w:type="pct"/>
            <w:tcMar>
              <w:left w:w="28" w:type="dxa"/>
              <w:right w:w="28" w:type="dxa"/>
            </w:tcMar>
          </w:tcPr>
          <w:p w:rsidR="00363B4F" w:rsidRPr="00F90B95" w:rsidRDefault="00363B4F" w:rsidP="00FD257E">
            <w:pPr>
              <w:pStyle w:val="Tabletext"/>
              <w:rPr>
                <w:highlight w:val="yellow"/>
              </w:rPr>
            </w:pPr>
            <w:r w:rsidRPr="00F90B95">
              <w:t>CAPRI-GOIM</w:t>
            </w:r>
          </w:p>
        </w:tc>
        <w:tc>
          <w:tcPr>
            <w:tcW w:w="3222" w:type="pct"/>
            <w:tcMar>
              <w:left w:w="28" w:type="dxa"/>
              <w:right w:w="28" w:type="dxa"/>
            </w:tcMar>
          </w:tcPr>
          <w:p w:rsidR="00363B4F" w:rsidRPr="00F90B95" w:rsidRDefault="00363B4F" w:rsidP="00FD257E">
            <w:pPr>
              <w:pStyle w:val="Tabletext"/>
              <w:rPr>
                <w:szCs w:val="18"/>
                <w:highlight w:val="yellow"/>
              </w:rPr>
            </w:pPr>
            <w:proofErr w:type="spellStart"/>
            <w:r w:rsidRPr="00F90B95">
              <w:rPr>
                <w:szCs w:val="18"/>
              </w:rPr>
              <w:t>Ciardiello</w:t>
            </w:r>
            <w:proofErr w:type="spellEnd"/>
            <w:r w:rsidRPr="00F90B95">
              <w:rPr>
                <w:szCs w:val="18"/>
              </w:rPr>
              <w:t xml:space="preserve"> F, </w:t>
            </w:r>
            <w:proofErr w:type="spellStart"/>
            <w:r w:rsidRPr="00F90B95">
              <w:rPr>
                <w:szCs w:val="18"/>
              </w:rPr>
              <w:t>Normanno</w:t>
            </w:r>
            <w:proofErr w:type="spellEnd"/>
            <w:r w:rsidRPr="00F90B95">
              <w:rPr>
                <w:szCs w:val="18"/>
              </w:rPr>
              <w:t xml:space="preserve"> N, </w:t>
            </w:r>
            <w:proofErr w:type="spellStart"/>
            <w:r w:rsidRPr="00F90B95">
              <w:rPr>
                <w:szCs w:val="18"/>
              </w:rPr>
              <w:t>Martinelli</w:t>
            </w:r>
            <w:proofErr w:type="spellEnd"/>
            <w:r w:rsidRPr="00F90B95">
              <w:rPr>
                <w:szCs w:val="18"/>
              </w:rPr>
              <w:t xml:space="preserve"> E, et al. </w:t>
            </w:r>
            <w:proofErr w:type="spellStart"/>
            <w:r w:rsidRPr="00F90B95">
              <w:rPr>
                <w:szCs w:val="18"/>
              </w:rPr>
              <w:t>Cetuximab</w:t>
            </w:r>
            <w:proofErr w:type="spellEnd"/>
            <w:r w:rsidRPr="00F90B95">
              <w:rPr>
                <w:szCs w:val="18"/>
              </w:rPr>
              <w:t xml:space="preserve"> continuation after first progression in metastatic colorectal cancer (CAPRI-GOIM): a randomized phase II trial of FOLFO</w:t>
            </w:r>
            <w:r w:rsidR="00DE651B" w:rsidRPr="00F90B95">
              <w:rPr>
                <w:szCs w:val="18"/>
              </w:rPr>
              <w:t xml:space="preserve">X plus </w:t>
            </w:r>
            <w:proofErr w:type="spellStart"/>
            <w:r w:rsidR="00DE651B" w:rsidRPr="00F90B95">
              <w:rPr>
                <w:szCs w:val="18"/>
              </w:rPr>
              <w:t>cetuximab</w:t>
            </w:r>
            <w:proofErr w:type="spellEnd"/>
            <w:r w:rsidR="00DE651B" w:rsidRPr="00F90B95">
              <w:rPr>
                <w:szCs w:val="18"/>
              </w:rPr>
              <w:t xml:space="preserve"> versus FOLFOX.</w:t>
            </w:r>
          </w:p>
        </w:tc>
        <w:tc>
          <w:tcPr>
            <w:tcW w:w="1060" w:type="pct"/>
            <w:tcMar>
              <w:left w:w="28" w:type="dxa"/>
              <w:right w:w="28" w:type="dxa"/>
            </w:tcMar>
          </w:tcPr>
          <w:p w:rsidR="00363B4F" w:rsidRPr="00F90B95" w:rsidRDefault="00363B4F" w:rsidP="00FD257E">
            <w:pPr>
              <w:pStyle w:val="Tabletext"/>
              <w:rPr>
                <w:szCs w:val="18"/>
              </w:rPr>
            </w:pPr>
            <w:r w:rsidRPr="00F90B95">
              <w:rPr>
                <w:szCs w:val="18"/>
              </w:rPr>
              <w:t>Annals of Oncology 2</w:t>
            </w:r>
            <w:r w:rsidR="00DE651B" w:rsidRPr="00F90B95">
              <w:rPr>
                <w:szCs w:val="18"/>
              </w:rPr>
              <w:t>016; 27, (6)</w:t>
            </w:r>
            <w:proofErr w:type="gramStart"/>
            <w:r w:rsidR="00DE651B" w:rsidRPr="00F90B95">
              <w:rPr>
                <w:szCs w:val="18"/>
              </w:rPr>
              <w:t>,1055</w:t>
            </w:r>
            <w:proofErr w:type="gramEnd"/>
            <w:r w:rsidR="00DE651B" w:rsidRPr="00F90B95">
              <w:rPr>
                <w:szCs w:val="18"/>
              </w:rPr>
              <w:t>–</w:t>
            </w:r>
            <w:r w:rsidRPr="00F90B95">
              <w:rPr>
                <w:szCs w:val="18"/>
              </w:rPr>
              <w:t>61</w:t>
            </w:r>
            <w:r w:rsidR="00DE651B" w:rsidRPr="00F90B95">
              <w:rPr>
                <w:szCs w:val="18"/>
              </w:rPr>
              <w:t>.</w:t>
            </w:r>
          </w:p>
        </w:tc>
      </w:tr>
      <w:tr w:rsidR="00FA5001" w:rsidRPr="00F90B95" w:rsidTr="00FA5001">
        <w:trPr>
          <w:cantSplit/>
        </w:trPr>
        <w:tc>
          <w:tcPr>
            <w:tcW w:w="5000" w:type="pct"/>
            <w:gridSpan w:val="3"/>
            <w:tcMar>
              <w:left w:w="28" w:type="dxa"/>
              <w:right w:w="28" w:type="dxa"/>
            </w:tcMar>
          </w:tcPr>
          <w:p w:rsidR="00FA5001" w:rsidRPr="00F90B95" w:rsidRDefault="00F04CC3" w:rsidP="00837A2D">
            <w:pPr>
              <w:pStyle w:val="Tabletext"/>
              <w:rPr>
                <w:szCs w:val="18"/>
                <w:lang w:eastAsia="en-AU"/>
              </w:rPr>
            </w:pPr>
            <w:r w:rsidRPr="00F90B95">
              <w:rPr>
                <w:b/>
              </w:rPr>
              <w:t>Comparator: b</w:t>
            </w:r>
            <w:r w:rsidR="00363B4F" w:rsidRPr="00F90B95">
              <w:rPr>
                <w:b/>
              </w:rPr>
              <w:t>evacizumab + c</w:t>
            </w:r>
            <w:r w:rsidR="00A407BB" w:rsidRPr="00F90B95">
              <w:rPr>
                <w:b/>
              </w:rPr>
              <w:t>hemotherapy</w:t>
            </w:r>
          </w:p>
        </w:tc>
      </w:tr>
      <w:tr w:rsidR="00837A2D" w:rsidRPr="00F90B95" w:rsidTr="00FF79F9">
        <w:trPr>
          <w:cantSplit/>
        </w:trPr>
        <w:tc>
          <w:tcPr>
            <w:tcW w:w="718" w:type="pct"/>
            <w:tcMar>
              <w:left w:w="28" w:type="dxa"/>
              <w:right w:w="28" w:type="dxa"/>
            </w:tcMar>
          </w:tcPr>
          <w:p w:rsidR="00837A2D" w:rsidRPr="00F90B95" w:rsidRDefault="00837A2D" w:rsidP="00E2393D">
            <w:pPr>
              <w:pStyle w:val="Tabletext"/>
            </w:pPr>
            <w:proofErr w:type="spellStart"/>
            <w:r w:rsidRPr="00F90B95">
              <w:t>Tournigand</w:t>
            </w:r>
            <w:proofErr w:type="spellEnd"/>
          </w:p>
        </w:tc>
        <w:tc>
          <w:tcPr>
            <w:tcW w:w="3222" w:type="pct"/>
            <w:tcMar>
              <w:left w:w="28" w:type="dxa"/>
              <w:right w:w="28" w:type="dxa"/>
            </w:tcMar>
          </w:tcPr>
          <w:p w:rsidR="00837A2D" w:rsidRPr="00F90B95" w:rsidRDefault="00837A2D" w:rsidP="00837A2D">
            <w:pPr>
              <w:pStyle w:val="Tabletext"/>
              <w:rPr>
                <w:szCs w:val="18"/>
                <w:lang w:eastAsia="en-AU"/>
              </w:rPr>
            </w:pPr>
            <w:proofErr w:type="spellStart"/>
            <w:r w:rsidRPr="00F90B95">
              <w:rPr>
                <w:szCs w:val="18"/>
                <w:lang w:eastAsia="en-AU"/>
              </w:rPr>
              <w:t>Bendell</w:t>
            </w:r>
            <w:proofErr w:type="spellEnd"/>
            <w:r w:rsidRPr="00F90B95">
              <w:rPr>
                <w:szCs w:val="18"/>
                <w:lang w:eastAsia="en-AU"/>
              </w:rPr>
              <w:t xml:space="preserve"> C, Johanna C, Christophe T, et al. </w:t>
            </w:r>
            <w:proofErr w:type="spellStart"/>
            <w:r w:rsidRPr="00F90B95">
              <w:rPr>
                <w:szCs w:val="18"/>
                <w:lang w:eastAsia="en-AU"/>
              </w:rPr>
              <w:t>Axitinib</w:t>
            </w:r>
            <w:proofErr w:type="spellEnd"/>
            <w:r w:rsidRPr="00F90B95">
              <w:rPr>
                <w:szCs w:val="18"/>
                <w:lang w:eastAsia="en-AU"/>
              </w:rPr>
              <w:t xml:space="preserve"> or Bevacizumab Plus FOLFIRI or Modified FOLFOX-6 After Failure of First-Line Therapy for Metastatic Colorectal Cancer: A Randomized Phase II Study.</w:t>
            </w:r>
          </w:p>
        </w:tc>
        <w:tc>
          <w:tcPr>
            <w:tcW w:w="1060" w:type="pct"/>
            <w:tcMar>
              <w:left w:w="28" w:type="dxa"/>
              <w:right w:w="28" w:type="dxa"/>
            </w:tcMar>
          </w:tcPr>
          <w:p w:rsidR="00837A2D" w:rsidRPr="00F90B95" w:rsidRDefault="00837A2D" w:rsidP="00DE651B">
            <w:pPr>
              <w:pStyle w:val="Tabletext"/>
              <w:rPr>
                <w:szCs w:val="18"/>
                <w:lang w:eastAsia="en-AU"/>
              </w:rPr>
            </w:pPr>
            <w:r w:rsidRPr="00F90B95">
              <w:rPr>
                <w:szCs w:val="18"/>
                <w:lang w:eastAsia="en-AU"/>
              </w:rPr>
              <w:t>Clinical Colorec</w:t>
            </w:r>
            <w:r w:rsidR="00DE651B" w:rsidRPr="00F90B95">
              <w:rPr>
                <w:szCs w:val="18"/>
                <w:lang w:eastAsia="en-AU"/>
              </w:rPr>
              <w:t>tal Cancer 2013 12 (4):239-47.</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rPr>
                <w:rFonts w:ascii="Times" w:hAnsi="Times"/>
              </w:rPr>
            </w:pPr>
            <w:r w:rsidRPr="00F90B95">
              <w:rPr>
                <w:szCs w:val="18"/>
                <w:lang w:eastAsia="en-AU"/>
              </w:rPr>
              <w:lastRenderedPageBreak/>
              <w:t>Eagle</w:t>
            </w:r>
          </w:p>
        </w:tc>
        <w:tc>
          <w:tcPr>
            <w:tcW w:w="3222" w:type="pct"/>
            <w:tcMar>
              <w:left w:w="28" w:type="dxa"/>
              <w:right w:w="28" w:type="dxa"/>
            </w:tcMar>
          </w:tcPr>
          <w:p w:rsidR="00837A2D" w:rsidRPr="00F90B95" w:rsidRDefault="00837A2D" w:rsidP="00837A2D">
            <w:pPr>
              <w:pStyle w:val="Tabletext"/>
              <w:rPr>
                <w:szCs w:val="18"/>
                <w:lang w:eastAsia="en-AU"/>
              </w:rPr>
            </w:pPr>
            <w:r w:rsidRPr="00F90B95">
              <w:rPr>
                <w:szCs w:val="18"/>
                <w:lang w:eastAsia="en-AU"/>
              </w:rPr>
              <w:t>Iwamoto S, Takahashi T,</w:t>
            </w:r>
            <w:r w:rsidRPr="00F90B95">
              <w:t xml:space="preserve"> </w:t>
            </w:r>
            <w:proofErr w:type="spellStart"/>
            <w:r w:rsidRPr="00F90B95">
              <w:rPr>
                <w:szCs w:val="18"/>
                <w:lang w:eastAsia="en-AU"/>
              </w:rPr>
              <w:t>Tamagawa</w:t>
            </w:r>
            <w:proofErr w:type="spellEnd"/>
            <w:r w:rsidRPr="00F90B95">
              <w:rPr>
                <w:szCs w:val="18"/>
                <w:lang w:eastAsia="en-AU"/>
              </w:rPr>
              <w:t xml:space="preserve"> H, et al. FOLFIRI plus bevacizumab as second-line therapy in patients with metastatic colorectal cancer after first-line bevacizumab plus </w:t>
            </w:r>
            <w:proofErr w:type="spellStart"/>
            <w:r w:rsidRPr="00F90B95">
              <w:rPr>
                <w:szCs w:val="18"/>
                <w:lang w:eastAsia="en-AU"/>
              </w:rPr>
              <w:t>oxaliplatin</w:t>
            </w:r>
            <w:proofErr w:type="spellEnd"/>
            <w:r w:rsidRPr="00F90B95">
              <w:rPr>
                <w:szCs w:val="18"/>
                <w:lang w:eastAsia="en-AU"/>
              </w:rPr>
              <w:t>-based therapy: the ra</w:t>
            </w:r>
            <w:r w:rsidR="00DE651B" w:rsidRPr="00F90B95">
              <w:rPr>
                <w:szCs w:val="18"/>
                <w:lang w:eastAsia="en-AU"/>
              </w:rPr>
              <w:t>ndomized phase III EAGLE study.</w:t>
            </w:r>
          </w:p>
        </w:tc>
        <w:tc>
          <w:tcPr>
            <w:tcW w:w="1060" w:type="pct"/>
            <w:tcMar>
              <w:left w:w="28" w:type="dxa"/>
              <w:right w:w="28" w:type="dxa"/>
            </w:tcMar>
          </w:tcPr>
          <w:p w:rsidR="00837A2D" w:rsidRPr="00F90B95" w:rsidRDefault="00837A2D" w:rsidP="00837A2D">
            <w:pPr>
              <w:pStyle w:val="Tabletext"/>
              <w:rPr>
                <w:szCs w:val="18"/>
                <w:lang w:eastAsia="en-AU"/>
              </w:rPr>
            </w:pPr>
            <w:r w:rsidRPr="00F90B95">
              <w:rPr>
                <w:szCs w:val="18"/>
                <w:lang w:eastAsia="en-AU"/>
              </w:rPr>
              <w:t>Annals of Oncology 2015; 26:1427–33.</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rPr>
                <w:rFonts w:ascii="Times" w:hAnsi="Times"/>
              </w:rPr>
            </w:pPr>
            <w:r w:rsidRPr="00F90B95">
              <w:t>AXEPT</w:t>
            </w:r>
          </w:p>
        </w:tc>
        <w:tc>
          <w:tcPr>
            <w:tcW w:w="3222" w:type="pct"/>
            <w:tcMar>
              <w:left w:w="28" w:type="dxa"/>
              <w:right w:w="28" w:type="dxa"/>
            </w:tcMar>
          </w:tcPr>
          <w:p w:rsidR="00837A2D" w:rsidRPr="00F90B95" w:rsidRDefault="00837A2D" w:rsidP="00837A2D">
            <w:pPr>
              <w:pStyle w:val="Tabletext"/>
              <w:rPr>
                <w:szCs w:val="18"/>
                <w:lang w:eastAsia="en-AU"/>
              </w:rPr>
            </w:pPr>
            <w:r w:rsidRPr="00F90B95">
              <w:rPr>
                <w:szCs w:val="18"/>
                <w:lang w:eastAsia="en-AU"/>
              </w:rPr>
              <w:t xml:space="preserve">Xu RH, </w:t>
            </w:r>
            <w:proofErr w:type="spellStart"/>
            <w:r w:rsidRPr="00F90B95">
              <w:rPr>
                <w:szCs w:val="18"/>
                <w:lang w:eastAsia="en-AU"/>
              </w:rPr>
              <w:t>Muro</w:t>
            </w:r>
            <w:proofErr w:type="spellEnd"/>
            <w:r w:rsidRPr="00F90B95">
              <w:rPr>
                <w:szCs w:val="18"/>
                <w:lang w:eastAsia="en-AU"/>
              </w:rPr>
              <w:t xml:space="preserve"> K, Morita S, et al. Modified XELIRI (</w:t>
            </w:r>
            <w:proofErr w:type="spellStart"/>
            <w:r w:rsidRPr="00F90B95">
              <w:rPr>
                <w:szCs w:val="18"/>
                <w:lang w:eastAsia="en-AU"/>
              </w:rPr>
              <w:t>capecitabine</w:t>
            </w:r>
            <w:proofErr w:type="spellEnd"/>
            <w:r w:rsidRPr="00F90B95">
              <w:rPr>
                <w:szCs w:val="18"/>
                <w:lang w:eastAsia="en-AU"/>
              </w:rPr>
              <w:t xml:space="preserve"> plus </w:t>
            </w:r>
            <w:proofErr w:type="spellStart"/>
            <w:r w:rsidRPr="00F90B95">
              <w:rPr>
                <w:szCs w:val="18"/>
                <w:lang w:eastAsia="en-AU"/>
              </w:rPr>
              <w:t>irinotecan</w:t>
            </w:r>
            <w:proofErr w:type="spellEnd"/>
            <w:r w:rsidRPr="00F90B95">
              <w:rPr>
                <w:szCs w:val="18"/>
                <w:lang w:eastAsia="en-AU"/>
              </w:rPr>
              <w:t>) versus FOLFIRI (</w:t>
            </w:r>
            <w:proofErr w:type="spellStart"/>
            <w:r w:rsidRPr="00F90B95">
              <w:rPr>
                <w:szCs w:val="18"/>
                <w:lang w:eastAsia="en-AU"/>
              </w:rPr>
              <w:t>leucovorin</w:t>
            </w:r>
            <w:proofErr w:type="spellEnd"/>
            <w:r w:rsidRPr="00F90B95">
              <w:rPr>
                <w:szCs w:val="18"/>
                <w:lang w:eastAsia="en-AU"/>
              </w:rPr>
              <w:t xml:space="preserve">, fluorouracil, and </w:t>
            </w:r>
            <w:proofErr w:type="spellStart"/>
            <w:r w:rsidRPr="00F90B95">
              <w:rPr>
                <w:szCs w:val="18"/>
                <w:lang w:eastAsia="en-AU"/>
              </w:rPr>
              <w:t>irinotecan</w:t>
            </w:r>
            <w:proofErr w:type="spellEnd"/>
            <w:r w:rsidRPr="00F90B95">
              <w:rPr>
                <w:szCs w:val="18"/>
                <w:lang w:eastAsia="en-AU"/>
              </w:rPr>
              <w:t>), both either with or without bevacizumab, as second-line therapy for metas</w:t>
            </w:r>
            <w:r w:rsidR="00DE651B" w:rsidRPr="00F90B95">
              <w:rPr>
                <w:szCs w:val="18"/>
                <w:lang w:eastAsia="en-AU"/>
              </w:rPr>
              <w:t>tatic colorectal cancer (AXEPT).</w:t>
            </w:r>
          </w:p>
        </w:tc>
        <w:tc>
          <w:tcPr>
            <w:tcW w:w="1060" w:type="pct"/>
            <w:tcMar>
              <w:left w:w="28" w:type="dxa"/>
              <w:right w:w="28" w:type="dxa"/>
            </w:tcMar>
          </w:tcPr>
          <w:p w:rsidR="00837A2D" w:rsidRPr="00F90B95" w:rsidRDefault="00837A2D" w:rsidP="00837A2D">
            <w:pPr>
              <w:pStyle w:val="Tabletext"/>
              <w:rPr>
                <w:szCs w:val="18"/>
                <w:lang w:eastAsia="en-AU"/>
              </w:rPr>
            </w:pPr>
            <w:r w:rsidRPr="00F90B95">
              <w:rPr>
                <w:szCs w:val="18"/>
                <w:lang w:eastAsia="en-AU"/>
              </w:rPr>
              <w:t>L</w:t>
            </w:r>
            <w:r w:rsidR="00A407BB" w:rsidRPr="00F90B95">
              <w:rPr>
                <w:szCs w:val="18"/>
                <w:lang w:eastAsia="en-AU"/>
              </w:rPr>
              <w:t>ancet Oncology 2018; 19(5):660-</w:t>
            </w:r>
            <w:r w:rsidRPr="00F90B95">
              <w:rPr>
                <w:szCs w:val="18"/>
                <w:lang w:eastAsia="en-AU"/>
              </w:rPr>
              <w:t>71.</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WJOG 6210G</w:t>
            </w:r>
          </w:p>
          <w:p w:rsidR="00837A2D" w:rsidRPr="00F90B95" w:rsidRDefault="00837A2D" w:rsidP="00837A2D">
            <w:pPr>
              <w:pStyle w:val="Tabletext"/>
            </w:pPr>
            <w:r w:rsidRPr="00F90B95">
              <w:t>(6210G)</w:t>
            </w:r>
          </w:p>
        </w:tc>
        <w:tc>
          <w:tcPr>
            <w:tcW w:w="3222" w:type="pct"/>
            <w:tcMar>
              <w:left w:w="28" w:type="dxa"/>
              <w:right w:w="28" w:type="dxa"/>
            </w:tcMar>
          </w:tcPr>
          <w:p w:rsidR="00837A2D" w:rsidRPr="00F90B95" w:rsidRDefault="00837A2D" w:rsidP="00837A2D">
            <w:pPr>
              <w:pStyle w:val="Tabletext"/>
              <w:rPr>
                <w:szCs w:val="18"/>
                <w:highlight w:val="yellow"/>
              </w:rPr>
            </w:pPr>
            <w:proofErr w:type="spellStart"/>
            <w:r w:rsidRPr="00F90B95">
              <w:rPr>
                <w:szCs w:val="18"/>
              </w:rPr>
              <w:t>Shitara</w:t>
            </w:r>
            <w:proofErr w:type="spellEnd"/>
            <w:r w:rsidRPr="00F90B95">
              <w:rPr>
                <w:szCs w:val="18"/>
              </w:rPr>
              <w:t xml:space="preserve"> K, </w:t>
            </w:r>
            <w:proofErr w:type="spellStart"/>
            <w:r w:rsidRPr="00F90B95">
              <w:rPr>
                <w:szCs w:val="18"/>
              </w:rPr>
              <w:t>Yonesaka</w:t>
            </w:r>
            <w:proofErr w:type="spellEnd"/>
            <w:r w:rsidRPr="00F90B95">
              <w:rPr>
                <w:szCs w:val="18"/>
              </w:rPr>
              <w:t xml:space="preserve"> T, </w:t>
            </w:r>
            <w:proofErr w:type="spellStart"/>
            <w:r w:rsidRPr="00F90B95">
              <w:rPr>
                <w:szCs w:val="18"/>
              </w:rPr>
              <w:t>Denda</w:t>
            </w:r>
            <w:proofErr w:type="spellEnd"/>
            <w:r w:rsidRPr="00F90B95">
              <w:rPr>
                <w:szCs w:val="18"/>
              </w:rPr>
              <w:t xml:space="preserve"> K, et al. Randomized study of FOLFIRI plus either </w:t>
            </w:r>
            <w:proofErr w:type="spellStart"/>
            <w:r w:rsidRPr="00F90B95">
              <w:rPr>
                <w:szCs w:val="18"/>
              </w:rPr>
              <w:t>panitumumab</w:t>
            </w:r>
            <w:proofErr w:type="spellEnd"/>
            <w:r w:rsidRPr="00F90B95">
              <w:rPr>
                <w:szCs w:val="18"/>
              </w:rPr>
              <w:t xml:space="preserve"> or bevacizumab for wild-type KRA</w:t>
            </w:r>
            <w:r w:rsidR="00A407BB" w:rsidRPr="00F90B95">
              <w:rPr>
                <w:szCs w:val="18"/>
              </w:rPr>
              <w:t>S colorectal cancer-WJOG 6210G.</w:t>
            </w:r>
          </w:p>
        </w:tc>
        <w:tc>
          <w:tcPr>
            <w:tcW w:w="1060" w:type="pct"/>
            <w:tcMar>
              <w:left w:w="28" w:type="dxa"/>
              <w:right w:w="28" w:type="dxa"/>
            </w:tcMar>
          </w:tcPr>
          <w:p w:rsidR="00837A2D" w:rsidRPr="00F90B95" w:rsidRDefault="00837A2D" w:rsidP="00A407BB">
            <w:pPr>
              <w:pStyle w:val="Tabletext"/>
            </w:pPr>
            <w:r w:rsidRPr="00F90B95">
              <w:rPr>
                <w:szCs w:val="18"/>
              </w:rPr>
              <w:t xml:space="preserve">Cancer Science 2016 107 (12):1843-50. </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Horizon 1</w:t>
            </w:r>
          </w:p>
        </w:tc>
        <w:tc>
          <w:tcPr>
            <w:tcW w:w="3222" w:type="pct"/>
            <w:tcMar>
              <w:left w:w="28" w:type="dxa"/>
              <w:right w:w="28" w:type="dxa"/>
            </w:tcMar>
          </w:tcPr>
          <w:p w:rsidR="00837A2D" w:rsidRPr="00F90B95" w:rsidRDefault="00837A2D" w:rsidP="00837A2D">
            <w:pPr>
              <w:pStyle w:val="TableText0"/>
            </w:pPr>
            <w:r w:rsidRPr="00F90B95">
              <w:t xml:space="preserve">Cunningham D, Wong P, </w:t>
            </w:r>
            <w:proofErr w:type="spellStart"/>
            <w:r w:rsidRPr="00F90B95">
              <w:t>D'Haens</w:t>
            </w:r>
            <w:proofErr w:type="spellEnd"/>
            <w:r w:rsidRPr="00F90B95">
              <w:t xml:space="preserve"> G, et al. </w:t>
            </w:r>
            <w:proofErr w:type="spellStart"/>
            <w:r w:rsidRPr="00F90B95">
              <w:t>Cediranib</w:t>
            </w:r>
            <w:proofErr w:type="spellEnd"/>
            <w:r w:rsidRPr="00F90B95">
              <w:t xml:space="preserve"> with mFOLFOX6 vs bevacizumab with mFOLFOX6 in previously treate</w:t>
            </w:r>
            <w:r w:rsidR="00A407BB" w:rsidRPr="00F90B95">
              <w:t>d metastatic colorectal cancer.</w:t>
            </w:r>
          </w:p>
        </w:tc>
        <w:tc>
          <w:tcPr>
            <w:tcW w:w="1060" w:type="pct"/>
            <w:tcMar>
              <w:left w:w="28" w:type="dxa"/>
              <w:right w:w="28" w:type="dxa"/>
            </w:tcMar>
          </w:tcPr>
          <w:p w:rsidR="00837A2D" w:rsidRPr="00F90B95" w:rsidRDefault="00837A2D" w:rsidP="00837A2D">
            <w:pPr>
              <w:pStyle w:val="Tabletext"/>
              <w:rPr>
                <w:rFonts w:ascii="Times" w:hAnsi="Times"/>
              </w:rPr>
            </w:pPr>
            <w:r w:rsidRPr="00F90B95">
              <w:t>British Journal of Cancer 2013; 108: 493–502.</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M10-300</w:t>
            </w:r>
          </w:p>
        </w:tc>
        <w:tc>
          <w:tcPr>
            <w:tcW w:w="3222" w:type="pct"/>
            <w:tcMar>
              <w:left w:w="28" w:type="dxa"/>
              <w:right w:w="28" w:type="dxa"/>
            </w:tcMar>
          </w:tcPr>
          <w:p w:rsidR="00837A2D" w:rsidRPr="00F90B95" w:rsidRDefault="00837A2D" w:rsidP="00837A2D">
            <w:pPr>
              <w:pStyle w:val="TableText0"/>
            </w:pPr>
            <w:r w:rsidRPr="00F90B95">
              <w:t xml:space="preserve">O'Neil H, C </w:t>
            </w:r>
            <w:proofErr w:type="spellStart"/>
            <w:r w:rsidRPr="00F90B95">
              <w:t>Cainap</w:t>
            </w:r>
            <w:proofErr w:type="spellEnd"/>
            <w:r w:rsidRPr="00F90B95">
              <w:t xml:space="preserve">, E Van </w:t>
            </w:r>
            <w:proofErr w:type="spellStart"/>
            <w:r w:rsidRPr="00F90B95">
              <w:t>Cutsem</w:t>
            </w:r>
            <w:proofErr w:type="spellEnd"/>
            <w:r w:rsidRPr="00F90B95">
              <w:t xml:space="preserve">, et al. Randomized phase II open-label study of mFOLFOX6 in combination with </w:t>
            </w:r>
            <w:proofErr w:type="spellStart"/>
            <w:r w:rsidRPr="00F90B95">
              <w:t>linifanib</w:t>
            </w:r>
            <w:proofErr w:type="spellEnd"/>
            <w:r w:rsidRPr="00F90B95">
              <w:t xml:space="preserve"> or bevacizumab for met</w:t>
            </w:r>
            <w:r w:rsidR="00C44117" w:rsidRPr="00F90B95">
              <w:t>astatic colorectal cancer.</w:t>
            </w:r>
          </w:p>
        </w:tc>
        <w:tc>
          <w:tcPr>
            <w:tcW w:w="1060" w:type="pct"/>
            <w:tcMar>
              <w:left w:w="28" w:type="dxa"/>
              <w:right w:w="28" w:type="dxa"/>
            </w:tcMar>
          </w:tcPr>
          <w:p w:rsidR="00837A2D" w:rsidRPr="00F90B95" w:rsidRDefault="00837A2D" w:rsidP="00837A2D">
            <w:pPr>
              <w:pStyle w:val="Tabletext"/>
            </w:pPr>
            <w:r w:rsidRPr="00F90B95">
              <w:t>Clinical Colorectal Cancer 2014; 13 (3):156-</w:t>
            </w:r>
            <w:r w:rsidR="00A407BB" w:rsidRPr="00F90B95">
              <w:t>163.e2.</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E3200</w:t>
            </w:r>
          </w:p>
        </w:tc>
        <w:tc>
          <w:tcPr>
            <w:tcW w:w="3222" w:type="pct"/>
            <w:tcMar>
              <w:left w:w="28" w:type="dxa"/>
              <w:right w:w="28" w:type="dxa"/>
            </w:tcMar>
          </w:tcPr>
          <w:p w:rsidR="00837A2D" w:rsidRPr="00F90B95" w:rsidRDefault="00837A2D" w:rsidP="00C44117">
            <w:pPr>
              <w:pStyle w:val="TableText0"/>
            </w:pPr>
            <w:proofErr w:type="spellStart"/>
            <w:r w:rsidRPr="00F90B95">
              <w:t>Giantonio</w:t>
            </w:r>
            <w:proofErr w:type="spellEnd"/>
            <w:r w:rsidRPr="00F90B95">
              <w:t xml:space="preserve"> J, Paul J, Catalano J, et al. Bevacizumab in Combination With </w:t>
            </w:r>
            <w:proofErr w:type="spellStart"/>
            <w:r w:rsidRPr="00F90B95">
              <w:t>Oxaliplatin</w:t>
            </w:r>
            <w:proofErr w:type="spellEnd"/>
            <w:r w:rsidRPr="00F90B95">
              <w:t xml:space="preserve">, Fluorouracil, and </w:t>
            </w:r>
            <w:proofErr w:type="spellStart"/>
            <w:r w:rsidRPr="00F90B95">
              <w:t>Leucovorin</w:t>
            </w:r>
            <w:proofErr w:type="spellEnd"/>
            <w:r w:rsidRPr="00F90B95">
              <w:t xml:space="preserve"> (FOLFOX4) for Previously Treated Metastatic Colorectal Cancer: Results From the Eastern Cooperative Oncology Group Study E3200.</w:t>
            </w:r>
          </w:p>
        </w:tc>
        <w:tc>
          <w:tcPr>
            <w:tcW w:w="1060" w:type="pct"/>
            <w:tcMar>
              <w:left w:w="28" w:type="dxa"/>
              <w:right w:w="28" w:type="dxa"/>
            </w:tcMar>
          </w:tcPr>
          <w:p w:rsidR="00837A2D" w:rsidRPr="00F90B95" w:rsidRDefault="00837A2D" w:rsidP="00837A2D">
            <w:pPr>
              <w:pStyle w:val="Tabletext"/>
            </w:pPr>
            <w:r w:rsidRPr="00F90B95">
              <w:t>Journal of Clinica</w:t>
            </w:r>
            <w:r w:rsidR="00A407BB" w:rsidRPr="00F90B95">
              <w:t>l Oncology 2007; 25 (12):1539-44.</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ML18147</w:t>
            </w:r>
          </w:p>
        </w:tc>
        <w:tc>
          <w:tcPr>
            <w:tcW w:w="3222" w:type="pct"/>
            <w:tcMar>
              <w:left w:w="28" w:type="dxa"/>
              <w:right w:w="28" w:type="dxa"/>
            </w:tcMar>
          </w:tcPr>
          <w:p w:rsidR="00837A2D" w:rsidRPr="00F90B95" w:rsidRDefault="00837A2D" w:rsidP="00837A2D">
            <w:pPr>
              <w:pStyle w:val="TableText0"/>
            </w:pPr>
            <w:proofErr w:type="spellStart"/>
            <w:r w:rsidRPr="00F90B95">
              <w:t>Bennouna</w:t>
            </w:r>
            <w:proofErr w:type="spellEnd"/>
            <w:r w:rsidRPr="00F90B95">
              <w:t xml:space="preserve"> J, </w:t>
            </w:r>
            <w:proofErr w:type="spellStart"/>
            <w:r w:rsidRPr="00F90B95">
              <w:t>Sastre</w:t>
            </w:r>
            <w:proofErr w:type="spellEnd"/>
            <w:r w:rsidRPr="00F90B95">
              <w:t xml:space="preserve"> D, Arnold P, et al. Continuation of bevacizumab after first progression in metastatic colorectal cancer (ML18147): a randomised phase 3 trial.</w:t>
            </w:r>
          </w:p>
        </w:tc>
        <w:tc>
          <w:tcPr>
            <w:tcW w:w="1060" w:type="pct"/>
            <w:tcMar>
              <w:left w:w="28" w:type="dxa"/>
              <w:right w:w="28" w:type="dxa"/>
            </w:tcMar>
          </w:tcPr>
          <w:p w:rsidR="00837A2D" w:rsidRPr="00F90B95" w:rsidRDefault="00837A2D" w:rsidP="00837A2D">
            <w:pPr>
              <w:pStyle w:val="Tabletext"/>
            </w:pPr>
            <w:r w:rsidRPr="00F90B95">
              <w:t>Lancet Oncology 2013; 14 (1)</w:t>
            </w:r>
            <w:r w:rsidR="00A407BB" w:rsidRPr="00F90B95">
              <w:t>:29-37.</w:t>
            </w:r>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Cao 2015</w:t>
            </w:r>
          </w:p>
        </w:tc>
        <w:tc>
          <w:tcPr>
            <w:tcW w:w="3222" w:type="pct"/>
            <w:tcMar>
              <w:left w:w="28" w:type="dxa"/>
              <w:right w:w="28" w:type="dxa"/>
            </w:tcMar>
          </w:tcPr>
          <w:p w:rsidR="00837A2D" w:rsidRPr="00F90B95" w:rsidRDefault="00837A2D" w:rsidP="00837A2D">
            <w:pPr>
              <w:pStyle w:val="TableText0"/>
            </w:pPr>
            <w:r w:rsidRPr="00F90B95">
              <w:t xml:space="preserve">Cao R, Zhang S, Ma D, Hu L. A </w:t>
            </w:r>
            <w:proofErr w:type="spellStart"/>
            <w:r w:rsidRPr="00F90B95">
              <w:t>multicenter</w:t>
            </w:r>
            <w:proofErr w:type="spellEnd"/>
            <w:r w:rsidRPr="00F90B95">
              <w:t xml:space="preserve"> randomized phase II clinical study of bevacizumab plus </w:t>
            </w:r>
            <w:proofErr w:type="spellStart"/>
            <w:r w:rsidRPr="00F90B95">
              <w:t>irinotecan</w:t>
            </w:r>
            <w:proofErr w:type="spellEnd"/>
            <w:r w:rsidRPr="00F90B95">
              <w:t>, 5</w:t>
            </w:r>
            <w:r w:rsidRPr="00F90B95">
              <w:rPr>
                <w:rFonts w:ascii="Cambria Math" w:hAnsi="Cambria Math" w:cs="Cambria Math"/>
              </w:rPr>
              <w:t>‐</w:t>
            </w:r>
            <w:r w:rsidRPr="00F90B95">
              <w:t xml:space="preserve">fluorouracil, and </w:t>
            </w:r>
            <w:proofErr w:type="spellStart"/>
            <w:r w:rsidRPr="00F90B95">
              <w:t>leucovorin</w:t>
            </w:r>
            <w:proofErr w:type="spellEnd"/>
            <w:r w:rsidRPr="00F90B95">
              <w:t xml:space="preserve"> (FOLFIRI) compared with FOLFIRI alone as second</w:t>
            </w:r>
            <w:r w:rsidRPr="00F90B95">
              <w:rPr>
                <w:rFonts w:ascii="Cambria Math" w:hAnsi="Cambria Math" w:cs="Cambria Math"/>
              </w:rPr>
              <w:t>‐</w:t>
            </w:r>
            <w:r w:rsidRPr="00F90B95">
              <w:t>line treatment for Chinese patients with metastatic colorectal cancer</w:t>
            </w:r>
            <w:r w:rsidR="00A407BB" w:rsidRPr="00F90B95">
              <w:t>.</w:t>
            </w:r>
          </w:p>
        </w:tc>
        <w:tc>
          <w:tcPr>
            <w:tcW w:w="1060" w:type="pct"/>
            <w:tcMar>
              <w:left w:w="28" w:type="dxa"/>
              <w:right w:w="28" w:type="dxa"/>
            </w:tcMar>
          </w:tcPr>
          <w:p w:rsidR="00837A2D" w:rsidRPr="00F90B95" w:rsidRDefault="00837A2D" w:rsidP="00837A2D">
            <w:pPr>
              <w:pStyle w:val="Tabletext"/>
            </w:pPr>
            <w:r w:rsidRPr="00F90B95">
              <w:t>Medical Oncology 2015; 32:325.</w:t>
            </w:r>
          </w:p>
        </w:tc>
      </w:tr>
      <w:tr w:rsidR="00837A2D" w:rsidRPr="00F90B95" w:rsidTr="00FA5001">
        <w:trPr>
          <w:cantSplit/>
        </w:trPr>
        <w:tc>
          <w:tcPr>
            <w:tcW w:w="5000" w:type="pct"/>
            <w:gridSpan w:val="3"/>
            <w:tcMar>
              <w:left w:w="28" w:type="dxa"/>
              <w:right w:w="28" w:type="dxa"/>
            </w:tcMar>
          </w:tcPr>
          <w:p w:rsidR="00837A2D" w:rsidRPr="00F90B95" w:rsidRDefault="00837A2D" w:rsidP="00F04CC3">
            <w:pPr>
              <w:pStyle w:val="Tabletext"/>
              <w:rPr>
                <w:szCs w:val="18"/>
              </w:rPr>
            </w:pPr>
            <w:r w:rsidRPr="00F90B95">
              <w:rPr>
                <w:b/>
              </w:rPr>
              <w:t xml:space="preserve">Near </w:t>
            </w:r>
            <w:r w:rsidR="00363B4F" w:rsidRPr="00F90B95">
              <w:rPr>
                <w:b/>
              </w:rPr>
              <w:t>market</w:t>
            </w:r>
            <w:r w:rsidRPr="00F90B95">
              <w:rPr>
                <w:b/>
              </w:rPr>
              <w:t xml:space="preserve"> comparator: </w:t>
            </w:r>
            <w:proofErr w:type="spellStart"/>
            <w:r w:rsidR="00F04CC3" w:rsidRPr="00F90B95">
              <w:rPr>
                <w:b/>
              </w:rPr>
              <w:t>n</w:t>
            </w:r>
            <w:r w:rsidRPr="00F90B95">
              <w:rPr>
                <w:b/>
              </w:rPr>
              <w:t>ivolumab</w:t>
            </w:r>
            <w:proofErr w:type="spellEnd"/>
            <w:r w:rsidRPr="00F90B95">
              <w:rPr>
                <w:b/>
              </w:rPr>
              <w:t xml:space="preserve"> ± </w:t>
            </w:r>
            <w:proofErr w:type="spellStart"/>
            <w:r w:rsidRPr="00F90B95">
              <w:rPr>
                <w:b/>
              </w:rPr>
              <w:t>ipilimumab</w:t>
            </w:r>
            <w:proofErr w:type="spellEnd"/>
          </w:p>
        </w:tc>
      </w:tr>
      <w:tr w:rsidR="00837A2D" w:rsidRPr="00F90B95" w:rsidTr="00FF79F9">
        <w:trPr>
          <w:cantSplit/>
        </w:trPr>
        <w:tc>
          <w:tcPr>
            <w:tcW w:w="718" w:type="pct"/>
            <w:tcMar>
              <w:left w:w="28" w:type="dxa"/>
              <w:right w:w="28" w:type="dxa"/>
            </w:tcMar>
          </w:tcPr>
          <w:p w:rsidR="00837A2D" w:rsidRPr="00F90B95" w:rsidRDefault="00837A2D" w:rsidP="00837A2D">
            <w:pPr>
              <w:pStyle w:val="Tabletext"/>
            </w:pPr>
            <w:r w:rsidRPr="00F90B95">
              <w:t>CH142</w:t>
            </w:r>
          </w:p>
        </w:tc>
        <w:tc>
          <w:tcPr>
            <w:tcW w:w="3222" w:type="pct"/>
            <w:tcMar>
              <w:left w:w="28" w:type="dxa"/>
              <w:right w:w="28" w:type="dxa"/>
            </w:tcMar>
          </w:tcPr>
          <w:p w:rsidR="00837A2D" w:rsidRPr="00F90B95" w:rsidRDefault="00837A2D" w:rsidP="00837A2D">
            <w:pPr>
              <w:pStyle w:val="Tabletext"/>
              <w:rPr>
                <w:szCs w:val="18"/>
              </w:rPr>
            </w:pPr>
            <w:r w:rsidRPr="00F90B95">
              <w:rPr>
                <w:szCs w:val="18"/>
              </w:rPr>
              <w:t xml:space="preserve">Overman MJ, McDermott R, </w:t>
            </w:r>
            <w:proofErr w:type="gramStart"/>
            <w:r w:rsidRPr="00F90B95">
              <w:rPr>
                <w:szCs w:val="18"/>
              </w:rPr>
              <w:t>Leach</w:t>
            </w:r>
            <w:proofErr w:type="gramEnd"/>
            <w:r w:rsidRPr="00F90B95">
              <w:rPr>
                <w:szCs w:val="18"/>
              </w:rPr>
              <w:t xml:space="preserve"> S, et al. Nivolumab in patients with metastatic DNA mismatch repair-deficient or microsatellite instability-high colorectal cancer (</w:t>
            </w:r>
            <w:proofErr w:type="spellStart"/>
            <w:r w:rsidRPr="00F90B95">
              <w:rPr>
                <w:szCs w:val="18"/>
              </w:rPr>
              <w:t>CheckMate</w:t>
            </w:r>
            <w:proofErr w:type="spellEnd"/>
            <w:r w:rsidRPr="00F90B95">
              <w:rPr>
                <w:szCs w:val="18"/>
              </w:rPr>
              <w:t xml:space="preserve"> 142): an open-lab</w:t>
            </w:r>
            <w:r w:rsidR="00A407BB" w:rsidRPr="00F90B95">
              <w:rPr>
                <w:szCs w:val="18"/>
              </w:rPr>
              <w:t>el, multicentre, phase 2 study.</w:t>
            </w:r>
          </w:p>
        </w:tc>
        <w:tc>
          <w:tcPr>
            <w:tcW w:w="1060" w:type="pct"/>
            <w:tcMar>
              <w:left w:w="28" w:type="dxa"/>
              <w:right w:w="28" w:type="dxa"/>
            </w:tcMar>
          </w:tcPr>
          <w:p w:rsidR="00837A2D" w:rsidRPr="00F90B95" w:rsidRDefault="00837A2D" w:rsidP="00837A2D">
            <w:pPr>
              <w:pStyle w:val="Tabletext"/>
              <w:rPr>
                <w:szCs w:val="18"/>
              </w:rPr>
            </w:pPr>
            <w:r w:rsidRPr="00F90B95">
              <w:rPr>
                <w:szCs w:val="18"/>
              </w:rPr>
              <w:t>Lanc</w:t>
            </w:r>
            <w:r w:rsidR="00A407BB" w:rsidRPr="00F90B95">
              <w:rPr>
                <w:szCs w:val="18"/>
              </w:rPr>
              <w:t>et Oncology 2017; 18 (9):1182-</w:t>
            </w:r>
            <w:r w:rsidRPr="00F90B95">
              <w:rPr>
                <w:szCs w:val="18"/>
              </w:rPr>
              <w:t>91.</w:t>
            </w:r>
          </w:p>
        </w:tc>
      </w:tr>
    </w:tbl>
    <w:p w:rsidR="006C2B82" w:rsidRPr="00F90B95" w:rsidRDefault="006C2B82" w:rsidP="006C2B82">
      <w:pPr>
        <w:pStyle w:val="TableFooter"/>
      </w:pPr>
      <w:r w:rsidRPr="00F90B95">
        <w:t>Source: Table 2.2-1, pp22-27 of the submission</w:t>
      </w:r>
      <w:r w:rsidR="00F04CC3" w:rsidRPr="00F90B95">
        <w:t>.</w:t>
      </w:r>
    </w:p>
    <w:p w:rsidR="00F7343F" w:rsidRPr="00F90B95" w:rsidRDefault="00A407BB" w:rsidP="00662FCF">
      <w:pPr>
        <w:pStyle w:val="ListParagraph"/>
        <w:widowControl/>
        <w:numPr>
          <w:ilvl w:val="1"/>
          <w:numId w:val="7"/>
        </w:numPr>
        <w:spacing w:before="160" w:after="120"/>
        <w:rPr>
          <w:rFonts w:cs="Calibri"/>
          <w:snapToGrid/>
          <w:szCs w:val="24"/>
          <w:lang w:eastAsia="en-AU"/>
        </w:rPr>
      </w:pPr>
      <w:r w:rsidRPr="00F90B95">
        <w:rPr>
          <w:rFonts w:cs="Calibri"/>
          <w:snapToGrid/>
          <w:szCs w:val="24"/>
          <w:lang w:eastAsia="en-AU"/>
        </w:rPr>
        <w:t>T</w:t>
      </w:r>
      <w:r w:rsidR="0046036E" w:rsidRPr="00F90B95">
        <w:rPr>
          <w:rFonts w:cs="Calibri"/>
          <w:snapToGrid/>
          <w:szCs w:val="24"/>
          <w:lang w:eastAsia="en-AU"/>
        </w:rPr>
        <w:t xml:space="preserve">here is an </w:t>
      </w:r>
      <w:r w:rsidR="006C2B82" w:rsidRPr="00F90B95">
        <w:rPr>
          <w:rFonts w:cs="Calibri"/>
          <w:snapToGrid/>
          <w:szCs w:val="24"/>
          <w:lang w:eastAsia="en-AU"/>
        </w:rPr>
        <w:t xml:space="preserve">ongoing randomised controlled trial </w:t>
      </w:r>
      <w:r w:rsidR="00F7343F" w:rsidRPr="00F90B95">
        <w:rPr>
          <w:rFonts w:cs="Calibri"/>
          <w:snapToGrid/>
          <w:szCs w:val="24"/>
          <w:lang w:eastAsia="en-AU"/>
        </w:rPr>
        <w:t xml:space="preserve">(KN177) </w:t>
      </w:r>
      <w:r w:rsidR="006C2B82" w:rsidRPr="00F90B95">
        <w:rPr>
          <w:rFonts w:cs="Calibri"/>
          <w:snapToGrid/>
          <w:szCs w:val="24"/>
          <w:lang w:eastAsia="en-AU"/>
        </w:rPr>
        <w:t>assessing the comparative efficacy and safety of pembrolizumab relative to SOC</w:t>
      </w:r>
      <w:r w:rsidR="00F732EE" w:rsidRPr="00F90B95">
        <w:rPr>
          <w:rFonts w:cs="Calibri"/>
          <w:snapToGrid/>
          <w:szCs w:val="24"/>
          <w:vertAlign w:val="superscript"/>
          <w:lang w:eastAsia="en-AU"/>
        </w:rPr>
        <w:footnoteReference w:id="5"/>
      </w:r>
      <w:r w:rsidR="00F04CC3" w:rsidRPr="00F90B95">
        <w:rPr>
          <w:rFonts w:cs="Calibri"/>
          <w:snapToGrid/>
          <w:szCs w:val="24"/>
          <w:lang w:eastAsia="en-AU"/>
        </w:rPr>
        <w:t xml:space="preserve"> in treatment-</w:t>
      </w:r>
      <w:r w:rsidR="006C2B82" w:rsidRPr="00F90B95">
        <w:rPr>
          <w:rFonts w:cs="Calibri"/>
          <w:snapToGrid/>
          <w:szCs w:val="24"/>
          <w:lang w:eastAsia="en-AU"/>
        </w:rPr>
        <w:t xml:space="preserve">naïve Stage IV MSI-H or </w:t>
      </w:r>
      <w:proofErr w:type="spellStart"/>
      <w:r w:rsidR="006C2B82" w:rsidRPr="00F90B95">
        <w:rPr>
          <w:rFonts w:cs="Calibri"/>
          <w:snapToGrid/>
          <w:szCs w:val="24"/>
          <w:lang w:eastAsia="en-AU"/>
        </w:rPr>
        <w:t>dMMR</w:t>
      </w:r>
      <w:proofErr w:type="spellEnd"/>
      <w:r w:rsidR="006C2B82" w:rsidRPr="00F90B95">
        <w:rPr>
          <w:rFonts w:cs="Calibri"/>
          <w:snapToGrid/>
          <w:szCs w:val="24"/>
          <w:lang w:eastAsia="en-AU"/>
        </w:rPr>
        <w:t xml:space="preserve"> CRC patients. The primary endpoints </w:t>
      </w:r>
      <w:r w:rsidR="00ED738E" w:rsidRPr="00F90B95">
        <w:rPr>
          <w:rFonts w:cs="Calibri"/>
          <w:snapToGrid/>
          <w:szCs w:val="24"/>
          <w:lang w:eastAsia="en-AU"/>
        </w:rPr>
        <w:t>are</w:t>
      </w:r>
      <w:r w:rsidR="005E19C9" w:rsidRPr="00F90B95">
        <w:rPr>
          <w:rFonts w:cs="Calibri"/>
          <w:snapToGrid/>
          <w:szCs w:val="24"/>
          <w:lang w:eastAsia="en-AU"/>
        </w:rPr>
        <w:t xml:space="preserve"> progression-</w:t>
      </w:r>
      <w:r w:rsidR="006C2B82" w:rsidRPr="00F90B95">
        <w:rPr>
          <w:rFonts w:cs="Calibri"/>
          <w:snapToGrid/>
          <w:szCs w:val="24"/>
          <w:lang w:eastAsia="en-AU"/>
        </w:rPr>
        <w:t xml:space="preserve">free survival (PFS) and overall survival (OS). For the current evaluation, it </w:t>
      </w:r>
      <w:r w:rsidRPr="00F90B95">
        <w:rPr>
          <w:rFonts w:cs="Calibri"/>
          <w:snapToGrid/>
          <w:szCs w:val="24"/>
          <w:lang w:eastAsia="en-AU"/>
        </w:rPr>
        <w:t>wa</w:t>
      </w:r>
      <w:r w:rsidR="006C2B82" w:rsidRPr="00F90B95">
        <w:rPr>
          <w:rFonts w:cs="Calibri"/>
          <w:snapToGrid/>
          <w:szCs w:val="24"/>
          <w:lang w:eastAsia="en-AU"/>
        </w:rPr>
        <w:t xml:space="preserve">s acknowledged that the KN177 trial is being conducted in a different treatment setting (first-line) to that </w:t>
      </w:r>
      <w:r w:rsidR="00ED738E" w:rsidRPr="00F90B95">
        <w:rPr>
          <w:rFonts w:cs="Calibri"/>
          <w:snapToGrid/>
          <w:szCs w:val="24"/>
          <w:lang w:eastAsia="en-AU"/>
        </w:rPr>
        <w:t>proposed in the submission</w:t>
      </w:r>
      <w:r w:rsidR="006C2B82" w:rsidRPr="00F90B95">
        <w:rPr>
          <w:rFonts w:cs="Calibri"/>
          <w:snapToGrid/>
          <w:szCs w:val="24"/>
          <w:lang w:eastAsia="en-AU"/>
        </w:rPr>
        <w:t xml:space="preserve"> (second-line and beyond). However, in the absence of RCT evidence</w:t>
      </w:r>
      <w:r w:rsidR="007468F0" w:rsidRPr="00F90B95">
        <w:rPr>
          <w:rFonts w:cs="Calibri"/>
          <w:snapToGrid/>
          <w:szCs w:val="24"/>
          <w:lang w:eastAsia="en-AU"/>
        </w:rPr>
        <w:t xml:space="preserve"> in the later-</w:t>
      </w:r>
      <w:r w:rsidR="00ED738E" w:rsidRPr="00F90B95">
        <w:rPr>
          <w:rFonts w:cs="Calibri"/>
          <w:snapToGrid/>
          <w:szCs w:val="24"/>
          <w:lang w:eastAsia="en-AU"/>
        </w:rPr>
        <w:t>line treatment setting</w:t>
      </w:r>
      <w:r w:rsidR="006C2B82" w:rsidRPr="00F90B95">
        <w:rPr>
          <w:rFonts w:cs="Calibri"/>
          <w:snapToGrid/>
          <w:szCs w:val="24"/>
          <w:lang w:eastAsia="en-AU"/>
        </w:rPr>
        <w:t xml:space="preserve">, any forthcoming results from </w:t>
      </w:r>
      <w:r w:rsidR="00ED738E" w:rsidRPr="00F90B95">
        <w:rPr>
          <w:rFonts w:cs="Calibri"/>
          <w:snapToGrid/>
          <w:szCs w:val="24"/>
          <w:lang w:eastAsia="en-AU"/>
        </w:rPr>
        <w:t>KN177</w:t>
      </w:r>
      <w:r w:rsidR="006C2B82" w:rsidRPr="00F90B95">
        <w:rPr>
          <w:rFonts w:cs="Calibri"/>
          <w:snapToGrid/>
          <w:szCs w:val="24"/>
          <w:lang w:eastAsia="en-AU"/>
        </w:rPr>
        <w:t xml:space="preserve"> </w:t>
      </w:r>
      <w:r w:rsidRPr="00F90B95">
        <w:rPr>
          <w:rFonts w:cs="Calibri"/>
          <w:snapToGrid/>
          <w:szCs w:val="24"/>
          <w:lang w:eastAsia="en-AU"/>
        </w:rPr>
        <w:t>would be</w:t>
      </w:r>
      <w:r w:rsidR="006C2B82" w:rsidRPr="00F90B95">
        <w:rPr>
          <w:rFonts w:cs="Calibri"/>
          <w:snapToGrid/>
          <w:szCs w:val="24"/>
          <w:lang w:eastAsia="en-AU"/>
        </w:rPr>
        <w:t xml:space="preserve"> </w:t>
      </w:r>
      <w:r w:rsidR="00E2393D" w:rsidRPr="00F90B95">
        <w:rPr>
          <w:rFonts w:cs="Calibri"/>
          <w:snapToGrid/>
          <w:szCs w:val="24"/>
          <w:lang w:eastAsia="en-AU"/>
        </w:rPr>
        <w:t>important</w:t>
      </w:r>
      <w:r w:rsidR="006C2B82" w:rsidRPr="00F90B95">
        <w:rPr>
          <w:rFonts w:cs="Calibri"/>
          <w:snapToGrid/>
          <w:szCs w:val="24"/>
          <w:lang w:eastAsia="en-AU"/>
        </w:rPr>
        <w:t xml:space="preserve"> to establishing the </w:t>
      </w:r>
      <w:r w:rsidR="00B04252">
        <w:rPr>
          <w:rFonts w:cs="Calibri"/>
          <w:snapToGrid/>
          <w:szCs w:val="24"/>
          <w:lang w:eastAsia="en-AU"/>
        </w:rPr>
        <w:t xml:space="preserve">comparative effect </w:t>
      </w:r>
      <w:r w:rsidR="006C2B82" w:rsidRPr="00F90B95">
        <w:rPr>
          <w:rFonts w:cs="Calibri"/>
          <w:snapToGrid/>
          <w:szCs w:val="24"/>
          <w:lang w:eastAsia="en-AU"/>
        </w:rPr>
        <w:t xml:space="preserve">of </w:t>
      </w:r>
      <w:r w:rsidR="00F62933">
        <w:rPr>
          <w:rFonts w:cs="Calibri"/>
          <w:snapToGrid/>
          <w:szCs w:val="24"/>
          <w:lang w:eastAsia="en-AU"/>
        </w:rPr>
        <w:t>pembrolizumab compared to chemotherapy in Stage IV MSI-H/</w:t>
      </w:r>
      <w:proofErr w:type="spellStart"/>
      <w:r w:rsidR="00F62933">
        <w:rPr>
          <w:rFonts w:cs="Calibri"/>
          <w:snapToGrid/>
          <w:szCs w:val="24"/>
          <w:lang w:eastAsia="en-AU"/>
        </w:rPr>
        <w:t>dMMR</w:t>
      </w:r>
      <w:proofErr w:type="spellEnd"/>
      <w:r w:rsidR="00F62933">
        <w:rPr>
          <w:rFonts w:cs="Calibri"/>
          <w:snapToGrid/>
          <w:szCs w:val="24"/>
          <w:lang w:eastAsia="en-AU"/>
        </w:rPr>
        <w:t xml:space="preserve"> </w:t>
      </w:r>
      <w:proofErr w:type="spellStart"/>
      <w:r w:rsidR="00F62933">
        <w:rPr>
          <w:rFonts w:cs="Calibri"/>
          <w:snapToGrid/>
          <w:szCs w:val="24"/>
          <w:lang w:eastAsia="en-AU"/>
        </w:rPr>
        <w:t>mCRC</w:t>
      </w:r>
      <w:proofErr w:type="spellEnd"/>
      <w:r w:rsidR="00C03854" w:rsidRPr="00F90B95">
        <w:rPr>
          <w:rFonts w:cs="Calibri"/>
          <w:snapToGrid/>
          <w:szCs w:val="24"/>
          <w:lang w:eastAsia="en-AU"/>
        </w:rPr>
        <w:t xml:space="preserve">. </w:t>
      </w:r>
      <w:r w:rsidR="006C2B82" w:rsidRPr="00F90B95">
        <w:rPr>
          <w:rFonts w:cs="Calibri"/>
          <w:snapToGrid/>
          <w:szCs w:val="24"/>
          <w:lang w:eastAsia="en-AU"/>
        </w:rPr>
        <w:t>The estimated study completion date is September 2019 (ClinicalTrials.gov Identifier: NCT02563002)</w:t>
      </w:r>
      <w:r w:rsidR="00045017" w:rsidRPr="00F90B95">
        <w:rPr>
          <w:rFonts w:cs="Calibri"/>
          <w:snapToGrid/>
          <w:szCs w:val="24"/>
          <w:lang w:eastAsia="en-AU"/>
        </w:rPr>
        <w:t>.</w:t>
      </w:r>
      <w:r w:rsidR="006A250B" w:rsidRPr="00F90B95">
        <w:rPr>
          <w:rFonts w:cs="Calibri"/>
          <w:snapToGrid/>
          <w:szCs w:val="24"/>
          <w:lang w:eastAsia="en-AU"/>
        </w:rPr>
        <w:t xml:space="preserve"> The </w:t>
      </w:r>
      <w:r w:rsidR="001D6F51">
        <w:rPr>
          <w:rFonts w:cs="Calibri"/>
          <w:snapToGrid/>
          <w:szCs w:val="24"/>
          <w:lang w:eastAsia="en-AU"/>
        </w:rPr>
        <w:lastRenderedPageBreak/>
        <w:t>Pre-Sub-Committee Response (</w:t>
      </w:r>
      <w:r w:rsidR="006A250B" w:rsidRPr="00F90B95">
        <w:rPr>
          <w:rFonts w:cs="Calibri"/>
          <w:snapToGrid/>
          <w:szCs w:val="24"/>
          <w:lang w:eastAsia="en-AU"/>
        </w:rPr>
        <w:t>PSCR</w:t>
      </w:r>
      <w:r w:rsidR="001D6F51">
        <w:rPr>
          <w:rFonts w:cs="Calibri"/>
          <w:snapToGrid/>
          <w:szCs w:val="24"/>
          <w:lang w:eastAsia="en-AU"/>
        </w:rPr>
        <w:t>)</w:t>
      </w:r>
      <w:r w:rsidR="006A250B" w:rsidRPr="00F90B95">
        <w:rPr>
          <w:rFonts w:cs="Calibri"/>
          <w:snapToGrid/>
          <w:szCs w:val="24"/>
          <w:lang w:eastAsia="en-AU"/>
        </w:rPr>
        <w:t xml:space="preserve"> stated that the preliminary data from KN177 was not </w:t>
      </w:r>
      <w:r w:rsidR="008A37D2" w:rsidRPr="00F90B95">
        <w:rPr>
          <w:rFonts w:cs="Calibri"/>
          <w:snapToGrid/>
          <w:szCs w:val="24"/>
          <w:lang w:eastAsia="en-AU"/>
        </w:rPr>
        <w:t xml:space="preserve">yet </w:t>
      </w:r>
      <w:r w:rsidR="006A250B" w:rsidRPr="00F90B95">
        <w:rPr>
          <w:rFonts w:cs="Calibri"/>
          <w:snapToGrid/>
          <w:szCs w:val="24"/>
          <w:lang w:eastAsia="en-AU"/>
        </w:rPr>
        <w:t>available.</w:t>
      </w:r>
    </w:p>
    <w:p w:rsidR="007F1017" w:rsidRPr="00F90B95" w:rsidRDefault="00302BF4" w:rsidP="00662FCF">
      <w:pPr>
        <w:pStyle w:val="ListParagraph"/>
        <w:widowControl/>
        <w:numPr>
          <w:ilvl w:val="1"/>
          <w:numId w:val="7"/>
        </w:numPr>
        <w:spacing w:after="120"/>
      </w:pPr>
      <w:r w:rsidRPr="00F90B95">
        <w:t>The key features of the included studies are summarised in the table below.</w:t>
      </w:r>
    </w:p>
    <w:p w:rsidR="000B3CA5" w:rsidRPr="00F90B95" w:rsidRDefault="000B3CA5" w:rsidP="008A5A7F">
      <w:pPr>
        <w:pStyle w:val="Caption"/>
      </w:pPr>
      <w:r w:rsidRPr="00F90B95">
        <w:t xml:space="preserve">Table </w:t>
      </w:r>
      <w:r w:rsidR="00E04C56" w:rsidRPr="00F90B95">
        <w:t>3</w:t>
      </w:r>
      <w:r w:rsidRPr="00F90B95">
        <w:t>:</w:t>
      </w:r>
      <w:r w:rsidRPr="00F90B95">
        <w:rPr>
          <w:rStyle w:val="CommentReference"/>
          <w:b/>
          <w:szCs w:val="18"/>
        </w:rPr>
        <w:t xml:space="preserve"> Key features of the included clinical evidence – </w:t>
      </w:r>
      <w:r w:rsidR="00F04CC3" w:rsidRPr="00F90B95">
        <w:rPr>
          <w:rStyle w:val="CommentReference"/>
          <w:b/>
          <w:szCs w:val="18"/>
        </w:rPr>
        <w:t>n</w:t>
      </w:r>
      <w:r w:rsidRPr="00F90B95">
        <w:rPr>
          <w:rStyle w:val="CommentReference"/>
          <w:b/>
          <w:szCs w:val="18"/>
        </w:rPr>
        <w:t>a</w:t>
      </w:r>
      <w:r w:rsidR="00A006C3" w:rsidRPr="00F90B95">
        <w:rPr>
          <w:rStyle w:val="CommentReference"/>
          <w:b/>
          <w:szCs w:val="18"/>
        </w:rPr>
        <w:t>ï</w:t>
      </w:r>
      <w:r w:rsidRPr="00F90B95">
        <w:rPr>
          <w:rStyle w:val="CommentReference"/>
          <w:b/>
          <w:szCs w:val="18"/>
        </w:rPr>
        <w:t xml:space="preserve">ve </w:t>
      </w:r>
      <w:r w:rsidR="003408BA" w:rsidRPr="00F90B95">
        <w:rPr>
          <w:rStyle w:val="CommentReference"/>
          <w:b/>
          <w:szCs w:val="18"/>
        </w:rPr>
        <w:t xml:space="preserve">indirect </w:t>
      </w:r>
      <w:r w:rsidRPr="00F90B95">
        <w:rPr>
          <w:rStyle w:val="CommentReference"/>
          <w:b/>
          <w:szCs w:val="18"/>
        </w:rPr>
        <w:t>comparison</w:t>
      </w:r>
      <w:r w:rsidR="00A407BB" w:rsidRPr="00F90B95">
        <w:rPr>
          <w:rStyle w:val="CommentReference"/>
          <w:b/>
          <w:szCs w:val="18"/>
        </w:rPr>
        <w:t>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clinical evidence – naïve indirect comparisons"/>
      </w:tblPr>
      <w:tblGrid>
        <w:gridCol w:w="1292"/>
        <w:gridCol w:w="841"/>
        <w:gridCol w:w="1695"/>
        <w:gridCol w:w="825"/>
        <w:gridCol w:w="1539"/>
        <w:gridCol w:w="1293"/>
        <w:gridCol w:w="1409"/>
      </w:tblGrid>
      <w:tr w:rsidR="0007740B" w:rsidRPr="00F90B95" w:rsidTr="005120A5">
        <w:trPr>
          <w:cantSplit/>
          <w:tblHeader/>
        </w:trPr>
        <w:tc>
          <w:tcPr>
            <w:tcW w:w="726" w:type="pct"/>
            <w:shd w:val="clear" w:color="auto" w:fill="auto"/>
            <w:vAlign w:val="center"/>
          </w:tcPr>
          <w:p w:rsidR="0007740B" w:rsidRPr="00F90B95" w:rsidRDefault="0007740B" w:rsidP="008A5A7F">
            <w:pPr>
              <w:pStyle w:val="Tabletext"/>
              <w:rPr>
                <w:b/>
              </w:rPr>
            </w:pPr>
            <w:r w:rsidRPr="00F90B95">
              <w:rPr>
                <w:b/>
              </w:rPr>
              <w:t>Studies</w:t>
            </w:r>
          </w:p>
        </w:tc>
        <w:tc>
          <w:tcPr>
            <w:tcW w:w="473" w:type="pct"/>
            <w:shd w:val="clear" w:color="auto" w:fill="auto"/>
            <w:vAlign w:val="center"/>
          </w:tcPr>
          <w:p w:rsidR="0007740B" w:rsidRPr="00F90B95" w:rsidRDefault="0007740B" w:rsidP="008A5A7F">
            <w:pPr>
              <w:pStyle w:val="Tabletext"/>
              <w:jc w:val="center"/>
              <w:rPr>
                <w:b/>
              </w:rPr>
            </w:pPr>
            <w:r w:rsidRPr="00F90B95">
              <w:rPr>
                <w:b/>
              </w:rPr>
              <w:t>N</w:t>
            </w:r>
          </w:p>
        </w:tc>
        <w:tc>
          <w:tcPr>
            <w:tcW w:w="953" w:type="pct"/>
            <w:shd w:val="clear" w:color="auto" w:fill="auto"/>
            <w:vAlign w:val="center"/>
          </w:tcPr>
          <w:p w:rsidR="0007740B" w:rsidRPr="00F90B95" w:rsidRDefault="0007740B" w:rsidP="008A5A7F">
            <w:pPr>
              <w:pStyle w:val="Tabletext"/>
              <w:jc w:val="center"/>
              <w:rPr>
                <w:b/>
              </w:rPr>
            </w:pPr>
            <w:r w:rsidRPr="00F90B95">
              <w:rPr>
                <w:b/>
              </w:rPr>
              <w:t>Design/duration</w:t>
            </w:r>
          </w:p>
        </w:tc>
        <w:tc>
          <w:tcPr>
            <w:tcW w:w="464" w:type="pct"/>
            <w:shd w:val="clear" w:color="auto" w:fill="auto"/>
            <w:vAlign w:val="center"/>
          </w:tcPr>
          <w:p w:rsidR="0007740B" w:rsidRPr="00F90B95" w:rsidRDefault="0007740B" w:rsidP="008A5A7F">
            <w:pPr>
              <w:pStyle w:val="Tabletext"/>
              <w:jc w:val="center"/>
              <w:rPr>
                <w:b/>
                <w:vertAlign w:val="superscript"/>
              </w:rPr>
            </w:pPr>
            <w:r w:rsidRPr="00F90B95">
              <w:rPr>
                <w:b/>
              </w:rPr>
              <w:t>Risk of bias</w:t>
            </w:r>
            <w:r w:rsidRPr="00F90B95">
              <w:rPr>
                <w:b/>
                <w:vertAlign w:val="superscript"/>
              </w:rPr>
              <w:t>2</w:t>
            </w:r>
          </w:p>
        </w:tc>
        <w:tc>
          <w:tcPr>
            <w:tcW w:w="865" w:type="pct"/>
            <w:shd w:val="clear" w:color="auto" w:fill="auto"/>
            <w:vAlign w:val="center"/>
          </w:tcPr>
          <w:p w:rsidR="0007740B" w:rsidRPr="00F90B95" w:rsidRDefault="0007740B" w:rsidP="008A5A7F">
            <w:pPr>
              <w:pStyle w:val="Tabletext"/>
              <w:jc w:val="center"/>
              <w:rPr>
                <w:b/>
              </w:rPr>
            </w:pPr>
            <w:r w:rsidRPr="00F90B95">
              <w:rPr>
                <w:b/>
              </w:rPr>
              <w:t>Patient population</w:t>
            </w:r>
          </w:p>
        </w:tc>
        <w:tc>
          <w:tcPr>
            <w:tcW w:w="727" w:type="pct"/>
            <w:shd w:val="clear" w:color="auto" w:fill="auto"/>
            <w:vAlign w:val="center"/>
          </w:tcPr>
          <w:p w:rsidR="0007740B" w:rsidRPr="00F90B95" w:rsidRDefault="0007740B" w:rsidP="008A5A7F">
            <w:pPr>
              <w:pStyle w:val="Tabletext"/>
              <w:jc w:val="center"/>
              <w:rPr>
                <w:b/>
              </w:rPr>
            </w:pPr>
            <w:r w:rsidRPr="00F90B95">
              <w:rPr>
                <w:b/>
              </w:rPr>
              <w:t>Outcome</w:t>
            </w:r>
            <w:r w:rsidR="0004366C" w:rsidRPr="00F90B95">
              <w:rPr>
                <w:b/>
              </w:rPr>
              <w:t>s</w:t>
            </w:r>
          </w:p>
        </w:tc>
        <w:tc>
          <w:tcPr>
            <w:tcW w:w="792" w:type="pct"/>
            <w:shd w:val="clear" w:color="auto" w:fill="auto"/>
            <w:vAlign w:val="center"/>
          </w:tcPr>
          <w:p w:rsidR="0007740B" w:rsidRPr="00F90B95" w:rsidRDefault="0007740B" w:rsidP="008A5A7F">
            <w:pPr>
              <w:pStyle w:val="Tabletext"/>
              <w:jc w:val="center"/>
              <w:rPr>
                <w:b/>
              </w:rPr>
            </w:pPr>
            <w:r w:rsidRPr="00F90B95">
              <w:rPr>
                <w:b/>
              </w:rPr>
              <w:t>Use in modelled evaluation</w:t>
            </w:r>
          </w:p>
        </w:tc>
      </w:tr>
      <w:tr w:rsidR="0007740B" w:rsidRPr="00F90B95" w:rsidTr="005120A5">
        <w:trPr>
          <w:cantSplit/>
        </w:trPr>
        <w:tc>
          <w:tcPr>
            <w:tcW w:w="5000" w:type="pct"/>
            <w:gridSpan w:val="7"/>
            <w:shd w:val="clear" w:color="auto" w:fill="auto"/>
            <w:vAlign w:val="center"/>
          </w:tcPr>
          <w:p w:rsidR="0007740B" w:rsidRPr="00F90B95" w:rsidRDefault="0007740B" w:rsidP="008A5A7F">
            <w:pPr>
              <w:pStyle w:val="Tabletext"/>
              <w:rPr>
                <w:b/>
              </w:rPr>
            </w:pPr>
            <w:r w:rsidRPr="00F90B95">
              <w:rPr>
                <w:b/>
              </w:rPr>
              <w:t>P</w:t>
            </w:r>
            <w:r w:rsidR="0046036E" w:rsidRPr="00F90B95">
              <w:rPr>
                <w:b/>
              </w:rPr>
              <w:t>embrolizumab</w:t>
            </w:r>
          </w:p>
        </w:tc>
      </w:tr>
      <w:tr w:rsidR="0007740B" w:rsidRPr="00F90B95" w:rsidTr="005120A5">
        <w:trPr>
          <w:cantSplit/>
        </w:trPr>
        <w:tc>
          <w:tcPr>
            <w:tcW w:w="726" w:type="pct"/>
            <w:shd w:val="clear" w:color="auto" w:fill="auto"/>
          </w:tcPr>
          <w:p w:rsidR="0007740B" w:rsidRPr="00F90B95" w:rsidRDefault="0007740B" w:rsidP="008A5A7F">
            <w:pPr>
              <w:pStyle w:val="Tabletext"/>
            </w:pPr>
            <w:r w:rsidRPr="00F90B95">
              <w:t>KN164</w:t>
            </w:r>
          </w:p>
        </w:tc>
        <w:tc>
          <w:tcPr>
            <w:tcW w:w="473" w:type="pct"/>
            <w:shd w:val="clear" w:color="auto" w:fill="auto"/>
          </w:tcPr>
          <w:p w:rsidR="0007740B" w:rsidRPr="00F90B95" w:rsidRDefault="0007740B" w:rsidP="008A5A7F">
            <w:pPr>
              <w:pStyle w:val="Tabletext"/>
            </w:pPr>
            <w:r w:rsidRPr="00F90B95">
              <w:t>N = 61</w:t>
            </w:r>
          </w:p>
        </w:tc>
        <w:tc>
          <w:tcPr>
            <w:tcW w:w="953" w:type="pct"/>
            <w:shd w:val="clear" w:color="auto" w:fill="auto"/>
          </w:tcPr>
          <w:p w:rsidR="0046036E" w:rsidRPr="00F90B95" w:rsidRDefault="00A407BB" w:rsidP="008A5A7F">
            <w:pPr>
              <w:pStyle w:val="Tabletext"/>
            </w:pPr>
            <w:r w:rsidRPr="00F90B95">
              <w:rPr>
                <w:b/>
              </w:rPr>
              <w:t>Single-</w:t>
            </w:r>
            <w:r w:rsidR="0007740B" w:rsidRPr="00F90B95">
              <w:rPr>
                <w:b/>
              </w:rPr>
              <w:t>arm</w:t>
            </w:r>
            <w:r w:rsidRPr="00F90B95">
              <w:rPr>
                <w:b/>
              </w:rPr>
              <w:t xml:space="preserve"> study</w:t>
            </w:r>
            <w:r w:rsidR="0046036E" w:rsidRPr="00F90B95">
              <w:rPr>
                <w:b/>
              </w:rPr>
              <w:t>;</w:t>
            </w:r>
            <w:r w:rsidR="0007740B" w:rsidRPr="00F90B95">
              <w:t xml:space="preserve"> </w:t>
            </w:r>
          </w:p>
          <w:p w:rsidR="0007740B" w:rsidRPr="00F90B95" w:rsidRDefault="0007740B" w:rsidP="008A5A7F">
            <w:pPr>
              <w:pStyle w:val="Tabletext"/>
            </w:pPr>
            <w:r w:rsidRPr="00F90B95">
              <w:t>200</w:t>
            </w:r>
            <w:r w:rsidR="00994196" w:rsidRPr="00F90B95">
              <w:t> </w:t>
            </w:r>
            <w:r w:rsidRPr="00F90B95">
              <w:t>mg Q3W</w:t>
            </w:r>
            <w:r w:rsidR="0046036E" w:rsidRPr="00F90B95">
              <w:t>;</w:t>
            </w:r>
          </w:p>
          <w:p w:rsidR="0007740B" w:rsidRPr="00F90B95" w:rsidRDefault="0007740B" w:rsidP="008A5A7F">
            <w:pPr>
              <w:pStyle w:val="Tabletext"/>
            </w:pPr>
            <w:r w:rsidRPr="00F90B95">
              <w:t>Median follow-up</w:t>
            </w:r>
            <w:r w:rsidR="0046036E" w:rsidRPr="00F90B95">
              <w:t>:</w:t>
            </w:r>
            <w:r w:rsidRPr="00F90B95">
              <w:t xml:space="preserve"> 13.2 months</w:t>
            </w:r>
          </w:p>
        </w:tc>
        <w:tc>
          <w:tcPr>
            <w:tcW w:w="464" w:type="pct"/>
            <w:shd w:val="clear" w:color="auto" w:fill="auto"/>
          </w:tcPr>
          <w:p w:rsidR="0007740B" w:rsidRPr="00F90B95" w:rsidRDefault="0007740B" w:rsidP="008A5A7F">
            <w:pPr>
              <w:pStyle w:val="Tabletext"/>
            </w:pPr>
            <w:r w:rsidRPr="00F90B95">
              <w:t>HIGH</w:t>
            </w:r>
          </w:p>
        </w:tc>
        <w:tc>
          <w:tcPr>
            <w:tcW w:w="865" w:type="pct"/>
            <w:shd w:val="clear" w:color="auto" w:fill="auto"/>
          </w:tcPr>
          <w:p w:rsidR="0007740B" w:rsidRPr="00F90B95" w:rsidRDefault="0007740B" w:rsidP="008A5A7F">
            <w:pPr>
              <w:pStyle w:val="Tabletext"/>
            </w:pPr>
            <w:proofErr w:type="spellStart"/>
            <w:r w:rsidRPr="00F90B95">
              <w:t>dMMR</w:t>
            </w:r>
            <w:proofErr w:type="spellEnd"/>
            <w:r w:rsidRPr="00F90B95">
              <w:t xml:space="preserve"> or MSI-H Stage IV CRC;</w:t>
            </w:r>
          </w:p>
          <w:p w:rsidR="0007740B" w:rsidRPr="00F90B95" w:rsidRDefault="0007740B" w:rsidP="008A5A7F">
            <w:pPr>
              <w:pStyle w:val="Tabletext"/>
            </w:pPr>
            <w:r w:rsidRPr="00F90B95">
              <w:t xml:space="preserve">90% </w:t>
            </w:r>
            <w:r w:rsidR="00E0446A" w:rsidRPr="00F90B95">
              <w:t xml:space="preserve">had </w:t>
            </w:r>
            <w:r w:rsidRPr="00F90B95">
              <w:t xml:space="preserve">failed 2 prior </w:t>
            </w:r>
            <w:r w:rsidR="003408BA" w:rsidRPr="00F90B95">
              <w:t xml:space="preserve">treatment </w:t>
            </w:r>
            <w:r w:rsidRPr="00F90B95">
              <w:t xml:space="preserve">lines </w:t>
            </w:r>
          </w:p>
        </w:tc>
        <w:tc>
          <w:tcPr>
            <w:tcW w:w="727" w:type="pct"/>
            <w:shd w:val="clear" w:color="auto" w:fill="auto"/>
          </w:tcPr>
          <w:p w:rsidR="0007740B" w:rsidRPr="00F90B95" w:rsidRDefault="00A407BB" w:rsidP="008A5A7F">
            <w:pPr>
              <w:pStyle w:val="Tabletext"/>
            </w:pPr>
            <w:r w:rsidRPr="00F90B95">
              <w:t>Primary: o</w:t>
            </w:r>
            <w:r w:rsidR="004E1C13" w:rsidRPr="00F90B95">
              <w:t>bjective</w:t>
            </w:r>
            <w:r w:rsidR="0007740B" w:rsidRPr="00F90B95">
              <w:t xml:space="preserve"> response; Secondary: duration of response</w:t>
            </w:r>
            <w:r w:rsidR="0046036E" w:rsidRPr="00F90B95">
              <w:t>,</w:t>
            </w:r>
            <w:r w:rsidR="00363B4F" w:rsidRPr="00F90B95">
              <w:t xml:space="preserve"> </w:t>
            </w:r>
            <w:r w:rsidR="0007740B" w:rsidRPr="00F90B95">
              <w:t>PFS, OS</w:t>
            </w:r>
            <w:r w:rsidR="0007740B" w:rsidRPr="00F90B95">
              <w:rPr>
                <w:vertAlign w:val="superscript"/>
              </w:rPr>
              <w:t>1</w:t>
            </w:r>
            <w:r w:rsidR="0007740B" w:rsidRPr="00F90B95">
              <w:t>, safety</w:t>
            </w:r>
          </w:p>
        </w:tc>
        <w:tc>
          <w:tcPr>
            <w:tcW w:w="792" w:type="pct"/>
            <w:shd w:val="clear" w:color="auto" w:fill="auto"/>
          </w:tcPr>
          <w:p w:rsidR="0007740B" w:rsidRPr="00F90B95" w:rsidRDefault="0007740B" w:rsidP="008A5A7F">
            <w:pPr>
              <w:pStyle w:val="Tabletext"/>
            </w:pPr>
            <w:r w:rsidRPr="00F90B95">
              <w:t>USED</w:t>
            </w:r>
          </w:p>
          <w:p w:rsidR="00C03854" w:rsidRPr="00F90B95" w:rsidRDefault="00C03854" w:rsidP="008A5A7F">
            <w:pPr>
              <w:pStyle w:val="Tabletext"/>
            </w:pPr>
          </w:p>
          <w:p w:rsidR="0007740B" w:rsidRPr="00F90B95" w:rsidRDefault="0007740B" w:rsidP="008A5A7F">
            <w:pPr>
              <w:pStyle w:val="Tabletext"/>
            </w:pPr>
            <w:r w:rsidRPr="00F90B95">
              <w:t>PFS</w:t>
            </w:r>
          </w:p>
          <w:p w:rsidR="0007740B" w:rsidRPr="00F90B95" w:rsidRDefault="0007740B" w:rsidP="008A5A7F">
            <w:pPr>
              <w:pStyle w:val="Tabletext"/>
            </w:pPr>
            <w:r w:rsidRPr="00F90B95">
              <w:t>OS</w:t>
            </w:r>
          </w:p>
          <w:p w:rsidR="0007740B" w:rsidRPr="00F90B95" w:rsidRDefault="0007740B" w:rsidP="008A5A7F">
            <w:pPr>
              <w:pStyle w:val="Tabletext"/>
            </w:pPr>
            <w:r w:rsidRPr="00F90B95">
              <w:t>HR OS:PFS</w:t>
            </w:r>
          </w:p>
          <w:p w:rsidR="0007740B" w:rsidRPr="00F90B95" w:rsidRDefault="0007740B" w:rsidP="008A5A7F">
            <w:pPr>
              <w:pStyle w:val="Tabletext"/>
            </w:pPr>
            <w:r w:rsidRPr="00F90B95">
              <w:t xml:space="preserve">HR </w:t>
            </w:r>
            <w:proofErr w:type="spellStart"/>
            <w:r w:rsidR="00913A63" w:rsidRPr="00F90B95">
              <w:t>ToT</w:t>
            </w:r>
            <w:r w:rsidRPr="00F90B95">
              <w:t>:PFS</w:t>
            </w:r>
            <w:proofErr w:type="spellEnd"/>
          </w:p>
        </w:tc>
      </w:tr>
      <w:tr w:rsidR="0007740B" w:rsidRPr="00F90B95" w:rsidTr="005120A5">
        <w:trPr>
          <w:cantSplit/>
        </w:trPr>
        <w:tc>
          <w:tcPr>
            <w:tcW w:w="5000" w:type="pct"/>
            <w:gridSpan w:val="7"/>
            <w:shd w:val="clear" w:color="auto" w:fill="auto"/>
          </w:tcPr>
          <w:p w:rsidR="0007740B" w:rsidRPr="00F90B95" w:rsidRDefault="00A407BB" w:rsidP="008A5A7F">
            <w:pPr>
              <w:pStyle w:val="Tabletext"/>
            </w:pPr>
            <w:r w:rsidRPr="00F90B95">
              <w:rPr>
                <w:b/>
              </w:rPr>
              <w:t>Main comparators</w:t>
            </w:r>
          </w:p>
        </w:tc>
      </w:tr>
      <w:tr w:rsidR="00363B4F" w:rsidRPr="00F90B95" w:rsidTr="005120A5">
        <w:trPr>
          <w:cantSplit/>
        </w:trPr>
        <w:tc>
          <w:tcPr>
            <w:tcW w:w="726" w:type="pct"/>
            <w:shd w:val="clear" w:color="auto" w:fill="auto"/>
          </w:tcPr>
          <w:p w:rsidR="00363B4F" w:rsidRPr="00F90B95" w:rsidRDefault="00363B4F" w:rsidP="008A5A7F">
            <w:pPr>
              <w:pStyle w:val="Tabletext"/>
              <w:rPr>
                <w:b/>
              </w:rPr>
            </w:pPr>
            <w:r w:rsidRPr="00F90B95">
              <w:rPr>
                <w:b/>
              </w:rPr>
              <w:t>5 x</w:t>
            </w:r>
          </w:p>
          <w:p w:rsidR="00363B4F" w:rsidRPr="00F90B95" w:rsidRDefault="00363B4F" w:rsidP="008A5A7F">
            <w:pPr>
              <w:pStyle w:val="Tabletext"/>
              <w:rPr>
                <w:b/>
              </w:rPr>
            </w:pPr>
            <w:r w:rsidRPr="00F90B95">
              <w:rPr>
                <w:b/>
              </w:rPr>
              <w:t>chemotherapy studies</w:t>
            </w:r>
          </w:p>
        </w:tc>
        <w:tc>
          <w:tcPr>
            <w:tcW w:w="473" w:type="pct"/>
            <w:shd w:val="clear" w:color="auto" w:fill="auto"/>
          </w:tcPr>
          <w:p w:rsidR="00363B4F" w:rsidRPr="00F90B95" w:rsidRDefault="00363B4F" w:rsidP="008A5A7F">
            <w:pPr>
              <w:pStyle w:val="Tabletext"/>
            </w:pPr>
            <w:r w:rsidRPr="00F90B95">
              <w:t>Range:</w:t>
            </w:r>
          </w:p>
          <w:p w:rsidR="00363B4F" w:rsidRPr="00F90B95" w:rsidRDefault="00363B4F" w:rsidP="008A5A7F">
            <w:pPr>
              <w:pStyle w:val="Tabletext"/>
            </w:pPr>
            <w:r w:rsidRPr="00F90B95">
              <w:t>N = 44 to N = 614</w:t>
            </w:r>
          </w:p>
        </w:tc>
        <w:tc>
          <w:tcPr>
            <w:tcW w:w="953" w:type="pct"/>
            <w:shd w:val="clear" w:color="auto" w:fill="auto"/>
          </w:tcPr>
          <w:p w:rsidR="00363B4F" w:rsidRPr="00F90B95" w:rsidRDefault="00363B4F" w:rsidP="008A5A7F">
            <w:pPr>
              <w:pStyle w:val="Tabletext"/>
            </w:pPr>
            <w:r w:rsidRPr="00F90B95">
              <w:t xml:space="preserve">4 of 5 studies were </w:t>
            </w:r>
            <w:r w:rsidR="00A407BB" w:rsidRPr="00F90B95">
              <w:t xml:space="preserve">single arms extracted from </w:t>
            </w:r>
            <w:r w:rsidRPr="00F90B95">
              <w:t>randomised</w:t>
            </w:r>
            <w:r w:rsidR="00A407BB" w:rsidRPr="00F90B95">
              <w:t xml:space="preserve"> trials</w:t>
            </w:r>
            <w:r w:rsidRPr="00F90B95">
              <w:t xml:space="preserve"> used for naïve comparisons</w:t>
            </w:r>
            <w:r w:rsidR="00A407BB" w:rsidRPr="00F90B95">
              <w:t>;</w:t>
            </w:r>
          </w:p>
          <w:p w:rsidR="00363B4F" w:rsidRPr="00F90B95" w:rsidRDefault="00363B4F" w:rsidP="008A5A7F">
            <w:pPr>
              <w:pStyle w:val="Tabletext"/>
            </w:pPr>
            <w:r w:rsidRPr="00F90B95">
              <w:t>Median follow-up ranged from 22.3 months to 48.0 months.</w:t>
            </w:r>
          </w:p>
        </w:tc>
        <w:tc>
          <w:tcPr>
            <w:tcW w:w="464" w:type="pct"/>
            <w:shd w:val="clear" w:color="auto" w:fill="auto"/>
          </w:tcPr>
          <w:p w:rsidR="00363B4F" w:rsidRPr="00F90B95" w:rsidRDefault="00363B4F" w:rsidP="008A5A7F">
            <w:pPr>
              <w:pStyle w:val="Tabletext"/>
            </w:pPr>
            <w:r w:rsidRPr="00F90B95">
              <w:t>HIGH</w:t>
            </w:r>
          </w:p>
        </w:tc>
        <w:tc>
          <w:tcPr>
            <w:tcW w:w="865" w:type="pct"/>
            <w:shd w:val="clear" w:color="auto" w:fill="auto"/>
          </w:tcPr>
          <w:p w:rsidR="00363B4F" w:rsidRPr="00F90B95" w:rsidRDefault="00363B4F" w:rsidP="008A5A7F">
            <w:pPr>
              <w:pStyle w:val="Tabletext"/>
            </w:pPr>
            <w:r w:rsidRPr="00F90B95">
              <w:t xml:space="preserve">Locally advanced or </w:t>
            </w:r>
            <w:proofErr w:type="spellStart"/>
            <w:r w:rsidRPr="00F90B95">
              <w:t>mCRC</w:t>
            </w:r>
            <w:proofErr w:type="spellEnd"/>
            <w:r w:rsidRPr="00F90B95">
              <w:t xml:space="preserve">. All patients regardless of </w:t>
            </w:r>
            <w:proofErr w:type="spellStart"/>
            <w:r w:rsidRPr="00F90B95">
              <w:t>dMMR</w:t>
            </w:r>
            <w:proofErr w:type="spellEnd"/>
            <w:r w:rsidRPr="00F90B95">
              <w:t>/MSI-H status.</w:t>
            </w:r>
          </w:p>
          <w:p w:rsidR="00363B4F" w:rsidRPr="00F90B95" w:rsidRDefault="00363B4F" w:rsidP="008A5A7F">
            <w:pPr>
              <w:pStyle w:val="Tabletext"/>
            </w:pPr>
            <w:r w:rsidRPr="00F90B95">
              <w:t xml:space="preserve">3 of 5 studies had 100% of patients had failed only 1 prior line. Unclear for </w:t>
            </w:r>
            <w:r w:rsidR="00496335" w:rsidRPr="00F90B95">
              <w:t xml:space="preserve">2 of 5 </w:t>
            </w:r>
            <w:r w:rsidRPr="00F90B95">
              <w:t>studies.</w:t>
            </w:r>
          </w:p>
        </w:tc>
        <w:tc>
          <w:tcPr>
            <w:tcW w:w="727" w:type="pct"/>
            <w:shd w:val="clear" w:color="auto" w:fill="auto"/>
          </w:tcPr>
          <w:p w:rsidR="00363B4F" w:rsidRPr="00F90B95" w:rsidRDefault="00363B4F" w:rsidP="008A5A7F">
            <w:pPr>
              <w:pStyle w:val="Tabletext"/>
            </w:pPr>
            <w:r w:rsidRPr="00F90B95">
              <w:t>Primary outcome varied</w:t>
            </w:r>
            <w:r w:rsidR="00A407BB" w:rsidRPr="00F90B95">
              <w:t>:</w:t>
            </w:r>
            <w:r w:rsidRPr="00F90B95">
              <w:t xml:space="preserve"> ORR, OS, PFS, safety</w:t>
            </w:r>
          </w:p>
        </w:tc>
        <w:tc>
          <w:tcPr>
            <w:tcW w:w="792" w:type="pct"/>
            <w:shd w:val="clear" w:color="auto" w:fill="auto"/>
          </w:tcPr>
          <w:p w:rsidR="00363B4F" w:rsidRPr="00F90B95" w:rsidRDefault="00363B4F" w:rsidP="008A5A7F">
            <w:pPr>
              <w:pStyle w:val="Tabletext"/>
            </w:pPr>
            <w:r w:rsidRPr="00F90B95">
              <w:t>NOT USED</w:t>
            </w:r>
          </w:p>
        </w:tc>
      </w:tr>
      <w:tr w:rsidR="00363B4F" w:rsidRPr="00F90B95" w:rsidTr="005120A5">
        <w:trPr>
          <w:cantSplit/>
        </w:trPr>
        <w:tc>
          <w:tcPr>
            <w:tcW w:w="726" w:type="pct"/>
            <w:shd w:val="clear" w:color="auto" w:fill="auto"/>
          </w:tcPr>
          <w:p w:rsidR="00363B4F" w:rsidRPr="00F90B95" w:rsidRDefault="00363B4F" w:rsidP="008A5A7F">
            <w:pPr>
              <w:pStyle w:val="Tabletext"/>
              <w:rPr>
                <w:b/>
              </w:rPr>
            </w:pPr>
            <w:r w:rsidRPr="00F90B95">
              <w:rPr>
                <w:b/>
              </w:rPr>
              <w:t>1 x</w:t>
            </w:r>
          </w:p>
          <w:p w:rsidR="00363B4F" w:rsidRPr="00F90B95" w:rsidRDefault="00363B4F" w:rsidP="008A5A7F">
            <w:pPr>
              <w:pStyle w:val="Tabletext"/>
              <w:rPr>
                <w:b/>
              </w:rPr>
            </w:pPr>
            <w:proofErr w:type="spellStart"/>
            <w:r w:rsidRPr="00F90B95">
              <w:rPr>
                <w:b/>
              </w:rPr>
              <w:t>cetuximab</w:t>
            </w:r>
            <w:proofErr w:type="spellEnd"/>
            <w:r w:rsidRPr="00F90B95">
              <w:rPr>
                <w:b/>
              </w:rPr>
              <w:t xml:space="preserve"> + chemotherapy study</w:t>
            </w:r>
          </w:p>
        </w:tc>
        <w:tc>
          <w:tcPr>
            <w:tcW w:w="473" w:type="pct"/>
            <w:shd w:val="clear" w:color="auto" w:fill="auto"/>
          </w:tcPr>
          <w:p w:rsidR="00363B4F" w:rsidRPr="00F90B95" w:rsidRDefault="00363B4F" w:rsidP="008A5A7F">
            <w:pPr>
              <w:pStyle w:val="Tabletext"/>
            </w:pPr>
            <w:r w:rsidRPr="00F90B95">
              <w:t>N = 74</w:t>
            </w:r>
          </w:p>
        </w:tc>
        <w:tc>
          <w:tcPr>
            <w:tcW w:w="953" w:type="pct"/>
            <w:shd w:val="clear" w:color="auto" w:fill="auto"/>
          </w:tcPr>
          <w:p w:rsidR="00363B4F" w:rsidRPr="00F90B95" w:rsidRDefault="00A407BB" w:rsidP="008A5A7F">
            <w:pPr>
              <w:pStyle w:val="Tabletext"/>
            </w:pPr>
            <w:r w:rsidRPr="00F90B95">
              <w:t>S</w:t>
            </w:r>
            <w:r w:rsidR="00496335" w:rsidRPr="00F90B95">
              <w:t>ingle-</w:t>
            </w:r>
            <w:r w:rsidR="00363B4F" w:rsidRPr="00F90B95">
              <w:t xml:space="preserve">arm </w:t>
            </w:r>
            <w:r w:rsidRPr="00F90B95">
              <w:t>study extracted from a randomised trial</w:t>
            </w:r>
            <w:r w:rsidR="00363B4F" w:rsidRPr="00F90B95">
              <w:t xml:space="preserve"> used for naïve comparisons; </w:t>
            </w:r>
          </w:p>
          <w:p w:rsidR="00363B4F" w:rsidRPr="00F90B95" w:rsidRDefault="00363B4F" w:rsidP="008A5A7F">
            <w:pPr>
              <w:pStyle w:val="Tabletext"/>
            </w:pPr>
            <w:r w:rsidRPr="00F90B95">
              <w:t>Median follow-up 35.3 months</w:t>
            </w:r>
          </w:p>
        </w:tc>
        <w:tc>
          <w:tcPr>
            <w:tcW w:w="464" w:type="pct"/>
            <w:shd w:val="clear" w:color="auto" w:fill="auto"/>
          </w:tcPr>
          <w:p w:rsidR="00363B4F" w:rsidRPr="00F90B95" w:rsidRDefault="00363B4F" w:rsidP="008A5A7F">
            <w:pPr>
              <w:pStyle w:val="Tabletext"/>
            </w:pPr>
            <w:r w:rsidRPr="00F90B95">
              <w:t>HIGH</w:t>
            </w:r>
          </w:p>
        </w:tc>
        <w:tc>
          <w:tcPr>
            <w:tcW w:w="865" w:type="pct"/>
            <w:shd w:val="clear" w:color="auto" w:fill="auto"/>
          </w:tcPr>
          <w:p w:rsidR="00363B4F" w:rsidRPr="00F90B95" w:rsidRDefault="00363B4F" w:rsidP="008A5A7F">
            <w:pPr>
              <w:pStyle w:val="Tabletext"/>
            </w:pPr>
            <w:r w:rsidRPr="00F90B95">
              <w:t xml:space="preserve">Locally advanced or </w:t>
            </w:r>
            <w:proofErr w:type="spellStart"/>
            <w:r w:rsidRPr="00F90B95">
              <w:t>mCRC</w:t>
            </w:r>
            <w:proofErr w:type="spellEnd"/>
            <w:r w:rsidRPr="00F90B95">
              <w:t xml:space="preserve">. All patients regardless of </w:t>
            </w:r>
            <w:proofErr w:type="spellStart"/>
            <w:r w:rsidRPr="00F90B95">
              <w:t>dMMR</w:t>
            </w:r>
            <w:proofErr w:type="spellEnd"/>
            <w:r w:rsidRPr="00F90B95">
              <w:t>/MSI-H status. 100% of patients had failed only 1 prior line</w:t>
            </w:r>
            <w:r w:rsidR="00A407BB" w:rsidRPr="00F90B95">
              <w:t>.</w:t>
            </w:r>
          </w:p>
        </w:tc>
        <w:tc>
          <w:tcPr>
            <w:tcW w:w="727" w:type="pct"/>
            <w:shd w:val="clear" w:color="auto" w:fill="auto"/>
          </w:tcPr>
          <w:p w:rsidR="00363B4F" w:rsidRPr="00F90B95" w:rsidRDefault="00363B4F" w:rsidP="008A5A7F">
            <w:pPr>
              <w:pStyle w:val="Tabletext"/>
            </w:pPr>
            <w:r w:rsidRPr="00F90B95">
              <w:t>ORR, OS, PFS, safety</w:t>
            </w:r>
          </w:p>
        </w:tc>
        <w:tc>
          <w:tcPr>
            <w:tcW w:w="792" w:type="pct"/>
            <w:shd w:val="clear" w:color="auto" w:fill="auto"/>
          </w:tcPr>
          <w:p w:rsidR="00363B4F" w:rsidRPr="00F90B95" w:rsidRDefault="00363B4F" w:rsidP="008A5A7F">
            <w:pPr>
              <w:pStyle w:val="Tabletext"/>
            </w:pPr>
            <w:r w:rsidRPr="00F90B95">
              <w:t>NOT USED</w:t>
            </w:r>
          </w:p>
        </w:tc>
      </w:tr>
      <w:tr w:rsidR="0007740B" w:rsidRPr="00F90B95" w:rsidTr="005120A5">
        <w:trPr>
          <w:cantSplit/>
        </w:trPr>
        <w:tc>
          <w:tcPr>
            <w:tcW w:w="726" w:type="pct"/>
            <w:shd w:val="clear" w:color="auto" w:fill="auto"/>
          </w:tcPr>
          <w:p w:rsidR="0007740B" w:rsidRPr="00F90B95" w:rsidRDefault="0007740B" w:rsidP="008A5A7F">
            <w:pPr>
              <w:pStyle w:val="Tabletext"/>
            </w:pPr>
            <w:r w:rsidRPr="00F90B95">
              <w:rPr>
                <w:b/>
              </w:rPr>
              <w:t>9</w:t>
            </w:r>
            <w:r w:rsidR="00E0446A" w:rsidRPr="00F90B95">
              <w:rPr>
                <w:b/>
              </w:rPr>
              <w:t xml:space="preserve"> x</w:t>
            </w:r>
            <w:r w:rsidRPr="00F90B95">
              <w:rPr>
                <w:b/>
              </w:rPr>
              <w:t xml:space="preserve"> bevacizumab + chemo</w:t>
            </w:r>
            <w:r w:rsidR="003408BA" w:rsidRPr="00F90B95">
              <w:rPr>
                <w:b/>
              </w:rPr>
              <w:t>therapy</w:t>
            </w:r>
            <w:r w:rsidR="00A407BB" w:rsidRPr="00F90B95">
              <w:rPr>
                <w:b/>
              </w:rPr>
              <w:t xml:space="preserve"> studies</w:t>
            </w:r>
          </w:p>
        </w:tc>
        <w:tc>
          <w:tcPr>
            <w:tcW w:w="473" w:type="pct"/>
            <w:shd w:val="clear" w:color="auto" w:fill="auto"/>
          </w:tcPr>
          <w:p w:rsidR="0046036E" w:rsidRPr="00F90B95" w:rsidRDefault="0007740B" w:rsidP="008A5A7F">
            <w:pPr>
              <w:pStyle w:val="Tabletext"/>
            </w:pPr>
            <w:r w:rsidRPr="00F90B95">
              <w:t>Range</w:t>
            </w:r>
            <w:r w:rsidR="0046036E" w:rsidRPr="00F90B95">
              <w:t>:</w:t>
            </w:r>
          </w:p>
          <w:p w:rsidR="0007740B" w:rsidRPr="00F90B95" w:rsidRDefault="0007740B" w:rsidP="008A5A7F">
            <w:pPr>
              <w:pStyle w:val="Tabletext"/>
            </w:pPr>
            <w:r w:rsidRPr="00F90B95">
              <w:t>N = 35 to N = 407</w:t>
            </w:r>
          </w:p>
        </w:tc>
        <w:tc>
          <w:tcPr>
            <w:tcW w:w="953" w:type="pct"/>
            <w:shd w:val="clear" w:color="auto" w:fill="auto"/>
          </w:tcPr>
          <w:p w:rsidR="0007740B" w:rsidRPr="00F90B95" w:rsidRDefault="00A407BB" w:rsidP="008A5A7F">
            <w:pPr>
              <w:pStyle w:val="Tabletext"/>
            </w:pPr>
            <w:r w:rsidRPr="00F90B95">
              <w:t>S</w:t>
            </w:r>
            <w:r w:rsidR="00496335" w:rsidRPr="00F90B95">
              <w:t>ingle-</w:t>
            </w:r>
            <w:r w:rsidRPr="00F90B95">
              <w:t>arm studies extracted from randomised trials</w:t>
            </w:r>
            <w:r w:rsidR="0007740B" w:rsidRPr="00F90B95">
              <w:t xml:space="preserve"> used for naïve comparisons</w:t>
            </w:r>
            <w:r w:rsidR="0046036E" w:rsidRPr="00F90B95">
              <w:t>;</w:t>
            </w:r>
          </w:p>
          <w:p w:rsidR="0007740B" w:rsidRPr="00F90B95" w:rsidRDefault="0007740B" w:rsidP="008A5A7F">
            <w:pPr>
              <w:pStyle w:val="Tabletext"/>
            </w:pPr>
            <w:r w:rsidRPr="00F90B95">
              <w:t>Bev</w:t>
            </w:r>
            <w:r w:rsidR="00C03854" w:rsidRPr="00F90B95">
              <w:t xml:space="preserve">acizumab </w:t>
            </w:r>
            <w:r w:rsidRPr="00F90B95">
              <w:t>doses ranged from 5</w:t>
            </w:r>
            <w:r w:rsidR="00994196" w:rsidRPr="00F90B95">
              <w:t> </w:t>
            </w:r>
            <w:r w:rsidRPr="00F90B95">
              <w:t>mg/kg to 10</w:t>
            </w:r>
            <w:r w:rsidR="00994196" w:rsidRPr="00F90B95">
              <w:t> </w:t>
            </w:r>
            <w:r w:rsidRPr="00F90B95">
              <w:t>mg/kg across studies</w:t>
            </w:r>
            <w:r w:rsidR="0046036E" w:rsidRPr="00F90B95">
              <w:t>;</w:t>
            </w:r>
          </w:p>
          <w:p w:rsidR="0007740B" w:rsidRPr="00F90B95" w:rsidRDefault="0007740B" w:rsidP="008A5A7F">
            <w:pPr>
              <w:pStyle w:val="Tabletext"/>
            </w:pPr>
            <w:r w:rsidRPr="00F90B95">
              <w:t>Median follow-up ranged from 9.6 months to 28 months.</w:t>
            </w:r>
          </w:p>
        </w:tc>
        <w:tc>
          <w:tcPr>
            <w:tcW w:w="464" w:type="pct"/>
            <w:shd w:val="clear" w:color="auto" w:fill="auto"/>
          </w:tcPr>
          <w:p w:rsidR="0007740B" w:rsidRPr="00F90B95" w:rsidRDefault="0007740B" w:rsidP="008A5A7F">
            <w:pPr>
              <w:pStyle w:val="Tabletext"/>
            </w:pPr>
            <w:r w:rsidRPr="00F90B95">
              <w:t>HIGH</w:t>
            </w:r>
          </w:p>
        </w:tc>
        <w:tc>
          <w:tcPr>
            <w:tcW w:w="865" w:type="pct"/>
            <w:shd w:val="clear" w:color="auto" w:fill="auto"/>
          </w:tcPr>
          <w:p w:rsidR="0007740B" w:rsidRPr="00F90B95" w:rsidRDefault="0007740B" w:rsidP="008A5A7F">
            <w:pPr>
              <w:pStyle w:val="Tabletext"/>
            </w:pPr>
            <w:r w:rsidRPr="00F90B95">
              <w:t xml:space="preserve">Locally advanced or </w:t>
            </w:r>
            <w:proofErr w:type="spellStart"/>
            <w:r w:rsidRPr="00F90B95">
              <w:t>mCRC</w:t>
            </w:r>
            <w:proofErr w:type="spellEnd"/>
            <w:r w:rsidRPr="00F90B95">
              <w:t xml:space="preserve"> 7 of 9 enrolled </w:t>
            </w:r>
            <w:proofErr w:type="spellStart"/>
            <w:r w:rsidRPr="00F90B95">
              <w:t>mCRC</w:t>
            </w:r>
            <w:proofErr w:type="spellEnd"/>
            <w:r w:rsidRPr="00F90B95">
              <w:t xml:space="preserve">. All patients regardless of </w:t>
            </w:r>
            <w:proofErr w:type="spellStart"/>
            <w:r w:rsidRPr="00F90B95">
              <w:t>dMMR</w:t>
            </w:r>
            <w:proofErr w:type="spellEnd"/>
            <w:r w:rsidRPr="00F90B95">
              <w:t>/MSI-H status.</w:t>
            </w:r>
          </w:p>
          <w:p w:rsidR="0007740B" w:rsidRPr="00F90B95" w:rsidRDefault="0007740B" w:rsidP="008A5A7F">
            <w:pPr>
              <w:pStyle w:val="Tabletext"/>
            </w:pPr>
            <w:r w:rsidRPr="00F90B95">
              <w:t xml:space="preserve">7 of 9 studies had 100% of patients </w:t>
            </w:r>
            <w:r w:rsidR="00E0446A" w:rsidRPr="00F90B95">
              <w:t xml:space="preserve">had </w:t>
            </w:r>
            <w:r w:rsidRPr="00F90B95">
              <w:t>failed only 1 prior line. Not reported for remaining studies.</w:t>
            </w:r>
          </w:p>
        </w:tc>
        <w:tc>
          <w:tcPr>
            <w:tcW w:w="727" w:type="pct"/>
            <w:shd w:val="clear" w:color="auto" w:fill="auto"/>
          </w:tcPr>
          <w:p w:rsidR="0007740B" w:rsidRPr="00F90B95" w:rsidRDefault="00A407BB" w:rsidP="008A5A7F">
            <w:pPr>
              <w:pStyle w:val="Tabletext"/>
            </w:pPr>
            <w:r w:rsidRPr="00F90B95">
              <w:t xml:space="preserve">Primary outcome varied: </w:t>
            </w:r>
            <w:r w:rsidR="00496335" w:rsidRPr="00F90B95">
              <w:t>OS, PFS, ORR, safety</w:t>
            </w:r>
          </w:p>
        </w:tc>
        <w:tc>
          <w:tcPr>
            <w:tcW w:w="792" w:type="pct"/>
            <w:shd w:val="clear" w:color="auto" w:fill="auto"/>
          </w:tcPr>
          <w:p w:rsidR="0007740B" w:rsidRPr="00F90B95" w:rsidRDefault="0007740B" w:rsidP="008A5A7F">
            <w:pPr>
              <w:pStyle w:val="Tabletext"/>
            </w:pPr>
            <w:r w:rsidRPr="00F90B95">
              <w:t>NOT USED</w:t>
            </w:r>
          </w:p>
        </w:tc>
      </w:tr>
      <w:tr w:rsidR="0007740B" w:rsidRPr="00F90B95" w:rsidTr="005120A5">
        <w:trPr>
          <w:cantSplit/>
        </w:trPr>
        <w:tc>
          <w:tcPr>
            <w:tcW w:w="726" w:type="pct"/>
            <w:shd w:val="clear" w:color="auto" w:fill="auto"/>
          </w:tcPr>
          <w:p w:rsidR="00E0446A" w:rsidRPr="00F90B95" w:rsidRDefault="0007740B" w:rsidP="008A5A7F">
            <w:pPr>
              <w:pStyle w:val="Tabletext"/>
              <w:rPr>
                <w:b/>
              </w:rPr>
            </w:pPr>
            <w:r w:rsidRPr="00F90B95">
              <w:rPr>
                <w:b/>
              </w:rPr>
              <w:t xml:space="preserve">1 </w:t>
            </w:r>
            <w:r w:rsidR="00E0446A" w:rsidRPr="00F90B95">
              <w:rPr>
                <w:b/>
              </w:rPr>
              <w:t xml:space="preserve">x </w:t>
            </w:r>
          </w:p>
          <w:p w:rsidR="0007740B" w:rsidRPr="00F90B95" w:rsidRDefault="0007740B" w:rsidP="008A5A7F">
            <w:pPr>
              <w:pStyle w:val="Tabletext"/>
              <w:rPr>
                <w:b/>
              </w:rPr>
            </w:pPr>
            <w:r w:rsidRPr="00F90B95">
              <w:rPr>
                <w:b/>
              </w:rPr>
              <w:t>near term comparator study (</w:t>
            </w:r>
            <w:proofErr w:type="spellStart"/>
            <w:r w:rsidRPr="00F90B95">
              <w:rPr>
                <w:b/>
              </w:rPr>
              <w:t>nivolumab</w:t>
            </w:r>
            <w:proofErr w:type="spellEnd"/>
            <w:r w:rsidRPr="00F90B95">
              <w:rPr>
                <w:b/>
              </w:rPr>
              <w:t xml:space="preserve"> ± </w:t>
            </w:r>
            <w:proofErr w:type="spellStart"/>
            <w:r w:rsidRPr="00F90B95">
              <w:rPr>
                <w:b/>
              </w:rPr>
              <w:t>ipilimumab</w:t>
            </w:r>
            <w:proofErr w:type="spellEnd"/>
            <w:r w:rsidR="00E0446A" w:rsidRPr="00F90B95">
              <w:rPr>
                <w:b/>
              </w:rPr>
              <w:t>)</w:t>
            </w:r>
          </w:p>
        </w:tc>
        <w:tc>
          <w:tcPr>
            <w:tcW w:w="473" w:type="pct"/>
            <w:shd w:val="clear" w:color="auto" w:fill="auto"/>
          </w:tcPr>
          <w:p w:rsidR="0007740B" w:rsidRPr="00F90B95" w:rsidRDefault="0007740B" w:rsidP="008A5A7F">
            <w:pPr>
              <w:pStyle w:val="Tabletext"/>
            </w:pPr>
            <w:r w:rsidRPr="00F90B95">
              <w:t>N = 74</w:t>
            </w:r>
          </w:p>
        </w:tc>
        <w:tc>
          <w:tcPr>
            <w:tcW w:w="953" w:type="pct"/>
            <w:shd w:val="clear" w:color="auto" w:fill="auto"/>
          </w:tcPr>
          <w:p w:rsidR="00E0446A" w:rsidRPr="00F90B95" w:rsidRDefault="00A407BB" w:rsidP="008A5A7F">
            <w:pPr>
              <w:pStyle w:val="Tabletext"/>
            </w:pPr>
            <w:r w:rsidRPr="00F90B95">
              <w:t>Single-</w:t>
            </w:r>
            <w:r w:rsidR="0007740B" w:rsidRPr="00F90B95">
              <w:t xml:space="preserve">arm </w:t>
            </w:r>
            <w:r w:rsidRPr="00F90B95">
              <w:t>study</w:t>
            </w:r>
            <w:r w:rsidR="0007740B" w:rsidRPr="00F90B95">
              <w:t xml:space="preserve"> used for naïve comparisons</w:t>
            </w:r>
            <w:r w:rsidR="00E0446A" w:rsidRPr="00F90B95">
              <w:t>;</w:t>
            </w:r>
            <w:r w:rsidR="0007740B" w:rsidRPr="00F90B95">
              <w:t xml:space="preserve"> </w:t>
            </w:r>
          </w:p>
          <w:p w:rsidR="00E0446A" w:rsidRPr="00F90B95" w:rsidRDefault="0007740B" w:rsidP="008A5A7F">
            <w:pPr>
              <w:pStyle w:val="Tabletext"/>
            </w:pPr>
            <w:r w:rsidRPr="00F90B95">
              <w:t xml:space="preserve">Median follow-up Nivolumab: 12 months; </w:t>
            </w:r>
          </w:p>
          <w:p w:rsidR="0007740B" w:rsidRPr="00F90B95" w:rsidRDefault="0007740B" w:rsidP="008A5A7F">
            <w:pPr>
              <w:pStyle w:val="Tabletext"/>
            </w:pPr>
            <w:proofErr w:type="spellStart"/>
            <w:r w:rsidRPr="00F90B95">
              <w:t>Nivolumab</w:t>
            </w:r>
            <w:proofErr w:type="spellEnd"/>
            <w:r w:rsidRPr="00F90B95">
              <w:t xml:space="preserve"> + </w:t>
            </w:r>
            <w:proofErr w:type="spellStart"/>
            <w:r w:rsidRPr="00F90B95">
              <w:t>ipilimumab</w:t>
            </w:r>
            <w:proofErr w:type="spellEnd"/>
            <w:r w:rsidRPr="00F90B95">
              <w:t xml:space="preserve"> 13.4 months.</w:t>
            </w:r>
          </w:p>
        </w:tc>
        <w:tc>
          <w:tcPr>
            <w:tcW w:w="464" w:type="pct"/>
            <w:shd w:val="clear" w:color="auto" w:fill="auto"/>
          </w:tcPr>
          <w:p w:rsidR="0007740B" w:rsidRPr="00F90B95" w:rsidRDefault="0007740B" w:rsidP="008A5A7F">
            <w:pPr>
              <w:pStyle w:val="Tabletext"/>
            </w:pPr>
            <w:r w:rsidRPr="00F90B95">
              <w:t>HIGH</w:t>
            </w:r>
          </w:p>
        </w:tc>
        <w:tc>
          <w:tcPr>
            <w:tcW w:w="865" w:type="pct"/>
            <w:shd w:val="clear" w:color="auto" w:fill="auto"/>
          </w:tcPr>
          <w:p w:rsidR="0007740B" w:rsidRPr="00F90B95" w:rsidRDefault="0007740B" w:rsidP="008A5A7F">
            <w:pPr>
              <w:pStyle w:val="Tabletext"/>
            </w:pPr>
            <w:proofErr w:type="spellStart"/>
            <w:proofErr w:type="gramStart"/>
            <w:r w:rsidRPr="00F90B95">
              <w:t>dMMR</w:t>
            </w:r>
            <w:proofErr w:type="spellEnd"/>
            <w:proofErr w:type="gramEnd"/>
            <w:r w:rsidRPr="00F90B95">
              <w:t xml:space="preserve"> or MSI-H Stage IV CRC. 15% in nivolumab arm failed only 1 prior line. 33% in </w:t>
            </w:r>
            <w:proofErr w:type="spellStart"/>
            <w:r w:rsidRPr="00F90B95">
              <w:t>nivolumab</w:t>
            </w:r>
            <w:proofErr w:type="spellEnd"/>
            <w:r w:rsidRPr="00F90B95">
              <w:t xml:space="preserve"> + </w:t>
            </w:r>
            <w:proofErr w:type="spellStart"/>
            <w:r w:rsidRPr="00F90B95">
              <w:t>ipilimumab</w:t>
            </w:r>
            <w:proofErr w:type="spellEnd"/>
            <w:r w:rsidRPr="00F90B95">
              <w:t xml:space="preserve"> </w:t>
            </w:r>
            <w:r w:rsidR="00E0446A" w:rsidRPr="00F90B95">
              <w:t xml:space="preserve">had </w:t>
            </w:r>
            <w:r w:rsidRPr="00F90B95">
              <w:t>failed only 1 prior therapy.</w:t>
            </w:r>
          </w:p>
        </w:tc>
        <w:tc>
          <w:tcPr>
            <w:tcW w:w="727" w:type="pct"/>
            <w:shd w:val="clear" w:color="auto" w:fill="auto"/>
          </w:tcPr>
          <w:p w:rsidR="0007740B" w:rsidRPr="00F90B95" w:rsidRDefault="00C44117" w:rsidP="008A5A7F">
            <w:pPr>
              <w:pStyle w:val="Tabletext"/>
            </w:pPr>
            <w:r w:rsidRPr="00F90B95">
              <w:t xml:space="preserve">Primary: ORR; Secondary: </w:t>
            </w:r>
            <w:r w:rsidR="0007740B" w:rsidRPr="00F90B95">
              <w:t>duration of response, OS, PFS, safety</w:t>
            </w:r>
          </w:p>
        </w:tc>
        <w:tc>
          <w:tcPr>
            <w:tcW w:w="792" w:type="pct"/>
            <w:shd w:val="clear" w:color="auto" w:fill="auto"/>
          </w:tcPr>
          <w:p w:rsidR="0007740B" w:rsidRPr="00F90B95" w:rsidRDefault="0007740B" w:rsidP="008A5A7F">
            <w:pPr>
              <w:pStyle w:val="Tabletext"/>
            </w:pPr>
            <w:r w:rsidRPr="00F90B95">
              <w:t>NOT USED</w:t>
            </w:r>
          </w:p>
        </w:tc>
      </w:tr>
    </w:tbl>
    <w:p w:rsidR="0007740B" w:rsidRPr="00F90B95" w:rsidRDefault="0007740B" w:rsidP="0007740B">
      <w:pPr>
        <w:pStyle w:val="TableFooter"/>
      </w:pPr>
      <w:r w:rsidRPr="00F90B95">
        <w:rPr>
          <w:vertAlign w:val="superscript"/>
        </w:rPr>
        <w:lastRenderedPageBreak/>
        <w:t>1</w:t>
      </w:r>
      <w:r w:rsidR="00FD257E" w:rsidRPr="00F90B95">
        <w:rPr>
          <w:vertAlign w:val="superscript"/>
        </w:rPr>
        <w:t xml:space="preserve"> </w:t>
      </w:r>
      <w:r w:rsidR="00F04CC3" w:rsidRPr="00F90B95">
        <w:t>OS immature.</w:t>
      </w:r>
    </w:p>
    <w:p w:rsidR="0007740B" w:rsidRPr="00F90B95" w:rsidRDefault="0007740B" w:rsidP="0007740B">
      <w:pPr>
        <w:pStyle w:val="TableFooter"/>
      </w:pPr>
      <w:r w:rsidRPr="00F90B95">
        <w:rPr>
          <w:vertAlign w:val="superscript"/>
        </w:rPr>
        <w:t>2</w:t>
      </w:r>
      <w:r w:rsidR="00FD257E" w:rsidRPr="00F90B95">
        <w:rPr>
          <w:vertAlign w:val="superscript"/>
        </w:rPr>
        <w:t xml:space="preserve"> </w:t>
      </w:r>
      <w:r w:rsidRPr="00F90B95">
        <w:t>Risk of bias for naïve comparisons is high regardless of risk of bias in individual studies.</w:t>
      </w:r>
    </w:p>
    <w:p w:rsidR="00FD257E" w:rsidRPr="00F90B95" w:rsidRDefault="00FD257E" w:rsidP="0007740B">
      <w:pPr>
        <w:pStyle w:val="TableFooter"/>
      </w:pPr>
      <w:r w:rsidRPr="00F90B95">
        <w:t>ORR = overall</w:t>
      </w:r>
      <w:r w:rsidR="004E1C13" w:rsidRPr="00F90B95">
        <w:t>/objective</w:t>
      </w:r>
      <w:r w:rsidRPr="00F90B95">
        <w:t xml:space="preserve"> response rate; OS = overall survival; PFS</w:t>
      </w:r>
      <w:r w:rsidR="004E1C13" w:rsidRPr="00F90B95">
        <w:t xml:space="preserve"> </w:t>
      </w:r>
      <w:r w:rsidRPr="00F90B95">
        <w:t>=</w:t>
      </w:r>
      <w:r w:rsidR="004E1C13" w:rsidRPr="00F90B95">
        <w:t xml:space="preserve"> </w:t>
      </w:r>
      <w:r w:rsidRPr="00F90B95">
        <w:t xml:space="preserve">progression-free survival; </w:t>
      </w:r>
      <w:proofErr w:type="spellStart"/>
      <w:r w:rsidR="00913A63" w:rsidRPr="00F90B95">
        <w:t>ToT</w:t>
      </w:r>
      <w:proofErr w:type="spellEnd"/>
      <w:r w:rsidR="00913A63" w:rsidRPr="00F90B95">
        <w:t xml:space="preserve"> </w:t>
      </w:r>
      <w:r w:rsidR="00496335" w:rsidRPr="00F90B95">
        <w:t>= time on treatment</w:t>
      </w:r>
      <w:r w:rsidR="00324F53" w:rsidRPr="00F90B95">
        <w:t>.</w:t>
      </w:r>
    </w:p>
    <w:p w:rsidR="0007740B" w:rsidRPr="00F90B95" w:rsidRDefault="0007740B" w:rsidP="0007740B">
      <w:pPr>
        <w:pStyle w:val="TableFooter"/>
      </w:pPr>
      <w:r w:rsidRPr="00F90B95">
        <w:t>Source: Sections 2.2 to 2.6 of the submission. Risk of bias assessed during the evaluation</w:t>
      </w:r>
      <w:r w:rsidR="00F04CC3" w:rsidRPr="00F90B95">
        <w:t>.</w:t>
      </w:r>
    </w:p>
    <w:p w:rsidR="00802D5A" w:rsidRPr="00F90B95" w:rsidRDefault="00802D5A" w:rsidP="00662FCF">
      <w:pPr>
        <w:pStyle w:val="ListParagraph"/>
        <w:widowControl/>
        <w:numPr>
          <w:ilvl w:val="1"/>
          <w:numId w:val="7"/>
        </w:numPr>
        <w:spacing w:before="160" w:after="120"/>
      </w:pPr>
      <w:r w:rsidRPr="00F90B95">
        <w:t>The key study, KN164, provided limited data on the effectiveness and safety of pembrolizumab as a second-line therapy, as only 10% of patients ha</w:t>
      </w:r>
      <w:r w:rsidR="00FF79F9" w:rsidRPr="00F90B95">
        <w:t>d</w:t>
      </w:r>
      <w:r w:rsidRPr="00F90B95">
        <w:t xml:space="preserve"> received one prior line of therapy </w:t>
      </w:r>
      <w:r w:rsidR="001E43D4" w:rsidRPr="00F90B95">
        <w:t xml:space="preserve">for recurrent or metastatic disease </w:t>
      </w:r>
      <w:r w:rsidRPr="00F90B95">
        <w:t xml:space="preserve">at baseline. </w:t>
      </w:r>
      <w:r w:rsidR="00F118EF" w:rsidRPr="00F90B95">
        <w:t xml:space="preserve">The </w:t>
      </w:r>
      <w:r w:rsidR="00980A30" w:rsidRPr="00F90B95">
        <w:t xml:space="preserve">ESC noted that the </w:t>
      </w:r>
      <w:r w:rsidR="00F118EF" w:rsidRPr="00F90B95">
        <w:t xml:space="preserve">majority </w:t>
      </w:r>
      <w:r w:rsidR="00363B4F" w:rsidRPr="00F90B95">
        <w:t xml:space="preserve">of patients </w:t>
      </w:r>
      <w:r w:rsidR="00980A30" w:rsidRPr="00F90B95">
        <w:t xml:space="preserve">in KN164 </w:t>
      </w:r>
      <w:r w:rsidR="00F118EF" w:rsidRPr="00F90B95">
        <w:t>(90</w:t>
      </w:r>
      <w:r w:rsidR="00902562" w:rsidRPr="00F90B95">
        <w:t>.2</w:t>
      </w:r>
      <w:r w:rsidR="00F118EF" w:rsidRPr="00F90B95">
        <w:t>%) had failed at least two prior lines</w:t>
      </w:r>
      <w:r w:rsidR="00980A30" w:rsidRPr="00F90B95">
        <w:t xml:space="preserve"> of therapy</w:t>
      </w:r>
      <w:r w:rsidR="00F118EF" w:rsidRPr="00F90B95">
        <w:t>, with a</w:t>
      </w:r>
      <w:r w:rsidRPr="00F90B95">
        <w:t>pproximately 44% and 23% of patients progress</w:t>
      </w:r>
      <w:r w:rsidR="00F118EF" w:rsidRPr="00F90B95">
        <w:t>ing</w:t>
      </w:r>
      <w:r w:rsidRPr="00F90B95">
        <w:t xml:space="preserve"> after three and four prior lines</w:t>
      </w:r>
      <w:r w:rsidR="00F7306C" w:rsidRPr="00F90B95">
        <w:t>,</w:t>
      </w:r>
      <w:r w:rsidRPr="00F90B95">
        <w:t xml:space="preserve"> </w:t>
      </w:r>
      <w:r w:rsidR="00F118EF" w:rsidRPr="00F90B95">
        <w:t>respectively.</w:t>
      </w:r>
    </w:p>
    <w:p w:rsidR="00133E97" w:rsidRPr="00F90B95" w:rsidRDefault="00133E97" w:rsidP="00662FCF">
      <w:pPr>
        <w:pStyle w:val="ListParagraph"/>
        <w:widowControl/>
        <w:numPr>
          <w:ilvl w:val="1"/>
          <w:numId w:val="7"/>
        </w:numPr>
        <w:spacing w:after="120"/>
      </w:pPr>
      <w:r w:rsidRPr="00F90B95">
        <w:t xml:space="preserve">The effect of </w:t>
      </w:r>
      <w:proofErr w:type="spellStart"/>
      <w:r w:rsidRPr="00F90B95">
        <w:t>dMMR</w:t>
      </w:r>
      <w:proofErr w:type="spellEnd"/>
      <w:r w:rsidRPr="00F90B95">
        <w:t xml:space="preserve"> status on the efficacy of pembrolizumab could not be quantified as the submission did not provide any comparative data on its effectiveness in patients with and without </w:t>
      </w:r>
      <w:proofErr w:type="spellStart"/>
      <w:r w:rsidRPr="00F90B95">
        <w:t>dMMR</w:t>
      </w:r>
      <w:proofErr w:type="spellEnd"/>
      <w:r w:rsidRPr="00F90B95">
        <w:t xml:space="preserve"> </w:t>
      </w:r>
      <w:proofErr w:type="spellStart"/>
      <w:r w:rsidRPr="00F90B95">
        <w:t>mCRC</w:t>
      </w:r>
      <w:proofErr w:type="spellEnd"/>
      <w:r w:rsidRPr="00F90B95">
        <w:t xml:space="preserve">. In addition, the populations of the comparator studies included all patients, irrespective of their </w:t>
      </w:r>
      <w:proofErr w:type="spellStart"/>
      <w:r w:rsidRPr="00F90B95">
        <w:t>dMMR</w:t>
      </w:r>
      <w:proofErr w:type="spellEnd"/>
      <w:r w:rsidRPr="00F90B95">
        <w:t xml:space="preserve"> status.</w:t>
      </w:r>
      <w:r w:rsidR="00885156" w:rsidRPr="00F90B95">
        <w:t xml:space="preserve"> </w:t>
      </w:r>
      <w:r w:rsidR="008A37D2" w:rsidRPr="00F90B95">
        <w:t>The PSCR stated that a preliminary study (Keynote 016) reported th</w:t>
      </w:r>
      <w:r w:rsidR="006D78E0" w:rsidRPr="00F90B95">
        <w:t xml:space="preserve">at </w:t>
      </w:r>
      <w:r w:rsidR="008A37D2" w:rsidRPr="00F90B95">
        <w:t>patients with MS</w:t>
      </w:r>
      <w:r w:rsidR="009A6AD8" w:rsidRPr="00F90B95">
        <w:t>I-H</w:t>
      </w:r>
      <w:r w:rsidR="008A37D2" w:rsidRPr="00F90B95">
        <w:t xml:space="preserve"> </w:t>
      </w:r>
      <w:r w:rsidR="00212C22" w:rsidRPr="00F90B95">
        <w:t>co</w:t>
      </w:r>
      <w:r w:rsidR="00D27257" w:rsidRPr="00F90B95">
        <w:t>lor</w:t>
      </w:r>
      <w:r w:rsidR="00212C22" w:rsidRPr="00F90B95">
        <w:t xml:space="preserve">ectal tumours had a 40% response rate with pembrolizumab </w:t>
      </w:r>
      <w:r w:rsidR="00D27257" w:rsidRPr="00F90B95">
        <w:t xml:space="preserve">monotherapy, whereas no patients with microsatellite stable disease achieved a response. The PSCR </w:t>
      </w:r>
      <w:r w:rsidR="00496335" w:rsidRPr="00F90B95">
        <w:t>contended</w:t>
      </w:r>
      <w:r w:rsidR="00D27257" w:rsidRPr="00F90B95">
        <w:t xml:space="preserve"> that</w:t>
      </w:r>
      <w:r w:rsidR="00496335" w:rsidRPr="00F90B95">
        <w:t>,</w:t>
      </w:r>
      <w:r w:rsidR="00D27257" w:rsidRPr="00F90B95">
        <w:t xml:space="preserve"> as there was more than 90% concordance in testing for M</w:t>
      </w:r>
      <w:r w:rsidR="009A6AD8" w:rsidRPr="00F90B95">
        <w:t>SI-H</w:t>
      </w:r>
      <w:r w:rsidR="00D27257" w:rsidRPr="00F90B95">
        <w:t xml:space="preserve"> and </w:t>
      </w:r>
      <w:proofErr w:type="spellStart"/>
      <w:r w:rsidR="00D27257" w:rsidRPr="00F90B95">
        <w:t>dMMR</w:t>
      </w:r>
      <w:proofErr w:type="spellEnd"/>
      <w:r w:rsidR="00D27257" w:rsidRPr="00F90B95">
        <w:t xml:space="preserve"> tumours, it was likely and biologically plausible that the treatment effect of pembrolizumab should be very similar in both </w:t>
      </w:r>
      <w:proofErr w:type="spellStart"/>
      <w:r w:rsidR="00D27257" w:rsidRPr="00F90B95">
        <w:t>dMMR</w:t>
      </w:r>
      <w:proofErr w:type="spellEnd"/>
      <w:r w:rsidR="00D27257" w:rsidRPr="00F90B95">
        <w:t xml:space="preserve"> and MSI-H colorectal tumours. The ESC noted that current literature (</w:t>
      </w:r>
      <w:proofErr w:type="spellStart"/>
      <w:r w:rsidR="00D27257" w:rsidRPr="00F90B95">
        <w:t>Jin</w:t>
      </w:r>
      <w:proofErr w:type="spellEnd"/>
      <w:r w:rsidR="00D27257" w:rsidRPr="00F90B95">
        <w:t xml:space="preserve"> et al, 2018) suggests that </w:t>
      </w:r>
      <w:r w:rsidR="00496335" w:rsidRPr="00F90B95">
        <w:t xml:space="preserve">colorectal </w:t>
      </w:r>
      <w:r w:rsidR="00D27257" w:rsidRPr="00F90B95">
        <w:t xml:space="preserve">tumours that have </w:t>
      </w:r>
      <w:proofErr w:type="spellStart"/>
      <w:r w:rsidR="00D27257" w:rsidRPr="00F90B95">
        <w:t>dMMR</w:t>
      </w:r>
      <w:proofErr w:type="spellEnd"/>
      <w:r w:rsidR="00D27257" w:rsidRPr="00F90B95">
        <w:t xml:space="preserve"> status are biologically similar to those with MSI-H status.</w:t>
      </w:r>
    </w:p>
    <w:p w:rsidR="00802D5A" w:rsidRPr="00F90B95" w:rsidRDefault="00802D5A" w:rsidP="00662FCF">
      <w:pPr>
        <w:pStyle w:val="ListParagraph"/>
        <w:widowControl/>
        <w:numPr>
          <w:ilvl w:val="1"/>
          <w:numId w:val="7"/>
        </w:numPr>
        <w:spacing w:after="120"/>
      </w:pPr>
      <w:r w:rsidRPr="00F90B95">
        <w:t>The</w:t>
      </w:r>
      <w:r w:rsidR="007E5034" w:rsidRPr="00F90B95">
        <w:t xml:space="preserve"> ESC noted that the</w:t>
      </w:r>
      <w:r w:rsidRPr="00F90B95">
        <w:t>re was extensive heterogeneity among the comparator studies in terms of baseline demographic and disease characteristics</w:t>
      </w:r>
      <w:r w:rsidR="00F91878" w:rsidRPr="00F90B95">
        <w:t>,</w:t>
      </w:r>
      <w:r w:rsidRPr="00F90B95">
        <w:t xml:space="preserve"> treatment dosing regimens, durations of fo</w:t>
      </w:r>
      <w:r w:rsidR="00496335" w:rsidRPr="00F90B95">
        <w:t>llow-up and treatment outcomes.</w:t>
      </w:r>
    </w:p>
    <w:p w:rsidR="00802D5A" w:rsidRPr="00F90B95" w:rsidRDefault="00802D5A" w:rsidP="004F4A63">
      <w:pPr>
        <w:pStyle w:val="Heading2"/>
      </w:pPr>
      <w:bookmarkStart w:id="8" w:name="_Toc535588642"/>
      <w:r w:rsidRPr="00F90B95">
        <w:t>Comparative effectiveness</w:t>
      </w:r>
      <w:bookmarkEnd w:id="8"/>
    </w:p>
    <w:p w:rsidR="00AC0E1C" w:rsidRPr="00F90B95" w:rsidRDefault="00AC0E1C" w:rsidP="00C54AF6">
      <w:pPr>
        <w:pStyle w:val="ListParagraph"/>
        <w:numPr>
          <w:ilvl w:val="1"/>
          <w:numId w:val="7"/>
        </w:numPr>
      </w:pPr>
      <w:r w:rsidRPr="00F90B95">
        <w:t xml:space="preserve">Detailed results from study KN164 are presented </w:t>
      </w:r>
      <w:r w:rsidR="00B70901" w:rsidRPr="00F90B95">
        <w:t xml:space="preserve">in Table 4 and Figure 1 </w:t>
      </w:r>
      <w:r w:rsidRPr="00F90B95">
        <w:t>below.</w:t>
      </w:r>
    </w:p>
    <w:p w:rsidR="004D6281" w:rsidRPr="00F90B95" w:rsidRDefault="00B70901" w:rsidP="005120A5">
      <w:pPr>
        <w:keepNext/>
        <w:rPr>
          <w:rFonts w:ascii="Arial Narrow" w:hAnsi="Arial Narrow"/>
          <w:b/>
          <w:sz w:val="20"/>
          <w:szCs w:val="20"/>
        </w:rPr>
      </w:pPr>
      <w:r w:rsidRPr="00F90B95">
        <w:rPr>
          <w:rFonts w:ascii="Arial Narrow" w:hAnsi="Arial Narrow"/>
          <w:b/>
          <w:sz w:val="20"/>
          <w:szCs w:val="20"/>
        </w:rPr>
        <w:t>Table 4</w:t>
      </w:r>
      <w:r w:rsidR="00F7306C" w:rsidRPr="00F90B95">
        <w:rPr>
          <w:rFonts w:ascii="Arial Narrow" w:hAnsi="Arial Narrow"/>
          <w:b/>
          <w:sz w:val="20"/>
          <w:szCs w:val="20"/>
        </w:rPr>
        <w:t>: Results from KN164 (</w:t>
      </w:r>
      <w:r w:rsidR="004D6281" w:rsidRPr="00F90B95">
        <w:rPr>
          <w:rFonts w:ascii="Arial Narrow" w:hAnsi="Arial Narrow"/>
          <w:b/>
          <w:sz w:val="20"/>
          <w:szCs w:val="20"/>
        </w:rPr>
        <w:t>median duration of follow up = 13.2 months)</w:t>
      </w:r>
    </w:p>
    <w:tbl>
      <w:tblPr>
        <w:tblStyle w:val="TableGrid"/>
        <w:tblW w:w="0" w:type="auto"/>
        <w:tblInd w:w="108" w:type="dxa"/>
        <w:tblLook w:val="04A0" w:firstRow="1" w:lastRow="0" w:firstColumn="1" w:lastColumn="0" w:noHBand="0" w:noVBand="1"/>
        <w:tblCaption w:val="Table 4: Results from KN164 (median duration of follow up = 13.2 months)"/>
      </w:tblPr>
      <w:tblGrid>
        <w:gridCol w:w="4406"/>
        <w:gridCol w:w="4503"/>
      </w:tblGrid>
      <w:tr w:rsidR="00AC0E1C" w:rsidRPr="00F90B95" w:rsidTr="0044164E">
        <w:trPr>
          <w:tblHeader/>
        </w:trPr>
        <w:tc>
          <w:tcPr>
            <w:tcW w:w="4513" w:type="dxa"/>
          </w:tcPr>
          <w:p w:rsidR="00AC0E1C" w:rsidRPr="00F90B95" w:rsidRDefault="004E1C13" w:rsidP="005120A5">
            <w:pPr>
              <w:keepNext/>
              <w:rPr>
                <w:rFonts w:ascii="Arial Narrow" w:hAnsi="Arial Narrow"/>
                <w:b/>
                <w:sz w:val="20"/>
                <w:szCs w:val="20"/>
              </w:rPr>
            </w:pPr>
            <w:r w:rsidRPr="00F90B95">
              <w:rPr>
                <w:rFonts w:ascii="Arial Narrow" w:hAnsi="Arial Narrow"/>
                <w:b/>
                <w:sz w:val="20"/>
                <w:szCs w:val="20"/>
              </w:rPr>
              <w:t>Outcome</w:t>
            </w:r>
          </w:p>
        </w:tc>
        <w:tc>
          <w:tcPr>
            <w:tcW w:w="4622" w:type="dxa"/>
          </w:tcPr>
          <w:p w:rsidR="00AC0E1C" w:rsidRPr="00F90B95" w:rsidRDefault="004E1C13" w:rsidP="005120A5">
            <w:pPr>
              <w:keepNext/>
              <w:jc w:val="center"/>
              <w:rPr>
                <w:rFonts w:ascii="Arial Narrow" w:hAnsi="Arial Narrow"/>
                <w:b/>
                <w:sz w:val="20"/>
                <w:szCs w:val="20"/>
              </w:rPr>
            </w:pPr>
            <w:r w:rsidRPr="00F90B95">
              <w:rPr>
                <w:rFonts w:ascii="Arial Narrow" w:hAnsi="Arial Narrow"/>
                <w:b/>
                <w:sz w:val="20"/>
                <w:szCs w:val="20"/>
              </w:rPr>
              <w:t>Result</w:t>
            </w:r>
          </w:p>
        </w:tc>
      </w:tr>
      <w:tr w:rsidR="004E1C13" w:rsidRPr="00F90B95" w:rsidTr="0044164E">
        <w:trPr>
          <w:tblHeader/>
        </w:trPr>
        <w:tc>
          <w:tcPr>
            <w:tcW w:w="4513" w:type="dxa"/>
          </w:tcPr>
          <w:p w:rsidR="004E1C13" w:rsidRPr="00F90B95" w:rsidRDefault="004E1C13" w:rsidP="005120A5">
            <w:pPr>
              <w:keepNext/>
              <w:rPr>
                <w:rFonts w:ascii="Arial Narrow" w:hAnsi="Arial Narrow"/>
                <w:sz w:val="20"/>
                <w:szCs w:val="20"/>
              </w:rPr>
            </w:pPr>
            <w:r w:rsidRPr="00F90B95">
              <w:rPr>
                <w:rFonts w:ascii="Arial Narrow" w:hAnsi="Arial Narrow"/>
                <w:sz w:val="20"/>
                <w:szCs w:val="20"/>
              </w:rPr>
              <w:t>Partial response (PR)</w:t>
            </w:r>
            <w:r w:rsidR="004D6281" w:rsidRPr="00F90B95">
              <w:rPr>
                <w:rFonts w:ascii="Arial Narrow" w:hAnsi="Arial Narrow"/>
                <w:sz w:val="20"/>
                <w:szCs w:val="20"/>
              </w:rPr>
              <w:t>; n/N, %, (95% CI)</w:t>
            </w:r>
          </w:p>
        </w:tc>
        <w:tc>
          <w:tcPr>
            <w:tcW w:w="4622" w:type="dxa"/>
          </w:tcPr>
          <w:p w:rsidR="004E1C13" w:rsidRPr="00F90B95" w:rsidRDefault="004E1C13" w:rsidP="005120A5">
            <w:pPr>
              <w:keepNext/>
              <w:jc w:val="center"/>
              <w:rPr>
                <w:rFonts w:ascii="Arial Narrow" w:hAnsi="Arial Narrow"/>
                <w:sz w:val="20"/>
                <w:szCs w:val="20"/>
              </w:rPr>
            </w:pPr>
            <w:r w:rsidRPr="00F90B95">
              <w:rPr>
                <w:rFonts w:ascii="Arial Narrow" w:hAnsi="Arial Narrow"/>
                <w:sz w:val="20"/>
                <w:szCs w:val="20"/>
              </w:rPr>
              <w:t>17/61; 27.9% (17.1, 40.8)</w:t>
            </w:r>
          </w:p>
        </w:tc>
      </w:tr>
      <w:tr w:rsidR="00AC0E1C" w:rsidRPr="00F90B95" w:rsidTr="0044164E">
        <w:trPr>
          <w:tblHeader/>
        </w:trPr>
        <w:tc>
          <w:tcPr>
            <w:tcW w:w="4513" w:type="dxa"/>
          </w:tcPr>
          <w:p w:rsidR="00AC0E1C" w:rsidRPr="00F90B95" w:rsidRDefault="004E1C13" w:rsidP="005120A5">
            <w:pPr>
              <w:keepNext/>
              <w:rPr>
                <w:rFonts w:ascii="Arial Narrow" w:hAnsi="Arial Narrow"/>
                <w:sz w:val="20"/>
                <w:szCs w:val="20"/>
              </w:rPr>
            </w:pPr>
            <w:r w:rsidRPr="00F90B95">
              <w:rPr>
                <w:rFonts w:ascii="Arial Narrow" w:hAnsi="Arial Narrow"/>
                <w:sz w:val="20"/>
                <w:szCs w:val="20"/>
              </w:rPr>
              <w:t>Complete response (CR)</w:t>
            </w:r>
            <w:r w:rsidR="004D6281" w:rsidRPr="00F90B95">
              <w:rPr>
                <w:rFonts w:ascii="Arial Narrow" w:hAnsi="Arial Narrow"/>
                <w:sz w:val="20"/>
                <w:szCs w:val="20"/>
              </w:rPr>
              <w:t>; n/N, %, (95% CI)</w:t>
            </w:r>
          </w:p>
        </w:tc>
        <w:tc>
          <w:tcPr>
            <w:tcW w:w="4622" w:type="dxa"/>
          </w:tcPr>
          <w:p w:rsidR="00AC0E1C" w:rsidRPr="00F90B95" w:rsidRDefault="004E1C13" w:rsidP="005120A5">
            <w:pPr>
              <w:keepNext/>
              <w:jc w:val="center"/>
              <w:rPr>
                <w:rFonts w:ascii="Arial Narrow" w:hAnsi="Arial Narrow"/>
                <w:sz w:val="20"/>
                <w:szCs w:val="20"/>
              </w:rPr>
            </w:pPr>
            <w:r w:rsidRPr="00F90B95">
              <w:rPr>
                <w:rFonts w:ascii="Arial Narrow" w:hAnsi="Arial Narrow"/>
                <w:sz w:val="20"/>
                <w:szCs w:val="20"/>
              </w:rPr>
              <w:t>0</w:t>
            </w:r>
          </w:p>
        </w:tc>
      </w:tr>
      <w:tr w:rsidR="00AC0E1C" w:rsidRPr="00F90B95" w:rsidTr="0044164E">
        <w:trPr>
          <w:tblHeader/>
        </w:trPr>
        <w:tc>
          <w:tcPr>
            <w:tcW w:w="4513" w:type="dxa"/>
          </w:tcPr>
          <w:p w:rsidR="00AC0E1C" w:rsidRPr="00F90B95" w:rsidRDefault="004E1C13" w:rsidP="005120A5">
            <w:pPr>
              <w:keepNext/>
              <w:rPr>
                <w:rFonts w:ascii="Arial Narrow" w:hAnsi="Arial Narrow"/>
                <w:sz w:val="20"/>
                <w:szCs w:val="20"/>
              </w:rPr>
            </w:pPr>
            <w:r w:rsidRPr="00F90B95">
              <w:rPr>
                <w:rFonts w:ascii="Arial Narrow" w:hAnsi="Arial Narrow"/>
                <w:sz w:val="20"/>
                <w:szCs w:val="20"/>
              </w:rPr>
              <w:t>Objective response (PR + CR)</w:t>
            </w:r>
            <w:r w:rsidR="004D6281" w:rsidRPr="00F90B95">
              <w:rPr>
                <w:rFonts w:ascii="Arial Narrow" w:hAnsi="Arial Narrow"/>
                <w:sz w:val="20"/>
                <w:szCs w:val="20"/>
              </w:rPr>
              <w:t>; n/N, %, (95% CI)</w:t>
            </w:r>
          </w:p>
        </w:tc>
        <w:tc>
          <w:tcPr>
            <w:tcW w:w="4622" w:type="dxa"/>
          </w:tcPr>
          <w:p w:rsidR="00AC0E1C" w:rsidRPr="00F90B95" w:rsidRDefault="004E1C13" w:rsidP="005120A5">
            <w:pPr>
              <w:keepNext/>
              <w:jc w:val="center"/>
              <w:rPr>
                <w:rFonts w:ascii="Arial Narrow" w:hAnsi="Arial Narrow"/>
                <w:sz w:val="20"/>
                <w:szCs w:val="20"/>
              </w:rPr>
            </w:pPr>
            <w:r w:rsidRPr="00F90B95">
              <w:rPr>
                <w:rFonts w:ascii="Arial Narrow" w:hAnsi="Arial Narrow"/>
                <w:sz w:val="20"/>
                <w:szCs w:val="20"/>
              </w:rPr>
              <w:t>17/61; 27.9% (17.1, 40.8)</w:t>
            </w:r>
          </w:p>
        </w:tc>
      </w:tr>
      <w:tr w:rsidR="00AC0E1C" w:rsidRPr="00F90B95" w:rsidTr="0044164E">
        <w:trPr>
          <w:tblHeader/>
        </w:trPr>
        <w:tc>
          <w:tcPr>
            <w:tcW w:w="4513" w:type="dxa"/>
          </w:tcPr>
          <w:p w:rsidR="00AC0E1C" w:rsidRPr="00F90B95" w:rsidRDefault="004E1C13" w:rsidP="005120A5">
            <w:pPr>
              <w:keepNext/>
              <w:rPr>
                <w:rFonts w:ascii="Arial Narrow" w:hAnsi="Arial Narrow"/>
                <w:sz w:val="20"/>
                <w:szCs w:val="20"/>
              </w:rPr>
            </w:pPr>
            <w:r w:rsidRPr="00F90B95">
              <w:rPr>
                <w:rFonts w:ascii="Arial Narrow" w:hAnsi="Arial Narrow"/>
                <w:sz w:val="20"/>
                <w:szCs w:val="20"/>
              </w:rPr>
              <w:t>Progressive disease</w:t>
            </w:r>
            <w:r w:rsidR="004D6281" w:rsidRPr="00F90B95">
              <w:rPr>
                <w:rFonts w:ascii="Arial Narrow" w:hAnsi="Arial Narrow"/>
                <w:sz w:val="20"/>
                <w:szCs w:val="20"/>
              </w:rPr>
              <w:t xml:space="preserve"> (PD); n/N, %, (95% CI)</w:t>
            </w:r>
          </w:p>
        </w:tc>
        <w:tc>
          <w:tcPr>
            <w:tcW w:w="4622" w:type="dxa"/>
          </w:tcPr>
          <w:p w:rsidR="00AC0E1C" w:rsidRPr="00F90B95" w:rsidRDefault="004E1C13" w:rsidP="005120A5">
            <w:pPr>
              <w:keepNext/>
              <w:jc w:val="center"/>
              <w:rPr>
                <w:rFonts w:ascii="Arial Narrow" w:hAnsi="Arial Narrow"/>
                <w:sz w:val="20"/>
                <w:szCs w:val="20"/>
              </w:rPr>
            </w:pPr>
            <w:r w:rsidRPr="00F90B95">
              <w:rPr>
                <w:rFonts w:ascii="Arial Narrow" w:hAnsi="Arial Narrow"/>
                <w:sz w:val="20"/>
                <w:szCs w:val="20"/>
              </w:rPr>
              <w:t>28/61; 45.9% (33.1, 59.2)</w:t>
            </w:r>
          </w:p>
        </w:tc>
      </w:tr>
      <w:tr w:rsidR="00AC0E1C" w:rsidRPr="00F90B95" w:rsidTr="0044164E">
        <w:trPr>
          <w:tblHeader/>
        </w:trPr>
        <w:tc>
          <w:tcPr>
            <w:tcW w:w="4513" w:type="dxa"/>
          </w:tcPr>
          <w:p w:rsidR="00AC0E1C" w:rsidRPr="00F90B95" w:rsidRDefault="004D6281" w:rsidP="005120A5">
            <w:pPr>
              <w:keepNext/>
              <w:rPr>
                <w:rFonts w:ascii="Arial Narrow" w:hAnsi="Arial Narrow"/>
                <w:sz w:val="20"/>
                <w:szCs w:val="20"/>
              </w:rPr>
            </w:pPr>
            <w:r w:rsidRPr="00F90B95">
              <w:rPr>
                <w:rFonts w:ascii="Arial Narrow" w:hAnsi="Arial Narrow"/>
                <w:sz w:val="20"/>
                <w:szCs w:val="20"/>
              </w:rPr>
              <w:t>Mean time to response (i.e. to PR); months (SD)</w:t>
            </w:r>
          </w:p>
        </w:tc>
        <w:tc>
          <w:tcPr>
            <w:tcW w:w="4622" w:type="dxa"/>
          </w:tcPr>
          <w:p w:rsidR="00AC0E1C" w:rsidRPr="00F90B95" w:rsidRDefault="004D6281" w:rsidP="005120A5">
            <w:pPr>
              <w:keepNext/>
              <w:jc w:val="center"/>
              <w:rPr>
                <w:rFonts w:ascii="Arial Narrow" w:hAnsi="Arial Narrow"/>
                <w:sz w:val="20"/>
                <w:szCs w:val="20"/>
              </w:rPr>
            </w:pPr>
            <w:r w:rsidRPr="00F90B95">
              <w:rPr>
                <w:rFonts w:ascii="Arial Narrow" w:hAnsi="Arial Narrow"/>
                <w:sz w:val="20"/>
                <w:szCs w:val="20"/>
              </w:rPr>
              <w:t>4.4 months (2.8)</w:t>
            </w:r>
          </w:p>
        </w:tc>
      </w:tr>
      <w:tr w:rsidR="00AC0E1C" w:rsidRPr="00F90B95" w:rsidTr="0044164E">
        <w:trPr>
          <w:tblHeader/>
        </w:trPr>
        <w:tc>
          <w:tcPr>
            <w:tcW w:w="4513" w:type="dxa"/>
          </w:tcPr>
          <w:p w:rsidR="00AC0E1C" w:rsidRPr="00F90B95" w:rsidRDefault="004D6281" w:rsidP="005120A5">
            <w:pPr>
              <w:keepNext/>
              <w:rPr>
                <w:rFonts w:ascii="Arial Narrow" w:hAnsi="Arial Narrow"/>
                <w:sz w:val="20"/>
                <w:szCs w:val="20"/>
              </w:rPr>
            </w:pPr>
            <w:r w:rsidRPr="00F90B95">
              <w:rPr>
                <w:rFonts w:ascii="Arial Narrow" w:hAnsi="Arial Narrow"/>
                <w:sz w:val="20"/>
                <w:szCs w:val="20"/>
              </w:rPr>
              <w:t>Median PFS; months (95% CI)</w:t>
            </w:r>
          </w:p>
        </w:tc>
        <w:tc>
          <w:tcPr>
            <w:tcW w:w="4622" w:type="dxa"/>
          </w:tcPr>
          <w:p w:rsidR="00AC0E1C" w:rsidRPr="00F90B95" w:rsidRDefault="004D6281" w:rsidP="005120A5">
            <w:pPr>
              <w:keepNext/>
              <w:jc w:val="center"/>
              <w:rPr>
                <w:rFonts w:ascii="Arial Narrow" w:hAnsi="Arial Narrow"/>
                <w:sz w:val="20"/>
                <w:szCs w:val="20"/>
              </w:rPr>
            </w:pPr>
            <w:r w:rsidRPr="00F90B95">
              <w:rPr>
                <w:rFonts w:ascii="Arial Narrow" w:hAnsi="Arial Narrow"/>
                <w:sz w:val="20"/>
                <w:szCs w:val="20"/>
              </w:rPr>
              <w:t>2.3 months (2.1, 8.1)</w:t>
            </w:r>
          </w:p>
        </w:tc>
      </w:tr>
      <w:tr w:rsidR="00294125" w:rsidRPr="00F90B95" w:rsidTr="0044164E">
        <w:trPr>
          <w:tblHeader/>
        </w:trPr>
        <w:tc>
          <w:tcPr>
            <w:tcW w:w="4513" w:type="dxa"/>
          </w:tcPr>
          <w:p w:rsidR="00294125" w:rsidRPr="00F90B95" w:rsidRDefault="00294125" w:rsidP="005120A5">
            <w:pPr>
              <w:keepNext/>
              <w:rPr>
                <w:rFonts w:ascii="Arial Narrow" w:hAnsi="Arial Narrow"/>
                <w:sz w:val="20"/>
                <w:szCs w:val="20"/>
              </w:rPr>
            </w:pPr>
            <w:r w:rsidRPr="00F90B95">
              <w:rPr>
                <w:rFonts w:ascii="Arial Narrow" w:hAnsi="Arial Narrow"/>
                <w:sz w:val="20"/>
                <w:szCs w:val="20"/>
              </w:rPr>
              <w:t xml:space="preserve">Median </w:t>
            </w:r>
            <w:proofErr w:type="spellStart"/>
            <w:r w:rsidRPr="00F90B95">
              <w:rPr>
                <w:rFonts w:ascii="Arial Narrow" w:hAnsi="Arial Narrow"/>
                <w:sz w:val="20"/>
                <w:szCs w:val="20"/>
              </w:rPr>
              <w:t>ToT</w:t>
            </w:r>
            <w:proofErr w:type="spellEnd"/>
            <w:r w:rsidRPr="00F90B95">
              <w:rPr>
                <w:rFonts w:ascii="Arial Narrow" w:hAnsi="Arial Narrow"/>
                <w:sz w:val="20"/>
                <w:szCs w:val="20"/>
              </w:rPr>
              <w:t>; days (range)</w:t>
            </w:r>
          </w:p>
        </w:tc>
        <w:tc>
          <w:tcPr>
            <w:tcW w:w="4622" w:type="dxa"/>
          </w:tcPr>
          <w:p w:rsidR="00294125" w:rsidRPr="00F90B95" w:rsidRDefault="00294125" w:rsidP="005120A5">
            <w:pPr>
              <w:keepNext/>
              <w:jc w:val="center"/>
              <w:rPr>
                <w:rFonts w:ascii="Arial Narrow" w:hAnsi="Arial Narrow"/>
                <w:sz w:val="20"/>
                <w:szCs w:val="20"/>
              </w:rPr>
            </w:pPr>
            <w:r w:rsidRPr="00F90B95">
              <w:rPr>
                <w:rFonts w:ascii="Arial Narrow" w:hAnsi="Arial Narrow"/>
                <w:sz w:val="20"/>
                <w:szCs w:val="20"/>
              </w:rPr>
              <w:t>273 (1, 477)</w:t>
            </w:r>
          </w:p>
        </w:tc>
      </w:tr>
      <w:tr w:rsidR="00AC0E1C" w:rsidRPr="00F90B95" w:rsidTr="0044164E">
        <w:trPr>
          <w:tblHeader/>
        </w:trPr>
        <w:tc>
          <w:tcPr>
            <w:tcW w:w="4513" w:type="dxa"/>
          </w:tcPr>
          <w:p w:rsidR="00AC0E1C" w:rsidRPr="00F90B95" w:rsidRDefault="004D6281" w:rsidP="005120A5">
            <w:pPr>
              <w:keepNext/>
              <w:rPr>
                <w:rFonts w:ascii="Arial Narrow" w:hAnsi="Arial Narrow"/>
                <w:sz w:val="20"/>
                <w:szCs w:val="20"/>
              </w:rPr>
            </w:pPr>
            <w:r w:rsidRPr="00F90B95">
              <w:rPr>
                <w:rFonts w:ascii="Arial Narrow" w:hAnsi="Arial Narrow"/>
                <w:sz w:val="20"/>
                <w:szCs w:val="20"/>
              </w:rPr>
              <w:t>Median OS; months (95% CI)</w:t>
            </w:r>
          </w:p>
        </w:tc>
        <w:tc>
          <w:tcPr>
            <w:tcW w:w="4622" w:type="dxa"/>
          </w:tcPr>
          <w:p w:rsidR="00AC0E1C" w:rsidRPr="00F90B95" w:rsidRDefault="004D6281" w:rsidP="005120A5">
            <w:pPr>
              <w:keepNext/>
              <w:jc w:val="center"/>
              <w:rPr>
                <w:rFonts w:ascii="Arial Narrow" w:hAnsi="Arial Narrow"/>
                <w:sz w:val="20"/>
                <w:szCs w:val="20"/>
              </w:rPr>
            </w:pPr>
            <w:r w:rsidRPr="00F90B95">
              <w:rPr>
                <w:rFonts w:ascii="Arial Narrow" w:hAnsi="Arial Narrow"/>
                <w:sz w:val="20"/>
                <w:szCs w:val="20"/>
              </w:rPr>
              <w:t>Not reached</w:t>
            </w:r>
          </w:p>
        </w:tc>
      </w:tr>
      <w:tr w:rsidR="00BA50D5" w:rsidRPr="00F90B95" w:rsidTr="0044164E">
        <w:trPr>
          <w:tblHeader/>
        </w:trPr>
        <w:tc>
          <w:tcPr>
            <w:tcW w:w="4513" w:type="dxa"/>
          </w:tcPr>
          <w:p w:rsidR="00BA50D5" w:rsidRPr="00F90B95" w:rsidRDefault="00BA50D5" w:rsidP="005120A5">
            <w:pPr>
              <w:keepNext/>
              <w:rPr>
                <w:rFonts w:ascii="Arial Narrow" w:hAnsi="Arial Narrow"/>
                <w:sz w:val="20"/>
                <w:szCs w:val="20"/>
              </w:rPr>
            </w:pPr>
            <w:r w:rsidRPr="00F90B95">
              <w:rPr>
                <w:rFonts w:ascii="Arial Narrow" w:hAnsi="Arial Narrow"/>
                <w:sz w:val="20"/>
                <w:szCs w:val="20"/>
              </w:rPr>
              <w:t>Deaths; n/N (%)</w:t>
            </w:r>
          </w:p>
        </w:tc>
        <w:tc>
          <w:tcPr>
            <w:tcW w:w="4622" w:type="dxa"/>
          </w:tcPr>
          <w:p w:rsidR="00BA50D5" w:rsidRPr="00F90B95" w:rsidRDefault="00BA50D5" w:rsidP="005120A5">
            <w:pPr>
              <w:keepNext/>
              <w:jc w:val="center"/>
              <w:rPr>
                <w:rFonts w:ascii="Arial Narrow" w:hAnsi="Arial Narrow"/>
                <w:sz w:val="20"/>
                <w:szCs w:val="20"/>
              </w:rPr>
            </w:pPr>
            <w:r w:rsidRPr="00F90B95">
              <w:rPr>
                <w:rFonts w:ascii="Arial Narrow" w:hAnsi="Arial Narrow"/>
                <w:sz w:val="20"/>
                <w:szCs w:val="20"/>
              </w:rPr>
              <w:t>17/61 (27.9%)</w:t>
            </w:r>
          </w:p>
        </w:tc>
      </w:tr>
    </w:tbl>
    <w:p w:rsidR="00AC0E1C" w:rsidRPr="00F90B95" w:rsidRDefault="004D6281" w:rsidP="00AC0E1C">
      <w:pPr>
        <w:rPr>
          <w:rFonts w:ascii="Arial Narrow" w:hAnsi="Arial Narrow"/>
          <w:sz w:val="18"/>
          <w:szCs w:val="18"/>
        </w:rPr>
      </w:pPr>
      <w:r w:rsidRPr="00F90B95">
        <w:rPr>
          <w:rFonts w:ascii="Arial Narrow" w:hAnsi="Arial Narrow"/>
          <w:sz w:val="18"/>
          <w:szCs w:val="18"/>
        </w:rPr>
        <w:t>CI = confidence interval; OS = overall survival; PF</w:t>
      </w:r>
      <w:r w:rsidR="005E19C9" w:rsidRPr="00F90B95">
        <w:rPr>
          <w:rFonts w:ascii="Arial Narrow" w:hAnsi="Arial Narrow"/>
          <w:sz w:val="18"/>
          <w:szCs w:val="18"/>
        </w:rPr>
        <w:t>S = progression-</w:t>
      </w:r>
      <w:r w:rsidRPr="00F90B95">
        <w:rPr>
          <w:rFonts w:ascii="Arial Narrow" w:hAnsi="Arial Narrow"/>
          <w:sz w:val="18"/>
          <w:szCs w:val="18"/>
        </w:rPr>
        <w:t>free survival; SD = standard deviation</w:t>
      </w:r>
      <w:r w:rsidR="00294125" w:rsidRPr="00F90B95">
        <w:rPr>
          <w:rFonts w:ascii="Arial Narrow" w:hAnsi="Arial Narrow"/>
          <w:sz w:val="18"/>
          <w:szCs w:val="18"/>
        </w:rPr>
        <w:t xml:space="preserve">; </w:t>
      </w:r>
      <w:proofErr w:type="spellStart"/>
      <w:r w:rsidR="00294125" w:rsidRPr="00F90B95">
        <w:rPr>
          <w:rFonts w:ascii="Arial Narrow" w:hAnsi="Arial Narrow"/>
          <w:sz w:val="18"/>
          <w:szCs w:val="18"/>
        </w:rPr>
        <w:t>ToT</w:t>
      </w:r>
      <w:proofErr w:type="spellEnd"/>
      <w:r w:rsidR="00294125" w:rsidRPr="00F90B95">
        <w:rPr>
          <w:rFonts w:ascii="Arial Narrow" w:hAnsi="Arial Narrow"/>
          <w:sz w:val="18"/>
          <w:szCs w:val="18"/>
        </w:rPr>
        <w:t xml:space="preserve"> = time on treatment</w:t>
      </w:r>
      <w:r w:rsidR="00324F53" w:rsidRPr="00F90B95">
        <w:rPr>
          <w:rFonts w:ascii="Arial Narrow" w:hAnsi="Arial Narrow"/>
          <w:sz w:val="18"/>
          <w:szCs w:val="18"/>
        </w:rPr>
        <w:t>.</w:t>
      </w:r>
    </w:p>
    <w:p w:rsidR="004D6281" w:rsidRPr="00F90B95" w:rsidRDefault="004D6281" w:rsidP="004D6281">
      <w:pPr>
        <w:rPr>
          <w:rFonts w:ascii="Arial Narrow" w:hAnsi="Arial Narrow"/>
          <w:sz w:val="18"/>
          <w:szCs w:val="18"/>
          <w:lang w:eastAsia="ja-JP"/>
        </w:rPr>
      </w:pPr>
      <w:r w:rsidRPr="00F90B95">
        <w:rPr>
          <w:rFonts w:ascii="Arial Narrow" w:hAnsi="Arial Narrow"/>
          <w:sz w:val="18"/>
          <w:szCs w:val="18"/>
        </w:rPr>
        <w:t>Source: Table 2.5-1, p50 and Table 2.5-6, p54 of the submission; Table 14.2-13, p141 and Table 14.2-16, p144 of the CSR</w:t>
      </w:r>
      <w:r w:rsidR="00324F53" w:rsidRPr="00F90B95">
        <w:rPr>
          <w:rFonts w:ascii="Arial Narrow" w:hAnsi="Arial Narrow"/>
          <w:sz w:val="18"/>
          <w:szCs w:val="18"/>
        </w:rPr>
        <w:t>.</w:t>
      </w:r>
    </w:p>
    <w:p w:rsidR="004D6281" w:rsidRPr="00F90B95" w:rsidRDefault="004D6281" w:rsidP="00AC0E1C"/>
    <w:p w:rsidR="004D6281" w:rsidRPr="00F90B95" w:rsidRDefault="004D6281" w:rsidP="00FF79F9">
      <w:pPr>
        <w:pStyle w:val="Caption"/>
        <w:keepNext/>
        <w:widowControl/>
        <w:jc w:val="left"/>
        <w:rPr>
          <w:lang w:eastAsia="ja-JP"/>
        </w:rPr>
      </w:pPr>
      <w:r w:rsidRPr="00F90B95">
        <w:lastRenderedPageBreak/>
        <w:t xml:space="preserve">Figure </w:t>
      </w:r>
      <w:r w:rsidR="00B70901" w:rsidRPr="00F90B95">
        <w:t>1</w:t>
      </w:r>
      <w:r w:rsidRPr="00F90B95">
        <w:t>: Kaplan-Meier pl</w:t>
      </w:r>
      <w:r w:rsidR="008612E6" w:rsidRPr="00F90B95">
        <w:t>ot of overall survival in KN164</w:t>
      </w:r>
      <w:r w:rsidRPr="00F90B95">
        <w:rPr>
          <w:noProof/>
          <w:lang w:eastAsia="en-AU"/>
        </w:rPr>
        <w:drawing>
          <wp:inline distT="0" distB="0" distL="0" distR="0" wp14:anchorId="1D414158" wp14:editId="28D58E20">
            <wp:extent cx="4701396" cy="2897984"/>
            <wp:effectExtent l="0" t="0" r="0" b="0"/>
            <wp:docPr id="6" name="Picture 6" title="Figure 1: Kaplan-Meier plot of overall survival in KN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485" r="-3726" b="19065"/>
                    <a:stretch/>
                  </pic:blipFill>
                  <pic:spPr bwMode="auto">
                    <a:xfrm>
                      <a:off x="0" y="0"/>
                      <a:ext cx="4702228" cy="2898497"/>
                    </a:xfrm>
                    <a:prstGeom prst="rect">
                      <a:avLst/>
                    </a:prstGeom>
                    <a:ln>
                      <a:noFill/>
                    </a:ln>
                    <a:extLst>
                      <a:ext uri="{53640926-AAD7-44D8-BBD7-CCE9431645EC}">
                        <a14:shadowObscured xmlns:a14="http://schemas.microsoft.com/office/drawing/2010/main"/>
                      </a:ext>
                    </a:extLst>
                  </pic:spPr>
                </pic:pic>
              </a:graphicData>
            </a:graphic>
          </wp:inline>
        </w:drawing>
      </w:r>
    </w:p>
    <w:p w:rsidR="004D6281" w:rsidRPr="00F90B95" w:rsidRDefault="004D6281" w:rsidP="00FF79F9">
      <w:pPr>
        <w:keepNext/>
        <w:widowControl/>
      </w:pPr>
      <w:r w:rsidRPr="00F90B95">
        <w:rPr>
          <w:rFonts w:ascii="Arial Narrow" w:hAnsi="Arial Narrow"/>
          <w:sz w:val="18"/>
          <w:szCs w:val="18"/>
          <w:lang w:eastAsia="ja-JP"/>
        </w:rPr>
        <w:t>Source: Figure 2.5-1, p56 of the submission.</w:t>
      </w:r>
    </w:p>
    <w:p w:rsidR="004D6281" w:rsidRPr="00F90B95" w:rsidRDefault="004D6281" w:rsidP="00662FCF">
      <w:pPr>
        <w:pStyle w:val="ListParagraph"/>
        <w:numPr>
          <w:ilvl w:val="1"/>
          <w:numId w:val="7"/>
        </w:numPr>
        <w:spacing w:before="160" w:after="120"/>
      </w:pPr>
      <w:r w:rsidRPr="00F90B95">
        <w:t>The primary outcome of study KN164 was ORR, which was the summation of complete response and partial response. At a median duration of follow up of 13.2 months</w:t>
      </w:r>
      <w:r w:rsidR="001B538E" w:rsidRPr="00F90B95">
        <w:t>,</w:t>
      </w:r>
      <w:r w:rsidRPr="00F90B95">
        <w:t xml:space="preserve"> no patients had achieved a complete response and 27.9% had achieved a partial response</w:t>
      </w:r>
      <w:r w:rsidR="000579DF" w:rsidRPr="00F90B95">
        <w:t>. Approximately 46% of patients had progressed.</w:t>
      </w:r>
    </w:p>
    <w:p w:rsidR="000579DF" w:rsidRPr="00F90B95" w:rsidRDefault="000579DF" w:rsidP="00662FCF">
      <w:pPr>
        <w:pStyle w:val="ListParagraph"/>
        <w:numPr>
          <w:ilvl w:val="1"/>
          <w:numId w:val="7"/>
        </w:numPr>
        <w:spacing w:after="120"/>
      </w:pPr>
      <w:r w:rsidRPr="00F90B95">
        <w:t xml:space="preserve">OS data were immature as the median OS had not been reached. OS rates at </w:t>
      </w:r>
      <w:r w:rsidR="008046F9" w:rsidRPr="00F90B95">
        <w:t>six</w:t>
      </w:r>
      <w:r w:rsidRPr="00F90B95">
        <w:t xml:space="preserve"> and 12 months were 86.8% and 71.7%, respectively,</w:t>
      </w:r>
      <w:r w:rsidR="008046F9" w:rsidRPr="00F90B95">
        <w:t xml:space="preserve"> by Kaplan-Meier estimation</w:t>
      </w:r>
      <w:r w:rsidR="00ED7DDA" w:rsidRPr="00F90B95">
        <w:t>.</w:t>
      </w:r>
    </w:p>
    <w:p w:rsidR="00976860" w:rsidRPr="00F90B95" w:rsidRDefault="00BA50D5" w:rsidP="00662FCF">
      <w:pPr>
        <w:pStyle w:val="ListParagraph"/>
        <w:numPr>
          <w:ilvl w:val="1"/>
          <w:numId w:val="7"/>
        </w:numPr>
        <w:spacing w:after="120"/>
      </w:pPr>
      <w:r w:rsidRPr="00F90B95">
        <w:t xml:space="preserve">As there were no direct comparative data, the submission presented naïve indirect comparisons between pembrolizumab and the three nominated comparators. </w:t>
      </w:r>
      <w:r w:rsidR="00976860" w:rsidRPr="00F90B95">
        <w:t xml:space="preserve">The submission argued that the comparisons </w:t>
      </w:r>
      <w:r w:rsidRPr="00F90B95">
        <w:t>we</w:t>
      </w:r>
      <w:r w:rsidR="00976860" w:rsidRPr="00F90B95">
        <w:t>re biased against pembrolizumab</w:t>
      </w:r>
      <w:r w:rsidR="0019648B" w:rsidRPr="00F90B95">
        <w:t xml:space="preserve"> as</w:t>
      </w:r>
      <w:r w:rsidR="00976860" w:rsidRPr="00F90B95">
        <w:t>:</w:t>
      </w:r>
    </w:p>
    <w:p w:rsidR="00976860" w:rsidRPr="00F90B95" w:rsidRDefault="001B538E" w:rsidP="00662FCF">
      <w:pPr>
        <w:pStyle w:val="ListParagraph"/>
        <w:numPr>
          <w:ilvl w:val="0"/>
          <w:numId w:val="5"/>
        </w:numPr>
        <w:spacing w:after="120"/>
      </w:pPr>
      <w:r w:rsidRPr="00F90B95">
        <w:t>t</w:t>
      </w:r>
      <w:r w:rsidR="00976860" w:rsidRPr="00F90B95">
        <w:t xml:space="preserve">he KN164 population comprised 90.2% of participants who had progressed from </w:t>
      </w:r>
      <w:r w:rsidR="00E76B82" w:rsidRPr="00F90B95">
        <w:t>second-</w:t>
      </w:r>
      <w:r w:rsidR="00976860" w:rsidRPr="00F90B95">
        <w:t>line chemotherapy whereas the majority of the comparator studies enrolled patients who had progressed on only one previous line of therapy; and</w:t>
      </w:r>
    </w:p>
    <w:p w:rsidR="00976860" w:rsidRPr="00F90B95" w:rsidRDefault="001B538E" w:rsidP="00662FCF">
      <w:pPr>
        <w:pStyle w:val="ListParagraph"/>
        <w:numPr>
          <w:ilvl w:val="0"/>
          <w:numId w:val="5"/>
        </w:numPr>
        <w:spacing w:after="120"/>
      </w:pPr>
      <w:proofErr w:type="gramStart"/>
      <w:r w:rsidRPr="00F90B95">
        <w:t>p</w:t>
      </w:r>
      <w:r w:rsidR="00976860" w:rsidRPr="00F90B95">
        <w:t>embrolizumab</w:t>
      </w:r>
      <w:proofErr w:type="gramEnd"/>
      <w:r w:rsidR="00976860" w:rsidRPr="00F90B95">
        <w:t xml:space="preserve"> was investigated in a MSI-H/</w:t>
      </w:r>
      <w:proofErr w:type="spellStart"/>
      <w:r w:rsidR="00976860" w:rsidRPr="00F90B95">
        <w:t>dMMR</w:t>
      </w:r>
      <w:proofErr w:type="spellEnd"/>
      <w:r w:rsidR="00976860" w:rsidRPr="00F90B95">
        <w:t xml:space="preserve"> population, whereas the majority of the </w:t>
      </w:r>
      <w:r w:rsidR="00FD257E" w:rsidRPr="00F90B95">
        <w:t>comparator</w:t>
      </w:r>
      <w:r w:rsidR="00976860" w:rsidRPr="00F90B95">
        <w:t xml:space="preserve"> studies were in an all-comers population. Acknowledging the conflicting evidence around the impact of MSI-H or </w:t>
      </w:r>
      <w:proofErr w:type="spellStart"/>
      <w:r w:rsidR="00976860" w:rsidRPr="00F90B95">
        <w:t>dMMR</w:t>
      </w:r>
      <w:proofErr w:type="spellEnd"/>
      <w:r w:rsidR="00976860" w:rsidRPr="00F90B95">
        <w:t xml:space="preserve"> status on patient survival, the submission noted that a survival analysis of Australian patients found that microsatellite instability was associated with poorer survival compared to micro-satellite stable tumours.</w:t>
      </w:r>
    </w:p>
    <w:p w:rsidR="00DA3167" w:rsidRPr="00F90B95" w:rsidRDefault="00B70901" w:rsidP="00662FCF">
      <w:pPr>
        <w:pStyle w:val="ListParagraph"/>
        <w:widowControl/>
        <w:numPr>
          <w:ilvl w:val="1"/>
          <w:numId w:val="7"/>
        </w:numPr>
        <w:spacing w:before="160" w:after="120"/>
      </w:pPr>
      <w:r w:rsidRPr="00F90B95">
        <w:t>Table 5</w:t>
      </w:r>
      <w:r w:rsidR="000B3CA5" w:rsidRPr="00F90B95">
        <w:t xml:space="preserve"> </w:t>
      </w:r>
      <w:r w:rsidR="00976860" w:rsidRPr="00F90B95">
        <w:t xml:space="preserve">summarises the naïve </w:t>
      </w:r>
      <w:r w:rsidR="004E5CC4" w:rsidRPr="00F90B95">
        <w:t xml:space="preserve">indirect </w:t>
      </w:r>
      <w:r w:rsidR="00976860" w:rsidRPr="00F90B95">
        <w:t>comparison between pembrolizumab and chemotherapy.</w:t>
      </w:r>
    </w:p>
    <w:p w:rsidR="000B3CA5" w:rsidRPr="00F90B95" w:rsidRDefault="000B3CA5" w:rsidP="00B70901">
      <w:pPr>
        <w:pStyle w:val="Caption"/>
        <w:keepNext/>
      </w:pPr>
      <w:bookmarkStart w:id="9" w:name="_Ref531875066"/>
      <w:r w:rsidRPr="00F90B95">
        <w:lastRenderedPageBreak/>
        <w:t xml:space="preserve">Table </w:t>
      </w:r>
      <w:bookmarkEnd w:id="9"/>
      <w:r w:rsidR="00B70901" w:rsidRPr="00F90B95">
        <w:t>5</w:t>
      </w:r>
      <w:r w:rsidRPr="00F90B95">
        <w:t>: Na</w:t>
      </w:r>
      <w:r w:rsidR="00A006C3" w:rsidRPr="00F90B95">
        <w:t>ï</w:t>
      </w:r>
      <w:r w:rsidRPr="00F90B95">
        <w:t xml:space="preserve">ve </w:t>
      </w:r>
      <w:r w:rsidR="003212DE" w:rsidRPr="00F90B95">
        <w:t xml:space="preserve">indirect </w:t>
      </w:r>
      <w:r w:rsidRPr="00F90B95">
        <w:t>comparison of effectiveness</w:t>
      </w:r>
      <w:r w:rsidR="00F7306C" w:rsidRPr="00F90B95">
        <w:t xml:space="preserve">: </w:t>
      </w:r>
      <w:r w:rsidRPr="00F90B95">
        <w:t>pembrolizumab vs. chemotherapy</w:t>
      </w:r>
    </w:p>
    <w:tbl>
      <w:tblPr>
        <w:tblStyle w:val="TableGrid"/>
        <w:tblW w:w="0" w:type="auto"/>
        <w:tblInd w:w="108" w:type="dxa"/>
        <w:tblLook w:val="04A0" w:firstRow="1" w:lastRow="0" w:firstColumn="1" w:lastColumn="0" w:noHBand="0" w:noVBand="1"/>
        <w:tblCaption w:val="Table 5: Naïve indirect comparison of effectiveness: pembrolizumab vs. chemotherapy"/>
      </w:tblPr>
      <w:tblGrid>
        <w:gridCol w:w="2071"/>
        <w:gridCol w:w="2278"/>
        <w:gridCol w:w="2280"/>
        <w:gridCol w:w="2280"/>
      </w:tblGrid>
      <w:tr w:rsidR="008E1747" w:rsidRPr="00F90B95" w:rsidTr="0044164E">
        <w:trPr>
          <w:tblHeader/>
        </w:trPr>
        <w:tc>
          <w:tcPr>
            <w:tcW w:w="2094" w:type="dxa"/>
            <w:vAlign w:val="center"/>
          </w:tcPr>
          <w:p w:rsidR="008E1747" w:rsidRPr="00F90B95" w:rsidRDefault="008E1747" w:rsidP="00B70901">
            <w:pPr>
              <w:keepNext/>
              <w:jc w:val="left"/>
              <w:rPr>
                <w:rFonts w:ascii="Arial Narrow" w:hAnsi="Arial Narrow"/>
                <w:sz w:val="20"/>
                <w:szCs w:val="20"/>
              </w:rPr>
            </w:pPr>
          </w:p>
        </w:tc>
        <w:tc>
          <w:tcPr>
            <w:tcW w:w="2311" w:type="dxa"/>
            <w:vAlign w:val="center"/>
          </w:tcPr>
          <w:p w:rsidR="008E1747" w:rsidRPr="00F90B95" w:rsidRDefault="008E1747" w:rsidP="00B70901">
            <w:pPr>
              <w:keepNext/>
              <w:jc w:val="center"/>
              <w:rPr>
                <w:rFonts w:ascii="Arial Narrow" w:hAnsi="Arial Narrow"/>
                <w:b/>
                <w:sz w:val="20"/>
                <w:szCs w:val="20"/>
              </w:rPr>
            </w:pPr>
            <w:r w:rsidRPr="00F90B95">
              <w:rPr>
                <w:rFonts w:ascii="Arial Narrow" w:hAnsi="Arial Narrow"/>
                <w:b/>
                <w:sz w:val="20"/>
                <w:szCs w:val="20"/>
              </w:rPr>
              <w:t xml:space="preserve">ORR, % </w:t>
            </w:r>
            <w:r w:rsidRPr="00F90B95">
              <w:rPr>
                <w:rFonts w:ascii="Arial Narrow" w:hAnsi="Arial Narrow"/>
                <w:b/>
                <w:sz w:val="20"/>
                <w:szCs w:val="20"/>
              </w:rPr>
              <w:br/>
              <w:t>(95% CI)</w:t>
            </w:r>
          </w:p>
        </w:tc>
        <w:tc>
          <w:tcPr>
            <w:tcW w:w="2311" w:type="dxa"/>
            <w:vAlign w:val="center"/>
          </w:tcPr>
          <w:p w:rsidR="008E1747" w:rsidRPr="00F90B95" w:rsidRDefault="008E1747" w:rsidP="00B70901">
            <w:pPr>
              <w:keepNext/>
              <w:jc w:val="center"/>
              <w:rPr>
                <w:rFonts w:ascii="Arial Narrow" w:hAnsi="Arial Narrow"/>
                <w:b/>
                <w:sz w:val="20"/>
                <w:szCs w:val="20"/>
              </w:rPr>
            </w:pPr>
            <w:r w:rsidRPr="00F90B95">
              <w:rPr>
                <w:rFonts w:ascii="Arial Narrow" w:hAnsi="Arial Narrow"/>
                <w:b/>
                <w:sz w:val="20"/>
                <w:szCs w:val="20"/>
              </w:rPr>
              <w:t xml:space="preserve">Median PFS, months </w:t>
            </w:r>
            <w:r w:rsidRPr="00F90B95">
              <w:rPr>
                <w:rFonts w:ascii="Arial Narrow" w:hAnsi="Arial Narrow"/>
                <w:b/>
                <w:sz w:val="20"/>
                <w:szCs w:val="20"/>
              </w:rPr>
              <w:br/>
              <w:t>(95% CI)</w:t>
            </w:r>
          </w:p>
        </w:tc>
        <w:tc>
          <w:tcPr>
            <w:tcW w:w="2311" w:type="dxa"/>
            <w:vAlign w:val="center"/>
          </w:tcPr>
          <w:p w:rsidR="008E1747" w:rsidRPr="00F90B95" w:rsidRDefault="008E1747" w:rsidP="00B70901">
            <w:pPr>
              <w:keepNext/>
              <w:jc w:val="center"/>
              <w:rPr>
                <w:rFonts w:ascii="Arial Narrow" w:hAnsi="Arial Narrow"/>
                <w:b/>
                <w:sz w:val="20"/>
                <w:szCs w:val="20"/>
              </w:rPr>
            </w:pPr>
            <w:r w:rsidRPr="00F90B95">
              <w:rPr>
                <w:rFonts w:ascii="Arial Narrow" w:hAnsi="Arial Narrow"/>
                <w:b/>
                <w:sz w:val="20"/>
                <w:szCs w:val="20"/>
              </w:rPr>
              <w:t xml:space="preserve">Median OS, months </w:t>
            </w:r>
            <w:r w:rsidR="00324F53" w:rsidRPr="00F90B95">
              <w:rPr>
                <w:rFonts w:ascii="Arial Narrow" w:hAnsi="Arial Narrow"/>
                <w:b/>
                <w:sz w:val="20"/>
                <w:szCs w:val="20"/>
              </w:rPr>
              <w:br/>
            </w:r>
            <w:r w:rsidRPr="00F90B95">
              <w:rPr>
                <w:rFonts w:ascii="Arial Narrow" w:hAnsi="Arial Narrow"/>
                <w:b/>
                <w:sz w:val="20"/>
                <w:szCs w:val="20"/>
              </w:rPr>
              <w:t>(95%</w:t>
            </w:r>
            <w:r w:rsidR="00324F53" w:rsidRPr="00F90B95">
              <w:rPr>
                <w:rFonts w:ascii="Arial Narrow" w:hAnsi="Arial Narrow"/>
                <w:b/>
                <w:sz w:val="20"/>
                <w:szCs w:val="20"/>
              </w:rPr>
              <w:t xml:space="preserve"> </w:t>
            </w:r>
            <w:r w:rsidRPr="00F90B95">
              <w:rPr>
                <w:rFonts w:ascii="Arial Narrow" w:hAnsi="Arial Narrow"/>
                <w:b/>
                <w:sz w:val="20"/>
                <w:szCs w:val="20"/>
              </w:rPr>
              <w:t>CI)</w:t>
            </w:r>
          </w:p>
        </w:tc>
      </w:tr>
      <w:tr w:rsidR="008E1747" w:rsidRPr="00F90B95" w:rsidTr="0044164E">
        <w:trPr>
          <w:tblHeader/>
        </w:trPr>
        <w:tc>
          <w:tcPr>
            <w:tcW w:w="9027" w:type="dxa"/>
            <w:gridSpan w:val="4"/>
            <w:vAlign w:val="center"/>
          </w:tcPr>
          <w:p w:rsidR="008E1747" w:rsidRPr="00F90B95" w:rsidRDefault="008E1747" w:rsidP="00B70901">
            <w:pPr>
              <w:keepNext/>
              <w:jc w:val="left"/>
              <w:rPr>
                <w:rFonts w:ascii="Arial Narrow" w:hAnsi="Arial Narrow"/>
                <w:b/>
                <w:sz w:val="20"/>
                <w:szCs w:val="20"/>
              </w:rPr>
            </w:pPr>
            <w:r w:rsidRPr="00F90B95">
              <w:rPr>
                <w:rFonts w:ascii="Arial Narrow" w:hAnsi="Arial Narrow"/>
                <w:b/>
                <w:sz w:val="20"/>
                <w:szCs w:val="20"/>
              </w:rPr>
              <w:t>Pembrolizumab</w:t>
            </w:r>
          </w:p>
        </w:tc>
      </w:tr>
      <w:tr w:rsidR="008E1747" w:rsidRPr="00F90B95" w:rsidTr="0044164E">
        <w:trPr>
          <w:tblHeader/>
        </w:trPr>
        <w:tc>
          <w:tcPr>
            <w:tcW w:w="2094" w:type="dxa"/>
            <w:vAlign w:val="center"/>
          </w:tcPr>
          <w:p w:rsidR="008E1747" w:rsidRPr="00F90B95" w:rsidRDefault="008E1747" w:rsidP="00B70901">
            <w:pPr>
              <w:keepNext/>
              <w:jc w:val="left"/>
              <w:rPr>
                <w:rFonts w:ascii="Arial Narrow" w:hAnsi="Arial Narrow"/>
                <w:sz w:val="20"/>
                <w:szCs w:val="20"/>
              </w:rPr>
            </w:pPr>
            <w:r w:rsidRPr="00F90B95">
              <w:rPr>
                <w:rFonts w:ascii="Arial Narrow" w:hAnsi="Arial Narrow"/>
                <w:sz w:val="20"/>
                <w:szCs w:val="20"/>
              </w:rPr>
              <w:t>KN164</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27.9% (17.1, 40.8)</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2.3 (2.1, 8.1)</w:t>
            </w:r>
          </w:p>
        </w:tc>
        <w:tc>
          <w:tcPr>
            <w:tcW w:w="2311" w:type="dxa"/>
            <w:vAlign w:val="center"/>
          </w:tcPr>
          <w:p w:rsidR="008E1747"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r>
      <w:tr w:rsidR="008E1747" w:rsidRPr="00F90B95" w:rsidTr="0044164E">
        <w:trPr>
          <w:tblHeader/>
        </w:trPr>
        <w:tc>
          <w:tcPr>
            <w:tcW w:w="9027" w:type="dxa"/>
            <w:gridSpan w:val="4"/>
            <w:vAlign w:val="center"/>
          </w:tcPr>
          <w:p w:rsidR="008E1747" w:rsidRPr="00F90B95" w:rsidRDefault="008E1747" w:rsidP="00B70901">
            <w:pPr>
              <w:keepNext/>
              <w:jc w:val="left"/>
              <w:rPr>
                <w:rFonts w:ascii="Arial Narrow" w:hAnsi="Arial Narrow"/>
                <w:b/>
                <w:sz w:val="20"/>
                <w:szCs w:val="20"/>
              </w:rPr>
            </w:pPr>
            <w:r w:rsidRPr="00F90B95">
              <w:rPr>
                <w:rFonts w:ascii="Arial Narrow" w:hAnsi="Arial Narrow"/>
                <w:b/>
                <w:sz w:val="20"/>
                <w:szCs w:val="20"/>
              </w:rPr>
              <w:t>Chemotherapy</w:t>
            </w:r>
          </w:p>
        </w:tc>
      </w:tr>
      <w:tr w:rsidR="008E1747" w:rsidRPr="00F90B95" w:rsidTr="0044164E">
        <w:trPr>
          <w:tblHeader/>
        </w:trPr>
        <w:tc>
          <w:tcPr>
            <w:tcW w:w="2094" w:type="dxa"/>
            <w:vAlign w:val="center"/>
          </w:tcPr>
          <w:p w:rsidR="008E1747" w:rsidRPr="00F90B95" w:rsidRDefault="008E1747" w:rsidP="00B70901">
            <w:pPr>
              <w:keepNext/>
              <w:jc w:val="left"/>
              <w:rPr>
                <w:rFonts w:ascii="Arial Narrow" w:hAnsi="Arial Narrow"/>
                <w:sz w:val="20"/>
                <w:szCs w:val="20"/>
              </w:rPr>
            </w:pPr>
            <w:r w:rsidRPr="00F90B95">
              <w:rPr>
                <w:rFonts w:ascii="Arial Narrow" w:hAnsi="Arial Narrow"/>
                <w:sz w:val="20"/>
                <w:szCs w:val="20"/>
              </w:rPr>
              <w:t>GERCOR</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4% (0, 9)</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2.5 (2.1, 3.3)</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21.5 (16.9, 25.2)</w:t>
            </w:r>
          </w:p>
        </w:tc>
      </w:tr>
      <w:tr w:rsidR="008E1747" w:rsidRPr="00F90B95" w:rsidTr="0044164E">
        <w:trPr>
          <w:tblHeader/>
        </w:trPr>
        <w:tc>
          <w:tcPr>
            <w:tcW w:w="2094" w:type="dxa"/>
            <w:vAlign w:val="center"/>
          </w:tcPr>
          <w:p w:rsidR="008E1747" w:rsidRPr="00F90B95" w:rsidRDefault="008E1747" w:rsidP="00B70901">
            <w:pPr>
              <w:keepNext/>
              <w:jc w:val="left"/>
              <w:rPr>
                <w:rFonts w:ascii="Arial Narrow" w:hAnsi="Arial Narrow"/>
                <w:sz w:val="20"/>
                <w:szCs w:val="20"/>
              </w:rPr>
            </w:pPr>
            <w:r w:rsidRPr="00F90B95">
              <w:rPr>
                <w:rFonts w:ascii="Arial Narrow" w:hAnsi="Arial Narrow"/>
                <w:sz w:val="20"/>
                <w:szCs w:val="20"/>
              </w:rPr>
              <w:t>VELOUR</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11.1%</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4.7</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12.1 (11.1, 13.1)</w:t>
            </w:r>
          </w:p>
        </w:tc>
      </w:tr>
      <w:tr w:rsidR="008E1747" w:rsidRPr="00F90B95" w:rsidTr="0044164E">
        <w:trPr>
          <w:trHeight w:val="129"/>
          <w:tblHeader/>
        </w:trPr>
        <w:tc>
          <w:tcPr>
            <w:tcW w:w="2094" w:type="dxa"/>
            <w:vAlign w:val="center"/>
          </w:tcPr>
          <w:p w:rsidR="008E1747" w:rsidRPr="00F90B95" w:rsidRDefault="008E1747" w:rsidP="00B70901">
            <w:pPr>
              <w:pStyle w:val="TableText0"/>
              <w:keepNext/>
              <w:spacing w:before="0" w:after="0"/>
              <w:rPr>
                <w:szCs w:val="20"/>
              </w:rPr>
            </w:pPr>
            <w:proofErr w:type="spellStart"/>
            <w:r w:rsidRPr="00F90B95">
              <w:rPr>
                <w:szCs w:val="20"/>
              </w:rPr>
              <w:t>Sanoff</w:t>
            </w:r>
            <w:proofErr w:type="spellEnd"/>
            <w:r w:rsidRPr="00F90B95">
              <w:rPr>
                <w:szCs w:val="20"/>
              </w:rPr>
              <w:t xml:space="preserve"> 2018</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21% (11, 33)</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5.3 (4.1, 6.0)</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11.3 (8.9, 15.8)</w:t>
            </w:r>
          </w:p>
        </w:tc>
      </w:tr>
      <w:tr w:rsidR="008E1747" w:rsidRPr="00F90B95" w:rsidTr="0044164E">
        <w:trPr>
          <w:tblHeader/>
        </w:trPr>
        <w:tc>
          <w:tcPr>
            <w:tcW w:w="2094" w:type="dxa"/>
            <w:vAlign w:val="center"/>
          </w:tcPr>
          <w:p w:rsidR="008E1747" w:rsidRPr="00F90B95" w:rsidRDefault="008E1747" w:rsidP="00B70901">
            <w:pPr>
              <w:pStyle w:val="TableText0"/>
              <w:keepNext/>
              <w:spacing w:before="0" w:after="0"/>
              <w:rPr>
                <w:szCs w:val="20"/>
              </w:rPr>
            </w:pPr>
            <w:r w:rsidRPr="00F90B95">
              <w:rPr>
                <w:szCs w:val="20"/>
              </w:rPr>
              <w:t>FLIGHT 2</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12% (4.5, 24.3)</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5.8 (4.2, 7.3)</w:t>
            </w:r>
          </w:p>
        </w:tc>
        <w:tc>
          <w:tcPr>
            <w:tcW w:w="2311" w:type="dxa"/>
            <w:vAlign w:val="center"/>
          </w:tcPr>
          <w:p w:rsidR="008E1747" w:rsidRPr="00F90B95" w:rsidRDefault="008E1747" w:rsidP="00B70901">
            <w:pPr>
              <w:keepNext/>
              <w:jc w:val="center"/>
              <w:rPr>
                <w:rFonts w:ascii="Arial Narrow" w:hAnsi="Arial Narrow"/>
                <w:sz w:val="20"/>
                <w:szCs w:val="20"/>
              </w:rPr>
            </w:pPr>
            <w:r w:rsidRPr="00F90B95">
              <w:rPr>
                <w:rFonts w:ascii="Arial Narrow" w:hAnsi="Arial Narrow"/>
                <w:sz w:val="20"/>
                <w:szCs w:val="20"/>
              </w:rPr>
              <w:t>17.8 (12.6, 22.5)</w:t>
            </w:r>
          </w:p>
        </w:tc>
      </w:tr>
      <w:tr w:rsidR="008E1747" w:rsidRPr="00F90B95" w:rsidTr="0044164E">
        <w:trPr>
          <w:tblHeader/>
        </w:trPr>
        <w:tc>
          <w:tcPr>
            <w:tcW w:w="2094" w:type="dxa"/>
            <w:vAlign w:val="center"/>
          </w:tcPr>
          <w:p w:rsidR="008E1747" w:rsidRPr="00F90B95" w:rsidRDefault="008E1747" w:rsidP="00B70901">
            <w:pPr>
              <w:pStyle w:val="TableText0"/>
              <w:keepNext/>
              <w:spacing w:before="0" w:after="0"/>
              <w:rPr>
                <w:szCs w:val="20"/>
              </w:rPr>
            </w:pPr>
            <w:proofErr w:type="spellStart"/>
            <w:r w:rsidRPr="00F90B95">
              <w:rPr>
                <w:szCs w:val="20"/>
              </w:rPr>
              <w:t>DaVINCI</w:t>
            </w:r>
            <w:proofErr w:type="spellEnd"/>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11.4% (3.7, 24.6)</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6.2 (8.1, 19.3)</w:t>
            </w:r>
          </w:p>
        </w:tc>
        <w:tc>
          <w:tcPr>
            <w:tcW w:w="2311" w:type="dxa"/>
            <w:vAlign w:val="center"/>
          </w:tcPr>
          <w:p w:rsidR="008E1747" w:rsidRPr="00F90B95" w:rsidRDefault="008E1747" w:rsidP="00B70901">
            <w:pPr>
              <w:pStyle w:val="TableText0"/>
              <w:keepNext/>
              <w:spacing w:before="0" w:after="0"/>
              <w:jc w:val="center"/>
              <w:rPr>
                <w:szCs w:val="20"/>
              </w:rPr>
            </w:pPr>
            <w:r w:rsidRPr="00F90B95">
              <w:rPr>
                <w:szCs w:val="20"/>
              </w:rPr>
              <w:t>15.4 (8.1, 19.3)</w:t>
            </w:r>
          </w:p>
        </w:tc>
      </w:tr>
    </w:tbl>
    <w:p w:rsidR="00520EA2" w:rsidRPr="00F90B95" w:rsidRDefault="00520EA2" w:rsidP="00520EA2">
      <w:pPr>
        <w:pStyle w:val="TableText0"/>
        <w:rPr>
          <w:sz w:val="18"/>
          <w:szCs w:val="18"/>
        </w:rPr>
      </w:pPr>
      <w:r w:rsidRPr="00F90B95">
        <w:rPr>
          <w:sz w:val="18"/>
          <w:szCs w:val="18"/>
        </w:rPr>
        <w:t>CI = confidence interval;</w:t>
      </w:r>
      <w:r w:rsidR="00902562" w:rsidRPr="00F90B95">
        <w:rPr>
          <w:sz w:val="18"/>
          <w:szCs w:val="18"/>
        </w:rPr>
        <w:t xml:space="preserve"> NR = not reached;</w:t>
      </w:r>
      <w:r w:rsidRPr="00F90B95">
        <w:rPr>
          <w:sz w:val="18"/>
          <w:szCs w:val="18"/>
        </w:rPr>
        <w:t xml:space="preserve"> ORR = o</w:t>
      </w:r>
      <w:r w:rsidR="004E1C13" w:rsidRPr="00F90B95">
        <w:rPr>
          <w:sz w:val="18"/>
          <w:szCs w:val="18"/>
        </w:rPr>
        <w:t>bjective</w:t>
      </w:r>
      <w:r w:rsidR="00B70901" w:rsidRPr="00F90B95">
        <w:rPr>
          <w:sz w:val="18"/>
          <w:szCs w:val="18"/>
        </w:rPr>
        <w:t>/overall</w:t>
      </w:r>
      <w:r w:rsidRPr="00F90B95">
        <w:rPr>
          <w:sz w:val="18"/>
          <w:szCs w:val="18"/>
        </w:rPr>
        <w:t xml:space="preserve"> response rate; </w:t>
      </w:r>
      <w:r w:rsidR="00B70901" w:rsidRPr="00F90B95">
        <w:rPr>
          <w:sz w:val="18"/>
          <w:szCs w:val="18"/>
        </w:rPr>
        <w:t>OS = overall survival; PFS = p</w:t>
      </w:r>
      <w:r w:rsidR="005E19C9" w:rsidRPr="00F90B95">
        <w:rPr>
          <w:sz w:val="18"/>
          <w:szCs w:val="18"/>
        </w:rPr>
        <w:t>rogression-</w:t>
      </w:r>
      <w:r w:rsidRPr="00F90B95">
        <w:rPr>
          <w:sz w:val="18"/>
          <w:szCs w:val="18"/>
        </w:rPr>
        <w:t>free survival.</w:t>
      </w:r>
    </w:p>
    <w:p w:rsidR="00EE0E6D" w:rsidRPr="00F90B95" w:rsidRDefault="00EE0E6D" w:rsidP="00520EA2">
      <w:pPr>
        <w:pStyle w:val="ListParagraph"/>
        <w:widowControl/>
        <w:ind w:hanging="720"/>
        <w:rPr>
          <w:rFonts w:ascii="Arial Narrow" w:hAnsi="Arial Narrow"/>
          <w:sz w:val="18"/>
          <w:szCs w:val="18"/>
        </w:rPr>
      </w:pPr>
      <w:r w:rsidRPr="00F90B95">
        <w:rPr>
          <w:rFonts w:ascii="Arial Narrow" w:hAnsi="Arial Narrow"/>
          <w:sz w:val="18"/>
          <w:szCs w:val="18"/>
        </w:rPr>
        <w:t>Source: Table 2.6-3, p80 of the submission</w:t>
      </w:r>
    </w:p>
    <w:p w:rsidR="00267BB3" w:rsidRPr="00F90B95" w:rsidRDefault="00EE0E6D" w:rsidP="00662FCF">
      <w:pPr>
        <w:pStyle w:val="ListParagraph"/>
        <w:widowControl/>
        <w:numPr>
          <w:ilvl w:val="1"/>
          <w:numId w:val="7"/>
        </w:numPr>
        <w:spacing w:after="120"/>
      </w:pPr>
      <w:r w:rsidRPr="00F90B95">
        <w:t xml:space="preserve">The ORR </w:t>
      </w:r>
      <w:r w:rsidR="001748A5" w:rsidRPr="00F90B95">
        <w:t xml:space="preserve">of 28% </w:t>
      </w:r>
      <w:r w:rsidRPr="00F90B95">
        <w:t xml:space="preserve">in KN164 </w:t>
      </w:r>
      <w:r w:rsidR="001748A5" w:rsidRPr="00F90B95">
        <w:t>was somewhat</w:t>
      </w:r>
      <w:r w:rsidRPr="00F90B95">
        <w:t xml:space="preserve"> higher than that observed in the chemotherapy studies which ranged from 4% </w:t>
      </w:r>
      <w:r w:rsidR="00267BB3" w:rsidRPr="00F90B95">
        <w:t xml:space="preserve">in GERCOR </w:t>
      </w:r>
      <w:r w:rsidRPr="00F90B95">
        <w:t>to 21%</w:t>
      </w:r>
      <w:r w:rsidR="00267BB3" w:rsidRPr="00F90B95">
        <w:t xml:space="preserve"> in </w:t>
      </w:r>
      <w:proofErr w:type="spellStart"/>
      <w:r w:rsidR="00267BB3" w:rsidRPr="00F90B95">
        <w:t>Sanoff</w:t>
      </w:r>
      <w:proofErr w:type="spellEnd"/>
      <w:r w:rsidR="00267BB3" w:rsidRPr="00F90B95">
        <w:t xml:space="preserve"> 2018</w:t>
      </w:r>
      <w:r w:rsidRPr="00F90B95">
        <w:t xml:space="preserve">. </w:t>
      </w:r>
      <w:r w:rsidR="00267BB3" w:rsidRPr="00F90B95">
        <w:t xml:space="preserve">Compared to a median PFS of 2.3 months in KN164, the median PFS varied in the chemotherapy studies, ranging from 2.5 months in GERCOR to 6.2 months in </w:t>
      </w:r>
      <w:proofErr w:type="spellStart"/>
      <w:r w:rsidR="00267BB3" w:rsidRPr="00F90B95">
        <w:t>DaVINCI</w:t>
      </w:r>
      <w:proofErr w:type="spellEnd"/>
      <w:r w:rsidR="00ED7DDA" w:rsidRPr="00F90B95">
        <w:t>, although the 95% confidence intervals overlapped.</w:t>
      </w:r>
      <w:r w:rsidR="00267BB3" w:rsidRPr="00F90B95">
        <w:t xml:space="preserve"> </w:t>
      </w:r>
      <w:r w:rsidRPr="00F90B95">
        <w:t xml:space="preserve">Median OS was not reached </w:t>
      </w:r>
      <w:r w:rsidR="001748A5" w:rsidRPr="00F90B95">
        <w:t>in</w:t>
      </w:r>
      <w:r w:rsidRPr="00F90B95">
        <w:t xml:space="preserve"> KN164</w:t>
      </w:r>
      <w:r w:rsidR="00267BB3" w:rsidRPr="00F90B95">
        <w:t xml:space="preserve">, but ranged from </w:t>
      </w:r>
      <w:r w:rsidRPr="00F90B95">
        <w:t>12.1</w:t>
      </w:r>
      <w:r w:rsidR="00267BB3" w:rsidRPr="00F90B95">
        <w:t xml:space="preserve"> months in VELOUR</w:t>
      </w:r>
      <w:r w:rsidRPr="00F90B95">
        <w:t xml:space="preserve"> to 21.5 months </w:t>
      </w:r>
      <w:r w:rsidR="00267BB3" w:rsidRPr="00F90B95">
        <w:t>in GERCOR</w:t>
      </w:r>
      <w:r w:rsidR="001B538E" w:rsidRPr="00F90B95">
        <w:t>.</w:t>
      </w:r>
    </w:p>
    <w:p w:rsidR="00247925" w:rsidRPr="00F90B95" w:rsidRDefault="00B70901" w:rsidP="00662FCF">
      <w:pPr>
        <w:pStyle w:val="ListParagraph"/>
        <w:widowControl/>
        <w:numPr>
          <w:ilvl w:val="1"/>
          <w:numId w:val="7"/>
        </w:numPr>
        <w:spacing w:after="120"/>
      </w:pPr>
      <w:r w:rsidRPr="00F90B95">
        <w:t>Table 6</w:t>
      </w:r>
      <w:r w:rsidR="00EE0E6D" w:rsidRPr="00F90B95">
        <w:t xml:space="preserve"> summarises the naïve </w:t>
      </w:r>
      <w:r w:rsidR="004E5CC4" w:rsidRPr="00F90B95">
        <w:t xml:space="preserve">indirect </w:t>
      </w:r>
      <w:r w:rsidR="00EE0E6D" w:rsidRPr="00F90B95">
        <w:t xml:space="preserve">comparison between </w:t>
      </w:r>
      <w:proofErr w:type="spellStart"/>
      <w:r w:rsidR="00EE0E6D" w:rsidRPr="00F90B95">
        <w:t>pembrolizumab</w:t>
      </w:r>
      <w:proofErr w:type="spellEnd"/>
      <w:r w:rsidR="00EE0E6D" w:rsidRPr="00F90B95">
        <w:t xml:space="preserve"> and </w:t>
      </w:r>
      <w:proofErr w:type="spellStart"/>
      <w:r w:rsidR="00EE0E6D" w:rsidRPr="00F90B95">
        <w:t>cetuximab</w:t>
      </w:r>
      <w:proofErr w:type="spellEnd"/>
      <w:r w:rsidR="00EE0E6D" w:rsidRPr="00F90B95">
        <w:t xml:space="preserve"> + chemotherapy.</w:t>
      </w:r>
    </w:p>
    <w:p w:rsidR="000B3CA5" w:rsidRPr="00F90B95" w:rsidRDefault="000B3CA5" w:rsidP="000B3CA5">
      <w:pPr>
        <w:pStyle w:val="Caption"/>
        <w:keepNext/>
      </w:pPr>
      <w:bookmarkStart w:id="10" w:name="_Ref531875101"/>
      <w:r w:rsidRPr="00F90B95">
        <w:t xml:space="preserve">Table </w:t>
      </w:r>
      <w:bookmarkEnd w:id="10"/>
      <w:r w:rsidR="00B70901" w:rsidRPr="00F90B95">
        <w:t>6</w:t>
      </w:r>
      <w:r w:rsidRPr="00F90B95">
        <w:t>: Na</w:t>
      </w:r>
      <w:r w:rsidR="00A006C3" w:rsidRPr="00F90B95">
        <w:t>ï</w:t>
      </w:r>
      <w:r w:rsidRPr="00F90B95">
        <w:t xml:space="preserve">ve </w:t>
      </w:r>
      <w:r w:rsidR="004E5CC4" w:rsidRPr="00F90B95">
        <w:t xml:space="preserve">indirect </w:t>
      </w:r>
      <w:r w:rsidRPr="00F90B95">
        <w:t>comparison of effectiveness</w:t>
      </w:r>
      <w:r w:rsidR="00F7306C" w:rsidRPr="00F90B95">
        <w:t xml:space="preserve">: </w:t>
      </w:r>
      <w:r w:rsidRPr="00F90B95">
        <w:t xml:space="preserve">pembrolizumab vs. </w:t>
      </w:r>
      <w:proofErr w:type="spellStart"/>
      <w:r w:rsidRPr="00F90B95">
        <w:t>cetuximab</w:t>
      </w:r>
      <w:proofErr w:type="spellEnd"/>
      <w:r w:rsidRPr="00F90B95">
        <w:t xml:space="preserve"> + chemotherapy</w:t>
      </w:r>
    </w:p>
    <w:tbl>
      <w:tblPr>
        <w:tblStyle w:val="TableGrid"/>
        <w:tblW w:w="0" w:type="auto"/>
        <w:tblInd w:w="108" w:type="dxa"/>
        <w:tblLook w:val="04A0" w:firstRow="1" w:lastRow="0" w:firstColumn="1" w:lastColumn="0" w:noHBand="0" w:noVBand="1"/>
        <w:tblCaption w:val="Table 6: Naïve indirect comparison of effectiveness: pembrolizumab vs. cetuximab + chemotherapy"/>
      </w:tblPr>
      <w:tblGrid>
        <w:gridCol w:w="2149"/>
        <w:gridCol w:w="2250"/>
        <w:gridCol w:w="2255"/>
        <w:gridCol w:w="2255"/>
      </w:tblGrid>
      <w:tr w:rsidR="00520EA2" w:rsidRPr="00F90B95" w:rsidTr="0044164E">
        <w:trPr>
          <w:tblHeader/>
        </w:trPr>
        <w:tc>
          <w:tcPr>
            <w:tcW w:w="2202" w:type="dxa"/>
            <w:vAlign w:val="center"/>
          </w:tcPr>
          <w:p w:rsidR="00520EA2" w:rsidRPr="00F90B95" w:rsidRDefault="00520EA2" w:rsidP="00E622D9">
            <w:pPr>
              <w:jc w:val="left"/>
              <w:rPr>
                <w:rFonts w:ascii="Arial Narrow" w:hAnsi="Arial Narrow"/>
                <w:sz w:val="20"/>
                <w:szCs w:val="20"/>
              </w:rPr>
            </w:pPr>
          </w:p>
        </w:tc>
        <w:tc>
          <w:tcPr>
            <w:tcW w:w="2311" w:type="dxa"/>
            <w:vAlign w:val="center"/>
          </w:tcPr>
          <w:p w:rsidR="00520EA2" w:rsidRPr="00F90B95" w:rsidRDefault="00520EA2" w:rsidP="00E622D9">
            <w:pPr>
              <w:jc w:val="center"/>
              <w:rPr>
                <w:rFonts w:ascii="Arial Narrow" w:hAnsi="Arial Narrow"/>
                <w:b/>
                <w:sz w:val="20"/>
                <w:szCs w:val="20"/>
              </w:rPr>
            </w:pPr>
            <w:r w:rsidRPr="00F90B95">
              <w:rPr>
                <w:rFonts w:ascii="Arial Narrow" w:hAnsi="Arial Narrow"/>
                <w:b/>
                <w:sz w:val="20"/>
                <w:szCs w:val="20"/>
              </w:rPr>
              <w:t xml:space="preserve">ORR, % </w:t>
            </w:r>
            <w:r w:rsidRPr="00F90B95">
              <w:rPr>
                <w:rFonts w:ascii="Arial Narrow" w:hAnsi="Arial Narrow"/>
                <w:b/>
                <w:sz w:val="20"/>
                <w:szCs w:val="20"/>
              </w:rPr>
              <w:br/>
              <w:t>(95% CI)</w:t>
            </w:r>
          </w:p>
        </w:tc>
        <w:tc>
          <w:tcPr>
            <w:tcW w:w="2311" w:type="dxa"/>
            <w:vAlign w:val="center"/>
          </w:tcPr>
          <w:p w:rsidR="00520EA2" w:rsidRPr="00F90B95" w:rsidRDefault="00520EA2" w:rsidP="00E622D9">
            <w:pPr>
              <w:jc w:val="center"/>
              <w:rPr>
                <w:rFonts w:ascii="Arial Narrow" w:hAnsi="Arial Narrow"/>
                <w:b/>
                <w:sz w:val="20"/>
                <w:szCs w:val="20"/>
              </w:rPr>
            </w:pPr>
            <w:r w:rsidRPr="00F90B95">
              <w:rPr>
                <w:rFonts w:ascii="Arial Narrow" w:hAnsi="Arial Narrow"/>
                <w:b/>
                <w:sz w:val="20"/>
                <w:szCs w:val="20"/>
              </w:rPr>
              <w:t xml:space="preserve">Median PFS, months </w:t>
            </w:r>
            <w:r w:rsidRPr="00F90B95">
              <w:rPr>
                <w:rFonts w:ascii="Arial Narrow" w:hAnsi="Arial Narrow"/>
                <w:b/>
                <w:sz w:val="20"/>
                <w:szCs w:val="20"/>
              </w:rPr>
              <w:br/>
              <w:t>(95% CI)</w:t>
            </w:r>
          </w:p>
        </w:tc>
        <w:tc>
          <w:tcPr>
            <w:tcW w:w="2311" w:type="dxa"/>
            <w:vAlign w:val="center"/>
          </w:tcPr>
          <w:p w:rsidR="00520EA2" w:rsidRPr="00F90B95" w:rsidRDefault="00520EA2" w:rsidP="00E622D9">
            <w:pPr>
              <w:jc w:val="center"/>
              <w:rPr>
                <w:rFonts w:ascii="Arial Narrow" w:hAnsi="Arial Narrow"/>
                <w:b/>
                <w:sz w:val="20"/>
                <w:szCs w:val="20"/>
              </w:rPr>
            </w:pPr>
            <w:r w:rsidRPr="00F90B95">
              <w:rPr>
                <w:rFonts w:ascii="Arial Narrow" w:hAnsi="Arial Narrow"/>
                <w:b/>
                <w:sz w:val="20"/>
                <w:szCs w:val="20"/>
              </w:rPr>
              <w:t xml:space="preserve">Median OS, months </w:t>
            </w:r>
            <w:r w:rsidR="00324F53" w:rsidRPr="00F90B95">
              <w:rPr>
                <w:rFonts w:ascii="Arial Narrow" w:hAnsi="Arial Narrow"/>
                <w:b/>
                <w:sz w:val="20"/>
                <w:szCs w:val="20"/>
              </w:rPr>
              <w:br/>
            </w:r>
            <w:r w:rsidRPr="00F90B95">
              <w:rPr>
                <w:rFonts w:ascii="Arial Narrow" w:hAnsi="Arial Narrow"/>
                <w:b/>
                <w:sz w:val="20"/>
                <w:szCs w:val="20"/>
              </w:rPr>
              <w:t>(95%</w:t>
            </w:r>
            <w:r w:rsidR="00324F53" w:rsidRPr="00F90B95">
              <w:rPr>
                <w:rFonts w:ascii="Arial Narrow" w:hAnsi="Arial Narrow"/>
                <w:b/>
                <w:sz w:val="20"/>
                <w:szCs w:val="20"/>
              </w:rPr>
              <w:t xml:space="preserve"> </w:t>
            </w:r>
            <w:r w:rsidRPr="00F90B95">
              <w:rPr>
                <w:rFonts w:ascii="Arial Narrow" w:hAnsi="Arial Narrow"/>
                <w:b/>
                <w:sz w:val="20"/>
                <w:szCs w:val="20"/>
              </w:rPr>
              <w:t>CI)</w:t>
            </w:r>
          </w:p>
        </w:tc>
      </w:tr>
      <w:tr w:rsidR="00520EA2" w:rsidRPr="00F90B95" w:rsidTr="0044164E">
        <w:trPr>
          <w:tblHeader/>
        </w:trPr>
        <w:tc>
          <w:tcPr>
            <w:tcW w:w="9135" w:type="dxa"/>
            <w:gridSpan w:val="4"/>
            <w:vAlign w:val="center"/>
          </w:tcPr>
          <w:p w:rsidR="00520EA2" w:rsidRPr="00F90B95" w:rsidRDefault="00520EA2" w:rsidP="00E622D9">
            <w:pPr>
              <w:jc w:val="left"/>
              <w:rPr>
                <w:rFonts w:ascii="Arial Narrow" w:hAnsi="Arial Narrow"/>
                <w:b/>
                <w:sz w:val="20"/>
                <w:szCs w:val="20"/>
              </w:rPr>
            </w:pPr>
            <w:r w:rsidRPr="00F90B95">
              <w:rPr>
                <w:rFonts w:ascii="Arial Narrow" w:hAnsi="Arial Narrow"/>
                <w:b/>
                <w:sz w:val="20"/>
                <w:szCs w:val="20"/>
              </w:rPr>
              <w:t>Pembrolizumab</w:t>
            </w:r>
          </w:p>
        </w:tc>
      </w:tr>
      <w:tr w:rsidR="00520EA2" w:rsidRPr="00F90B95" w:rsidTr="0044164E">
        <w:trPr>
          <w:tblHeader/>
        </w:trPr>
        <w:tc>
          <w:tcPr>
            <w:tcW w:w="2202" w:type="dxa"/>
            <w:vAlign w:val="center"/>
          </w:tcPr>
          <w:p w:rsidR="00520EA2" w:rsidRPr="00F90B95" w:rsidRDefault="00520EA2" w:rsidP="00E622D9">
            <w:pPr>
              <w:jc w:val="left"/>
              <w:rPr>
                <w:rFonts w:ascii="Arial Narrow" w:hAnsi="Arial Narrow"/>
                <w:sz w:val="20"/>
                <w:szCs w:val="20"/>
              </w:rPr>
            </w:pPr>
            <w:r w:rsidRPr="00F90B95">
              <w:rPr>
                <w:rFonts w:ascii="Arial Narrow" w:hAnsi="Arial Narrow"/>
                <w:sz w:val="20"/>
                <w:szCs w:val="20"/>
              </w:rPr>
              <w:t>KN164</w:t>
            </w:r>
          </w:p>
        </w:tc>
        <w:tc>
          <w:tcPr>
            <w:tcW w:w="2311" w:type="dxa"/>
            <w:vAlign w:val="center"/>
          </w:tcPr>
          <w:p w:rsidR="00520EA2" w:rsidRPr="00F90B95" w:rsidRDefault="00520EA2" w:rsidP="00E622D9">
            <w:pPr>
              <w:jc w:val="center"/>
              <w:rPr>
                <w:rFonts w:ascii="Arial Narrow" w:hAnsi="Arial Narrow"/>
                <w:sz w:val="20"/>
                <w:szCs w:val="20"/>
              </w:rPr>
            </w:pPr>
            <w:r w:rsidRPr="00F90B95">
              <w:rPr>
                <w:rFonts w:ascii="Arial Narrow" w:hAnsi="Arial Narrow"/>
                <w:sz w:val="20"/>
                <w:szCs w:val="20"/>
              </w:rPr>
              <w:t>27.9% (17.1, 40.8)</w:t>
            </w:r>
          </w:p>
        </w:tc>
        <w:tc>
          <w:tcPr>
            <w:tcW w:w="2311" w:type="dxa"/>
            <w:vAlign w:val="center"/>
          </w:tcPr>
          <w:p w:rsidR="00520EA2" w:rsidRPr="00F90B95" w:rsidRDefault="00520EA2" w:rsidP="00E622D9">
            <w:pPr>
              <w:jc w:val="center"/>
              <w:rPr>
                <w:rFonts w:ascii="Arial Narrow" w:hAnsi="Arial Narrow"/>
                <w:sz w:val="20"/>
                <w:szCs w:val="20"/>
              </w:rPr>
            </w:pPr>
            <w:r w:rsidRPr="00F90B95">
              <w:rPr>
                <w:rFonts w:ascii="Arial Narrow" w:hAnsi="Arial Narrow"/>
                <w:sz w:val="20"/>
                <w:szCs w:val="20"/>
              </w:rPr>
              <w:t>2.3 (2.1, 8.1)</w:t>
            </w:r>
          </w:p>
        </w:tc>
        <w:tc>
          <w:tcPr>
            <w:tcW w:w="2311" w:type="dxa"/>
            <w:vAlign w:val="center"/>
          </w:tcPr>
          <w:p w:rsidR="00520EA2" w:rsidRPr="00F90B95" w:rsidRDefault="00902562" w:rsidP="00E622D9">
            <w:pPr>
              <w:jc w:val="center"/>
              <w:rPr>
                <w:rFonts w:ascii="Arial Narrow" w:hAnsi="Arial Narrow"/>
                <w:sz w:val="20"/>
                <w:szCs w:val="20"/>
              </w:rPr>
            </w:pPr>
            <w:r w:rsidRPr="00F90B95">
              <w:rPr>
                <w:rFonts w:ascii="Arial Narrow" w:hAnsi="Arial Narrow"/>
                <w:sz w:val="20"/>
                <w:szCs w:val="20"/>
              </w:rPr>
              <w:t>NR</w:t>
            </w:r>
          </w:p>
        </w:tc>
      </w:tr>
      <w:tr w:rsidR="00520EA2" w:rsidRPr="00F90B95" w:rsidTr="0044164E">
        <w:trPr>
          <w:tblHeader/>
        </w:trPr>
        <w:tc>
          <w:tcPr>
            <w:tcW w:w="9135" w:type="dxa"/>
            <w:gridSpan w:val="4"/>
            <w:vAlign w:val="center"/>
          </w:tcPr>
          <w:p w:rsidR="00520EA2" w:rsidRPr="00F90B95" w:rsidRDefault="00520EA2" w:rsidP="00520EA2">
            <w:pPr>
              <w:jc w:val="left"/>
              <w:rPr>
                <w:rFonts w:ascii="Arial Narrow" w:hAnsi="Arial Narrow"/>
                <w:b/>
                <w:sz w:val="20"/>
                <w:szCs w:val="20"/>
              </w:rPr>
            </w:pPr>
            <w:proofErr w:type="spellStart"/>
            <w:r w:rsidRPr="00F90B95">
              <w:rPr>
                <w:rFonts w:ascii="Arial Narrow" w:hAnsi="Arial Narrow"/>
                <w:b/>
                <w:sz w:val="20"/>
                <w:szCs w:val="20"/>
              </w:rPr>
              <w:t>Cetuximab</w:t>
            </w:r>
            <w:proofErr w:type="spellEnd"/>
            <w:r w:rsidRPr="00F90B95">
              <w:rPr>
                <w:rFonts w:ascii="Arial Narrow" w:hAnsi="Arial Narrow"/>
                <w:b/>
                <w:sz w:val="20"/>
                <w:szCs w:val="20"/>
              </w:rPr>
              <w:t xml:space="preserve"> + chemotherapy</w:t>
            </w:r>
          </w:p>
        </w:tc>
      </w:tr>
      <w:tr w:rsidR="00520EA2" w:rsidRPr="00F90B95" w:rsidTr="0044164E">
        <w:trPr>
          <w:tblHeader/>
        </w:trPr>
        <w:tc>
          <w:tcPr>
            <w:tcW w:w="2202" w:type="dxa"/>
            <w:vAlign w:val="center"/>
          </w:tcPr>
          <w:p w:rsidR="00520EA2" w:rsidRPr="00F90B95" w:rsidRDefault="00520EA2" w:rsidP="00E622D9">
            <w:pPr>
              <w:jc w:val="left"/>
              <w:rPr>
                <w:rFonts w:ascii="Arial Narrow" w:hAnsi="Arial Narrow"/>
                <w:sz w:val="20"/>
                <w:szCs w:val="20"/>
              </w:rPr>
            </w:pPr>
            <w:r w:rsidRPr="00F90B95">
              <w:rPr>
                <w:rFonts w:ascii="Arial Narrow" w:hAnsi="Arial Narrow"/>
                <w:sz w:val="20"/>
                <w:szCs w:val="20"/>
              </w:rPr>
              <w:t>CAPRI-GOIM</w:t>
            </w:r>
          </w:p>
        </w:tc>
        <w:tc>
          <w:tcPr>
            <w:tcW w:w="2311" w:type="dxa"/>
            <w:vAlign w:val="center"/>
          </w:tcPr>
          <w:p w:rsidR="00520EA2" w:rsidRPr="00F90B95" w:rsidRDefault="00520EA2" w:rsidP="00E622D9">
            <w:pPr>
              <w:pStyle w:val="TableText0"/>
              <w:spacing w:before="0" w:after="0"/>
              <w:jc w:val="center"/>
              <w:rPr>
                <w:szCs w:val="20"/>
              </w:rPr>
            </w:pPr>
            <w:r w:rsidRPr="00F90B95">
              <w:rPr>
                <w:szCs w:val="20"/>
              </w:rPr>
              <w:t>21.6% (11.0, 32.2)</w:t>
            </w:r>
          </w:p>
        </w:tc>
        <w:tc>
          <w:tcPr>
            <w:tcW w:w="2311" w:type="dxa"/>
            <w:vAlign w:val="center"/>
          </w:tcPr>
          <w:p w:rsidR="00520EA2" w:rsidRPr="00F90B95" w:rsidRDefault="00520EA2" w:rsidP="00E622D9">
            <w:pPr>
              <w:jc w:val="center"/>
              <w:rPr>
                <w:rFonts w:ascii="Arial Narrow" w:hAnsi="Arial Narrow"/>
                <w:sz w:val="20"/>
                <w:szCs w:val="20"/>
              </w:rPr>
            </w:pPr>
            <w:r w:rsidRPr="00F90B95">
              <w:rPr>
                <w:rFonts w:ascii="Arial Narrow" w:hAnsi="Arial Narrow"/>
                <w:sz w:val="20"/>
                <w:szCs w:val="20"/>
              </w:rPr>
              <w:t>6.4 (5.5, 8.2)</w:t>
            </w:r>
          </w:p>
        </w:tc>
        <w:tc>
          <w:tcPr>
            <w:tcW w:w="2311" w:type="dxa"/>
            <w:vAlign w:val="center"/>
          </w:tcPr>
          <w:p w:rsidR="00520EA2" w:rsidRPr="00F90B95" w:rsidRDefault="00520EA2" w:rsidP="00E622D9">
            <w:pPr>
              <w:jc w:val="center"/>
              <w:rPr>
                <w:rFonts w:ascii="Arial Narrow" w:hAnsi="Arial Narrow"/>
                <w:sz w:val="20"/>
                <w:szCs w:val="20"/>
              </w:rPr>
            </w:pPr>
            <w:r w:rsidRPr="00F90B95">
              <w:rPr>
                <w:rFonts w:ascii="Arial Narrow" w:hAnsi="Arial Narrow"/>
                <w:sz w:val="20"/>
                <w:szCs w:val="20"/>
              </w:rPr>
              <w:t>17.6 (14.1, 21.1)</w:t>
            </w:r>
          </w:p>
        </w:tc>
      </w:tr>
    </w:tbl>
    <w:p w:rsidR="00520EA2" w:rsidRPr="00F90B95" w:rsidRDefault="00520EA2" w:rsidP="00520EA2">
      <w:pPr>
        <w:pStyle w:val="TableText0"/>
        <w:rPr>
          <w:sz w:val="18"/>
          <w:szCs w:val="18"/>
        </w:rPr>
      </w:pPr>
      <w:r w:rsidRPr="00F90B95">
        <w:rPr>
          <w:sz w:val="18"/>
          <w:szCs w:val="18"/>
        </w:rPr>
        <w:t xml:space="preserve">CI = confidence interval; </w:t>
      </w:r>
      <w:r w:rsidR="00902562" w:rsidRPr="00F90B95">
        <w:rPr>
          <w:sz w:val="18"/>
          <w:szCs w:val="18"/>
        </w:rPr>
        <w:t xml:space="preserve">NR = not reached; </w:t>
      </w:r>
      <w:r w:rsidRPr="00F90B95">
        <w:rPr>
          <w:sz w:val="18"/>
          <w:szCs w:val="18"/>
        </w:rPr>
        <w:t xml:space="preserve">ORR = </w:t>
      </w:r>
      <w:r w:rsidR="004E1C13" w:rsidRPr="00F90B95">
        <w:rPr>
          <w:sz w:val="18"/>
          <w:szCs w:val="18"/>
        </w:rPr>
        <w:t>objective</w:t>
      </w:r>
      <w:r w:rsidR="00B70901" w:rsidRPr="00F90B95">
        <w:rPr>
          <w:sz w:val="18"/>
          <w:szCs w:val="18"/>
        </w:rPr>
        <w:t>/overall</w:t>
      </w:r>
      <w:r w:rsidRPr="00F90B95">
        <w:rPr>
          <w:sz w:val="18"/>
          <w:szCs w:val="18"/>
        </w:rPr>
        <w:t xml:space="preserve"> response rate; </w:t>
      </w:r>
      <w:r w:rsidR="00B70901" w:rsidRPr="00F90B95">
        <w:rPr>
          <w:sz w:val="18"/>
          <w:szCs w:val="18"/>
        </w:rPr>
        <w:t>OS = overall survival; PFS = p</w:t>
      </w:r>
      <w:r w:rsidR="005E19C9" w:rsidRPr="00F90B95">
        <w:rPr>
          <w:sz w:val="18"/>
          <w:szCs w:val="18"/>
        </w:rPr>
        <w:t>rogression-</w:t>
      </w:r>
      <w:r w:rsidRPr="00F90B95">
        <w:rPr>
          <w:sz w:val="18"/>
          <w:szCs w:val="18"/>
        </w:rPr>
        <w:t>free survival.</w:t>
      </w:r>
    </w:p>
    <w:p w:rsidR="00EE0E6D" w:rsidRPr="00F90B95" w:rsidRDefault="00EE0E6D" w:rsidP="00520EA2">
      <w:pPr>
        <w:pStyle w:val="ListParagraph"/>
        <w:widowControl/>
        <w:ind w:hanging="720"/>
        <w:rPr>
          <w:rFonts w:ascii="Arial Narrow" w:hAnsi="Arial Narrow"/>
          <w:sz w:val="18"/>
          <w:szCs w:val="18"/>
        </w:rPr>
      </w:pPr>
      <w:r w:rsidRPr="00F90B95">
        <w:rPr>
          <w:rFonts w:ascii="Arial Narrow" w:hAnsi="Arial Narrow"/>
          <w:sz w:val="18"/>
          <w:szCs w:val="18"/>
        </w:rPr>
        <w:t>Source: Table 2.6-2, p77 of the submission</w:t>
      </w:r>
      <w:r w:rsidR="00324F53" w:rsidRPr="00F90B95">
        <w:rPr>
          <w:rFonts w:ascii="Arial Narrow" w:hAnsi="Arial Narrow"/>
          <w:sz w:val="18"/>
          <w:szCs w:val="18"/>
        </w:rPr>
        <w:t>.</w:t>
      </w:r>
    </w:p>
    <w:p w:rsidR="00EE0E6D" w:rsidRPr="00F90B95" w:rsidRDefault="00EE0E6D" w:rsidP="00662FCF">
      <w:pPr>
        <w:pStyle w:val="ListParagraph"/>
        <w:widowControl/>
        <w:numPr>
          <w:ilvl w:val="1"/>
          <w:numId w:val="7"/>
        </w:numPr>
        <w:spacing w:after="120"/>
      </w:pPr>
      <w:r w:rsidRPr="00F90B95">
        <w:t xml:space="preserve">ORR was higher in KN164 </w:t>
      </w:r>
      <w:r w:rsidR="00267BB3" w:rsidRPr="00F90B95">
        <w:t xml:space="preserve">(27.9%) </w:t>
      </w:r>
      <w:r w:rsidRPr="00F90B95">
        <w:t>compared to the CAPRI-GOIM study</w:t>
      </w:r>
      <w:r w:rsidR="00267BB3" w:rsidRPr="00F90B95">
        <w:t xml:space="preserve"> (21.6%)</w:t>
      </w:r>
      <w:r w:rsidRPr="00F90B95">
        <w:t xml:space="preserve">. The sponsor noted that all patients in the CAPRI-GOIM trial had progressed on one previous line of therapy compared to 10% of patients in KN164. Median OS was not reached for pembrolizumab in KN164 whereas the median OS for </w:t>
      </w:r>
      <w:proofErr w:type="spellStart"/>
      <w:r w:rsidRPr="00F90B95">
        <w:t>cetuximab</w:t>
      </w:r>
      <w:proofErr w:type="spellEnd"/>
      <w:r w:rsidRPr="00F90B95">
        <w:t xml:space="preserve"> + chemotherapy was 17.6 months. The point estimate of the median PFS was lower in the KN164 study (2.3 months</w:t>
      </w:r>
      <w:r w:rsidR="00B247A8" w:rsidRPr="00F90B95">
        <w:t>;</w:t>
      </w:r>
      <w:r w:rsidRPr="00F90B95">
        <w:t xml:space="preserve"> 95% CI: 2.1, 8.1) compared that in the CAPRI-GOIM study 6.4 months (95% CI: 5.5, 8.2)</w:t>
      </w:r>
      <w:r w:rsidR="00267BB3" w:rsidRPr="00F90B95">
        <w:t>,</w:t>
      </w:r>
      <w:r w:rsidRPr="00F90B95">
        <w:t xml:space="preserve"> although the 95% confidence intervals </w:t>
      </w:r>
      <w:r w:rsidR="001748A5" w:rsidRPr="00F90B95">
        <w:t>overlapped.</w:t>
      </w:r>
    </w:p>
    <w:p w:rsidR="00FD257E" w:rsidRPr="00F90B95" w:rsidRDefault="00B70901" w:rsidP="00662FCF">
      <w:pPr>
        <w:pStyle w:val="ListParagraph"/>
        <w:widowControl/>
        <w:numPr>
          <w:ilvl w:val="1"/>
          <w:numId w:val="7"/>
        </w:numPr>
        <w:spacing w:after="120"/>
      </w:pPr>
      <w:r w:rsidRPr="00F90B95">
        <w:rPr>
          <w:rFonts w:cs="Calibri"/>
          <w:snapToGrid/>
          <w:szCs w:val="24"/>
          <w:lang w:eastAsia="en-AU"/>
        </w:rPr>
        <w:t>Table 7</w:t>
      </w:r>
      <w:r w:rsidR="00FD257E" w:rsidRPr="00F90B95">
        <w:rPr>
          <w:rFonts w:cs="Calibri"/>
          <w:snapToGrid/>
          <w:szCs w:val="24"/>
          <w:lang w:eastAsia="en-AU"/>
        </w:rPr>
        <w:t xml:space="preserve"> </w:t>
      </w:r>
      <w:r w:rsidR="00FD257E" w:rsidRPr="00F90B95">
        <w:t>summarises the naïve indirect comparison between pembrolizumab and bevacizumab + chemotherapy.</w:t>
      </w:r>
    </w:p>
    <w:p w:rsidR="00FD257E" w:rsidRPr="00F90B95" w:rsidRDefault="00FD257E" w:rsidP="00B70901">
      <w:pPr>
        <w:pStyle w:val="Caption"/>
        <w:keepNext/>
      </w:pPr>
      <w:r w:rsidRPr="00F90B95">
        <w:lastRenderedPageBreak/>
        <w:t xml:space="preserve">Table </w:t>
      </w:r>
      <w:r w:rsidR="00B70901" w:rsidRPr="00F90B95">
        <w:t>7</w:t>
      </w:r>
      <w:r w:rsidRPr="00F90B95">
        <w:t>: Na</w:t>
      </w:r>
      <w:r w:rsidR="00A006C3" w:rsidRPr="00F90B95">
        <w:t>ï</w:t>
      </w:r>
      <w:r w:rsidRPr="00F90B95">
        <w:t>ve indirect comparison of effectiveness</w:t>
      </w:r>
      <w:r w:rsidR="00F7306C" w:rsidRPr="00F90B95">
        <w:t xml:space="preserve">: </w:t>
      </w:r>
      <w:r w:rsidRPr="00F90B95">
        <w:t>pembrolizumab vs. bevacizumab plus chemotherapy</w:t>
      </w:r>
    </w:p>
    <w:tbl>
      <w:tblPr>
        <w:tblStyle w:val="TableGrid"/>
        <w:tblW w:w="0" w:type="auto"/>
        <w:tblInd w:w="108" w:type="dxa"/>
        <w:tblLook w:val="04A0" w:firstRow="1" w:lastRow="0" w:firstColumn="1" w:lastColumn="0" w:noHBand="0" w:noVBand="1"/>
        <w:tblCaption w:val="Table 7: Naïve indirect comparison of effectiveness: pembrolizumab vs. bevacizumab plus chemotherapy"/>
      </w:tblPr>
      <w:tblGrid>
        <w:gridCol w:w="2171"/>
        <w:gridCol w:w="2244"/>
        <w:gridCol w:w="2247"/>
        <w:gridCol w:w="2247"/>
      </w:tblGrid>
      <w:tr w:rsidR="00FD257E" w:rsidRPr="00F90B95" w:rsidTr="0044164E">
        <w:trPr>
          <w:tblHeader/>
        </w:trPr>
        <w:tc>
          <w:tcPr>
            <w:tcW w:w="2202" w:type="dxa"/>
            <w:vAlign w:val="center"/>
          </w:tcPr>
          <w:p w:rsidR="00FD257E" w:rsidRPr="00F90B95" w:rsidRDefault="00FD257E" w:rsidP="00B70901">
            <w:pPr>
              <w:keepNext/>
              <w:jc w:val="left"/>
              <w:rPr>
                <w:rFonts w:ascii="Arial Narrow" w:hAnsi="Arial Narrow"/>
                <w:sz w:val="20"/>
                <w:szCs w:val="20"/>
              </w:rPr>
            </w:pPr>
          </w:p>
        </w:tc>
        <w:tc>
          <w:tcPr>
            <w:tcW w:w="2311" w:type="dxa"/>
            <w:vAlign w:val="center"/>
          </w:tcPr>
          <w:p w:rsidR="00FD257E" w:rsidRPr="00F90B95" w:rsidRDefault="00FD257E" w:rsidP="00B70901">
            <w:pPr>
              <w:keepNext/>
              <w:jc w:val="center"/>
              <w:rPr>
                <w:rFonts w:ascii="Arial Narrow" w:hAnsi="Arial Narrow"/>
                <w:b/>
                <w:sz w:val="20"/>
                <w:szCs w:val="20"/>
              </w:rPr>
            </w:pPr>
            <w:r w:rsidRPr="00F90B95">
              <w:rPr>
                <w:rFonts w:ascii="Arial Narrow" w:hAnsi="Arial Narrow"/>
                <w:b/>
                <w:sz w:val="20"/>
                <w:szCs w:val="20"/>
              </w:rPr>
              <w:t xml:space="preserve">ORR, % </w:t>
            </w:r>
            <w:r w:rsidRPr="00F90B95">
              <w:rPr>
                <w:rFonts w:ascii="Arial Narrow" w:hAnsi="Arial Narrow"/>
                <w:b/>
                <w:sz w:val="20"/>
                <w:szCs w:val="20"/>
              </w:rPr>
              <w:br/>
              <w:t>(95% CI)</w:t>
            </w:r>
          </w:p>
        </w:tc>
        <w:tc>
          <w:tcPr>
            <w:tcW w:w="2311" w:type="dxa"/>
            <w:vAlign w:val="center"/>
          </w:tcPr>
          <w:p w:rsidR="00FD257E" w:rsidRPr="00F90B95" w:rsidRDefault="00FD257E" w:rsidP="00B70901">
            <w:pPr>
              <w:keepNext/>
              <w:jc w:val="center"/>
              <w:rPr>
                <w:rFonts w:ascii="Arial Narrow" w:hAnsi="Arial Narrow"/>
                <w:b/>
                <w:sz w:val="20"/>
                <w:szCs w:val="20"/>
              </w:rPr>
            </w:pPr>
            <w:r w:rsidRPr="00F90B95">
              <w:rPr>
                <w:rFonts w:ascii="Arial Narrow" w:hAnsi="Arial Narrow"/>
                <w:b/>
                <w:sz w:val="20"/>
                <w:szCs w:val="20"/>
              </w:rPr>
              <w:t xml:space="preserve">Median PFS, months </w:t>
            </w:r>
            <w:r w:rsidRPr="00F90B95">
              <w:rPr>
                <w:rFonts w:ascii="Arial Narrow" w:hAnsi="Arial Narrow"/>
                <w:b/>
                <w:sz w:val="20"/>
                <w:szCs w:val="20"/>
              </w:rPr>
              <w:br/>
              <w:t>(95% CI)</w:t>
            </w:r>
          </w:p>
        </w:tc>
        <w:tc>
          <w:tcPr>
            <w:tcW w:w="2311" w:type="dxa"/>
            <w:vAlign w:val="center"/>
          </w:tcPr>
          <w:p w:rsidR="00FD257E" w:rsidRPr="00F90B95" w:rsidRDefault="00FD257E" w:rsidP="00B70901">
            <w:pPr>
              <w:keepNext/>
              <w:jc w:val="center"/>
              <w:rPr>
                <w:rFonts w:ascii="Arial Narrow" w:hAnsi="Arial Narrow"/>
                <w:b/>
                <w:sz w:val="20"/>
                <w:szCs w:val="20"/>
              </w:rPr>
            </w:pPr>
            <w:r w:rsidRPr="00F90B95">
              <w:rPr>
                <w:rFonts w:ascii="Arial Narrow" w:hAnsi="Arial Narrow"/>
                <w:b/>
                <w:sz w:val="20"/>
                <w:szCs w:val="20"/>
              </w:rPr>
              <w:t xml:space="preserve">Median OS, months </w:t>
            </w:r>
            <w:r w:rsidR="00324F53" w:rsidRPr="00F90B95">
              <w:rPr>
                <w:rFonts w:ascii="Arial Narrow" w:hAnsi="Arial Narrow"/>
                <w:b/>
                <w:sz w:val="20"/>
                <w:szCs w:val="20"/>
              </w:rPr>
              <w:br/>
            </w:r>
            <w:r w:rsidRPr="00F90B95">
              <w:rPr>
                <w:rFonts w:ascii="Arial Narrow" w:hAnsi="Arial Narrow"/>
                <w:b/>
                <w:sz w:val="20"/>
                <w:szCs w:val="20"/>
              </w:rPr>
              <w:t>(95%</w:t>
            </w:r>
            <w:r w:rsidR="00324F53" w:rsidRPr="00F90B95">
              <w:rPr>
                <w:rFonts w:ascii="Arial Narrow" w:hAnsi="Arial Narrow"/>
                <w:b/>
                <w:sz w:val="20"/>
                <w:szCs w:val="20"/>
              </w:rPr>
              <w:t xml:space="preserve"> </w:t>
            </w:r>
            <w:r w:rsidRPr="00F90B95">
              <w:rPr>
                <w:rFonts w:ascii="Arial Narrow" w:hAnsi="Arial Narrow"/>
                <w:b/>
                <w:sz w:val="20"/>
                <w:szCs w:val="20"/>
              </w:rPr>
              <w:t>CI)</w:t>
            </w:r>
          </w:p>
        </w:tc>
      </w:tr>
      <w:tr w:rsidR="00FD257E" w:rsidRPr="00F90B95" w:rsidTr="0044164E">
        <w:trPr>
          <w:tblHeader/>
        </w:trPr>
        <w:tc>
          <w:tcPr>
            <w:tcW w:w="9135" w:type="dxa"/>
            <w:gridSpan w:val="4"/>
            <w:vAlign w:val="center"/>
          </w:tcPr>
          <w:p w:rsidR="00FD257E" w:rsidRPr="00F90B95" w:rsidRDefault="00FD257E" w:rsidP="00B70901">
            <w:pPr>
              <w:keepNext/>
              <w:jc w:val="left"/>
              <w:rPr>
                <w:rFonts w:ascii="Arial Narrow" w:hAnsi="Arial Narrow"/>
                <w:b/>
                <w:sz w:val="20"/>
                <w:szCs w:val="20"/>
              </w:rPr>
            </w:pPr>
            <w:r w:rsidRPr="00F90B95">
              <w:rPr>
                <w:rFonts w:ascii="Arial Narrow" w:hAnsi="Arial Narrow"/>
                <w:b/>
                <w:sz w:val="20"/>
                <w:szCs w:val="20"/>
              </w:rPr>
              <w:t>Pembrolizumab</w:t>
            </w:r>
          </w:p>
        </w:tc>
      </w:tr>
      <w:tr w:rsidR="00FD257E" w:rsidRPr="00F90B95" w:rsidTr="0044164E">
        <w:trPr>
          <w:tblHeader/>
        </w:trPr>
        <w:tc>
          <w:tcPr>
            <w:tcW w:w="2202" w:type="dxa"/>
            <w:vAlign w:val="center"/>
          </w:tcPr>
          <w:p w:rsidR="00FD257E" w:rsidRPr="00F90B95" w:rsidRDefault="00FD257E" w:rsidP="00B70901">
            <w:pPr>
              <w:keepNext/>
              <w:jc w:val="left"/>
              <w:rPr>
                <w:rFonts w:ascii="Arial Narrow" w:hAnsi="Arial Narrow"/>
                <w:sz w:val="20"/>
                <w:szCs w:val="20"/>
              </w:rPr>
            </w:pPr>
            <w:r w:rsidRPr="00F90B95">
              <w:rPr>
                <w:rFonts w:ascii="Arial Narrow" w:hAnsi="Arial Narrow"/>
                <w:sz w:val="20"/>
                <w:szCs w:val="20"/>
              </w:rPr>
              <w:t>KN164</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27.9% (17.1, 40.8)</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2.3 (2.1, 8.1)</w:t>
            </w:r>
          </w:p>
        </w:tc>
        <w:tc>
          <w:tcPr>
            <w:tcW w:w="2311" w:type="dxa"/>
            <w:vAlign w:val="center"/>
          </w:tcPr>
          <w:p w:rsidR="00FD257E"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r>
      <w:tr w:rsidR="00FD257E" w:rsidRPr="00F90B95" w:rsidTr="0044164E">
        <w:trPr>
          <w:tblHeader/>
        </w:trPr>
        <w:tc>
          <w:tcPr>
            <w:tcW w:w="9135" w:type="dxa"/>
            <w:gridSpan w:val="4"/>
            <w:vAlign w:val="center"/>
          </w:tcPr>
          <w:p w:rsidR="00FD257E" w:rsidRPr="00F90B95" w:rsidRDefault="00FD257E" w:rsidP="00B70901">
            <w:pPr>
              <w:keepNext/>
              <w:jc w:val="left"/>
              <w:rPr>
                <w:rFonts w:ascii="Arial Narrow" w:hAnsi="Arial Narrow"/>
                <w:b/>
                <w:sz w:val="20"/>
                <w:szCs w:val="20"/>
              </w:rPr>
            </w:pPr>
            <w:r w:rsidRPr="00F90B95">
              <w:rPr>
                <w:rFonts w:ascii="Arial Narrow" w:hAnsi="Arial Narrow"/>
                <w:b/>
                <w:sz w:val="20"/>
                <w:szCs w:val="20"/>
              </w:rPr>
              <w:t>Bevacizumab plus chemotherapy</w:t>
            </w:r>
          </w:p>
        </w:tc>
      </w:tr>
      <w:tr w:rsidR="00FD257E" w:rsidRPr="00F90B95" w:rsidTr="0044164E">
        <w:trPr>
          <w:tblHeader/>
        </w:trPr>
        <w:tc>
          <w:tcPr>
            <w:tcW w:w="2202" w:type="dxa"/>
            <w:vAlign w:val="center"/>
          </w:tcPr>
          <w:p w:rsidR="00FD257E" w:rsidRPr="00F90B95" w:rsidRDefault="00ED7DDA" w:rsidP="00B70901">
            <w:pPr>
              <w:keepNext/>
              <w:jc w:val="left"/>
              <w:rPr>
                <w:rFonts w:ascii="Arial Narrow" w:hAnsi="Arial Narrow"/>
                <w:sz w:val="20"/>
                <w:szCs w:val="20"/>
              </w:rPr>
            </w:pPr>
            <w:proofErr w:type="spellStart"/>
            <w:r w:rsidRPr="00F90B95">
              <w:rPr>
                <w:rFonts w:ascii="Arial Narrow" w:hAnsi="Arial Narrow"/>
                <w:sz w:val="20"/>
                <w:szCs w:val="20"/>
              </w:rPr>
              <w:t>Tournigand_</w:t>
            </w:r>
            <w:r w:rsidR="00FD257E" w:rsidRPr="00F90B95">
              <w:rPr>
                <w:rFonts w:ascii="Arial Narrow" w:hAnsi="Arial Narrow"/>
                <w:sz w:val="20"/>
                <w:szCs w:val="20"/>
              </w:rPr>
              <w:t>A</w:t>
            </w:r>
            <w:proofErr w:type="spellEnd"/>
            <w:r w:rsidR="00FD257E" w:rsidRPr="00F90B95">
              <w:rPr>
                <w:rFonts w:ascii="Arial Narrow" w:hAnsi="Arial Narrow"/>
                <w:sz w:val="20"/>
                <w:szCs w:val="20"/>
              </w:rPr>
              <w:t>/B</w:t>
            </w:r>
            <w:r w:rsidR="00FD257E" w:rsidRPr="00F90B95">
              <w:rPr>
                <w:rFonts w:ascii="Arial Narrow" w:hAnsi="Arial Narrow"/>
                <w:sz w:val="20"/>
                <w:szCs w:val="20"/>
                <w:vertAlign w:val="superscript"/>
              </w:rPr>
              <w:t>1</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23.5%/</w:t>
            </w:r>
          </w:p>
          <w:p w:rsidR="00FD257E" w:rsidRPr="00F90B95" w:rsidRDefault="00FD257E" w:rsidP="00B70901">
            <w:pPr>
              <w:pStyle w:val="TableText0"/>
              <w:keepNext/>
              <w:spacing w:before="0" w:after="0"/>
              <w:jc w:val="center"/>
              <w:rPr>
                <w:szCs w:val="20"/>
              </w:rPr>
            </w:pPr>
            <w:r w:rsidRPr="00F90B95">
              <w:rPr>
                <w:szCs w:val="20"/>
              </w:rPr>
              <w:t xml:space="preserve">20% </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6.9/</w:t>
            </w:r>
          </w:p>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6.4</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15.7/</w:t>
            </w:r>
          </w:p>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14.1</w:t>
            </w:r>
          </w:p>
        </w:tc>
      </w:tr>
      <w:tr w:rsidR="00FD257E" w:rsidRPr="00F90B95" w:rsidTr="0044164E">
        <w:trPr>
          <w:tblHeader/>
        </w:trPr>
        <w:tc>
          <w:tcPr>
            <w:tcW w:w="2202" w:type="dxa"/>
            <w:vAlign w:val="center"/>
          </w:tcPr>
          <w:p w:rsidR="00FD257E" w:rsidRPr="00F90B95" w:rsidRDefault="00FD257E" w:rsidP="00B70901">
            <w:pPr>
              <w:keepNext/>
              <w:jc w:val="left"/>
              <w:rPr>
                <w:rFonts w:ascii="Arial Narrow" w:hAnsi="Arial Narrow"/>
                <w:sz w:val="20"/>
                <w:szCs w:val="20"/>
              </w:rPr>
            </w:pPr>
            <w:r w:rsidRPr="00F90B95">
              <w:rPr>
                <w:rFonts w:ascii="Arial Narrow" w:hAnsi="Arial Narrow"/>
                <w:sz w:val="20"/>
                <w:szCs w:val="20"/>
              </w:rPr>
              <w:t>EAGLEA/B</w:t>
            </w:r>
            <w:r w:rsidRPr="00F90B95">
              <w:rPr>
                <w:rFonts w:ascii="Arial Narrow" w:hAnsi="Arial Narrow"/>
                <w:sz w:val="20"/>
                <w:szCs w:val="20"/>
                <w:vertAlign w:val="superscript"/>
              </w:rPr>
              <w:t>2</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11%/</w:t>
            </w:r>
          </w:p>
          <w:p w:rsidR="00FD257E" w:rsidRPr="00F90B95" w:rsidRDefault="00FD257E" w:rsidP="00B70901">
            <w:pPr>
              <w:pStyle w:val="TableText0"/>
              <w:keepNext/>
              <w:spacing w:before="0" w:after="0"/>
              <w:jc w:val="center"/>
              <w:rPr>
                <w:szCs w:val="20"/>
              </w:rPr>
            </w:pPr>
            <w:r w:rsidRPr="00F90B95">
              <w:rPr>
                <w:szCs w:val="20"/>
              </w:rPr>
              <w:t xml:space="preserve">11% </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6.1 (5.3, 7.0)/</w:t>
            </w:r>
          </w:p>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6.4 (5.6, 7.4)</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16.3 (14.1, 21.2)/</w:t>
            </w:r>
          </w:p>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17.0 (14.6, 19.1)</w:t>
            </w:r>
          </w:p>
        </w:tc>
      </w:tr>
      <w:tr w:rsidR="00FD257E" w:rsidRPr="00F90B95" w:rsidTr="0044164E">
        <w:trPr>
          <w:trHeight w:val="129"/>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AXEPT</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19%</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7.2 (6.6, 8.5)</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15.4 (13.0, 17.7)</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6210G</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5.7% (1.2, 15.7)</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5.9</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13.4</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Cao 2015</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 xml:space="preserve">47.7% </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8.5 (5.8, 10.5)</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15.2 (11.8, 19.4)</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Horizon 1</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 xml:space="preserve">27.3% </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7.8</w:t>
            </w:r>
          </w:p>
        </w:tc>
        <w:tc>
          <w:tcPr>
            <w:tcW w:w="2311" w:type="dxa"/>
            <w:vAlign w:val="center"/>
          </w:tcPr>
          <w:p w:rsidR="00FD257E" w:rsidRPr="00F90B95" w:rsidRDefault="00FD257E" w:rsidP="00B70901">
            <w:pPr>
              <w:keepNext/>
              <w:jc w:val="center"/>
              <w:rPr>
                <w:rFonts w:ascii="Arial Narrow" w:hAnsi="Arial Narrow"/>
                <w:sz w:val="20"/>
                <w:szCs w:val="20"/>
              </w:rPr>
            </w:pPr>
            <w:r w:rsidRPr="00F90B95">
              <w:rPr>
                <w:rFonts w:ascii="Arial Narrow" w:hAnsi="Arial Narrow"/>
                <w:sz w:val="20"/>
                <w:szCs w:val="20"/>
              </w:rPr>
              <w:t>19.6</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M10300</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34.7% (21.7, 49.6)</w:t>
            </w:r>
          </w:p>
        </w:tc>
        <w:tc>
          <w:tcPr>
            <w:tcW w:w="2311" w:type="dxa"/>
            <w:vAlign w:val="center"/>
          </w:tcPr>
          <w:p w:rsidR="00FD257E" w:rsidRPr="00F90B95" w:rsidRDefault="00FD257E" w:rsidP="00902562">
            <w:pPr>
              <w:pStyle w:val="TableText0"/>
              <w:keepNext/>
              <w:spacing w:before="0" w:after="0"/>
              <w:jc w:val="center"/>
              <w:rPr>
                <w:szCs w:val="20"/>
              </w:rPr>
            </w:pPr>
            <w:r w:rsidRPr="00F90B95">
              <w:rPr>
                <w:szCs w:val="20"/>
              </w:rPr>
              <w:t xml:space="preserve">9 (6.7, </w:t>
            </w:r>
            <w:r w:rsidR="00902562" w:rsidRPr="00F90B95">
              <w:rPr>
                <w:szCs w:val="20"/>
              </w:rPr>
              <w:t>NR</w:t>
            </w:r>
            <w:r w:rsidRPr="00F90B95">
              <w:rPr>
                <w:szCs w:val="20"/>
              </w:rPr>
              <w:t>)</w:t>
            </w:r>
          </w:p>
        </w:tc>
        <w:tc>
          <w:tcPr>
            <w:tcW w:w="2311" w:type="dxa"/>
            <w:vAlign w:val="center"/>
          </w:tcPr>
          <w:p w:rsidR="00FD257E" w:rsidRPr="00F90B95" w:rsidRDefault="00FD257E" w:rsidP="00902562">
            <w:pPr>
              <w:pStyle w:val="TableText0"/>
              <w:keepNext/>
              <w:spacing w:before="0" w:after="0"/>
              <w:jc w:val="center"/>
              <w:rPr>
                <w:szCs w:val="20"/>
              </w:rPr>
            </w:pPr>
            <w:r w:rsidRPr="00F90B95">
              <w:rPr>
                <w:szCs w:val="20"/>
              </w:rPr>
              <w:t xml:space="preserve">16.5 (13, </w:t>
            </w:r>
            <w:r w:rsidR="00902562" w:rsidRPr="00F90B95">
              <w:rPr>
                <w:szCs w:val="20"/>
              </w:rPr>
              <w:t>NR</w:t>
            </w:r>
            <w:r w:rsidRPr="00F90B95">
              <w:rPr>
                <w:szCs w:val="20"/>
              </w:rPr>
              <w:t>)</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E3200</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 xml:space="preserve">22.7% </w:t>
            </w:r>
          </w:p>
        </w:tc>
        <w:tc>
          <w:tcPr>
            <w:tcW w:w="2311" w:type="dxa"/>
            <w:vAlign w:val="center"/>
          </w:tcPr>
          <w:p w:rsidR="00FD257E" w:rsidRPr="00F90B95" w:rsidRDefault="00FD257E" w:rsidP="00902562">
            <w:pPr>
              <w:pStyle w:val="TableText0"/>
              <w:keepNext/>
              <w:spacing w:before="0" w:after="0"/>
              <w:jc w:val="center"/>
              <w:rPr>
                <w:szCs w:val="20"/>
              </w:rPr>
            </w:pPr>
            <w:r w:rsidRPr="00F90B95">
              <w:rPr>
                <w:szCs w:val="20"/>
              </w:rPr>
              <w:t xml:space="preserve">7.3 </w:t>
            </w:r>
            <w:r w:rsidR="00ED7DDA" w:rsidRPr="00F90B95">
              <w:rPr>
                <w:szCs w:val="20"/>
              </w:rPr>
              <w:t xml:space="preserve">(5.8, </w:t>
            </w:r>
            <w:r w:rsidR="00902562" w:rsidRPr="00F90B95">
              <w:rPr>
                <w:szCs w:val="20"/>
              </w:rPr>
              <w:t>NR</w:t>
            </w:r>
            <w:r w:rsidRPr="00F90B95">
              <w:rPr>
                <w:szCs w:val="20"/>
              </w:rPr>
              <w:t>)</w:t>
            </w:r>
          </w:p>
        </w:tc>
        <w:tc>
          <w:tcPr>
            <w:tcW w:w="2311" w:type="dxa"/>
            <w:vAlign w:val="center"/>
          </w:tcPr>
          <w:p w:rsidR="00FD257E" w:rsidRPr="00F90B95" w:rsidRDefault="00FD257E" w:rsidP="00B70901">
            <w:pPr>
              <w:pStyle w:val="TableText0"/>
              <w:keepNext/>
              <w:spacing w:before="0" w:after="0"/>
              <w:jc w:val="center"/>
              <w:rPr>
                <w:szCs w:val="20"/>
              </w:rPr>
            </w:pPr>
            <w:r w:rsidRPr="00F90B95">
              <w:rPr>
                <w:szCs w:val="20"/>
              </w:rPr>
              <w:t>12.9</w:t>
            </w:r>
          </w:p>
        </w:tc>
      </w:tr>
      <w:tr w:rsidR="00FD257E" w:rsidRPr="00F90B95" w:rsidTr="0044164E">
        <w:trPr>
          <w:tblHeader/>
        </w:trPr>
        <w:tc>
          <w:tcPr>
            <w:tcW w:w="2202" w:type="dxa"/>
            <w:vAlign w:val="center"/>
          </w:tcPr>
          <w:p w:rsidR="00FD257E" w:rsidRPr="00F90B95" w:rsidRDefault="00FD257E" w:rsidP="00B70901">
            <w:pPr>
              <w:pStyle w:val="TableText0"/>
              <w:keepNext/>
              <w:spacing w:before="0" w:after="0"/>
              <w:rPr>
                <w:szCs w:val="20"/>
              </w:rPr>
            </w:pPr>
            <w:r w:rsidRPr="00F90B95">
              <w:rPr>
                <w:szCs w:val="20"/>
              </w:rPr>
              <w:t>ML18147</w:t>
            </w:r>
          </w:p>
        </w:tc>
        <w:tc>
          <w:tcPr>
            <w:tcW w:w="2311" w:type="dxa"/>
          </w:tcPr>
          <w:p w:rsidR="00FD257E" w:rsidRPr="00F90B95" w:rsidRDefault="00FD257E" w:rsidP="00B70901">
            <w:pPr>
              <w:pStyle w:val="TableText0"/>
              <w:keepNext/>
              <w:spacing w:before="0" w:after="0"/>
              <w:jc w:val="center"/>
              <w:rPr>
                <w:szCs w:val="20"/>
              </w:rPr>
            </w:pPr>
            <w:r w:rsidRPr="00F90B95">
              <w:rPr>
                <w:szCs w:val="20"/>
              </w:rPr>
              <w:t>5.0%</w:t>
            </w:r>
          </w:p>
        </w:tc>
        <w:tc>
          <w:tcPr>
            <w:tcW w:w="2311" w:type="dxa"/>
          </w:tcPr>
          <w:p w:rsidR="00FD257E" w:rsidRPr="00F90B95" w:rsidRDefault="00FD257E" w:rsidP="00B70901">
            <w:pPr>
              <w:pStyle w:val="TableText0"/>
              <w:keepNext/>
              <w:spacing w:before="0" w:after="0"/>
              <w:jc w:val="center"/>
              <w:rPr>
                <w:szCs w:val="20"/>
              </w:rPr>
            </w:pPr>
            <w:r w:rsidRPr="00F90B95">
              <w:rPr>
                <w:szCs w:val="20"/>
              </w:rPr>
              <w:t>5.7 (5.2, 6.2)</w:t>
            </w:r>
          </w:p>
        </w:tc>
        <w:tc>
          <w:tcPr>
            <w:tcW w:w="2311" w:type="dxa"/>
          </w:tcPr>
          <w:p w:rsidR="00FD257E" w:rsidRPr="00F90B95" w:rsidRDefault="00FD257E" w:rsidP="00B70901">
            <w:pPr>
              <w:pStyle w:val="TableText0"/>
              <w:keepNext/>
              <w:spacing w:before="0" w:after="0"/>
              <w:jc w:val="center"/>
              <w:rPr>
                <w:szCs w:val="20"/>
              </w:rPr>
            </w:pPr>
            <w:r w:rsidRPr="00F90B95">
              <w:rPr>
                <w:szCs w:val="20"/>
              </w:rPr>
              <w:t>11.2 (10.4, 12.2)</w:t>
            </w:r>
          </w:p>
        </w:tc>
      </w:tr>
    </w:tbl>
    <w:p w:rsidR="00FD257E" w:rsidRPr="00F90B95" w:rsidRDefault="00FD257E" w:rsidP="00FD257E">
      <w:pPr>
        <w:pStyle w:val="TableText0"/>
        <w:rPr>
          <w:sz w:val="18"/>
          <w:szCs w:val="18"/>
        </w:rPr>
      </w:pPr>
      <w:r w:rsidRPr="00F90B95">
        <w:rPr>
          <w:sz w:val="18"/>
          <w:szCs w:val="18"/>
          <w:vertAlign w:val="superscript"/>
        </w:rPr>
        <w:t xml:space="preserve">1 </w:t>
      </w:r>
      <w:proofErr w:type="spellStart"/>
      <w:r w:rsidRPr="00F90B95">
        <w:rPr>
          <w:sz w:val="18"/>
          <w:szCs w:val="18"/>
        </w:rPr>
        <w:t>Tournigand</w:t>
      </w:r>
      <w:proofErr w:type="spellEnd"/>
      <w:r w:rsidRPr="00F90B95">
        <w:rPr>
          <w:sz w:val="18"/>
          <w:szCs w:val="18"/>
        </w:rPr>
        <w:t xml:space="preserve"> had two treatment arms: Bevacizumab with neither FOLFIRI or with FOLFOX. As the results are similar between treatment arms and used in the context of a naïve comparison, both results have been summarised together.</w:t>
      </w:r>
    </w:p>
    <w:p w:rsidR="00FD257E" w:rsidRPr="00F90B95" w:rsidRDefault="00FD257E" w:rsidP="00FD257E">
      <w:pPr>
        <w:pStyle w:val="TableText0"/>
        <w:rPr>
          <w:sz w:val="18"/>
          <w:szCs w:val="18"/>
        </w:rPr>
      </w:pPr>
      <w:r w:rsidRPr="00F90B95">
        <w:rPr>
          <w:sz w:val="18"/>
          <w:szCs w:val="18"/>
          <w:vertAlign w:val="superscript"/>
        </w:rPr>
        <w:t xml:space="preserve">2 </w:t>
      </w:r>
      <w:r w:rsidRPr="00F90B95">
        <w:rPr>
          <w:sz w:val="18"/>
          <w:szCs w:val="18"/>
        </w:rPr>
        <w:t>EAGLE had two treatment arms: FOLFIRI with either 5</w:t>
      </w:r>
      <w:r w:rsidR="00994196" w:rsidRPr="00F90B95">
        <w:rPr>
          <w:sz w:val="18"/>
          <w:szCs w:val="18"/>
        </w:rPr>
        <w:t> mg/kg or 10 </w:t>
      </w:r>
      <w:r w:rsidRPr="00F90B95">
        <w:rPr>
          <w:sz w:val="18"/>
          <w:szCs w:val="18"/>
        </w:rPr>
        <w:t>mg/kg bevacizumab. As the results are similar between arms and used in the context of a naïve comparison, both results are summarised together.</w:t>
      </w:r>
    </w:p>
    <w:p w:rsidR="00FD257E" w:rsidRPr="00F90B95" w:rsidRDefault="00FD257E" w:rsidP="00FD257E">
      <w:pPr>
        <w:pStyle w:val="TableText0"/>
        <w:rPr>
          <w:sz w:val="18"/>
          <w:szCs w:val="18"/>
        </w:rPr>
      </w:pPr>
      <w:r w:rsidRPr="00F90B95">
        <w:rPr>
          <w:sz w:val="18"/>
          <w:szCs w:val="18"/>
        </w:rPr>
        <w:t xml:space="preserve">CI = confidence interval; </w:t>
      </w:r>
      <w:r w:rsidR="00902562" w:rsidRPr="00F90B95">
        <w:rPr>
          <w:sz w:val="18"/>
          <w:szCs w:val="18"/>
        </w:rPr>
        <w:t xml:space="preserve">NR = not reached; </w:t>
      </w:r>
      <w:r w:rsidRPr="00F90B95">
        <w:rPr>
          <w:sz w:val="18"/>
          <w:szCs w:val="18"/>
        </w:rPr>
        <w:t xml:space="preserve">ORR = </w:t>
      </w:r>
      <w:r w:rsidR="004E1C13" w:rsidRPr="00F90B95">
        <w:rPr>
          <w:sz w:val="18"/>
          <w:szCs w:val="18"/>
        </w:rPr>
        <w:t>objective</w:t>
      </w:r>
      <w:r w:rsidR="00B70901" w:rsidRPr="00F90B95">
        <w:rPr>
          <w:sz w:val="18"/>
          <w:szCs w:val="18"/>
        </w:rPr>
        <w:t>/overall</w:t>
      </w:r>
      <w:r w:rsidRPr="00F90B95">
        <w:rPr>
          <w:sz w:val="18"/>
          <w:szCs w:val="18"/>
        </w:rPr>
        <w:t xml:space="preserve"> response rate; OS = overall survival; PFS = p</w:t>
      </w:r>
      <w:r w:rsidR="005E19C9" w:rsidRPr="00F90B95">
        <w:rPr>
          <w:sz w:val="18"/>
          <w:szCs w:val="18"/>
        </w:rPr>
        <w:t>rogression-</w:t>
      </w:r>
      <w:r w:rsidRPr="00F90B95">
        <w:rPr>
          <w:sz w:val="18"/>
          <w:szCs w:val="18"/>
        </w:rPr>
        <w:t>free survival</w:t>
      </w:r>
      <w:r w:rsidR="00324F53" w:rsidRPr="00F90B95">
        <w:rPr>
          <w:sz w:val="18"/>
          <w:szCs w:val="18"/>
        </w:rPr>
        <w:t>.</w:t>
      </w:r>
    </w:p>
    <w:p w:rsidR="00FD257E" w:rsidRPr="00F90B95" w:rsidRDefault="00FD257E" w:rsidP="00FD257E">
      <w:pPr>
        <w:pStyle w:val="TableText0"/>
        <w:rPr>
          <w:sz w:val="18"/>
          <w:szCs w:val="18"/>
        </w:rPr>
      </w:pPr>
      <w:r w:rsidRPr="00F90B95">
        <w:rPr>
          <w:sz w:val="18"/>
          <w:szCs w:val="18"/>
        </w:rPr>
        <w:t>Source: Table 2.6.1, p72 of the submission.</w:t>
      </w:r>
    </w:p>
    <w:p w:rsidR="00FD257E" w:rsidRPr="00F90B95" w:rsidRDefault="00FD257E" w:rsidP="00662FCF">
      <w:pPr>
        <w:pStyle w:val="ListParagraph"/>
        <w:numPr>
          <w:ilvl w:val="1"/>
          <w:numId w:val="7"/>
        </w:numPr>
        <w:spacing w:before="160" w:after="120"/>
      </w:pPr>
      <w:r w:rsidRPr="00F90B95">
        <w:t>Compared to an ORR of 28% in KN164, the ORR in the comparator studies ranged from 5% in ML18147 to 47.7% in Cao 2015. The median PFS of 2.3 months in KN164, was less than the median PFS in the comparator studies which ranged from 5.7 months in ML18147 to 9 months in M10300. The median OS was not reached in KN164 and ranged from 11.2 months in ML18147 to 19.6 months in Horizon 1.</w:t>
      </w:r>
    </w:p>
    <w:p w:rsidR="00FD257E" w:rsidRPr="00F90B95" w:rsidRDefault="00FD257E" w:rsidP="00662FCF">
      <w:pPr>
        <w:pStyle w:val="ListParagraph"/>
        <w:numPr>
          <w:ilvl w:val="1"/>
          <w:numId w:val="7"/>
        </w:numPr>
        <w:spacing w:after="120"/>
      </w:pPr>
      <w:r w:rsidRPr="00F90B95">
        <w:t xml:space="preserve">The </w:t>
      </w:r>
      <w:r w:rsidR="00704103" w:rsidRPr="00F90B95">
        <w:t xml:space="preserve">ESC considered that the </w:t>
      </w:r>
      <w:r w:rsidRPr="00F90B95">
        <w:t>results of the three naïve indirect comparisons were highly uncertain. There were no common comparators</w:t>
      </w:r>
      <w:r w:rsidR="001A22E7" w:rsidRPr="00F90B95">
        <w:t xml:space="preserve"> which did not permit quantitative assessment</w:t>
      </w:r>
      <w:r w:rsidRPr="00F90B95">
        <w:t>, and, as noted above, there was extensive heterogeneity among the main comparator studies in terms of baseline demographic and disease characteristics</w:t>
      </w:r>
      <w:r w:rsidR="00F91878" w:rsidRPr="00F90B95">
        <w:t xml:space="preserve"> (e.g. the comparator studies were conducted in patients irrespective of </w:t>
      </w:r>
      <w:proofErr w:type="spellStart"/>
      <w:r w:rsidR="00F91878" w:rsidRPr="00F90B95">
        <w:t>dMMR</w:t>
      </w:r>
      <w:proofErr w:type="spellEnd"/>
      <w:r w:rsidR="00F91878" w:rsidRPr="00F90B95">
        <w:t xml:space="preserve"> status)</w:t>
      </w:r>
      <w:r w:rsidRPr="00F90B95">
        <w:t>, treatment dosing regimens, durations of follow-up, and treatment outcomes. This resulted in substantial heterogeneity between the efficacy results and prevented any meaningful conclusions regarding the magnitude of comparative effectiveness of pembrolizumab.</w:t>
      </w:r>
    </w:p>
    <w:p w:rsidR="001A22E7" w:rsidRPr="00F90B95" w:rsidRDefault="001A22E7" w:rsidP="00662FCF">
      <w:pPr>
        <w:pStyle w:val="ListParagraph"/>
        <w:numPr>
          <w:ilvl w:val="1"/>
          <w:numId w:val="7"/>
        </w:numPr>
        <w:spacing w:after="120"/>
      </w:pPr>
      <w:r w:rsidRPr="00F90B95">
        <w:t xml:space="preserve">In addition, there were no comparative data for the proposed </w:t>
      </w:r>
      <w:proofErr w:type="spellStart"/>
      <w:r w:rsidRPr="00F90B95">
        <w:t>dMMR</w:t>
      </w:r>
      <w:proofErr w:type="spellEnd"/>
      <w:r w:rsidRPr="00F90B95">
        <w:t xml:space="preserve"> </w:t>
      </w:r>
      <w:proofErr w:type="spellStart"/>
      <w:r w:rsidRPr="00F90B95">
        <w:t>mCRC</w:t>
      </w:r>
      <w:proofErr w:type="spellEnd"/>
      <w:r w:rsidRPr="00F90B95">
        <w:t xml:space="preserve"> population (KN164 did not provide a sub-group analysis and the comparator studies were conducted on all patients regardless of their </w:t>
      </w:r>
      <w:proofErr w:type="spellStart"/>
      <w:r w:rsidRPr="00F90B95">
        <w:t>dMMR</w:t>
      </w:r>
      <w:proofErr w:type="spellEnd"/>
      <w:r w:rsidRPr="00F90B95">
        <w:t xml:space="preserve"> status).</w:t>
      </w:r>
    </w:p>
    <w:p w:rsidR="00EE0E6D" w:rsidRPr="00F90B95" w:rsidRDefault="00B70901" w:rsidP="00662FCF">
      <w:pPr>
        <w:pStyle w:val="ListParagraph"/>
        <w:widowControl/>
        <w:numPr>
          <w:ilvl w:val="1"/>
          <w:numId w:val="7"/>
        </w:numPr>
        <w:spacing w:after="120"/>
      </w:pPr>
      <w:r w:rsidRPr="00F90B95">
        <w:t>Table 8</w:t>
      </w:r>
      <w:r w:rsidR="00547152" w:rsidRPr="00F90B95">
        <w:t xml:space="preserve"> </w:t>
      </w:r>
      <w:r w:rsidR="00EE0E6D" w:rsidRPr="00F90B95">
        <w:t xml:space="preserve">summarises the naïve </w:t>
      </w:r>
      <w:r w:rsidR="004E5CC4" w:rsidRPr="00F90B95">
        <w:t xml:space="preserve">indirect </w:t>
      </w:r>
      <w:r w:rsidR="00EE0E6D" w:rsidRPr="00F90B95">
        <w:t xml:space="preserve">comparison between pembrolizumab and </w:t>
      </w:r>
      <w:r w:rsidR="00267BB3" w:rsidRPr="00F90B95">
        <w:t xml:space="preserve">the near-market comparators, nivolumab and </w:t>
      </w:r>
      <w:proofErr w:type="spellStart"/>
      <w:r w:rsidR="00267BB3" w:rsidRPr="00F90B95">
        <w:t>nivolumab</w:t>
      </w:r>
      <w:proofErr w:type="spellEnd"/>
      <w:r w:rsidR="00267BB3" w:rsidRPr="00F90B95">
        <w:t xml:space="preserve"> plus </w:t>
      </w:r>
      <w:proofErr w:type="spellStart"/>
      <w:r w:rsidR="00267BB3" w:rsidRPr="00F90B95">
        <w:t>ipilimumab</w:t>
      </w:r>
      <w:proofErr w:type="spellEnd"/>
      <w:r w:rsidR="00EE0E6D" w:rsidRPr="00F90B95">
        <w:t>.</w:t>
      </w:r>
    </w:p>
    <w:p w:rsidR="000B3CA5" w:rsidRPr="00F90B95" w:rsidRDefault="000B3CA5" w:rsidP="00B70901">
      <w:pPr>
        <w:pStyle w:val="Caption"/>
        <w:keepNext/>
        <w:widowControl/>
      </w:pPr>
      <w:bookmarkStart w:id="11" w:name="_Ref531878773"/>
      <w:r w:rsidRPr="00F90B95">
        <w:lastRenderedPageBreak/>
        <w:t xml:space="preserve">Table </w:t>
      </w:r>
      <w:r w:rsidR="00B70901" w:rsidRPr="00F90B95">
        <w:t>8</w:t>
      </w:r>
      <w:bookmarkEnd w:id="11"/>
      <w:r w:rsidRPr="00F90B95">
        <w:t>: Na</w:t>
      </w:r>
      <w:r w:rsidR="00622EAA" w:rsidRPr="00F90B95">
        <w:t>ï</w:t>
      </w:r>
      <w:r w:rsidRPr="00F90B95">
        <w:t xml:space="preserve">ve </w:t>
      </w:r>
      <w:r w:rsidR="004E5CC4" w:rsidRPr="00F90B95">
        <w:t xml:space="preserve">indirect </w:t>
      </w:r>
      <w:r w:rsidRPr="00F90B95">
        <w:t>comparison of effectiveness</w:t>
      </w:r>
      <w:r w:rsidR="00F7306C" w:rsidRPr="00F90B95">
        <w:t>:</w:t>
      </w:r>
      <w:r w:rsidRPr="00F90B95">
        <w:t xml:space="preserve"> pembrolizumab vs. nivolumab or </w:t>
      </w:r>
      <w:proofErr w:type="spellStart"/>
      <w:r w:rsidRPr="00F90B95">
        <w:t>nivolumab</w:t>
      </w:r>
      <w:proofErr w:type="spellEnd"/>
      <w:r w:rsidRPr="00F90B95">
        <w:t xml:space="preserve"> + </w:t>
      </w:r>
      <w:proofErr w:type="spellStart"/>
      <w:r w:rsidRPr="00F90B95">
        <w:t>ipilimumab</w:t>
      </w:r>
      <w:proofErr w:type="spellEnd"/>
    </w:p>
    <w:tbl>
      <w:tblPr>
        <w:tblStyle w:val="TableGrid"/>
        <w:tblW w:w="0" w:type="auto"/>
        <w:tblInd w:w="108" w:type="dxa"/>
        <w:tblLook w:val="04A0" w:firstRow="1" w:lastRow="0" w:firstColumn="1" w:lastColumn="0" w:noHBand="0" w:noVBand="1"/>
        <w:tblCaption w:val="Table 8: Naïve indirect comparison of effectiveness: pembrolizumab vs. nivolumab or nivolumab + ipilimumab"/>
      </w:tblPr>
      <w:tblGrid>
        <w:gridCol w:w="847"/>
        <w:gridCol w:w="1975"/>
        <w:gridCol w:w="1950"/>
        <w:gridCol w:w="2090"/>
        <w:gridCol w:w="2047"/>
      </w:tblGrid>
      <w:tr w:rsidR="00520EA2" w:rsidRPr="00F90B95" w:rsidTr="0044164E">
        <w:trPr>
          <w:tblHeader/>
        </w:trPr>
        <w:tc>
          <w:tcPr>
            <w:tcW w:w="2853" w:type="dxa"/>
            <w:gridSpan w:val="2"/>
            <w:vAlign w:val="center"/>
          </w:tcPr>
          <w:p w:rsidR="00520EA2" w:rsidRPr="00F90B95" w:rsidRDefault="00520EA2" w:rsidP="00B70901">
            <w:pPr>
              <w:keepNext/>
              <w:jc w:val="left"/>
              <w:rPr>
                <w:rFonts w:ascii="Arial Narrow" w:hAnsi="Arial Narrow"/>
                <w:sz w:val="20"/>
                <w:szCs w:val="20"/>
              </w:rPr>
            </w:pPr>
          </w:p>
        </w:tc>
        <w:tc>
          <w:tcPr>
            <w:tcW w:w="1985" w:type="dxa"/>
            <w:vAlign w:val="center"/>
          </w:tcPr>
          <w:p w:rsidR="00520EA2" w:rsidRPr="00F90B95" w:rsidRDefault="00520EA2" w:rsidP="00B70901">
            <w:pPr>
              <w:keepNext/>
              <w:jc w:val="center"/>
              <w:rPr>
                <w:rFonts w:ascii="Arial Narrow" w:hAnsi="Arial Narrow"/>
                <w:b/>
                <w:sz w:val="20"/>
                <w:szCs w:val="20"/>
              </w:rPr>
            </w:pPr>
            <w:r w:rsidRPr="00F90B95">
              <w:rPr>
                <w:rFonts w:ascii="Arial Narrow" w:hAnsi="Arial Narrow"/>
                <w:b/>
                <w:sz w:val="20"/>
                <w:szCs w:val="20"/>
              </w:rPr>
              <w:t xml:space="preserve">ORR, % </w:t>
            </w:r>
            <w:r w:rsidRPr="00F90B95">
              <w:rPr>
                <w:rFonts w:ascii="Arial Narrow" w:hAnsi="Arial Narrow"/>
                <w:b/>
                <w:sz w:val="20"/>
                <w:szCs w:val="20"/>
              </w:rPr>
              <w:br/>
              <w:t>(95% CI)</w:t>
            </w:r>
          </w:p>
        </w:tc>
        <w:tc>
          <w:tcPr>
            <w:tcW w:w="2126" w:type="dxa"/>
            <w:vAlign w:val="center"/>
          </w:tcPr>
          <w:p w:rsidR="00520EA2" w:rsidRPr="00F90B95" w:rsidRDefault="00520EA2" w:rsidP="00B70901">
            <w:pPr>
              <w:keepNext/>
              <w:jc w:val="center"/>
              <w:rPr>
                <w:rFonts w:ascii="Arial Narrow" w:hAnsi="Arial Narrow"/>
                <w:b/>
                <w:sz w:val="20"/>
                <w:szCs w:val="20"/>
              </w:rPr>
            </w:pPr>
            <w:r w:rsidRPr="00F90B95">
              <w:rPr>
                <w:rFonts w:ascii="Arial Narrow" w:hAnsi="Arial Narrow"/>
                <w:b/>
                <w:sz w:val="20"/>
                <w:szCs w:val="20"/>
              </w:rPr>
              <w:t xml:space="preserve">Median PFS, months </w:t>
            </w:r>
            <w:r w:rsidRPr="00F90B95">
              <w:rPr>
                <w:rFonts w:ascii="Arial Narrow" w:hAnsi="Arial Narrow"/>
                <w:b/>
                <w:sz w:val="20"/>
                <w:szCs w:val="20"/>
              </w:rPr>
              <w:br/>
              <w:t>(95% CI)</w:t>
            </w:r>
          </w:p>
        </w:tc>
        <w:tc>
          <w:tcPr>
            <w:tcW w:w="2081" w:type="dxa"/>
            <w:vAlign w:val="center"/>
          </w:tcPr>
          <w:p w:rsidR="00520EA2" w:rsidRPr="00F90B95" w:rsidRDefault="00520EA2" w:rsidP="00B70901">
            <w:pPr>
              <w:keepNext/>
              <w:jc w:val="center"/>
              <w:rPr>
                <w:rFonts w:ascii="Arial Narrow" w:hAnsi="Arial Narrow"/>
                <w:b/>
                <w:sz w:val="20"/>
                <w:szCs w:val="20"/>
              </w:rPr>
            </w:pPr>
            <w:r w:rsidRPr="00F90B95">
              <w:rPr>
                <w:rFonts w:ascii="Arial Narrow" w:hAnsi="Arial Narrow"/>
                <w:b/>
                <w:sz w:val="20"/>
                <w:szCs w:val="20"/>
              </w:rPr>
              <w:t xml:space="preserve">Median OS, months </w:t>
            </w:r>
            <w:r w:rsidR="008612E6" w:rsidRPr="00F90B95">
              <w:rPr>
                <w:rFonts w:ascii="Arial Narrow" w:hAnsi="Arial Narrow"/>
                <w:b/>
                <w:sz w:val="20"/>
                <w:szCs w:val="20"/>
              </w:rPr>
              <w:br/>
            </w:r>
            <w:r w:rsidRPr="00F90B95">
              <w:rPr>
                <w:rFonts w:ascii="Arial Narrow" w:hAnsi="Arial Narrow"/>
                <w:b/>
                <w:sz w:val="20"/>
                <w:szCs w:val="20"/>
              </w:rPr>
              <w:t>(95%</w:t>
            </w:r>
            <w:r w:rsidR="008612E6" w:rsidRPr="00F90B95">
              <w:rPr>
                <w:rFonts w:ascii="Arial Narrow" w:hAnsi="Arial Narrow"/>
                <w:b/>
                <w:sz w:val="20"/>
                <w:szCs w:val="20"/>
              </w:rPr>
              <w:t xml:space="preserve"> </w:t>
            </w:r>
            <w:r w:rsidRPr="00F90B95">
              <w:rPr>
                <w:rFonts w:ascii="Arial Narrow" w:hAnsi="Arial Narrow"/>
                <w:b/>
                <w:sz w:val="20"/>
                <w:szCs w:val="20"/>
              </w:rPr>
              <w:t>CI)</w:t>
            </w:r>
          </w:p>
        </w:tc>
      </w:tr>
      <w:tr w:rsidR="00520EA2" w:rsidRPr="00F90B95" w:rsidTr="0044164E">
        <w:trPr>
          <w:tblHeader/>
        </w:trPr>
        <w:tc>
          <w:tcPr>
            <w:tcW w:w="9045" w:type="dxa"/>
            <w:gridSpan w:val="5"/>
            <w:vAlign w:val="center"/>
          </w:tcPr>
          <w:p w:rsidR="00520EA2" w:rsidRPr="00F90B95" w:rsidRDefault="00520EA2" w:rsidP="00B70901">
            <w:pPr>
              <w:keepNext/>
              <w:jc w:val="left"/>
              <w:rPr>
                <w:rFonts w:ascii="Arial Narrow" w:hAnsi="Arial Narrow"/>
                <w:b/>
                <w:sz w:val="20"/>
                <w:szCs w:val="20"/>
              </w:rPr>
            </w:pPr>
            <w:r w:rsidRPr="00F90B95">
              <w:rPr>
                <w:rFonts w:ascii="Arial Narrow" w:hAnsi="Arial Narrow"/>
                <w:b/>
                <w:sz w:val="20"/>
                <w:szCs w:val="20"/>
              </w:rPr>
              <w:t>Pembrolizumab</w:t>
            </w:r>
          </w:p>
        </w:tc>
      </w:tr>
      <w:tr w:rsidR="00520EA2" w:rsidRPr="00F90B95" w:rsidTr="0044164E">
        <w:trPr>
          <w:tblHeader/>
        </w:trPr>
        <w:tc>
          <w:tcPr>
            <w:tcW w:w="2853" w:type="dxa"/>
            <w:gridSpan w:val="2"/>
            <w:vAlign w:val="center"/>
          </w:tcPr>
          <w:p w:rsidR="00520EA2" w:rsidRPr="00F90B95" w:rsidRDefault="00520EA2" w:rsidP="00B70901">
            <w:pPr>
              <w:keepNext/>
              <w:jc w:val="left"/>
              <w:rPr>
                <w:rFonts w:ascii="Arial Narrow" w:hAnsi="Arial Narrow"/>
                <w:sz w:val="20"/>
                <w:szCs w:val="20"/>
              </w:rPr>
            </w:pPr>
            <w:r w:rsidRPr="00F90B95">
              <w:rPr>
                <w:rFonts w:ascii="Arial Narrow" w:hAnsi="Arial Narrow"/>
                <w:sz w:val="20"/>
                <w:szCs w:val="20"/>
              </w:rPr>
              <w:t>KN164</w:t>
            </w:r>
          </w:p>
        </w:tc>
        <w:tc>
          <w:tcPr>
            <w:tcW w:w="1985" w:type="dxa"/>
            <w:vAlign w:val="center"/>
          </w:tcPr>
          <w:p w:rsidR="00520EA2" w:rsidRPr="00F90B95" w:rsidRDefault="00520EA2" w:rsidP="00B70901">
            <w:pPr>
              <w:keepNext/>
              <w:jc w:val="center"/>
              <w:rPr>
                <w:rFonts w:ascii="Arial Narrow" w:hAnsi="Arial Narrow"/>
                <w:sz w:val="20"/>
                <w:szCs w:val="20"/>
              </w:rPr>
            </w:pPr>
            <w:r w:rsidRPr="00F90B95">
              <w:rPr>
                <w:rFonts w:ascii="Arial Narrow" w:hAnsi="Arial Narrow"/>
                <w:sz w:val="20"/>
                <w:szCs w:val="20"/>
              </w:rPr>
              <w:t>27.9% (17.1, 40.8)</w:t>
            </w:r>
          </w:p>
        </w:tc>
        <w:tc>
          <w:tcPr>
            <w:tcW w:w="2126" w:type="dxa"/>
            <w:vAlign w:val="center"/>
          </w:tcPr>
          <w:p w:rsidR="00520EA2" w:rsidRPr="00F90B95" w:rsidRDefault="00520EA2" w:rsidP="00B70901">
            <w:pPr>
              <w:keepNext/>
              <w:jc w:val="center"/>
              <w:rPr>
                <w:rFonts w:ascii="Arial Narrow" w:hAnsi="Arial Narrow"/>
                <w:sz w:val="20"/>
                <w:szCs w:val="20"/>
              </w:rPr>
            </w:pPr>
            <w:r w:rsidRPr="00F90B95">
              <w:rPr>
                <w:rFonts w:ascii="Arial Narrow" w:hAnsi="Arial Narrow"/>
                <w:sz w:val="20"/>
                <w:szCs w:val="20"/>
              </w:rPr>
              <w:t>2.3 (2.1, 8.1)</w:t>
            </w:r>
          </w:p>
        </w:tc>
        <w:tc>
          <w:tcPr>
            <w:tcW w:w="2081" w:type="dxa"/>
            <w:vAlign w:val="center"/>
          </w:tcPr>
          <w:p w:rsidR="00520EA2"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r>
      <w:tr w:rsidR="00520EA2" w:rsidRPr="00F90B95" w:rsidTr="0044164E">
        <w:trPr>
          <w:tblHeader/>
        </w:trPr>
        <w:tc>
          <w:tcPr>
            <w:tcW w:w="9045" w:type="dxa"/>
            <w:gridSpan w:val="5"/>
            <w:vAlign w:val="center"/>
          </w:tcPr>
          <w:p w:rsidR="00520EA2" w:rsidRPr="00F90B95" w:rsidRDefault="00520EA2" w:rsidP="00B70901">
            <w:pPr>
              <w:keepNext/>
              <w:jc w:val="left"/>
              <w:rPr>
                <w:rFonts w:ascii="Arial Narrow" w:hAnsi="Arial Narrow"/>
                <w:b/>
                <w:sz w:val="20"/>
                <w:szCs w:val="20"/>
              </w:rPr>
            </w:pPr>
            <w:r w:rsidRPr="00F90B95">
              <w:rPr>
                <w:rFonts w:ascii="Arial Narrow" w:hAnsi="Arial Narrow"/>
                <w:b/>
                <w:sz w:val="20"/>
                <w:szCs w:val="20"/>
              </w:rPr>
              <w:t>Near-market comparators</w:t>
            </w:r>
          </w:p>
        </w:tc>
      </w:tr>
      <w:tr w:rsidR="00520EA2" w:rsidRPr="00F90B95" w:rsidTr="0044164E">
        <w:trPr>
          <w:tblHeader/>
        </w:trPr>
        <w:tc>
          <w:tcPr>
            <w:tcW w:w="851" w:type="dxa"/>
            <w:vMerge w:val="restart"/>
            <w:vAlign w:val="center"/>
          </w:tcPr>
          <w:p w:rsidR="00520EA2" w:rsidRPr="00F90B95" w:rsidRDefault="00520EA2" w:rsidP="00B70901">
            <w:pPr>
              <w:keepNext/>
              <w:jc w:val="left"/>
              <w:rPr>
                <w:rFonts w:ascii="Arial Narrow" w:hAnsi="Arial Narrow"/>
                <w:sz w:val="20"/>
                <w:szCs w:val="20"/>
              </w:rPr>
            </w:pPr>
            <w:r w:rsidRPr="00F90B95">
              <w:rPr>
                <w:rFonts w:ascii="Arial Narrow" w:hAnsi="Arial Narrow"/>
                <w:sz w:val="20"/>
                <w:szCs w:val="20"/>
              </w:rPr>
              <w:t>CH142</w:t>
            </w:r>
          </w:p>
        </w:tc>
        <w:tc>
          <w:tcPr>
            <w:tcW w:w="2002" w:type="dxa"/>
            <w:vAlign w:val="center"/>
          </w:tcPr>
          <w:p w:rsidR="00520EA2" w:rsidRPr="00F90B95" w:rsidRDefault="00520EA2" w:rsidP="00B70901">
            <w:pPr>
              <w:keepNext/>
              <w:jc w:val="left"/>
              <w:rPr>
                <w:rFonts w:ascii="Arial Narrow" w:hAnsi="Arial Narrow"/>
                <w:sz w:val="20"/>
                <w:szCs w:val="20"/>
              </w:rPr>
            </w:pPr>
            <w:r w:rsidRPr="00F90B95">
              <w:rPr>
                <w:rFonts w:ascii="Arial Narrow" w:hAnsi="Arial Narrow"/>
                <w:sz w:val="20"/>
                <w:szCs w:val="20"/>
              </w:rPr>
              <w:t>Nivolumab</w:t>
            </w:r>
          </w:p>
        </w:tc>
        <w:tc>
          <w:tcPr>
            <w:tcW w:w="1985" w:type="dxa"/>
            <w:vAlign w:val="center"/>
          </w:tcPr>
          <w:p w:rsidR="00520EA2" w:rsidRPr="00F90B95" w:rsidRDefault="00520EA2" w:rsidP="00B70901">
            <w:pPr>
              <w:pStyle w:val="TableText0"/>
              <w:keepNext/>
              <w:spacing w:before="0" w:after="0"/>
              <w:jc w:val="center"/>
              <w:rPr>
                <w:szCs w:val="20"/>
              </w:rPr>
            </w:pPr>
            <w:r w:rsidRPr="00F90B95">
              <w:rPr>
                <w:szCs w:val="20"/>
              </w:rPr>
              <w:t>32% (22, 44)</w:t>
            </w:r>
          </w:p>
        </w:tc>
        <w:tc>
          <w:tcPr>
            <w:tcW w:w="2126" w:type="dxa"/>
            <w:vAlign w:val="center"/>
          </w:tcPr>
          <w:p w:rsidR="00520EA2" w:rsidRPr="00F90B95" w:rsidRDefault="00B247A8" w:rsidP="00902562">
            <w:pPr>
              <w:keepNext/>
              <w:jc w:val="center"/>
              <w:rPr>
                <w:rFonts w:ascii="Arial Narrow" w:hAnsi="Arial Narrow"/>
                <w:sz w:val="20"/>
                <w:szCs w:val="20"/>
              </w:rPr>
            </w:pPr>
            <w:r w:rsidRPr="00F90B95">
              <w:rPr>
                <w:rFonts w:ascii="Arial Narrow" w:hAnsi="Arial Narrow"/>
                <w:sz w:val="20"/>
                <w:szCs w:val="20"/>
              </w:rPr>
              <w:t xml:space="preserve">14.3 (4.3, </w:t>
            </w:r>
            <w:r w:rsidR="00902562" w:rsidRPr="00F90B95">
              <w:rPr>
                <w:rFonts w:ascii="Arial Narrow" w:hAnsi="Arial Narrow"/>
                <w:sz w:val="20"/>
                <w:szCs w:val="20"/>
              </w:rPr>
              <w:t>NR</w:t>
            </w:r>
            <w:r w:rsidR="00520EA2" w:rsidRPr="00F90B95">
              <w:rPr>
                <w:rFonts w:ascii="Arial Narrow" w:hAnsi="Arial Narrow"/>
                <w:sz w:val="20"/>
                <w:szCs w:val="20"/>
              </w:rPr>
              <w:t>)</w:t>
            </w:r>
          </w:p>
        </w:tc>
        <w:tc>
          <w:tcPr>
            <w:tcW w:w="2081" w:type="dxa"/>
            <w:vAlign w:val="center"/>
          </w:tcPr>
          <w:p w:rsidR="00520EA2"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r>
      <w:tr w:rsidR="00520EA2" w:rsidRPr="00F90B95" w:rsidTr="0044164E">
        <w:trPr>
          <w:tblHeader/>
        </w:trPr>
        <w:tc>
          <w:tcPr>
            <w:tcW w:w="851" w:type="dxa"/>
            <w:vMerge/>
            <w:vAlign w:val="center"/>
          </w:tcPr>
          <w:p w:rsidR="00520EA2" w:rsidRPr="00F90B95" w:rsidRDefault="00520EA2" w:rsidP="00B70901">
            <w:pPr>
              <w:keepNext/>
              <w:jc w:val="left"/>
              <w:rPr>
                <w:rFonts w:ascii="Arial Narrow" w:hAnsi="Arial Narrow"/>
                <w:sz w:val="20"/>
                <w:szCs w:val="20"/>
              </w:rPr>
            </w:pPr>
          </w:p>
        </w:tc>
        <w:tc>
          <w:tcPr>
            <w:tcW w:w="2002" w:type="dxa"/>
            <w:vAlign w:val="center"/>
          </w:tcPr>
          <w:p w:rsidR="00520EA2" w:rsidRPr="00F90B95" w:rsidRDefault="00520EA2" w:rsidP="00B70901">
            <w:pPr>
              <w:keepNext/>
              <w:jc w:val="left"/>
              <w:rPr>
                <w:rFonts w:ascii="Arial Narrow" w:hAnsi="Arial Narrow"/>
                <w:sz w:val="20"/>
                <w:szCs w:val="20"/>
              </w:rPr>
            </w:pPr>
            <w:proofErr w:type="spellStart"/>
            <w:r w:rsidRPr="00F90B95">
              <w:rPr>
                <w:rFonts w:ascii="Arial Narrow" w:hAnsi="Arial Narrow"/>
                <w:sz w:val="20"/>
                <w:szCs w:val="20"/>
              </w:rPr>
              <w:t>Nivolumab</w:t>
            </w:r>
            <w:proofErr w:type="spellEnd"/>
            <w:r w:rsidRPr="00F90B95">
              <w:rPr>
                <w:rFonts w:ascii="Arial Narrow" w:hAnsi="Arial Narrow"/>
                <w:sz w:val="20"/>
                <w:szCs w:val="20"/>
              </w:rPr>
              <w:t xml:space="preserve"> + </w:t>
            </w:r>
            <w:proofErr w:type="spellStart"/>
            <w:r w:rsidRPr="00F90B95">
              <w:rPr>
                <w:rFonts w:ascii="Arial Narrow" w:hAnsi="Arial Narrow"/>
                <w:sz w:val="20"/>
                <w:szCs w:val="20"/>
              </w:rPr>
              <w:t>ipilimumab</w:t>
            </w:r>
            <w:proofErr w:type="spellEnd"/>
          </w:p>
        </w:tc>
        <w:tc>
          <w:tcPr>
            <w:tcW w:w="1985" w:type="dxa"/>
            <w:vAlign w:val="center"/>
          </w:tcPr>
          <w:p w:rsidR="00520EA2" w:rsidRPr="00F90B95" w:rsidRDefault="00520EA2" w:rsidP="00B70901">
            <w:pPr>
              <w:pStyle w:val="TableText0"/>
              <w:keepNext/>
              <w:spacing w:before="0" w:after="0"/>
              <w:jc w:val="center"/>
              <w:rPr>
                <w:szCs w:val="20"/>
              </w:rPr>
            </w:pPr>
            <w:r w:rsidRPr="00F90B95">
              <w:rPr>
                <w:szCs w:val="20"/>
              </w:rPr>
              <w:t>55% (45.2, 63.8)</w:t>
            </w:r>
          </w:p>
        </w:tc>
        <w:tc>
          <w:tcPr>
            <w:tcW w:w="2126" w:type="dxa"/>
            <w:vAlign w:val="center"/>
          </w:tcPr>
          <w:p w:rsidR="00520EA2"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c>
          <w:tcPr>
            <w:tcW w:w="2081" w:type="dxa"/>
            <w:vAlign w:val="center"/>
          </w:tcPr>
          <w:p w:rsidR="00520EA2" w:rsidRPr="00F90B95" w:rsidRDefault="00902562" w:rsidP="00B70901">
            <w:pPr>
              <w:keepNext/>
              <w:jc w:val="center"/>
              <w:rPr>
                <w:rFonts w:ascii="Arial Narrow" w:hAnsi="Arial Narrow"/>
                <w:sz w:val="20"/>
                <w:szCs w:val="20"/>
              </w:rPr>
            </w:pPr>
            <w:r w:rsidRPr="00F90B95">
              <w:rPr>
                <w:rFonts w:ascii="Arial Narrow" w:hAnsi="Arial Narrow"/>
                <w:sz w:val="20"/>
                <w:szCs w:val="20"/>
              </w:rPr>
              <w:t>NR</w:t>
            </w:r>
          </w:p>
        </w:tc>
      </w:tr>
    </w:tbl>
    <w:p w:rsidR="00520EA2" w:rsidRPr="00F90B95" w:rsidRDefault="00520EA2" w:rsidP="00520EA2">
      <w:pPr>
        <w:pStyle w:val="TableText0"/>
        <w:rPr>
          <w:sz w:val="18"/>
          <w:szCs w:val="18"/>
        </w:rPr>
      </w:pPr>
      <w:r w:rsidRPr="00F90B95">
        <w:rPr>
          <w:sz w:val="18"/>
          <w:szCs w:val="18"/>
        </w:rPr>
        <w:t xml:space="preserve">CI = confidence interval; </w:t>
      </w:r>
      <w:r w:rsidR="00902562" w:rsidRPr="00F90B95">
        <w:rPr>
          <w:sz w:val="18"/>
          <w:szCs w:val="18"/>
        </w:rPr>
        <w:t xml:space="preserve">NR = not reached; </w:t>
      </w:r>
      <w:r w:rsidRPr="00F90B95">
        <w:rPr>
          <w:sz w:val="18"/>
          <w:szCs w:val="18"/>
        </w:rPr>
        <w:t xml:space="preserve">ORR = </w:t>
      </w:r>
      <w:r w:rsidR="004E1C13" w:rsidRPr="00F90B95">
        <w:rPr>
          <w:sz w:val="18"/>
          <w:szCs w:val="18"/>
        </w:rPr>
        <w:t>objective</w:t>
      </w:r>
      <w:r w:rsidR="00B70901" w:rsidRPr="00F90B95">
        <w:rPr>
          <w:sz w:val="18"/>
          <w:szCs w:val="18"/>
        </w:rPr>
        <w:t>/overall</w:t>
      </w:r>
      <w:r w:rsidR="004E1C13" w:rsidRPr="00F90B95">
        <w:rPr>
          <w:sz w:val="18"/>
          <w:szCs w:val="18"/>
        </w:rPr>
        <w:t xml:space="preserve"> </w:t>
      </w:r>
      <w:r w:rsidRPr="00F90B95">
        <w:rPr>
          <w:sz w:val="18"/>
          <w:szCs w:val="18"/>
        </w:rPr>
        <w:t xml:space="preserve">response rate; </w:t>
      </w:r>
      <w:r w:rsidR="00B70901" w:rsidRPr="00F90B95">
        <w:rPr>
          <w:sz w:val="18"/>
          <w:szCs w:val="18"/>
        </w:rPr>
        <w:t>OS = o</w:t>
      </w:r>
      <w:r w:rsidRPr="00F90B95">
        <w:rPr>
          <w:sz w:val="18"/>
          <w:szCs w:val="18"/>
        </w:rPr>
        <w:t>verall survi</w:t>
      </w:r>
      <w:r w:rsidR="00B70901" w:rsidRPr="00F90B95">
        <w:rPr>
          <w:sz w:val="18"/>
          <w:szCs w:val="18"/>
        </w:rPr>
        <w:t>val; PFS = p</w:t>
      </w:r>
      <w:r w:rsidR="005E19C9" w:rsidRPr="00F90B95">
        <w:rPr>
          <w:sz w:val="18"/>
          <w:szCs w:val="18"/>
        </w:rPr>
        <w:t>rogression-</w:t>
      </w:r>
      <w:r w:rsidRPr="00F90B95">
        <w:rPr>
          <w:sz w:val="18"/>
          <w:szCs w:val="18"/>
        </w:rPr>
        <w:t>free survival.</w:t>
      </w:r>
    </w:p>
    <w:p w:rsidR="00EE0E6D" w:rsidRPr="00F90B95" w:rsidRDefault="00EE0E6D" w:rsidP="00EE0E6D">
      <w:pPr>
        <w:rPr>
          <w:rFonts w:ascii="Arial Narrow" w:hAnsi="Arial Narrow"/>
          <w:sz w:val="18"/>
          <w:szCs w:val="18"/>
        </w:rPr>
      </w:pPr>
      <w:r w:rsidRPr="00F90B95">
        <w:rPr>
          <w:rFonts w:ascii="Arial Narrow" w:hAnsi="Arial Narrow"/>
          <w:sz w:val="18"/>
          <w:szCs w:val="18"/>
        </w:rPr>
        <w:t>Source: Table 2.6-4, p83 of the submission</w:t>
      </w:r>
      <w:r w:rsidR="00CA6D98" w:rsidRPr="00F90B95">
        <w:rPr>
          <w:rFonts w:ascii="Arial Narrow" w:hAnsi="Arial Narrow"/>
          <w:sz w:val="18"/>
          <w:szCs w:val="18"/>
        </w:rPr>
        <w:t>.</w:t>
      </w:r>
    </w:p>
    <w:p w:rsidR="00CA6D98" w:rsidRPr="00F90B95" w:rsidRDefault="00CA6D98" w:rsidP="00662FCF">
      <w:pPr>
        <w:pStyle w:val="ListParagraph"/>
        <w:widowControl/>
        <w:numPr>
          <w:ilvl w:val="1"/>
          <w:numId w:val="7"/>
        </w:numPr>
        <w:spacing w:before="160" w:after="120"/>
      </w:pPr>
      <w:r w:rsidRPr="00F90B95">
        <w:t>T</w:t>
      </w:r>
      <w:r w:rsidR="00ED7DDA" w:rsidRPr="00F90B95">
        <w:t xml:space="preserve">he </w:t>
      </w:r>
      <w:r w:rsidR="00B247A8" w:rsidRPr="00F90B95">
        <w:t>submission</w:t>
      </w:r>
      <w:r w:rsidR="00ED7DDA" w:rsidRPr="00F90B95">
        <w:t xml:space="preserve"> noted that </w:t>
      </w:r>
      <w:proofErr w:type="spellStart"/>
      <w:r w:rsidR="00ED7DDA" w:rsidRPr="00F90B95">
        <w:t>nivolumab</w:t>
      </w:r>
      <w:proofErr w:type="spellEnd"/>
      <w:r w:rsidR="00ED7DDA" w:rsidRPr="00F90B95">
        <w:t xml:space="preserve"> </w:t>
      </w:r>
      <w:r w:rsidR="00ED7DDA" w:rsidRPr="00F90B95">
        <w:rPr>
          <w:rFonts w:cs="Calibri"/>
        </w:rPr>
        <w:t>±</w:t>
      </w:r>
      <w:r w:rsidR="00ED7DDA" w:rsidRPr="00F90B95">
        <w:t xml:space="preserve"> </w:t>
      </w:r>
      <w:proofErr w:type="spellStart"/>
      <w:r w:rsidRPr="00F90B95">
        <w:t>ipilimumab</w:t>
      </w:r>
      <w:proofErr w:type="spellEnd"/>
      <w:r w:rsidRPr="00F90B95">
        <w:t xml:space="preserve"> therapies are not currently reimbursed in the Australian market for the proposed indication</w:t>
      </w:r>
      <w:r w:rsidR="00ED7DDA" w:rsidRPr="00F90B95">
        <w:t xml:space="preserve">. In addition, </w:t>
      </w:r>
      <w:r w:rsidRPr="00F90B95">
        <w:t xml:space="preserve">comparisons are likely to be confounded by differences between the study populations: the KN164 study enrolled a larger proportion of patients who had progressed on </w:t>
      </w:r>
      <w:r w:rsidR="00E76B82" w:rsidRPr="00F90B95">
        <w:t>second-</w:t>
      </w:r>
      <w:r w:rsidRPr="00F90B95">
        <w:t>line therapy than the CH142 study.</w:t>
      </w:r>
    </w:p>
    <w:p w:rsidR="00CA6D98" w:rsidRPr="00F90B95" w:rsidRDefault="00267BB3" w:rsidP="00662FCF">
      <w:pPr>
        <w:pStyle w:val="ListParagraph"/>
        <w:widowControl/>
        <w:numPr>
          <w:ilvl w:val="1"/>
          <w:numId w:val="7"/>
        </w:numPr>
        <w:spacing w:after="120"/>
      </w:pPr>
      <w:r w:rsidRPr="00F90B95">
        <w:t>T</w:t>
      </w:r>
      <w:r w:rsidR="00CA6D98" w:rsidRPr="00F90B95">
        <w:t xml:space="preserve">he proportion of patients who had progressed </w:t>
      </w:r>
      <w:r w:rsidR="005953C0" w:rsidRPr="00F90B95">
        <w:t xml:space="preserve">after </w:t>
      </w:r>
      <w:r w:rsidR="00CA6D98" w:rsidRPr="00F90B95">
        <w:t xml:space="preserve">two prior lines of therapy at baseline was 46% in KN164 compared to 30% and 36% in the nivolumab and </w:t>
      </w:r>
      <w:proofErr w:type="spellStart"/>
      <w:r w:rsidR="00CA6D98" w:rsidRPr="00F90B95">
        <w:t>nivolumab</w:t>
      </w:r>
      <w:proofErr w:type="spellEnd"/>
      <w:r w:rsidR="00CA6D98" w:rsidRPr="00F90B95">
        <w:t xml:space="preserve"> + </w:t>
      </w:r>
      <w:proofErr w:type="spellStart"/>
      <w:r w:rsidR="00CA6D98" w:rsidRPr="00F90B95">
        <w:t>ipilimumab</w:t>
      </w:r>
      <w:proofErr w:type="spellEnd"/>
      <w:r w:rsidR="00CA6D98" w:rsidRPr="00F90B95">
        <w:t xml:space="preserve"> arms</w:t>
      </w:r>
      <w:r w:rsidR="005953C0" w:rsidRPr="00F90B95">
        <w:t xml:space="preserve"> of CH142</w:t>
      </w:r>
      <w:r w:rsidR="00CA6D98" w:rsidRPr="00F90B95">
        <w:t xml:space="preserve">, respectively. However, the proportion of patients who had progressed </w:t>
      </w:r>
      <w:r w:rsidR="005953C0" w:rsidRPr="00F90B95">
        <w:t>after</w:t>
      </w:r>
      <w:r w:rsidR="00CA6D98" w:rsidRPr="00F90B95">
        <w:t xml:space="preserve"> three lines of therapy appeared to be higher in the nivolumab arm (54%) than the single pembrolizumab arm in KN164 (44%)</w:t>
      </w:r>
      <w:r w:rsidR="005953C0" w:rsidRPr="00F90B95">
        <w:t xml:space="preserve">; the proportion of </w:t>
      </w:r>
      <w:proofErr w:type="spellStart"/>
      <w:r w:rsidR="005953C0" w:rsidRPr="00F90B95">
        <w:t>nivolumab</w:t>
      </w:r>
      <w:proofErr w:type="spellEnd"/>
      <w:r w:rsidR="005953C0" w:rsidRPr="00F90B95">
        <w:t xml:space="preserve"> + </w:t>
      </w:r>
      <w:proofErr w:type="spellStart"/>
      <w:r w:rsidR="005953C0" w:rsidRPr="00F90B95">
        <w:t>ipilimumab</w:t>
      </w:r>
      <w:proofErr w:type="spellEnd"/>
      <w:r w:rsidR="005953C0" w:rsidRPr="00F90B95">
        <w:t xml:space="preserve"> patients who had progressed after three lines of therapy was 40%</w:t>
      </w:r>
      <w:r w:rsidR="00CA6D98" w:rsidRPr="00F90B95">
        <w:t xml:space="preserve">. </w:t>
      </w:r>
      <w:r w:rsidR="005953C0" w:rsidRPr="00F90B95">
        <w:t>T</w:t>
      </w:r>
      <w:r w:rsidR="00CA6D98" w:rsidRPr="00F90B95">
        <w:t xml:space="preserve">he proportion of patients who had progressed </w:t>
      </w:r>
      <w:r w:rsidR="005953C0" w:rsidRPr="00F90B95">
        <w:t xml:space="preserve">after </w:t>
      </w:r>
      <w:r w:rsidR="00CA6D98" w:rsidRPr="00F90B95">
        <w:t>only one prior line of therapy was higher in CH142</w:t>
      </w:r>
      <w:r w:rsidR="005953C0" w:rsidRPr="00F90B95">
        <w:t xml:space="preserve"> (15% for the nivolumab arm and 33% for the </w:t>
      </w:r>
      <w:proofErr w:type="spellStart"/>
      <w:r w:rsidR="005953C0" w:rsidRPr="00F90B95">
        <w:t>nivolumab</w:t>
      </w:r>
      <w:proofErr w:type="spellEnd"/>
      <w:r w:rsidR="005953C0" w:rsidRPr="00F90B95">
        <w:t xml:space="preserve"> + </w:t>
      </w:r>
      <w:proofErr w:type="spellStart"/>
      <w:r w:rsidR="005953C0" w:rsidRPr="00F90B95">
        <w:t>ipilimumab</w:t>
      </w:r>
      <w:proofErr w:type="spellEnd"/>
      <w:r w:rsidR="005953C0" w:rsidRPr="00F90B95">
        <w:t xml:space="preserve"> arm) compared to KN164 (10%)</w:t>
      </w:r>
      <w:r w:rsidR="00CA6D98" w:rsidRPr="00F90B95">
        <w:t xml:space="preserve">. </w:t>
      </w:r>
      <w:r w:rsidR="00DF7F97" w:rsidRPr="00F90B95">
        <w:t>M</w:t>
      </w:r>
      <w:r w:rsidR="00CA6D98" w:rsidRPr="00F90B95">
        <w:t xml:space="preserve">utation status (KRAS and BRAF) varied </w:t>
      </w:r>
      <w:r w:rsidR="005953C0" w:rsidRPr="00F90B95">
        <w:t xml:space="preserve">across the trials and between the arms of CH142. The </w:t>
      </w:r>
      <w:r w:rsidR="00CA6D98" w:rsidRPr="00F90B95">
        <w:t>differ</w:t>
      </w:r>
      <w:r w:rsidR="005953C0" w:rsidRPr="00F90B95">
        <w:t>ing</w:t>
      </w:r>
      <w:r w:rsidR="00CA6D98" w:rsidRPr="00F90B95">
        <w:t xml:space="preserve"> underlying tumour biology </w:t>
      </w:r>
      <w:r w:rsidR="005953C0" w:rsidRPr="00F90B95">
        <w:t xml:space="preserve">may have affected prognoses, which might </w:t>
      </w:r>
      <w:r w:rsidR="00F44DF7" w:rsidRPr="00F90B95">
        <w:t>confound treatment effects in either direction</w:t>
      </w:r>
      <w:r w:rsidR="00CA6D98" w:rsidRPr="00F90B95">
        <w:t>.</w:t>
      </w:r>
    </w:p>
    <w:p w:rsidR="00CA6D98" w:rsidRPr="00F90B95" w:rsidRDefault="00CA6D98" w:rsidP="00662FCF">
      <w:pPr>
        <w:pStyle w:val="ListParagraph"/>
        <w:widowControl/>
        <w:numPr>
          <w:ilvl w:val="1"/>
          <w:numId w:val="7"/>
        </w:numPr>
        <w:spacing w:after="120"/>
      </w:pPr>
      <w:r w:rsidRPr="00F90B95">
        <w:t xml:space="preserve">The ORR for pembrolizumab </w:t>
      </w:r>
      <w:r w:rsidR="005953C0" w:rsidRPr="00F90B95">
        <w:t xml:space="preserve">(28%) </w:t>
      </w:r>
      <w:r w:rsidR="001748A5" w:rsidRPr="00F90B95">
        <w:t>was</w:t>
      </w:r>
      <w:r w:rsidRPr="00F90B95">
        <w:t xml:space="preserve"> </w:t>
      </w:r>
      <w:r w:rsidR="005953C0" w:rsidRPr="00F90B95">
        <w:t>lower</w:t>
      </w:r>
      <w:r w:rsidRPr="00F90B95">
        <w:t xml:space="preserve"> than that observed in CH142 for both the nivolumab and </w:t>
      </w:r>
      <w:proofErr w:type="spellStart"/>
      <w:r w:rsidRPr="00F90B95">
        <w:t>nivolumab</w:t>
      </w:r>
      <w:proofErr w:type="spellEnd"/>
      <w:r w:rsidRPr="00F90B95">
        <w:t xml:space="preserve"> + </w:t>
      </w:r>
      <w:proofErr w:type="spellStart"/>
      <w:r w:rsidRPr="00F90B95">
        <w:t>ipilimumab</w:t>
      </w:r>
      <w:proofErr w:type="spellEnd"/>
      <w:r w:rsidRPr="00F90B95">
        <w:t xml:space="preserve"> arms (32% and 55%, respectively). </w:t>
      </w:r>
      <w:r w:rsidR="005953C0" w:rsidRPr="00F90B95">
        <w:t xml:space="preserve">The median PFS </w:t>
      </w:r>
      <w:r w:rsidR="007047D2" w:rsidRPr="00F90B95">
        <w:t xml:space="preserve">in CH142 </w:t>
      </w:r>
      <w:r w:rsidR="005953C0" w:rsidRPr="00F90B95">
        <w:t>was substantially longer for patients in the nivolumab arm (14.3 months), and not re</w:t>
      </w:r>
      <w:r w:rsidR="001A22E7" w:rsidRPr="00F90B95">
        <w:t xml:space="preserve">ached for patients in the </w:t>
      </w:r>
      <w:proofErr w:type="spellStart"/>
      <w:r w:rsidR="001A22E7" w:rsidRPr="00F90B95">
        <w:t>nivol</w:t>
      </w:r>
      <w:r w:rsidR="005953C0" w:rsidRPr="00F90B95">
        <w:t>umab</w:t>
      </w:r>
      <w:proofErr w:type="spellEnd"/>
      <w:r w:rsidR="005953C0" w:rsidRPr="00F90B95">
        <w:t xml:space="preserve"> +</w:t>
      </w:r>
      <w:r w:rsidR="001A22E7" w:rsidRPr="00F90B95">
        <w:t xml:space="preserve"> </w:t>
      </w:r>
      <w:proofErr w:type="spellStart"/>
      <w:r w:rsidR="005953C0" w:rsidRPr="00F90B95">
        <w:t>ipilimumab</w:t>
      </w:r>
      <w:proofErr w:type="spellEnd"/>
      <w:r w:rsidR="005953C0" w:rsidRPr="00F90B95">
        <w:t xml:space="preserve"> arm, compared to pembrolizumab (2.3 months) in KN164. </w:t>
      </w:r>
      <w:r w:rsidRPr="00F90B95">
        <w:t xml:space="preserve">Median OS </w:t>
      </w:r>
      <w:r w:rsidR="001748A5" w:rsidRPr="00F90B95">
        <w:t>w</w:t>
      </w:r>
      <w:r w:rsidR="005953C0" w:rsidRPr="00F90B95">
        <w:t>as</w:t>
      </w:r>
      <w:r w:rsidRPr="00F90B95">
        <w:t xml:space="preserve"> not reached in </w:t>
      </w:r>
      <w:r w:rsidR="005953C0" w:rsidRPr="00F90B95">
        <w:t>either</w:t>
      </w:r>
      <w:r w:rsidR="001A22E7" w:rsidRPr="00F90B95">
        <w:t xml:space="preserve"> </w:t>
      </w:r>
      <w:r w:rsidRPr="00F90B95">
        <w:t>stud</w:t>
      </w:r>
      <w:r w:rsidR="007047D2" w:rsidRPr="00F90B95">
        <w:t>y</w:t>
      </w:r>
      <w:r w:rsidRPr="00F90B95">
        <w:t xml:space="preserve">. </w:t>
      </w:r>
      <w:r w:rsidR="005953C0" w:rsidRPr="00F90B95">
        <w:t>The differences in results may have been due to the heterogeneous factors discussed above or other unknown confounders.</w:t>
      </w:r>
    </w:p>
    <w:p w:rsidR="00B60939" w:rsidRPr="00F90B95" w:rsidRDefault="00B60939" w:rsidP="00662FCF">
      <w:pPr>
        <w:pStyle w:val="Heading2"/>
      </w:pPr>
      <w:bookmarkStart w:id="12" w:name="_Toc535588643"/>
      <w:r w:rsidRPr="00F90B95">
        <w:t>Comparative harms</w:t>
      </w:r>
      <w:bookmarkEnd w:id="12"/>
    </w:p>
    <w:p w:rsidR="00B60939" w:rsidRPr="00F90B95" w:rsidRDefault="00CA6D98" w:rsidP="00662FCF">
      <w:pPr>
        <w:pStyle w:val="ListParagraph"/>
        <w:widowControl/>
        <w:numPr>
          <w:ilvl w:val="1"/>
          <w:numId w:val="7"/>
        </w:numPr>
        <w:spacing w:after="120"/>
      </w:pPr>
      <w:r w:rsidRPr="00F90B95">
        <w:t>Pembrolizumab vs. bevacizumab + chemotherapy: The incidence of Grade ≥</w:t>
      </w:r>
      <w:r w:rsidR="00324F53" w:rsidRPr="00F90B95">
        <w:t> </w:t>
      </w:r>
      <w:r w:rsidRPr="00F90B95">
        <w:t xml:space="preserve">3 adverse events (AEs) in KN164 (59%) appeared lower compared to that observed in the bevacizumab + chemotherapy studies which ranged from 61.3% (Cao 2015) to 84.8% (Horizon 1). There was a lower rate of </w:t>
      </w:r>
      <w:r w:rsidR="007047D2" w:rsidRPr="00F90B95">
        <w:t xml:space="preserve">serious </w:t>
      </w:r>
      <w:r w:rsidRPr="00F90B95">
        <w:t xml:space="preserve">AEs in KN164 (47.5%) compared to the M10300 (31.1%) and Horizon 1 (43.9%) studies. </w:t>
      </w:r>
      <w:r w:rsidR="00520EA2" w:rsidRPr="00F90B95">
        <w:t xml:space="preserve">However, </w:t>
      </w:r>
      <w:r w:rsidRPr="00F90B95">
        <w:t xml:space="preserve">the rate of </w:t>
      </w:r>
      <w:r w:rsidR="007047D2" w:rsidRPr="00F90B95">
        <w:t xml:space="preserve">serious </w:t>
      </w:r>
      <w:r w:rsidRPr="00F90B95">
        <w:t xml:space="preserve">AEs in </w:t>
      </w:r>
      <w:proofErr w:type="spellStart"/>
      <w:r w:rsidRPr="00F90B95">
        <w:t>Tournigand</w:t>
      </w:r>
      <w:proofErr w:type="spellEnd"/>
      <w:r w:rsidRPr="00F90B95">
        <w:t xml:space="preserve"> (14.3%) was much lower than that in KN164. Clinical heterogeneity and limited drug-related AE data reported for the bevacizumab + chemotherapy studies ma</w:t>
      </w:r>
      <w:r w:rsidR="00520EA2" w:rsidRPr="00F90B95">
        <w:t>de</w:t>
      </w:r>
      <w:r w:rsidRPr="00F90B95">
        <w:t xml:space="preserve"> the naïve comparison difficult to interpret.</w:t>
      </w:r>
    </w:p>
    <w:p w:rsidR="00CA6D98" w:rsidRPr="00F90B95" w:rsidRDefault="00CA6D98" w:rsidP="00662FCF">
      <w:pPr>
        <w:pStyle w:val="ListParagraph"/>
        <w:widowControl/>
        <w:numPr>
          <w:ilvl w:val="1"/>
          <w:numId w:val="7"/>
        </w:numPr>
        <w:spacing w:after="120"/>
      </w:pPr>
      <w:r w:rsidRPr="00F90B95">
        <w:lastRenderedPageBreak/>
        <w:t xml:space="preserve">Pembrolizumab vs. </w:t>
      </w:r>
      <w:proofErr w:type="spellStart"/>
      <w:r w:rsidRPr="00F90B95">
        <w:t>cetuximab</w:t>
      </w:r>
      <w:proofErr w:type="spellEnd"/>
      <w:r w:rsidRPr="00F90B95">
        <w:t xml:space="preserve"> + chemotherapy: For this comparison, the submission noted that AE reporting varied across the studies, and that for the </w:t>
      </w:r>
      <w:proofErr w:type="spellStart"/>
      <w:r w:rsidRPr="00F90B95">
        <w:t>cetuximab</w:t>
      </w:r>
      <w:proofErr w:type="spellEnd"/>
      <w:r w:rsidRPr="00F90B95">
        <w:t xml:space="preserve"> + chemotherapy study, diarrhoea was one of the most frequently reported Grade ≥</w:t>
      </w:r>
      <w:r w:rsidR="00324F53" w:rsidRPr="00F90B95">
        <w:t> </w:t>
      </w:r>
      <w:r w:rsidRPr="00F90B95">
        <w:t>3 non-haematological AE. Although all grade diarrhoea was frequently reported in KN164 (34.4%), there were no reports of a Grade &gt;</w:t>
      </w:r>
      <w:r w:rsidR="00324F53" w:rsidRPr="00F90B95">
        <w:t> </w:t>
      </w:r>
      <w:r w:rsidRPr="00F90B95">
        <w:t>3 diarrhoea AE.</w:t>
      </w:r>
    </w:p>
    <w:p w:rsidR="00CA6D98" w:rsidRPr="00F90B95" w:rsidRDefault="00CA6D98" w:rsidP="00662FCF">
      <w:pPr>
        <w:pStyle w:val="ListParagraph"/>
        <w:widowControl/>
        <w:numPr>
          <w:ilvl w:val="1"/>
          <w:numId w:val="7"/>
        </w:numPr>
        <w:spacing w:after="120"/>
      </w:pPr>
      <w:r w:rsidRPr="00F90B95">
        <w:t xml:space="preserve">Pembrolizumab vs. chemotherapy: The submission presented a similar discussion to that for pembrolizumab vs. </w:t>
      </w:r>
      <w:proofErr w:type="spellStart"/>
      <w:r w:rsidRPr="00F90B95">
        <w:t>cetuximab</w:t>
      </w:r>
      <w:proofErr w:type="spellEnd"/>
      <w:r w:rsidRPr="00F90B95">
        <w:t xml:space="preserve"> + chemotherapy.</w:t>
      </w:r>
    </w:p>
    <w:p w:rsidR="00CA6D98" w:rsidRPr="00F90B95" w:rsidRDefault="00CA6D98" w:rsidP="00662FCF">
      <w:pPr>
        <w:pStyle w:val="ListParagraph"/>
        <w:widowControl/>
        <w:numPr>
          <w:ilvl w:val="1"/>
          <w:numId w:val="7"/>
        </w:numPr>
        <w:spacing w:after="120"/>
      </w:pPr>
      <w:r w:rsidRPr="00F90B95">
        <w:t>Pembrolizumab vs. near term comparators (</w:t>
      </w:r>
      <w:proofErr w:type="spellStart"/>
      <w:r w:rsidRPr="00F90B95">
        <w:t>nivolumab</w:t>
      </w:r>
      <w:proofErr w:type="spellEnd"/>
      <w:r w:rsidRPr="00F90B95">
        <w:t xml:space="preserve"> ± </w:t>
      </w:r>
      <w:proofErr w:type="spellStart"/>
      <w:r w:rsidRPr="00F90B95">
        <w:t>ipilimumab</w:t>
      </w:r>
      <w:proofErr w:type="spellEnd"/>
      <w:r w:rsidRPr="00F90B95">
        <w:t xml:space="preserve">): Compared to </w:t>
      </w:r>
      <w:proofErr w:type="spellStart"/>
      <w:r w:rsidRPr="00F90B95">
        <w:t>nivolumab</w:t>
      </w:r>
      <w:proofErr w:type="spellEnd"/>
      <w:r w:rsidRPr="00F90B95">
        <w:t xml:space="preserve"> monotherapy, pembrolizumab was associated with fewer drug-related AEs (57.4% vs 70%) </w:t>
      </w:r>
      <w:r w:rsidR="00F7201F" w:rsidRPr="00F90B95">
        <w:t xml:space="preserve">and, </w:t>
      </w:r>
      <w:r w:rsidR="00324F53" w:rsidRPr="00F90B95">
        <w:t>drug related Grade ≥ </w:t>
      </w:r>
      <w:r w:rsidRPr="00F90B95">
        <w:t>3 AEs (14.8% vs 20%). The most frequently reported Grade &gt;</w:t>
      </w:r>
      <w:r w:rsidR="00723B48" w:rsidRPr="00F90B95">
        <w:t xml:space="preserve"> </w:t>
      </w:r>
      <w:r w:rsidRPr="00F90B95">
        <w:t xml:space="preserve">3 AEs for nivolumab monotherapy were increased lipase (8%) and amylase (2%) levels. The corresponding rates in KN164 were 4.9% and 1.6%, respectively. There were fewer drug-related discontinuations on pembrolizumab compared to nivolumab (1.6% vs 7%). Although more patients died on nivolumab (5% vs 1.6%), there were no drug-related deaths on either treatment. Compared to </w:t>
      </w:r>
      <w:proofErr w:type="spellStart"/>
      <w:r w:rsidRPr="00F90B95">
        <w:t>nivolumab</w:t>
      </w:r>
      <w:proofErr w:type="spellEnd"/>
      <w:r w:rsidRPr="00F90B95">
        <w:t xml:space="preserve"> +</w:t>
      </w:r>
      <w:proofErr w:type="spellStart"/>
      <w:r w:rsidRPr="00F90B95">
        <w:t>ipilimumab</w:t>
      </w:r>
      <w:proofErr w:type="spellEnd"/>
      <w:r w:rsidRPr="00F90B95">
        <w:t xml:space="preserve">, </w:t>
      </w:r>
      <w:proofErr w:type="spellStart"/>
      <w:r w:rsidRPr="00F90B95">
        <w:t>pembrolizumab</w:t>
      </w:r>
      <w:proofErr w:type="spellEnd"/>
      <w:r w:rsidRPr="00F90B95">
        <w:t xml:space="preserve"> was associated with fewer drug-related AEs, drug-related Grade ≥</w:t>
      </w:r>
      <w:r w:rsidR="00324F53" w:rsidRPr="00F90B95">
        <w:t> </w:t>
      </w:r>
      <w:r w:rsidRPr="00F90B95">
        <w:t xml:space="preserve">3 AEs, drug-related </w:t>
      </w:r>
      <w:r w:rsidR="007047D2" w:rsidRPr="00F90B95">
        <w:t xml:space="preserve">serious </w:t>
      </w:r>
      <w:r w:rsidRPr="00F90B95">
        <w:t>AEs and drug-related discontinuations</w:t>
      </w:r>
      <w:r w:rsidR="00E22DE5" w:rsidRPr="00F90B95">
        <w:t>.</w:t>
      </w:r>
    </w:p>
    <w:p w:rsidR="007F1017" w:rsidRPr="00F90B95" w:rsidRDefault="007F1017" w:rsidP="00662FCF">
      <w:pPr>
        <w:pStyle w:val="Heading2"/>
      </w:pPr>
      <w:bookmarkStart w:id="13" w:name="_Toc535588644"/>
      <w:r w:rsidRPr="00F90B95">
        <w:t>Benefits/harms</w:t>
      </w:r>
      <w:bookmarkEnd w:id="13"/>
    </w:p>
    <w:p w:rsidR="00FC32B9" w:rsidRPr="00F90B95" w:rsidRDefault="00E22DE5" w:rsidP="00662FCF">
      <w:pPr>
        <w:pStyle w:val="ListParagraph"/>
        <w:widowControl/>
        <w:numPr>
          <w:ilvl w:val="1"/>
          <w:numId w:val="7"/>
        </w:numPr>
        <w:spacing w:after="120"/>
      </w:pPr>
      <w:r w:rsidRPr="00F90B95">
        <w:rPr>
          <w:rFonts w:cs="Calibri"/>
          <w:snapToGrid/>
          <w:szCs w:val="24"/>
          <w:lang w:eastAsia="en-AU"/>
        </w:rPr>
        <w:t>The naïve indirect comparison presented in the submission did not allow for a quantitative comparison of the benefits and harms of pembrolizumab compared with the nominated comparators. Accordingly, a benefits/harms table has not been presented</w:t>
      </w:r>
      <w:r w:rsidRPr="00F90B95">
        <w:rPr>
          <w:rFonts w:cs="Calibri"/>
          <w:snapToGrid/>
          <w:color w:val="3366FF"/>
          <w:szCs w:val="24"/>
          <w:lang w:eastAsia="en-AU"/>
        </w:rPr>
        <w:t>.</w:t>
      </w:r>
    </w:p>
    <w:p w:rsidR="00B60939" w:rsidRPr="00F90B95" w:rsidRDefault="00B60939" w:rsidP="00662FCF">
      <w:pPr>
        <w:pStyle w:val="Heading2"/>
      </w:pPr>
      <w:bookmarkStart w:id="14" w:name="_Toc535588645"/>
      <w:r w:rsidRPr="00F90B95">
        <w:t>Clinical claim</w:t>
      </w:r>
      <w:bookmarkEnd w:id="14"/>
    </w:p>
    <w:p w:rsidR="00723B48" w:rsidRPr="00F90B95" w:rsidRDefault="00E22DE5" w:rsidP="00662FCF">
      <w:pPr>
        <w:pStyle w:val="ListParagraph"/>
        <w:widowControl/>
        <w:numPr>
          <w:ilvl w:val="1"/>
          <w:numId w:val="7"/>
        </w:numPr>
        <w:spacing w:after="120"/>
      </w:pPr>
      <w:r w:rsidRPr="00F90B95">
        <w:t>The submission described pembrolizumab as superior in terms of effectiveness compared with SOC and “better” in terms of safety compared to SOC</w:t>
      </w:r>
      <w:r w:rsidR="00723B48" w:rsidRPr="00F90B95">
        <w:t xml:space="preserve"> for the treatment of </w:t>
      </w:r>
      <w:proofErr w:type="spellStart"/>
      <w:r w:rsidR="00723B48" w:rsidRPr="00F90B95">
        <w:t>dMMR</w:t>
      </w:r>
      <w:proofErr w:type="spellEnd"/>
      <w:r w:rsidR="00723B48" w:rsidRPr="00F90B95">
        <w:t xml:space="preserve"> </w:t>
      </w:r>
      <w:proofErr w:type="spellStart"/>
      <w:r w:rsidR="00AC7B2D" w:rsidRPr="00F90B95">
        <w:t>m</w:t>
      </w:r>
      <w:r w:rsidR="00723B48" w:rsidRPr="00F90B95">
        <w:t>CRC</w:t>
      </w:r>
      <w:proofErr w:type="spellEnd"/>
      <w:r w:rsidR="00723B48" w:rsidRPr="00F90B95">
        <w:t xml:space="preserve"> in patients who have failed a previous line of therapy</w:t>
      </w:r>
      <w:r w:rsidR="007047D2" w:rsidRPr="00F90B95">
        <w:t>.</w:t>
      </w:r>
    </w:p>
    <w:p w:rsidR="00723B48" w:rsidRPr="00F90B95" w:rsidRDefault="00E22DE5" w:rsidP="00662FCF">
      <w:pPr>
        <w:pStyle w:val="ListParagraph"/>
        <w:widowControl/>
        <w:numPr>
          <w:ilvl w:val="1"/>
          <w:numId w:val="7"/>
        </w:numPr>
        <w:spacing w:after="120"/>
      </w:pPr>
      <w:r w:rsidRPr="00F90B95">
        <w:t xml:space="preserve">The clinical evidence presented </w:t>
      </w:r>
      <w:r w:rsidR="001A22E7" w:rsidRPr="00F90B95">
        <w:t xml:space="preserve">did not </w:t>
      </w:r>
      <w:r w:rsidRPr="00F90B95">
        <w:t>support the therapeutic conclusion</w:t>
      </w:r>
      <w:r w:rsidR="007047D2" w:rsidRPr="00F90B95">
        <w:t xml:space="preserve"> as:</w:t>
      </w:r>
    </w:p>
    <w:p w:rsidR="004E1C13" w:rsidRPr="00F90B95" w:rsidRDefault="001A22E7" w:rsidP="00662FCF">
      <w:pPr>
        <w:pStyle w:val="ListParagraph"/>
        <w:widowControl/>
        <w:numPr>
          <w:ilvl w:val="1"/>
          <w:numId w:val="10"/>
        </w:numPr>
        <w:spacing w:after="120"/>
        <w:ind w:left="1077" w:hanging="357"/>
      </w:pPr>
      <w:r w:rsidRPr="00F90B95">
        <w:t xml:space="preserve">No direct comparative data </w:t>
      </w:r>
      <w:r w:rsidR="00FC32B9" w:rsidRPr="00F90B95">
        <w:t xml:space="preserve">were </w:t>
      </w:r>
      <w:r w:rsidRPr="00F90B95">
        <w:t xml:space="preserve">presented. </w:t>
      </w:r>
      <w:r w:rsidR="00723B48" w:rsidRPr="00F90B95">
        <w:t xml:space="preserve">The key clinical evidence for pembrolizumab was </w:t>
      </w:r>
      <w:r w:rsidR="007C387F" w:rsidRPr="00F90B95">
        <w:t>from a small</w:t>
      </w:r>
      <w:r w:rsidR="00496335" w:rsidRPr="00F90B95">
        <w:t xml:space="preserve"> single-</w:t>
      </w:r>
      <w:r w:rsidR="00723B48" w:rsidRPr="00F90B95">
        <w:t>arm study</w:t>
      </w:r>
      <w:r w:rsidR="00A47BA3" w:rsidRPr="00F90B95">
        <w:t xml:space="preserve"> (KN164)</w:t>
      </w:r>
      <w:r w:rsidR="00723B48" w:rsidRPr="00F90B95">
        <w:t xml:space="preserve"> of</w:t>
      </w:r>
      <w:r w:rsidR="00723B48" w:rsidRPr="00F90B95">
        <w:rPr>
          <w:szCs w:val="24"/>
        </w:rPr>
        <w:t xml:space="preserve"> 61 patients</w:t>
      </w:r>
      <w:r w:rsidR="00496335" w:rsidRPr="00F90B95">
        <w:rPr>
          <w:szCs w:val="24"/>
        </w:rPr>
        <w:t>.</w:t>
      </w:r>
    </w:p>
    <w:p w:rsidR="00E22DE5" w:rsidRPr="00F90B95" w:rsidRDefault="005F544C" w:rsidP="00662FCF">
      <w:pPr>
        <w:pStyle w:val="ListParagraph"/>
        <w:widowControl/>
        <w:numPr>
          <w:ilvl w:val="1"/>
          <w:numId w:val="10"/>
        </w:numPr>
        <w:spacing w:after="120"/>
        <w:ind w:left="1134" w:hanging="425"/>
      </w:pPr>
      <w:r w:rsidRPr="00F90B95">
        <w:rPr>
          <w:szCs w:val="24"/>
        </w:rPr>
        <w:t>T</w:t>
      </w:r>
      <w:r w:rsidR="00723B48" w:rsidRPr="00F90B95">
        <w:rPr>
          <w:szCs w:val="24"/>
        </w:rPr>
        <w:t xml:space="preserve">he primary analysis of effectiveness was </w:t>
      </w:r>
      <w:r w:rsidR="004E1C13" w:rsidRPr="00F90B95">
        <w:rPr>
          <w:szCs w:val="24"/>
        </w:rPr>
        <w:t>objective response rate (ORR). This was a summation of patients who had achieved a complete response and a partial response. At a median follow up of 13.2 months, no patients in KN164 had achieved a complete response and 27.9% had achieved a partial response. 45.9% of patients had progressed</w:t>
      </w:r>
      <w:r w:rsidR="00ED7DDA" w:rsidRPr="00F90B95">
        <w:rPr>
          <w:szCs w:val="24"/>
        </w:rPr>
        <w:t>.</w:t>
      </w:r>
    </w:p>
    <w:p w:rsidR="00133E97" w:rsidRPr="00F90B95" w:rsidRDefault="00A47BA3" w:rsidP="00662FCF">
      <w:pPr>
        <w:pStyle w:val="ListParagraph"/>
        <w:widowControl/>
        <w:numPr>
          <w:ilvl w:val="1"/>
          <w:numId w:val="11"/>
        </w:numPr>
        <w:spacing w:after="120"/>
        <w:ind w:left="1077" w:hanging="357"/>
      </w:pPr>
      <w:r w:rsidRPr="00F90B95">
        <w:t xml:space="preserve">The study population did not match the proposed PBS population, which was for patients who have failed at least one prior therapy. KN164 provided limited evidence for pembrolizumab as a second-line therapy, with approximately 10% of the </w:t>
      </w:r>
      <w:r w:rsidR="00FC32B9" w:rsidRPr="00F90B95">
        <w:t xml:space="preserve">study </w:t>
      </w:r>
      <w:r w:rsidRPr="00F90B95">
        <w:t xml:space="preserve">population having received only one prior line of therapy at baseline; </w:t>
      </w:r>
      <w:r w:rsidRPr="00F90B95">
        <w:lastRenderedPageBreak/>
        <w:t>90% had failed two or more previous lines of therapy.</w:t>
      </w:r>
      <w:r w:rsidR="002E10CF" w:rsidRPr="00F90B95">
        <w:t xml:space="preserve"> </w:t>
      </w:r>
      <w:r w:rsidR="00E22DE5" w:rsidRPr="00F90B95">
        <w:t xml:space="preserve">The </w:t>
      </w:r>
      <w:r w:rsidR="00F7201F" w:rsidRPr="00F90B95">
        <w:t xml:space="preserve">results of the </w:t>
      </w:r>
      <w:r w:rsidR="00E22DE5" w:rsidRPr="00F90B95">
        <w:t xml:space="preserve">naïve </w:t>
      </w:r>
      <w:r w:rsidR="00F7201F" w:rsidRPr="00F90B95">
        <w:t xml:space="preserve">indirect </w:t>
      </w:r>
      <w:r w:rsidR="00E22DE5" w:rsidRPr="00F90B95">
        <w:t xml:space="preserve">comparisons between </w:t>
      </w:r>
      <w:r w:rsidR="00F7201F" w:rsidRPr="00F90B95">
        <w:t xml:space="preserve">the </w:t>
      </w:r>
      <w:r w:rsidR="00E22DE5" w:rsidRPr="00F90B95">
        <w:t xml:space="preserve">pembrolizumab and </w:t>
      </w:r>
      <w:r w:rsidR="004354DD" w:rsidRPr="00F90B95">
        <w:t xml:space="preserve">the </w:t>
      </w:r>
      <w:r w:rsidR="00E22DE5" w:rsidRPr="00F90B95">
        <w:t xml:space="preserve">comparator studies were highly uncertain. </w:t>
      </w:r>
      <w:r w:rsidR="004354DD" w:rsidRPr="00F90B95">
        <w:t>The lack of a common comparator meant that there could be no quantitative assessment of the comparative benefits and harms of pembrolizumab. In addition, t</w:t>
      </w:r>
      <w:r w:rsidR="00E22DE5" w:rsidRPr="00F90B95">
        <w:t>here was extensive heterogeneity among the comparator studies in terms of baseline demographic and disease characteristics, treatment dosing regimens administered, durations of fol</w:t>
      </w:r>
      <w:r w:rsidR="007047D2" w:rsidRPr="00F90B95">
        <w:t>low-up, and treatment outcomes.</w:t>
      </w:r>
      <w:r w:rsidR="00BA7625" w:rsidRPr="00F90B95">
        <w:t xml:space="preserve"> </w:t>
      </w:r>
      <w:r w:rsidR="001C442A" w:rsidRPr="00F90B95">
        <w:t xml:space="preserve">There were no data provided from KN164 specifically for </w:t>
      </w:r>
      <w:proofErr w:type="spellStart"/>
      <w:r w:rsidR="001C442A" w:rsidRPr="00F90B95">
        <w:t>dMMR</w:t>
      </w:r>
      <w:proofErr w:type="spellEnd"/>
      <w:r w:rsidR="001C442A" w:rsidRPr="00F90B95">
        <w:t xml:space="preserve"> patients</w:t>
      </w:r>
      <w:r w:rsidR="004354DD" w:rsidRPr="00F90B95">
        <w:t xml:space="preserve"> as</w:t>
      </w:r>
      <w:r w:rsidR="001C442A" w:rsidRPr="00F90B95">
        <w:t xml:space="preserve"> </w:t>
      </w:r>
      <w:r w:rsidR="00E22DE5" w:rsidRPr="00F90B95">
        <w:t xml:space="preserve">MSI-H status (as determined by PCR) was an </w:t>
      </w:r>
      <w:r w:rsidR="001C442A" w:rsidRPr="00F90B95">
        <w:t xml:space="preserve">optional </w:t>
      </w:r>
      <w:r w:rsidR="00E22DE5" w:rsidRPr="00F90B95">
        <w:t>inclusion criterion for enrolment into KN164</w:t>
      </w:r>
      <w:r w:rsidR="007C387F" w:rsidRPr="00F90B95">
        <w:t>; h</w:t>
      </w:r>
      <w:r w:rsidR="00E22DE5" w:rsidRPr="00F90B95">
        <w:t xml:space="preserve">owever, testing for MSI-H is not routine clinical practice in Australia. It </w:t>
      </w:r>
      <w:r w:rsidR="007C387F" w:rsidRPr="00F90B95">
        <w:t>was</w:t>
      </w:r>
      <w:r w:rsidR="00E22DE5" w:rsidRPr="00F90B95">
        <w:t xml:space="preserve"> unclear whether the results observed in KN164 would be replicated in practice </w:t>
      </w:r>
      <w:r w:rsidR="00F7201F" w:rsidRPr="00F90B95">
        <w:t xml:space="preserve">where patient selection would be </w:t>
      </w:r>
      <w:r w:rsidR="00E22DE5" w:rsidRPr="00F90B95">
        <w:t xml:space="preserve">based principally on </w:t>
      </w:r>
      <w:proofErr w:type="spellStart"/>
      <w:r w:rsidR="00E22DE5" w:rsidRPr="00F90B95">
        <w:t>dMMR</w:t>
      </w:r>
      <w:proofErr w:type="spellEnd"/>
      <w:r w:rsidR="00E22DE5" w:rsidRPr="00F90B95">
        <w:t xml:space="preserve"> status.</w:t>
      </w:r>
    </w:p>
    <w:p w:rsidR="00A84328" w:rsidRPr="00F90B95" w:rsidRDefault="00A84328" w:rsidP="00662FCF">
      <w:pPr>
        <w:pStyle w:val="ListParagraph"/>
        <w:widowControl/>
        <w:numPr>
          <w:ilvl w:val="1"/>
          <w:numId w:val="7"/>
        </w:numPr>
        <w:spacing w:after="120"/>
        <w:rPr>
          <w:rFonts w:asciiTheme="minorHAnsi" w:hAnsiTheme="minorHAnsi"/>
          <w:szCs w:val="20"/>
        </w:rPr>
      </w:pPr>
      <w:r w:rsidRPr="00F90B95">
        <w:rPr>
          <w:rFonts w:asciiTheme="minorHAnsi" w:hAnsiTheme="minorHAnsi"/>
          <w:szCs w:val="20"/>
        </w:rPr>
        <w:t xml:space="preserve">The PBAC considered that the claim of superior comparative effectiveness was not supported by the </w:t>
      </w:r>
      <w:r w:rsidR="00B518AA" w:rsidRPr="00F90B95">
        <w:rPr>
          <w:rFonts w:asciiTheme="minorHAnsi" w:hAnsiTheme="minorHAnsi"/>
          <w:szCs w:val="20"/>
        </w:rPr>
        <w:t>indirect comparisons</w:t>
      </w:r>
      <w:r w:rsidRPr="00F90B95">
        <w:rPr>
          <w:rFonts w:asciiTheme="minorHAnsi" w:hAnsiTheme="minorHAnsi"/>
          <w:szCs w:val="20"/>
        </w:rPr>
        <w:t>.</w:t>
      </w:r>
    </w:p>
    <w:p w:rsidR="00A84328" w:rsidRPr="00F90B95" w:rsidRDefault="00A84328" w:rsidP="00662FCF">
      <w:pPr>
        <w:pStyle w:val="ListParagraph"/>
        <w:widowControl/>
        <w:numPr>
          <w:ilvl w:val="1"/>
          <w:numId w:val="7"/>
        </w:numPr>
        <w:spacing w:after="120"/>
        <w:rPr>
          <w:rFonts w:asciiTheme="minorHAnsi" w:hAnsiTheme="minorHAnsi"/>
          <w:szCs w:val="20"/>
        </w:rPr>
      </w:pPr>
      <w:r w:rsidRPr="00F90B95">
        <w:rPr>
          <w:rFonts w:asciiTheme="minorHAnsi" w:hAnsiTheme="minorHAnsi"/>
          <w:szCs w:val="20"/>
        </w:rPr>
        <w:t xml:space="preserve">The PBAC considered that the claim of superior comparative safety was not supported by the </w:t>
      </w:r>
      <w:r w:rsidR="00B518AA" w:rsidRPr="00F90B95">
        <w:rPr>
          <w:rFonts w:asciiTheme="minorHAnsi" w:hAnsiTheme="minorHAnsi"/>
          <w:szCs w:val="20"/>
        </w:rPr>
        <w:t>indirect comparisons</w:t>
      </w:r>
      <w:r w:rsidRPr="00F90B95">
        <w:rPr>
          <w:rFonts w:asciiTheme="minorHAnsi" w:hAnsiTheme="minorHAnsi"/>
          <w:szCs w:val="20"/>
        </w:rPr>
        <w:t>.</w:t>
      </w:r>
    </w:p>
    <w:p w:rsidR="00A84328" w:rsidRPr="00F90B95" w:rsidRDefault="00A84328" w:rsidP="00662FCF">
      <w:pPr>
        <w:pStyle w:val="Heading2"/>
      </w:pPr>
      <w:bookmarkStart w:id="15" w:name="_Toc535588646"/>
      <w:r w:rsidRPr="00F90B95">
        <w:t>Economic analysis</w:t>
      </w:r>
      <w:bookmarkEnd w:id="15"/>
    </w:p>
    <w:p w:rsidR="00F708FB" w:rsidRPr="00F90B95" w:rsidRDefault="001D0FE3" w:rsidP="00662FCF">
      <w:pPr>
        <w:pStyle w:val="ListParagraph"/>
        <w:widowControl/>
        <w:numPr>
          <w:ilvl w:val="1"/>
          <w:numId w:val="7"/>
        </w:numPr>
        <w:spacing w:after="120"/>
      </w:pPr>
      <w:r w:rsidRPr="00F90B95">
        <w:rPr>
          <w:rFonts w:cs="Calibri"/>
          <w:snapToGrid/>
          <w:szCs w:val="24"/>
          <w:lang w:eastAsia="en-AU"/>
        </w:rPr>
        <w:t>The submission presented an economic evaluation based on a c</w:t>
      </w:r>
      <w:r w:rsidR="00F708FB" w:rsidRPr="00F90B95">
        <w:rPr>
          <w:rFonts w:cs="Calibri"/>
          <w:snapToGrid/>
          <w:szCs w:val="24"/>
          <w:lang w:eastAsia="en-AU"/>
        </w:rPr>
        <w:t xml:space="preserve">omparison of a non-randomised study </w:t>
      </w:r>
      <w:r w:rsidR="001E7E28" w:rsidRPr="00F90B95">
        <w:rPr>
          <w:rFonts w:cs="Calibri"/>
          <w:snapToGrid/>
          <w:szCs w:val="24"/>
          <w:lang w:eastAsia="en-AU"/>
        </w:rPr>
        <w:t xml:space="preserve">(KN164 for the pembrolizumab arm) </w:t>
      </w:r>
      <w:r w:rsidR="00F708FB" w:rsidRPr="00F90B95">
        <w:rPr>
          <w:rFonts w:cs="Calibri"/>
          <w:snapToGrid/>
          <w:szCs w:val="24"/>
          <w:lang w:eastAsia="en-AU"/>
        </w:rPr>
        <w:t>and a subset of registry data</w:t>
      </w:r>
      <w:r w:rsidR="001E7E28" w:rsidRPr="00F90B95">
        <w:rPr>
          <w:rFonts w:cs="Calibri"/>
          <w:snapToGrid/>
          <w:szCs w:val="24"/>
          <w:lang w:eastAsia="en-AU"/>
        </w:rPr>
        <w:t xml:space="preserve"> (for the comparator arm)</w:t>
      </w:r>
      <w:r w:rsidR="00F708FB" w:rsidRPr="00F90B95">
        <w:rPr>
          <w:rFonts w:cs="Calibri"/>
          <w:snapToGrid/>
          <w:szCs w:val="24"/>
          <w:lang w:eastAsia="en-AU"/>
        </w:rPr>
        <w:t>. The type of economic evaluation present</w:t>
      </w:r>
      <w:r w:rsidR="00F7201F" w:rsidRPr="00F90B95">
        <w:rPr>
          <w:rFonts w:cs="Calibri"/>
          <w:snapToGrid/>
          <w:szCs w:val="24"/>
          <w:lang w:eastAsia="en-AU"/>
        </w:rPr>
        <w:t>ed</w:t>
      </w:r>
      <w:r w:rsidR="007047D2" w:rsidRPr="00F90B95">
        <w:rPr>
          <w:rFonts w:cs="Calibri"/>
          <w:snapToGrid/>
          <w:szCs w:val="24"/>
          <w:lang w:eastAsia="en-AU"/>
        </w:rPr>
        <w:t xml:space="preserve"> was a cost-utility analysis.</w:t>
      </w:r>
    </w:p>
    <w:p w:rsidR="00F708FB" w:rsidRPr="00F90B95" w:rsidRDefault="00F708FB" w:rsidP="00662FCF">
      <w:pPr>
        <w:pStyle w:val="ListParagraph"/>
        <w:widowControl/>
        <w:numPr>
          <w:ilvl w:val="1"/>
          <w:numId w:val="7"/>
        </w:numPr>
        <w:spacing w:after="120"/>
      </w:pPr>
      <w:r w:rsidRPr="00F90B95">
        <w:rPr>
          <w:rFonts w:cs="Calibri"/>
          <w:snapToGrid/>
          <w:szCs w:val="24"/>
          <w:lang w:eastAsia="en-AU"/>
        </w:rPr>
        <w:t xml:space="preserve">The submission nominated a mixed comparator of FOLFIRI </w:t>
      </w:r>
      <w:r w:rsidRPr="00F90B95">
        <w:rPr>
          <w:rFonts w:cs="Calibri"/>
          <w:snapToGrid/>
          <w:szCs w:val="24"/>
          <w:lang w:eastAsia="en-AU"/>
        </w:rPr>
        <w:sym w:font="Symbol" w:char="F0B1"/>
      </w:r>
      <w:r w:rsidRPr="00F90B95">
        <w:rPr>
          <w:rFonts w:cs="Calibri"/>
          <w:snapToGrid/>
          <w:szCs w:val="24"/>
          <w:lang w:eastAsia="en-AU"/>
        </w:rPr>
        <w:t xml:space="preserve"> bevacizumab or </w:t>
      </w:r>
      <w:proofErr w:type="spellStart"/>
      <w:r w:rsidRPr="00F90B95">
        <w:rPr>
          <w:rFonts w:cs="Calibri"/>
          <w:snapToGrid/>
          <w:szCs w:val="24"/>
          <w:lang w:eastAsia="en-AU"/>
        </w:rPr>
        <w:t>cetuximab</w:t>
      </w:r>
      <w:proofErr w:type="spellEnd"/>
      <w:r w:rsidRPr="00F90B95">
        <w:rPr>
          <w:rFonts w:cs="Calibri"/>
          <w:snapToGrid/>
          <w:szCs w:val="24"/>
          <w:lang w:eastAsia="en-AU"/>
        </w:rPr>
        <w:t>. The submission assumed that 65% of patients w</w:t>
      </w:r>
      <w:r w:rsidR="001E7E28" w:rsidRPr="00F90B95">
        <w:rPr>
          <w:rFonts w:cs="Calibri"/>
          <w:snapToGrid/>
          <w:szCs w:val="24"/>
          <w:lang w:eastAsia="en-AU"/>
        </w:rPr>
        <w:t>ould</w:t>
      </w:r>
      <w:r w:rsidRPr="00F90B95">
        <w:rPr>
          <w:rFonts w:cs="Calibri"/>
          <w:snapToGrid/>
          <w:szCs w:val="24"/>
          <w:lang w:eastAsia="en-AU"/>
        </w:rPr>
        <w:t xml:space="preserve"> receive FOLFIRI monotherapy, 25% FOLFIRI + </w:t>
      </w:r>
      <w:proofErr w:type="spellStart"/>
      <w:r w:rsidRPr="00F90B95">
        <w:rPr>
          <w:rFonts w:cs="Calibri"/>
          <w:snapToGrid/>
          <w:szCs w:val="24"/>
          <w:lang w:eastAsia="en-AU"/>
        </w:rPr>
        <w:t>cetuximab</w:t>
      </w:r>
      <w:proofErr w:type="spellEnd"/>
      <w:r w:rsidRPr="00F90B95">
        <w:rPr>
          <w:rFonts w:cs="Calibri"/>
          <w:snapToGrid/>
          <w:szCs w:val="24"/>
          <w:lang w:eastAsia="en-AU"/>
        </w:rPr>
        <w:t xml:space="preserve"> and 10% FOLFIRI + bevacizumab. For ease of reference, this </w:t>
      </w:r>
      <w:r w:rsidR="00B434AB" w:rsidRPr="00F90B95">
        <w:rPr>
          <w:rFonts w:cs="Calibri"/>
          <w:snapToGrid/>
          <w:szCs w:val="24"/>
          <w:lang w:eastAsia="en-AU"/>
        </w:rPr>
        <w:t>wa</w:t>
      </w:r>
      <w:r w:rsidRPr="00F90B95">
        <w:rPr>
          <w:rFonts w:cs="Calibri"/>
          <w:snapToGrid/>
          <w:szCs w:val="24"/>
          <w:lang w:eastAsia="en-AU"/>
        </w:rPr>
        <w:t xml:space="preserve">s referred to as the </w:t>
      </w:r>
      <w:r w:rsidR="005E19C9" w:rsidRPr="00F90B95">
        <w:rPr>
          <w:rFonts w:cs="Calibri"/>
          <w:snapToGrid/>
          <w:szCs w:val="24"/>
          <w:lang w:eastAsia="en-AU"/>
        </w:rPr>
        <w:t>s</w:t>
      </w:r>
      <w:r w:rsidRPr="00F90B95">
        <w:rPr>
          <w:rFonts w:cs="Calibri"/>
          <w:snapToGrid/>
          <w:szCs w:val="24"/>
          <w:lang w:eastAsia="en-AU"/>
        </w:rPr>
        <w:t xml:space="preserve">tandard of </w:t>
      </w:r>
      <w:r w:rsidR="005E19C9" w:rsidRPr="00F90B95">
        <w:rPr>
          <w:rFonts w:cs="Calibri"/>
          <w:snapToGrid/>
          <w:szCs w:val="24"/>
          <w:lang w:eastAsia="en-AU"/>
        </w:rPr>
        <w:t>c</w:t>
      </w:r>
      <w:r w:rsidR="007047D2" w:rsidRPr="00F90B95">
        <w:rPr>
          <w:rFonts w:cs="Calibri"/>
          <w:snapToGrid/>
          <w:szCs w:val="24"/>
          <w:lang w:eastAsia="en-AU"/>
        </w:rPr>
        <w:t>are (SOC) arm.</w:t>
      </w:r>
    </w:p>
    <w:p w:rsidR="00F708FB" w:rsidRPr="00F90B95" w:rsidRDefault="00F708FB" w:rsidP="00662FCF">
      <w:pPr>
        <w:pStyle w:val="ListParagraph"/>
        <w:widowControl/>
        <w:numPr>
          <w:ilvl w:val="1"/>
          <w:numId w:val="7"/>
        </w:numPr>
        <w:spacing w:after="120"/>
      </w:pPr>
      <w:r w:rsidRPr="00F90B95">
        <w:rPr>
          <w:rFonts w:cs="Calibri"/>
          <w:snapToGrid/>
          <w:szCs w:val="24"/>
          <w:lang w:eastAsia="en-AU"/>
        </w:rPr>
        <w:t xml:space="preserve">A summary of the model structure and rationale is </w:t>
      </w:r>
      <w:r w:rsidR="001E7E28" w:rsidRPr="00F90B95">
        <w:rPr>
          <w:rFonts w:cs="Calibri"/>
          <w:snapToGrid/>
          <w:szCs w:val="24"/>
          <w:lang w:eastAsia="en-AU"/>
        </w:rPr>
        <w:t xml:space="preserve">presented </w:t>
      </w:r>
      <w:r w:rsidRPr="00F90B95">
        <w:rPr>
          <w:rFonts w:cs="Calibri"/>
          <w:snapToGrid/>
          <w:szCs w:val="24"/>
          <w:lang w:eastAsia="en-AU"/>
        </w:rPr>
        <w:t xml:space="preserve">in </w:t>
      </w:r>
      <w:r w:rsidR="003576F4" w:rsidRPr="00F90B95">
        <w:rPr>
          <w:rFonts w:cs="Calibri"/>
          <w:snapToGrid/>
          <w:szCs w:val="24"/>
          <w:lang w:eastAsia="en-AU"/>
        </w:rPr>
        <w:t>Table 9</w:t>
      </w:r>
      <w:r w:rsidRPr="00F90B95">
        <w:rPr>
          <w:rFonts w:cs="Calibri"/>
          <w:snapToGrid/>
          <w:szCs w:val="24"/>
          <w:lang w:eastAsia="en-AU"/>
        </w:rPr>
        <w:t>.</w:t>
      </w:r>
    </w:p>
    <w:p w:rsidR="005D012F" w:rsidRPr="00F90B95" w:rsidRDefault="00F708FB" w:rsidP="003576F4">
      <w:pPr>
        <w:pStyle w:val="Caption"/>
        <w:keepNext/>
      </w:pPr>
      <w:bookmarkStart w:id="16" w:name="_Ref531364245"/>
      <w:r w:rsidRPr="00F90B95">
        <w:lastRenderedPageBreak/>
        <w:t xml:space="preserve">Table </w:t>
      </w:r>
      <w:bookmarkEnd w:id="16"/>
      <w:r w:rsidR="003576F4" w:rsidRPr="00F90B95">
        <w:t>9</w:t>
      </w:r>
      <w:r w:rsidRPr="00F90B95">
        <w:t xml:space="preserve">: </w:t>
      </w:r>
      <w:r w:rsidRPr="00F90B95">
        <w:rPr>
          <w:rStyle w:val="CommentReference"/>
          <w:b/>
          <w:szCs w:val="18"/>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2546"/>
        <w:gridCol w:w="6471"/>
      </w:tblGrid>
      <w:tr w:rsidR="00F708FB" w:rsidRPr="00F90B95" w:rsidTr="00F708FB">
        <w:tc>
          <w:tcPr>
            <w:tcW w:w="1412" w:type="pct"/>
            <w:vAlign w:val="center"/>
          </w:tcPr>
          <w:p w:rsidR="00F708FB" w:rsidRPr="00F90B95" w:rsidRDefault="00F708FB" w:rsidP="003576F4">
            <w:pPr>
              <w:pStyle w:val="Tabletext"/>
              <w:keepNext/>
              <w:rPr>
                <w:b/>
              </w:rPr>
            </w:pPr>
            <w:r w:rsidRPr="00F90B95">
              <w:rPr>
                <w:b/>
              </w:rPr>
              <w:t>Component</w:t>
            </w:r>
          </w:p>
        </w:tc>
        <w:tc>
          <w:tcPr>
            <w:tcW w:w="3588" w:type="pct"/>
          </w:tcPr>
          <w:p w:rsidR="00F708FB" w:rsidRPr="00F90B95" w:rsidRDefault="00F708FB" w:rsidP="003576F4">
            <w:pPr>
              <w:pStyle w:val="Tabletext"/>
              <w:keepNext/>
              <w:jc w:val="center"/>
              <w:rPr>
                <w:b/>
              </w:rPr>
            </w:pPr>
            <w:r w:rsidRPr="00F90B95">
              <w:rPr>
                <w:b/>
              </w:rPr>
              <w:t>Description</w:t>
            </w:r>
          </w:p>
        </w:tc>
      </w:tr>
      <w:tr w:rsidR="00F708FB" w:rsidRPr="00F90B95" w:rsidTr="00F708FB">
        <w:tc>
          <w:tcPr>
            <w:tcW w:w="1412" w:type="pct"/>
          </w:tcPr>
          <w:p w:rsidR="00F708FB" w:rsidRPr="00F90B95" w:rsidRDefault="00F708FB" w:rsidP="003576F4">
            <w:pPr>
              <w:pStyle w:val="Tabletext"/>
              <w:keepNext/>
            </w:pPr>
            <w:r w:rsidRPr="00F90B95">
              <w:t>Type of analysis</w:t>
            </w:r>
          </w:p>
        </w:tc>
        <w:tc>
          <w:tcPr>
            <w:tcW w:w="3588" w:type="pct"/>
          </w:tcPr>
          <w:p w:rsidR="00F708FB" w:rsidRPr="00F90B95" w:rsidRDefault="00B434AB" w:rsidP="003576F4">
            <w:pPr>
              <w:pStyle w:val="Tabletext"/>
              <w:keepNext/>
            </w:pPr>
            <w:r w:rsidRPr="00F90B95">
              <w:t>Cost-</w:t>
            </w:r>
            <w:r w:rsidR="00F708FB" w:rsidRPr="00F90B95">
              <w:t>utility analysis</w:t>
            </w:r>
          </w:p>
        </w:tc>
      </w:tr>
      <w:tr w:rsidR="00F708FB" w:rsidRPr="00F90B95" w:rsidTr="00F708FB">
        <w:tc>
          <w:tcPr>
            <w:tcW w:w="1412" w:type="pct"/>
          </w:tcPr>
          <w:p w:rsidR="00F708FB" w:rsidRPr="00F90B95" w:rsidRDefault="00F708FB" w:rsidP="003576F4">
            <w:pPr>
              <w:pStyle w:val="Tabletext"/>
              <w:keepNext/>
            </w:pPr>
            <w:r w:rsidRPr="00F90B95">
              <w:t>Outcomes</w:t>
            </w:r>
          </w:p>
        </w:tc>
        <w:tc>
          <w:tcPr>
            <w:tcW w:w="3588" w:type="pct"/>
          </w:tcPr>
          <w:p w:rsidR="00F708FB" w:rsidRPr="00F90B95" w:rsidRDefault="00F708FB" w:rsidP="003576F4">
            <w:pPr>
              <w:pStyle w:val="TableText0"/>
              <w:keepNext/>
            </w:pPr>
            <w:r w:rsidRPr="00F90B95">
              <w:t xml:space="preserve">Cost per </w:t>
            </w:r>
            <w:r w:rsidR="00B434AB" w:rsidRPr="00F90B95">
              <w:t>quality adjusted life y</w:t>
            </w:r>
            <w:r w:rsidRPr="00F90B95">
              <w:t>ear (QALY) gained</w:t>
            </w:r>
          </w:p>
          <w:p w:rsidR="00F708FB" w:rsidRPr="00F90B95" w:rsidRDefault="00F708FB" w:rsidP="00B434AB">
            <w:pPr>
              <w:pStyle w:val="Tabletext"/>
              <w:keepNext/>
            </w:pPr>
            <w:r w:rsidRPr="00F90B95">
              <w:t xml:space="preserve">Cost per </w:t>
            </w:r>
            <w:r w:rsidR="00B434AB" w:rsidRPr="00F90B95">
              <w:t>l</w:t>
            </w:r>
            <w:r w:rsidRPr="00F90B95">
              <w:t xml:space="preserve">ife </w:t>
            </w:r>
            <w:r w:rsidR="00B434AB" w:rsidRPr="00F90B95">
              <w:t>y</w:t>
            </w:r>
            <w:r w:rsidRPr="00F90B95">
              <w:t>ear (LY) gained</w:t>
            </w:r>
          </w:p>
        </w:tc>
      </w:tr>
      <w:tr w:rsidR="00F708FB" w:rsidRPr="00F90B95" w:rsidTr="00F708FB">
        <w:tc>
          <w:tcPr>
            <w:tcW w:w="1412" w:type="pct"/>
          </w:tcPr>
          <w:p w:rsidR="00F708FB" w:rsidRPr="00F90B95" w:rsidRDefault="00F708FB" w:rsidP="003576F4">
            <w:pPr>
              <w:pStyle w:val="Tabletext"/>
              <w:keepNext/>
            </w:pPr>
            <w:r w:rsidRPr="00F90B95">
              <w:t>Time horizon</w:t>
            </w:r>
          </w:p>
        </w:tc>
        <w:tc>
          <w:tcPr>
            <w:tcW w:w="3588" w:type="pct"/>
          </w:tcPr>
          <w:p w:rsidR="00F708FB" w:rsidRPr="00F90B95" w:rsidRDefault="00F708FB" w:rsidP="003576F4">
            <w:pPr>
              <w:pStyle w:val="TableText0"/>
              <w:keepNext/>
            </w:pPr>
            <w:r w:rsidRPr="00F90B95">
              <w:t>Five years in the base case, with a range of 0-15 years for sensitivity analysis.</w:t>
            </w:r>
          </w:p>
          <w:p w:rsidR="00F708FB" w:rsidRPr="00F90B95" w:rsidRDefault="00F708FB" w:rsidP="003576F4">
            <w:pPr>
              <w:pStyle w:val="Tabletext"/>
              <w:keepNext/>
            </w:pPr>
            <w:r w:rsidRPr="00F90B95">
              <w:t>Median follow-up of 57 weeks in KN164.</w:t>
            </w:r>
          </w:p>
        </w:tc>
      </w:tr>
      <w:tr w:rsidR="00F708FB" w:rsidRPr="00F90B95" w:rsidTr="00F708FB">
        <w:tc>
          <w:tcPr>
            <w:tcW w:w="1412" w:type="pct"/>
          </w:tcPr>
          <w:p w:rsidR="00F708FB" w:rsidRPr="00F90B95" w:rsidRDefault="00F708FB" w:rsidP="003576F4">
            <w:pPr>
              <w:pStyle w:val="Tabletext"/>
              <w:keepNext/>
            </w:pPr>
            <w:r w:rsidRPr="00F90B95">
              <w:t>Method used to generate results</w:t>
            </w:r>
          </w:p>
        </w:tc>
        <w:tc>
          <w:tcPr>
            <w:tcW w:w="3588" w:type="pct"/>
          </w:tcPr>
          <w:p w:rsidR="00F708FB" w:rsidRPr="00F90B95" w:rsidRDefault="00F708FB" w:rsidP="003576F4">
            <w:pPr>
              <w:pStyle w:val="Tabletext"/>
              <w:keepNext/>
            </w:pPr>
            <w:r w:rsidRPr="00F90B95">
              <w:t>Partitioned survival analysis</w:t>
            </w:r>
          </w:p>
        </w:tc>
      </w:tr>
      <w:tr w:rsidR="00F708FB" w:rsidRPr="00F90B95" w:rsidTr="00F708FB">
        <w:tc>
          <w:tcPr>
            <w:tcW w:w="1412" w:type="pct"/>
          </w:tcPr>
          <w:p w:rsidR="00F708FB" w:rsidRPr="00F90B95" w:rsidRDefault="00F708FB" w:rsidP="003576F4">
            <w:pPr>
              <w:pStyle w:val="Tabletext"/>
              <w:keepNext/>
            </w:pPr>
            <w:r w:rsidRPr="00F90B95">
              <w:t>Health states</w:t>
            </w:r>
          </w:p>
        </w:tc>
        <w:tc>
          <w:tcPr>
            <w:tcW w:w="3588" w:type="pct"/>
          </w:tcPr>
          <w:p w:rsidR="00F708FB" w:rsidRPr="00F90B95" w:rsidRDefault="00F708FB" w:rsidP="003576F4">
            <w:pPr>
              <w:pStyle w:val="TableText0"/>
              <w:keepNext/>
              <w:spacing w:before="0" w:after="0"/>
            </w:pPr>
            <w:r w:rsidRPr="00F90B95">
              <w:t>Pre-progression</w:t>
            </w:r>
          </w:p>
          <w:p w:rsidR="00F708FB" w:rsidRPr="00F90B95" w:rsidRDefault="00F708FB" w:rsidP="003576F4">
            <w:pPr>
              <w:pStyle w:val="TableText0"/>
              <w:keepNext/>
              <w:spacing w:before="0" w:after="0"/>
            </w:pPr>
            <w:r w:rsidRPr="00F90B95">
              <w:t>Post-progression</w:t>
            </w:r>
          </w:p>
          <w:p w:rsidR="00F708FB" w:rsidRPr="00F90B95" w:rsidRDefault="00F708FB" w:rsidP="003576F4">
            <w:pPr>
              <w:pStyle w:val="Tabletext"/>
              <w:keepNext/>
            </w:pPr>
            <w:r w:rsidRPr="00F90B95">
              <w:t>Dead</w:t>
            </w:r>
          </w:p>
        </w:tc>
      </w:tr>
      <w:tr w:rsidR="00F708FB" w:rsidRPr="00F90B95" w:rsidTr="00F708FB">
        <w:tc>
          <w:tcPr>
            <w:tcW w:w="1412" w:type="pct"/>
          </w:tcPr>
          <w:p w:rsidR="00F708FB" w:rsidRPr="00F90B95" w:rsidRDefault="00F708FB" w:rsidP="003576F4">
            <w:pPr>
              <w:pStyle w:val="Tabletext"/>
              <w:keepNext/>
            </w:pPr>
            <w:r w:rsidRPr="00F90B95">
              <w:t>Cycle length</w:t>
            </w:r>
          </w:p>
        </w:tc>
        <w:tc>
          <w:tcPr>
            <w:tcW w:w="3588" w:type="pct"/>
          </w:tcPr>
          <w:p w:rsidR="00F708FB" w:rsidRPr="00F90B95" w:rsidRDefault="00F708FB" w:rsidP="003576F4">
            <w:pPr>
              <w:pStyle w:val="Tabletext"/>
              <w:keepNext/>
            </w:pPr>
            <w:r w:rsidRPr="00F90B95">
              <w:t>One week (7 days)</w:t>
            </w:r>
          </w:p>
        </w:tc>
      </w:tr>
      <w:tr w:rsidR="00F708FB" w:rsidRPr="00F90B95" w:rsidTr="00F708FB">
        <w:tc>
          <w:tcPr>
            <w:tcW w:w="1412" w:type="pct"/>
          </w:tcPr>
          <w:p w:rsidR="00F708FB" w:rsidRPr="00F90B95" w:rsidRDefault="00F708FB" w:rsidP="003576F4">
            <w:pPr>
              <w:pStyle w:val="Tabletext"/>
              <w:keepNext/>
            </w:pPr>
            <w:r w:rsidRPr="00F90B95">
              <w:t>Transition probabilities</w:t>
            </w:r>
          </w:p>
        </w:tc>
        <w:tc>
          <w:tcPr>
            <w:tcW w:w="3588" w:type="pct"/>
          </w:tcPr>
          <w:p w:rsidR="00F708FB" w:rsidRPr="00F90B95" w:rsidRDefault="00F708FB" w:rsidP="003576F4">
            <w:pPr>
              <w:pStyle w:val="Tabletext"/>
              <w:keepNext/>
            </w:pPr>
            <w:r w:rsidRPr="00F90B95">
              <w:t>Partitioned survival analysis.</w:t>
            </w:r>
          </w:p>
          <w:p w:rsidR="00F708FB" w:rsidRPr="00F90B95" w:rsidRDefault="00F708FB" w:rsidP="005E19C9">
            <w:pPr>
              <w:pStyle w:val="Tabletext"/>
              <w:keepNext/>
            </w:pPr>
            <w:r w:rsidRPr="00F90B95">
              <w:t>B</w:t>
            </w:r>
            <w:r w:rsidR="005E19C9" w:rsidRPr="00F90B95">
              <w:t>ased on analyses of progression-</w:t>
            </w:r>
            <w:r w:rsidRPr="00F90B95">
              <w:t xml:space="preserve">free and overall survival and time on treatment, with KN164 providing evidence for pembrolizumab, and results from the </w:t>
            </w:r>
            <w:r w:rsidR="00B434AB" w:rsidRPr="00F90B95">
              <w:t>Australian Treatment of Recurrent and Advanced Colorectal Cancer (</w:t>
            </w:r>
            <w:r w:rsidRPr="00F90B95">
              <w:t>TRACC</w:t>
            </w:r>
            <w:r w:rsidR="00B434AB" w:rsidRPr="00F90B95">
              <w:t>)</w:t>
            </w:r>
            <w:r w:rsidRPr="00F90B95">
              <w:t xml:space="preserve"> registry informing the </w:t>
            </w:r>
            <w:r w:rsidR="0040375A" w:rsidRPr="00F90B95">
              <w:t>‘</w:t>
            </w:r>
            <w:r w:rsidR="005E19C9" w:rsidRPr="00F90B95">
              <w:t>s</w:t>
            </w:r>
            <w:r w:rsidR="0040375A" w:rsidRPr="00F90B95">
              <w:t>tandard of care’ comparator.</w:t>
            </w:r>
          </w:p>
        </w:tc>
      </w:tr>
      <w:tr w:rsidR="00F708FB" w:rsidRPr="00F90B95" w:rsidTr="00F708FB">
        <w:tc>
          <w:tcPr>
            <w:tcW w:w="1412" w:type="pct"/>
          </w:tcPr>
          <w:p w:rsidR="00F708FB" w:rsidRPr="00F90B95" w:rsidRDefault="00F708FB" w:rsidP="003576F4">
            <w:pPr>
              <w:pStyle w:val="Tabletext"/>
              <w:keepNext/>
            </w:pPr>
            <w:r w:rsidRPr="00F90B95">
              <w:t>Software</w:t>
            </w:r>
          </w:p>
        </w:tc>
        <w:tc>
          <w:tcPr>
            <w:tcW w:w="3588" w:type="pct"/>
          </w:tcPr>
          <w:p w:rsidR="00F708FB" w:rsidRPr="00F90B95" w:rsidRDefault="00F708FB" w:rsidP="003576F4">
            <w:pPr>
              <w:pStyle w:val="Tabletext"/>
              <w:keepNext/>
            </w:pPr>
            <w:r w:rsidRPr="00F90B95">
              <w:t>Microsoft Excel 2016 (Excel 2010 compatible)</w:t>
            </w:r>
          </w:p>
        </w:tc>
      </w:tr>
    </w:tbl>
    <w:p w:rsidR="00F708FB" w:rsidRPr="00F90B95" w:rsidRDefault="00F708FB" w:rsidP="00F708FB">
      <w:pPr>
        <w:pStyle w:val="TableFooter"/>
        <w:rPr>
          <w:sz w:val="20"/>
        </w:rPr>
      </w:pPr>
      <w:r w:rsidRPr="00F90B95">
        <w:t>Source: Tab</w:t>
      </w:r>
      <w:r w:rsidR="007047D2" w:rsidRPr="00F90B95">
        <w:t>le 3.1-1, p93 of the submission</w:t>
      </w:r>
      <w:r w:rsidR="00B434AB" w:rsidRPr="00F90B95">
        <w:t>.</w:t>
      </w:r>
    </w:p>
    <w:p w:rsidR="00F708FB" w:rsidRPr="00F90B95" w:rsidRDefault="00F708FB" w:rsidP="00662FCF">
      <w:pPr>
        <w:pStyle w:val="ListParagraph"/>
        <w:widowControl/>
        <w:numPr>
          <w:ilvl w:val="1"/>
          <w:numId w:val="7"/>
        </w:numPr>
        <w:spacing w:before="160" w:after="120"/>
      </w:pPr>
      <w:r w:rsidRPr="00F90B95">
        <w:t xml:space="preserve">The modelled treatment effect </w:t>
      </w:r>
      <w:r w:rsidR="007047D2" w:rsidRPr="00F90B95">
        <w:t xml:space="preserve">did not reflect </w:t>
      </w:r>
      <w:r w:rsidRPr="00F90B95">
        <w:t xml:space="preserve">the clinical evidence presented in </w:t>
      </w:r>
      <w:r w:rsidR="00B473F5" w:rsidRPr="00F90B95">
        <w:t>the clinical evaluation</w:t>
      </w:r>
      <w:r w:rsidRPr="00F90B95">
        <w:t xml:space="preserve">. While the pembrolizumab arm </w:t>
      </w:r>
      <w:r w:rsidR="001E7E28" w:rsidRPr="00F90B95">
        <w:t xml:space="preserve">was informed by </w:t>
      </w:r>
      <w:r w:rsidRPr="00F90B95">
        <w:t xml:space="preserve">KN164, the submission used data from a small subset </w:t>
      </w:r>
      <w:r w:rsidR="001E7E28" w:rsidRPr="00F90B95">
        <w:t>of</w:t>
      </w:r>
      <w:r w:rsidRPr="00F90B95">
        <w:t xml:space="preserve"> patients </w:t>
      </w:r>
      <w:r w:rsidR="001E7E28" w:rsidRPr="00F90B95">
        <w:t xml:space="preserve">from the </w:t>
      </w:r>
      <w:r w:rsidR="00B434AB" w:rsidRPr="00F90B95">
        <w:t xml:space="preserve">Australian </w:t>
      </w:r>
      <w:r w:rsidR="001E7E28" w:rsidRPr="00F90B95">
        <w:t xml:space="preserve">Treatment of Recurrent and Advanced Colorectal Cancer (TRACC) </w:t>
      </w:r>
      <w:r w:rsidRPr="00F90B95">
        <w:t>registry (n=7</w:t>
      </w:r>
      <w:r w:rsidR="009D7463" w:rsidRPr="00F90B95">
        <w:t xml:space="preserve"> from a pool of 2</w:t>
      </w:r>
      <w:r w:rsidR="001E7E28" w:rsidRPr="00F90B95">
        <w:t>,</w:t>
      </w:r>
      <w:r w:rsidR="009D7463" w:rsidRPr="00F90B95">
        <w:t>3</w:t>
      </w:r>
      <w:r w:rsidR="0082041B" w:rsidRPr="00F90B95">
        <w:t>12 patients</w:t>
      </w:r>
      <w:r w:rsidRPr="00F90B95">
        <w:t xml:space="preserve">) to inform OS and </w:t>
      </w:r>
      <w:r w:rsidR="00BA50D5" w:rsidRPr="00F90B95">
        <w:t>time on treatment (</w:t>
      </w:r>
      <w:proofErr w:type="spellStart"/>
      <w:r w:rsidRPr="00F90B95">
        <w:t>ToT</w:t>
      </w:r>
      <w:proofErr w:type="spellEnd"/>
      <w:r w:rsidR="00BA50D5" w:rsidRPr="00F90B95">
        <w:t>)</w:t>
      </w:r>
      <w:r w:rsidRPr="00F90B95">
        <w:t xml:space="preserve"> estimates </w:t>
      </w:r>
      <w:r w:rsidR="00BA50D5" w:rsidRPr="00F90B95">
        <w:t>in</w:t>
      </w:r>
      <w:r w:rsidRPr="00F90B95">
        <w:t xml:space="preserve"> the SOC arm.</w:t>
      </w:r>
      <w:r w:rsidR="00AA3B36" w:rsidRPr="00F90B95">
        <w:t xml:space="preserve"> </w:t>
      </w:r>
      <w:r w:rsidR="00523EFA" w:rsidRPr="00F90B95">
        <w:t xml:space="preserve">The PSCR stated that the small number of patients in the registry who aligned with the proposed PBS population reflected the rarity of this subgroup of patients. </w:t>
      </w:r>
      <w:r w:rsidR="00AA3B36" w:rsidRPr="00F90B95">
        <w:t xml:space="preserve">The ESC </w:t>
      </w:r>
      <w:r w:rsidR="00523EFA" w:rsidRPr="00F90B95">
        <w:t>considered</w:t>
      </w:r>
      <w:r w:rsidR="00AA3B36" w:rsidRPr="00F90B95">
        <w:t xml:space="preserve"> that</w:t>
      </w:r>
      <w:r w:rsidR="007047D2" w:rsidRPr="00F90B95">
        <w:t>,</w:t>
      </w:r>
      <w:r w:rsidR="00AA3B36" w:rsidRPr="00F90B95">
        <w:t xml:space="preserve"> given the very small sample size</w:t>
      </w:r>
      <w:r w:rsidR="00523EFA" w:rsidRPr="00F90B95">
        <w:t>,</w:t>
      </w:r>
      <w:r w:rsidR="00AA3B36" w:rsidRPr="00F90B95">
        <w:t xml:space="preserve"> any resultant </w:t>
      </w:r>
      <w:r w:rsidR="007047D2" w:rsidRPr="00F90B95">
        <w:t>estimates</w:t>
      </w:r>
      <w:r w:rsidR="00AA3B36" w:rsidRPr="00F90B95">
        <w:t xml:space="preserve"> </w:t>
      </w:r>
      <w:r w:rsidR="00420B12" w:rsidRPr="00F90B95">
        <w:t>we</w:t>
      </w:r>
      <w:r w:rsidR="00AA3B36" w:rsidRPr="00F90B95">
        <w:t>re highly unreliable</w:t>
      </w:r>
      <w:r w:rsidR="00AC7B2D" w:rsidRPr="00F90B95">
        <w:t xml:space="preserve"> and t</w:t>
      </w:r>
      <w:r w:rsidR="00523EFA" w:rsidRPr="00F90B95">
        <w:t>he</w:t>
      </w:r>
      <w:r w:rsidR="004F4F41" w:rsidRPr="00F90B95">
        <w:t>refore, the subsequent economic evaluation was also unreliable. The</w:t>
      </w:r>
      <w:r w:rsidR="00523EFA" w:rsidRPr="00F90B95">
        <w:t xml:space="preserve"> ESC also noted that the estimated patient population in the financial estimates was much larger, at approximately 150 patients per year.</w:t>
      </w:r>
    </w:p>
    <w:p w:rsidR="00745F7F" w:rsidRPr="00F90B95" w:rsidRDefault="00F708FB" w:rsidP="00662FCF">
      <w:pPr>
        <w:pStyle w:val="ListParagraph"/>
        <w:widowControl/>
        <w:numPr>
          <w:ilvl w:val="1"/>
          <w:numId w:val="7"/>
        </w:numPr>
        <w:spacing w:after="120"/>
      </w:pPr>
      <w:r w:rsidRPr="00F90B95">
        <w:t xml:space="preserve">Patients included in the </w:t>
      </w:r>
      <w:r w:rsidR="00133E97" w:rsidRPr="00F90B95">
        <w:t xml:space="preserve">TRACC subgroup </w:t>
      </w:r>
      <w:r w:rsidRPr="00F90B95">
        <w:t xml:space="preserve">analyses were limited to Stage IV patients with </w:t>
      </w:r>
      <w:proofErr w:type="spellStart"/>
      <w:r w:rsidRPr="00F90B95">
        <w:t>dMMR</w:t>
      </w:r>
      <w:proofErr w:type="spellEnd"/>
      <w:r w:rsidRPr="00F90B95">
        <w:t xml:space="preserve">, who </w:t>
      </w:r>
      <w:r w:rsidR="00BA50D5" w:rsidRPr="00F90B95">
        <w:t xml:space="preserve">had </w:t>
      </w:r>
      <w:r w:rsidRPr="00F90B95">
        <w:t>received at least two lines of therapy, and ha</w:t>
      </w:r>
      <w:r w:rsidR="007047D2" w:rsidRPr="00F90B95">
        <w:t>d not received immunotherapies.</w:t>
      </w:r>
      <w:r w:rsidR="00294125" w:rsidRPr="00F90B95">
        <w:t xml:space="preserve"> The ESC noted the </w:t>
      </w:r>
      <w:r w:rsidR="00AC7B2D" w:rsidRPr="00F90B95">
        <w:t xml:space="preserve">seven </w:t>
      </w:r>
      <w:r w:rsidR="00294125" w:rsidRPr="00F90B95">
        <w:t xml:space="preserve">TRACC patients </w:t>
      </w:r>
      <w:r w:rsidR="00AC7B2D" w:rsidRPr="00F90B95">
        <w:t>were more highly treated than</w:t>
      </w:r>
      <w:r w:rsidR="00294125" w:rsidRPr="00F90B95">
        <w:t xml:space="preserve"> the proposed PBS population, who would have received at least one line of prior therapy.</w:t>
      </w:r>
    </w:p>
    <w:p w:rsidR="00F708FB" w:rsidRPr="00F90B95" w:rsidRDefault="00F708FB" w:rsidP="00662FCF">
      <w:pPr>
        <w:pStyle w:val="ListParagraph"/>
        <w:widowControl/>
        <w:numPr>
          <w:ilvl w:val="1"/>
          <w:numId w:val="7"/>
        </w:numPr>
        <w:spacing w:after="120"/>
      </w:pPr>
      <w:r w:rsidRPr="00F90B95">
        <w:t xml:space="preserve">The submission </w:t>
      </w:r>
      <w:r w:rsidR="00BA50D5" w:rsidRPr="00F90B95">
        <w:t>did</w:t>
      </w:r>
      <w:r w:rsidRPr="00F90B95">
        <w:t xml:space="preserve"> not adequately address issues regarding the transitivity of the </w:t>
      </w:r>
      <w:r w:rsidR="006606B9" w:rsidRPr="00F90B95">
        <w:t xml:space="preserve">seven </w:t>
      </w:r>
      <w:r w:rsidRPr="00F90B95">
        <w:t>patients from the TRACC database with those in KN164, nor possible sources of bias in the</w:t>
      </w:r>
      <w:r w:rsidR="00BB377E" w:rsidRPr="00F90B95">
        <w:t xml:space="preserve"> resulting</w:t>
      </w:r>
      <w:r w:rsidRPr="00F90B95">
        <w:t xml:space="preserve"> </w:t>
      </w:r>
      <w:r w:rsidR="00F7201F" w:rsidRPr="00F90B95">
        <w:t xml:space="preserve">naïve </w:t>
      </w:r>
      <w:r w:rsidRPr="00F90B95">
        <w:t>indirect comparison:</w:t>
      </w:r>
    </w:p>
    <w:p w:rsidR="00F708FB" w:rsidRPr="00F90B95" w:rsidRDefault="00F708FB" w:rsidP="00662FCF">
      <w:pPr>
        <w:pStyle w:val="Bulletpoints"/>
        <w:spacing w:after="120"/>
        <w:ind w:left="1077" w:hanging="357"/>
      </w:pPr>
      <w:r w:rsidRPr="00F90B95">
        <w:t xml:space="preserve">The submission did not provide baseline characteristics or treatment details </w:t>
      </w:r>
      <w:r w:rsidR="006606B9" w:rsidRPr="00F90B95">
        <w:t>for</w:t>
      </w:r>
      <w:r w:rsidRPr="00F90B95">
        <w:t xml:space="preserve"> the seven </w:t>
      </w:r>
      <w:r w:rsidR="00224CD9" w:rsidRPr="00F90B95">
        <w:t xml:space="preserve">TRACC </w:t>
      </w:r>
      <w:r w:rsidRPr="00F90B95">
        <w:t>patients</w:t>
      </w:r>
      <w:r w:rsidR="00BA50D5" w:rsidRPr="00F90B95">
        <w:t>. It wa</w:t>
      </w:r>
      <w:r w:rsidRPr="00F90B95">
        <w:t xml:space="preserve">s </w:t>
      </w:r>
      <w:r w:rsidR="006606B9" w:rsidRPr="00F90B95">
        <w:t xml:space="preserve">therefore </w:t>
      </w:r>
      <w:r w:rsidRPr="00F90B95">
        <w:t>unclear whethe</w:t>
      </w:r>
      <w:r w:rsidR="00BA50D5" w:rsidRPr="00F90B95">
        <w:t>r there we</w:t>
      </w:r>
      <w:r w:rsidRPr="00F90B95">
        <w:t>re transitivity issues associated with differences in baseline characteristics or differences in prior or subsequent treatments</w:t>
      </w:r>
      <w:r w:rsidR="00F04CC3" w:rsidRPr="00F90B95">
        <w:t xml:space="preserve">. The PSCR </w:t>
      </w:r>
      <w:r w:rsidR="00B11711" w:rsidRPr="00F90B95">
        <w:t>stated that specific characteristics of the seven patients included in the analysis were not made available from the registry</w:t>
      </w:r>
      <w:r w:rsidRPr="00F90B95">
        <w:t>;</w:t>
      </w:r>
      <w:r w:rsidR="003576F4" w:rsidRPr="00F90B95">
        <w:t xml:space="preserve"> and</w:t>
      </w:r>
    </w:p>
    <w:p w:rsidR="00F708FB" w:rsidRPr="00F90B95" w:rsidRDefault="00F708FB" w:rsidP="00662FCF">
      <w:pPr>
        <w:pStyle w:val="Bulletpoints"/>
        <w:spacing w:after="120"/>
        <w:ind w:left="1077" w:hanging="357"/>
      </w:pPr>
      <w:r w:rsidRPr="00F90B95">
        <w:lastRenderedPageBreak/>
        <w:t xml:space="preserve">The measurements of OS and </w:t>
      </w:r>
      <w:proofErr w:type="spellStart"/>
      <w:r w:rsidRPr="00F90B95">
        <w:t>ToT</w:t>
      </w:r>
      <w:proofErr w:type="spellEnd"/>
      <w:r w:rsidRPr="00F90B95">
        <w:t xml:space="preserve"> </w:t>
      </w:r>
      <w:r w:rsidR="00AC7B2D" w:rsidRPr="00F90B95">
        <w:t>we</w:t>
      </w:r>
      <w:r w:rsidRPr="00F90B95">
        <w:t>re not compar</w:t>
      </w:r>
      <w:r w:rsidR="0099565E" w:rsidRPr="00F90B95">
        <w:t>able. For KN164 these outcomes we</w:t>
      </w:r>
      <w:r w:rsidRPr="00F90B95">
        <w:t>re measured from time of enrolment</w:t>
      </w:r>
      <w:r w:rsidR="00F7306C" w:rsidRPr="00F90B95">
        <w:t>; whereas</w:t>
      </w:r>
      <w:r w:rsidR="0099565E" w:rsidRPr="00F90B95">
        <w:t xml:space="preserve"> in the TRACC database</w:t>
      </w:r>
      <w:r w:rsidR="00F7306C" w:rsidRPr="00F90B95">
        <w:t>,</w:t>
      </w:r>
      <w:r w:rsidR="0099565E" w:rsidRPr="00F90B95">
        <w:t xml:space="preserve"> OS wa</w:t>
      </w:r>
      <w:r w:rsidRPr="00F90B95">
        <w:t>s measured f</w:t>
      </w:r>
      <w:r w:rsidR="0099565E" w:rsidRPr="00F90B95">
        <w:t xml:space="preserve">rom diagnosis of </w:t>
      </w:r>
      <w:proofErr w:type="spellStart"/>
      <w:r w:rsidR="0099565E" w:rsidRPr="00F90B95">
        <w:t>mCRC</w:t>
      </w:r>
      <w:proofErr w:type="spellEnd"/>
      <w:r w:rsidR="0099565E" w:rsidRPr="00F90B95">
        <w:t xml:space="preserve"> and </w:t>
      </w:r>
      <w:proofErr w:type="spellStart"/>
      <w:r w:rsidR="0099565E" w:rsidRPr="00F90B95">
        <w:t>ToT</w:t>
      </w:r>
      <w:proofErr w:type="spellEnd"/>
      <w:r w:rsidR="0099565E" w:rsidRPr="00F90B95">
        <w:t xml:space="preserve"> wa</w:t>
      </w:r>
      <w:r w:rsidRPr="00F90B95">
        <w:t>s the time on first-line therapy.</w:t>
      </w:r>
      <w:r w:rsidR="00B11711" w:rsidRPr="00F90B95">
        <w:t xml:space="preserve"> The PSCR </w:t>
      </w:r>
      <w:r w:rsidR="00224CD9" w:rsidRPr="00F90B95">
        <w:t xml:space="preserve">stated </w:t>
      </w:r>
      <w:r w:rsidR="00B11711" w:rsidRPr="00F90B95">
        <w:t>that the OS data was adjusted by 21 weeks to account for the misalignment in the measurement of OS.</w:t>
      </w:r>
    </w:p>
    <w:p w:rsidR="00F708FB" w:rsidRPr="00F90B95" w:rsidRDefault="00F708FB" w:rsidP="00662FCF">
      <w:pPr>
        <w:pStyle w:val="ListParagraph"/>
        <w:widowControl/>
        <w:numPr>
          <w:ilvl w:val="1"/>
          <w:numId w:val="7"/>
        </w:numPr>
        <w:spacing w:before="160" w:after="120"/>
      </w:pPr>
      <w:r w:rsidRPr="00F90B95">
        <w:t>The</w:t>
      </w:r>
      <w:r w:rsidR="003B7438" w:rsidRPr="00F90B95">
        <w:t xml:space="preserve"> following applicability issues were not</w:t>
      </w:r>
      <w:r w:rsidRPr="00F90B95">
        <w:t xml:space="preserve"> addressed </w:t>
      </w:r>
      <w:r w:rsidR="003B7438" w:rsidRPr="00F90B95">
        <w:t>in</w:t>
      </w:r>
      <w:r w:rsidRPr="00F90B95">
        <w:t xml:space="preserve"> the submission:</w:t>
      </w:r>
    </w:p>
    <w:p w:rsidR="00F708FB" w:rsidRPr="00F90B95" w:rsidRDefault="0099565E" w:rsidP="00662FCF">
      <w:pPr>
        <w:pStyle w:val="Bulletpoints"/>
        <w:spacing w:after="120"/>
        <w:ind w:left="1077" w:hanging="357"/>
      </w:pPr>
      <w:r w:rsidRPr="00F90B95">
        <w:t>Although</w:t>
      </w:r>
      <w:r w:rsidR="00F708FB" w:rsidRPr="00F90B95">
        <w:t xml:space="preserve"> the requested listing </w:t>
      </w:r>
      <w:r w:rsidR="00FD3A6B" w:rsidRPr="00F90B95">
        <w:t>wa</w:t>
      </w:r>
      <w:r w:rsidR="00F708FB" w:rsidRPr="00F90B95">
        <w:t>s for patients who have been previously treated (i</w:t>
      </w:r>
      <w:r w:rsidR="005B7046" w:rsidRPr="00F90B95">
        <w:t>.</w:t>
      </w:r>
      <w:r w:rsidR="00F708FB" w:rsidRPr="00F90B95">
        <w:t>e</w:t>
      </w:r>
      <w:r w:rsidR="005B7046" w:rsidRPr="00F90B95">
        <w:t>.</w:t>
      </w:r>
      <w:r w:rsidR="00F708FB" w:rsidRPr="00F90B95">
        <w:t xml:space="preserve"> </w:t>
      </w:r>
      <w:r w:rsidR="00E844EB" w:rsidRPr="00F90B95">
        <w:t>second-line</w:t>
      </w:r>
      <w:r w:rsidR="00F708FB" w:rsidRPr="00F90B95">
        <w:t xml:space="preserve"> and beyond), the vast majority of patients in KN164 were </w:t>
      </w:r>
      <w:r w:rsidR="00DF6424" w:rsidRPr="00F90B95">
        <w:t>receiving</w:t>
      </w:r>
      <w:r w:rsidR="00F708FB" w:rsidRPr="00F90B95">
        <w:t xml:space="preserve"> third</w:t>
      </w:r>
      <w:r w:rsidR="008612E6" w:rsidRPr="00F90B95">
        <w:t>-line</w:t>
      </w:r>
      <w:r w:rsidR="00F708FB" w:rsidRPr="00F90B95">
        <w:t xml:space="preserve"> (45.9%) or a later</w:t>
      </w:r>
      <w:r w:rsidR="007468F0" w:rsidRPr="00F90B95">
        <w:t>-</w:t>
      </w:r>
      <w:r w:rsidR="00F708FB" w:rsidRPr="00F90B95">
        <w:t>line (4L+; 44.3%) therapy</w:t>
      </w:r>
      <w:r w:rsidR="006606B9" w:rsidRPr="00F90B95">
        <w:t xml:space="preserve"> and a</w:t>
      </w:r>
      <w:r w:rsidR="005B7046" w:rsidRPr="00F90B95">
        <w:t xml:space="preserve">ll </w:t>
      </w:r>
      <w:r w:rsidR="006606B9" w:rsidRPr="00F90B95">
        <w:t xml:space="preserve">TRACC </w:t>
      </w:r>
      <w:r w:rsidR="005B7046" w:rsidRPr="00F90B95">
        <w:t xml:space="preserve">patients had received </w:t>
      </w:r>
      <w:r w:rsidR="000D1DA1" w:rsidRPr="00F90B95">
        <w:t>two</w:t>
      </w:r>
      <w:r w:rsidR="005F544C" w:rsidRPr="00F90B95">
        <w:t xml:space="preserve"> </w:t>
      </w:r>
      <w:r w:rsidR="005B7046" w:rsidRPr="00F90B95">
        <w:t>or more prior therapies;</w:t>
      </w:r>
      <w:r w:rsidR="003576F4" w:rsidRPr="00F90B95">
        <w:t xml:space="preserve"> and</w:t>
      </w:r>
    </w:p>
    <w:p w:rsidR="00F708FB" w:rsidRPr="00F90B95" w:rsidRDefault="00F708FB" w:rsidP="00662FCF">
      <w:pPr>
        <w:pStyle w:val="Bulletpoints"/>
        <w:spacing w:after="120"/>
        <w:ind w:left="1077" w:hanging="357"/>
      </w:pPr>
      <w:r w:rsidRPr="00F90B95">
        <w:t>The submission provided some general comments about the patient</w:t>
      </w:r>
      <w:r w:rsidR="00DF6424" w:rsidRPr="00F90B95">
        <w:t xml:space="preserve"> population</w:t>
      </w:r>
      <w:r w:rsidRPr="00F90B95">
        <w:t xml:space="preserve"> included in the TRACC database, </w:t>
      </w:r>
      <w:r w:rsidR="00DF6424" w:rsidRPr="00F90B95">
        <w:t xml:space="preserve">of which the </w:t>
      </w:r>
      <w:r w:rsidRPr="00F90B95">
        <w:t xml:space="preserve">seven patients were a subset. </w:t>
      </w:r>
      <w:r w:rsidR="00F7306C" w:rsidRPr="00F90B95">
        <w:t>However</w:t>
      </w:r>
      <w:r w:rsidRPr="00F90B95">
        <w:t xml:space="preserve">, the applicability of the seven </w:t>
      </w:r>
      <w:r w:rsidR="006606B9" w:rsidRPr="00F90B95">
        <w:t xml:space="preserve">TRACC </w:t>
      </w:r>
      <w:r w:rsidRPr="00F90B95">
        <w:t xml:space="preserve">patients to the proposed PBS population </w:t>
      </w:r>
      <w:r w:rsidR="0099565E" w:rsidRPr="00F90B95">
        <w:t>was</w:t>
      </w:r>
      <w:r w:rsidRPr="00F90B95">
        <w:t xml:space="preserve"> uncertain.</w:t>
      </w:r>
    </w:p>
    <w:p w:rsidR="003B7438" w:rsidRPr="00F90B95" w:rsidRDefault="00F708FB" w:rsidP="00662FCF">
      <w:pPr>
        <w:pStyle w:val="ListParagraph"/>
        <w:widowControl/>
        <w:numPr>
          <w:ilvl w:val="1"/>
          <w:numId w:val="7"/>
        </w:numPr>
        <w:spacing w:before="160" w:after="120"/>
      </w:pPr>
      <w:r w:rsidRPr="00F90B95">
        <w:t xml:space="preserve">As </w:t>
      </w:r>
      <w:r w:rsidR="00CF2CD0" w:rsidRPr="00F90B95">
        <w:t xml:space="preserve">PFS was not recorded in the TRACC database, the submission </w:t>
      </w:r>
      <w:r w:rsidR="006606B9" w:rsidRPr="00F90B95">
        <w:t xml:space="preserve">used </w:t>
      </w:r>
      <w:r w:rsidR="00CF2CD0" w:rsidRPr="00F90B95">
        <w:t xml:space="preserve">two methods to estimate PFS </w:t>
      </w:r>
      <w:r w:rsidR="006606B9" w:rsidRPr="00F90B95">
        <w:t>in</w:t>
      </w:r>
      <w:r w:rsidR="00CF2CD0" w:rsidRPr="00F90B95">
        <w:t xml:space="preserve"> the SOC arm. In the base case, PFS was determined by applying the </w:t>
      </w:r>
      <w:r w:rsidR="003B7438" w:rsidRPr="00F90B95">
        <w:t>ratio of hazards</w:t>
      </w:r>
      <w:r w:rsidR="00CF2CD0" w:rsidRPr="00F90B95">
        <w:t xml:space="preserve"> </w:t>
      </w:r>
      <w:r w:rsidR="003B7438" w:rsidRPr="00F90B95">
        <w:t>(</w:t>
      </w:r>
      <w:r w:rsidR="00CF2CD0" w:rsidRPr="00F90B95">
        <w:t>OS</w:t>
      </w:r>
      <w:proofErr w:type="gramStart"/>
      <w:r w:rsidR="00CF2CD0" w:rsidRPr="00F90B95">
        <w:t>:PFS</w:t>
      </w:r>
      <w:proofErr w:type="gramEnd"/>
      <w:r w:rsidR="003B7438" w:rsidRPr="00F90B95">
        <w:t>)</w:t>
      </w:r>
      <w:r w:rsidR="00CF2CD0" w:rsidRPr="00F90B95">
        <w:t xml:space="preserve"> from KN164 to the OS from TRACC. An alternative approach </w:t>
      </w:r>
      <w:r w:rsidR="003B7438" w:rsidRPr="00F90B95">
        <w:t>in the submission was to apply the ratio of hazards of</w:t>
      </w:r>
      <w:r w:rsidR="00CF2CD0" w:rsidRPr="00F90B95">
        <w:t xml:space="preserve"> </w:t>
      </w:r>
      <w:proofErr w:type="spellStart"/>
      <w:r w:rsidR="00CF2CD0" w:rsidRPr="00F90B95">
        <w:t>ToT</w:t>
      </w:r>
      <w:proofErr w:type="gramStart"/>
      <w:r w:rsidR="00CF2CD0" w:rsidRPr="00F90B95">
        <w:t>:PFS</w:t>
      </w:r>
      <w:proofErr w:type="spellEnd"/>
      <w:proofErr w:type="gramEnd"/>
      <w:r w:rsidR="00CF2CD0" w:rsidRPr="00F90B95">
        <w:t xml:space="preserve"> from KN164</w:t>
      </w:r>
      <w:r w:rsidR="003B7438" w:rsidRPr="00F90B95">
        <w:t xml:space="preserve"> to the TRACC </w:t>
      </w:r>
      <w:proofErr w:type="spellStart"/>
      <w:r w:rsidR="00B54134" w:rsidRPr="00F90B95">
        <w:t>ToT</w:t>
      </w:r>
      <w:proofErr w:type="spellEnd"/>
      <w:r w:rsidR="003B7438" w:rsidRPr="00F90B95">
        <w:t xml:space="preserve"> data</w:t>
      </w:r>
      <w:r w:rsidR="00CF2CD0" w:rsidRPr="00F90B95">
        <w:t xml:space="preserve">. </w:t>
      </w:r>
      <w:r w:rsidR="003B7438" w:rsidRPr="00F90B95">
        <w:t>The validity of th</w:t>
      </w:r>
      <w:r w:rsidR="00DF6424" w:rsidRPr="00F90B95">
        <w:t>ese</w:t>
      </w:r>
      <w:r w:rsidR="003B7438" w:rsidRPr="00F90B95">
        <w:t xml:space="preserve"> approach</w:t>
      </w:r>
      <w:r w:rsidR="00DF6424" w:rsidRPr="00F90B95">
        <w:t>es was uncertain as</w:t>
      </w:r>
      <w:r w:rsidR="008612E6" w:rsidRPr="00F90B95">
        <w:t>:</w:t>
      </w:r>
    </w:p>
    <w:p w:rsidR="003B7438" w:rsidRPr="00F90B95" w:rsidRDefault="003B7438" w:rsidP="00662FCF">
      <w:pPr>
        <w:pStyle w:val="Bulletpoints"/>
        <w:spacing w:after="120"/>
        <w:ind w:left="1077" w:hanging="357"/>
      </w:pPr>
      <w:r w:rsidRPr="00F90B95">
        <w:t xml:space="preserve">Log-cumulative hazard plots revealed that the proportional hazards assumption appeared to have been violated for both the OS:PFS and the </w:t>
      </w:r>
      <w:proofErr w:type="spellStart"/>
      <w:r w:rsidRPr="00F90B95">
        <w:t>ToT:PFS</w:t>
      </w:r>
      <w:proofErr w:type="spellEnd"/>
      <w:r w:rsidRPr="00F90B95">
        <w:t xml:space="preserve"> ratio of hazards;</w:t>
      </w:r>
    </w:p>
    <w:p w:rsidR="00B54134" w:rsidRPr="00F90B95" w:rsidRDefault="00B54134" w:rsidP="00662FCF">
      <w:pPr>
        <w:pStyle w:val="Bulletpoints"/>
        <w:spacing w:after="120"/>
        <w:ind w:left="1077" w:hanging="357"/>
      </w:pPr>
      <w:r w:rsidRPr="00F90B95">
        <w:t xml:space="preserve">OS for the seven TRACC patients was determined from the time of diagnosis of </w:t>
      </w:r>
      <w:proofErr w:type="spellStart"/>
      <w:r w:rsidRPr="00F90B95">
        <w:t>mCRC</w:t>
      </w:r>
      <w:proofErr w:type="spellEnd"/>
      <w:r w:rsidRPr="00F90B95">
        <w:t>, adjusted by 21 weeks, rather than at the commencement of second</w:t>
      </w:r>
      <w:r w:rsidR="008612E6" w:rsidRPr="00F90B95">
        <w:t>- and later-line therapies; and</w:t>
      </w:r>
    </w:p>
    <w:p w:rsidR="00F708FB" w:rsidRPr="00F90B95" w:rsidRDefault="006728F3" w:rsidP="00662FCF">
      <w:pPr>
        <w:pStyle w:val="Bulletpoints"/>
        <w:spacing w:after="120"/>
        <w:ind w:left="1077" w:hanging="357"/>
      </w:pPr>
      <w:proofErr w:type="spellStart"/>
      <w:r w:rsidRPr="00F90B95">
        <w:t>ToT</w:t>
      </w:r>
      <w:proofErr w:type="spellEnd"/>
      <w:r w:rsidRPr="00F90B95">
        <w:t xml:space="preserve"> for the seven TRACC patients</w:t>
      </w:r>
      <w:r w:rsidR="00CF2CD0" w:rsidRPr="00F90B95">
        <w:t xml:space="preserve"> </w:t>
      </w:r>
      <w:r w:rsidRPr="00F90B95">
        <w:t>was</w:t>
      </w:r>
      <w:r w:rsidR="00CF2CD0" w:rsidRPr="00F90B95">
        <w:t xml:space="preserve"> measured </w:t>
      </w:r>
      <w:r w:rsidRPr="00F90B95">
        <w:t xml:space="preserve">only in the </w:t>
      </w:r>
      <w:r w:rsidR="00CF2CD0" w:rsidRPr="00F90B95">
        <w:t xml:space="preserve">first-line </w:t>
      </w:r>
      <w:r w:rsidRPr="00F90B95">
        <w:t>treatment</w:t>
      </w:r>
      <w:r w:rsidR="00CF2CD0" w:rsidRPr="00F90B95">
        <w:t xml:space="preserve"> </w:t>
      </w:r>
      <w:r w:rsidRPr="00F90B95">
        <w:t>setting</w:t>
      </w:r>
      <w:r w:rsidR="00CF2CD0" w:rsidRPr="00F90B95">
        <w:t xml:space="preserve"> (not</w:t>
      </w:r>
      <w:r w:rsidRPr="00F90B95">
        <w:t xml:space="preserve"> in</w:t>
      </w:r>
      <w:r w:rsidR="00CF2CD0" w:rsidRPr="00F90B95">
        <w:t xml:space="preserve"> the </w:t>
      </w:r>
      <w:r w:rsidRPr="00F90B95">
        <w:t>more relevant later</w:t>
      </w:r>
      <w:r w:rsidR="007468F0" w:rsidRPr="00F90B95">
        <w:t>-</w:t>
      </w:r>
      <w:r w:rsidRPr="00F90B95">
        <w:t xml:space="preserve">line setting </w:t>
      </w:r>
      <w:r w:rsidR="00CF2CD0" w:rsidRPr="00F90B95">
        <w:t>as per the pr</w:t>
      </w:r>
      <w:r w:rsidR="00DF6424" w:rsidRPr="00F90B95">
        <w:t>oposed PBS population</w:t>
      </w:r>
      <w:r w:rsidR="00B54134" w:rsidRPr="00F90B95">
        <w:t>)</w:t>
      </w:r>
      <w:r w:rsidR="00CF2CD0" w:rsidRPr="00F90B95">
        <w:t>.</w:t>
      </w:r>
    </w:p>
    <w:p w:rsidR="00F708FB" w:rsidRPr="00F90B95" w:rsidRDefault="00AC3945" w:rsidP="00662FCF">
      <w:pPr>
        <w:pStyle w:val="ListParagraph"/>
        <w:keepLines/>
        <w:numPr>
          <w:ilvl w:val="1"/>
          <w:numId w:val="7"/>
        </w:numPr>
        <w:spacing w:before="160" w:after="120"/>
      </w:pPr>
      <w:r w:rsidRPr="00F90B95">
        <w:t xml:space="preserve">In addition, for the first two years of </w:t>
      </w:r>
      <w:r w:rsidR="00227A88" w:rsidRPr="00F90B95">
        <w:t xml:space="preserve">both methods of estimating PFS in </w:t>
      </w:r>
      <w:r w:rsidRPr="00F90B95">
        <w:t xml:space="preserve">the economic model, the </w:t>
      </w:r>
      <w:proofErr w:type="spellStart"/>
      <w:r w:rsidRPr="00F90B95">
        <w:t>ToT</w:t>
      </w:r>
      <w:proofErr w:type="spellEnd"/>
      <w:r w:rsidRPr="00F90B95">
        <w:t xml:space="preserve"> curves were above the PFS curves for both the pembrolizumab and SOC arms. </w:t>
      </w:r>
      <w:r w:rsidR="0032618C" w:rsidRPr="00F90B95">
        <w:t xml:space="preserve">This is demonstrated </w:t>
      </w:r>
      <w:r w:rsidR="00227A88" w:rsidRPr="00F90B95">
        <w:t xml:space="preserve">for the base case economic model </w:t>
      </w:r>
      <w:r w:rsidR="0032618C" w:rsidRPr="00F90B95">
        <w:t xml:space="preserve">in </w:t>
      </w:r>
      <w:r w:rsidRPr="00F90B95">
        <w:t>Figure 2</w:t>
      </w:r>
      <w:r w:rsidR="00F708FB" w:rsidRPr="00F90B95">
        <w:t xml:space="preserve"> below.</w:t>
      </w:r>
    </w:p>
    <w:p w:rsidR="00F708FB" w:rsidRPr="00F90B95" w:rsidRDefault="00F708FB" w:rsidP="0082041B">
      <w:pPr>
        <w:pStyle w:val="Caption"/>
        <w:keepNext/>
        <w:widowControl/>
      </w:pPr>
      <w:bookmarkStart w:id="17" w:name="_Ref531369519"/>
      <w:r w:rsidRPr="00F90B95">
        <w:lastRenderedPageBreak/>
        <w:t xml:space="preserve">Figure </w:t>
      </w:r>
      <w:bookmarkEnd w:id="17"/>
      <w:r w:rsidR="00AC3945" w:rsidRPr="00F90B95">
        <w:t>2</w:t>
      </w:r>
      <w:r w:rsidRPr="00F90B95">
        <w:t xml:space="preserve">: Modelled PFS, OS and </w:t>
      </w:r>
      <w:proofErr w:type="spellStart"/>
      <w:r w:rsidRPr="00F90B95">
        <w:t>ToT</w:t>
      </w:r>
      <w:proofErr w:type="spellEnd"/>
      <w:r w:rsidRPr="00F90B95">
        <w:t xml:space="preserve"> curves</w:t>
      </w:r>
      <w:r w:rsidR="00643B35" w:rsidRPr="00F90B95">
        <w:t xml:space="preserve"> (base case)</w:t>
      </w:r>
    </w:p>
    <w:p w:rsidR="00F708FB" w:rsidRPr="00F90B95" w:rsidRDefault="00F708FB" w:rsidP="00F708FB">
      <w:r w:rsidRPr="00F90B95">
        <w:rPr>
          <w:noProof/>
          <w:lang w:eastAsia="en-AU"/>
        </w:rPr>
        <w:drawing>
          <wp:inline distT="0" distB="0" distL="0" distR="0" wp14:anchorId="5D75F31C" wp14:editId="10FC6B71">
            <wp:extent cx="5732145" cy="2020461"/>
            <wp:effectExtent l="0" t="0" r="1905" b="0"/>
            <wp:docPr id="10" name="Picture 10" title="Figure 2: Modelled PFS, OS and ToT curves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020461"/>
                    </a:xfrm>
                    <a:prstGeom prst="rect">
                      <a:avLst/>
                    </a:prstGeom>
                    <a:noFill/>
                    <a:ln>
                      <a:noFill/>
                    </a:ln>
                  </pic:spPr>
                </pic:pic>
              </a:graphicData>
            </a:graphic>
          </wp:inline>
        </w:drawing>
      </w:r>
    </w:p>
    <w:p w:rsidR="003576F4" w:rsidRPr="00F90B95" w:rsidRDefault="003576F4" w:rsidP="00F708FB">
      <w:pPr>
        <w:pStyle w:val="TableFooter"/>
      </w:pPr>
      <w:r w:rsidRPr="00F90B95">
        <w:t>OS = overall survival; PFS = p</w:t>
      </w:r>
      <w:r w:rsidR="005E19C9" w:rsidRPr="00F90B95">
        <w:t>rogression-</w:t>
      </w:r>
      <w:r w:rsidRPr="00F90B95">
        <w:t xml:space="preserve">free survival; SOC = standard of care; </w:t>
      </w:r>
      <w:proofErr w:type="spellStart"/>
      <w:r w:rsidRPr="00F90B95">
        <w:t>ToT</w:t>
      </w:r>
      <w:proofErr w:type="spellEnd"/>
      <w:r w:rsidRPr="00F90B95">
        <w:t xml:space="preserve"> = time on treatment</w:t>
      </w:r>
      <w:r w:rsidR="008612E6" w:rsidRPr="00F90B95">
        <w:t>.</w:t>
      </w:r>
    </w:p>
    <w:p w:rsidR="00F708FB" w:rsidRPr="00F90B95" w:rsidRDefault="00F708FB" w:rsidP="00F708FB">
      <w:pPr>
        <w:pStyle w:val="TableFooter"/>
      </w:pPr>
      <w:r w:rsidRPr="00F90B95">
        <w:t>Source: Complied during the evaluation based on information presented in ‘</w:t>
      </w:r>
      <w:proofErr w:type="spellStart"/>
      <w:r w:rsidRPr="00F90B95">
        <w:t>Att</w:t>
      </w:r>
      <w:proofErr w:type="spellEnd"/>
      <w:r w:rsidRPr="00F90B95">
        <w:t xml:space="preserve"> 6.xlsx’</w:t>
      </w:r>
      <w:r w:rsidR="008612E6" w:rsidRPr="00F90B95">
        <w:t>.</w:t>
      </w:r>
    </w:p>
    <w:p w:rsidR="00F708FB" w:rsidRPr="00F90B95" w:rsidRDefault="00872574" w:rsidP="00662FCF">
      <w:pPr>
        <w:pStyle w:val="ListParagraph"/>
        <w:numPr>
          <w:ilvl w:val="1"/>
          <w:numId w:val="7"/>
        </w:numPr>
        <w:spacing w:before="160" w:after="120"/>
      </w:pPr>
      <w:r w:rsidRPr="00F90B95">
        <w:t xml:space="preserve">No justification was provided for modelling a longer </w:t>
      </w:r>
      <w:proofErr w:type="spellStart"/>
      <w:r w:rsidRPr="00F90B95">
        <w:t>ToT</w:t>
      </w:r>
      <w:proofErr w:type="spellEnd"/>
      <w:r w:rsidRPr="00F90B95">
        <w:t xml:space="preserve"> duration compared to PFS. </w:t>
      </w:r>
      <w:r w:rsidR="00B04587" w:rsidRPr="00F90B95">
        <w:t xml:space="preserve">The PSCR </w:t>
      </w:r>
      <w:r w:rsidR="0043515E" w:rsidRPr="00F90B95">
        <w:t xml:space="preserve">provided an analysis in which </w:t>
      </w:r>
      <w:r w:rsidR="00B04587" w:rsidRPr="00F90B95">
        <w:t xml:space="preserve">the </w:t>
      </w:r>
      <w:proofErr w:type="spellStart"/>
      <w:r w:rsidR="00B04587" w:rsidRPr="00F90B95">
        <w:t>ToT</w:t>
      </w:r>
      <w:proofErr w:type="spellEnd"/>
      <w:r w:rsidR="00B04587" w:rsidRPr="00F90B95">
        <w:t xml:space="preserve"> </w:t>
      </w:r>
      <w:r w:rsidR="0043515E" w:rsidRPr="00F90B95">
        <w:t xml:space="preserve">was </w:t>
      </w:r>
      <w:r w:rsidR="00B04587" w:rsidRPr="00F90B95">
        <w:t>equal to PFS in both arms; this resul</w:t>
      </w:r>
      <w:r w:rsidR="008A4664" w:rsidRPr="00F90B95">
        <w:t>ted in an ICER of $</w:t>
      </w:r>
      <w:r w:rsidR="00C70F9A">
        <w:t>45,000</w:t>
      </w:r>
      <w:r w:rsidR="008A4664" w:rsidRPr="00F90B95">
        <w:t>/QALY</w:t>
      </w:r>
      <w:r w:rsidR="00C70F9A">
        <w:t xml:space="preserve"> to $75,000/QALY</w:t>
      </w:r>
      <w:r w:rsidR="008A4664" w:rsidRPr="00F90B95">
        <w:t>.</w:t>
      </w:r>
    </w:p>
    <w:p w:rsidR="009D5787" w:rsidRPr="00F90B95" w:rsidRDefault="009D5787" w:rsidP="00662FCF">
      <w:pPr>
        <w:pStyle w:val="ListParagraph"/>
        <w:widowControl/>
        <w:numPr>
          <w:ilvl w:val="1"/>
          <w:numId w:val="7"/>
        </w:numPr>
        <w:spacing w:after="120"/>
      </w:pPr>
      <w:r w:rsidRPr="00F90B95">
        <w:t>OS estimates in the pembrolizumab arm were based on immature data, as median OS in KN164 had not been reached. Trial-based data were used to inform the OS curve to a median follow-up of 57 weeks, after which an extrapolation using the exponential model was applied.</w:t>
      </w:r>
    </w:p>
    <w:p w:rsidR="0032618C" w:rsidRPr="00F90B95" w:rsidRDefault="0032618C" w:rsidP="00662FCF">
      <w:pPr>
        <w:pStyle w:val="ListParagraph"/>
        <w:widowControl/>
        <w:numPr>
          <w:ilvl w:val="1"/>
          <w:numId w:val="7"/>
        </w:numPr>
        <w:spacing w:after="120"/>
      </w:pPr>
      <w:r w:rsidRPr="00F90B95">
        <w:t xml:space="preserve">Figure 3 provides a comparison of the PFS and OS curves for pembrolizumab and SOC. The ESC, noting that the PFS curves cross at approximately six years and the OS curves at approximately 11 years, </w:t>
      </w:r>
      <w:r w:rsidR="00464A1D" w:rsidRPr="00F90B95">
        <w:t>were concerned about the plausibility of the</w:t>
      </w:r>
      <w:r w:rsidR="00592F1C" w:rsidRPr="00F90B95">
        <w:t>se</w:t>
      </w:r>
      <w:r w:rsidR="00464A1D" w:rsidRPr="00F90B95">
        <w:t xml:space="preserve"> </w:t>
      </w:r>
      <w:r w:rsidRPr="00F90B95">
        <w:t>extrapolations</w:t>
      </w:r>
      <w:r w:rsidR="00464A1D" w:rsidRPr="00F90B95">
        <w:t>.</w:t>
      </w:r>
    </w:p>
    <w:p w:rsidR="0032618C" w:rsidRPr="00F90B95" w:rsidRDefault="0032618C" w:rsidP="005120A5">
      <w:pPr>
        <w:keepNext/>
        <w:jc w:val="left"/>
        <w:rPr>
          <w:rFonts w:ascii="Arial Narrow" w:hAnsi="Arial Narrow"/>
          <w:b/>
          <w:sz w:val="20"/>
          <w:szCs w:val="16"/>
        </w:rPr>
      </w:pPr>
      <w:bookmarkStart w:id="18" w:name="_Ref531329299"/>
      <w:r w:rsidRPr="00F90B95">
        <w:rPr>
          <w:rStyle w:val="CommentReference"/>
        </w:rPr>
        <w:t xml:space="preserve">Figure </w:t>
      </w:r>
      <w:bookmarkEnd w:id="18"/>
      <w:r w:rsidRPr="00F90B95">
        <w:rPr>
          <w:rStyle w:val="CommentReference"/>
        </w:rPr>
        <w:t xml:space="preserve">3: PFS and OS curves for </w:t>
      </w:r>
      <w:r w:rsidR="008A4664" w:rsidRPr="00F90B95">
        <w:rPr>
          <w:rStyle w:val="CommentReference"/>
        </w:rPr>
        <w:t>the pembrolizumab and SOC arms</w:t>
      </w:r>
      <w:r w:rsidRPr="00F90B95">
        <w:rPr>
          <w:noProof/>
          <w:lang w:eastAsia="en-AU"/>
        </w:rPr>
        <w:drawing>
          <wp:inline distT="0" distB="0" distL="0" distR="0" wp14:anchorId="304BEF2E" wp14:editId="27234A5C">
            <wp:extent cx="5709037" cy="2254176"/>
            <wp:effectExtent l="0" t="0" r="6350" b="0"/>
            <wp:docPr id="16" name="Picture 16" title="Figure 3: PFS and OS curves for the pembrolizumab and SOC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580" cy="2275317"/>
                    </a:xfrm>
                    <a:prstGeom prst="rect">
                      <a:avLst/>
                    </a:prstGeom>
                    <a:noFill/>
                    <a:ln>
                      <a:noFill/>
                    </a:ln>
                  </pic:spPr>
                </pic:pic>
              </a:graphicData>
            </a:graphic>
          </wp:inline>
        </w:drawing>
      </w:r>
    </w:p>
    <w:p w:rsidR="0032618C" w:rsidRPr="00F90B95" w:rsidRDefault="0032618C" w:rsidP="005120A5">
      <w:pPr>
        <w:pStyle w:val="TableFooter"/>
        <w:keepNext/>
      </w:pPr>
      <w:r w:rsidRPr="00F90B95">
        <w:t>OS = over</w:t>
      </w:r>
      <w:r w:rsidR="005E19C9" w:rsidRPr="00F90B95">
        <w:t>all survival; PFS = progression-</w:t>
      </w:r>
      <w:r w:rsidRPr="00F90B95">
        <w:t>free survival; SOC = standard of care</w:t>
      </w:r>
      <w:r w:rsidR="008612E6" w:rsidRPr="00F90B95">
        <w:t>.</w:t>
      </w:r>
    </w:p>
    <w:p w:rsidR="0032618C" w:rsidRPr="00F90B95" w:rsidRDefault="0032618C" w:rsidP="005120A5">
      <w:pPr>
        <w:pStyle w:val="TableFooter"/>
      </w:pPr>
      <w:r w:rsidRPr="00F90B95">
        <w:t>Source: Complied during the evaluation based on information presented in ‘Traces’ worksheet of ‘</w:t>
      </w:r>
      <w:proofErr w:type="spellStart"/>
      <w:r w:rsidRPr="00F90B95">
        <w:t>Att</w:t>
      </w:r>
      <w:proofErr w:type="spellEnd"/>
      <w:r w:rsidRPr="00F90B95">
        <w:t xml:space="preserve"> 6.xlsx’</w:t>
      </w:r>
      <w:r w:rsidR="008612E6" w:rsidRPr="00F90B95">
        <w:t>.</w:t>
      </w:r>
    </w:p>
    <w:p w:rsidR="0032618C" w:rsidRPr="00F90B95" w:rsidRDefault="0032618C" w:rsidP="0044164E">
      <w:pPr>
        <w:pStyle w:val="ListParagraph"/>
        <w:widowControl/>
        <w:numPr>
          <w:ilvl w:val="1"/>
          <w:numId w:val="7"/>
        </w:numPr>
        <w:spacing w:before="120" w:after="120"/>
      </w:pPr>
      <w:r w:rsidRPr="00F90B95">
        <w:t xml:space="preserve">The model sourced utilities from the published literature. The </w:t>
      </w:r>
      <w:r w:rsidR="00AC7B2D" w:rsidRPr="00F90B95">
        <w:t xml:space="preserve">evaluation considered that the </w:t>
      </w:r>
      <w:r w:rsidRPr="00F90B95">
        <w:t xml:space="preserve">pre-progression utility value used </w:t>
      </w:r>
      <w:r w:rsidR="00616712" w:rsidRPr="00F90B95">
        <w:t xml:space="preserve">(0.765) </w:t>
      </w:r>
      <w:r w:rsidRPr="00F90B95">
        <w:t>was unlikely to be applicable to the patient population in KN164, the seven TRACC registry patients</w:t>
      </w:r>
      <w:r w:rsidR="008612E6" w:rsidRPr="00F90B95">
        <w:t>,</w:t>
      </w:r>
      <w:r w:rsidRPr="00F90B95">
        <w:t xml:space="preserve"> or the proposed PBS </w:t>
      </w:r>
      <w:r w:rsidRPr="00F90B95">
        <w:lastRenderedPageBreak/>
        <w:t>population as it was based on a population of patients at baseline, before receiving a second-line therapy, not whilst receiving treatment. Patients in KN164, of which 10% of patients were receiving second-line therapy and 90% receiving third</w:t>
      </w:r>
      <w:r w:rsidR="008612E6" w:rsidRPr="00F90B95">
        <w:t>-</w:t>
      </w:r>
      <w:r w:rsidRPr="00F90B95">
        <w:t xml:space="preserve"> or later-line treatment, would likely have a lower pre-progression utility.</w:t>
      </w:r>
    </w:p>
    <w:p w:rsidR="0032618C" w:rsidRPr="00F90B95" w:rsidRDefault="0032618C" w:rsidP="0044164E">
      <w:pPr>
        <w:pStyle w:val="ListParagraph"/>
        <w:widowControl/>
        <w:numPr>
          <w:ilvl w:val="1"/>
          <w:numId w:val="7"/>
        </w:numPr>
        <w:spacing w:before="120" w:after="120"/>
      </w:pPr>
      <w:r w:rsidRPr="00F90B95">
        <w:t xml:space="preserve">Treatment costs associated with SOC were based on the time on first-line treatment for the </w:t>
      </w:r>
      <w:r w:rsidR="00BD57F9" w:rsidRPr="00F90B95">
        <w:t xml:space="preserve">seven </w:t>
      </w:r>
      <w:r w:rsidRPr="00F90B95">
        <w:t>patients from the TRACC registry. Th</w:t>
      </w:r>
      <w:r w:rsidR="00AC7B2D" w:rsidRPr="00F90B95">
        <w:t>e</w:t>
      </w:r>
      <w:r w:rsidRPr="00F90B95">
        <w:t xml:space="preserve"> </w:t>
      </w:r>
      <w:r w:rsidR="00AC7B2D" w:rsidRPr="00F90B95">
        <w:t xml:space="preserve">evaluation considered that this </w:t>
      </w:r>
      <w:r w:rsidRPr="00F90B95">
        <w:t xml:space="preserve">data source was inappropriate as it would likely overestimate the time on treatment in the SOC arm as it does not relate to patients receiving the nominated comparators (FOLFIRI ± bevacizumab or </w:t>
      </w:r>
      <w:proofErr w:type="spellStart"/>
      <w:r w:rsidRPr="00F90B95">
        <w:t>cetuximab</w:t>
      </w:r>
      <w:proofErr w:type="spellEnd"/>
      <w:r w:rsidRPr="00F90B95">
        <w:t>) in a second</w:t>
      </w:r>
      <w:r w:rsidR="008612E6" w:rsidRPr="00F90B95">
        <w:t>-</w:t>
      </w:r>
      <w:r w:rsidRPr="00F90B95">
        <w:t xml:space="preserve"> or later</w:t>
      </w:r>
      <w:r w:rsidR="008612E6" w:rsidRPr="00F90B95">
        <w:t>-</w:t>
      </w:r>
      <w:r w:rsidRPr="00F90B95">
        <w:t>line setting. An overestimation of treatment costs in the SOC arm would bias the results in favour of pembrolizumab.</w:t>
      </w:r>
    </w:p>
    <w:p w:rsidR="00F708FB" w:rsidRPr="00F90B95" w:rsidRDefault="00F708FB" w:rsidP="0044164E">
      <w:pPr>
        <w:pStyle w:val="ListParagraph"/>
        <w:widowControl/>
        <w:numPr>
          <w:ilvl w:val="1"/>
          <w:numId w:val="7"/>
        </w:numPr>
        <w:spacing w:before="120" w:after="120"/>
      </w:pPr>
      <w:r w:rsidRPr="00F90B95">
        <w:t>The results of the economic model are provided in the table below.</w:t>
      </w:r>
      <w:r w:rsidR="00420B12" w:rsidRPr="00F90B95">
        <w:t xml:space="preserve"> The PSCR provided an updated ICER, which corrected for errors in the pricing of pembrolizumab and SOC.</w:t>
      </w:r>
    </w:p>
    <w:p w:rsidR="00F708FB" w:rsidRPr="00F90B95" w:rsidRDefault="00F708FB" w:rsidP="00F708FB">
      <w:pPr>
        <w:pStyle w:val="Caption"/>
        <w:keepNext/>
      </w:pPr>
      <w:r w:rsidRPr="00F90B95">
        <w:t xml:space="preserve">Table </w:t>
      </w:r>
      <w:r w:rsidR="003576F4" w:rsidRPr="00F90B95">
        <w:t>10</w:t>
      </w:r>
      <w:r w:rsidRPr="00F90B95">
        <w:t xml:space="preserve">: </w:t>
      </w:r>
      <w:r w:rsidRPr="00F90B95">
        <w:rPr>
          <w:rStyle w:val="CommentReference"/>
          <w:b/>
          <w:szCs w:val="18"/>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economic evaluation"/>
      </w:tblPr>
      <w:tblGrid>
        <w:gridCol w:w="2755"/>
        <w:gridCol w:w="2087"/>
        <w:gridCol w:w="2088"/>
        <w:gridCol w:w="2087"/>
      </w:tblGrid>
      <w:tr w:rsidR="00F708FB" w:rsidRPr="00F90B95" w:rsidTr="00420B12">
        <w:trPr>
          <w:tblHeader/>
        </w:trPr>
        <w:tc>
          <w:tcPr>
            <w:tcW w:w="1528" w:type="pct"/>
            <w:vAlign w:val="center"/>
          </w:tcPr>
          <w:p w:rsidR="00F708FB" w:rsidRPr="00F90B95" w:rsidRDefault="00F708FB" w:rsidP="00F708FB">
            <w:pPr>
              <w:pStyle w:val="Tabletext"/>
              <w:rPr>
                <w:b/>
              </w:rPr>
            </w:pPr>
            <w:r w:rsidRPr="00F90B95">
              <w:rPr>
                <w:b/>
              </w:rPr>
              <w:t>Component</w:t>
            </w:r>
          </w:p>
        </w:tc>
        <w:tc>
          <w:tcPr>
            <w:tcW w:w="1157" w:type="pct"/>
            <w:vAlign w:val="center"/>
          </w:tcPr>
          <w:p w:rsidR="00F708FB" w:rsidRPr="00F90B95" w:rsidRDefault="00F708FB" w:rsidP="00F708FB">
            <w:pPr>
              <w:pStyle w:val="Tabletext"/>
              <w:jc w:val="center"/>
              <w:rPr>
                <w:b/>
              </w:rPr>
            </w:pPr>
            <w:r w:rsidRPr="00F90B95">
              <w:rPr>
                <w:b/>
              </w:rPr>
              <w:t>SOC</w:t>
            </w:r>
          </w:p>
        </w:tc>
        <w:tc>
          <w:tcPr>
            <w:tcW w:w="1158" w:type="pct"/>
            <w:vAlign w:val="center"/>
          </w:tcPr>
          <w:p w:rsidR="00F708FB" w:rsidRPr="00F90B95" w:rsidRDefault="00F708FB" w:rsidP="00F708FB">
            <w:pPr>
              <w:pStyle w:val="Tabletext"/>
              <w:jc w:val="center"/>
              <w:rPr>
                <w:b/>
              </w:rPr>
            </w:pPr>
            <w:r w:rsidRPr="00F90B95">
              <w:rPr>
                <w:b/>
              </w:rPr>
              <w:t>Pembrolizumab</w:t>
            </w:r>
          </w:p>
        </w:tc>
        <w:tc>
          <w:tcPr>
            <w:tcW w:w="1157" w:type="pct"/>
            <w:vAlign w:val="center"/>
          </w:tcPr>
          <w:p w:rsidR="00F708FB" w:rsidRPr="00F90B95" w:rsidRDefault="00F708FB" w:rsidP="00F708FB">
            <w:pPr>
              <w:pStyle w:val="Tabletext"/>
              <w:jc w:val="center"/>
              <w:rPr>
                <w:b/>
              </w:rPr>
            </w:pPr>
            <w:r w:rsidRPr="00F90B95">
              <w:rPr>
                <w:b/>
              </w:rPr>
              <w:t>Increment</w:t>
            </w:r>
          </w:p>
        </w:tc>
      </w:tr>
      <w:tr w:rsidR="00F708FB" w:rsidRPr="00F90B95" w:rsidTr="00420B12">
        <w:tc>
          <w:tcPr>
            <w:tcW w:w="1528" w:type="pct"/>
            <w:vAlign w:val="center"/>
          </w:tcPr>
          <w:p w:rsidR="00F708FB" w:rsidRPr="00F90B95" w:rsidRDefault="00F708FB" w:rsidP="00F708FB">
            <w:pPr>
              <w:pStyle w:val="Tabletext"/>
              <w:rPr>
                <w:rFonts w:ascii="Times" w:hAnsi="Times"/>
              </w:rPr>
            </w:pPr>
            <w:r w:rsidRPr="00F90B95">
              <w:t>Costs</w:t>
            </w:r>
          </w:p>
        </w:tc>
        <w:tc>
          <w:tcPr>
            <w:tcW w:w="1157" w:type="pct"/>
            <w:vAlign w:val="bottom"/>
          </w:tcPr>
          <w:p w:rsidR="00F708FB" w:rsidRPr="00F90B95" w:rsidRDefault="00F708FB" w:rsidP="00F708FB">
            <w:pPr>
              <w:pStyle w:val="Tabletext"/>
              <w:ind w:right="790"/>
              <w:jc w:val="right"/>
            </w:pPr>
            <w:r w:rsidRPr="00F90B95">
              <w:t>$</w:t>
            </w:r>
            <w:r w:rsidR="00A36C14">
              <w:rPr>
                <w:noProof/>
                <w:color w:val="000000"/>
                <w:highlight w:val="black"/>
              </w:rPr>
              <w:t>'''''''''''''''</w:t>
            </w:r>
          </w:p>
        </w:tc>
        <w:tc>
          <w:tcPr>
            <w:tcW w:w="1158" w:type="pct"/>
            <w:vAlign w:val="bottom"/>
          </w:tcPr>
          <w:p w:rsidR="00F708FB" w:rsidRPr="00F90B95" w:rsidRDefault="00F708FB" w:rsidP="00F708FB">
            <w:pPr>
              <w:pStyle w:val="Tabletext"/>
              <w:ind w:right="790"/>
              <w:jc w:val="right"/>
            </w:pPr>
            <w:r w:rsidRPr="00F90B95">
              <w:t>$</w:t>
            </w:r>
            <w:r w:rsidR="00A36C14">
              <w:rPr>
                <w:noProof/>
                <w:color w:val="000000"/>
                <w:highlight w:val="black"/>
              </w:rPr>
              <w:t>'''''''''''''''''</w:t>
            </w:r>
          </w:p>
        </w:tc>
        <w:tc>
          <w:tcPr>
            <w:tcW w:w="1157" w:type="pct"/>
            <w:vAlign w:val="bottom"/>
          </w:tcPr>
          <w:p w:rsidR="00F708FB" w:rsidRPr="00F90B95" w:rsidRDefault="00F708FB" w:rsidP="00F708FB">
            <w:pPr>
              <w:pStyle w:val="Tabletext"/>
              <w:ind w:right="790"/>
              <w:jc w:val="right"/>
            </w:pPr>
            <w:r w:rsidRPr="00F90B95">
              <w:t>$</w:t>
            </w:r>
            <w:r w:rsidR="00A36C14">
              <w:rPr>
                <w:noProof/>
                <w:color w:val="000000"/>
                <w:highlight w:val="black"/>
              </w:rPr>
              <w:t>'''''''''''''''''</w:t>
            </w:r>
          </w:p>
        </w:tc>
      </w:tr>
      <w:tr w:rsidR="00F708FB" w:rsidRPr="00F90B95" w:rsidTr="00420B12">
        <w:tc>
          <w:tcPr>
            <w:tcW w:w="1528" w:type="pct"/>
            <w:vAlign w:val="center"/>
          </w:tcPr>
          <w:p w:rsidR="00F708FB" w:rsidRPr="00F90B95" w:rsidRDefault="00F708FB" w:rsidP="00F708FB">
            <w:pPr>
              <w:pStyle w:val="Tabletext"/>
              <w:rPr>
                <w:rFonts w:ascii="Times" w:hAnsi="Times"/>
              </w:rPr>
            </w:pPr>
            <w:r w:rsidRPr="00F90B95">
              <w:t>LYG</w:t>
            </w:r>
          </w:p>
        </w:tc>
        <w:tc>
          <w:tcPr>
            <w:tcW w:w="1157" w:type="pct"/>
            <w:vAlign w:val="bottom"/>
          </w:tcPr>
          <w:p w:rsidR="00F708FB" w:rsidRPr="00F90B95" w:rsidRDefault="00F708FB" w:rsidP="00F708FB">
            <w:pPr>
              <w:pStyle w:val="Tabletext"/>
              <w:ind w:right="790"/>
              <w:jc w:val="right"/>
            </w:pPr>
            <w:r w:rsidRPr="00F90B95">
              <w:t>1.8139</w:t>
            </w:r>
          </w:p>
        </w:tc>
        <w:tc>
          <w:tcPr>
            <w:tcW w:w="1158" w:type="pct"/>
            <w:vAlign w:val="bottom"/>
          </w:tcPr>
          <w:p w:rsidR="00F708FB" w:rsidRPr="00F90B95" w:rsidRDefault="00F708FB" w:rsidP="00F708FB">
            <w:pPr>
              <w:pStyle w:val="Tabletext"/>
              <w:ind w:right="790"/>
              <w:jc w:val="right"/>
            </w:pPr>
            <w:r w:rsidRPr="00F90B95">
              <w:t>2.4218</w:t>
            </w:r>
          </w:p>
        </w:tc>
        <w:tc>
          <w:tcPr>
            <w:tcW w:w="1157" w:type="pct"/>
            <w:vAlign w:val="bottom"/>
          </w:tcPr>
          <w:p w:rsidR="00F708FB" w:rsidRPr="00F90B95" w:rsidRDefault="00F708FB" w:rsidP="00F708FB">
            <w:pPr>
              <w:pStyle w:val="Tabletext"/>
              <w:ind w:right="790"/>
              <w:jc w:val="right"/>
            </w:pPr>
            <w:r w:rsidRPr="00F90B95">
              <w:t>0.6079</w:t>
            </w:r>
          </w:p>
        </w:tc>
      </w:tr>
      <w:tr w:rsidR="00F708FB" w:rsidRPr="00F90B95" w:rsidTr="00420B12">
        <w:tc>
          <w:tcPr>
            <w:tcW w:w="1528" w:type="pct"/>
            <w:vAlign w:val="center"/>
          </w:tcPr>
          <w:p w:rsidR="00F708FB" w:rsidRPr="00F90B95" w:rsidRDefault="00F708FB" w:rsidP="00F708FB">
            <w:pPr>
              <w:pStyle w:val="Tabletext"/>
            </w:pPr>
            <w:r w:rsidRPr="00F90B95">
              <w:t>QALY</w:t>
            </w:r>
          </w:p>
        </w:tc>
        <w:tc>
          <w:tcPr>
            <w:tcW w:w="1157" w:type="pct"/>
            <w:vAlign w:val="bottom"/>
          </w:tcPr>
          <w:p w:rsidR="00F708FB" w:rsidRPr="00F90B95" w:rsidRDefault="00F708FB" w:rsidP="00F708FB">
            <w:pPr>
              <w:pStyle w:val="Tabletext"/>
              <w:ind w:right="790"/>
              <w:jc w:val="right"/>
            </w:pPr>
            <w:r w:rsidRPr="00F90B95">
              <w:t>1.1825</w:t>
            </w:r>
          </w:p>
        </w:tc>
        <w:tc>
          <w:tcPr>
            <w:tcW w:w="1158" w:type="pct"/>
            <w:vAlign w:val="bottom"/>
          </w:tcPr>
          <w:p w:rsidR="00F708FB" w:rsidRPr="00F90B95" w:rsidRDefault="00F708FB" w:rsidP="00F708FB">
            <w:pPr>
              <w:pStyle w:val="Tabletext"/>
              <w:ind w:right="790"/>
              <w:jc w:val="right"/>
            </w:pPr>
            <w:r w:rsidRPr="00F90B95">
              <w:t>1.6132</w:t>
            </w:r>
          </w:p>
        </w:tc>
        <w:tc>
          <w:tcPr>
            <w:tcW w:w="1157" w:type="pct"/>
            <w:vAlign w:val="bottom"/>
          </w:tcPr>
          <w:p w:rsidR="00F708FB" w:rsidRPr="00F90B95" w:rsidRDefault="00F708FB" w:rsidP="00F708FB">
            <w:pPr>
              <w:pStyle w:val="Tabletext"/>
              <w:ind w:right="790"/>
              <w:jc w:val="right"/>
            </w:pPr>
            <w:r w:rsidRPr="00F90B95">
              <w:t>0.4307</w:t>
            </w:r>
          </w:p>
        </w:tc>
      </w:tr>
      <w:tr w:rsidR="00F708FB" w:rsidRPr="00F90B95" w:rsidTr="00F708FB">
        <w:tc>
          <w:tcPr>
            <w:tcW w:w="3843" w:type="pct"/>
            <w:gridSpan w:val="3"/>
            <w:vAlign w:val="center"/>
          </w:tcPr>
          <w:p w:rsidR="00F708FB" w:rsidRPr="00F90B95" w:rsidRDefault="00F708FB" w:rsidP="00F708FB">
            <w:pPr>
              <w:pStyle w:val="Tabletext"/>
            </w:pPr>
            <w:r w:rsidRPr="00F90B95">
              <w:t>Incremental cost/extra LY gained</w:t>
            </w:r>
          </w:p>
        </w:tc>
        <w:tc>
          <w:tcPr>
            <w:tcW w:w="1157" w:type="pct"/>
            <w:vAlign w:val="bottom"/>
          </w:tcPr>
          <w:p w:rsidR="00F708FB" w:rsidRPr="00F90B95" w:rsidRDefault="00F708FB" w:rsidP="00F708FB">
            <w:pPr>
              <w:pStyle w:val="Tabletext"/>
              <w:jc w:val="center"/>
            </w:pPr>
            <w:r w:rsidRPr="00F90B95">
              <w:t>$</w:t>
            </w:r>
            <w:r w:rsidR="00A36C14">
              <w:rPr>
                <w:noProof/>
                <w:color w:val="000000"/>
                <w:highlight w:val="black"/>
              </w:rPr>
              <w:t>''''''''''''''''</w:t>
            </w:r>
          </w:p>
        </w:tc>
      </w:tr>
      <w:tr w:rsidR="00F708FB" w:rsidRPr="00F90B95" w:rsidTr="00F708FB">
        <w:tc>
          <w:tcPr>
            <w:tcW w:w="3843" w:type="pct"/>
            <w:gridSpan w:val="3"/>
            <w:vAlign w:val="center"/>
          </w:tcPr>
          <w:p w:rsidR="00F708FB" w:rsidRPr="00F90B95" w:rsidRDefault="00F708FB" w:rsidP="00F708FB">
            <w:pPr>
              <w:pStyle w:val="Tabletext"/>
            </w:pPr>
            <w:r w:rsidRPr="00F90B95">
              <w:t>Incremental cost/extra QALY gained</w:t>
            </w:r>
          </w:p>
        </w:tc>
        <w:tc>
          <w:tcPr>
            <w:tcW w:w="1157" w:type="pct"/>
            <w:vAlign w:val="bottom"/>
          </w:tcPr>
          <w:p w:rsidR="00F708FB" w:rsidRPr="00F90B95" w:rsidRDefault="00F708FB" w:rsidP="00F708FB">
            <w:pPr>
              <w:pStyle w:val="Tabletext"/>
              <w:jc w:val="center"/>
            </w:pPr>
            <w:r w:rsidRPr="00F90B95">
              <w:t>$</w:t>
            </w:r>
            <w:r w:rsidR="00A36C14">
              <w:rPr>
                <w:noProof/>
                <w:color w:val="000000"/>
                <w:highlight w:val="black"/>
              </w:rPr>
              <w:t>''''''''''''''''''</w:t>
            </w:r>
          </w:p>
        </w:tc>
      </w:tr>
      <w:tr w:rsidR="00420B12" w:rsidRPr="00F90B95" w:rsidTr="00F708FB">
        <w:tc>
          <w:tcPr>
            <w:tcW w:w="3843" w:type="pct"/>
            <w:gridSpan w:val="3"/>
            <w:vAlign w:val="center"/>
          </w:tcPr>
          <w:p w:rsidR="00420B12" w:rsidRPr="00F90B95" w:rsidRDefault="00420B12" w:rsidP="009A6AD8">
            <w:pPr>
              <w:pStyle w:val="Tabletext"/>
            </w:pPr>
            <w:r w:rsidRPr="00F90B95">
              <w:t>Incrementa</w:t>
            </w:r>
            <w:r w:rsidR="009A6AD8" w:rsidRPr="00F90B95">
              <w:t>l cost/extra QALY gained – PSCR</w:t>
            </w:r>
            <w:r w:rsidRPr="00F90B95">
              <w:t>*</w:t>
            </w:r>
          </w:p>
        </w:tc>
        <w:tc>
          <w:tcPr>
            <w:tcW w:w="1157" w:type="pct"/>
            <w:vAlign w:val="bottom"/>
          </w:tcPr>
          <w:p w:rsidR="00420B12" w:rsidRPr="00F90B95" w:rsidRDefault="00420B12" w:rsidP="00F708FB">
            <w:pPr>
              <w:pStyle w:val="Tabletext"/>
              <w:jc w:val="center"/>
            </w:pPr>
            <w:r w:rsidRPr="00F90B95">
              <w:t>$</w:t>
            </w:r>
            <w:r w:rsidR="00A36C14">
              <w:rPr>
                <w:noProof/>
                <w:color w:val="000000"/>
                <w:highlight w:val="black"/>
              </w:rPr>
              <w:t>'''''''''''''''</w:t>
            </w:r>
          </w:p>
        </w:tc>
      </w:tr>
    </w:tbl>
    <w:p w:rsidR="00F708FB" w:rsidRPr="00F90B95" w:rsidRDefault="00420B12" w:rsidP="00F708FB">
      <w:pPr>
        <w:pStyle w:val="TableFooter"/>
      </w:pPr>
      <w:r w:rsidRPr="00F90B95">
        <w:t xml:space="preserve">LY = life year, LYG = life year gained; PSCR = pre-Sub-Committee response; </w:t>
      </w:r>
      <w:r w:rsidR="00F708FB" w:rsidRPr="00F90B95">
        <w:t>QALY = quality-adjusted life year; SOC = standard of care</w:t>
      </w:r>
      <w:r w:rsidR="00E319A0" w:rsidRPr="00F90B95">
        <w:t>.</w:t>
      </w:r>
    </w:p>
    <w:p w:rsidR="00420B12" w:rsidRPr="00F90B95" w:rsidRDefault="00420B12" w:rsidP="00F708FB">
      <w:pPr>
        <w:pStyle w:val="TableFooter"/>
      </w:pPr>
      <w:r w:rsidRPr="00F90B95">
        <w:t>* PSCR amendments included correcting the methodology used to calculate the dispensed price for pembrolizumab and applying the methodology to the SOC arm</w:t>
      </w:r>
      <w:r w:rsidR="00E319A0" w:rsidRPr="00F90B95">
        <w:t>.</w:t>
      </w:r>
    </w:p>
    <w:p w:rsidR="00F708FB" w:rsidRPr="00F90B95" w:rsidRDefault="00F708FB" w:rsidP="00F708FB">
      <w:pPr>
        <w:pStyle w:val="TableFooter"/>
        <w:rPr>
          <w:sz w:val="20"/>
        </w:rPr>
      </w:pPr>
      <w:r w:rsidRPr="00F90B95">
        <w:t>Source: ‘Control’ worksheet of ‘</w:t>
      </w:r>
      <w:proofErr w:type="spellStart"/>
      <w:r w:rsidRPr="00F90B95">
        <w:t>Att</w:t>
      </w:r>
      <w:proofErr w:type="spellEnd"/>
      <w:r w:rsidRPr="00F90B95">
        <w:t xml:space="preserve"> 6.xlsx’</w:t>
      </w:r>
      <w:r w:rsidR="00420B12" w:rsidRPr="00F90B95">
        <w:t xml:space="preserve"> and p3 of the PSCR</w:t>
      </w:r>
      <w:r w:rsidR="00E319A0" w:rsidRPr="00F90B95">
        <w:t>.</w:t>
      </w:r>
    </w:p>
    <w:p w:rsidR="001C26D1" w:rsidRPr="00F90B95" w:rsidRDefault="001C26D1" w:rsidP="0044164E">
      <w:pPr>
        <w:pStyle w:val="ListParagraph"/>
        <w:widowControl/>
        <w:numPr>
          <w:ilvl w:val="1"/>
          <w:numId w:val="7"/>
        </w:numPr>
        <w:spacing w:before="120" w:after="120"/>
      </w:pPr>
      <w:r w:rsidRPr="00F90B95">
        <w:t xml:space="preserve">The ESC considered that the results of the economic evaluation were </w:t>
      </w:r>
      <w:r w:rsidR="004F4F41" w:rsidRPr="00F90B95">
        <w:t>unreliable</w:t>
      </w:r>
      <w:r w:rsidRPr="00F90B95">
        <w:t xml:space="preserve"> due to </w:t>
      </w:r>
      <w:r w:rsidR="00A54992" w:rsidRPr="00F90B95">
        <w:t xml:space="preserve">the </w:t>
      </w:r>
      <w:r w:rsidR="00BD57F9" w:rsidRPr="00F90B95">
        <w:t xml:space="preserve">very small </w:t>
      </w:r>
      <w:r w:rsidR="00A54992" w:rsidRPr="00F90B95">
        <w:t>size of the subgroup used to inform the SOC arm</w:t>
      </w:r>
      <w:r w:rsidR="00BD57F9" w:rsidRPr="00F90B95">
        <w:t xml:space="preserve"> (seven patients)</w:t>
      </w:r>
      <w:r w:rsidR="00A54992" w:rsidRPr="00F90B95">
        <w:t xml:space="preserve">, </w:t>
      </w:r>
      <w:r w:rsidRPr="00F90B95">
        <w:t>issues with the structure of the modelled treatment effect, extrapolation issues and transitivity issues.</w:t>
      </w:r>
    </w:p>
    <w:p w:rsidR="00F708FB" w:rsidRPr="00F90B95" w:rsidRDefault="00F708FB" w:rsidP="0044164E">
      <w:pPr>
        <w:pStyle w:val="Heading2"/>
        <w:spacing w:before="120"/>
      </w:pPr>
      <w:bookmarkStart w:id="19" w:name="_Toc535588647"/>
      <w:r w:rsidRPr="00F90B95">
        <w:t>Drug cost/patient/</w:t>
      </w:r>
      <w:r w:rsidR="0024528D" w:rsidRPr="00F90B95">
        <w:t>course: $</w:t>
      </w:r>
      <w:bookmarkEnd w:id="19"/>
      <w:r w:rsidR="00A36C14">
        <w:rPr>
          <w:noProof/>
          <w:color w:val="000000"/>
          <w:highlight w:val="black"/>
        </w:rPr>
        <w:t>'''''''''''''</w:t>
      </w:r>
    </w:p>
    <w:p w:rsidR="00F708FB" w:rsidRPr="00F90B95" w:rsidRDefault="00F708FB" w:rsidP="0044164E">
      <w:pPr>
        <w:pStyle w:val="ListParagraph"/>
        <w:numPr>
          <w:ilvl w:val="1"/>
          <w:numId w:val="7"/>
        </w:numPr>
        <w:spacing w:before="120" w:after="120"/>
      </w:pPr>
      <w:r w:rsidRPr="00F90B95">
        <w:t>The cost of treatment with pembrolizumab for the average patient is $</w:t>
      </w:r>
      <w:r w:rsidR="00A36C14">
        <w:rPr>
          <w:noProof/>
          <w:color w:val="000000"/>
          <w:highlight w:val="black"/>
        </w:rPr>
        <w:t>''''''''''''''</w:t>
      </w:r>
      <w:r w:rsidR="0024528D" w:rsidRPr="00F90B95">
        <w:t>, including patient co</w:t>
      </w:r>
      <w:r w:rsidR="00AC3945" w:rsidRPr="00F90B95">
        <w:t>-</w:t>
      </w:r>
      <w:r w:rsidR="0024528D" w:rsidRPr="00F90B95">
        <w:t>payments</w:t>
      </w:r>
      <w:r w:rsidRPr="00F90B95">
        <w:t>, based on an ex-manufacturer price of $</w:t>
      </w:r>
      <w:r w:rsidR="00A36C14">
        <w:rPr>
          <w:noProof/>
          <w:color w:val="000000"/>
          <w:highlight w:val="black"/>
        </w:rPr>
        <w:t>''''''''''''''''</w:t>
      </w:r>
      <w:r w:rsidRPr="00F90B95">
        <w:t>/100</w:t>
      </w:r>
      <w:r w:rsidR="00994196" w:rsidRPr="00F90B95">
        <w:t> </w:t>
      </w:r>
      <w:r w:rsidR="0099565E" w:rsidRPr="00F90B95">
        <w:t>mg vial and</w:t>
      </w:r>
      <w:r w:rsidR="00994196" w:rsidRPr="00F90B95">
        <w:t xml:space="preserve"> 200 </w:t>
      </w:r>
      <w:r w:rsidRPr="00F90B95">
        <w:t xml:space="preserve">mg fixed dosing </w:t>
      </w:r>
      <w:r w:rsidR="00AC3945" w:rsidRPr="00F90B95">
        <w:t>every three weeks</w:t>
      </w:r>
      <w:r w:rsidRPr="00F90B95">
        <w:t xml:space="preserve"> </w:t>
      </w:r>
      <w:r w:rsidR="00BB377E" w:rsidRPr="00F90B95">
        <w:t>for a maximum of 35 cycles (</w:t>
      </w:r>
      <w:r w:rsidRPr="00F90B95">
        <w:t>2 years</w:t>
      </w:r>
      <w:r w:rsidR="00BB377E" w:rsidRPr="00F90B95">
        <w:t>)</w:t>
      </w:r>
      <w:r w:rsidR="0099565E" w:rsidRPr="00F90B95">
        <w:t xml:space="preserve">. This cost </w:t>
      </w:r>
      <w:r w:rsidR="00C54B06" w:rsidRPr="00F90B95">
        <w:t>excludes</w:t>
      </w:r>
      <w:r w:rsidRPr="00F90B95">
        <w:t xml:space="preserve"> $</w:t>
      </w:r>
      <w:r w:rsidR="00A36C14">
        <w:rPr>
          <w:noProof/>
          <w:color w:val="000000"/>
          <w:highlight w:val="black"/>
        </w:rPr>
        <w:t>''''''''''''</w:t>
      </w:r>
      <w:r w:rsidRPr="00F90B95">
        <w:t xml:space="preserve"> in drug administration costs.</w:t>
      </w:r>
    </w:p>
    <w:p w:rsidR="00F708FB" w:rsidRPr="00F90B95" w:rsidRDefault="00F708FB" w:rsidP="0044164E">
      <w:pPr>
        <w:pStyle w:val="ListParagraph"/>
        <w:numPr>
          <w:ilvl w:val="1"/>
          <w:numId w:val="7"/>
        </w:numPr>
        <w:spacing w:before="120" w:after="120"/>
      </w:pPr>
      <w:r w:rsidRPr="00F90B95">
        <w:t xml:space="preserve">The cost of treatment with SOC for the average patient is </w:t>
      </w:r>
      <w:r w:rsidR="003F67A9" w:rsidRPr="00F90B95">
        <w:t>$</w:t>
      </w:r>
      <w:r w:rsidR="003F67A9" w:rsidRPr="001A45D6">
        <w:t>48,138</w:t>
      </w:r>
      <w:r w:rsidRPr="00F90B95">
        <w:t>, based on published ex-manufacturer prices and treatment in accordance with published prot</w:t>
      </w:r>
      <w:r w:rsidR="003F67A9" w:rsidRPr="00F90B95">
        <w:t>ocols until disease progression. This does not include costs associated with administration</w:t>
      </w:r>
      <w:r w:rsidR="003F67A9" w:rsidRPr="00F90B95">
        <w:rPr>
          <w:rStyle w:val="FootnoteReference"/>
        </w:rPr>
        <w:footnoteReference w:id="6"/>
      </w:r>
      <w:r w:rsidRPr="00F90B95">
        <w:t xml:space="preserve">. As </w:t>
      </w:r>
      <w:r w:rsidRPr="00F90B95">
        <w:lastRenderedPageBreak/>
        <w:t xml:space="preserve">noted above, time on treatment for the SOC was based on time on first-line treatment for a small number of patients in the TRACC database (n=7) and </w:t>
      </w:r>
      <w:r w:rsidR="00AC7B2D" w:rsidRPr="00F90B95">
        <w:t>wa</w:t>
      </w:r>
      <w:r w:rsidRPr="00F90B95">
        <w:t>s not related to time on sec</w:t>
      </w:r>
      <w:r w:rsidR="007468F0" w:rsidRPr="00F90B95">
        <w:t>ond</w:t>
      </w:r>
      <w:r w:rsidR="008612E6" w:rsidRPr="00F90B95">
        <w:t>-</w:t>
      </w:r>
      <w:r w:rsidR="007468F0" w:rsidRPr="00F90B95">
        <w:t xml:space="preserve"> or later</w:t>
      </w:r>
      <w:r w:rsidR="008612E6" w:rsidRPr="00F90B95">
        <w:t>-</w:t>
      </w:r>
      <w:r w:rsidR="007468F0" w:rsidRPr="00F90B95">
        <w:t>line treatments.</w:t>
      </w:r>
    </w:p>
    <w:p w:rsidR="00B60939" w:rsidRPr="00F90B95" w:rsidRDefault="00B60939" w:rsidP="0044164E">
      <w:pPr>
        <w:pStyle w:val="Heading2"/>
        <w:spacing w:before="120"/>
      </w:pPr>
      <w:bookmarkStart w:id="20" w:name="_Toc535588648"/>
      <w:r w:rsidRPr="00F90B95">
        <w:t>Estimated PBS usage &amp; financial implications</w:t>
      </w:r>
      <w:bookmarkEnd w:id="20"/>
    </w:p>
    <w:p w:rsidR="006C4DBB" w:rsidRPr="00F90B95" w:rsidRDefault="000B67E0" w:rsidP="0044164E">
      <w:pPr>
        <w:pStyle w:val="ListParagraph"/>
        <w:widowControl/>
        <w:numPr>
          <w:ilvl w:val="1"/>
          <w:numId w:val="7"/>
        </w:numPr>
        <w:spacing w:before="120" w:after="120"/>
      </w:pPr>
      <w:r w:rsidRPr="00F90B95">
        <w:t>This submissi</w:t>
      </w:r>
      <w:r w:rsidR="00E319A0" w:rsidRPr="00F90B95">
        <w:t>on was considered by DUSC.</w:t>
      </w:r>
    </w:p>
    <w:p w:rsidR="006C4DBB" w:rsidRPr="00F90B95" w:rsidRDefault="00A84328" w:rsidP="0044164E">
      <w:pPr>
        <w:pStyle w:val="ListParagraph"/>
        <w:widowControl/>
        <w:numPr>
          <w:ilvl w:val="1"/>
          <w:numId w:val="7"/>
        </w:numPr>
        <w:spacing w:before="120" w:after="120"/>
      </w:pPr>
      <w:r w:rsidRPr="00F90B95">
        <w:t xml:space="preserve">The submission used an epidemiological approach to estimate the size of the eligible patient population. </w:t>
      </w:r>
      <w:r w:rsidR="006C4DBB" w:rsidRPr="00F90B95">
        <w:t>DUSC considered the estimates presented in the submission to be overestimated. The main issues were:</w:t>
      </w:r>
    </w:p>
    <w:p w:rsidR="006C4DBB" w:rsidRPr="00F90B95" w:rsidRDefault="006C4DBB" w:rsidP="0044164E">
      <w:pPr>
        <w:pStyle w:val="ListParagraph"/>
        <w:numPr>
          <w:ilvl w:val="0"/>
          <w:numId w:val="14"/>
        </w:numPr>
        <w:spacing w:before="120" w:after="120"/>
        <w:ind w:left="1077" w:hanging="357"/>
        <w:rPr>
          <w:szCs w:val="24"/>
        </w:rPr>
      </w:pPr>
      <w:r w:rsidRPr="00F90B95">
        <w:rPr>
          <w:szCs w:val="24"/>
        </w:rPr>
        <w:t xml:space="preserve">Although DUSC considered that the estimate of treated patients was likely </w:t>
      </w:r>
      <w:r w:rsidR="00E319A0" w:rsidRPr="00F90B95">
        <w:rPr>
          <w:szCs w:val="24"/>
        </w:rPr>
        <w:t xml:space="preserve">to be </w:t>
      </w:r>
      <w:r w:rsidRPr="00F90B95">
        <w:rPr>
          <w:szCs w:val="24"/>
        </w:rPr>
        <w:t>reasonable, the number of treatments per patient was unlikely to be 17 or 18.</w:t>
      </w:r>
    </w:p>
    <w:p w:rsidR="006C4DBB" w:rsidRPr="00F90B95" w:rsidRDefault="00B044D1" w:rsidP="0044164E">
      <w:pPr>
        <w:pStyle w:val="ListParagraph"/>
        <w:numPr>
          <w:ilvl w:val="0"/>
          <w:numId w:val="14"/>
        </w:numPr>
        <w:spacing w:before="120" w:after="120"/>
        <w:ind w:left="1077" w:hanging="357"/>
        <w:rPr>
          <w:szCs w:val="24"/>
        </w:rPr>
      </w:pPr>
      <w:r w:rsidRPr="00F90B95">
        <w:rPr>
          <w:szCs w:val="24"/>
        </w:rPr>
        <w:t xml:space="preserve">The risk of bias in the assumptions derived from expert opinion presented in the submission was unclear. There was a lack of detail provided in the submission for the clinician surveys that were conducted, including </w:t>
      </w:r>
      <w:r w:rsidR="006C4DBB" w:rsidRPr="00F90B95">
        <w:rPr>
          <w:szCs w:val="24"/>
        </w:rPr>
        <w:t xml:space="preserve">information about the questions asked, the method used, and whether </w:t>
      </w:r>
      <w:r w:rsidR="00E319A0" w:rsidRPr="00F90B95">
        <w:rPr>
          <w:szCs w:val="24"/>
        </w:rPr>
        <w:t>the experts had any conflicts of interest.</w:t>
      </w:r>
    </w:p>
    <w:p w:rsidR="006C4DBB" w:rsidRPr="00F90B95" w:rsidRDefault="006C4DBB" w:rsidP="0044164E">
      <w:pPr>
        <w:pStyle w:val="ListParagraph"/>
        <w:numPr>
          <w:ilvl w:val="0"/>
          <w:numId w:val="14"/>
        </w:numPr>
        <w:spacing w:before="120" w:after="120"/>
        <w:ind w:left="1077" w:hanging="357"/>
        <w:rPr>
          <w:szCs w:val="24"/>
        </w:rPr>
      </w:pPr>
      <w:r w:rsidRPr="00F90B95">
        <w:rPr>
          <w:szCs w:val="24"/>
        </w:rPr>
        <w:t>The prevalent pool should represent patients who were diagnosed with Stage I to III disease, who progress to Stage IV each year. DUSC considered it would have been more appropriate to use a 5-year prevalent pool and estimate the number of patients in this pool wh</w:t>
      </w:r>
      <w:r w:rsidR="00E319A0" w:rsidRPr="00F90B95">
        <w:rPr>
          <w:szCs w:val="24"/>
        </w:rPr>
        <w:t>o progress to Stage IV disease.</w:t>
      </w:r>
    </w:p>
    <w:p w:rsidR="006C4DBB" w:rsidRPr="00F90B95" w:rsidRDefault="006C4DBB" w:rsidP="0044164E">
      <w:pPr>
        <w:pStyle w:val="ListParagraph"/>
        <w:numPr>
          <w:ilvl w:val="0"/>
          <w:numId w:val="14"/>
        </w:numPr>
        <w:spacing w:before="120" w:after="120"/>
        <w:ind w:left="1077" w:hanging="357"/>
        <w:rPr>
          <w:szCs w:val="24"/>
        </w:rPr>
      </w:pPr>
      <w:r w:rsidRPr="00F90B95">
        <w:rPr>
          <w:szCs w:val="24"/>
        </w:rPr>
        <w:t xml:space="preserve">The rate of </w:t>
      </w:r>
      <w:proofErr w:type="spellStart"/>
      <w:r w:rsidRPr="00F90B95">
        <w:rPr>
          <w:szCs w:val="24"/>
        </w:rPr>
        <w:t>dMMR</w:t>
      </w:r>
      <w:proofErr w:type="spellEnd"/>
      <w:r w:rsidRPr="00F90B95">
        <w:rPr>
          <w:szCs w:val="24"/>
        </w:rPr>
        <w:t xml:space="preserve"> was uncertain</w:t>
      </w:r>
      <w:r w:rsidR="00E319A0" w:rsidRPr="00F90B95">
        <w:rPr>
          <w:szCs w:val="24"/>
        </w:rPr>
        <w:t>,</w:t>
      </w:r>
      <w:r w:rsidRPr="00F90B95">
        <w:rPr>
          <w:szCs w:val="24"/>
        </w:rPr>
        <w:t xml:space="preserve"> but DUSC considered that the submission’s estimate of 4% may be reasonable.</w:t>
      </w:r>
    </w:p>
    <w:p w:rsidR="00A84328" w:rsidRPr="00F90B95" w:rsidRDefault="00B044D1" w:rsidP="0044164E">
      <w:pPr>
        <w:pStyle w:val="ListParagraph"/>
        <w:numPr>
          <w:ilvl w:val="0"/>
          <w:numId w:val="14"/>
        </w:numPr>
        <w:spacing w:before="120" w:after="120"/>
        <w:ind w:left="1077" w:hanging="357"/>
        <w:rPr>
          <w:szCs w:val="24"/>
        </w:rPr>
      </w:pPr>
      <w:r w:rsidRPr="00F90B95">
        <w:rPr>
          <w:szCs w:val="24"/>
        </w:rPr>
        <w:t>Uncertainty around the treatment</w:t>
      </w:r>
      <w:r w:rsidR="006C4DBB" w:rsidRPr="00F90B95">
        <w:rPr>
          <w:szCs w:val="24"/>
        </w:rPr>
        <w:t xml:space="preserve"> uptake rate and estimate of the propo</w:t>
      </w:r>
      <w:r w:rsidR="008612E6" w:rsidRPr="00F90B95">
        <w:rPr>
          <w:szCs w:val="24"/>
        </w:rPr>
        <w:t>rtion of patients who had first-</w:t>
      </w:r>
      <w:r w:rsidR="006C4DBB" w:rsidRPr="00F90B95">
        <w:rPr>
          <w:szCs w:val="24"/>
        </w:rPr>
        <w:t>line treatment</w:t>
      </w:r>
      <w:r w:rsidRPr="00F90B95">
        <w:rPr>
          <w:szCs w:val="24"/>
        </w:rPr>
        <w:t xml:space="preserve">, however DUSC considered that these assumptions </w:t>
      </w:r>
      <w:r w:rsidR="00034D39" w:rsidRPr="00F90B95">
        <w:rPr>
          <w:szCs w:val="24"/>
        </w:rPr>
        <w:t>were reasonable</w:t>
      </w:r>
      <w:r w:rsidR="006C4DBB" w:rsidRPr="00F90B95">
        <w:rPr>
          <w:szCs w:val="24"/>
        </w:rPr>
        <w:t>.</w:t>
      </w:r>
    </w:p>
    <w:p w:rsidR="00A84328" w:rsidRPr="00F90B95" w:rsidRDefault="00A84328" w:rsidP="0044164E">
      <w:pPr>
        <w:pStyle w:val="ListParagraph"/>
        <w:widowControl/>
        <w:numPr>
          <w:ilvl w:val="1"/>
          <w:numId w:val="7"/>
        </w:numPr>
        <w:spacing w:before="120" w:after="120"/>
      </w:pPr>
      <w:r w:rsidRPr="00F90B95">
        <w:t xml:space="preserve">The submission assumed that </w:t>
      </w:r>
      <w:r w:rsidR="001C6EE4" w:rsidRPr="00F90B95">
        <w:t xml:space="preserve">if listed, the uptake of </w:t>
      </w:r>
      <w:r w:rsidRPr="00F90B95">
        <w:t>pembrolizumab</w:t>
      </w:r>
      <w:r w:rsidR="00AC7B2D" w:rsidRPr="00F90B95">
        <w:t xml:space="preserve"> </w:t>
      </w:r>
      <w:r w:rsidRPr="00F90B95">
        <w:t xml:space="preserve">would increase from 50% </w:t>
      </w:r>
      <w:r w:rsidR="001C6EE4" w:rsidRPr="00F90B95">
        <w:t xml:space="preserve">in Year 1 </w:t>
      </w:r>
      <w:r w:rsidRPr="00F90B95">
        <w:t>to 80%</w:t>
      </w:r>
      <w:r w:rsidR="001C6EE4" w:rsidRPr="00F90B95">
        <w:t xml:space="preserve"> in Year 6</w:t>
      </w:r>
      <w:r w:rsidRPr="00F90B95">
        <w:t>.</w:t>
      </w:r>
    </w:p>
    <w:p w:rsidR="00E319A0" w:rsidRPr="00F90B95" w:rsidRDefault="006C4DBB" w:rsidP="0044164E">
      <w:pPr>
        <w:pStyle w:val="ListParagraph"/>
        <w:widowControl/>
        <w:numPr>
          <w:ilvl w:val="1"/>
          <w:numId w:val="7"/>
        </w:numPr>
        <w:spacing w:before="120" w:after="120"/>
      </w:pPr>
      <w:r w:rsidRPr="00F90B95">
        <w:t>In addition, t</w:t>
      </w:r>
      <w:r w:rsidR="00A84328" w:rsidRPr="00F90B95">
        <w:t xml:space="preserve">he magnitude of </w:t>
      </w:r>
      <w:r w:rsidR="001C6EE4" w:rsidRPr="00F90B95">
        <w:t xml:space="preserve">the </w:t>
      </w:r>
      <w:r w:rsidR="00A84328" w:rsidRPr="00F90B95">
        <w:t>cost offsets remain</w:t>
      </w:r>
      <w:r w:rsidR="001C6EE4" w:rsidRPr="00F90B95">
        <w:t>ed</w:t>
      </w:r>
      <w:r w:rsidR="00A84328" w:rsidRPr="00F90B95">
        <w:t xml:space="preserve"> uncertain. The submission used the </w:t>
      </w:r>
      <w:r w:rsidR="001C6EE4" w:rsidRPr="00F90B95">
        <w:t xml:space="preserve">SOC </w:t>
      </w:r>
      <w:proofErr w:type="spellStart"/>
      <w:r w:rsidR="00A84328" w:rsidRPr="00F90B95">
        <w:t>ToT</w:t>
      </w:r>
      <w:proofErr w:type="spellEnd"/>
      <w:r w:rsidR="00A84328" w:rsidRPr="00F90B95">
        <w:t xml:space="preserve"> curve from </w:t>
      </w:r>
      <w:r w:rsidR="00AC7B2D" w:rsidRPr="00F90B95">
        <w:t>the economic model</w:t>
      </w:r>
      <w:r w:rsidR="00A84328" w:rsidRPr="00F90B95">
        <w:t xml:space="preserve"> to estimate the average duration of therapy for the nominated comparators (FOLFIRI ± </w:t>
      </w:r>
      <w:proofErr w:type="spellStart"/>
      <w:r w:rsidR="00A84328" w:rsidRPr="00F90B95">
        <w:t>cetuximab</w:t>
      </w:r>
      <w:proofErr w:type="spellEnd"/>
      <w:r w:rsidR="00A84328" w:rsidRPr="00F90B95">
        <w:t xml:space="preserve"> or bevacizumab). As noted </w:t>
      </w:r>
      <w:r w:rsidR="001C6EE4" w:rsidRPr="00F90B95">
        <w:t>previously</w:t>
      </w:r>
      <w:r w:rsidR="00A84328" w:rsidRPr="00F90B95">
        <w:t xml:space="preserve">, this was estimated as the time on first-line therapy </w:t>
      </w:r>
      <w:r w:rsidR="001C6EE4" w:rsidRPr="00F90B95">
        <w:t xml:space="preserve">from a sample of seven </w:t>
      </w:r>
      <w:r w:rsidR="00A84328" w:rsidRPr="00F90B95">
        <w:t>pa</w:t>
      </w:r>
      <w:r w:rsidR="00E319A0" w:rsidRPr="00F90B95">
        <w:t>tients from the TRACC registry.</w:t>
      </w:r>
    </w:p>
    <w:p w:rsidR="00A84328" w:rsidRPr="00F90B95" w:rsidRDefault="00A84328" w:rsidP="0044164E">
      <w:pPr>
        <w:pStyle w:val="ListParagraph"/>
        <w:widowControl/>
        <w:numPr>
          <w:ilvl w:val="1"/>
          <w:numId w:val="7"/>
        </w:numPr>
        <w:spacing w:before="120" w:after="120"/>
      </w:pPr>
      <w:r w:rsidRPr="00F90B95">
        <w:t>The estimated use and financial implication</w:t>
      </w:r>
      <w:r w:rsidR="006C4DBB" w:rsidRPr="00F90B95">
        <w:t>s</w:t>
      </w:r>
      <w:r w:rsidRPr="00F90B95">
        <w:t xml:space="preserve"> are summarised in the table below.</w:t>
      </w:r>
    </w:p>
    <w:p w:rsidR="00A84328" w:rsidRPr="00F90B95" w:rsidRDefault="00A84328" w:rsidP="00A84328">
      <w:pPr>
        <w:pStyle w:val="Caption"/>
        <w:keepNext/>
      </w:pPr>
      <w:r w:rsidRPr="00F90B95">
        <w:lastRenderedPageBreak/>
        <w:t xml:space="preserve">Table </w:t>
      </w:r>
      <w:r w:rsidR="00E04C56" w:rsidRPr="00F90B95">
        <w:t>4</w:t>
      </w:r>
      <w:r w:rsidRPr="00F90B95">
        <w:t xml:space="preserve">2: </w:t>
      </w:r>
      <w:r w:rsidRPr="00F90B95">
        <w:rPr>
          <w:rStyle w:val="CommentReference"/>
          <w:b/>
          <w:szCs w:val="18"/>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2: Estimated use and financial implications"/>
      </w:tblPr>
      <w:tblGrid>
        <w:gridCol w:w="2000"/>
        <w:gridCol w:w="1156"/>
        <w:gridCol w:w="1157"/>
        <w:gridCol w:w="1157"/>
        <w:gridCol w:w="1157"/>
        <w:gridCol w:w="1157"/>
        <w:gridCol w:w="1155"/>
      </w:tblGrid>
      <w:tr w:rsidR="00A84328" w:rsidRPr="00F90B95" w:rsidTr="00D64DCC">
        <w:trPr>
          <w:tblHeader/>
        </w:trPr>
        <w:tc>
          <w:tcPr>
            <w:tcW w:w="1119" w:type="pct"/>
            <w:shd w:val="clear" w:color="auto" w:fill="auto"/>
            <w:vAlign w:val="center"/>
          </w:tcPr>
          <w:p w:rsidR="00A84328" w:rsidRPr="00F90B95" w:rsidRDefault="00A84328" w:rsidP="00D64DCC">
            <w:pPr>
              <w:pStyle w:val="Tabletext"/>
              <w:keepNext/>
            </w:pPr>
          </w:p>
        </w:tc>
        <w:tc>
          <w:tcPr>
            <w:tcW w:w="647" w:type="pct"/>
            <w:shd w:val="clear" w:color="auto" w:fill="auto"/>
            <w:vAlign w:val="center"/>
          </w:tcPr>
          <w:p w:rsidR="00A84328" w:rsidRPr="00F90B95" w:rsidRDefault="00A84328" w:rsidP="00D64DCC">
            <w:pPr>
              <w:pStyle w:val="Tabletext"/>
              <w:keepNext/>
              <w:jc w:val="center"/>
              <w:rPr>
                <w:b/>
              </w:rPr>
            </w:pPr>
            <w:r w:rsidRPr="00F90B95">
              <w:rPr>
                <w:b/>
              </w:rPr>
              <w:t>Year 1</w:t>
            </w:r>
          </w:p>
        </w:tc>
        <w:tc>
          <w:tcPr>
            <w:tcW w:w="647" w:type="pct"/>
            <w:shd w:val="clear" w:color="auto" w:fill="auto"/>
            <w:vAlign w:val="center"/>
          </w:tcPr>
          <w:p w:rsidR="00A84328" w:rsidRPr="00F90B95" w:rsidRDefault="00A84328" w:rsidP="00D64DCC">
            <w:pPr>
              <w:pStyle w:val="Tabletext"/>
              <w:keepNext/>
              <w:jc w:val="center"/>
              <w:rPr>
                <w:b/>
              </w:rPr>
            </w:pPr>
            <w:r w:rsidRPr="00F90B95">
              <w:rPr>
                <w:b/>
              </w:rPr>
              <w:t>Year 2</w:t>
            </w:r>
          </w:p>
        </w:tc>
        <w:tc>
          <w:tcPr>
            <w:tcW w:w="647" w:type="pct"/>
            <w:shd w:val="clear" w:color="auto" w:fill="auto"/>
            <w:vAlign w:val="center"/>
          </w:tcPr>
          <w:p w:rsidR="00A84328" w:rsidRPr="00F90B95" w:rsidRDefault="00A84328" w:rsidP="00D64DCC">
            <w:pPr>
              <w:pStyle w:val="Tabletext"/>
              <w:keepNext/>
              <w:jc w:val="center"/>
              <w:rPr>
                <w:b/>
              </w:rPr>
            </w:pPr>
            <w:r w:rsidRPr="00F90B95">
              <w:rPr>
                <w:b/>
              </w:rPr>
              <w:t>Year 3</w:t>
            </w:r>
          </w:p>
        </w:tc>
        <w:tc>
          <w:tcPr>
            <w:tcW w:w="647" w:type="pct"/>
            <w:shd w:val="clear" w:color="auto" w:fill="auto"/>
            <w:vAlign w:val="center"/>
          </w:tcPr>
          <w:p w:rsidR="00A84328" w:rsidRPr="00F90B95" w:rsidRDefault="00A84328" w:rsidP="00D64DCC">
            <w:pPr>
              <w:pStyle w:val="Tabletext"/>
              <w:keepNext/>
              <w:jc w:val="center"/>
              <w:rPr>
                <w:b/>
              </w:rPr>
            </w:pPr>
            <w:r w:rsidRPr="00F90B95">
              <w:rPr>
                <w:b/>
              </w:rPr>
              <w:t>Year 4</w:t>
            </w:r>
          </w:p>
        </w:tc>
        <w:tc>
          <w:tcPr>
            <w:tcW w:w="647" w:type="pct"/>
            <w:shd w:val="clear" w:color="auto" w:fill="auto"/>
            <w:vAlign w:val="center"/>
          </w:tcPr>
          <w:p w:rsidR="00A84328" w:rsidRPr="00F90B95" w:rsidRDefault="00A84328" w:rsidP="00D64DCC">
            <w:pPr>
              <w:pStyle w:val="Tabletext"/>
              <w:keepNext/>
              <w:jc w:val="center"/>
              <w:rPr>
                <w:b/>
              </w:rPr>
            </w:pPr>
            <w:r w:rsidRPr="00F90B95">
              <w:rPr>
                <w:b/>
              </w:rPr>
              <w:t>Year 5</w:t>
            </w:r>
          </w:p>
        </w:tc>
        <w:tc>
          <w:tcPr>
            <w:tcW w:w="646" w:type="pct"/>
          </w:tcPr>
          <w:p w:rsidR="00A84328" w:rsidRPr="00F90B95" w:rsidRDefault="00A84328" w:rsidP="00D64DCC">
            <w:pPr>
              <w:pStyle w:val="Tabletext"/>
              <w:keepNext/>
              <w:jc w:val="center"/>
              <w:rPr>
                <w:b/>
              </w:rPr>
            </w:pPr>
            <w:r w:rsidRPr="00F90B95">
              <w:rPr>
                <w:b/>
              </w:rPr>
              <w:t>Year 6</w:t>
            </w:r>
          </w:p>
        </w:tc>
      </w:tr>
      <w:tr w:rsidR="00A84328" w:rsidRPr="00F90B95" w:rsidTr="00D64DCC">
        <w:tc>
          <w:tcPr>
            <w:tcW w:w="5000" w:type="pct"/>
            <w:gridSpan w:val="7"/>
            <w:shd w:val="clear" w:color="auto" w:fill="auto"/>
            <w:vAlign w:val="center"/>
          </w:tcPr>
          <w:p w:rsidR="00A84328" w:rsidRPr="00F90B95" w:rsidRDefault="00A84328" w:rsidP="00D64DCC">
            <w:pPr>
              <w:pStyle w:val="Tabletext"/>
              <w:keepNext/>
              <w:rPr>
                <w:b/>
                <w:bCs/>
                <w:color w:val="000000"/>
              </w:rPr>
            </w:pPr>
            <w:r w:rsidRPr="00F90B95">
              <w:rPr>
                <w:b/>
                <w:bCs/>
                <w:color w:val="000000"/>
              </w:rPr>
              <w:t>Estimated extent of use of pembrolizumab</w:t>
            </w:r>
          </w:p>
        </w:tc>
      </w:tr>
      <w:tr w:rsidR="00A84328" w:rsidRPr="00F90B95" w:rsidTr="005120A5">
        <w:tc>
          <w:tcPr>
            <w:tcW w:w="1119" w:type="pct"/>
            <w:shd w:val="clear" w:color="auto" w:fill="auto"/>
            <w:vAlign w:val="center"/>
          </w:tcPr>
          <w:p w:rsidR="00A84328" w:rsidRPr="00F90B95" w:rsidRDefault="00A84328" w:rsidP="00D64DCC">
            <w:pPr>
              <w:pStyle w:val="Tabletext"/>
              <w:keepNext/>
              <w:rPr>
                <w:rFonts w:ascii="Times" w:hAnsi="Times"/>
              </w:rPr>
            </w:pPr>
            <w:r w:rsidRPr="00F90B95">
              <w:t>Number of patients treated</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6" w:type="pct"/>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r>
      <w:tr w:rsidR="00A84328" w:rsidRPr="00F90B95" w:rsidTr="005120A5">
        <w:tc>
          <w:tcPr>
            <w:tcW w:w="1119" w:type="pct"/>
            <w:shd w:val="clear" w:color="auto" w:fill="auto"/>
            <w:vAlign w:val="center"/>
          </w:tcPr>
          <w:p w:rsidR="00A84328" w:rsidRPr="00F90B95" w:rsidRDefault="00A84328" w:rsidP="00D64DCC">
            <w:pPr>
              <w:pStyle w:val="Tabletext"/>
              <w:keepNext/>
              <w:rPr>
                <w:rFonts w:ascii="Times" w:hAnsi="Times"/>
              </w:rPr>
            </w:pPr>
            <w:r w:rsidRPr="00F90B95">
              <w:t>Number of prescriptions</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7" w:type="pct"/>
            <w:shd w:val="clear" w:color="auto" w:fill="auto"/>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c>
          <w:tcPr>
            <w:tcW w:w="646" w:type="pct"/>
            <w:vAlign w:val="center"/>
          </w:tcPr>
          <w:p w:rsidR="00A84328" w:rsidRPr="00A36C14" w:rsidRDefault="00A36C14" w:rsidP="005120A5">
            <w:pPr>
              <w:pStyle w:val="Tabletext"/>
              <w:keepNext/>
              <w:jc w:val="center"/>
              <w:rPr>
                <w:bCs/>
                <w:color w:val="000000"/>
                <w:highlight w:val="black"/>
              </w:rPr>
            </w:pPr>
            <w:r>
              <w:rPr>
                <w:noProof/>
                <w:color w:val="000000"/>
                <w:highlight w:val="black"/>
              </w:rPr>
              <w:t>'''''''''''''</w:t>
            </w:r>
          </w:p>
        </w:tc>
      </w:tr>
      <w:tr w:rsidR="00A84328" w:rsidRPr="00F90B95" w:rsidTr="00D64DCC">
        <w:tc>
          <w:tcPr>
            <w:tcW w:w="5000" w:type="pct"/>
            <w:gridSpan w:val="7"/>
            <w:shd w:val="clear" w:color="auto" w:fill="auto"/>
            <w:vAlign w:val="center"/>
          </w:tcPr>
          <w:p w:rsidR="00A84328" w:rsidRPr="00F90B95" w:rsidRDefault="00A84328" w:rsidP="00D64DCC">
            <w:pPr>
              <w:pStyle w:val="Tabletext"/>
              <w:keepNext/>
              <w:rPr>
                <w:b/>
                <w:bCs/>
                <w:color w:val="000000"/>
              </w:rPr>
            </w:pPr>
            <w:r w:rsidRPr="00F90B95">
              <w:rPr>
                <w:b/>
                <w:bCs/>
                <w:color w:val="000000"/>
              </w:rPr>
              <w:t>Estimated financial implications of pembrolizumab</w:t>
            </w:r>
          </w:p>
        </w:tc>
      </w:tr>
      <w:tr w:rsidR="00A84328" w:rsidRPr="00F90B95" w:rsidTr="00D64DCC">
        <w:tc>
          <w:tcPr>
            <w:tcW w:w="1119" w:type="pct"/>
            <w:shd w:val="clear" w:color="auto" w:fill="auto"/>
            <w:vAlign w:val="center"/>
          </w:tcPr>
          <w:p w:rsidR="00A84328" w:rsidRPr="00F90B95" w:rsidRDefault="00A84328" w:rsidP="00D64DCC">
            <w:pPr>
              <w:pStyle w:val="Tabletext"/>
              <w:keepNext/>
              <w:rPr>
                <w:rFonts w:ascii="Times" w:hAnsi="Times"/>
              </w:rPr>
            </w:pPr>
            <w:r w:rsidRPr="00F90B95">
              <w:rPr>
                <w:sz w:val="19"/>
                <w:szCs w:val="19"/>
              </w:rPr>
              <w:t>Cost to PBS/RPBS</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6" w:type="pct"/>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r>
      <w:tr w:rsidR="00A84328" w:rsidRPr="00F90B95" w:rsidTr="00D64DCC">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Co-payments</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6" w:type="pct"/>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r>
      <w:tr w:rsidR="00A84328" w:rsidRPr="00F90B95" w:rsidTr="005120A5">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Cost to PBS/RPBS less co-payments</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6" w:type="pct"/>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r>
      <w:tr w:rsidR="00A84328" w:rsidRPr="00F90B95" w:rsidTr="00D64DCC">
        <w:tc>
          <w:tcPr>
            <w:tcW w:w="5000" w:type="pct"/>
            <w:gridSpan w:val="7"/>
            <w:shd w:val="clear" w:color="auto" w:fill="auto"/>
            <w:vAlign w:val="center"/>
          </w:tcPr>
          <w:p w:rsidR="00A84328" w:rsidRPr="00F90B95" w:rsidRDefault="00A84328" w:rsidP="00D64DCC">
            <w:pPr>
              <w:pStyle w:val="Tabletext"/>
              <w:keepNext/>
              <w:rPr>
                <w:bCs/>
                <w:color w:val="000000"/>
              </w:rPr>
            </w:pPr>
            <w:r w:rsidRPr="00F90B95">
              <w:rPr>
                <w:b/>
                <w:bCs/>
                <w:color w:val="000000"/>
              </w:rPr>
              <w:t xml:space="preserve">Estimated financial implications for FOLFIRI ± </w:t>
            </w:r>
            <w:proofErr w:type="spellStart"/>
            <w:r w:rsidRPr="00F90B95">
              <w:rPr>
                <w:b/>
                <w:bCs/>
                <w:color w:val="000000"/>
              </w:rPr>
              <w:t>cetuximab</w:t>
            </w:r>
            <w:proofErr w:type="spellEnd"/>
            <w:r w:rsidRPr="00F90B95">
              <w:rPr>
                <w:b/>
                <w:bCs/>
                <w:color w:val="000000"/>
              </w:rPr>
              <w:t xml:space="preserve"> or bevacizumab</w:t>
            </w:r>
          </w:p>
        </w:tc>
      </w:tr>
      <w:tr w:rsidR="00A84328" w:rsidRPr="00F90B95" w:rsidTr="00D64DCC">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Cost to PBS/RPBS</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6" w:type="pct"/>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r>
      <w:tr w:rsidR="00A84328" w:rsidRPr="00F90B95" w:rsidTr="00D64DCC">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Co-payments</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c>
          <w:tcPr>
            <w:tcW w:w="646" w:type="pct"/>
            <w:vAlign w:val="bottom"/>
          </w:tcPr>
          <w:p w:rsidR="00A84328" w:rsidRPr="00F90B95" w:rsidRDefault="00A84328" w:rsidP="00D64DCC">
            <w:pPr>
              <w:pStyle w:val="Tabletext"/>
              <w:keepNext/>
              <w:jc w:val="right"/>
              <w:rPr>
                <w:bCs/>
                <w:color w:val="000000"/>
              </w:rPr>
            </w:pPr>
            <w:r w:rsidRPr="00F90B95">
              <w:t>$</w:t>
            </w:r>
            <w:r w:rsidR="00A36C14">
              <w:rPr>
                <w:noProof/>
                <w:color w:val="000000"/>
                <w:highlight w:val="black"/>
              </w:rPr>
              <w:t>''''''''''''''''</w:t>
            </w:r>
          </w:p>
        </w:tc>
      </w:tr>
      <w:tr w:rsidR="00A84328" w:rsidRPr="00F90B95" w:rsidTr="005120A5">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Cost to PBS/RPBS less co-payments</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7" w:type="pct"/>
            <w:shd w:val="clear" w:color="auto" w:fill="auto"/>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c>
          <w:tcPr>
            <w:tcW w:w="646" w:type="pct"/>
            <w:vAlign w:val="center"/>
          </w:tcPr>
          <w:p w:rsidR="00A84328" w:rsidRPr="00F90B95" w:rsidRDefault="00A84328" w:rsidP="005120A5">
            <w:pPr>
              <w:pStyle w:val="Tabletext"/>
              <w:keepNext/>
              <w:jc w:val="right"/>
              <w:rPr>
                <w:bCs/>
                <w:color w:val="000000"/>
              </w:rPr>
            </w:pPr>
            <w:r w:rsidRPr="00F90B95">
              <w:t>$</w:t>
            </w:r>
            <w:r w:rsidR="00A36C14">
              <w:rPr>
                <w:noProof/>
                <w:color w:val="000000"/>
                <w:highlight w:val="black"/>
              </w:rPr>
              <w:t>''''''''''''''''''''''''''</w:t>
            </w:r>
          </w:p>
        </w:tc>
      </w:tr>
      <w:tr w:rsidR="00A84328" w:rsidRPr="00F90B95" w:rsidTr="00D64DCC">
        <w:tc>
          <w:tcPr>
            <w:tcW w:w="5000" w:type="pct"/>
            <w:gridSpan w:val="7"/>
            <w:shd w:val="clear" w:color="auto" w:fill="auto"/>
            <w:vAlign w:val="center"/>
          </w:tcPr>
          <w:p w:rsidR="00A84328" w:rsidRPr="00F90B95" w:rsidRDefault="00A84328" w:rsidP="00D64DCC">
            <w:pPr>
              <w:pStyle w:val="Tabletext"/>
              <w:keepNext/>
              <w:rPr>
                <w:b/>
                <w:bCs/>
                <w:color w:val="000000"/>
              </w:rPr>
            </w:pPr>
            <w:r w:rsidRPr="00F90B95">
              <w:rPr>
                <w:b/>
                <w:bCs/>
                <w:color w:val="000000"/>
              </w:rPr>
              <w:t>Net financial implications</w:t>
            </w:r>
          </w:p>
        </w:tc>
      </w:tr>
      <w:tr w:rsidR="00A84328" w:rsidRPr="00F90B95" w:rsidTr="00D64DCC">
        <w:tc>
          <w:tcPr>
            <w:tcW w:w="1119" w:type="pct"/>
            <w:shd w:val="clear" w:color="auto" w:fill="auto"/>
            <w:vAlign w:val="center"/>
          </w:tcPr>
          <w:p w:rsidR="00A84328" w:rsidRPr="00F90B95" w:rsidRDefault="00A84328" w:rsidP="00D64DCC">
            <w:pPr>
              <w:pStyle w:val="Tabletext"/>
              <w:keepNext/>
              <w:rPr>
                <w:sz w:val="19"/>
                <w:szCs w:val="19"/>
              </w:rPr>
            </w:pPr>
            <w:r w:rsidRPr="00F90B95">
              <w:rPr>
                <w:sz w:val="19"/>
                <w:szCs w:val="19"/>
              </w:rPr>
              <w:t>Net cost to PBS/RPBS</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c>
          <w:tcPr>
            <w:tcW w:w="647" w:type="pct"/>
            <w:shd w:val="clear" w:color="auto" w:fill="auto"/>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c>
          <w:tcPr>
            <w:tcW w:w="646" w:type="pct"/>
            <w:vAlign w:val="bottom"/>
          </w:tcPr>
          <w:p w:rsidR="00A84328" w:rsidRPr="00F90B95" w:rsidRDefault="00A84328" w:rsidP="00D64DCC">
            <w:pPr>
              <w:pStyle w:val="Tabletext"/>
              <w:keepNext/>
              <w:jc w:val="right"/>
              <w:rPr>
                <w:bCs/>
                <w:color w:val="000000"/>
              </w:rPr>
            </w:pPr>
            <w:r w:rsidRPr="00F90B95">
              <w:rPr>
                <w:lang w:eastAsia="en-AU"/>
              </w:rPr>
              <w:t>$</w:t>
            </w:r>
            <w:r w:rsidR="00A36C14">
              <w:rPr>
                <w:noProof/>
                <w:color w:val="000000"/>
                <w:highlight w:val="black"/>
                <w:lang w:eastAsia="en-AU"/>
              </w:rPr>
              <w:t>'''''''''''''''''''''</w:t>
            </w:r>
          </w:p>
        </w:tc>
      </w:tr>
    </w:tbl>
    <w:p w:rsidR="00A84328" w:rsidRPr="00F90B95" w:rsidRDefault="00A84328" w:rsidP="00A84328">
      <w:pPr>
        <w:pStyle w:val="TableFooter"/>
        <w:rPr>
          <w:rStyle w:val="CommentReference"/>
          <w:b w:val="0"/>
          <w:sz w:val="18"/>
          <w:szCs w:val="22"/>
        </w:rPr>
      </w:pPr>
      <w:r w:rsidRPr="00F90B95">
        <w:t xml:space="preserve">Source: </w:t>
      </w:r>
      <w:r w:rsidRPr="00F90B95">
        <w:rPr>
          <w:rStyle w:val="CommentReference"/>
          <w:b w:val="0"/>
          <w:sz w:val="18"/>
          <w:szCs w:val="22"/>
        </w:rPr>
        <w:t>complied during the evaluation based on informat</w:t>
      </w:r>
      <w:r w:rsidR="00E319A0" w:rsidRPr="00F90B95">
        <w:rPr>
          <w:rStyle w:val="CommentReference"/>
          <w:b w:val="0"/>
          <w:sz w:val="18"/>
          <w:szCs w:val="22"/>
        </w:rPr>
        <w:t>ion presented in ‘</w:t>
      </w:r>
      <w:proofErr w:type="spellStart"/>
      <w:r w:rsidR="00E319A0" w:rsidRPr="00F90B95">
        <w:rPr>
          <w:rStyle w:val="CommentReference"/>
          <w:b w:val="0"/>
          <w:sz w:val="18"/>
          <w:szCs w:val="22"/>
        </w:rPr>
        <w:t>Att</w:t>
      </w:r>
      <w:proofErr w:type="spellEnd"/>
      <w:r w:rsidR="00E319A0" w:rsidRPr="00F90B95">
        <w:rPr>
          <w:rStyle w:val="CommentReference"/>
          <w:b w:val="0"/>
          <w:sz w:val="18"/>
          <w:szCs w:val="22"/>
        </w:rPr>
        <w:t xml:space="preserve"> 13.xlsx’.</w:t>
      </w:r>
    </w:p>
    <w:p w:rsidR="00C70F9A" w:rsidRDefault="00C70F9A" w:rsidP="00B500B1">
      <w:pPr>
        <w:spacing w:before="120" w:after="120"/>
        <w:rPr>
          <w:i/>
          <w:szCs w:val="24"/>
        </w:rPr>
      </w:pPr>
      <w:r w:rsidRPr="00C70F9A">
        <w:rPr>
          <w:i/>
          <w:szCs w:val="24"/>
        </w:rPr>
        <w:t>The</w:t>
      </w:r>
      <w:r>
        <w:rPr>
          <w:i/>
          <w:szCs w:val="24"/>
        </w:rPr>
        <w:t xml:space="preserve"> redacted table shows that at Year 6, the estimate number of patients was less than 10,000 and the net cost to the PBS would be less than $10 million. </w:t>
      </w:r>
    </w:p>
    <w:p w:rsidR="00A84328" w:rsidRPr="00F90B95" w:rsidRDefault="00A84328" w:rsidP="0044164E">
      <w:pPr>
        <w:pStyle w:val="Heading2"/>
        <w:spacing w:before="120"/>
      </w:pPr>
      <w:bookmarkStart w:id="21" w:name="_Toc535588649"/>
      <w:r w:rsidRPr="00F90B95">
        <w:t>Quality Use of Medicines</w:t>
      </w:r>
      <w:bookmarkEnd w:id="21"/>
    </w:p>
    <w:p w:rsidR="00DA585C" w:rsidRPr="00F90B95" w:rsidRDefault="00E41E9E" w:rsidP="0044164E">
      <w:pPr>
        <w:pStyle w:val="ListParagraph"/>
        <w:widowControl/>
        <w:numPr>
          <w:ilvl w:val="1"/>
          <w:numId w:val="7"/>
        </w:numPr>
        <w:spacing w:before="120" w:after="120"/>
      </w:pPr>
      <w:r w:rsidRPr="00F90B95">
        <w:t xml:space="preserve">The submission detailed a number of activities relating to the quality use of medicines, including the development and provision of education materials and education programs. The submission also highlighted that </w:t>
      </w:r>
      <w:r w:rsidR="003576F4" w:rsidRPr="00F90B95">
        <w:t xml:space="preserve">the sponsor </w:t>
      </w:r>
      <w:r w:rsidRPr="00F90B95">
        <w:t xml:space="preserve">provides </w:t>
      </w:r>
      <w:proofErr w:type="gramStart"/>
      <w:r w:rsidRPr="00F90B95">
        <w:t>a</w:t>
      </w:r>
      <w:proofErr w:type="gramEnd"/>
      <w:r w:rsidRPr="00F90B95">
        <w:t xml:space="preserve"> 1800 medical information service to respond to questions fr</w:t>
      </w:r>
      <w:r w:rsidR="00CF2CD0" w:rsidRPr="00F90B95">
        <w:t>o</w:t>
      </w:r>
      <w:r w:rsidRPr="00F90B95">
        <w:t>m patients, carers and health care professional</w:t>
      </w:r>
      <w:r w:rsidR="00EF57DB" w:rsidRPr="00F90B95">
        <w:t>s about all of their medicines.</w:t>
      </w:r>
    </w:p>
    <w:p w:rsidR="00D34553" w:rsidRPr="00F90B95" w:rsidRDefault="00D34553" w:rsidP="0044164E">
      <w:pPr>
        <w:pStyle w:val="ListParagraph"/>
        <w:widowControl/>
        <w:spacing w:before="120" w:after="120"/>
        <w:rPr>
          <w:i/>
        </w:rPr>
      </w:pPr>
      <w:r w:rsidRPr="00F90B95">
        <w:rPr>
          <w:i/>
        </w:rPr>
        <w:t>For more detail on PBAC’s view, see Section 7 PBAC outcome.</w:t>
      </w:r>
    </w:p>
    <w:p w:rsidR="005120A5" w:rsidRPr="00F90B95" w:rsidRDefault="005120A5" w:rsidP="0044164E">
      <w:pPr>
        <w:pStyle w:val="PBACHeading1"/>
        <w:spacing w:before="120" w:after="120"/>
      </w:pPr>
      <w:bookmarkStart w:id="22" w:name="_Toc380746192"/>
      <w:bookmarkStart w:id="23" w:name="_Toc380746318"/>
      <w:bookmarkStart w:id="24" w:name="_Toc380746599"/>
      <w:bookmarkStart w:id="25" w:name="_Toc535588656"/>
      <w:r w:rsidRPr="00F90B95">
        <w:t>PBAC Outcome</w:t>
      </w:r>
    </w:p>
    <w:p w:rsidR="00A84328" w:rsidRPr="00F90B95" w:rsidRDefault="005F1F37" w:rsidP="0044164E">
      <w:pPr>
        <w:pStyle w:val="ListParagraph"/>
        <w:numPr>
          <w:ilvl w:val="1"/>
          <w:numId w:val="7"/>
        </w:numPr>
        <w:spacing w:before="120" w:after="120"/>
      </w:pPr>
      <w:r w:rsidRPr="00F90B95">
        <w:t>The PBAC decided not to recommend pembrolizumab as a second-line treatment for locally advanced (unresectable) or Stage IV (metastatic) colorectal cancer (</w:t>
      </w:r>
      <w:proofErr w:type="spellStart"/>
      <w:r w:rsidRPr="00F90B95">
        <w:t>mCRC</w:t>
      </w:r>
      <w:proofErr w:type="spellEnd"/>
      <w:r w:rsidRPr="00F90B95">
        <w:t>) with deficient mismatch repair (</w:t>
      </w:r>
      <w:proofErr w:type="spellStart"/>
      <w:r w:rsidRPr="00F90B95">
        <w:t>dMMR</w:t>
      </w:r>
      <w:proofErr w:type="spellEnd"/>
      <w:r w:rsidRPr="00F90B95">
        <w:t xml:space="preserve">). </w:t>
      </w:r>
      <w:r w:rsidR="00B04252">
        <w:t xml:space="preserve">The PBAC considered that the limited evidence provided suggested that the benefit of pembrolizumab was modest in </w:t>
      </w:r>
      <w:proofErr w:type="spellStart"/>
      <w:r w:rsidR="00B04252">
        <w:t>dMMR</w:t>
      </w:r>
      <w:proofErr w:type="spellEnd"/>
      <w:r w:rsidR="00B04252">
        <w:t xml:space="preserve"> </w:t>
      </w:r>
      <w:proofErr w:type="spellStart"/>
      <w:r w:rsidR="00B04252">
        <w:t>mCRC</w:t>
      </w:r>
      <w:proofErr w:type="spellEnd"/>
      <w:r w:rsidR="00B04252">
        <w:t xml:space="preserve">. </w:t>
      </w:r>
      <w:r w:rsidR="00D94BAF" w:rsidRPr="00F90B95">
        <w:t xml:space="preserve">The PBAC considered that insufficient evidence was provided in the submission to evaluate the </w:t>
      </w:r>
      <w:r w:rsidR="006D3B33" w:rsidRPr="00F90B95">
        <w:t xml:space="preserve">comparative </w:t>
      </w:r>
      <w:r w:rsidR="00874C75" w:rsidRPr="00F90B95">
        <w:t>efficacy and safety of pembrolizumab</w:t>
      </w:r>
      <w:r w:rsidR="00D94BAF" w:rsidRPr="00F90B95">
        <w:t xml:space="preserve"> in </w:t>
      </w:r>
      <w:r w:rsidR="00227A88" w:rsidRPr="00F90B95">
        <w:t xml:space="preserve">either </w:t>
      </w:r>
      <w:r w:rsidR="00D94BAF" w:rsidRPr="00F90B95">
        <w:t>the second</w:t>
      </w:r>
      <w:r w:rsidR="00171FD0" w:rsidRPr="00F90B95">
        <w:t>-</w:t>
      </w:r>
      <w:r w:rsidR="00D94BAF" w:rsidRPr="00F90B95">
        <w:t>line setting</w:t>
      </w:r>
      <w:r w:rsidR="00227A88" w:rsidRPr="00F90B95">
        <w:t xml:space="preserve"> or a la</w:t>
      </w:r>
      <w:r w:rsidR="005D4429" w:rsidRPr="00F90B95">
        <w:t>st</w:t>
      </w:r>
      <w:r w:rsidR="00227A88" w:rsidRPr="00F90B95">
        <w:t>-line setting</w:t>
      </w:r>
      <w:r w:rsidR="00D94BAF" w:rsidRPr="00F90B95">
        <w:t>.</w:t>
      </w:r>
      <w:r w:rsidR="00874C75" w:rsidRPr="00F90B95">
        <w:t xml:space="preserve"> In addition, the PBAC considered that the economic </w:t>
      </w:r>
      <w:r w:rsidR="00171FD0" w:rsidRPr="00F90B95">
        <w:t>evaluation</w:t>
      </w:r>
      <w:r w:rsidR="00874C75" w:rsidRPr="00F90B95">
        <w:t xml:space="preserve"> was unreliable and the cost-effectiveness estimates were </w:t>
      </w:r>
      <w:r w:rsidR="00227A88" w:rsidRPr="00F90B95">
        <w:t xml:space="preserve">therefore </w:t>
      </w:r>
      <w:r w:rsidR="00874C75" w:rsidRPr="00F90B95">
        <w:t>highly uncertain.</w:t>
      </w:r>
    </w:p>
    <w:p w:rsidR="005F1F37" w:rsidRPr="00F90B95" w:rsidRDefault="005F1F37" w:rsidP="0044164E">
      <w:pPr>
        <w:numPr>
          <w:ilvl w:val="1"/>
          <w:numId w:val="7"/>
        </w:numPr>
        <w:spacing w:before="120" w:after="120"/>
        <w:rPr>
          <w:rFonts w:asciiTheme="minorHAnsi" w:hAnsiTheme="minorHAnsi"/>
          <w:bCs/>
        </w:rPr>
      </w:pPr>
      <w:r w:rsidRPr="00F90B95">
        <w:rPr>
          <w:rFonts w:asciiTheme="minorHAnsi" w:hAnsiTheme="minorHAnsi"/>
          <w:bCs/>
        </w:rPr>
        <w:t>The PBAC noted the consumer comments received in support of a PBS listing.</w:t>
      </w:r>
    </w:p>
    <w:p w:rsidR="00874C75" w:rsidRPr="00F90B95" w:rsidRDefault="00874C75" w:rsidP="0044164E">
      <w:pPr>
        <w:numPr>
          <w:ilvl w:val="1"/>
          <w:numId w:val="7"/>
        </w:numPr>
        <w:spacing w:before="120" w:after="120"/>
        <w:rPr>
          <w:rFonts w:asciiTheme="minorHAnsi" w:hAnsiTheme="minorHAnsi"/>
          <w:bCs/>
        </w:rPr>
      </w:pPr>
      <w:r w:rsidRPr="00F90B95">
        <w:rPr>
          <w:rFonts w:asciiTheme="minorHAnsi" w:hAnsiTheme="minorHAnsi"/>
          <w:bCs/>
        </w:rPr>
        <w:t xml:space="preserve">The PBAC considered that the proposed place in therapy, as a second-line treatment option, was incorrect. The PBAC, noting the Clinical Evaluation Report for the </w:t>
      </w:r>
      <w:r w:rsidR="00986150" w:rsidRPr="00F90B95">
        <w:rPr>
          <w:rFonts w:asciiTheme="minorHAnsi" w:hAnsiTheme="minorHAnsi"/>
          <w:bCs/>
        </w:rPr>
        <w:t>TGA and that 90</w:t>
      </w:r>
      <w:r w:rsidR="00A94E1C" w:rsidRPr="00F90B95">
        <w:rPr>
          <w:rFonts w:asciiTheme="minorHAnsi" w:hAnsiTheme="minorHAnsi"/>
          <w:bCs/>
        </w:rPr>
        <w:t>.2</w:t>
      </w:r>
      <w:r w:rsidR="00986150" w:rsidRPr="00F90B95">
        <w:rPr>
          <w:rFonts w:asciiTheme="minorHAnsi" w:hAnsiTheme="minorHAnsi"/>
          <w:bCs/>
        </w:rPr>
        <w:t>% of patients in the key study</w:t>
      </w:r>
      <w:r w:rsidR="003147FC" w:rsidRPr="00F90B95">
        <w:rPr>
          <w:rFonts w:asciiTheme="minorHAnsi" w:hAnsiTheme="minorHAnsi"/>
          <w:bCs/>
        </w:rPr>
        <w:t xml:space="preserve"> KN164,</w:t>
      </w:r>
      <w:r w:rsidR="00986150" w:rsidRPr="00F90B95">
        <w:rPr>
          <w:rFonts w:asciiTheme="minorHAnsi" w:hAnsiTheme="minorHAnsi"/>
          <w:bCs/>
        </w:rPr>
        <w:t xml:space="preserve"> had failed at least two lines of prior treatment</w:t>
      </w:r>
      <w:r w:rsidRPr="00F90B95">
        <w:rPr>
          <w:rFonts w:asciiTheme="minorHAnsi" w:hAnsiTheme="minorHAnsi"/>
          <w:bCs/>
        </w:rPr>
        <w:t xml:space="preserve">, </w:t>
      </w:r>
      <w:r w:rsidR="0016653C" w:rsidRPr="00F90B95">
        <w:rPr>
          <w:rFonts w:asciiTheme="minorHAnsi" w:hAnsiTheme="minorHAnsi"/>
          <w:bCs/>
        </w:rPr>
        <w:t xml:space="preserve">advised </w:t>
      </w:r>
      <w:r w:rsidRPr="00F90B95">
        <w:rPr>
          <w:rFonts w:asciiTheme="minorHAnsi" w:hAnsiTheme="minorHAnsi"/>
          <w:bCs/>
        </w:rPr>
        <w:t>that it would have been more appropriate to position pembrolizumab as a last-line treatment option.</w:t>
      </w:r>
      <w:r w:rsidR="0016653C" w:rsidRPr="00F90B95">
        <w:rPr>
          <w:rFonts w:asciiTheme="minorHAnsi" w:hAnsiTheme="minorHAnsi"/>
          <w:bCs/>
        </w:rPr>
        <w:t xml:space="preserve"> The </w:t>
      </w:r>
      <w:r w:rsidR="0016653C" w:rsidRPr="00F90B95">
        <w:t xml:space="preserve">PBAC also advised that an Eastern </w:t>
      </w:r>
      <w:r w:rsidR="0016653C" w:rsidRPr="00F90B95">
        <w:lastRenderedPageBreak/>
        <w:t xml:space="preserve">Cooperative Oncology Group (ECOG) performance status (PS) of 0 or 1 </w:t>
      </w:r>
      <w:r w:rsidR="006D3B33" w:rsidRPr="00F90B95">
        <w:t xml:space="preserve">would </w:t>
      </w:r>
      <w:r w:rsidR="0016653C" w:rsidRPr="00F90B95">
        <w:t xml:space="preserve">need to be specified in </w:t>
      </w:r>
      <w:r w:rsidR="006D3B33" w:rsidRPr="00F90B95">
        <w:t>the eligibility criteria for an initial therapy restriction</w:t>
      </w:r>
      <w:r w:rsidR="006E3395" w:rsidRPr="00F90B95">
        <w:t xml:space="preserve">, and that the restriction level should be Authority Required (Written), with the clinician providing evidence of </w:t>
      </w:r>
      <w:proofErr w:type="spellStart"/>
      <w:r w:rsidR="006E3395" w:rsidRPr="00F90B95">
        <w:t>dMMR</w:t>
      </w:r>
      <w:proofErr w:type="spellEnd"/>
      <w:r w:rsidR="006E3395" w:rsidRPr="00F90B95">
        <w:t xml:space="preserve"> status.</w:t>
      </w:r>
    </w:p>
    <w:p w:rsidR="00874C75" w:rsidRPr="00F90B95" w:rsidRDefault="00874C75" w:rsidP="0044164E">
      <w:pPr>
        <w:numPr>
          <w:ilvl w:val="1"/>
          <w:numId w:val="7"/>
        </w:numPr>
        <w:spacing w:before="120" w:after="120"/>
        <w:rPr>
          <w:rFonts w:asciiTheme="minorHAnsi" w:hAnsiTheme="minorHAnsi"/>
          <w:bCs/>
        </w:rPr>
      </w:pPr>
      <w:r w:rsidRPr="00F90B95">
        <w:rPr>
          <w:rFonts w:asciiTheme="minorHAnsi" w:hAnsiTheme="minorHAnsi"/>
          <w:bCs/>
        </w:rPr>
        <w:t xml:space="preserve">The PBAC noted that the submission nominated three comparators to represent </w:t>
      </w:r>
      <w:r w:rsidR="003147FC" w:rsidRPr="00F90B95">
        <w:rPr>
          <w:rFonts w:asciiTheme="minorHAnsi" w:hAnsiTheme="minorHAnsi"/>
          <w:bCs/>
        </w:rPr>
        <w:t xml:space="preserve">standard of care (SOC) </w:t>
      </w:r>
      <w:r w:rsidRPr="00F90B95">
        <w:rPr>
          <w:rFonts w:asciiTheme="minorHAnsi" w:hAnsiTheme="minorHAnsi"/>
          <w:bCs/>
        </w:rPr>
        <w:t>second-line treatment</w:t>
      </w:r>
      <w:r w:rsidR="003147FC" w:rsidRPr="00F90B95">
        <w:rPr>
          <w:rFonts w:asciiTheme="minorHAnsi" w:hAnsiTheme="minorHAnsi"/>
          <w:bCs/>
        </w:rPr>
        <w:t>s</w:t>
      </w:r>
      <w:r w:rsidR="00986150" w:rsidRPr="00F90B95">
        <w:rPr>
          <w:rFonts w:asciiTheme="minorHAnsi" w:hAnsiTheme="minorHAnsi"/>
          <w:bCs/>
        </w:rPr>
        <w:t xml:space="preserve">, chemotherapy (represented by FOLFIRI), chemotherapy plus </w:t>
      </w:r>
      <w:proofErr w:type="spellStart"/>
      <w:r w:rsidR="00986150" w:rsidRPr="00F90B95">
        <w:rPr>
          <w:rFonts w:asciiTheme="minorHAnsi" w:hAnsiTheme="minorHAnsi"/>
          <w:bCs/>
        </w:rPr>
        <w:t>cetuximab</w:t>
      </w:r>
      <w:proofErr w:type="spellEnd"/>
      <w:r w:rsidR="00986150" w:rsidRPr="00F90B95">
        <w:rPr>
          <w:rFonts w:asciiTheme="minorHAnsi" w:hAnsiTheme="minorHAnsi"/>
          <w:bCs/>
        </w:rPr>
        <w:t xml:space="preserve"> and chemotherapy plus bevacizumab. The PBAC </w:t>
      </w:r>
      <w:r w:rsidR="005D0734" w:rsidRPr="00F90B95">
        <w:rPr>
          <w:rFonts w:asciiTheme="minorHAnsi" w:hAnsiTheme="minorHAnsi"/>
          <w:bCs/>
        </w:rPr>
        <w:t>advised</w:t>
      </w:r>
      <w:r w:rsidR="00986150" w:rsidRPr="00F90B95">
        <w:rPr>
          <w:rFonts w:asciiTheme="minorHAnsi" w:hAnsiTheme="minorHAnsi"/>
          <w:bCs/>
        </w:rPr>
        <w:t xml:space="preserve"> that best supportive care or </w:t>
      </w:r>
      <w:r w:rsidR="000077D9" w:rsidRPr="00F90B95">
        <w:rPr>
          <w:rFonts w:asciiTheme="minorHAnsi" w:hAnsiTheme="minorHAnsi"/>
          <w:bCs/>
        </w:rPr>
        <w:t xml:space="preserve">possibly </w:t>
      </w:r>
      <w:proofErr w:type="spellStart"/>
      <w:r w:rsidR="00986150" w:rsidRPr="00F90B95">
        <w:rPr>
          <w:rFonts w:asciiTheme="minorHAnsi" w:hAnsiTheme="minorHAnsi"/>
          <w:bCs/>
        </w:rPr>
        <w:t>trifluridine</w:t>
      </w:r>
      <w:proofErr w:type="spellEnd"/>
      <w:r w:rsidR="00986150" w:rsidRPr="00F90B95">
        <w:rPr>
          <w:rFonts w:asciiTheme="minorHAnsi" w:hAnsiTheme="minorHAnsi"/>
          <w:bCs/>
        </w:rPr>
        <w:t xml:space="preserve"> with </w:t>
      </w:r>
      <w:proofErr w:type="spellStart"/>
      <w:r w:rsidR="00986150" w:rsidRPr="00F90B95">
        <w:rPr>
          <w:rFonts w:asciiTheme="minorHAnsi" w:hAnsiTheme="minorHAnsi"/>
          <w:bCs/>
        </w:rPr>
        <w:t>tipiracil</w:t>
      </w:r>
      <w:proofErr w:type="spellEnd"/>
      <w:r w:rsidR="00986150" w:rsidRPr="00F90B95">
        <w:rPr>
          <w:rFonts w:asciiTheme="minorHAnsi" w:hAnsiTheme="minorHAnsi"/>
          <w:bCs/>
        </w:rPr>
        <w:t xml:space="preserve"> would be more appropriate comparators in a last-line setting.</w:t>
      </w:r>
      <w:r w:rsidR="00902562" w:rsidRPr="00F90B95">
        <w:rPr>
          <w:rFonts w:asciiTheme="minorHAnsi" w:hAnsiTheme="minorHAnsi"/>
          <w:bCs/>
        </w:rPr>
        <w:t xml:space="preserve"> The PBAC noted that the submission appropriately nominated </w:t>
      </w:r>
      <w:proofErr w:type="spellStart"/>
      <w:r w:rsidR="00902562" w:rsidRPr="00F90B95">
        <w:rPr>
          <w:rFonts w:asciiTheme="minorHAnsi" w:hAnsiTheme="minorHAnsi"/>
          <w:bCs/>
        </w:rPr>
        <w:t>nivolumab</w:t>
      </w:r>
      <w:proofErr w:type="spellEnd"/>
      <w:r w:rsidR="00902562" w:rsidRPr="00F90B95">
        <w:rPr>
          <w:rFonts w:asciiTheme="minorHAnsi" w:hAnsiTheme="minorHAnsi"/>
          <w:bCs/>
        </w:rPr>
        <w:t xml:space="preserve"> with/without </w:t>
      </w:r>
      <w:proofErr w:type="spellStart"/>
      <w:r w:rsidR="00902562" w:rsidRPr="00F90B95">
        <w:rPr>
          <w:rFonts w:asciiTheme="minorHAnsi" w:hAnsiTheme="minorHAnsi"/>
          <w:bCs/>
        </w:rPr>
        <w:t>ipilimumab</w:t>
      </w:r>
      <w:proofErr w:type="spellEnd"/>
      <w:r w:rsidR="00902562" w:rsidRPr="00F90B95">
        <w:rPr>
          <w:rFonts w:asciiTheme="minorHAnsi" w:hAnsiTheme="minorHAnsi"/>
          <w:bCs/>
        </w:rPr>
        <w:t xml:space="preserve"> as a near market comparator.</w:t>
      </w:r>
    </w:p>
    <w:p w:rsidR="00D33D2A" w:rsidRPr="00F90B95" w:rsidRDefault="00986150" w:rsidP="0044164E">
      <w:pPr>
        <w:numPr>
          <w:ilvl w:val="1"/>
          <w:numId w:val="7"/>
        </w:numPr>
        <w:spacing w:before="120" w:after="120"/>
        <w:rPr>
          <w:rFonts w:asciiTheme="minorHAnsi" w:hAnsiTheme="minorHAnsi"/>
          <w:bCs/>
        </w:rPr>
      </w:pPr>
      <w:r w:rsidRPr="00F90B95">
        <w:rPr>
          <w:rFonts w:asciiTheme="minorHAnsi" w:hAnsiTheme="minorHAnsi"/>
          <w:bCs/>
        </w:rPr>
        <w:t xml:space="preserve">The PBAC noted </w:t>
      </w:r>
      <w:r w:rsidR="00D33D2A" w:rsidRPr="00F90B95">
        <w:rPr>
          <w:rFonts w:asciiTheme="minorHAnsi" w:hAnsiTheme="minorHAnsi"/>
          <w:bCs/>
        </w:rPr>
        <w:t>that</w:t>
      </w:r>
      <w:r w:rsidR="00E319A0" w:rsidRPr="00F90B95">
        <w:rPr>
          <w:rFonts w:asciiTheme="minorHAnsi" w:hAnsiTheme="minorHAnsi"/>
          <w:bCs/>
        </w:rPr>
        <w:t>,</w:t>
      </w:r>
      <w:r w:rsidR="00D33D2A" w:rsidRPr="00F90B95">
        <w:rPr>
          <w:rFonts w:asciiTheme="minorHAnsi" w:hAnsiTheme="minorHAnsi"/>
          <w:bCs/>
        </w:rPr>
        <w:t xml:space="preserve"> as there was no direct randomised controlled trial, the </w:t>
      </w:r>
      <w:r w:rsidR="005D0734" w:rsidRPr="00F90B95">
        <w:rPr>
          <w:rFonts w:asciiTheme="minorHAnsi" w:hAnsiTheme="minorHAnsi"/>
          <w:bCs/>
        </w:rPr>
        <w:t xml:space="preserve">primary clinical evaluation in the </w:t>
      </w:r>
      <w:r w:rsidR="00D33D2A" w:rsidRPr="00F90B95">
        <w:rPr>
          <w:rFonts w:asciiTheme="minorHAnsi" w:hAnsiTheme="minorHAnsi"/>
          <w:bCs/>
        </w:rPr>
        <w:t xml:space="preserve">submission was based on naïve indirect comparisons between </w:t>
      </w:r>
      <w:r w:rsidR="00A80500" w:rsidRPr="00F90B95">
        <w:rPr>
          <w:rFonts w:asciiTheme="minorHAnsi" w:hAnsiTheme="minorHAnsi"/>
          <w:bCs/>
        </w:rPr>
        <w:t xml:space="preserve">the results of </w:t>
      </w:r>
      <w:r w:rsidR="00D33D2A" w:rsidRPr="00F90B95">
        <w:rPr>
          <w:rFonts w:asciiTheme="minorHAnsi" w:hAnsiTheme="minorHAnsi"/>
          <w:bCs/>
        </w:rPr>
        <w:t xml:space="preserve">the key pembrolizumab study, KN164, and </w:t>
      </w:r>
      <w:r w:rsidR="00A80500" w:rsidRPr="00F90B95">
        <w:rPr>
          <w:rFonts w:asciiTheme="minorHAnsi" w:hAnsiTheme="minorHAnsi"/>
          <w:bCs/>
        </w:rPr>
        <w:t xml:space="preserve">those of </w:t>
      </w:r>
      <w:r w:rsidR="00D33D2A" w:rsidRPr="00F90B95">
        <w:rPr>
          <w:rFonts w:asciiTheme="minorHAnsi" w:hAnsiTheme="minorHAnsi"/>
          <w:bCs/>
        </w:rPr>
        <w:t xml:space="preserve">the </w:t>
      </w:r>
      <w:r w:rsidR="00A80500" w:rsidRPr="00F90B95">
        <w:rPr>
          <w:rFonts w:asciiTheme="minorHAnsi" w:hAnsiTheme="minorHAnsi"/>
          <w:bCs/>
        </w:rPr>
        <w:t xml:space="preserve">SOC </w:t>
      </w:r>
      <w:r w:rsidR="00902562" w:rsidRPr="00F90B95">
        <w:rPr>
          <w:rFonts w:asciiTheme="minorHAnsi" w:hAnsiTheme="minorHAnsi"/>
          <w:bCs/>
        </w:rPr>
        <w:t>c</w:t>
      </w:r>
      <w:r w:rsidR="00D33D2A" w:rsidRPr="00F90B95">
        <w:rPr>
          <w:rFonts w:asciiTheme="minorHAnsi" w:hAnsiTheme="minorHAnsi"/>
          <w:bCs/>
        </w:rPr>
        <w:t>omparator</w:t>
      </w:r>
      <w:r w:rsidR="00A80500" w:rsidRPr="00F90B95">
        <w:rPr>
          <w:rFonts w:asciiTheme="minorHAnsi" w:hAnsiTheme="minorHAnsi"/>
          <w:bCs/>
        </w:rPr>
        <w:t xml:space="preserve"> studie</w:t>
      </w:r>
      <w:r w:rsidR="00D33D2A" w:rsidRPr="00F90B95">
        <w:rPr>
          <w:rFonts w:asciiTheme="minorHAnsi" w:hAnsiTheme="minorHAnsi"/>
          <w:bCs/>
        </w:rPr>
        <w:t>s.</w:t>
      </w:r>
    </w:p>
    <w:p w:rsidR="00D33D2A" w:rsidRPr="00F90B95" w:rsidRDefault="00D33D2A" w:rsidP="0044164E">
      <w:pPr>
        <w:numPr>
          <w:ilvl w:val="1"/>
          <w:numId w:val="7"/>
        </w:numPr>
        <w:spacing w:before="120" w:after="120"/>
        <w:rPr>
          <w:rFonts w:asciiTheme="minorHAnsi" w:hAnsiTheme="minorHAnsi"/>
          <w:bCs/>
        </w:rPr>
      </w:pPr>
      <w:r w:rsidRPr="00F90B95">
        <w:rPr>
          <w:rFonts w:asciiTheme="minorHAnsi" w:hAnsiTheme="minorHAnsi"/>
          <w:bCs/>
        </w:rPr>
        <w:t xml:space="preserve">The PBAC noted </w:t>
      </w:r>
      <w:r w:rsidR="00986150" w:rsidRPr="00F90B95">
        <w:rPr>
          <w:rFonts w:asciiTheme="minorHAnsi" w:hAnsiTheme="minorHAnsi"/>
          <w:bCs/>
        </w:rPr>
        <w:t xml:space="preserve">that the </w:t>
      </w:r>
      <w:r w:rsidRPr="00F90B95">
        <w:rPr>
          <w:rFonts w:asciiTheme="minorHAnsi" w:hAnsiTheme="minorHAnsi"/>
          <w:bCs/>
        </w:rPr>
        <w:t xml:space="preserve">KN164 </w:t>
      </w:r>
      <w:r w:rsidR="00986150" w:rsidRPr="00F90B95">
        <w:rPr>
          <w:rFonts w:asciiTheme="minorHAnsi" w:hAnsiTheme="minorHAnsi"/>
          <w:bCs/>
        </w:rPr>
        <w:t xml:space="preserve">study was a small (N = 61), </w:t>
      </w:r>
      <w:r w:rsidR="0015567F" w:rsidRPr="00F90B95">
        <w:rPr>
          <w:rFonts w:asciiTheme="minorHAnsi" w:hAnsiTheme="minorHAnsi"/>
          <w:bCs/>
        </w:rPr>
        <w:t>single</w:t>
      </w:r>
      <w:r w:rsidR="00A80500" w:rsidRPr="00F90B95">
        <w:rPr>
          <w:rFonts w:asciiTheme="minorHAnsi" w:hAnsiTheme="minorHAnsi"/>
          <w:bCs/>
        </w:rPr>
        <w:t>-</w:t>
      </w:r>
      <w:r w:rsidR="0015567F" w:rsidRPr="00F90B95">
        <w:rPr>
          <w:rFonts w:asciiTheme="minorHAnsi" w:hAnsiTheme="minorHAnsi"/>
          <w:bCs/>
        </w:rPr>
        <w:t xml:space="preserve">arm, Phase II study with a high risk of bias. The PBAC noted that objective response rate (ORR) was the primary outcome, the data were </w:t>
      </w:r>
      <w:r w:rsidR="00A12FBC" w:rsidRPr="00F90B95">
        <w:rPr>
          <w:rFonts w:asciiTheme="minorHAnsi" w:hAnsiTheme="minorHAnsi"/>
          <w:bCs/>
        </w:rPr>
        <w:t xml:space="preserve">still </w:t>
      </w:r>
      <w:r w:rsidR="0015567F" w:rsidRPr="00F90B95">
        <w:rPr>
          <w:rFonts w:asciiTheme="minorHAnsi" w:hAnsiTheme="minorHAnsi"/>
          <w:bCs/>
        </w:rPr>
        <w:t>immature as median overall survival (OS) had not been reached at a median follow-up of 13.2 mont</w:t>
      </w:r>
      <w:r w:rsidR="005E19C9" w:rsidRPr="00F90B95">
        <w:rPr>
          <w:rFonts w:asciiTheme="minorHAnsi" w:hAnsiTheme="minorHAnsi"/>
          <w:bCs/>
        </w:rPr>
        <w:t>hs</w:t>
      </w:r>
      <w:r w:rsidR="00F62933">
        <w:rPr>
          <w:rFonts w:asciiTheme="minorHAnsi" w:hAnsiTheme="minorHAnsi"/>
          <w:bCs/>
        </w:rPr>
        <w:t xml:space="preserve">. The PBAC noted </w:t>
      </w:r>
      <w:r w:rsidR="005E19C9" w:rsidRPr="00F90B95">
        <w:rPr>
          <w:rFonts w:asciiTheme="minorHAnsi" w:hAnsiTheme="minorHAnsi"/>
          <w:bCs/>
        </w:rPr>
        <w:t xml:space="preserve">that </w:t>
      </w:r>
      <w:r w:rsidR="00F62933">
        <w:rPr>
          <w:rFonts w:asciiTheme="minorHAnsi" w:hAnsiTheme="minorHAnsi"/>
          <w:bCs/>
        </w:rPr>
        <w:t xml:space="preserve">the European Society for Medical Oncology Magnitude of Clinical Benefit Scale to a grade of 2 (out of a maximum of 5, where 4 and 5 represent the grades with substantial improvement), which was considered modest. </w:t>
      </w:r>
      <w:r w:rsidR="005D0734" w:rsidRPr="00F90B95">
        <w:rPr>
          <w:rFonts w:asciiTheme="minorHAnsi" w:hAnsiTheme="minorHAnsi"/>
          <w:bCs/>
        </w:rPr>
        <w:t>The PBAC also noted that there was extensive heterogeneity among the 16 comparator studies in terms of baseline demographics and disease characteristics, treatment dosing regimens, durations of follow-up and treatment outcomes.</w:t>
      </w:r>
    </w:p>
    <w:p w:rsidR="00986150" w:rsidRPr="00F90B95" w:rsidRDefault="0015567F" w:rsidP="0044164E">
      <w:pPr>
        <w:numPr>
          <w:ilvl w:val="1"/>
          <w:numId w:val="7"/>
        </w:numPr>
        <w:spacing w:before="120" w:after="120"/>
        <w:rPr>
          <w:rFonts w:asciiTheme="minorHAnsi" w:hAnsiTheme="minorHAnsi"/>
          <w:bCs/>
        </w:rPr>
      </w:pPr>
      <w:r w:rsidRPr="00F90B95">
        <w:rPr>
          <w:rFonts w:asciiTheme="minorHAnsi" w:hAnsiTheme="minorHAnsi"/>
          <w:bCs/>
        </w:rPr>
        <w:t xml:space="preserve">The PBAC considered that </w:t>
      </w:r>
      <w:r w:rsidR="00D33D2A" w:rsidRPr="00F90B95">
        <w:rPr>
          <w:rFonts w:asciiTheme="minorHAnsi" w:hAnsiTheme="minorHAnsi"/>
          <w:bCs/>
        </w:rPr>
        <w:t xml:space="preserve">the </w:t>
      </w:r>
      <w:r w:rsidR="003147FC" w:rsidRPr="00F90B95">
        <w:rPr>
          <w:rFonts w:asciiTheme="minorHAnsi" w:hAnsiTheme="minorHAnsi"/>
          <w:bCs/>
        </w:rPr>
        <w:t>efficacy and safety r</w:t>
      </w:r>
      <w:r w:rsidR="00D33D2A" w:rsidRPr="00F90B95">
        <w:rPr>
          <w:rFonts w:asciiTheme="minorHAnsi" w:hAnsiTheme="minorHAnsi"/>
          <w:bCs/>
        </w:rPr>
        <w:t xml:space="preserve">esults of the indirect comparisons were </w:t>
      </w:r>
      <w:r w:rsidR="003147FC" w:rsidRPr="00F90B95">
        <w:rPr>
          <w:rFonts w:asciiTheme="minorHAnsi" w:hAnsiTheme="minorHAnsi"/>
          <w:bCs/>
        </w:rPr>
        <w:t xml:space="preserve">difficult to interpret and </w:t>
      </w:r>
      <w:r w:rsidR="00D33D2A" w:rsidRPr="00F90B95">
        <w:rPr>
          <w:rFonts w:asciiTheme="minorHAnsi" w:hAnsiTheme="minorHAnsi"/>
          <w:bCs/>
        </w:rPr>
        <w:t>highly uncertain</w:t>
      </w:r>
      <w:r w:rsidR="003147FC" w:rsidRPr="00F90B95">
        <w:rPr>
          <w:rFonts w:asciiTheme="minorHAnsi" w:hAnsiTheme="minorHAnsi"/>
          <w:bCs/>
        </w:rPr>
        <w:t xml:space="preserve"> as there were no common comparators, the study population from KN164 did not match the proposed PBS population in terms of number of prior therapies (the study population was much more highly treated) and the significant heterogeneity and transitivity issues between the stu</w:t>
      </w:r>
      <w:r w:rsidR="00F36DAF" w:rsidRPr="00F90B95">
        <w:rPr>
          <w:rFonts w:asciiTheme="minorHAnsi" w:hAnsiTheme="minorHAnsi"/>
          <w:bCs/>
        </w:rPr>
        <w:t>dies.</w:t>
      </w:r>
    </w:p>
    <w:p w:rsidR="003147FC" w:rsidRPr="00F90B95" w:rsidRDefault="003147FC" w:rsidP="0044164E">
      <w:pPr>
        <w:numPr>
          <w:ilvl w:val="1"/>
          <w:numId w:val="7"/>
        </w:numPr>
        <w:spacing w:before="120" w:after="120"/>
        <w:rPr>
          <w:rFonts w:asciiTheme="minorHAnsi" w:hAnsiTheme="minorHAnsi"/>
          <w:bCs/>
        </w:rPr>
      </w:pPr>
      <w:r w:rsidRPr="00F90B95">
        <w:rPr>
          <w:rFonts w:asciiTheme="minorHAnsi" w:hAnsiTheme="minorHAnsi"/>
          <w:bCs/>
        </w:rPr>
        <w:t xml:space="preserve">The PBAC considered that the claim that pembrolizumab was superior to SOC in terms of efficacy was not supported by the </w:t>
      </w:r>
      <w:r w:rsidR="005D4429" w:rsidRPr="00F90B95">
        <w:rPr>
          <w:rFonts w:asciiTheme="minorHAnsi" w:hAnsiTheme="minorHAnsi"/>
          <w:bCs/>
        </w:rPr>
        <w:t>indirect comparisons</w:t>
      </w:r>
      <w:r w:rsidRPr="00F90B95">
        <w:rPr>
          <w:rFonts w:asciiTheme="minorHAnsi" w:hAnsiTheme="minorHAnsi"/>
          <w:bCs/>
        </w:rPr>
        <w:t>.</w:t>
      </w:r>
    </w:p>
    <w:p w:rsidR="003147FC" w:rsidRPr="00F90B95" w:rsidRDefault="003147FC" w:rsidP="0044164E">
      <w:pPr>
        <w:numPr>
          <w:ilvl w:val="1"/>
          <w:numId w:val="7"/>
        </w:numPr>
        <w:spacing w:before="120" w:after="120"/>
        <w:rPr>
          <w:rFonts w:asciiTheme="minorHAnsi" w:hAnsiTheme="minorHAnsi"/>
          <w:bCs/>
        </w:rPr>
      </w:pPr>
      <w:r w:rsidRPr="00F90B95">
        <w:rPr>
          <w:rFonts w:asciiTheme="minorHAnsi" w:hAnsiTheme="minorHAnsi"/>
          <w:bCs/>
        </w:rPr>
        <w:t xml:space="preserve">The PBAC considered that the claim that pembrolizumab was superior to SOC in terms of safety was not supported by the </w:t>
      </w:r>
      <w:r w:rsidR="005D4429" w:rsidRPr="00F90B95">
        <w:rPr>
          <w:rFonts w:asciiTheme="minorHAnsi" w:hAnsiTheme="minorHAnsi"/>
          <w:bCs/>
        </w:rPr>
        <w:t>indirect comparisons</w:t>
      </w:r>
      <w:r w:rsidRPr="00F90B95">
        <w:rPr>
          <w:rFonts w:asciiTheme="minorHAnsi" w:hAnsiTheme="minorHAnsi"/>
          <w:bCs/>
        </w:rPr>
        <w:t>.</w:t>
      </w:r>
    </w:p>
    <w:p w:rsidR="002941B3" w:rsidRPr="00F90B95" w:rsidRDefault="002941B3" w:rsidP="0044164E">
      <w:pPr>
        <w:numPr>
          <w:ilvl w:val="1"/>
          <w:numId w:val="7"/>
        </w:numPr>
        <w:spacing w:before="120" w:after="120"/>
        <w:rPr>
          <w:rFonts w:asciiTheme="minorHAnsi" w:hAnsiTheme="minorHAnsi"/>
          <w:bCs/>
        </w:rPr>
      </w:pPr>
      <w:r w:rsidRPr="00F90B95">
        <w:rPr>
          <w:rFonts w:asciiTheme="minorHAnsi" w:hAnsiTheme="minorHAnsi"/>
          <w:bCs/>
        </w:rPr>
        <w:t>The PBAC noted that the OS and time on treatment (</w:t>
      </w:r>
      <w:proofErr w:type="spellStart"/>
      <w:r w:rsidRPr="00F90B95">
        <w:rPr>
          <w:rFonts w:asciiTheme="minorHAnsi" w:hAnsiTheme="minorHAnsi"/>
          <w:bCs/>
        </w:rPr>
        <w:t>ToT</w:t>
      </w:r>
      <w:proofErr w:type="spellEnd"/>
      <w:r w:rsidRPr="00F90B95">
        <w:rPr>
          <w:rFonts w:asciiTheme="minorHAnsi" w:hAnsiTheme="minorHAnsi"/>
          <w:bCs/>
        </w:rPr>
        <w:t xml:space="preserve">) curves </w:t>
      </w:r>
      <w:r w:rsidR="005D0734" w:rsidRPr="00F90B95">
        <w:rPr>
          <w:rFonts w:asciiTheme="minorHAnsi" w:hAnsiTheme="minorHAnsi"/>
          <w:bCs/>
        </w:rPr>
        <w:t xml:space="preserve">for the SOC arm </w:t>
      </w:r>
      <w:r w:rsidR="00204D8F" w:rsidRPr="00F90B95">
        <w:rPr>
          <w:rFonts w:asciiTheme="minorHAnsi" w:hAnsiTheme="minorHAnsi"/>
          <w:bCs/>
        </w:rPr>
        <w:t>in</w:t>
      </w:r>
      <w:r w:rsidRPr="00F90B95">
        <w:rPr>
          <w:rFonts w:asciiTheme="minorHAnsi" w:hAnsiTheme="minorHAnsi"/>
          <w:bCs/>
        </w:rPr>
        <w:t xml:space="preserve"> the economic model were informed, not by the </w:t>
      </w:r>
      <w:r w:rsidR="005D4429" w:rsidRPr="00F90B95">
        <w:rPr>
          <w:rFonts w:asciiTheme="minorHAnsi" w:hAnsiTheme="minorHAnsi"/>
          <w:bCs/>
        </w:rPr>
        <w:t xml:space="preserve">clinical studies of SOC contributing to the </w:t>
      </w:r>
      <w:r w:rsidR="005D0734" w:rsidRPr="00F90B95">
        <w:rPr>
          <w:rFonts w:asciiTheme="minorHAnsi" w:hAnsiTheme="minorHAnsi"/>
          <w:bCs/>
        </w:rPr>
        <w:t xml:space="preserve">primary </w:t>
      </w:r>
      <w:r w:rsidR="005D4429" w:rsidRPr="00F90B95">
        <w:rPr>
          <w:rFonts w:asciiTheme="minorHAnsi" w:hAnsiTheme="minorHAnsi"/>
          <w:bCs/>
        </w:rPr>
        <w:t>indirect comparisons</w:t>
      </w:r>
      <w:r w:rsidRPr="00F90B95">
        <w:rPr>
          <w:rFonts w:asciiTheme="minorHAnsi" w:hAnsiTheme="minorHAnsi"/>
          <w:bCs/>
        </w:rPr>
        <w:t xml:space="preserve"> presented in the submission, but by a subgroup of seven patients from the </w:t>
      </w:r>
      <w:r w:rsidR="00B434AB" w:rsidRPr="00F90B95">
        <w:rPr>
          <w:rFonts w:asciiTheme="minorHAnsi" w:hAnsiTheme="minorHAnsi"/>
          <w:bCs/>
        </w:rPr>
        <w:t xml:space="preserve">Australian </w:t>
      </w:r>
      <w:r w:rsidRPr="00F90B95">
        <w:rPr>
          <w:rFonts w:asciiTheme="minorHAnsi" w:hAnsiTheme="minorHAnsi"/>
          <w:bCs/>
        </w:rPr>
        <w:t xml:space="preserve">Treatment of Advanced Colorectal Cancer (TRACC) registry. </w:t>
      </w:r>
      <w:r w:rsidR="005D0734" w:rsidRPr="00F90B95">
        <w:rPr>
          <w:rFonts w:asciiTheme="minorHAnsi" w:hAnsiTheme="minorHAnsi"/>
          <w:bCs/>
        </w:rPr>
        <w:t xml:space="preserve">Although these patients were more relevant to a comparison for a potentially </w:t>
      </w:r>
      <w:r w:rsidR="005D0734" w:rsidRPr="00F90B95">
        <w:rPr>
          <w:rFonts w:asciiTheme="minorHAnsi" w:hAnsiTheme="minorHAnsi"/>
          <w:bCs/>
        </w:rPr>
        <w:lastRenderedPageBreak/>
        <w:t xml:space="preserve">more suitable PBS listing of pembrolizumab in terms of two key characteristics (they were confirmed to be </w:t>
      </w:r>
      <w:proofErr w:type="spellStart"/>
      <w:r w:rsidR="005D0734" w:rsidRPr="00F90B95">
        <w:rPr>
          <w:rFonts w:asciiTheme="minorHAnsi" w:hAnsiTheme="minorHAnsi"/>
          <w:bCs/>
        </w:rPr>
        <w:t>dMMR</w:t>
      </w:r>
      <w:proofErr w:type="spellEnd"/>
      <w:r w:rsidR="005D0734" w:rsidRPr="00F90B95">
        <w:rPr>
          <w:rFonts w:asciiTheme="minorHAnsi" w:hAnsiTheme="minorHAnsi"/>
          <w:bCs/>
        </w:rPr>
        <w:t xml:space="preserve"> and they also more closely represented a last-line population having received at least two prior lines of therapy), the PBAC concluded overall that this alternative source of evidence did not form a sufficient basis for an informative clinical comparison with pembrolizumab. </w:t>
      </w:r>
      <w:r w:rsidRPr="00F90B95">
        <w:rPr>
          <w:rFonts w:asciiTheme="minorHAnsi" w:hAnsiTheme="minorHAnsi"/>
          <w:bCs/>
        </w:rPr>
        <w:t xml:space="preserve">The PBAC agreed with </w:t>
      </w:r>
      <w:r w:rsidR="005D4429" w:rsidRPr="00F90B95">
        <w:rPr>
          <w:rFonts w:asciiTheme="minorHAnsi" w:hAnsiTheme="minorHAnsi"/>
          <w:bCs/>
        </w:rPr>
        <w:t xml:space="preserve">the concerns of </w:t>
      </w:r>
      <w:r w:rsidRPr="00F90B95">
        <w:rPr>
          <w:rFonts w:asciiTheme="minorHAnsi" w:hAnsiTheme="minorHAnsi"/>
          <w:bCs/>
        </w:rPr>
        <w:t>the ESC and considered that given the very small sample size</w:t>
      </w:r>
      <w:r w:rsidR="00BD0793" w:rsidRPr="00F90B95">
        <w:rPr>
          <w:rFonts w:asciiTheme="minorHAnsi" w:hAnsiTheme="minorHAnsi"/>
          <w:bCs/>
        </w:rPr>
        <w:t xml:space="preserve"> in particular</w:t>
      </w:r>
      <w:r w:rsidR="00552507" w:rsidRPr="00F90B95">
        <w:rPr>
          <w:rFonts w:asciiTheme="minorHAnsi" w:hAnsiTheme="minorHAnsi"/>
          <w:bCs/>
        </w:rPr>
        <w:t>, the resultant estimates and the subsequent economic evaluation were unreliable.</w:t>
      </w:r>
    </w:p>
    <w:p w:rsidR="00552507" w:rsidRPr="00F90B95" w:rsidRDefault="00552507" w:rsidP="0044164E">
      <w:pPr>
        <w:numPr>
          <w:ilvl w:val="1"/>
          <w:numId w:val="7"/>
        </w:numPr>
        <w:spacing w:before="120" w:after="120"/>
        <w:rPr>
          <w:rFonts w:asciiTheme="minorHAnsi" w:hAnsiTheme="minorHAnsi"/>
          <w:bCs/>
        </w:rPr>
      </w:pPr>
      <w:r w:rsidRPr="00F90B95">
        <w:rPr>
          <w:rFonts w:asciiTheme="minorHAnsi" w:hAnsiTheme="minorHAnsi"/>
          <w:bCs/>
        </w:rPr>
        <w:t>The PBAC considered that there were a number of additional issues with the cost-utility analysis presented, including, but not limited to:</w:t>
      </w:r>
    </w:p>
    <w:p w:rsidR="00552507" w:rsidRPr="00F90B95" w:rsidRDefault="00552507" w:rsidP="0044164E">
      <w:pPr>
        <w:numPr>
          <w:ilvl w:val="1"/>
          <w:numId w:val="15"/>
        </w:numPr>
        <w:spacing w:before="120" w:after="120"/>
        <w:ind w:left="1077" w:hanging="357"/>
        <w:rPr>
          <w:rFonts w:asciiTheme="minorHAnsi" w:hAnsiTheme="minorHAnsi"/>
          <w:bCs/>
        </w:rPr>
      </w:pPr>
      <w:r w:rsidRPr="00F90B95">
        <w:rPr>
          <w:rFonts w:asciiTheme="minorHAnsi" w:hAnsiTheme="minorHAnsi"/>
          <w:bCs/>
        </w:rPr>
        <w:t xml:space="preserve">As no baseline characteristics were presented for the seven TRACC registry patients, the PBAC noted that it was not possible to identify or address transitivity or applicability issues or possible sources of bias in the resulting </w:t>
      </w:r>
      <w:r w:rsidR="005D0734" w:rsidRPr="00F90B95">
        <w:rPr>
          <w:rFonts w:asciiTheme="minorHAnsi" w:hAnsiTheme="minorHAnsi"/>
          <w:bCs/>
        </w:rPr>
        <w:t xml:space="preserve">alternative </w:t>
      </w:r>
      <w:r w:rsidRPr="00F90B95">
        <w:rPr>
          <w:rFonts w:asciiTheme="minorHAnsi" w:hAnsiTheme="minorHAnsi"/>
          <w:bCs/>
        </w:rPr>
        <w:t>indirect comparison</w:t>
      </w:r>
      <w:r w:rsidR="00A47EF2" w:rsidRPr="00F90B95">
        <w:rPr>
          <w:rFonts w:asciiTheme="minorHAnsi" w:hAnsiTheme="minorHAnsi"/>
          <w:bCs/>
        </w:rPr>
        <w:t>;</w:t>
      </w:r>
    </w:p>
    <w:p w:rsidR="00552507" w:rsidRPr="00F90B95" w:rsidRDefault="00552507" w:rsidP="0044164E">
      <w:pPr>
        <w:numPr>
          <w:ilvl w:val="1"/>
          <w:numId w:val="15"/>
        </w:numPr>
        <w:spacing w:before="120" w:after="120"/>
        <w:ind w:left="1077" w:hanging="357"/>
        <w:rPr>
          <w:rFonts w:asciiTheme="minorHAnsi" w:hAnsiTheme="minorHAnsi"/>
          <w:bCs/>
        </w:rPr>
      </w:pPr>
      <w:r w:rsidRPr="00F90B95">
        <w:rPr>
          <w:rFonts w:asciiTheme="minorHAnsi" w:hAnsiTheme="minorHAnsi"/>
          <w:bCs/>
        </w:rPr>
        <w:t>PFS was not recorded by the TRACC registry. The PBAC considered that the method</w:t>
      </w:r>
      <w:r w:rsidR="005D4429" w:rsidRPr="00F90B95">
        <w:rPr>
          <w:rFonts w:asciiTheme="minorHAnsi" w:hAnsiTheme="minorHAnsi"/>
          <w:bCs/>
        </w:rPr>
        <w:t>s</w:t>
      </w:r>
      <w:r w:rsidRPr="00F90B95">
        <w:rPr>
          <w:rFonts w:asciiTheme="minorHAnsi" w:hAnsiTheme="minorHAnsi"/>
          <w:bCs/>
        </w:rPr>
        <w:t xml:space="preserve"> used to estimate PFS in the SOC arm of </w:t>
      </w:r>
      <w:r w:rsidR="005D4429" w:rsidRPr="00F90B95">
        <w:rPr>
          <w:rFonts w:asciiTheme="minorHAnsi" w:hAnsiTheme="minorHAnsi"/>
          <w:bCs/>
        </w:rPr>
        <w:t xml:space="preserve">both </w:t>
      </w:r>
      <w:r w:rsidRPr="00F90B95">
        <w:rPr>
          <w:rFonts w:asciiTheme="minorHAnsi" w:hAnsiTheme="minorHAnsi"/>
          <w:bCs/>
        </w:rPr>
        <w:t xml:space="preserve">the base case </w:t>
      </w:r>
      <w:r w:rsidR="005D4429" w:rsidRPr="00F90B95">
        <w:rPr>
          <w:rFonts w:asciiTheme="minorHAnsi" w:hAnsiTheme="minorHAnsi"/>
          <w:bCs/>
        </w:rPr>
        <w:t xml:space="preserve">and the alternative </w:t>
      </w:r>
      <w:r w:rsidR="00BD0793" w:rsidRPr="00F90B95">
        <w:rPr>
          <w:rFonts w:asciiTheme="minorHAnsi" w:hAnsiTheme="minorHAnsi"/>
          <w:bCs/>
        </w:rPr>
        <w:t>method</w:t>
      </w:r>
      <w:r w:rsidR="007B1DDA" w:rsidRPr="00F90B95">
        <w:rPr>
          <w:rFonts w:asciiTheme="minorHAnsi" w:hAnsiTheme="minorHAnsi"/>
          <w:bCs/>
        </w:rPr>
        <w:t xml:space="preserve"> yielded results which were</w:t>
      </w:r>
      <w:r w:rsidRPr="00F90B95">
        <w:rPr>
          <w:rFonts w:asciiTheme="minorHAnsi" w:hAnsiTheme="minorHAnsi"/>
          <w:bCs/>
        </w:rPr>
        <w:t xml:space="preserve"> highly uncertain</w:t>
      </w:r>
      <w:r w:rsidR="00F2102A" w:rsidRPr="00F90B95">
        <w:rPr>
          <w:rFonts w:asciiTheme="minorHAnsi" w:hAnsiTheme="minorHAnsi"/>
          <w:bCs/>
        </w:rPr>
        <w:t xml:space="preserve">. In particular, the implication </w:t>
      </w:r>
      <w:r w:rsidR="00A12FBC" w:rsidRPr="00F90B95">
        <w:rPr>
          <w:rFonts w:asciiTheme="minorHAnsi" w:hAnsiTheme="minorHAnsi"/>
          <w:bCs/>
        </w:rPr>
        <w:t xml:space="preserve">of these </w:t>
      </w:r>
      <w:r w:rsidR="005768EF">
        <w:rPr>
          <w:rFonts w:asciiTheme="minorHAnsi" w:hAnsiTheme="minorHAnsi"/>
          <w:bCs/>
        </w:rPr>
        <w:t>methods</w:t>
      </w:r>
      <w:r w:rsidR="005768EF" w:rsidRPr="00F90B95">
        <w:rPr>
          <w:rFonts w:asciiTheme="minorHAnsi" w:hAnsiTheme="minorHAnsi"/>
          <w:bCs/>
        </w:rPr>
        <w:t xml:space="preserve"> </w:t>
      </w:r>
      <w:r w:rsidR="00F2102A" w:rsidRPr="00F90B95">
        <w:rPr>
          <w:rFonts w:asciiTheme="minorHAnsi" w:hAnsiTheme="minorHAnsi"/>
          <w:bCs/>
        </w:rPr>
        <w:t>was that time on treatment exceeded time to progression, which favoured pembrolizumab because of the greater prolongation of time o</w:t>
      </w:r>
      <w:r w:rsidR="00A12FBC" w:rsidRPr="00F90B95">
        <w:rPr>
          <w:rFonts w:asciiTheme="minorHAnsi" w:hAnsiTheme="minorHAnsi"/>
          <w:bCs/>
        </w:rPr>
        <w:t>n</w:t>
      </w:r>
      <w:r w:rsidR="00F2102A" w:rsidRPr="00F90B95">
        <w:rPr>
          <w:rFonts w:asciiTheme="minorHAnsi" w:hAnsiTheme="minorHAnsi"/>
          <w:bCs/>
        </w:rPr>
        <w:t xml:space="preserve"> treatment for SOC resulted in greater cost offsets</w:t>
      </w:r>
      <w:r w:rsidR="00A47EF2" w:rsidRPr="00F90B95">
        <w:rPr>
          <w:rFonts w:asciiTheme="minorHAnsi" w:hAnsiTheme="minorHAnsi"/>
          <w:bCs/>
        </w:rPr>
        <w:t>;</w:t>
      </w:r>
    </w:p>
    <w:p w:rsidR="00A47EF2" w:rsidRPr="00F90B95" w:rsidRDefault="00A47EF2" w:rsidP="0044164E">
      <w:pPr>
        <w:numPr>
          <w:ilvl w:val="1"/>
          <w:numId w:val="15"/>
        </w:numPr>
        <w:spacing w:before="120" w:after="120"/>
        <w:ind w:left="1077" w:hanging="357"/>
        <w:rPr>
          <w:rFonts w:asciiTheme="minorHAnsi" w:hAnsiTheme="minorHAnsi"/>
          <w:bCs/>
        </w:rPr>
      </w:pPr>
      <w:r w:rsidRPr="00F90B95">
        <w:rPr>
          <w:rFonts w:asciiTheme="minorHAnsi" w:hAnsiTheme="minorHAnsi"/>
          <w:bCs/>
        </w:rPr>
        <w:t>Time on treatment for the seven TRACC patients was measured only in the first-line treatment setting, not in the second-line setting as per the proposed PBS population, which potentially overestimated SOC treatment costs;</w:t>
      </w:r>
    </w:p>
    <w:p w:rsidR="00A47EF2" w:rsidRPr="00F90B95" w:rsidRDefault="00A47EF2" w:rsidP="0044164E">
      <w:pPr>
        <w:numPr>
          <w:ilvl w:val="1"/>
          <w:numId w:val="15"/>
        </w:numPr>
        <w:spacing w:before="120" w:after="120"/>
        <w:ind w:left="1077" w:hanging="357"/>
        <w:rPr>
          <w:rFonts w:asciiTheme="minorHAnsi" w:hAnsiTheme="minorHAnsi"/>
          <w:bCs/>
        </w:rPr>
      </w:pPr>
      <w:r w:rsidRPr="00F90B95">
        <w:rPr>
          <w:rFonts w:asciiTheme="minorHAnsi" w:hAnsiTheme="minorHAnsi"/>
          <w:bCs/>
        </w:rPr>
        <w:t>OS estimates in the pembrolizumab arm were based on immature data; and</w:t>
      </w:r>
    </w:p>
    <w:p w:rsidR="00A47EF2" w:rsidRPr="00F90B95" w:rsidRDefault="00A47EF2" w:rsidP="0044164E">
      <w:pPr>
        <w:numPr>
          <w:ilvl w:val="1"/>
          <w:numId w:val="15"/>
        </w:numPr>
        <w:spacing w:before="120" w:after="120"/>
        <w:ind w:left="1077" w:hanging="357"/>
        <w:rPr>
          <w:rFonts w:asciiTheme="minorHAnsi" w:hAnsiTheme="minorHAnsi"/>
          <w:bCs/>
        </w:rPr>
      </w:pPr>
      <w:r w:rsidRPr="00F90B95">
        <w:rPr>
          <w:rFonts w:asciiTheme="minorHAnsi" w:hAnsiTheme="minorHAnsi"/>
          <w:bCs/>
        </w:rPr>
        <w:t xml:space="preserve">The PFS and OS </w:t>
      </w:r>
      <w:r w:rsidR="000A50F9" w:rsidRPr="00F90B95">
        <w:rPr>
          <w:rFonts w:asciiTheme="minorHAnsi" w:hAnsiTheme="minorHAnsi"/>
          <w:bCs/>
        </w:rPr>
        <w:t xml:space="preserve">extrapolations raised issues of plausibility </w:t>
      </w:r>
      <w:r w:rsidR="00F2102A" w:rsidRPr="00F90B95">
        <w:rPr>
          <w:rFonts w:asciiTheme="minorHAnsi" w:hAnsiTheme="minorHAnsi"/>
          <w:bCs/>
        </w:rPr>
        <w:t xml:space="preserve">because the pembrolizumab </w:t>
      </w:r>
      <w:r w:rsidRPr="00F90B95">
        <w:rPr>
          <w:rFonts w:asciiTheme="minorHAnsi" w:hAnsiTheme="minorHAnsi"/>
          <w:bCs/>
        </w:rPr>
        <w:t xml:space="preserve">arm crossed </w:t>
      </w:r>
      <w:r w:rsidR="00F2102A" w:rsidRPr="00F90B95">
        <w:rPr>
          <w:rFonts w:asciiTheme="minorHAnsi" w:hAnsiTheme="minorHAnsi"/>
          <w:bCs/>
        </w:rPr>
        <w:t xml:space="preserve">the SOC arm </w:t>
      </w:r>
      <w:r w:rsidRPr="00F90B95">
        <w:rPr>
          <w:rFonts w:asciiTheme="minorHAnsi" w:hAnsiTheme="minorHAnsi"/>
          <w:bCs/>
        </w:rPr>
        <w:t>at approximately six and 11 years</w:t>
      </w:r>
      <w:r w:rsidR="00F2102A" w:rsidRPr="00F90B95">
        <w:rPr>
          <w:rFonts w:asciiTheme="minorHAnsi" w:hAnsiTheme="minorHAnsi"/>
          <w:bCs/>
        </w:rPr>
        <w:t>,</w:t>
      </w:r>
      <w:r w:rsidRPr="00F90B95">
        <w:rPr>
          <w:rFonts w:asciiTheme="minorHAnsi" w:hAnsiTheme="minorHAnsi"/>
          <w:bCs/>
        </w:rPr>
        <w:t xml:space="preserve"> respectively.</w:t>
      </w:r>
    </w:p>
    <w:p w:rsidR="00D86748" w:rsidRPr="00F90B95" w:rsidRDefault="00D86748" w:rsidP="0044164E">
      <w:pPr>
        <w:numPr>
          <w:ilvl w:val="1"/>
          <w:numId w:val="7"/>
        </w:numPr>
        <w:spacing w:before="120" w:after="120"/>
        <w:rPr>
          <w:rFonts w:asciiTheme="minorHAnsi" w:hAnsiTheme="minorHAnsi"/>
          <w:bCs/>
        </w:rPr>
      </w:pPr>
      <w:r w:rsidRPr="00F90B95">
        <w:rPr>
          <w:rFonts w:asciiTheme="minorHAnsi" w:hAnsiTheme="minorHAnsi"/>
          <w:bCs/>
        </w:rPr>
        <w:t xml:space="preserve">The PBAC noted that the </w:t>
      </w:r>
      <w:r w:rsidR="00A12FBC" w:rsidRPr="00F90B95">
        <w:rPr>
          <w:rFonts w:asciiTheme="minorHAnsi" w:hAnsiTheme="minorHAnsi"/>
          <w:bCs/>
        </w:rPr>
        <w:t xml:space="preserve">base case </w:t>
      </w:r>
      <w:r w:rsidRPr="00F90B95">
        <w:rPr>
          <w:rFonts w:asciiTheme="minorHAnsi" w:hAnsiTheme="minorHAnsi"/>
          <w:bCs/>
        </w:rPr>
        <w:t>incremental cost-effectiveness ratio (ICER) of $</w:t>
      </w:r>
      <w:r w:rsidR="00C70F9A">
        <w:rPr>
          <w:rFonts w:asciiTheme="minorHAnsi" w:hAnsiTheme="minorHAnsi"/>
          <w:bCs/>
        </w:rPr>
        <w:t>45,000/QALY to $75,000/QALY</w:t>
      </w:r>
      <w:r w:rsidRPr="00F90B95">
        <w:rPr>
          <w:rFonts w:asciiTheme="minorHAnsi" w:hAnsiTheme="minorHAnsi"/>
          <w:bCs/>
        </w:rPr>
        <w:t xml:space="preserve">, in addition to being unreliable, was high and did not reflect the high uncertainty in </w:t>
      </w:r>
      <w:r w:rsidR="00F36DAF" w:rsidRPr="00F90B95">
        <w:rPr>
          <w:rFonts w:asciiTheme="minorHAnsi" w:hAnsiTheme="minorHAnsi"/>
          <w:bCs/>
        </w:rPr>
        <w:t xml:space="preserve">and across </w:t>
      </w:r>
      <w:r w:rsidRPr="00F90B95">
        <w:rPr>
          <w:rFonts w:asciiTheme="minorHAnsi" w:hAnsiTheme="minorHAnsi"/>
          <w:bCs/>
        </w:rPr>
        <w:t xml:space="preserve">the </w:t>
      </w:r>
      <w:r w:rsidR="00F36DAF" w:rsidRPr="00F90B95">
        <w:rPr>
          <w:rFonts w:asciiTheme="minorHAnsi" w:hAnsiTheme="minorHAnsi"/>
          <w:bCs/>
        </w:rPr>
        <w:t xml:space="preserve">compared sources </w:t>
      </w:r>
      <w:r w:rsidR="00C40E0E" w:rsidRPr="00F90B95">
        <w:rPr>
          <w:rFonts w:asciiTheme="minorHAnsi" w:hAnsiTheme="minorHAnsi"/>
          <w:bCs/>
        </w:rPr>
        <w:t xml:space="preserve">of </w:t>
      </w:r>
      <w:r w:rsidRPr="00F90B95">
        <w:rPr>
          <w:rFonts w:asciiTheme="minorHAnsi" w:hAnsiTheme="minorHAnsi"/>
          <w:bCs/>
        </w:rPr>
        <w:t xml:space="preserve">data. The PBAC </w:t>
      </w:r>
      <w:r w:rsidR="00F36DAF" w:rsidRPr="00F90B95">
        <w:rPr>
          <w:rFonts w:asciiTheme="minorHAnsi" w:hAnsiTheme="minorHAnsi"/>
          <w:bCs/>
        </w:rPr>
        <w:t>advised</w:t>
      </w:r>
      <w:r w:rsidRPr="00F90B95">
        <w:rPr>
          <w:rFonts w:asciiTheme="minorHAnsi" w:hAnsiTheme="minorHAnsi"/>
          <w:bCs/>
        </w:rPr>
        <w:t xml:space="preserve"> that any future economic analysis </w:t>
      </w:r>
      <w:r w:rsidR="00F36DAF" w:rsidRPr="00F90B95">
        <w:rPr>
          <w:rFonts w:asciiTheme="minorHAnsi" w:hAnsiTheme="minorHAnsi"/>
          <w:bCs/>
        </w:rPr>
        <w:t>sh</w:t>
      </w:r>
      <w:r w:rsidRPr="00F90B95">
        <w:rPr>
          <w:rFonts w:asciiTheme="minorHAnsi" w:hAnsiTheme="minorHAnsi"/>
          <w:bCs/>
        </w:rPr>
        <w:t>ould model the cost-effectiveness of pembrolizumab as a last-line therapy, and that a three</w:t>
      </w:r>
      <w:r w:rsidR="00F36DAF" w:rsidRPr="00F90B95">
        <w:rPr>
          <w:rFonts w:asciiTheme="minorHAnsi" w:hAnsiTheme="minorHAnsi"/>
          <w:bCs/>
        </w:rPr>
        <w:t>-</w:t>
      </w:r>
      <w:r w:rsidRPr="00F90B95">
        <w:rPr>
          <w:rFonts w:asciiTheme="minorHAnsi" w:hAnsiTheme="minorHAnsi"/>
          <w:bCs/>
        </w:rPr>
        <w:t>year ti</w:t>
      </w:r>
      <w:r w:rsidR="00F36DAF" w:rsidRPr="00F90B95">
        <w:rPr>
          <w:rFonts w:asciiTheme="minorHAnsi" w:hAnsiTheme="minorHAnsi"/>
          <w:bCs/>
        </w:rPr>
        <w:t>me horizon would be</w:t>
      </w:r>
      <w:r w:rsidR="0016653C" w:rsidRPr="00F90B95">
        <w:rPr>
          <w:rFonts w:asciiTheme="minorHAnsi" w:hAnsiTheme="minorHAnsi"/>
          <w:bCs/>
        </w:rPr>
        <w:t xml:space="preserve"> </w:t>
      </w:r>
      <w:r w:rsidR="00F2102A" w:rsidRPr="00F90B95">
        <w:rPr>
          <w:rFonts w:asciiTheme="minorHAnsi" w:hAnsiTheme="minorHAnsi"/>
          <w:bCs/>
        </w:rPr>
        <w:t xml:space="preserve">more appropriate </w:t>
      </w:r>
      <w:r w:rsidR="0016653C" w:rsidRPr="00F90B95">
        <w:rPr>
          <w:rFonts w:asciiTheme="minorHAnsi" w:hAnsiTheme="minorHAnsi"/>
          <w:bCs/>
        </w:rPr>
        <w:t xml:space="preserve">given the considerable uncertainty </w:t>
      </w:r>
      <w:r w:rsidR="005768EF">
        <w:rPr>
          <w:rFonts w:asciiTheme="minorHAnsi" w:hAnsiTheme="minorHAnsi"/>
          <w:bCs/>
        </w:rPr>
        <w:t>associated with the</w:t>
      </w:r>
      <w:r w:rsidR="0016653C" w:rsidRPr="00F90B95">
        <w:rPr>
          <w:rFonts w:asciiTheme="minorHAnsi" w:hAnsiTheme="minorHAnsi"/>
          <w:bCs/>
        </w:rPr>
        <w:t xml:space="preserve"> extrapolations</w:t>
      </w:r>
      <w:r w:rsidR="00F36DAF" w:rsidRPr="00F90B95">
        <w:rPr>
          <w:rFonts w:asciiTheme="minorHAnsi" w:hAnsiTheme="minorHAnsi"/>
          <w:bCs/>
        </w:rPr>
        <w:t>.</w:t>
      </w:r>
    </w:p>
    <w:p w:rsidR="00204D8F" w:rsidRPr="00F90B95" w:rsidRDefault="00D86748" w:rsidP="0044164E">
      <w:pPr>
        <w:numPr>
          <w:ilvl w:val="1"/>
          <w:numId w:val="7"/>
        </w:numPr>
        <w:spacing w:before="120" w:after="120"/>
        <w:rPr>
          <w:rFonts w:asciiTheme="minorHAnsi" w:hAnsiTheme="minorHAnsi"/>
          <w:bCs/>
        </w:rPr>
      </w:pPr>
      <w:r w:rsidRPr="00F90B95">
        <w:rPr>
          <w:rFonts w:asciiTheme="minorHAnsi" w:hAnsiTheme="minorHAnsi"/>
          <w:bCs/>
        </w:rPr>
        <w:t>The PBAC noted that the DUSC considered that the utilisation estimates presented in the submission were likely to be overestimated. The PBAC considered that the financial implication</w:t>
      </w:r>
      <w:r w:rsidR="0064011E" w:rsidRPr="00F90B95">
        <w:rPr>
          <w:rFonts w:asciiTheme="minorHAnsi" w:hAnsiTheme="minorHAnsi"/>
          <w:bCs/>
        </w:rPr>
        <w:t>s based on the</w:t>
      </w:r>
      <w:r w:rsidRPr="00F90B95">
        <w:rPr>
          <w:rFonts w:asciiTheme="minorHAnsi" w:hAnsiTheme="minorHAnsi"/>
          <w:bCs/>
        </w:rPr>
        <w:t xml:space="preserve"> estimates </w:t>
      </w:r>
      <w:r w:rsidR="0064011E" w:rsidRPr="00F90B95">
        <w:rPr>
          <w:rFonts w:asciiTheme="minorHAnsi" w:hAnsiTheme="minorHAnsi"/>
          <w:bCs/>
        </w:rPr>
        <w:t xml:space="preserve">presented in the submission </w:t>
      </w:r>
      <w:r w:rsidRPr="00F90B95">
        <w:rPr>
          <w:rFonts w:asciiTheme="minorHAnsi" w:hAnsiTheme="minorHAnsi"/>
          <w:bCs/>
        </w:rPr>
        <w:t>were not informative as the proposed pl</w:t>
      </w:r>
      <w:r w:rsidR="00F36DAF" w:rsidRPr="00F90B95">
        <w:rPr>
          <w:rFonts w:asciiTheme="minorHAnsi" w:hAnsiTheme="minorHAnsi"/>
          <w:bCs/>
        </w:rPr>
        <w:t>ace in therapy was not correct.</w:t>
      </w:r>
    </w:p>
    <w:p w:rsidR="00204D8F" w:rsidRPr="00F90B95" w:rsidRDefault="00D86748" w:rsidP="0044164E">
      <w:pPr>
        <w:numPr>
          <w:ilvl w:val="1"/>
          <w:numId w:val="7"/>
        </w:numPr>
        <w:spacing w:before="120" w:after="120"/>
        <w:rPr>
          <w:rFonts w:asciiTheme="minorHAnsi" w:hAnsiTheme="minorHAnsi"/>
          <w:bCs/>
        </w:rPr>
      </w:pPr>
      <w:r w:rsidRPr="00F90B95">
        <w:rPr>
          <w:rFonts w:asciiTheme="minorHAnsi" w:hAnsiTheme="minorHAnsi"/>
          <w:bCs/>
        </w:rPr>
        <w:t xml:space="preserve">The PBAC </w:t>
      </w:r>
      <w:r w:rsidR="000077D9" w:rsidRPr="00F90B95">
        <w:rPr>
          <w:rFonts w:asciiTheme="minorHAnsi" w:hAnsiTheme="minorHAnsi"/>
          <w:bCs/>
        </w:rPr>
        <w:t xml:space="preserve">advised </w:t>
      </w:r>
      <w:r w:rsidRPr="00F90B95">
        <w:rPr>
          <w:rFonts w:asciiTheme="minorHAnsi" w:hAnsiTheme="minorHAnsi"/>
          <w:bCs/>
        </w:rPr>
        <w:t xml:space="preserve">that any future submission should be a major submission and address the issues raised regarding the proposed place in therapy, </w:t>
      </w:r>
      <w:r w:rsidR="0016653C" w:rsidRPr="00F90B95">
        <w:rPr>
          <w:rFonts w:asciiTheme="minorHAnsi" w:hAnsiTheme="minorHAnsi"/>
          <w:bCs/>
        </w:rPr>
        <w:t xml:space="preserve">the eligible </w:t>
      </w:r>
      <w:r w:rsidR="0016653C" w:rsidRPr="00F90B95">
        <w:rPr>
          <w:rFonts w:asciiTheme="minorHAnsi" w:hAnsiTheme="minorHAnsi"/>
          <w:bCs/>
        </w:rPr>
        <w:lastRenderedPageBreak/>
        <w:t>population</w:t>
      </w:r>
      <w:r w:rsidR="00BD0793" w:rsidRPr="00F90B95">
        <w:rPr>
          <w:rFonts w:asciiTheme="minorHAnsi" w:hAnsiTheme="minorHAnsi"/>
          <w:bCs/>
        </w:rPr>
        <w:t xml:space="preserve"> proposed for listing</w:t>
      </w:r>
      <w:r w:rsidR="0016653C" w:rsidRPr="00F90B95">
        <w:rPr>
          <w:rFonts w:asciiTheme="minorHAnsi" w:hAnsiTheme="minorHAnsi"/>
          <w:bCs/>
        </w:rPr>
        <w:t xml:space="preserve">, </w:t>
      </w:r>
      <w:r w:rsidRPr="00F90B95">
        <w:rPr>
          <w:rFonts w:asciiTheme="minorHAnsi" w:hAnsiTheme="minorHAnsi"/>
          <w:bCs/>
        </w:rPr>
        <w:t xml:space="preserve">the </w:t>
      </w:r>
      <w:r w:rsidR="00204D8F" w:rsidRPr="00F90B95">
        <w:rPr>
          <w:rFonts w:asciiTheme="minorHAnsi" w:hAnsiTheme="minorHAnsi"/>
          <w:bCs/>
        </w:rPr>
        <w:t>appropriate comparator</w:t>
      </w:r>
      <w:r w:rsidR="000077D9" w:rsidRPr="00F90B95">
        <w:rPr>
          <w:rFonts w:asciiTheme="minorHAnsi" w:hAnsiTheme="minorHAnsi"/>
          <w:bCs/>
        </w:rPr>
        <w:t xml:space="preserve">, </w:t>
      </w:r>
      <w:proofErr w:type="gramStart"/>
      <w:r w:rsidR="000077D9" w:rsidRPr="00F90B95">
        <w:rPr>
          <w:rFonts w:asciiTheme="minorHAnsi" w:hAnsiTheme="minorHAnsi"/>
          <w:bCs/>
        </w:rPr>
        <w:t>the</w:t>
      </w:r>
      <w:proofErr w:type="gramEnd"/>
      <w:r w:rsidR="000077D9" w:rsidRPr="00F90B95">
        <w:rPr>
          <w:rFonts w:asciiTheme="minorHAnsi" w:hAnsiTheme="minorHAnsi"/>
          <w:bCs/>
        </w:rPr>
        <w:t xml:space="preserve"> </w:t>
      </w:r>
      <w:r w:rsidR="00A12FBC" w:rsidRPr="00F90B95">
        <w:rPr>
          <w:rFonts w:asciiTheme="minorHAnsi" w:hAnsiTheme="minorHAnsi"/>
          <w:bCs/>
        </w:rPr>
        <w:t xml:space="preserve">immature </w:t>
      </w:r>
      <w:r w:rsidR="000077D9" w:rsidRPr="00F90B95">
        <w:rPr>
          <w:rFonts w:asciiTheme="minorHAnsi" w:hAnsiTheme="minorHAnsi"/>
          <w:bCs/>
        </w:rPr>
        <w:t>clinical data</w:t>
      </w:r>
      <w:r w:rsidR="00A12FBC" w:rsidRPr="00F90B95">
        <w:rPr>
          <w:rFonts w:asciiTheme="minorHAnsi" w:hAnsiTheme="minorHAnsi"/>
          <w:bCs/>
        </w:rPr>
        <w:t xml:space="preserve">, the </w:t>
      </w:r>
      <w:r w:rsidR="00BD0793" w:rsidRPr="00F90B95">
        <w:rPr>
          <w:rFonts w:asciiTheme="minorHAnsi" w:hAnsiTheme="minorHAnsi"/>
          <w:bCs/>
        </w:rPr>
        <w:t xml:space="preserve">basis of the </w:t>
      </w:r>
      <w:r w:rsidR="00C5563B" w:rsidRPr="00F90B95">
        <w:rPr>
          <w:rFonts w:asciiTheme="minorHAnsi" w:hAnsiTheme="minorHAnsi"/>
          <w:bCs/>
        </w:rPr>
        <w:t>clinical comparisons</w:t>
      </w:r>
      <w:r w:rsidR="000077D9" w:rsidRPr="00F90B95">
        <w:rPr>
          <w:rFonts w:asciiTheme="minorHAnsi" w:hAnsiTheme="minorHAnsi"/>
          <w:bCs/>
        </w:rPr>
        <w:t>,</w:t>
      </w:r>
      <w:r w:rsidRPr="00F90B95">
        <w:rPr>
          <w:rFonts w:asciiTheme="minorHAnsi" w:hAnsiTheme="minorHAnsi"/>
          <w:bCs/>
        </w:rPr>
        <w:t xml:space="preserve"> the economic modelling approach</w:t>
      </w:r>
      <w:r w:rsidR="00BD0793" w:rsidRPr="00F90B95">
        <w:rPr>
          <w:rFonts w:asciiTheme="minorHAnsi" w:hAnsiTheme="minorHAnsi"/>
          <w:bCs/>
        </w:rPr>
        <w:t>,</w:t>
      </w:r>
      <w:r w:rsidRPr="00F90B95">
        <w:rPr>
          <w:rFonts w:asciiTheme="minorHAnsi" w:hAnsiTheme="minorHAnsi"/>
          <w:bCs/>
        </w:rPr>
        <w:t xml:space="preserve"> and </w:t>
      </w:r>
      <w:r w:rsidR="000077D9" w:rsidRPr="00F90B95">
        <w:rPr>
          <w:rFonts w:asciiTheme="minorHAnsi" w:hAnsiTheme="minorHAnsi"/>
          <w:bCs/>
        </w:rPr>
        <w:t xml:space="preserve">the </w:t>
      </w:r>
      <w:r w:rsidR="00F36DAF" w:rsidRPr="00F90B95">
        <w:rPr>
          <w:rFonts w:asciiTheme="minorHAnsi" w:hAnsiTheme="minorHAnsi"/>
          <w:bCs/>
        </w:rPr>
        <w:t>financial estimates.</w:t>
      </w:r>
    </w:p>
    <w:p w:rsidR="00204D8F" w:rsidRPr="00F90B95" w:rsidRDefault="00204D8F" w:rsidP="0044164E">
      <w:pPr>
        <w:numPr>
          <w:ilvl w:val="1"/>
          <w:numId w:val="7"/>
        </w:numPr>
        <w:spacing w:before="120" w:after="120"/>
        <w:rPr>
          <w:rFonts w:asciiTheme="minorHAnsi" w:hAnsiTheme="minorHAnsi"/>
          <w:bCs/>
        </w:rPr>
      </w:pPr>
      <w:r w:rsidRPr="00F90B95">
        <w:rPr>
          <w:rFonts w:asciiTheme="minorHAnsi" w:hAnsiTheme="minorHAnsi"/>
          <w:bCs/>
        </w:rPr>
        <w:t>The PBAC noted that this submission is elig</w:t>
      </w:r>
      <w:r w:rsidR="00F36DAF" w:rsidRPr="00F90B95">
        <w:rPr>
          <w:rFonts w:asciiTheme="minorHAnsi" w:hAnsiTheme="minorHAnsi"/>
          <w:bCs/>
        </w:rPr>
        <w:t>ible for an Independent Review.</w:t>
      </w:r>
    </w:p>
    <w:p w:rsidR="00A84328" w:rsidRPr="00F90B95" w:rsidRDefault="00A84328" w:rsidP="0044164E">
      <w:pPr>
        <w:spacing w:before="120" w:after="120"/>
        <w:rPr>
          <w:rFonts w:asciiTheme="minorHAnsi" w:hAnsiTheme="minorHAnsi"/>
          <w:b/>
          <w:bCs/>
        </w:rPr>
      </w:pPr>
      <w:r w:rsidRPr="00F90B95">
        <w:rPr>
          <w:rFonts w:asciiTheme="minorHAnsi" w:hAnsiTheme="minorHAnsi"/>
          <w:b/>
          <w:bCs/>
        </w:rPr>
        <w:t>Outcome:</w:t>
      </w:r>
    </w:p>
    <w:p w:rsidR="00A84328" w:rsidRPr="00F90B95" w:rsidRDefault="00A84328" w:rsidP="0044164E">
      <w:pPr>
        <w:spacing w:before="120" w:after="120"/>
        <w:rPr>
          <w:rFonts w:asciiTheme="minorHAnsi" w:hAnsiTheme="minorHAnsi"/>
          <w:bCs/>
        </w:rPr>
      </w:pPr>
      <w:r w:rsidRPr="00F90B95">
        <w:rPr>
          <w:rFonts w:asciiTheme="minorHAnsi" w:hAnsiTheme="minorHAnsi"/>
          <w:bCs/>
        </w:rPr>
        <w:t>Rejected</w:t>
      </w:r>
    </w:p>
    <w:p w:rsidR="00C54AF6" w:rsidRPr="00C54AF6" w:rsidRDefault="00C54AF6" w:rsidP="0044164E">
      <w:pPr>
        <w:pStyle w:val="PBACHeading1"/>
        <w:keepNext/>
        <w:spacing w:before="120" w:after="120"/>
      </w:pPr>
      <w:r w:rsidRPr="00C54AF6">
        <w:t>Context for Decision</w:t>
      </w:r>
    </w:p>
    <w:p w:rsidR="00C54AF6" w:rsidRPr="00B500B1" w:rsidRDefault="00C54AF6" w:rsidP="0044164E">
      <w:pPr>
        <w:spacing w:before="120" w:after="120"/>
        <w:ind w:left="720"/>
        <w:rPr>
          <w:rFonts w:asciiTheme="minorHAnsi" w:hAnsiTheme="minorHAnsi"/>
          <w:bCs/>
        </w:rPr>
      </w:pPr>
      <w:r w:rsidRPr="00B500B1">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4AF6" w:rsidRPr="00C54AF6" w:rsidRDefault="00C54AF6" w:rsidP="0044164E">
      <w:pPr>
        <w:pStyle w:val="PBACHeading1"/>
        <w:keepNext/>
        <w:spacing w:before="120" w:after="120"/>
      </w:pPr>
      <w:r w:rsidRPr="00C54AF6">
        <w:t>Sponsor’s Comment</w:t>
      </w:r>
    </w:p>
    <w:bookmarkEnd w:id="22"/>
    <w:bookmarkEnd w:id="23"/>
    <w:bookmarkEnd w:id="24"/>
    <w:bookmarkEnd w:id="25"/>
    <w:p w:rsidR="00DB36A6" w:rsidRPr="00B500B1" w:rsidRDefault="00DB36A6" w:rsidP="0044164E">
      <w:pPr>
        <w:spacing w:before="120" w:after="120"/>
        <w:ind w:left="720"/>
        <w:rPr>
          <w:rFonts w:asciiTheme="minorHAnsi" w:hAnsiTheme="minorHAnsi"/>
          <w:bCs/>
        </w:rPr>
      </w:pPr>
      <w:r w:rsidRPr="00B500B1">
        <w:rPr>
          <w:rFonts w:asciiTheme="minorHAnsi" w:hAnsiTheme="minorHAnsi"/>
          <w:bCs/>
        </w:rPr>
        <w:t>Colorectal cancer is one of the leading causes of death in Australian males and females and MSI-H/</w:t>
      </w:r>
      <w:proofErr w:type="spellStart"/>
      <w:r w:rsidRPr="00B500B1">
        <w:rPr>
          <w:rFonts w:asciiTheme="minorHAnsi" w:hAnsiTheme="minorHAnsi"/>
          <w:bCs/>
        </w:rPr>
        <w:t>dMMR</w:t>
      </w:r>
      <w:proofErr w:type="spellEnd"/>
      <w:r w:rsidRPr="00B500B1">
        <w:rPr>
          <w:rFonts w:asciiTheme="minorHAnsi" w:hAnsiTheme="minorHAnsi"/>
          <w:bCs/>
        </w:rPr>
        <w:t xml:space="preserve"> tumours are rare and there is a high unmet need.  MSD will continue to work towards collecting data to ensure funded access to </w:t>
      </w:r>
      <w:proofErr w:type="spellStart"/>
      <w:r w:rsidRPr="00B500B1">
        <w:rPr>
          <w:rFonts w:asciiTheme="minorHAnsi" w:hAnsiTheme="minorHAnsi"/>
          <w:bCs/>
        </w:rPr>
        <w:t>dMMR</w:t>
      </w:r>
      <w:proofErr w:type="spellEnd"/>
      <w:r w:rsidRPr="00B500B1">
        <w:rPr>
          <w:rFonts w:asciiTheme="minorHAnsi" w:hAnsiTheme="minorHAnsi"/>
          <w:bCs/>
        </w:rPr>
        <w:t xml:space="preserve"> CRC patients in the near future, who currently have limited or no long term hope.</w:t>
      </w:r>
    </w:p>
    <w:p w:rsidR="00A84328" w:rsidRPr="00F90B95" w:rsidRDefault="00A84328" w:rsidP="00A84328">
      <w:pPr>
        <w:pStyle w:val="NoSpacing"/>
        <w:rPr>
          <w:sz w:val="24"/>
          <w:szCs w:val="24"/>
        </w:rPr>
      </w:pPr>
    </w:p>
    <w:sectPr w:rsidR="00A84328" w:rsidRPr="00F90B95" w:rsidSect="00F200BA">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ABBEA" w16cid:durableId="1FAD5516"/>
  <w16cid:commentId w16cid:paraId="2C17E4F0" w16cid:durableId="1FAD5517"/>
  <w16cid:commentId w16cid:paraId="2BB69871" w16cid:durableId="1FAD5518"/>
  <w16cid:commentId w16cid:paraId="1702E4F2" w16cid:durableId="1FAD2FCD"/>
  <w16cid:commentId w16cid:paraId="6515CCBD" w16cid:durableId="1FAD2FCE"/>
  <w16cid:commentId w16cid:paraId="105C4AAD" w16cid:durableId="1FAD57B8"/>
  <w16cid:commentId w16cid:paraId="3FA9846C" w16cid:durableId="1FAD5519"/>
  <w16cid:commentId w16cid:paraId="6549F833" w16cid:durableId="1FAD551A"/>
  <w16cid:commentId w16cid:paraId="61C3BBFB" w16cid:durableId="1FAD551B"/>
  <w16cid:commentId w16cid:paraId="2D0F64E6" w16cid:durableId="1FAD2FD0"/>
  <w16cid:commentId w16cid:paraId="429EA7CB" w16cid:durableId="1FAD2FD1"/>
  <w16cid:commentId w16cid:paraId="5B97E139" w16cid:durableId="1FAD2FD3"/>
  <w16cid:commentId w16cid:paraId="6CA836AC" w16cid:durableId="1FAD2FD4"/>
  <w16cid:commentId w16cid:paraId="0C466511" w16cid:durableId="1FAD2FD5"/>
  <w16cid:commentId w16cid:paraId="039FE4F7" w16cid:durableId="1FAD2FD6"/>
  <w16cid:commentId w16cid:paraId="281F9C84" w16cid:durableId="1FAD2FD7"/>
  <w16cid:commentId w16cid:paraId="5FC4440D" w16cid:durableId="1FAD2FD8"/>
  <w16cid:commentId w16cid:paraId="5F58010E" w16cid:durableId="1FAD6C9F"/>
  <w16cid:commentId w16cid:paraId="0773873C" w16cid:durableId="1FAD551C"/>
  <w16cid:commentId w16cid:paraId="7617BA79" w16cid:durableId="1FAD2FD9"/>
  <w16cid:commentId w16cid:paraId="07599E36" w16cid:durableId="1FAD2F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14" w:rsidRDefault="00A36C14" w:rsidP="00124A51">
      <w:r>
        <w:separator/>
      </w:r>
    </w:p>
    <w:p w:rsidR="00A36C14" w:rsidRDefault="00A36C14"/>
  </w:endnote>
  <w:endnote w:type="continuationSeparator" w:id="0">
    <w:p w:rsidR="00A36C14" w:rsidRDefault="00A36C14" w:rsidP="00124A51">
      <w:r>
        <w:continuationSeparator/>
      </w:r>
    </w:p>
    <w:p w:rsidR="00A36C14" w:rsidRDefault="00A36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14" w:rsidRDefault="00A36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60734216"/>
      <w:docPartObj>
        <w:docPartGallery w:val="Page Numbers (Bottom of Page)"/>
        <w:docPartUnique/>
      </w:docPartObj>
    </w:sdtPr>
    <w:sdtEndPr>
      <w:rPr>
        <w:noProof/>
      </w:rPr>
    </w:sdtEndPr>
    <w:sdtContent>
      <w:p w:rsidR="00B2114E" w:rsidRPr="004F4A63" w:rsidRDefault="00B2114E">
        <w:pPr>
          <w:pStyle w:val="Footer"/>
          <w:jc w:val="center"/>
          <w:rPr>
            <w:b/>
          </w:rPr>
        </w:pPr>
        <w:r w:rsidRPr="004F4A63">
          <w:rPr>
            <w:b/>
          </w:rPr>
          <w:fldChar w:fldCharType="begin"/>
        </w:r>
        <w:r w:rsidRPr="004F4A63">
          <w:rPr>
            <w:b/>
          </w:rPr>
          <w:instrText xml:space="preserve"> PAGE   \* MERGEFORMAT </w:instrText>
        </w:r>
        <w:r w:rsidRPr="004F4A63">
          <w:rPr>
            <w:b/>
          </w:rPr>
          <w:fldChar w:fldCharType="separate"/>
        </w:r>
        <w:r w:rsidR="00B75383">
          <w:rPr>
            <w:b/>
            <w:noProof/>
          </w:rPr>
          <w:t>8</w:t>
        </w:r>
        <w:r w:rsidRPr="004F4A63">
          <w:rPr>
            <w:b/>
            <w:noProof/>
          </w:rPr>
          <w:fldChar w:fldCharType="end"/>
        </w:r>
      </w:p>
    </w:sdtContent>
  </w:sdt>
  <w:p w:rsidR="00B2114E" w:rsidRDefault="00B21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14" w:rsidRDefault="00A3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14" w:rsidRDefault="00A36C14" w:rsidP="00124A51">
      <w:r>
        <w:separator/>
      </w:r>
    </w:p>
    <w:p w:rsidR="00A36C14" w:rsidRDefault="00A36C14"/>
  </w:footnote>
  <w:footnote w:type="continuationSeparator" w:id="0">
    <w:p w:rsidR="00A36C14" w:rsidRDefault="00A36C14" w:rsidP="00124A51">
      <w:r>
        <w:continuationSeparator/>
      </w:r>
    </w:p>
    <w:p w:rsidR="00A36C14" w:rsidRDefault="00A36C14"/>
  </w:footnote>
  <w:footnote w:id="1">
    <w:p w:rsidR="00B2114E" w:rsidRDefault="00B2114E">
      <w:pPr>
        <w:pStyle w:val="FootnoteText"/>
      </w:pPr>
      <w:r>
        <w:rPr>
          <w:rStyle w:val="FootnoteReference"/>
        </w:rPr>
        <w:footnoteRef/>
      </w:r>
      <w:r>
        <w:t xml:space="preserve"> </w:t>
      </w:r>
      <w:proofErr w:type="spellStart"/>
      <w:r>
        <w:t>Jin</w:t>
      </w:r>
      <w:proofErr w:type="spellEnd"/>
      <w:r>
        <w:t xml:space="preserve"> Z, </w:t>
      </w:r>
      <w:proofErr w:type="spellStart"/>
      <w:r>
        <w:t>Sanhueza</w:t>
      </w:r>
      <w:proofErr w:type="spellEnd"/>
      <w:r>
        <w:t xml:space="preserve"> C, Johnson B, et al. Outcome of mismatch repair-deficient metastatic colorectal cancer: The Mayo Clinic experience. The Oncologist. 2018</w:t>
      </w:r>
      <w:proofErr w:type="gramStart"/>
      <w:r>
        <w:t>;23:1083</w:t>
      </w:r>
      <w:proofErr w:type="gramEnd"/>
      <w:r>
        <w:t>-1091.</w:t>
      </w:r>
    </w:p>
  </w:footnote>
  <w:footnote w:id="2">
    <w:p w:rsidR="00B2114E" w:rsidRDefault="00B2114E">
      <w:pPr>
        <w:pStyle w:val="FootnoteText"/>
      </w:pPr>
      <w:r>
        <w:rPr>
          <w:rStyle w:val="FootnoteReference"/>
        </w:rPr>
        <w:footnoteRef/>
      </w:r>
      <w:r w:rsidRPr="00017623">
        <w:rPr>
          <w:lang w:val="fr-FR"/>
        </w:rPr>
        <w:t xml:space="preserve"> Dudley JC, Lin M-T, Le DT, </w:t>
      </w:r>
      <w:proofErr w:type="spellStart"/>
      <w:r w:rsidRPr="00017623">
        <w:rPr>
          <w:lang w:val="fr-FR"/>
        </w:rPr>
        <w:t>Eshleman</w:t>
      </w:r>
      <w:proofErr w:type="spellEnd"/>
      <w:r w:rsidRPr="00017623">
        <w:rPr>
          <w:lang w:val="fr-FR"/>
        </w:rPr>
        <w:t xml:space="preserve"> JR. </w:t>
      </w:r>
      <w:r w:rsidRPr="00372BE6">
        <w:t>Microsatellite instability as a biomarker for PD-1 blockade. Clinical Cancer Research. 2016</w:t>
      </w:r>
      <w:proofErr w:type="gramStart"/>
      <w:r w:rsidRPr="00372BE6">
        <w:t>;22</w:t>
      </w:r>
      <w:proofErr w:type="gramEnd"/>
      <w:r w:rsidRPr="00372BE6">
        <w:t>(4):813-20</w:t>
      </w:r>
      <w:r>
        <w:t>.</w:t>
      </w:r>
    </w:p>
  </w:footnote>
  <w:footnote w:id="3">
    <w:p w:rsidR="00B2114E" w:rsidRDefault="00B2114E">
      <w:pPr>
        <w:pStyle w:val="FootnoteText"/>
      </w:pPr>
      <w:r>
        <w:rPr>
          <w:rStyle w:val="FootnoteReference"/>
        </w:rPr>
        <w:footnoteRef/>
      </w:r>
      <w:r>
        <w:t xml:space="preserve"> </w:t>
      </w:r>
      <w:proofErr w:type="spellStart"/>
      <w:r w:rsidRPr="00E2393D">
        <w:t>Venderbosch</w:t>
      </w:r>
      <w:proofErr w:type="spellEnd"/>
      <w:r w:rsidRPr="00E2393D">
        <w:t xml:space="preserve"> S, </w:t>
      </w:r>
      <w:proofErr w:type="spellStart"/>
      <w:r w:rsidRPr="00E2393D">
        <w:t>Nagtegaal</w:t>
      </w:r>
      <w:proofErr w:type="spellEnd"/>
      <w:r w:rsidRPr="00E2393D">
        <w:t xml:space="preserve"> ID, </w:t>
      </w:r>
      <w:proofErr w:type="spellStart"/>
      <w:r w:rsidRPr="00E2393D">
        <w:t>Maughan</w:t>
      </w:r>
      <w:proofErr w:type="spellEnd"/>
      <w:r w:rsidRPr="00E2393D">
        <w:t xml:space="preserve"> TS, Smith CG, Cheadle JP, Fisher D, et al. Mismatch repair status and BRAF mutation status in metastatic colorectal cancer patients: a pooled analysis of the CAIRO, CAIRO2, COIN and FOCUS studies. Clinical Cancer Research. 2014</w:t>
      </w:r>
      <w:proofErr w:type="gramStart"/>
      <w:r w:rsidRPr="00E2393D">
        <w:t>:clincanres</w:t>
      </w:r>
      <w:proofErr w:type="gramEnd"/>
      <w:r w:rsidRPr="00E2393D">
        <w:t>. 0332.2014</w:t>
      </w:r>
      <w:r>
        <w:t>.</w:t>
      </w:r>
    </w:p>
  </w:footnote>
  <w:footnote w:id="4">
    <w:p w:rsidR="00B2114E" w:rsidRPr="004C1EBB" w:rsidRDefault="00B2114E">
      <w:pPr>
        <w:pStyle w:val="FootnoteText"/>
      </w:pPr>
      <w:r w:rsidRPr="004C1EBB">
        <w:rPr>
          <w:rStyle w:val="FootnoteReference"/>
        </w:rPr>
        <w:footnoteRef/>
      </w:r>
      <w:r w:rsidRPr="004C1EBB">
        <w:t xml:space="preserve"> </w:t>
      </w:r>
      <w:proofErr w:type="spellStart"/>
      <w:r w:rsidRPr="00902562">
        <w:rPr>
          <w:rFonts w:asciiTheme="minorHAnsi" w:hAnsiTheme="minorHAnsi"/>
          <w:bCs/>
        </w:rPr>
        <w:t>Cherny</w:t>
      </w:r>
      <w:proofErr w:type="spellEnd"/>
      <w:r w:rsidRPr="00902562">
        <w:rPr>
          <w:rFonts w:asciiTheme="minorHAnsi" w:hAnsiTheme="minorHAnsi"/>
          <w:bCs/>
        </w:rPr>
        <w:t xml:space="preserve"> NI, Dafni U, </w:t>
      </w:r>
      <w:proofErr w:type="spellStart"/>
      <w:r w:rsidRPr="00902562">
        <w:rPr>
          <w:rFonts w:asciiTheme="minorHAnsi" w:hAnsiTheme="minorHAnsi"/>
          <w:bCs/>
        </w:rPr>
        <w:t>Bogaerts</w:t>
      </w:r>
      <w:proofErr w:type="spellEnd"/>
      <w:r w:rsidRPr="00902562">
        <w:rPr>
          <w:rFonts w:asciiTheme="minorHAnsi" w:hAnsiTheme="minorHAnsi"/>
          <w:bCs/>
        </w:rPr>
        <w:t xml:space="preserve"> J, et al: ESMO-Magnitude of Clinical Benefit Scale version 1.1. Annals of Oncology 28:2340-2366, 2017</w:t>
      </w:r>
      <w:r>
        <w:rPr>
          <w:rFonts w:asciiTheme="minorHAnsi" w:hAnsiTheme="minorHAnsi"/>
          <w:bCs/>
        </w:rPr>
        <w:t>.</w:t>
      </w:r>
    </w:p>
  </w:footnote>
  <w:footnote w:id="5">
    <w:p w:rsidR="00B2114E" w:rsidRDefault="00B2114E">
      <w:pPr>
        <w:pStyle w:val="FootnoteText"/>
      </w:pPr>
      <w:r>
        <w:rPr>
          <w:rStyle w:val="FootnoteReference"/>
        </w:rPr>
        <w:footnoteRef/>
      </w:r>
      <w:r>
        <w:t xml:space="preserve"> </w:t>
      </w:r>
      <w:r w:rsidRPr="00F732EE">
        <w:t xml:space="preserve">mFOLFOX6 (modified FOLFOX6), or mFOLFOX6 + bevacizumab, or mFOLFOX6 + </w:t>
      </w:r>
      <w:proofErr w:type="spellStart"/>
      <w:r w:rsidRPr="00F732EE">
        <w:t>cetuximab</w:t>
      </w:r>
      <w:proofErr w:type="spellEnd"/>
      <w:r w:rsidRPr="00F732EE">
        <w:t xml:space="preserve"> or FOLFIRI, or FOLFIRI + bevacizumab, or FOLFIRI + </w:t>
      </w:r>
      <w:proofErr w:type="spellStart"/>
      <w:r w:rsidRPr="00F732EE">
        <w:t>cetuximab</w:t>
      </w:r>
      <w:proofErr w:type="spellEnd"/>
    </w:p>
  </w:footnote>
  <w:footnote w:id="6">
    <w:p w:rsidR="00B2114E" w:rsidRPr="00D34553" w:rsidRDefault="00B2114E">
      <w:pPr>
        <w:pStyle w:val="FootnoteText"/>
      </w:pPr>
      <w:r w:rsidRPr="00160AF1">
        <w:rPr>
          <w:rStyle w:val="FootnoteReference"/>
          <w:i/>
        </w:rPr>
        <w:footnoteRef/>
      </w:r>
      <w:r w:rsidRPr="00160AF1">
        <w:rPr>
          <w:i/>
        </w:rPr>
        <w:t xml:space="preserve"> </w:t>
      </w:r>
      <w:r w:rsidRPr="00D34553">
        <w:t>Administration costs were incorrectly calculated by the submission and were not corrected during the evaluation. Correcting for the error in the calculation of administration costs was unlikely to be useful given the uncertainty relating to the duration of therapies, and estimation of the size of the eligible patient population. Costs associated with these MBS items were not provided in the main body of the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14" w:rsidRDefault="00A36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4E" w:rsidRPr="00016937" w:rsidRDefault="00B2114E" w:rsidP="00016937">
    <w:pPr>
      <w:widowControl/>
      <w:tabs>
        <w:tab w:val="center" w:pos="4513"/>
        <w:tab w:val="right" w:pos="9026"/>
      </w:tabs>
      <w:jc w:val="center"/>
      <w:rPr>
        <w:rFonts w:asciiTheme="minorHAnsi" w:eastAsiaTheme="minorHAnsi" w:hAnsiTheme="minorHAnsi" w:cstheme="minorHAnsi"/>
        <w:i/>
        <w:snapToGrid/>
        <w:color w:val="808080"/>
      </w:rPr>
    </w:pPr>
    <w:r w:rsidRPr="00016937">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016937">
      <w:rPr>
        <w:rFonts w:asciiTheme="minorHAnsi" w:eastAsiaTheme="minorHAnsi" w:hAnsiTheme="minorHAnsi" w:cstheme="minorHAnsi"/>
        <w:i/>
        <w:snapToGrid/>
        <w:color w:val="808080"/>
      </w:rPr>
      <w:t xml:space="preserve"> PBAC Meeting</w:t>
    </w:r>
  </w:p>
  <w:p w:rsidR="00B2114E" w:rsidRDefault="00B211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14" w:rsidRDefault="00A36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7C"/>
    <w:multiLevelType w:val="multilevel"/>
    <w:tmpl w:val="50C29E9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0E6304"/>
    <w:multiLevelType w:val="multilevel"/>
    <w:tmpl w:val="A8904A6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0D3E70"/>
    <w:multiLevelType w:val="multilevel"/>
    <w:tmpl w:val="B8E6DAF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7C34E2"/>
    <w:multiLevelType w:val="hybridMultilevel"/>
    <w:tmpl w:val="17F21D36"/>
    <w:lvl w:ilvl="0" w:tplc="0C090001">
      <w:start w:val="1"/>
      <w:numFmt w:val="bullet"/>
      <w:pStyle w:val="CoverIntroduction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76BDA"/>
    <w:multiLevelType w:val="hybridMultilevel"/>
    <w:tmpl w:val="91504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9129E"/>
    <w:multiLevelType w:val="hybridMultilevel"/>
    <w:tmpl w:val="FBB26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4442297"/>
    <w:multiLevelType w:val="hybridMultilevel"/>
    <w:tmpl w:val="DABA8C76"/>
    <w:lvl w:ilvl="0" w:tplc="F75C40D6">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F57D4"/>
    <w:multiLevelType w:val="hybridMultilevel"/>
    <w:tmpl w:val="61509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2B51E84"/>
    <w:multiLevelType w:val="multilevel"/>
    <w:tmpl w:val="B8E6DAF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E64CD8"/>
    <w:multiLevelType w:val="multilevel"/>
    <w:tmpl w:val="7B6C481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4D033C"/>
    <w:multiLevelType w:val="multilevel"/>
    <w:tmpl w:val="1EA4EBF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790625"/>
    <w:multiLevelType w:val="hybridMultilevel"/>
    <w:tmpl w:val="781E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8F3B0B"/>
    <w:multiLevelType w:val="hybridMultilevel"/>
    <w:tmpl w:val="EEB425A2"/>
    <w:lvl w:ilvl="0" w:tplc="8F1E0F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2"/>
  </w:num>
  <w:num w:numId="3">
    <w:abstractNumId w:val="7"/>
  </w:num>
  <w:num w:numId="4">
    <w:abstractNumId w:val="9"/>
  </w:num>
  <w:num w:numId="5">
    <w:abstractNumId w:val="8"/>
  </w:num>
  <w:num w:numId="6">
    <w:abstractNumId w:val="6"/>
  </w:num>
  <w:num w:numId="7">
    <w:abstractNumId w:val="11"/>
  </w:num>
  <w:num w:numId="8">
    <w:abstractNumId w:val="0"/>
  </w:num>
  <w:num w:numId="9">
    <w:abstractNumId w:val="5"/>
  </w:num>
  <w:num w:numId="10">
    <w:abstractNumId w:val="10"/>
  </w:num>
  <w:num w:numId="11">
    <w:abstractNumId w:val="2"/>
  </w:num>
  <w:num w:numId="12">
    <w:abstractNumId w:val="13"/>
  </w:num>
  <w:num w:numId="13">
    <w:abstractNumId w:val="14"/>
  </w:num>
  <w:num w:numId="14">
    <w:abstractNumId w:val="4"/>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00xevzy0saseedt95xd2eleedz9avwe0xt&quot;&gt;Pembro MSIH&lt;record-ids&gt;&lt;item&gt;55&lt;/item&gt;&lt;item&gt;56&lt;/item&gt;&lt;item&gt;58&lt;/item&gt;&lt;item&gt;59&lt;/item&gt;&lt;item&gt;60&lt;/item&gt;&lt;item&gt;61&lt;/item&gt;&lt;item&gt;62&lt;/item&gt;&lt;item&gt;63&lt;/item&gt;&lt;item&gt;64&lt;/item&gt;&lt;/record-ids&gt;&lt;/item&gt;&lt;/Libraries&gt;"/>
  </w:docVars>
  <w:rsids>
    <w:rsidRoot w:val="00E65E79"/>
    <w:rsid w:val="000003B2"/>
    <w:rsid w:val="00000790"/>
    <w:rsid w:val="0000110B"/>
    <w:rsid w:val="00002F63"/>
    <w:rsid w:val="00003499"/>
    <w:rsid w:val="000039B7"/>
    <w:rsid w:val="00004A88"/>
    <w:rsid w:val="00005542"/>
    <w:rsid w:val="00006B8C"/>
    <w:rsid w:val="000077D9"/>
    <w:rsid w:val="00010EFB"/>
    <w:rsid w:val="00013247"/>
    <w:rsid w:val="00015886"/>
    <w:rsid w:val="00015ACE"/>
    <w:rsid w:val="000162EF"/>
    <w:rsid w:val="00016937"/>
    <w:rsid w:val="00017623"/>
    <w:rsid w:val="00017920"/>
    <w:rsid w:val="00020F96"/>
    <w:rsid w:val="00021037"/>
    <w:rsid w:val="0002225F"/>
    <w:rsid w:val="00022EB4"/>
    <w:rsid w:val="00023763"/>
    <w:rsid w:val="00025559"/>
    <w:rsid w:val="00025F8D"/>
    <w:rsid w:val="00026630"/>
    <w:rsid w:val="00031D34"/>
    <w:rsid w:val="00033863"/>
    <w:rsid w:val="00033C15"/>
    <w:rsid w:val="00034D39"/>
    <w:rsid w:val="00035DC0"/>
    <w:rsid w:val="00036015"/>
    <w:rsid w:val="00036829"/>
    <w:rsid w:val="00036BA1"/>
    <w:rsid w:val="00037512"/>
    <w:rsid w:val="00040895"/>
    <w:rsid w:val="0004366C"/>
    <w:rsid w:val="00043917"/>
    <w:rsid w:val="00043C37"/>
    <w:rsid w:val="00045017"/>
    <w:rsid w:val="00045A2B"/>
    <w:rsid w:val="000460EE"/>
    <w:rsid w:val="00046432"/>
    <w:rsid w:val="0004676D"/>
    <w:rsid w:val="0004698F"/>
    <w:rsid w:val="0004773B"/>
    <w:rsid w:val="00050124"/>
    <w:rsid w:val="000533A3"/>
    <w:rsid w:val="000539D0"/>
    <w:rsid w:val="000544E4"/>
    <w:rsid w:val="00054621"/>
    <w:rsid w:val="000546D7"/>
    <w:rsid w:val="00056334"/>
    <w:rsid w:val="000569F1"/>
    <w:rsid w:val="000579DF"/>
    <w:rsid w:val="00061199"/>
    <w:rsid w:val="00063ACE"/>
    <w:rsid w:val="00063FD1"/>
    <w:rsid w:val="0006508B"/>
    <w:rsid w:val="0006517C"/>
    <w:rsid w:val="00066360"/>
    <w:rsid w:val="0007011C"/>
    <w:rsid w:val="00071248"/>
    <w:rsid w:val="000720B9"/>
    <w:rsid w:val="000731DB"/>
    <w:rsid w:val="000737F7"/>
    <w:rsid w:val="00073954"/>
    <w:rsid w:val="00076704"/>
    <w:rsid w:val="0007672F"/>
    <w:rsid w:val="0007740B"/>
    <w:rsid w:val="000774F0"/>
    <w:rsid w:val="00077ACE"/>
    <w:rsid w:val="0008012A"/>
    <w:rsid w:val="00080909"/>
    <w:rsid w:val="000812CA"/>
    <w:rsid w:val="0008258D"/>
    <w:rsid w:val="00083C5F"/>
    <w:rsid w:val="00083E99"/>
    <w:rsid w:val="000840D7"/>
    <w:rsid w:val="000856C5"/>
    <w:rsid w:val="00090C7E"/>
    <w:rsid w:val="00091064"/>
    <w:rsid w:val="00092600"/>
    <w:rsid w:val="0009262B"/>
    <w:rsid w:val="000927E2"/>
    <w:rsid w:val="00092C5D"/>
    <w:rsid w:val="00093310"/>
    <w:rsid w:val="000936DA"/>
    <w:rsid w:val="00093C0A"/>
    <w:rsid w:val="0009445C"/>
    <w:rsid w:val="00094960"/>
    <w:rsid w:val="0009554D"/>
    <w:rsid w:val="000955B0"/>
    <w:rsid w:val="00095FE5"/>
    <w:rsid w:val="00096284"/>
    <w:rsid w:val="000A0E37"/>
    <w:rsid w:val="000A1202"/>
    <w:rsid w:val="000A34ED"/>
    <w:rsid w:val="000A50F9"/>
    <w:rsid w:val="000A547D"/>
    <w:rsid w:val="000A7D08"/>
    <w:rsid w:val="000A7FDD"/>
    <w:rsid w:val="000B0670"/>
    <w:rsid w:val="000B0E75"/>
    <w:rsid w:val="000B27BE"/>
    <w:rsid w:val="000B3CA5"/>
    <w:rsid w:val="000B40C0"/>
    <w:rsid w:val="000B43D7"/>
    <w:rsid w:val="000B469A"/>
    <w:rsid w:val="000B67E0"/>
    <w:rsid w:val="000B6CAC"/>
    <w:rsid w:val="000B7612"/>
    <w:rsid w:val="000C3DF9"/>
    <w:rsid w:val="000C51FB"/>
    <w:rsid w:val="000C6713"/>
    <w:rsid w:val="000C69AA"/>
    <w:rsid w:val="000D0AD8"/>
    <w:rsid w:val="000D1BFC"/>
    <w:rsid w:val="000D1C22"/>
    <w:rsid w:val="000D1DA1"/>
    <w:rsid w:val="000D219C"/>
    <w:rsid w:val="000D26AE"/>
    <w:rsid w:val="000D281A"/>
    <w:rsid w:val="000D326A"/>
    <w:rsid w:val="000D3D89"/>
    <w:rsid w:val="000D3E96"/>
    <w:rsid w:val="000D51FB"/>
    <w:rsid w:val="000E135D"/>
    <w:rsid w:val="000E52C2"/>
    <w:rsid w:val="000E5B93"/>
    <w:rsid w:val="000E722B"/>
    <w:rsid w:val="000F005D"/>
    <w:rsid w:val="000F00BA"/>
    <w:rsid w:val="000F316A"/>
    <w:rsid w:val="000F3C74"/>
    <w:rsid w:val="000F4BB8"/>
    <w:rsid w:val="000F6E98"/>
    <w:rsid w:val="000F7127"/>
    <w:rsid w:val="000F73E9"/>
    <w:rsid w:val="00100F8A"/>
    <w:rsid w:val="00101014"/>
    <w:rsid w:val="001013FB"/>
    <w:rsid w:val="001020E5"/>
    <w:rsid w:val="00103486"/>
    <w:rsid w:val="00103DAE"/>
    <w:rsid w:val="0010513D"/>
    <w:rsid w:val="00105AE2"/>
    <w:rsid w:val="00106B80"/>
    <w:rsid w:val="0011032E"/>
    <w:rsid w:val="001114C3"/>
    <w:rsid w:val="0011348B"/>
    <w:rsid w:val="00115982"/>
    <w:rsid w:val="00116C53"/>
    <w:rsid w:val="00121799"/>
    <w:rsid w:val="001222FC"/>
    <w:rsid w:val="00123CB5"/>
    <w:rsid w:val="001242BD"/>
    <w:rsid w:val="001244EE"/>
    <w:rsid w:val="00124A51"/>
    <w:rsid w:val="00126621"/>
    <w:rsid w:val="00127707"/>
    <w:rsid w:val="001301E9"/>
    <w:rsid w:val="00131D82"/>
    <w:rsid w:val="00132F72"/>
    <w:rsid w:val="00133516"/>
    <w:rsid w:val="00133D36"/>
    <w:rsid w:val="00133E97"/>
    <w:rsid w:val="00135124"/>
    <w:rsid w:val="00135933"/>
    <w:rsid w:val="00136287"/>
    <w:rsid w:val="001363AF"/>
    <w:rsid w:val="001366D3"/>
    <w:rsid w:val="00137645"/>
    <w:rsid w:val="0014015A"/>
    <w:rsid w:val="00140E99"/>
    <w:rsid w:val="00145540"/>
    <w:rsid w:val="001456B0"/>
    <w:rsid w:val="0015306C"/>
    <w:rsid w:val="0015567F"/>
    <w:rsid w:val="00157130"/>
    <w:rsid w:val="001576B1"/>
    <w:rsid w:val="001579B1"/>
    <w:rsid w:val="0016013C"/>
    <w:rsid w:val="00160A4C"/>
    <w:rsid w:val="00160AF1"/>
    <w:rsid w:val="00162913"/>
    <w:rsid w:val="00163261"/>
    <w:rsid w:val="00163D9B"/>
    <w:rsid w:val="00163EFF"/>
    <w:rsid w:val="00164C56"/>
    <w:rsid w:val="001661FB"/>
    <w:rsid w:val="0016653C"/>
    <w:rsid w:val="001671C8"/>
    <w:rsid w:val="0017032D"/>
    <w:rsid w:val="00171FD0"/>
    <w:rsid w:val="00173565"/>
    <w:rsid w:val="00173B07"/>
    <w:rsid w:val="001748A5"/>
    <w:rsid w:val="00180B5B"/>
    <w:rsid w:val="0018169B"/>
    <w:rsid w:val="00181ADD"/>
    <w:rsid w:val="00181D9C"/>
    <w:rsid w:val="001869EB"/>
    <w:rsid w:val="0018752F"/>
    <w:rsid w:val="00190A98"/>
    <w:rsid w:val="00192EB2"/>
    <w:rsid w:val="00193483"/>
    <w:rsid w:val="00195222"/>
    <w:rsid w:val="0019648B"/>
    <w:rsid w:val="001975D8"/>
    <w:rsid w:val="001A09BD"/>
    <w:rsid w:val="001A22E7"/>
    <w:rsid w:val="001A43FA"/>
    <w:rsid w:val="001A45D6"/>
    <w:rsid w:val="001A47A8"/>
    <w:rsid w:val="001A59FB"/>
    <w:rsid w:val="001A6354"/>
    <w:rsid w:val="001A7AE8"/>
    <w:rsid w:val="001B1F6C"/>
    <w:rsid w:val="001B204E"/>
    <w:rsid w:val="001B2D70"/>
    <w:rsid w:val="001B3443"/>
    <w:rsid w:val="001B43D4"/>
    <w:rsid w:val="001B4D20"/>
    <w:rsid w:val="001B538E"/>
    <w:rsid w:val="001B6430"/>
    <w:rsid w:val="001B64B5"/>
    <w:rsid w:val="001C26D1"/>
    <w:rsid w:val="001C2A9B"/>
    <w:rsid w:val="001C3091"/>
    <w:rsid w:val="001C40CE"/>
    <w:rsid w:val="001C4299"/>
    <w:rsid w:val="001C442A"/>
    <w:rsid w:val="001C5F94"/>
    <w:rsid w:val="001C63C0"/>
    <w:rsid w:val="001C6E66"/>
    <w:rsid w:val="001C6EE4"/>
    <w:rsid w:val="001C70C4"/>
    <w:rsid w:val="001D0FE3"/>
    <w:rsid w:val="001D1262"/>
    <w:rsid w:val="001D2F5D"/>
    <w:rsid w:val="001D4767"/>
    <w:rsid w:val="001D5CAE"/>
    <w:rsid w:val="001D6A15"/>
    <w:rsid w:val="001D6F51"/>
    <w:rsid w:val="001E238E"/>
    <w:rsid w:val="001E2483"/>
    <w:rsid w:val="001E2A7B"/>
    <w:rsid w:val="001E2B1E"/>
    <w:rsid w:val="001E30D4"/>
    <w:rsid w:val="001E43D4"/>
    <w:rsid w:val="001E52EB"/>
    <w:rsid w:val="001E61D2"/>
    <w:rsid w:val="001E740C"/>
    <w:rsid w:val="001E7E28"/>
    <w:rsid w:val="001F0BE4"/>
    <w:rsid w:val="001F1235"/>
    <w:rsid w:val="001F18F0"/>
    <w:rsid w:val="001F1CB3"/>
    <w:rsid w:val="001F38B5"/>
    <w:rsid w:val="001F4B9E"/>
    <w:rsid w:val="001F7278"/>
    <w:rsid w:val="001F7361"/>
    <w:rsid w:val="002011B0"/>
    <w:rsid w:val="00203181"/>
    <w:rsid w:val="00203783"/>
    <w:rsid w:val="0020385F"/>
    <w:rsid w:val="00204D8F"/>
    <w:rsid w:val="00207021"/>
    <w:rsid w:val="0020732F"/>
    <w:rsid w:val="00207D00"/>
    <w:rsid w:val="00207F41"/>
    <w:rsid w:val="002105C1"/>
    <w:rsid w:val="00210D2A"/>
    <w:rsid w:val="00211849"/>
    <w:rsid w:val="00211CBB"/>
    <w:rsid w:val="00212C22"/>
    <w:rsid w:val="002131F8"/>
    <w:rsid w:val="002175F1"/>
    <w:rsid w:val="00221260"/>
    <w:rsid w:val="00223B49"/>
    <w:rsid w:val="00224AB8"/>
    <w:rsid w:val="00224CD9"/>
    <w:rsid w:val="00224DD4"/>
    <w:rsid w:val="00226B01"/>
    <w:rsid w:val="00227A88"/>
    <w:rsid w:val="002309CC"/>
    <w:rsid w:val="00231729"/>
    <w:rsid w:val="0023209F"/>
    <w:rsid w:val="0023608A"/>
    <w:rsid w:val="0023629D"/>
    <w:rsid w:val="0023674C"/>
    <w:rsid w:val="00237255"/>
    <w:rsid w:val="00240038"/>
    <w:rsid w:val="0024139D"/>
    <w:rsid w:val="00241792"/>
    <w:rsid w:val="00241AC8"/>
    <w:rsid w:val="002424AF"/>
    <w:rsid w:val="00242B27"/>
    <w:rsid w:val="002439DC"/>
    <w:rsid w:val="00244DC8"/>
    <w:rsid w:val="0024528D"/>
    <w:rsid w:val="002458BA"/>
    <w:rsid w:val="00245D22"/>
    <w:rsid w:val="00246299"/>
    <w:rsid w:val="0024636C"/>
    <w:rsid w:val="00247925"/>
    <w:rsid w:val="00250CBD"/>
    <w:rsid w:val="002520E0"/>
    <w:rsid w:val="00253ADD"/>
    <w:rsid w:val="00254DCF"/>
    <w:rsid w:val="0025534B"/>
    <w:rsid w:val="00255BB7"/>
    <w:rsid w:val="00257541"/>
    <w:rsid w:val="00257E8C"/>
    <w:rsid w:val="00262A1A"/>
    <w:rsid w:val="00262A87"/>
    <w:rsid w:val="00264D26"/>
    <w:rsid w:val="0026712B"/>
    <w:rsid w:val="00267642"/>
    <w:rsid w:val="00267AEA"/>
    <w:rsid w:val="00267BB3"/>
    <w:rsid w:val="002700E6"/>
    <w:rsid w:val="00270C69"/>
    <w:rsid w:val="0027294B"/>
    <w:rsid w:val="00272A57"/>
    <w:rsid w:val="00273127"/>
    <w:rsid w:val="00273F96"/>
    <w:rsid w:val="002743B3"/>
    <w:rsid w:val="00275C5A"/>
    <w:rsid w:val="0027784A"/>
    <w:rsid w:val="002803E8"/>
    <w:rsid w:val="00281014"/>
    <w:rsid w:val="00281066"/>
    <w:rsid w:val="002846BC"/>
    <w:rsid w:val="00284732"/>
    <w:rsid w:val="00284767"/>
    <w:rsid w:val="00287023"/>
    <w:rsid w:val="00293A5D"/>
    <w:rsid w:val="00294125"/>
    <w:rsid w:val="002941B3"/>
    <w:rsid w:val="002943CA"/>
    <w:rsid w:val="002A14AB"/>
    <w:rsid w:val="002A2F50"/>
    <w:rsid w:val="002A71C9"/>
    <w:rsid w:val="002B09A4"/>
    <w:rsid w:val="002B1C1F"/>
    <w:rsid w:val="002B432F"/>
    <w:rsid w:val="002B44E8"/>
    <w:rsid w:val="002B56B4"/>
    <w:rsid w:val="002B5B63"/>
    <w:rsid w:val="002B62B3"/>
    <w:rsid w:val="002B6754"/>
    <w:rsid w:val="002B6CCE"/>
    <w:rsid w:val="002C2510"/>
    <w:rsid w:val="002C2775"/>
    <w:rsid w:val="002C27C1"/>
    <w:rsid w:val="002C4D7A"/>
    <w:rsid w:val="002C5099"/>
    <w:rsid w:val="002C5889"/>
    <w:rsid w:val="002C6495"/>
    <w:rsid w:val="002C6EC0"/>
    <w:rsid w:val="002C71CE"/>
    <w:rsid w:val="002C742D"/>
    <w:rsid w:val="002D1528"/>
    <w:rsid w:val="002D1BBC"/>
    <w:rsid w:val="002D39F0"/>
    <w:rsid w:val="002D56CD"/>
    <w:rsid w:val="002D577C"/>
    <w:rsid w:val="002D760E"/>
    <w:rsid w:val="002E10CF"/>
    <w:rsid w:val="002E15B9"/>
    <w:rsid w:val="002E2158"/>
    <w:rsid w:val="002E4EB7"/>
    <w:rsid w:val="002E7722"/>
    <w:rsid w:val="002F00A7"/>
    <w:rsid w:val="002F07BA"/>
    <w:rsid w:val="002F0DA9"/>
    <w:rsid w:val="002F231E"/>
    <w:rsid w:val="002F4E65"/>
    <w:rsid w:val="002F643C"/>
    <w:rsid w:val="002F71C0"/>
    <w:rsid w:val="00301017"/>
    <w:rsid w:val="00301179"/>
    <w:rsid w:val="0030148A"/>
    <w:rsid w:val="0030155F"/>
    <w:rsid w:val="00302BF4"/>
    <w:rsid w:val="003055A8"/>
    <w:rsid w:val="00305632"/>
    <w:rsid w:val="00305796"/>
    <w:rsid w:val="0030587B"/>
    <w:rsid w:val="00306611"/>
    <w:rsid w:val="00306D98"/>
    <w:rsid w:val="0030786C"/>
    <w:rsid w:val="00307BB2"/>
    <w:rsid w:val="0031031A"/>
    <w:rsid w:val="00310981"/>
    <w:rsid w:val="00311540"/>
    <w:rsid w:val="003143A1"/>
    <w:rsid w:val="003147FC"/>
    <w:rsid w:val="00315498"/>
    <w:rsid w:val="003168E7"/>
    <w:rsid w:val="00320873"/>
    <w:rsid w:val="00320924"/>
    <w:rsid w:val="003212DE"/>
    <w:rsid w:val="00322107"/>
    <w:rsid w:val="00322846"/>
    <w:rsid w:val="00322E16"/>
    <w:rsid w:val="00323B10"/>
    <w:rsid w:val="00324F53"/>
    <w:rsid w:val="0032618C"/>
    <w:rsid w:val="00326C95"/>
    <w:rsid w:val="00326DA7"/>
    <w:rsid w:val="003270E4"/>
    <w:rsid w:val="00327DE3"/>
    <w:rsid w:val="00330F5C"/>
    <w:rsid w:val="00332FD4"/>
    <w:rsid w:val="00333DCF"/>
    <w:rsid w:val="00336338"/>
    <w:rsid w:val="003366C9"/>
    <w:rsid w:val="003371B0"/>
    <w:rsid w:val="00337761"/>
    <w:rsid w:val="003408BA"/>
    <w:rsid w:val="00340DF1"/>
    <w:rsid w:val="0034307A"/>
    <w:rsid w:val="003517F9"/>
    <w:rsid w:val="0035620E"/>
    <w:rsid w:val="003576F4"/>
    <w:rsid w:val="003624C4"/>
    <w:rsid w:val="00363B4F"/>
    <w:rsid w:val="003654AC"/>
    <w:rsid w:val="003674C3"/>
    <w:rsid w:val="00370553"/>
    <w:rsid w:val="003710CF"/>
    <w:rsid w:val="003719D6"/>
    <w:rsid w:val="00372BE6"/>
    <w:rsid w:val="0037358A"/>
    <w:rsid w:val="003750F6"/>
    <w:rsid w:val="003760FC"/>
    <w:rsid w:val="003767D1"/>
    <w:rsid w:val="0038365C"/>
    <w:rsid w:val="0038369B"/>
    <w:rsid w:val="00383B78"/>
    <w:rsid w:val="00385A9D"/>
    <w:rsid w:val="003902B1"/>
    <w:rsid w:val="00390ECA"/>
    <w:rsid w:val="00391282"/>
    <w:rsid w:val="003958F6"/>
    <w:rsid w:val="00395EB4"/>
    <w:rsid w:val="0039608E"/>
    <w:rsid w:val="003963D5"/>
    <w:rsid w:val="00396896"/>
    <w:rsid w:val="00396FD0"/>
    <w:rsid w:val="003A1A7A"/>
    <w:rsid w:val="003A2392"/>
    <w:rsid w:val="003A2831"/>
    <w:rsid w:val="003A3400"/>
    <w:rsid w:val="003A3C3B"/>
    <w:rsid w:val="003A3ED1"/>
    <w:rsid w:val="003A3FA7"/>
    <w:rsid w:val="003A60E9"/>
    <w:rsid w:val="003A6C3F"/>
    <w:rsid w:val="003A6F9E"/>
    <w:rsid w:val="003B1283"/>
    <w:rsid w:val="003B1B09"/>
    <w:rsid w:val="003B1B0C"/>
    <w:rsid w:val="003B33E3"/>
    <w:rsid w:val="003B478E"/>
    <w:rsid w:val="003B5B61"/>
    <w:rsid w:val="003B60C6"/>
    <w:rsid w:val="003B64DA"/>
    <w:rsid w:val="003B7438"/>
    <w:rsid w:val="003C0802"/>
    <w:rsid w:val="003C08BE"/>
    <w:rsid w:val="003C1654"/>
    <w:rsid w:val="003C1DDF"/>
    <w:rsid w:val="003C30C2"/>
    <w:rsid w:val="003C42DE"/>
    <w:rsid w:val="003C55D0"/>
    <w:rsid w:val="003C7D19"/>
    <w:rsid w:val="003D1828"/>
    <w:rsid w:val="003D1DE4"/>
    <w:rsid w:val="003D2422"/>
    <w:rsid w:val="003D304D"/>
    <w:rsid w:val="003D39A1"/>
    <w:rsid w:val="003D3FBF"/>
    <w:rsid w:val="003D4A30"/>
    <w:rsid w:val="003D5855"/>
    <w:rsid w:val="003D79BB"/>
    <w:rsid w:val="003D7C98"/>
    <w:rsid w:val="003E0543"/>
    <w:rsid w:val="003E2B95"/>
    <w:rsid w:val="003E4225"/>
    <w:rsid w:val="003E7CC4"/>
    <w:rsid w:val="003E7D52"/>
    <w:rsid w:val="003F1CEF"/>
    <w:rsid w:val="003F25C7"/>
    <w:rsid w:val="003F4156"/>
    <w:rsid w:val="003F67A9"/>
    <w:rsid w:val="0040016C"/>
    <w:rsid w:val="004005B6"/>
    <w:rsid w:val="00400B29"/>
    <w:rsid w:val="00403128"/>
    <w:rsid w:val="0040375A"/>
    <w:rsid w:val="0040504B"/>
    <w:rsid w:val="0040577E"/>
    <w:rsid w:val="00410708"/>
    <w:rsid w:val="00410EC7"/>
    <w:rsid w:val="00411B39"/>
    <w:rsid w:val="00413A1E"/>
    <w:rsid w:val="00414476"/>
    <w:rsid w:val="00414C2E"/>
    <w:rsid w:val="004151CF"/>
    <w:rsid w:val="00415817"/>
    <w:rsid w:val="00416364"/>
    <w:rsid w:val="00416626"/>
    <w:rsid w:val="004166C8"/>
    <w:rsid w:val="00416CB6"/>
    <w:rsid w:val="00420AA6"/>
    <w:rsid w:val="00420B12"/>
    <w:rsid w:val="00420B9F"/>
    <w:rsid w:val="00421C41"/>
    <w:rsid w:val="00422260"/>
    <w:rsid w:val="0042305E"/>
    <w:rsid w:val="0042413F"/>
    <w:rsid w:val="00425A7B"/>
    <w:rsid w:val="004308B7"/>
    <w:rsid w:val="004317D1"/>
    <w:rsid w:val="004319F8"/>
    <w:rsid w:val="00431E55"/>
    <w:rsid w:val="004321F6"/>
    <w:rsid w:val="00433044"/>
    <w:rsid w:val="00433064"/>
    <w:rsid w:val="00433C4D"/>
    <w:rsid w:val="0043515E"/>
    <w:rsid w:val="004354DD"/>
    <w:rsid w:val="004375B9"/>
    <w:rsid w:val="00437B4E"/>
    <w:rsid w:val="00437F8B"/>
    <w:rsid w:val="0044164E"/>
    <w:rsid w:val="004428D0"/>
    <w:rsid w:val="004443A7"/>
    <w:rsid w:val="0044442C"/>
    <w:rsid w:val="00445941"/>
    <w:rsid w:val="004464EB"/>
    <w:rsid w:val="00447D26"/>
    <w:rsid w:val="004516E0"/>
    <w:rsid w:val="00454E7B"/>
    <w:rsid w:val="00454FC1"/>
    <w:rsid w:val="00455D45"/>
    <w:rsid w:val="0046036E"/>
    <w:rsid w:val="004618B6"/>
    <w:rsid w:val="0046193C"/>
    <w:rsid w:val="00464595"/>
    <w:rsid w:val="00464753"/>
    <w:rsid w:val="00464A1D"/>
    <w:rsid w:val="004651DA"/>
    <w:rsid w:val="0046536C"/>
    <w:rsid w:val="00465B6D"/>
    <w:rsid w:val="004667E6"/>
    <w:rsid w:val="00466BD9"/>
    <w:rsid w:val="0046736E"/>
    <w:rsid w:val="00467513"/>
    <w:rsid w:val="00472A79"/>
    <w:rsid w:val="00473F19"/>
    <w:rsid w:val="00475E22"/>
    <w:rsid w:val="004764A7"/>
    <w:rsid w:val="0048088E"/>
    <w:rsid w:val="00482720"/>
    <w:rsid w:val="00482C08"/>
    <w:rsid w:val="00482E3F"/>
    <w:rsid w:val="004835E7"/>
    <w:rsid w:val="004867E2"/>
    <w:rsid w:val="00491787"/>
    <w:rsid w:val="00491B3A"/>
    <w:rsid w:val="00492CFD"/>
    <w:rsid w:val="00494DD5"/>
    <w:rsid w:val="004959F3"/>
    <w:rsid w:val="004962D2"/>
    <w:rsid w:val="00496335"/>
    <w:rsid w:val="004A0DA1"/>
    <w:rsid w:val="004A1A8D"/>
    <w:rsid w:val="004A4387"/>
    <w:rsid w:val="004A5241"/>
    <w:rsid w:val="004A52E9"/>
    <w:rsid w:val="004A6597"/>
    <w:rsid w:val="004A6B99"/>
    <w:rsid w:val="004A6EE3"/>
    <w:rsid w:val="004A7848"/>
    <w:rsid w:val="004A7C3E"/>
    <w:rsid w:val="004B1447"/>
    <w:rsid w:val="004B1CB4"/>
    <w:rsid w:val="004B2F18"/>
    <w:rsid w:val="004B3DDB"/>
    <w:rsid w:val="004B44FD"/>
    <w:rsid w:val="004B5CFC"/>
    <w:rsid w:val="004B774D"/>
    <w:rsid w:val="004C0321"/>
    <w:rsid w:val="004C1DB6"/>
    <w:rsid w:val="004C1EBB"/>
    <w:rsid w:val="004C20E7"/>
    <w:rsid w:val="004C4775"/>
    <w:rsid w:val="004C4AED"/>
    <w:rsid w:val="004C6F05"/>
    <w:rsid w:val="004D25BA"/>
    <w:rsid w:val="004D2C2D"/>
    <w:rsid w:val="004D3F47"/>
    <w:rsid w:val="004D5B15"/>
    <w:rsid w:val="004D6281"/>
    <w:rsid w:val="004D6FF1"/>
    <w:rsid w:val="004D7227"/>
    <w:rsid w:val="004E0E7F"/>
    <w:rsid w:val="004E0EB8"/>
    <w:rsid w:val="004E1C13"/>
    <w:rsid w:val="004E2ADC"/>
    <w:rsid w:val="004E43B2"/>
    <w:rsid w:val="004E5622"/>
    <w:rsid w:val="004E5CC4"/>
    <w:rsid w:val="004E77C4"/>
    <w:rsid w:val="004E7D22"/>
    <w:rsid w:val="004F198E"/>
    <w:rsid w:val="004F1D02"/>
    <w:rsid w:val="004F2388"/>
    <w:rsid w:val="004F2679"/>
    <w:rsid w:val="004F2F21"/>
    <w:rsid w:val="004F4A63"/>
    <w:rsid w:val="004F4F41"/>
    <w:rsid w:val="004F6913"/>
    <w:rsid w:val="004F7865"/>
    <w:rsid w:val="0050219B"/>
    <w:rsid w:val="0050374A"/>
    <w:rsid w:val="00503F17"/>
    <w:rsid w:val="0050628E"/>
    <w:rsid w:val="00506928"/>
    <w:rsid w:val="00511018"/>
    <w:rsid w:val="005111B7"/>
    <w:rsid w:val="0051165D"/>
    <w:rsid w:val="00511DBE"/>
    <w:rsid w:val="005120A5"/>
    <w:rsid w:val="00512C35"/>
    <w:rsid w:val="00512F68"/>
    <w:rsid w:val="005152B5"/>
    <w:rsid w:val="0051585B"/>
    <w:rsid w:val="00515CDF"/>
    <w:rsid w:val="00515F23"/>
    <w:rsid w:val="00520509"/>
    <w:rsid w:val="00520C46"/>
    <w:rsid w:val="00520EA2"/>
    <w:rsid w:val="00521319"/>
    <w:rsid w:val="00522BC8"/>
    <w:rsid w:val="00523C28"/>
    <w:rsid w:val="00523EFA"/>
    <w:rsid w:val="005314F0"/>
    <w:rsid w:val="00531618"/>
    <w:rsid w:val="00536595"/>
    <w:rsid w:val="00536A4F"/>
    <w:rsid w:val="00536F42"/>
    <w:rsid w:val="00537182"/>
    <w:rsid w:val="005419AA"/>
    <w:rsid w:val="00542743"/>
    <w:rsid w:val="00542C2D"/>
    <w:rsid w:val="005455CB"/>
    <w:rsid w:val="00547152"/>
    <w:rsid w:val="0055160C"/>
    <w:rsid w:val="00551985"/>
    <w:rsid w:val="00552507"/>
    <w:rsid w:val="00552BD3"/>
    <w:rsid w:val="0055321F"/>
    <w:rsid w:val="00555109"/>
    <w:rsid w:val="00555E8B"/>
    <w:rsid w:val="00555F74"/>
    <w:rsid w:val="00556E4A"/>
    <w:rsid w:val="00562EFE"/>
    <w:rsid w:val="005632B0"/>
    <w:rsid w:val="00565018"/>
    <w:rsid w:val="0056696F"/>
    <w:rsid w:val="00572269"/>
    <w:rsid w:val="0057244A"/>
    <w:rsid w:val="00573D36"/>
    <w:rsid w:val="00575D8D"/>
    <w:rsid w:val="005768EF"/>
    <w:rsid w:val="00576972"/>
    <w:rsid w:val="005772CA"/>
    <w:rsid w:val="00583699"/>
    <w:rsid w:val="00585CDD"/>
    <w:rsid w:val="00585D8D"/>
    <w:rsid w:val="00587058"/>
    <w:rsid w:val="00591957"/>
    <w:rsid w:val="00592345"/>
    <w:rsid w:val="00592F1C"/>
    <w:rsid w:val="005953C0"/>
    <w:rsid w:val="0059625A"/>
    <w:rsid w:val="005963BE"/>
    <w:rsid w:val="005968AB"/>
    <w:rsid w:val="005975D3"/>
    <w:rsid w:val="00597BF9"/>
    <w:rsid w:val="005A305B"/>
    <w:rsid w:val="005A373D"/>
    <w:rsid w:val="005B0EE1"/>
    <w:rsid w:val="005B49BA"/>
    <w:rsid w:val="005B5857"/>
    <w:rsid w:val="005B5B13"/>
    <w:rsid w:val="005B7046"/>
    <w:rsid w:val="005B72E1"/>
    <w:rsid w:val="005B7F48"/>
    <w:rsid w:val="005C1436"/>
    <w:rsid w:val="005C1B83"/>
    <w:rsid w:val="005C2D55"/>
    <w:rsid w:val="005C346B"/>
    <w:rsid w:val="005D012F"/>
    <w:rsid w:val="005D044D"/>
    <w:rsid w:val="005D0734"/>
    <w:rsid w:val="005D0ABD"/>
    <w:rsid w:val="005D18AD"/>
    <w:rsid w:val="005D1DA1"/>
    <w:rsid w:val="005D243B"/>
    <w:rsid w:val="005D26B4"/>
    <w:rsid w:val="005D4429"/>
    <w:rsid w:val="005D48CF"/>
    <w:rsid w:val="005E19C9"/>
    <w:rsid w:val="005E1EEB"/>
    <w:rsid w:val="005E244C"/>
    <w:rsid w:val="005E6CBC"/>
    <w:rsid w:val="005E73C0"/>
    <w:rsid w:val="005F1392"/>
    <w:rsid w:val="005F1F37"/>
    <w:rsid w:val="005F2706"/>
    <w:rsid w:val="005F544C"/>
    <w:rsid w:val="005F6A8F"/>
    <w:rsid w:val="005F71C4"/>
    <w:rsid w:val="00602AD9"/>
    <w:rsid w:val="00603DB9"/>
    <w:rsid w:val="00604CAD"/>
    <w:rsid w:val="006056DA"/>
    <w:rsid w:val="00607669"/>
    <w:rsid w:val="00607AFD"/>
    <w:rsid w:val="00611539"/>
    <w:rsid w:val="0061183B"/>
    <w:rsid w:val="00612F97"/>
    <w:rsid w:val="0061345D"/>
    <w:rsid w:val="00616712"/>
    <w:rsid w:val="0061671B"/>
    <w:rsid w:val="00616802"/>
    <w:rsid w:val="00617E12"/>
    <w:rsid w:val="00620E5B"/>
    <w:rsid w:val="00621477"/>
    <w:rsid w:val="00621549"/>
    <w:rsid w:val="0062159B"/>
    <w:rsid w:val="00622EAA"/>
    <w:rsid w:val="00623E03"/>
    <w:rsid w:val="006244E7"/>
    <w:rsid w:val="0063158F"/>
    <w:rsid w:val="00631D6B"/>
    <w:rsid w:val="006330A1"/>
    <w:rsid w:val="0063479F"/>
    <w:rsid w:val="006353F0"/>
    <w:rsid w:val="006364A1"/>
    <w:rsid w:val="00637BFD"/>
    <w:rsid w:val="0064011E"/>
    <w:rsid w:val="00641C4E"/>
    <w:rsid w:val="006436C8"/>
    <w:rsid w:val="00643A6F"/>
    <w:rsid w:val="00643B35"/>
    <w:rsid w:val="00643DBF"/>
    <w:rsid w:val="00644306"/>
    <w:rsid w:val="00644BA6"/>
    <w:rsid w:val="006471CC"/>
    <w:rsid w:val="0065079F"/>
    <w:rsid w:val="0065379F"/>
    <w:rsid w:val="006556CD"/>
    <w:rsid w:val="006577E1"/>
    <w:rsid w:val="006606B9"/>
    <w:rsid w:val="00661C6B"/>
    <w:rsid w:val="00662FCF"/>
    <w:rsid w:val="0066383C"/>
    <w:rsid w:val="00663A79"/>
    <w:rsid w:val="00666146"/>
    <w:rsid w:val="0066647C"/>
    <w:rsid w:val="006728F3"/>
    <w:rsid w:val="00673F53"/>
    <w:rsid w:val="00674E42"/>
    <w:rsid w:val="00675364"/>
    <w:rsid w:val="00676FE7"/>
    <w:rsid w:val="006800B2"/>
    <w:rsid w:val="00681003"/>
    <w:rsid w:val="00681B2C"/>
    <w:rsid w:val="00682112"/>
    <w:rsid w:val="00682514"/>
    <w:rsid w:val="00682E89"/>
    <w:rsid w:val="0068359C"/>
    <w:rsid w:val="00685582"/>
    <w:rsid w:val="00685626"/>
    <w:rsid w:val="00686957"/>
    <w:rsid w:val="006872BA"/>
    <w:rsid w:val="00690AA0"/>
    <w:rsid w:val="00691648"/>
    <w:rsid w:val="006917D7"/>
    <w:rsid w:val="00694C19"/>
    <w:rsid w:val="00694F44"/>
    <w:rsid w:val="006A250B"/>
    <w:rsid w:val="006A4897"/>
    <w:rsid w:val="006A7E5F"/>
    <w:rsid w:val="006B261B"/>
    <w:rsid w:val="006B2C90"/>
    <w:rsid w:val="006B5227"/>
    <w:rsid w:val="006B6957"/>
    <w:rsid w:val="006B6DD0"/>
    <w:rsid w:val="006C2A8E"/>
    <w:rsid w:val="006C2B82"/>
    <w:rsid w:val="006C4DBB"/>
    <w:rsid w:val="006C5C6C"/>
    <w:rsid w:val="006D021E"/>
    <w:rsid w:val="006D3B33"/>
    <w:rsid w:val="006D3C7D"/>
    <w:rsid w:val="006D5D5F"/>
    <w:rsid w:val="006D65B2"/>
    <w:rsid w:val="006D78E0"/>
    <w:rsid w:val="006E0696"/>
    <w:rsid w:val="006E3395"/>
    <w:rsid w:val="006E4B48"/>
    <w:rsid w:val="006E7C3F"/>
    <w:rsid w:val="006F306C"/>
    <w:rsid w:val="006F3E36"/>
    <w:rsid w:val="006F45DA"/>
    <w:rsid w:val="006F4B99"/>
    <w:rsid w:val="006F4CF9"/>
    <w:rsid w:val="006F4E26"/>
    <w:rsid w:val="006F5374"/>
    <w:rsid w:val="006F63A5"/>
    <w:rsid w:val="006F6435"/>
    <w:rsid w:val="006F6B1E"/>
    <w:rsid w:val="00700016"/>
    <w:rsid w:val="0070142B"/>
    <w:rsid w:val="0070276E"/>
    <w:rsid w:val="00702F8F"/>
    <w:rsid w:val="007035FA"/>
    <w:rsid w:val="00704103"/>
    <w:rsid w:val="007047D2"/>
    <w:rsid w:val="00707EA1"/>
    <w:rsid w:val="00711A36"/>
    <w:rsid w:val="00713871"/>
    <w:rsid w:val="007138A2"/>
    <w:rsid w:val="00713AF1"/>
    <w:rsid w:val="0071529C"/>
    <w:rsid w:val="007172AD"/>
    <w:rsid w:val="007218A2"/>
    <w:rsid w:val="00722B1B"/>
    <w:rsid w:val="007234A9"/>
    <w:rsid w:val="00723B48"/>
    <w:rsid w:val="0072416F"/>
    <w:rsid w:val="007242AE"/>
    <w:rsid w:val="00727C94"/>
    <w:rsid w:val="00730006"/>
    <w:rsid w:val="00730484"/>
    <w:rsid w:val="00730C4E"/>
    <w:rsid w:val="00731EAE"/>
    <w:rsid w:val="0073387B"/>
    <w:rsid w:val="007349D4"/>
    <w:rsid w:val="00735033"/>
    <w:rsid w:val="00735328"/>
    <w:rsid w:val="0073685B"/>
    <w:rsid w:val="007405C0"/>
    <w:rsid w:val="007436E5"/>
    <w:rsid w:val="00743922"/>
    <w:rsid w:val="00744C6E"/>
    <w:rsid w:val="00745F7F"/>
    <w:rsid w:val="007468F0"/>
    <w:rsid w:val="007476D9"/>
    <w:rsid w:val="0075047A"/>
    <w:rsid w:val="00752142"/>
    <w:rsid w:val="007523F9"/>
    <w:rsid w:val="007565DB"/>
    <w:rsid w:val="007573E8"/>
    <w:rsid w:val="00760C4E"/>
    <w:rsid w:val="0076203C"/>
    <w:rsid w:val="0076299B"/>
    <w:rsid w:val="00764856"/>
    <w:rsid w:val="00765B1A"/>
    <w:rsid w:val="00783183"/>
    <w:rsid w:val="007834B8"/>
    <w:rsid w:val="007835AA"/>
    <w:rsid w:val="007843F2"/>
    <w:rsid w:val="007850F3"/>
    <w:rsid w:val="00790C47"/>
    <w:rsid w:val="0079120A"/>
    <w:rsid w:val="0079616C"/>
    <w:rsid w:val="007A0A12"/>
    <w:rsid w:val="007A0E3D"/>
    <w:rsid w:val="007A132D"/>
    <w:rsid w:val="007A1732"/>
    <w:rsid w:val="007A50B0"/>
    <w:rsid w:val="007A57B1"/>
    <w:rsid w:val="007A5F63"/>
    <w:rsid w:val="007A6DFE"/>
    <w:rsid w:val="007B0AD3"/>
    <w:rsid w:val="007B0D68"/>
    <w:rsid w:val="007B1183"/>
    <w:rsid w:val="007B1DDA"/>
    <w:rsid w:val="007B251D"/>
    <w:rsid w:val="007B33E7"/>
    <w:rsid w:val="007B4F58"/>
    <w:rsid w:val="007B528D"/>
    <w:rsid w:val="007B5ED1"/>
    <w:rsid w:val="007B6A3B"/>
    <w:rsid w:val="007B72EC"/>
    <w:rsid w:val="007B77D1"/>
    <w:rsid w:val="007C1CD9"/>
    <w:rsid w:val="007C361D"/>
    <w:rsid w:val="007C387F"/>
    <w:rsid w:val="007C4B84"/>
    <w:rsid w:val="007C7AC4"/>
    <w:rsid w:val="007C7C87"/>
    <w:rsid w:val="007D004F"/>
    <w:rsid w:val="007D0B38"/>
    <w:rsid w:val="007D31E3"/>
    <w:rsid w:val="007D5440"/>
    <w:rsid w:val="007D58A8"/>
    <w:rsid w:val="007D76D3"/>
    <w:rsid w:val="007E004E"/>
    <w:rsid w:val="007E1D81"/>
    <w:rsid w:val="007E5034"/>
    <w:rsid w:val="007F1017"/>
    <w:rsid w:val="007F12BA"/>
    <w:rsid w:val="007F30F4"/>
    <w:rsid w:val="007F3952"/>
    <w:rsid w:val="007F4A3F"/>
    <w:rsid w:val="007F4A61"/>
    <w:rsid w:val="007F5FA0"/>
    <w:rsid w:val="007F61C2"/>
    <w:rsid w:val="007F620F"/>
    <w:rsid w:val="007F670D"/>
    <w:rsid w:val="007F677A"/>
    <w:rsid w:val="008019E9"/>
    <w:rsid w:val="00802D5A"/>
    <w:rsid w:val="008046F9"/>
    <w:rsid w:val="00805142"/>
    <w:rsid w:val="00807A8B"/>
    <w:rsid w:val="00810781"/>
    <w:rsid w:val="00810FE9"/>
    <w:rsid w:val="00811383"/>
    <w:rsid w:val="00812149"/>
    <w:rsid w:val="00812CAC"/>
    <w:rsid w:val="0081314A"/>
    <w:rsid w:val="00813A12"/>
    <w:rsid w:val="00813C51"/>
    <w:rsid w:val="008164B9"/>
    <w:rsid w:val="008166EF"/>
    <w:rsid w:val="00816D98"/>
    <w:rsid w:val="0082041B"/>
    <w:rsid w:val="00821F95"/>
    <w:rsid w:val="00822A8F"/>
    <w:rsid w:val="00823EAB"/>
    <w:rsid w:val="00823F5A"/>
    <w:rsid w:val="00825751"/>
    <w:rsid w:val="008264EB"/>
    <w:rsid w:val="0083173D"/>
    <w:rsid w:val="00833B05"/>
    <w:rsid w:val="008362B4"/>
    <w:rsid w:val="00837A2D"/>
    <w:rsid w:val="00840CA2"/>
    <w:rsid w:val="0084374F"/>
    <w:rsid w:val="00844C87"/>
    <w:rsid w:val="008469AC"/>
    <w:rsid w:val="00847DF5"/>
    <w:rsid w:val="00847EFD"/>
    <w:rsid w:val="0085309D"/>
    <w:rsid w:val="00855FDF"/>
    <w:rsid w:val="00856897"/>
    <w:rsid w:val="00856E9A"/>
    <w:rsid w:val="0086075D"/>
    <w:rsid w:val="00860ACD"/>
    <w:rsid w:val="008610C0"/>
    <w:rsid w:val="008612E6"/>
    <w:rsid w:val="00861537"/>
    <w:rsid w:val="00862502"/>
    <w:rsid w:val="00864004"/>
    <w:rsid w:val="0086501D"/>
    <w:rsid w:val="008656D6"/>
    <w:rsid w:val="008660D4"/>
    <w:rsid w:val="00871FA9"/>
    <w:rsid w:val="00872574"/>
    <w:rsid w:val="008728E9"/>
    <w:rsid w:val="00874C75"/>
    <w:rsid w:val="008753D6"/>
    <w:rsid w:val="008757C0"/>
    <w:rsid w:val="00882874"/>
    <w:rsid w:val="00883787"/>
    <w:rsid w:val="00883EC0"/>
    <w:rsid w:val="00885156"/>
    <w:rsid w:val="00886CD2"/>
    <w:rsid w:val="00892A36"/>
    <w:rsid w:val="00892FD7"/>
    <w:rsid w:val="00893239"/>
    <w:rsid w:val="00893A65"/>
    <w:rsid w:val="0089408B"/>
    <w:rsid w:val="00894489"/>
    <w:rsid w:val="00894A4F"/>
    <w:rsid w:val="008963A5"/>
    <w:rsid w:val="00897C60"/>
    <w:rsid w:val="008A3363"/>
    <w:rsid w:val="008A3371"/>
    <w:rsid w:val="008A37D2"/>
    <w:rsid w:val="008A3C3E"/>
    <w:rsid w:val="008A4664"/>
    <w:rsid w:val="008A510D"/>
    <w:rsid w:val="008A5A7F"/>
    <w:rsid w:val="008A79DE"/>
    <w:rsid w:val="008B12D9"/>
    <w:rsid w:val="008B1757"/>
    <w:rsid w:val="008B61EF"/>
    <w:rsid w:val="008B7D7E"/>
    <w:rsid w:val="008C7ECB"/>
    <w:rsid w:val="008D1684"/>
    <w:rsid w:val="008D4755"/>
    <w:rsid w:val="008D4C3D"/>
    <w:rsid w:val="008D60F9"/>
    <w:rsid w:val="008D6845"/>
    <w:rsid w:val="008D6A8B"/>
    <w:rsid w:val="008D7826"/>
    <w:rsid w:val="008E0C75"/>
    <w:rsid w:val="008E0D3C"/>
    <w:rsid w:val="008E1747"/>
    <w:rsid w:val="008E1B9E"/>
    <w:rsid w:val="008E20A7"/>
    <w:rsid w:val="008E55AB"/>
    <w:rsid w:val="008E62ED"/>
    <w:rsid w:val="008F0C14"/>
    <w:rsid w:val="008F120A"/>
    <w:rsid w:val="008F27E0"/>
    <w:rsid w:val="008F2FDE"/>
    <w:rsid w:val="008F3D88"/>
    <w:rsid w:val="008F3F51"/>
    <w:rsid w:val="008F48EB"/>
    <w:rsid w:val="008F4F0B"/>
    <w:rsid w:val="008F51F8"/>
    <w:rsid w:val="0090097F"/>
    <w:rsid w:val="00902562"/>
    <w:rsid w:val="00903D3E"/>
    <w:rsid w:val="009046C4"/>
    <w:rsid w:val="009062A5"/>
    <w:rsid w:val="009063A9"/>
    <w:rsid w:val="00907771"/>
    <w:rsid w:val="00910897"/>
    <w:rsid w:val="00911272"/>
    <w:rsid w:val="00912103"/>
    <w:rsid w:val="009135D6"/>
    <w:rsid w:val="00913A63"/>
    <w:rsid w:val="00914C77"/>
    <w:rsid w:val="00917586"/>
    <w:rsid w:val="00920118"/>
    <w:rsid w:val="00921246"/>
    <w:rsid w:val="0092369B"/>
    <w:rsid w:val="0092371F"/>
    <w:rsid w:val="00923B98"/>
    <w:rsid w:val="00924619"/>
    <w:rsid w:val="00925410"/>
    <w:rsid w:val="00933004"/>
    <w:rsid w:val="0093436B"/>
    <w:rsid w:val="00935396"/>
    <w:rsid w:val="0093645E"/>
    <w:rsid w:val="00945E83"/>
    <w:rsid w:val="009510A2"/>
    <w:rsid w:val="00952B51"/>
    <w:rsid w:val="00953257"/>
    <w:rsid w:val="0095505F"/>
    <w:rsid w:val="009562F7"/>
    <w:rsid w:val="00962CB9"/>
    <w:rsid w:val="009636C3"/>
    <w:rsid w:val="00964312"/>
    <w:rsid w:val="00965B8A"/>
    <w:rsid w:val="00965D6B"/>
    <w:rsid w:val="00966292"/>
    <w:rsid w:val="00967771"/>
    <w:rsid w:val="009717AC"/>
    <w:rsid w:val="00974029"/>
    <w:rsid w:val="0097482D"/>
    <w:rsid w:val="009752E5"/>
    <w:rsid w:val="00976860"/>
    <w:rsid w:val="009770B0"/>
    <w:rsid w:val="00977F0D"/>
    <w:rsid w:val="00980A30"/>
    <w:rsid w:val="00982E77"/>
    <w:rsid w:val="00983E57"/>
    <w:rsid w:val="00984726"/>
    <w:rsid w:val="00985912"/>
    <w:rsid w:val="00985978"/>
    <w:rsid w:val="00986150"/>
    <w:rsid w:val="0098675D"/>
    <w:rsid w:val="00987F81"/>
    <w:rsid w:val="00990DE7"/>
    <w:rsid w:val="0099123A"/>
    <w:rsid w:val="00994196"/>
    <w:rsid w:val="00994A42"/>
    <w:rsid w:val="00994A46"/>
    <w:rsid w:val="0099565E"/>
    <w:rsid w:val="00996B1A"/>
    <w:rsid w:val="009A2A53"/>
    <w:rsid w:val="009A33CD"/>
    <w:rsid w:val="009A6AD8"/>
    <w:rsid w:val="009A78FA"/>
    <w:rsid w:val="009A7CAE"/>
    <w:rsid w:val="009A7F10"/>
    <w:rsid w:val="009B16E4"/>
    <w:rsid w:val="009B231D"/>
    <w:rsid w:val="009B2714"/>
    <w:rsid w:val="009B3E26"/>
    <w:rsid w:val="009B3F41"/>
    <w:rsid w:val="009C022F"/>
    <w:rsid w:val="009C0ACE"/>
    <w:rsid w:val="009C5905"/>
    <w:rsid w:val="009C6CEA"/>
    <w:rsid w:val="009C7221"/>
    <w:rsid w:val="009C7B85"/>
    <w:rsid w:val="009D00D1"/>
    <w:rsid w:val="009D0BC5"/>
    <w:rsid w:val="009D4ECC"/>
    <w:rsid w:val="009D5787"/>
    <w:rsid w:val="009D5B91"/>
    <w:rsid w:val="009D5C5F"/>
    <w:rsid w:val="009D7463"/>
    <w:rsid w:val="009D792E"/>
    <w:rsid w:val="009E09E9"/>
    <w:rsid w:val="009E0DFE"/>
    <w:rsid w:val="009E12B9"/>
    <w:rsid w:val="009E15EA"/>
    <w:rsid w:val="009E3F9F"/>
    <w:rsid w:val="009E4C07"/>
    <w:rsid w:val="009E6FD3"/>
    <w:rsid w:val="009E7BBC"/>
    <w:rsid w:val="009F2043"/>
    <w:rsid w:val="00A006C3"/>
    <w:rsid w:val="00A01184"/>
    <w:rsid w:val="00A024A7"/>
    <w:rsid w:val="00A03D43"/>
    <w:rsid w:val="00A04380"/>
    <w:rsid w:val="00A11CD0"/>
    <w:rsid w:val="00A12431"/>
    <w:rsid w:val="00A12FBC"/>
    <w:rsid w:val="00A1356C"/>
    <w:rsid w:val="00A13948"/>
    <w:rsid w:val="00A13DA3"/>
    <w:rsid w:val="00A1555B"/>
    <w:rsid w:val="00A155C5"/>
    <w:rsid w:val="00A16AD8"/>
    <w:rsid w:val="00A21CF3"/>
    <w:rsid w:val="00A225CD"/>
    <w:rsid w:val="00A27AEC"/>
    <w:rsid w:val="00A27D7D"/>
    <w:rsid w:val="00A320DB"/>
    <w:rsid w:val="00A336F0"/>
    <w:rsid w:val="00A3491F"/>
    <w:rsid w:val="00A35D16"/>
    <w:rsid w:val="00A36C14"/>
    <w:rsid w:val="00A37BCD"/>
    <w:rsid w:val="00A407BB"/>
    <w:rsid w:val="00A4354B"/>
    <w:rsid w:val="00A43C59"/>
    <w:rsid w:val="00A43F75"/>
    <w:rsid w:val="00A47BA3"/>
    <w:rsid w:val="00A47EF2"/>
    <w:rsid w:val="00A50ECD"/>
    <w:rsid w:val="00A518F3"/>
    <w:rsid w:val="00A52729"/>
    <w:rsid w:val="00A53675"/>
    <w:rsid w:val="00A54992"/>
    <w:rsid w:val="00A54B93"/>
    <w:rsid w:val="00A564D7"/>
    <w:rsid w:val="00A56B6A"/>
    <w:rsid w:val="00A56C75"/>
    <w:rsid w:val="00A578DC"/>
    <w:rsid w:val="00A611FC"/>
    <w:rsid w:val="00A62ACC"/>
    <w:rsid w:val="00A6725B"/>
    <w:rsid w:val="00A7045E"/>
    <w:rsid w:val="00A70605"/>
    <w:rsid w:val="00A7151C"/>
    <w:rsid w:val="00A73134"/>
    <w:rsid w:val="00A77013"/>
    <w:rsid w:val="00A777B2"/>
    <w:rsid w:val="00A779B0"/>
    <w:rsid w:val="00A80500"/>
    <w:rsid w:val="00A813AB"/>
    <w:rsid w:val="00A81BD2"/>
    <w:rsid w:val="00A82C24"/>
    <w:rsid w:val="00A84328"/>
    <w:rsid w:val="00A86E8B"/>
    <w:rsid w:val="00A87164"/>
    <w:rsid w:val="00A875FA"/>
    <w:rsid w:val="00A901AC"/>
    <w:rsid w:val="00A93072"/>
    <w:rsid w:val="00A930DF"/>
    <w:rsid w:val="00A93953"/>
    <w:rsid w:val="00A94E1C"/>
    <w:rsid w:val="00A95389"/>
    <w:rsid w:val="00A959D8"/>
    <w:rsid w:val="00AA113D"/>
    <w:rsid w:val="00AA31F5"/>
    <w:rsid w:val="00AA37D3"/>
    <w:rsid w:val="00AA3B36"/>
    <w:rsid w:val="00AA6C7D"/>
    <w:rsid w:val="00AA77DF"/>
    <w:rsid w:val="00AA7CEF"/>
    <w:rsid w:val="00AA7FD6"/>
    <w:rsid w:val="00AB042A"/>
    <w:rsid w:val="00AB09E0"/>
    <w:rsid w:val="00AB0F07"/>
    <w:rsid w:val="00AB2D34"/>
    <w:rsid w:val="00AB3430"/>
    <w:rsid w:val="00AB4AD1"/>
    <w:rsid w:val="00AB6751"/>
    <w:rsid w:val="00AB7CFA"/>
    <w:rsid w:val="00AB7DB3"/>
    <w:rsid w:val="00AC0E1C"/>
    <w:rsid w:val="00AC241B"/>
    <w:rsid w:val="00AC264D"/>
    <w:rsid w:val="00AC3945"/>
    <w:rsid w:val="00AC3B7B"/>
    <w:rsid w:val="00AC3BAF"/>
    <w:rsid w:val="00AC5B48"/>
    <w:rsid w:val="00AC7B2D"/>
    <w:rsid w:val="00AC7EE5"/>
    <w:rsid w:val="00AD10ED"/>
    <w:rsid w:val="00AD37F4"/>
    <w:rsid w:val="00AD5D62"/>
    <w:rsid w:val="00AD6502"/>
    <w:rsid w:val="00AE2D15"/>
    <w:rsid w:val="00AE45C3"/>
    <w:rsid w:val="00AF1315"/>
    <w:rsid w:val="00AF19BF"/>
    <w:rsid w:val="00AF2DC3"/>
    <w:rsid w:val="00B00FC3"/>
    <w:rsid w:val="00B016D0"/>
    <w:rsid w:val="00B033E5"/>
    <w:rsid w:val="00B03A63"/>
    <w:rsid w:val="00B04252"/>
    <w:rsid w:val="00B044D1"/>
    <w:rsid w:val="00B04587"/>
    <w:rsid w:val="00B04E9B"/>
    <w:rsid w:val="00B0552C"/>
    <w:rsid w:val="00B11711"/>
    <w:rsid w:val="00B13661"/>
    <w:rsid w:val="00B201A4"/>
    <w:rsid w:val="00B2114E"/>
    <w:rsid w:val="00B213A6"/>
    <w:rsid w:val="00B238AF"/>
    <w:rsid w:val="00B247A8"/>
    <w:rsid w:val="00B24DF6"/>
    <w:rsid w:val="00B27A8D"/>
    <w:rsid w:val="00B34FE2"/>
    <w:rsid w:val="00B357D8"/>
    <w:rsid w:val="00B366F5"/>
    <w:rsid w:val="00B37BFC"/>
    <w:rsid w:val="00B40358"/>
    <w:rsid w:val="00B41364"/>
    <w:rsid w:val="00B41614"/>
    <w:rsid w:val="00B42338"/>
    <w:rsid w:val="00B42851"/>
    <w:rsid w:val="00B42F80"/>
    <w:rsid w:val="00B434AB"/>
    <w:rsid w:val="00B435CB"/>
    <w:rsid w:val="00B435CD"/>
    <w:rsid w:val="00B473F5"/>
    <w:rsid w:val="00B500B1"/>
    <w:rsid w:val="00B50DB8"/>
    <w:rsid w:val="00B518AA"/>
    <w:rsid w:val="00B53654"/>
    <w:rsid w:val="00B53905"/>
    <w:rsid w:val="00B54134"/>
    <w:rsid w:val="00B54B5B"/>
    <w:rsid w:val="00B5562E"/>
    <w:rsid w:val="00B557AA"/>
    <w:rsid w:val="00B57000"/>
    <w:rsid w:val="00B60445"/>
    <w:rsid w:val="00B60939"/>
    <w:rsid w:val="00B60AFD"/>
    <w:rsid w:val="00B62026"/>
    <w:rsid w:val="00B62715"/>
    <w:rsid w:val="00B64BD4"/>
    <w:rsid w:val="00B674C9"/>
    <w:rsid w:val="00B70901"/>
    <w:rsid w:val="00B7494D"/>
    <w:rsid w:val="00B75383"/>
    <w:rsid w:val="00B7577C"/>
    <w:rsid w:val="00B76950"/>
    <w:rsid w:val="00B818A4"/>
    <w:rsid w:val="00B82F15"/>
    <w:rsid w:val="00B84117"/>
    <w:rsid w:val="00B84406"/>
    <w:rsid w:val="00B85AA2"/>
    <w:rsid w:val="00B8649C"/>
    <w:rsid w:val="00B87152"/>
    <w:rsid w:val="00B87F0A"/>
    <w:rsid w:val="00B92D0B"/>
    <w:rsid w:val="00B944B6"/>
    <w:rsid w:val="00B94945"/>
    <w:rsid w:val="00B95C4E"/>
    <w:rsid w:val="00B96027"/>
    <w:rsid w:val="00B96BB4"/>
    <w:rsid w:val="00B9701F"/>
    <w:rsid w:val="00B971BA"/>
    <w:rsid w:val="00BA322D"/>
    <w:rsid w:val="00BA4FAD"/>
    <w:rsid w:val="00BA50D5"/>
    <w:rsid w:val="00BA5DE4"/>
    <w:rsid w:val="00BA60FF"/>
    <w:rsid w:val="00BA7625"/>
    <w:rsid w:val="00BA7D1B"/>
    <w:rsid w:val="00BB01C1"/>
    <w:rsid w:val="00BB0BDD"/>
    <w:rsid w:val="00BB0D56"/>
    <w:rsid w:val="00BB2A73"/>
    <w:rsid w:val="00BB377E"/>
    <w:rsid w:val="00BB4ACC"/>
    <w:rsid w:val="00BB703E"/>
    <w:rsid w:val="00BB7405"/>
    <w:rsid w:val="00BC0C22"/>
    <w:rsid w:val="00BC189D"/>
    <w:rsid w:val="00BC1B2C"/>
    <w:rsid w:val="00BC1FC1"/>
    <w:rsid w:val="00BC27CB"/>
    <w:rsid w:val="00BC2D87"/>
    <w:rsid w:val="00BC315F"/>
    <w:rsid w:val="00BC3631"/>
    <w:rsid w:val="00BD0793"/>
    <w:rsid w:val="00BD25CD"/>
    <w:rsid w:val="00BD2EEA"/>
    <w:rsid w:val="00BD32EA"/>
    <w:rsid w:val="00BD464D"/>
    <w:rsid w:val="00BD5522"/>
    <w:rsid w:val="00BD57F9"/>
    <w:rsid w:val="00BD5B6D"/>
    <w:rsid w:val="00BD5EDB"/>
    <w:rsid w:val="00BD68A3"/>
    <w:rsid w:val="00BD6938"/>
    <w:rsid w:val="00BD6CF3"/>
    <w:rsid w:val="00BE006B"/>
    <w:rsid w:val="00BE0397"/>
    <w:rsid w:val="00BE2180"/>
    <w:rsid w:val="00BE21F2"/>
    <w:rsid w:val="00BE4275"/>
    <w:rsid w:val="00BE640A"/>
    <w:rsid w:val="00BE74AB"/>
    <w:rsid w:val="00BF0266"/>
    <w:rsid w:val="00BF0F95"/>
    <w:rsid w:val="00BF101B"/>
    <w:rsid w:val="00BF2433"/>
    <w:rsid w:val="00BF4438"/>
    <w:rsid w:val="00BF61C9"/>
    <w:rsid w:val="00BF6B84"/>
    <w:rsid w:val="00BF6C94"/>
    <w:rsid w:val="00C00424"/>
    <w:rsid w:val="00C0158D"/>
    <w:rsid w:val="00C03854"/>
    <w:rsid w:val="00C03EFE"/>
    <w:rsid w:val="00C07C92"/>
    <w:rsid w:val="00C12568"/>
    <w:rsid w:val="00C12C14"/>
    <w:rsid w:val="00C200AA"/>
    <w:rsid w:val="00C22856"/>
    <w:rsid w:val="00C22EBA"/>
    <w:rsid w:val="00C237ED"/>
    <w:rsid w:val="00C24632"/>
    <w:rsid w:val="00C25418"/>
    <w:rsid w:val="00C25D9C"/>
    <w:rsid w:val="00C2778B"/>
    <w:rsid w:val="00C3016E"/>
    <w:rsid w:val="00C30BC4"/>
    <w:rsid w:val="00C31649"/>
    <w:rsid w:val="00C37A16"/>
    <w:rsid w:val="00C40385"/>
    <w:rsid w:val="00C40E0E"/>
    <w:rsid w:val="00C42C4F"/>
    <w:rsid w:val="00C43035"/>
    <w:rsid w:val="00C43137"/>
    <w:rsid w:val="00C44117"/>
    <w:rsid w:val="00C47060"/>
    <w:rsid w:val="00C475AA"/>
    <w:rsid w:val="00C52168"/>
    <w:rsid w:val="00C54AF6"/>
    <w:rsid w:val="00C54B06"/>
    <w:rsid w:val="00C5563B"/>
    <w:rsid w:val="00C619AA"/>
    <w:rsid w:val="00C629D7"/>
    <w:rsid w:val="00C65576"/>
    <w:rsid w:val="00C66165"/>
    <w:rsid w:val="00C67F16"/>
    <w:rsid w:val="00C70E0B"/>
    <w:rsid w:val="00C70F9A"/>
    <w:rsid w:val="00C7151A"/>
    <w:rsid w:val="00C71F60"/>
    <w:rsid w:val="00C72241"/>
    <w:rsid w:val="00C728E9"/>
    <w:rsid w:val="00C73480"/>
    <w:rsid w:val="00C74309"/>
    <w:rsid w:val="00C7467C"/>
    <w:rsid w:val="00C74D3B"/>
    <w:rsid w:val="00C750C8"/>
    <w:rsid w:val="00C7560F"/>
    <w:rsid w:val="00C76520"/>
    <w:rsid w:val="00C77BC4"/>
    <w:rsid w:val="00C80A0E"/>
    <w:rsid w:val="00C81B88"/>
    <w:rsid w:val="00C8213F"/>
    <w:rsid w:val="00C83C67"/>
    <w:rsid w:val="00C8797A"/>
    <w:rsid w:val="00C900B8"/>
    <w:rsid w:val="00C90C71"/>
    <w:rsid w:val="00C9145D"/>
    <w:rsid w:val="00C92330"/>
    <w:rsid w:val="00C931CF"/>
    <w:rsid w:val="00C938CF"/>
    <w:rsid w:val="00C93A67"/>
    <w:rsid w:val="00C944EE"/>
    <w:rsid w:val="00C9624D"/>
    <w:rsid w:val="00C969DA"/>
    <w:rsid w:val="00CA05F0"/>
    <w:rsid w:val="00CA2C77"/>
    <w:rsid w:val="00CA444F"/>
    <w:rsid w:val="00CA4D94"/>
    <w:rsid w:val="00CA5245"/>
    <w:rsid w:val="00CA53A2"/>
    <w:rsid w:val="00CA6D98"/>
    <w:rsid w:val="00CA71F4"/>
    <w:rsid w:val="00CA7B09"/>
    <w:rsid w:val="00CB2F2A"/>
    <w:rsid w:val="00CB5549"/>
    <w:rsid w:val="00CB5B1A"/>
    <w:rsid w:val="00CB6B22"/>
    <w:rsid w:val="00CB7363"/>
    <w:rsid w:val="00CB7F5F"/>
    <w:rsid w:val="00CC0904"/>
    <w:rsid w:val="00CC1B39"/>
    <w:rsid w:val="00CC293D"/>
    <w:rsid w:val="00CC3352"/>
    <w:rsid w:val="00CC3E2A"/>
    <w:rsid w:val="00CC61B5"/>
    <w:rsid w:val="00CC61F3"/>
    <w:rsid w:val="00CC635B"/>
    <w:rsid w:val="00CC704D"/>
    <w:rsid w:val="00CD1AB5"/>
    <w:rsid w:val="00CD3CA7"/>
    <w:rsid w:val="00CD67D8"/>
    <w:rsid w:val="00CD6ADC"/>
    <w:rsid w:val="00CE0240"/>
    <w:rsid w:val="00CE1524"/>
    <w:rsid w:val="00CE34E9"/>
    <w:rsid w:val="00CE3F90"/>
    <w:rsid w:val="00CE4A54"/>
    <w:rsid w:val="00CE6274"/>
    <w:rsid w:val="00CF2B8D"/>
    <w:rsid w:val="00CF2CD0"/>
    <w:rsid w:val="00CF456B"/>
    <w:rsid w:val="00CF4EB9"/>
    <w:rsid w:val="00CF5640"/>
    <w:rsid w:val="00CF5A22"/>
    <w:rsid w:val="00D0262E"/>
    <w:rsid w:val="00D0551D"/>
    <w:rsid w:val="00D05D91"/>
    <w:rsid w:val="00D110BD"/>
    <w:rsid w:val="00D11C3E"/>
    <w:rsid w:val="00D12C02"/>
    <w:rsid w:val="00D13675"/>
    <w:rsid w:val="00D141E1"/>
    <w:rsid w:val="00D16AB8"/>
    <w:rsid w:val="00D17D6C"/>
    <w:rsid w:val="00D2164B"/>
    <w:rsid w:val="00D22902"/>
    <w:rsid w:val="00D27257"/>
    <w:rsid w:val="00D2754D"/>
    <w:rsid w:val="00D27B27"/>
    <w:rsid w:val="00D33BE9"/>
    <w:rsid w:val="00D33D2A"/>
    <w:rsid w:val="00D344CC"/>
    <w:rsid w:val="00D34553"/>
    <w:rsid w:val="00D357FF"/>
    <w:rsid w:val="00D40499"/>
    <w:rsid w:val="00D424C7"/>
    <w:rsid w:val="00D432EE"/>
    <w:rsid w:val="00D43B2A"/>
    <w:rsid w:val="00D44CA2"/>
    <w:rsid w:val="00D44F02"/>
    <w:rsid w:val="00D474A9"/>
    <w:rsid w:val="00D47575"/>
    <w:rsid w:val="00D50D60"/>
    <w:rsid w:val="00D52785"/>
    <w:rsid w:val="00D52CB7"/>
    <w:rsid w:val="00D56791"/>
    <w:rsid w:val="00D57D0F"/>
    <w:rsid w:val="00D64A6C"/>
    <w:rsid w:val="00D64DCC"/>
    <w:rsid w:val="00D70F16"/>
    <w:rsid w:val="00D71E91"/>
    <w:rsid w:val="00D75B5C"/>
    <w:rsid w:val="00D76A44"/>
    <w:rsid w:val="00D815EF"/>
    <w:rsid w:val="00D834D1"/>
    <w:rsid w:val="00D83779"/>
    <w:rsid w:val="00D858D2"/>
    <w:rsid w:val="00D85AF0"/>
    <w:rsid w:val="00D85E29"/>
    <w:rsid w:val="00D86748"/>
    <w:rsid w:val="00D87C58"/>
    <w:rsid w:val="00D91427"/>
    <w:rsid w:val="00D91923"/>
    <w:rsid w:val="00D93753"/>
    <w:rsid w:val="00D94BAF"/>
    <w:rsid w:val="00D95415"/>
    <w:rsid w:val="00D959AC"/>
    <w:rsid w:val="00DA0036"/>
    <w:rsid w:val="00DA3167"/>
    <w:rsid w:val="00DA4DC3"/>
    <w:rsid w:val="00DA585C"/>
    <w:rsid w:val="00DA6D73"/>
    <w:rsid w:val="00DA77A5"/>
    <w:rsid w:val="00DB2CC1"/>
    <w:rsid w:val="00DB36A6"/>
    <w:rsid w:val="00DB484F"/>
    <w:rsid w:val="00DB6F1A"/>
    <w:rsid w:val="00DC04F6"/>
    <w:rsid w:val="00DC3C57"/>
    <w:rsid w:val="00DC4DA4"/>
    <w:rsid w:val="00DC5501"/>
    <w:rsid w:val="00DC64A6"/>
    <w:rsid w:val="00DC6A8D"/>
    <w:rsid w:val="00DD0E83"/>
    <w:rsid w:val="00DD273C"/>
    <w:rsid w:val="00DD3AF1"/>
    <w:rsid w:val="00DD3F28"/>
    <w:rsid w:val="00DD4537"/>
    <w:rsid w:val="00DD4E15"/>
    <w:rsid w:val="00DD6BA6"/>
    <w:rsid w:val="00DD6FBC"/>
    <w:rsid w:val="00DE1924"/>
    <w:rsid w:val="00DE3138"/>
    <w:rsid w:val="00DE37F8"/>
    <w:rsid w:val="00DE4471"/>
    <w:rsid w:val="00DE4FCB"/>
    <w:rsid w:val="00DE6271"/>
    <w:rsid w:val="00DE651B"/>
    <w:rsid w:val="00DE7832"/>
    <w:rsid w:val="00DF18FC"/>
    <w:rsid w:val="00DF2C1C"/>
    <w:rsid w:val="00DF3437"/>
    <w:rsid w:val="00DF46F8"/>
    <w:rsid w:val="00DF5D2B"/>
    <w:rsid w:val="00DF6288"/>
    <w:rsid w:val="00DF6424"/>
    <w:rsid w:val="00DF7F97"/>
    <w:rsid w:val="00E005F3"/>
    <w:rsid w:val="00E00E8E"/>
    <w:rsid w:val="00E015E7"/>
    <w:rsid w:val="00E03CF0"/>
    <w:rsid w:val="00E03F2C"/>
    <w:rsid w:val="00E0446A"/>
    <w:rsid w:val="00E04C56"/>
    <w:rsid w:val="00E05630"/>
    <w:rsid w:val="00E06CC9"/>
    <w:rsid w:val="00E06DBB"/>
    <w:rsid w:val="00E073FA"/>
    <w:rsid w:val="00E10149"/>
    <w:rsid w:val="00E10606"/>
    <w:rsid w:val="00E15C6E"/>
    <w:rsid w:val="00E16372"/>
    <w:rsid w:val="00E16879"/>
    <w:rsid w:val="00E20E4D"/>
    <w:rsid w:val="00E20ED6"/>
    <w:rsid w:val="00E21358"/>
    <w:rsid w:val="00E2249B"/>
    <w:rsid w:val="00E228FC"/>
    <w:rsid w:val="00E22A0D"/>
    <w:rsid w:val="00E22DE5"/>
    <w:rsid w:val="00E23660"/>
    <w:rsid w:val="00E2393D"/>
    <w:rsid w:val="00E2771E"/>
    <w:rsid w:val="00E319A0"/>
    <w:rsid w:val="00E32562"/>
    <w:rsid w:val="00E34446"/>
    <w:rsid w:val="00E34948"/>
    <w:rsid w:val="00E362D8"/>
    <w:rsid w:val="00E37569"/>
    <w:rsid w:val="00E37969"/>
    <w:rsid w:val="00E41B3A"/>
    <w:rsid w:val="00E41E30"/>
    <w:rsid w:val="00E41E9E"/>
    <w:rsid w:val="00E42BA5"/>
    <w:rsid w:val="00E42DC6"/>
    <w:rsid w:val="00E43D70"/>
    <w:rsid w:val="00E43DE7"/>
    <w:rsid w:val="00E4558A"/>
    <w:rsid w:val="00E458C5"/>
    <w:rsid w:val="00E45DB5"/>
    <w:rsid w:val="00E4617F"/>
    <w:rsid w:val="00E466F3"/>
    <w:rsid w:val="00E46875"/>
    <w:rsid w:val="00E47B2C"/>
    <w:rsid w:val="00E51560"/>
    <w:rsid w:val="00E54347"/>
    <w:rsid w:val="00E54CE1"/>
    <w:rsid w:val="00E55424"/>
    <w:rsid w:val="00E55BB5"/>
    <w:rsid w:val="00E603A4"/>
    <w:rsid w:val="00E60DBA"/>
    <w:rsid w:val="00E622D9"/>
    <w:rsid w:val="00E62782"/>
    <w:rsid w:val="00E64654"/>
    <w:rsid w:val="00E65570"/>
    <w:rsid w:val="00E65E79"/>
    <w:rsid w:val="00E66BA2"/>
    <w:rsid w:val="00E67416"/>
    <w:rsid w:val="00E67CF5"/>
    <w:rsid w:val="00E718B6"/>
    <w:rsid w:val="00E723BA"/>
    <w:rsid w:val="00E73581"/>
    <w:rsid w:val="00E76832"/>
    <w:rsid w:val="00E76B82"/>
    <w:rsid w:val="00E77D5A"/>
    <w:rsid w:val="00E82815"/>
    <w:rsid w:val="00E833F7"/>
    <w:rsid w:val="00E83BDF"/>
    <w:rsid w:val="00E844EB"/>
    <w:rsid w:val="00E87A1D"/>
    <w:rsid w:val="00E902EB"/>
    <w:rsid w:val="00E906D4"/>
    <w:rsid w:val="00E91E1D"/>
    <w:rsid w:val="00E926A5"/>
    <w:rsid w:val="00E93B74"/>
    <w:rsid w:val="00E97590"/>
    <w:rsid w:val="00EA17C3"/>
    <w:rsid w:val="00EA289E"/>
    <w:rsid w:val="00EA2CAA"/>
    <w:rsid w:val="00EA3864"/>
    <w:rsid w:val="00EA42C4"/>
    <w:rsid w:val="00EA4D91"/>
    <w:rsid w:val="00EA4DC4"/>
    <w:rsid w:val="00EA5A46"/>
    <w:rsid w:val="00EA5D62"/>
    <w:rsid w:val="00EB15B6"/>
    <w:rsid w:val="00EB4916"/>
    <w:rsid w:val="00EC00C9"/>
    <w:rsid w:val="00EC2649"/>
    <w:rsid w:val="00EC4B76"/>
    <w:rsid w:val="00EC4DEE"/>
    <w:rsid w:val="00EC59B6"/>
    <w:rsid w:val="00EC6582"/>
    <w:rsid w:val="00ED09C2"/>
    <w:rsid w:val="00ED3EF9"/>
    <w:rsid w:val="00ED57EA"/>
    <w:rsid w:val="00ED738E"/>
    <w:rsid w:val="00ED7DDA"/>
    <w:rsid w:val="00EE07D3"/>
    <w:rsid w:val="00EE0E6D"/>
    <w:rsid w:val="00EE22AF"/>
    <w:rsid w:val="00EE2450"/>
    <w:rsid w:val="00EE49B8"/>
    <w:rsid w:val="00EE4DF5"/>
    <w:rsid w:val="00EE5302"/>
    <w:rsid w:val="00EF0171"/>
    <w:rsid w:val="00EF0558"/>
    <w:rsid w:val="00EF1B25"/>
    <w:rsid w:val="00EF4747"/>
    <w:rsid w:val="00EF4B36"/>
    <w:rsid w:val="00EF4BF8"/>
    <w:rsid w:val="00EF57DB"/>
    <w:rsid w:val="00EF6036"/>
    <w:rsid w:val="00EF692E"/>
    <w:rsid w:val="00F001F0"/>
    <w:rsid w:val="00F02253"/>
    <w:rsid w:val="00F03C2E"/>
    <w:rsid w:val="00F04A66"/>
    <w:rsid w:val="00F04CC3"/>
    <w:rsid w:val="00F0516C"/>
    <w:rsid w:val="00F055FF"/>
    <w:rsid w:val="00F05B42"/>
    <w:rsid w:val="00F0669F"/>
    <w:rsid w:val="00F067A2"/>
    <w:rsid w:val="00F11050"/>
    <w:rsid w:val="00F11087"/>
    <w:rsid w:val="00F118EF"/>
    <w:rsid w:val="00F1263A"/>
    <w:rsid w:val="00F13611"/>
    <w:rsid w:val="00F14353"/>
    <w:rsid w:val="00F200BA"/>
    <w:rsid w:val="00F2102A"/>
    <w:rsid w:val="00F238D8"/>
    <w:rsid w:val="00F2440B"/>
    <w:rsid w:val="00F24837"/>
    <w:rsid w:val="00F24D0C"/>
    <w:rsid w:val="00F2575F"/>
    <w:rsid w:val="00F274EB"/>
    <w:rsid w:val="00F27565"/>
    <w:rsid w:val="00F310D4"/>
    <w:rsid w:val="00F31D5A"/>
    <w:rsid w:val="00F33DE9"/>
    <w:rsid w:val="00F3619A"/>
    <w:rsid w:val="00F36DAF"/>
    <w:rsid w:val="00F40AAA"/>
    <w:rsid w:val="00F40BA7"/>
    <w:rsid w:val="00F44A00"/>
    <w:rsid w:val="00F44DF7"/>
    <w:rsid w:val="00F46CB6"/>
    <w:rsid w:val="00F47DE8"/>
    <w:rsid w:val="00F516D2"/>
    <w:rsid w:val="00F542C1"/>
    <w:rsid w:val="00F55E73"/>
    <w:rsid w:val="00F55EDA"/>
    <w:rsid w:val="00F5629A"/>
    <w:rsid w:val="00F60092"/>
    <w:rsid w:val="00F61CCD"/>
    <w:rsid w:val="00F62933"/>
    <w:rsid w:val="00F62B22"/>
    <w:rsid w:val="00F644CE"/>
    <w:rsid w:val="00F64D13"/>
    <w:rsid w:val="00F65F4B"/>
    <w:rsid w:val="00F708FB"/>
    <w:rsid w:val="00F70C9D"/>
    <w:rsid w:val="00F7201F"/>
    <w:rsid w:val="00F7306C"/>
    <w:rsid w:val="00F732EE"/>
    <w:rsid w:val="00F7343F"/>
    <w:rsid w:val="00F745D8"/>
    <w:rsid w:val="00F74CD9"/>
    <w:rsid w:val="00F80315"/>
    <w:rsid w:val="00F80A7B"/>
    <w:rsid w:val="00F80E5D"/>
    <w:rsid w:val="00F8387E"/>
    <w:rsid w:val="00F8458B"/>
    <w:rsid w:val="00F851CE"/>
    <w:rsid w:val="00F863C7"/>
    <w:rsid w:val="00F86A40"/>
    <w:rsid w:val="00F87E54"/>
    <w:rsid w:val="00F90B95"/>
    <w:rsid w:val="00F91219"/>
    <w:rsid w:val="00F91878"/>
    <w:rsid w:val="00F93D52"/>
    <w:rsid w:val="00F95C6B"/>
    <w:rsid w:val="00F97A78"/>
    <w:rsid w:val="00FA0B20"/>
    <w:rsid w:val="00FA24E7"/>
    <w:rsid w:val="00FA2B40"/>
    <w:rsid w:val="00FA423E"/>
    <w:rsid w:val="00FA432B"/>
    <w:rsid w:val="00FA5001"/>
    <w:rsid w:val="00FA53F2"/>
    <w:rsid w:val="00FA5448"/>
    <w:rsid w:val="00FA5936"/>
    <w:rsid w:val="00FB0762"/>
    <w:rsid w:val="00FB1CAA"/>
    <w:rsid w:val="00FB2A22"/>
    <w:rsid w:val="00FB2FCB"/>
    <w:rsid w:val="00FB350F"/>
    <w:rsid w:val="00FB3FC3"/>
    <w:rsid w:val="00FB45C6"/>
    <w:rsid w:val="00FB5C3F"/>
    <w:rsid w:val="00FB5C5F"/>
    <w:rsid w:val="00FC1074"/>
    <w:rsid w:val="00FC1884"/>
    <w:rsid w:val="00FC20E6"/>
    <w:rsid w:val="00FC21D3"/>
    <w:rsid w:val="00FC32B9"/>
    <w:rsid w:val="00FC371D"/>
    <w:rsid w:val="00FC380A"/>
    <w:rsid w:val="00FC400A"/>
    <w:rsid w:val="00FC5F0B"/>
    <w:rsid w:val="00FC7F83"/>
    <w:rsid w:val="00FD2100"/>
    <w:rsid w:val="00FD257E"/>
    <w:rsid w:val="00FD3A6B"/>
    <w:rsid w:val="00FD436C"/>
    <w:rsid w:val="00FD446D"/>
    <w:rsid w:val="00FD6394"/>
    <w:rsid w:val="00FE0E6C"/>
    <w:rsid w:val="00FE385D"/>
    <w:rsid w:val="00FE5700"/>
    <w:rsid w:val="00FE64AE"/>
    <w:rsid w:val="00FE678A"/>
    <w:rsid w:val="00FE70C3"/>
    <w:rsid w:val="00FF2488"/>
    <w:rsid w:val="00FF3DCF"/>
    <w:rsid w:val="00FF492C"/>
    <w:rsid w:val="00FF4A21"/>
    <w:rsid w:val="00FF4BFF"/>
    <w:rsid w:val="00FF5AA3"/>
    <w:rsid w:val="00FF5AD8"/>
    <w:rsid w:val="00FF6113"/>
    <w:rsid w:val="00FF79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45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6"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BA"/>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4F4A63"/>
    <w:pPr>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4A63"/>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6577E1"/>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6577E1"/>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link w:val="BulletpointsChar"/>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D6FF1"/>
    <w:pPr>
      <w:numPr>
        <w:numId w:val="7"/>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TGAblue">
    <w:name w:val="Table TGA blue"/>
    <w:basedOn w:val="TableNormal"/>
    <w:uiPriority w:val="99"/>
    <w:qFormat/>
    <w:rsid w:val="007834B8"/>
    <w:pPr>
      <w:ind w:left="170" w:right="170"/>
    </w:pPr>
    <w:rPr>
      <w:rFonts w:ascii="Cambria" w:eastAsiaTheme="minorHAnsi" w:hAnsi="Cambria"/>
      <w:color w:val="000000" w:themeColor="text1"/>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paragraph" w:customStyle="1" w:styleId="EndNoteBibliographyTitle">
    <w:name w:val="EndNote Bibliography Title"/>
    <w:basedOn w:val="Normal"/>
    <w:link w:val="EndNoteBibliographyTitleChar"/>
    <w:rsid w:val="00B00FC3"/>
    <w:rPr>
      <w:rFonts w:cs="Calibri"/>
    </w:rPr>
  </w:style>
  <w:style w:type="character" w:customStyle="1" w:styleId="EndNoteBibliographyTitleChar">
    <w:name w:val="EndNote Bibliography Title Char"/>
    <w:basedOn w:val="DefaultParagraphFont"/>
    <w:link w:val="EndNoteBibliographyTitle"/>
    <w:rsid w:val="00B00FC3"/>
    <w:rPr>
      <w:rFonts w:ascii="Calibri" w:hAnsi="Calibri" w:cs="Calibri"/>
      <w:snapToGrid w:val="0"/>
      <w:sz w:val="24"/>
      <w:szCs w:val="22"/>
      <w:lang w:eastAsia="en-US"/>
    </w:rPr>
  </w:style>
  <w:style w:type="paragraph" w:styleId="FootnoteText">
    <w:name w:val="footnote text"/>
    <w:basedOn w:val="Normal"/>
    <w:link w:val="FootnoteTextChar"/>
    <w:semiHidden/>
    <w:unhideWhenUsed/>
    <w:rsid w:val="00010EFB"/>
    <w:rPr>
      <w:sz w:val="20"/>
      <w:szCs w:val="20"/>
    </w:rPr>
  </w:style>
  <w:style w:type="character" w:customStyle="1" w:styleId="FootnoteTextChar">
    <w:name w:val="Footnote Text Char"/>
    <w:basedOn w:val="DefaultParagraphFont"/>
    <w:link w:val="FootnoteText"/>
    <w:semiHidden/>
    <w:rsid w:val="00010EFB"/>
    <w:rPr>
      <w:rFonts w:ascii="Calibri" w:hAnsi="Calibri" w:cs="Arial"/>
      <w:snapToGrid w:val="0"/>
      <w:lang w:eastAsia="en-US"/>
    </w:rPr>
  </w:style>
  <w:style w:type="character" w:styleId="FootnoteReference">
    <w:name w:val="footnote reference"/>
    <w:basedOn w:val="DefaultParagraphFont"/>
    <w:unhideWhenUsed/>
    <w:rsid w:val="00010EFB"/>
    <w:rPr>
      <w:vertAlign w:val="superscript"/>
    </w:rPr>
  </w:style>
  <w:style w:type="paragraph" w:styleId="ListNumber">
    <w:name w:val="List Number"/>
    <w:basedOn w:val="Normal"/>
    <w:uiPriority w:val="16"/>
    <w:qFormat/>
    <w:rsid w:val="00511DBE"/>
    <w:pPr>
      <w:widowControl/>
      <w:tabs>
        <w:tab w:val="num" w:pos="357"/>
      </w:tabs>
      <w:spacing w:after="240" w:line="360" w:lineRule="auto"/>
      <w:ind w:left="357" w:hanging="357"/>
      <w:jc w:val="left"/>
    </w:pPr>
    <w:rPr>
      <w:rFonts w:ascii="Arial" w:eastAsiaTheme="minorHAnsi" w:hAnsi="Arial" w:cstheme="minorBidi"/>
      <w:snapToGrid/>
      <w:sz w:val="20"/>
      <w:szCs w:val="20"/>
    </w:rPr>
  </w:style>
  <w:style w:type="paragraph" w:styleId="ListNumber2">
    <w:name w:val="List Number 2"/>
    <w:aliases w:val="Char1"/>
    <w:basedOn w:val="Normal"/>
    <w:uiPriority w:val="16"/>
    <w:qFormat/>
    <w:rsid w:val="00511DBE"/>
    <w:pPr>
      <w:widowControl/>
      <w:tabs>
        <w:tab w:val="num" w:pos="720"/>
      </w:tabs>
      <w:spacing w:after="24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511DBE"/>
    <w:pPr>
      <w:numPr>
        <w:numId w:val="4"/>
      </w:numPr>
    </w:pPr>
  </w:style>
  <w:style w:type="paragraph" w:styleId="ListNumber3">
    <w:name w:val="List Number 3"/>
    <w:aliases w:val="Char"/>
    <w:basedOn w:val="Normal"/>
    <w:uiPriority w:val="16"/>
    <w:qFormat/>
    <w:rsid w:val="00511DBE"/>
    <w:pPr>
      <w:widowControl/>
      <w:tabs>
        <w:tab w:val="num" w:pos="1077"/>
      </w:tabs>
      <w:spacing w:after="24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511DBE"/>
    <w:pPr>
      <w:widowControl/>
      <w:tabs>
        <w:tab w:val="num" w:pos="1435"/>
      </w:tabs>
      <w:spacing w:after="24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511DBE"/>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paragraph" w:customStyle="1" w:styleId="TableText0">
    <w:name w:val="Table Text"/>
    <w:basedOn w:val="Normal"/>
    <w:qFormat/>
    <w:rsid w:val="00226B01"/>
    <w:pPr>
      <w:widowControl/>
      <w:spacing w:before="40" w:after="40"/>
      <w:jc w:val="left"/>
    </w:pPr>
    <w:rPr>
      <w:rFonts w:ascii="Arial Narrow" w:eastAsiaTheme="minorHAnsi" w:hAnsi="Arial Narrow" w:cstheme="minorBidi"/>
      <w:snapToGrid/>
      <w:sz w:val="20"/>
    </w:rPr>
  </w:style>
  <w:style w:type="paragraph" w:customStyle="1" w:styleId="V50Instructions">
    <w:name w:val="V5.0 Instructions"/>
    <w:basedOn w:val="Normal"/>
    <w:link w:val="V50InstructionsChar"/>
    <w:qFormat/>
    <w:rsid w:val="000F73E9"/>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F73E9"/>
    <w:rPr>
      <w:rFonts w:asciiTheme="minorHAnsi" w:eastAsiaTheme="minorHAnsi" w:hAnsiTheme="minorHAnsi" w:cstheme="minorBidi"/>
      <w:color w:val="4BACC6" w:themeColor="accent5"/>
      <w:sz w:val="24"/>
      <w:szCs w:val="22"/>
      <w:lang w:eastAsia="en-US"/>
    </w:rPr>
  </w:style>
  <w:style w:type="character" w:styleId="Emphasis">
    <w:name w:val="Emphasis"/>
    <w:basedOn w:val="DefaultParagraphFont"/>
    <w:uiPriority w:val="20"/>
    <w:qFormat/>
    <w:rsid w:val="00C03EFE"/>
    <w:rPr>
      <w:i/>
      <w:iCs/>
      <w:noProof w:val="0"/>
      <w:lang w:val="en-AU"/>
    </w:rPr>
  </w:style>
  <w:style w:type="table" w:customStyle="1" w:styleId="TableGridLight1">
    <w:name w:val="Table Grid Light1"/>
    <w:basedOn w:val="TableNormal"/>
    <w:uiPriority w:val="40"/>
    <w:rsid w:val="00C03EF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95C4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Char"/>
    <w:rsid w:val="00372BE6"/>
    <w:rPr>
      <w:rFonts w:cs="Calibri"/>
      <w:noProof/>
      <w:lang w:val="en-US"/>
    </w:rPr>
  </w:style>
  <w:style w:type="character" w:customStyle="1" w:styleId="BulletpointsChar">
    <w:name w:val="Bullet points Char"/>
    <w:basedOn w:val="ListParagraphChar"/>
    <w:link w:val="Bulletpoints"/>
    <w:rsid w:val="00372BE6"/>
    <w:rPr>
      <w:rFonts w:ascii="Calibri" w:hAnsi="Calibri" w:cs="Arial"/>
      <w:snapToGrid w:val="0"/>
      <w:sz w:val="24"/>
      <w:szCs w:val="24"/>
      <w:lang w:eastAsia="en-US"/>
    </w:rPr>
  </w:style>
  <w:style w:type="character" w:customStyle="1" w:styleId="EndNoteBibliographyChar">
    <w:name w:val="EndNote Bibliography Char"/>
    <w:basedOn w:val="BulletpointsChar"/>
    <w:link w:val="EndNoteBibliography"/>
    <w:rsid w:val="00372BE6"/>
    <w:rPr>
      <w:rFonts w:ascii="Calibri" w:hAnsi="Calibri" w:cs="Calibri"/>
      <w:noProof/>
      <w:snapToGrid w:val="0"/>
      <w:sz w:val="24"/>
      <w:szCs w:val="22"/>
      <w:lang w:val="en-US" w:eastAsia="en-US"/>
    </w:rPr>
  </w:style>
  <w:style w:type="paragraph" w:styleId="ListBullet">
    <w:name w:val="List Bullet"/>
    <w:basedOn w:val="Normal"/>
    <w:uiPriority w:val="16"/>
    <w:qFormat/>
    <w:rsid w:val="00F708FB"/>
    <w:pPr>
      <w:widowControl/>
      <w:numPr>
        <w:numId w:val="6"/>
      </w:numPr>
      <w:spacing w:after="24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F708FB"/>
    <w:pPr>
      <w:numPr>
        <w:ilvl w:val="1"/>
      </w:numPr>
    </w:pPr>
  </w:style>
  <w:style w:type="paragraph" w:styleId="ListBullet3">
    <w:name w:val="List Bullet 3"/>
    <w:basedOn w:val="Normal"/>
    <w:uiPriority w:val="16"/>
    <w:qFormat/>
    <w:rsid w:val="00F708FB"/>
    <w:pPr>
      <w:widowControl/>
      <w:numPr>
        <w:ilvl w:val="2"/>
        <w:numId w:val="6"/>
      </w:numPr>
      <w:spacing w:after="24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F708FB"/>
    <w:pPr>
      <w:widowControl/>
      <w:numPr>
        <w:ilvl w:val="3"/>
        <w:numId w:val="6"/>
      </w:numPr>
      <w:spacing w:after="240" w:line="360" w:lineRule="auto"/>
      <w:contextualSpacing/>
      <w:jc w:val="left"/>
    </w:pPr>
    <w:rPr>
      <w:rFonts w:ascii="Arial" w:eastAsiaTheme="minorHAnsi" w:hAnsi="Arial" w:cstheme="minorBidi"/>
      <w:snapToGrid/>
      <w:sz w:val="20"/>
      <w:szCs w:val="20"/>
    </w:rPr>
  </w:style>
  <w:style w:type="table" w:customStyle="1" w:styleId="MSDAustralia">
    <w:name w:val="MSD Australia"/>
    <w:basedOn w:val="TableGrid"/>
    <w:uiPriority w:val="99"/>
    <w:rsid w:val="00F708FB"/>
    <w:pPr>
      <w:ind w:left="57" w:right="57"/>
    </w:pPr>
    <w:rPr>
      <w:rFonts w:ascii="Arial" w:eastAsiaTheme="minorHAnsi" w:hAnsi="Arial" w:cstheme="minorBidi"/>
      <w:lang w:eastAsia="en-US"/>
    </w:rPr>
    <w:tblPr>
      <w:tblInd w:w="0" w:type="nil"/>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CoverIntroductionText">
    <w:name w:val="Cover Introduction Text"/>
    <w:basedOn w:val="Normal"/>
    <w:uiPriority w:val="21"/>
    <w:rsid w:val="00F708FB"/>
    <w:pPr>
      <w:widowControl/>
      <w:numPr>
        <w:numId w:val="1"/>
      </w:numPr>
      <w:spacing w:after="240" w:line="360" w:lineRule="auto"/>
      <w:jc w:val="center"/>
    </w:pPr>
    <w:rPr>
      <w:rFonts w:ascii="Arial" w:eastAsiaTheme="minorHAnsi" w:hAnsi="Arial" w:cstheme="minorBidi"/>
      <w:b/>
      <w:snapToGrid/>
      <w:spacing w:val="-2"/>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C1DDF"/>
    <w:pPr>
      <w:widowControl/>
      <w:spacing w:after="160" w:line="240" w:lineRule="exact"/>
      <w:jc w:val="left"/>
    </w:pPr>
    <w:rPr>
      <w:rFonts w:ascii="Verdana" w:eastAsia="MS Mincho" w:hAnsi="Verdana" w:cs="Verdana"/>
      <w:snapToGrid/>
      <w:sz w:val="20"/>
      <w:szCs w:val="20"/>
      <w:lang w:val="en-US"/>
    </w:rPr>
  </w:style>
  <w:style w:type="character" w:customStyle="1" w:styleId="Heading1Char">
    <w:name w:val="Heading 1 Char"/>
    <w:basedOn w:val="DefaultParagraphFont"/>
    <w:link w:val="Heading1"/>
    <w:uiPriority w:val="1"/>
    <w:rsid w:val="00BD2EEA"/>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3304">
      <w:bodyDiv w:val="1"/>
      <w:marLeft w:val="0"/>
      <w:marRight w:val="0"/>
      <w:marTop w:val="0"/>
      <w:marBottom w:val="0"/>
      <w:divBdr>
        <w:top w:val="none" w:sz="0" w:space="0" w:color="auto"/>
        <w:left w:val="none" w:sz="0" w:space="0" w:color="auto"/>
        <w:bottom w:val="none" w:sz="0" w:space="0" w:color="auto"/>
        <w:right w:val="none" w:sz="0" w:space="0" w:color="auto"/>
      </w:divBdr>
    </w:div>
    <w:div w:id="1084568267">
      <w:bodyDiv w:val="1"/>
      <w:marLeft w:val="0"/>
      <w:marRight w:val="0"/>
      <w:marTop w:val="0"/>
      <w:marBottom w:val="0"/>
      <w:divBdr>
        <w:top w:val="none" w:sz="0" w:space="0" w:color="auto"/>
        <w:left w:val="none" w:sz="0" w:space="0" w:color="auto"/>
        <w:bottom w:val="none" w:sz="0" w:space="0" w:color="auto"/>
        <w:right w:val="none" w:sz="0" w:space="0" w:color="auto"/>
      </w:divBdr>
    </w:div>
    <w:div w:id="1871141340">
      <w:bodyDiv w:val="1"/>
      <w:marLeft w:val="0"/>
      <w:marRight w:val="0"/>
      <w:marTop w:val="0"/>
      <w:marBottom w:val="0"/>
      <w:divBdr>
        <w:top w:val="none" w:sz="0" w:space="0" w:color="auto"/>
        <w:left w:val="none" w:sz="0" w:space="0" w:color="auto"/>
        <w:bottom w:val="none" w:sz="0" w:space="0" w:color="auto"/>
        <w:right w:val="none" w:sz="0" w:space="0" w:color="auto"/>
      </w:divBdr>
    </w:div>
    <w:div w:id="20317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49"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2009-14A3-46E4-9DFD-6CB7888A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9804</Words>
  <Characters>55122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2019-06-25T02:52:00Z</dcterms:created>
  <dcterms:modified xsi:type="dcterms:W3CDTF">2019-07-15T01:10:00Z</dcterms:modified>
</cp:coreProperties>
</file>