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AB17AB" w:rsidRDefault="00C06CBB" w:rsidP="00AB17AB">
      <w:pPr>
        <w:pStyle w:val="Heading1"/>
      </w:pPr>
      <w:r w:rsidRPr="00AB17AB">
        <w:t>5.14</w:t>
      </w:r>
      <w:r w:rsidR="006D6493" w:rsidRPr="00AB17AB">
        <w:tab/>
      </w:r>
      <w:r w:rsidRPr="00AB17AB">
        <w:t>RITUXIMAB</w:t>
      </w:r>
      <w:r w:rsidR="006D6493" w:rsidRPr="00AB17AB">
        <w:t xml:space="preserve"> </w:t>
      </w:r>
      <w:r w:rsidR="006D6493" w:rsidRPr="00AB17AB">
        <w:br/>
      </w:r>
      <w:r w:rsidR="0048781B" w:rsidRPr="00AB17AB">
        <w:t>Solution for I.V. infusion 100 mg in 10 mL</w:t>
      </w:r>
      <w:r w:rsidR="002F21BB" w:rsidRPr="00AB17AB">
        <w:br/>
      </w:r>
      <w:r w:rsidR="0048781B" w:rsidRPr="00AB17AB">
        <w:t>Solution fo</w:t>
      </w:r>
      <w:r w:rsidR="002F21BB" w:rsidRPr="00AB17AB">
        <w:t>r I.V. infusion 500 mg in 50 mL</w:t>
      </w:r>
      <w:r w:rsidR="0048781B" w:rsidRPr="00AB17AB">
        <w:br/>
      </w:r>
      <w:proofErr w:type="spellStart"/>
      <w:r w:rsidR="0048781B" w:rsidRPr="00AB17AB">
        <w:t>Truxima</w:t>
      </w:r>
      <w:proofErr w:type="spellEnd"/>
      <w:r w:rsidR="006D6493" w:rsidRPr="00AB17AB">
        <w:t xml:space="preserve">®, </w:t>
      </w:r>
      <w:proofErr w:type="spellStart"/>
      <w:r w:rsidR="0048781B" w:rsidRPr="00AB17AB">
        <w:t>Celltrion</w:t>
      </w:r>
      <w:proofErr w:type="spellEnd"/>
      <w:r w:rsidR="0048781B" w:rsidRPr="00AB17AB">
        <w:t xml:space="preserve"> Healthcare Australia Pty Ltd</w:t>
      </w:r>
    </w:p>
    <w:p w:rsidR="008A50F1" w:rsidRPr="00906477" w:rsidRDefault="00CE10C4" w:rsidP="00AF7A5D">
      <w:pPr>
        <w:pStyle w:val="PBACHeading1"/>
        <w:numPr>
          <w:ilvl w:val="0"/>
          <w:numId w:val="5"/>
        </w:numPr>
        <w:spacing w:before="240" w:after="120"/>
        <w:rPr>
          <w:rFonts w:asciiTheme="minorHAnsi" w:hAnsiTheme="minorHAnsi"/>
          <w:sz w:val="32"/>
          <w:szCs w:val="32"/>
        </w:rPr>
      </w:pPr>
      <w:r w:rsidRPr="00906477">
        <w:rPr>
          <w:rFonts w:asciiTheme="minorHAnsi" w:hAnsiTheme="minorHAnsi"/>
          <w:sz w:val="32"/>
          <w:szCs w:val="32"/>
        </w:rPr>
        <w:t xml:space="preserve">Purpose of </w:t>
      </w:r>
      <w:r w:rsidR="0004240E" w:rsidRPr="00906477">
        <w:rPr>
          <w:rFonts w:asciiTheme="minorHAnsi" w:hAnsiTheme="minorHAnsi"/>
          <w:sz w:val="32"/>
          <w:szCs w:val="32"/>
        </w:rPr>
        <w:t>Application</w:t>
      </w:r>
    </w:p>
    <w:p w:rsidR="0064176B" w:rsidRPr="00906477" w:rsidRDefault="00EF44A0" w:rsidP="00AF7A5D">
      <w:pPr>
        <w:pStyle w:val="ListParagraph"/>
        <w:widowControl/>
        <w:numPr>
          <w:ilvl w:val="1"/>
          <w:numId w:val="5"/>
        </w:numPr>
        <w:spacing w:after="120"/>
        <w:contextualSpacing w:val="0"/>
        <w:rPr>
          <w:rFonts w:asciiTheme="minorHAnsi" w:hAnsiTheme="minorHAnsi"/>
          <w:sz w:val="24"/>
          <w:szCs w:val="24"/>
        </w:rPr>
      </w:pPr>
      <w:r w:rsidRPr="00906477">
        <w:rPr>
          <w:rFonts w:asciiTheme="minorHAnsi" w:eastAsiaTheme="minorHAnsi" w:hAnsiTheme="minorHAnsi" w:cstheme="minorBidi"/>
          <w:snapToGrid/>
          <w:sz w:val="24"/>
          <w:szCs w:val="22"/>
        </w:rPr>
        <w:t>The mi</w:t>
      </w:r>
      <w:r w:rsidR="00FF2801" w:rsidRPr="00906477">
        <w:rPr>
          <w:rFonts w:asciiTheme="minorHAnsi" w:eastAsiaTheme="minorHAnsi" w:hAnsiTheme="minorHAnsi" w:cstheme="minorBidi"/>
          <w:snapToGrid/>
          <w:sz w:val="24"/>
          <w:szCs w:val="22"/>
        </w:rPr>
        <w:t xml:space="preserve">nor submission sought </w:t>
      </w:r>
      <w:r w:rsidR="009C5089" w:rsidRPr="00906477">
        <w:rPr>
          <w:rFonts w:asciiTheme="minorHAnsi" w:eastAsiaTheme="minorHAnsi" w:hAnsiTheme="minorHAnsi" w:cstheme="minorBidi"/>
          <w:snapToGrid/>
          <w:sz w:val="24"/>
          <w:szCs w:val="22"/>
        </w:rPr>
        <w:t xml:space="preserve">a Section 100 Efficient Funding of Chemotherapy (EFC) </w:t>
      </w:r>
      <w:r w:rsidR="0048781B" w:rsidRPr="00906477">
        <w:rPr>
          <w:rFonts w:asciiTheme="minorHAnsi" w:eastAsiaTheme="minorHAnsi" w:hAnsiTheme="minorHAnsi" w:cstheme="minorBidi"/>
          <w:snapToGrid/>
          <w:sz w:val="24"/>
          <w:szCs w:val="22"/>
        </w:rPr>
        <w:t>listing for a new biosimilar of rituximab (</w:t>
      </w:r>
      <w:proofErr w:type="spellStart"/>
      <w:r w:rsidR="0048781B" w:rsidRPr="00906477">
        <w:rPr>
          <w:rFonts w:asciiTheme="minorHAnsi" w:eastAsiaTheme="minorHAnsi" w:hAnsiTheme="minorHAnsi" w:cstheme="minorBidi"/>
          <w:snapToGrid/>
          <w:sz w:val="24"/>
          <w:szCs w:val="22"/>
        </w:rPr>
        <w:t>Truxima</w:t>
      </w:r>
      <w:proofErr w:type="spellEnd"/>
      <w:r w:rsidR="0048781B" w:rsidRPr="00906477">
        <w:rPr>
          <w:rFonts w:asciiTheme="minorHAnsi" w:eastAsiaTheme="minorHAnsi" w:hAnsiTheme="minorHAnsi" w:cstheme="minorBidi"/>
          <w:snapToGrid/>
          <w:sz w:val="24"/>
          <w:szCs w:val="22"/>
        </w:rPr>
        <w:t xml:space="preserve">®) for </w:t>
      </w:r>
      <w:r w:rsidR="00853322" w:rsidRPr="00906477">
        <w:rPr>
          <w:rFonts w:asciiTheme="minorHAnsi" w:eastAsiaTheme="minorHAnsi" w:hAnsiTheme="minorHAnsi" w:cstheme="minorBidi"/>
          <w:snapToGrid/>
          <w:sz w:val="24"/>
          <w:szCs w:val="22"/>
        </w:rPr>
        <w:t xml:space="preserve">the treatment </w:t>
      </w:r>
      <w:r w:rsidR="00CA30A6" w:rsidRPr="00906477">
        <w:rPr>
          <w:rFonts w:asciiTheme="minorHAnsi" w:eastAsiaTheme="minorHAnsi" w:hAnsiTheme="minorHAnsi" w:cstheme="minorBidi"/>
          <w:snapToGrid/>
          <w:sz w:val="24"/>
          <w:szCs w:val="22"/>
        </w:rPr>
        <w:t>of:</w:t>
      </w:r>
    </w:p>
    <w:p w:rsidR="0064176B" w:rsidRPr="00906477" w:rsidRDefault="0064176B" w:rsidP="00AF7A5D">
      <w:pPr>
        <w:pStyle w:val="ListParagraph"/>
        <w:widowControl/>
        <w:numPr>
          <w:ilvl w:val="2"/>
          <w:numId w:val="5"/>
        </w:numPr>
        <w:spacing w:after="120"/>
        <w:ind w:left="1276" w:hanging="425"/>
        <w:contextualSpacing w:val="0"/>
        <w:rPr>
          <w:rFonts w:asciiTheme="minorHAnsi" w:hAnsiTheme="minorHAnsi"/>
          <w:sz w:val="24"/>
          <w:szCs w:val="24"/>
        </w:rPr>
      </w:pPr>
      <w:r w:rsidRPr="00906477">
        <w:rPr>
          <w:rFonts w:asciiTheme="minorHAnsi" w:hAnsiTheme="minorHAnsi"/>
          <w:sz w:val="24"/>
          <w:szCs w:val="24"/>
        </w:rPr>
        <w:t xml:space="preserve">CD20 positive, previously untreated, stage III/IV follicular, B-cell </w:t>
      </w:r>
      <w:r w:rsidR="00CA30A6" w:rsidRPr="00906477">
        <w:rPr>
          <w:rFonts w:asciiTheme="minorHAnsi" w:hAnsiTheme="minorHAnsi"/>
          <w:sz w:val="24"/>
          <w:szCs w:val="24"/>
        </w:rPr>
        <w:t>non-</w:t>
      </w:r>
      <w:r w:rsidRPr="00906477">
        <w:rPr>
          <w:rFonts w:asciiTheme="minorHAnsi" w:hAnsiTheme="minorHAnsi"/>
          <w:sz w:val="24"/>
          <w:szCs w:val="24"/>
        </w:rPr>
        <w:t>H</w:t>
      </w:r>
      <w:r w:rsidR="00CA30A6" w:rsidRPr="00906477">
        <w:rPr>
          <w:rFonts w:asciiTheme="minorHAnsi" w:hAnsiTheme="minorHAnsi"/>
          <w:sz w:val="24"/>
          <w:szCs w:val="24"/>
        </w:rPr>
        <w:t>odgkin</w:t>
      </w:r>
      <w:r w:rsidR="008E4E71" w:rsidRPr="00906477">
        <w:rPr>
          <w:rFonts w:asciiTheme="minorHAnsi" w:hAnsiTheme="minorHAnsi"/>
          <w:sz w:val="24"/>
          <w:szCs w:val="24"/>
        </w:rPr>
        <w:t>’</w:t>
      </w:r>
      <w:r w:rsidR="00CA30A6" w:rsidRPr="00906477">
        <w:rPr>
          <w:rFonts w:asciiTheme="minorHAnsi" w:hAnsiTheme="minorHAnsi"/>
          <w:sz w:val="24"/>
          <w:szCs w:val="24"/>
        </w:rPr>
        <w:t>s lymphoma (NHL); and</w:t>
      </w:r>
    </w:p>
    <w:p w:rsidR="0064176B" w:rsidRPr="00906477" w:rsidRDefault="0064176B" w:rsidP="00AF7A5D">
      <w:pPr>
        <w:pStyle w:val="ListParagraph"/>
        <w:widowControl/>
        <w:numPr>
          <w:ilvl w:val="2"/>
          <w:numId w:val="5"/>
        </w:numPr>
        <w:spacing w:after="120"/>
        <w:ind w:left="1276" w:hanging="425"/>
        <w:contextualSpacing w:val="0"/>
        <w:rPr>
          <w:rFonts w:asciiTheme="minorHAnsi" w:hAnsiTheme="minorHAnsi"/>
          <w:sz w:val="24"/>
          <w:szCs w:val="24"/>
        </w:rPr>
      </w:pPr>
      <w:r w:rsidRPr="00906477">
        <w:rPr>
          <w:rFonts w:asciiTheme="minorHAnsi" w:hAnsiTheme="minorHAnsi"/>
          <w:sz w:val="24"/>
          <w:szCs w:val="24"/>
        </w:rPr>
        <w:t>CD20 positive, relapsed or refractory low grade or follicular, B-cell NHL</w:t>
      </w:r>
      <w:r w:rsidR="00CA30A6" w:rsidRPr="00906477">
        <w:rPr>
          <w:rFonts w:asciiTheme="minorHAnsi" w:hAnsiTheme="minorHAnsi"/>
          <w:sz w:val="24"/>
          <w:szCs w:val="24"/>
        </w:rPr>
        <w:t>.</w:t>
      </w:r>
    </w:p>
    <w:p w:rsidR="006A12A5" w:rsidRPr="00906477" w:rsidRDefault="006A12A5" w:rsidP="00AF7A5D">
      <w:pPr>
        <w:pStyle w:val="PBACHeading1"/>
        <w:numPr>
          <w:ilvl w:val="0"/>
          <w:numId w:val="5"/>
        </w:numPr>
        <w:spacing w:before="240" w:after="120"/>
        <w:rPr>
          <w:rFonts w:asciiTheme="minorHAnsi" w:hAnsiTheme="minorHAnsi"/>
          <w:sz w:val="32"/>
          <w:szCs w:val="32"/>
        </w:rPr>
      </w:pPr>
      <w:r w:rsidRPr="00906477">
        <w:rPr>
          <w:rFonts w:asciiTheme="minorHAnsi" w:hAnsiTheme="minorHAnsi"/>
          <w:sz w:val="32"/>
          <w:szCs w:val="32"/>
        </w:rPr>
        <w:t>Requested listing</w:t>
      </w:r>
    </w:p>
    <w:p w:rsidR="00F35501" w:rsidRPr="00906477" w:rsidRDefault="00402EAC" w:rsidP="00AF7A5D">
      <w:pPr>
        <w:pStyle w:val="ListParagraph"/>
        <w:widowControl/>
        <w:numPr>
          <w:ilvl w:val="1"/>
          <w:numId w:val="14"/>
        </w:numPr>
        <w:spacing w:after="120"/>
        <w:contextualSpacing w:val="0"/>
        <w:rPr>
          <w:rFonts w:asciiTheme="minorHAnsi" w:eastAsiaTheme="minorHAnsi" w:hAnsiTheme="minorHAnsi" w:cstheme="minorBidi"/>
          <w:snapToGrid/>
          <w:sz w:val="24"/>
          <w:szCs w:val="22"/>
        </w:rPr>
      </w:pPr>
      <w:proofErr w:type="spellStart"/>
      <w:r w:rsidRPr="00906477">
        <w:rPr>
          <w:rFonts w:asciiTheme="minorHAnsi" w:eastAsiaTheme="minorHAnsi" w:hAnsiTheme="minorHAnsi" w:cstheme="minorBidi"/>
          <w:snapToGrid/>
          <w:sz w:val="24"/>
          <w:szCs w:val="22"/>
        </w:rPr>
        <w:t>Truxima</w:t>
      </w:r>
      <w:proofErr w:type="spellEnd"/>
      <w:r w:rsidRPr="00906477">
        <w:rPr>
          <w:rFonts w:asciiTheme="minorHAnsi" w:eastAsiaTheme="minorHAnsi" w:hAnsiTheme="minorHAnsi" w:cstheme="minorBidi"/>
          <w:snapToGrid/>
          <w:sz w:val="24"/>
          <w:szCs w:val="22"/>
        </w:rPr>
        <w:t xml:space="preserve">® </w:t>
      </w:r>
      <w:proofErr w:type="gramStart"/>
      <w:r w:rsidRPr="00906477">
        <w:rPr>
          <w:rFonts w:asciiTheme="minorHAnsi" w:eastAsiaTheme="minorHAnsi" w:hAnsiTheme="minorHAnsi" w:cstheme="minorBidi"/>
          <w:snapToGrid/>
          <w:sz w:val="24"/>
          <w:szCs w:val="22"/>
        </w:rPr>
        <w:t>was proposed</w:t>
      </w:r>
      <w:proofErr w:type="gramEnd"/>
      <w:r w:rsidRPr="00906477">
        <w:rPr>
          <w:rFonts w:asciiTheme="minorHAnsi" w:eastAsiaTheme="minorHAnsi" w:hAnsiTheme="minorHAnsi" w:cstheme="minorBidi"/>
          <w:snapToGrid/>
          <w:sz w:val="24"/>
          <w:szCs w:val="22"/>
        </w:rPr>
        <w:t xml:space="preserve"> for PBS listing as a biosimilar of</w:t>
      </w:r>
      <w:r w:rsidR="00206E35" w:rsidRPr="00906477">
        <w:rPr>
          <w:rFonts w:asciiTheme="minorHAnsi" w:eastAsiaTheme="minorHAnsi" w:hAnsiTheme="minorHAnsi" w:cstheme="minorBidi"/>
          <w:snapToGrid/>
          <w:sz w:val="24"/>
          <w:szCs w:val="22"/>
        </w:rPr>
        <w:t xml:space="preserve"> the </w:t>
      </w:r>
      <w:r w:rsidR="00F35501" w:rsidRPr="00906477">
        <w:rPr>
          <w:rFonts w:asciiTheme="minorHAnsi" w:eastAsiaTheme="minorHAnsi" w:hAnsiTheme="minorHAnsi" w:cstheme="minorBidi"/>
          <w:snapToGrid/>
          <w:sz w:val="24"/>
          <w:szCs w:val="22"/>
        </w:rPr>
        <w:t xml:space="preserve">rituximab </w:t>
      </w:r>
      <w:r w:rsidR="00206E35" w:rsidRPr="00906477">
        <w:rPr>
          <w:rFonts w:asciiTheme="minorHAnsi" w:eastAsiaTheme="minorHAnsi" w:hAnsiTheme="minorHAnsi" w:cstheme="minorBidi"/>
          <w:snapToGrid/>
          <w:sz w:val="24"/>
          <w:szCs w:val="22"/>
        </w:rPr>
        <w:t>reference brand</w:t>
      </w:r>
      <w:r w:rsidRPr="00906477">
        <w:rPr>
          <w:rFonts w:asciiTheme="minorHAnsi" w:eastAsiaTheme="minorHAnsi" w:hAnsiTheme="minorHAnsi" w:cstheme="minorBidi"/>
          <w:snapToGrid/>
          <w:sz w:val="24"/>
          <w:szCs w:val="22"/>
        </w:rPr>
        <w:t xml:space="preserve"> </w:t>
      </w:r>
      <w:proofErr w:type="spellStart"/>
      <w:r w:rsidRPr="00906477">
        <w:rPr>
          <w:rFonts w:asciiTheme="minorHAnsi" w:eastAsiaTheme="minorHAnsi" w:hAnsiTheme="minorHAnsi" w:cstheme="minorBidi"/>
          <w:snapToGrid/>
          <w:sz w:val="24"/>
          <w:szCs w:val="22"/>
        </w:rPr>
        <w:t>MabThera</w:t>
      </w:r>
      <w:proofErr w:type="spellEnd"/>
      <w:r w:rsidRPr="00906477">
        <w:rPr>
          <w:rFonts w:asciiTheme="minorHAnsi" w:eastAsiaTheme="minorHAnsi" w:hAnsiTheme="minorHAnsi" w:cstheme="minorBidi"/>
          <w:snapToGrid/>
          <w:sz w:val="24"/>
          <w:szCs w:val="22"/>
        </w:rPr>
        <w:t>®</w:t>
      </w:r>
      <w:r w:rsidR="00F35501" w:rsidRPr="00906477">
        <w:rPr>
          <w:rFonts w:asciiTheme="minorHAnsi" w:eastAsiaTheme="minorHAnsi" w:hAnsiTheme="minorHAnsi" w:cstheme="minorBidi"/>
          <w:snapToGrid/>
          <w:sz w:val="24"/>
          <w:szCs w:val="22"/>
        </w:rPr>
        <w:t xml:space="preserve">. Rituximab is </w:t>
      </w:r>
      <w:r w:rsidR="007C562C" w:rsidRPr="00906477">
        <w:rPr>
          <w:rFonts w:asciiTheme="minorHAnsi" w:eastAsiaTheme="minorHAnsi" w:hAnsiTheme="minorHAnsi" w:cstheme="minorBidi"/>
          <w:snapToGrid/>
          <w:sz w:val="24"/>
          <w:szCs w:val="22"/>
        </w:rPr>
        <w:t>currently PBS-listed</w:t>
      </w:r>
      <w:r w:rsidR="009B41FC" w:rsidRPr="00906477">
        <w:rPr>
          <w:rFonts w:asciiTheme="minorHAnsi" w:eastAsiaTheme="minorHAnsi" w:hAnsiTheme="minorHAnsi" w:cstheme="minorBidi"/>
          <w:snapToGrid/>
          <w:sz w:val="24"/>
          <w:szCs w:val="22"/>
        </w:rPr>
        <w:t xml:space="preserve"> for the treatment of NHL, </w:t>
      </w:r>
      <w:r w:rsidR="00F35501" w:rsidRPr="00906477">
        <w:rPr>
          <w:rFonts w:asciiTheme="minorHAnsi" w:eastAsiaTheme="minorHAnsi" w:hAnsiTheme="minorHAnsi" w:cstheme="minorBidi"/>
          <w:snapToGrid/>
          <w:sz w:val="24"/>
          <w:szCs w:val="22"/>
        </w:rPr>
        <w:t>s</w:t>
      </w:r>
      <w:r w:rsidR="009B41FC" w:rsidRPr="00906477">
        <w:rPr>
          <w:rFonts w:asciiTheme="minorHAnsi" w:eastAsiaTheme="minorHAnsi" w:hAnsiTheme="minorHAnsi" w:cstheme="minorBidi"/>
          <w:snapToGrid/>
          <w:sz w:val="24"/>
          <w:szCs w:val="22"/>
        </w:rPr>
        <w:t xml:space="preserve">evere active granulomatosis with </w:t>
      </w:r>
      <w:proofErr w:type="spellStart"/>
      <w:r w:rsidR="009B41FC" w:rsidRPr="00906477">
        <w:rPr>
          <w:rFonts w:asciiTheme="minorHAnsi" w:eastAsiaTheme="minorHAnsi" w:hAnsiTheme="minorHAnsi" w:cstheme="minorBidi"/>
          <w:snapToGrid/>
          <w:sz w:val="24"/>
          <w:szCs w:val="22"/>
        </w:rPr>
        <w:t>polyangiitis</w:t>
      </w:r>
      <w:proofErr w:type="spellEnd"/>
      <w:r w:rsidR="009B41FC" w:rsidRPr="00906477">
        <w:rPr>
          <w:rFonts w:asciiTheme="minorHAnsi" w:eastAsiaTheme="minorHAnsi" w:hAnsiTheme="minorHAnsi" w:cstheme="minorBidi"/>
          <w:snapToGrid/>
          <w:sz w:val="24"/>
          <w:szCs w:val="22"/>
        </w:rPr>
        <w:t xml:space="preserve">, </w:t>
      </w:r>
      <w:r w:rsidR="008E4E71" w:rsidRPr="00906477">
        <w:rPr>
          <w:rFonts w:asciiTheme="minorHAnsi" w:eastAsiaTheme="minorHAnsi" w:hAnsiTheme="minorHAnsi" w:cstheme="minorBidi"/>
          <w:snapToGrid/>
          <w:sz w:val="24"/>
          <w:szCs w:val="22"/>
        </w:rPr>
        <w:t xml:space="preserve">severe active microscopic </w:t>
      </w:r>
      <w:proofErr w:type="spellStart"/>
      <w:r w:rsidR="008E4E71" w:rsidRPr="00906477">
        <w:rPr>
          <w:rFonts w:asciiTheme="minorHAnsi" w:eastAsiaTheme="minorHAnsi" w:hAnsiTheme="minorHAnsi" w:cstheme="minorBidi"/>
          <w:snapToGrid/>
          <w:sz w:val="24"/>
          <w:szCs w:val="22"/>
        </w:rPr>
        <w:t>polyangiitis</w:t>
      </w:r>
      <w:proofErr w:type="spellEnd"/>
      <w:r w:rsidR="008E4E71" w:rsidRPr="00906477">
        <w:rPr>
          <w:rFonts w:asciiTheme="minorHAnsi" w:eastAsiaTheme="minorHAnsi" w:hAnsiTheme="minorHAnsi" w:cstheme="minorBidi"/>
          <w:snapToGrid/>
          <w:sz w:val="24"/>
          <w:szCs w:val="22"/>
        </w:rPr>
        <w:t xml:space="preserve">, </w:t>
      </w:r>
      <w:r w:rsidR="009B41FC" w:rsidRPr="00906477">
        <w:rPr>
          <w:rFonts w:asciiTheme="minorHAnsi" w:eastAsiaTheme="minorHAnsi" w:hAnsiTheme="minorHAnsi" w:cstheme="minorBidi"/>
          <w:snapToGrid/>
          <w:sz w:val="24"/>
          <w:szCs w:val="22"/>
        </w:rPr>
        <w:t>CD20 positive lymphoid cancer, CD20 positive acute lymphoblastic leukaemia</w:t>
      </w:r>
      <w:r w:rsidR="00F35501" w:rsidRPr="00906477">
        <w:rPr>
          <w:rFonts w:asciiTheme="minorHAnsi" w:eastAsiaTheme="minorHAnsi" w:hAnsiTheme="minorHAnsi" w:cstheme="minorBidi"/>
          <w:snapToGrid/>
          <w:sz w:val="24"/>
          <w:szCs w:val="22"/>
        </w:rPr>
        <w:t xml:space="preserve"> and </w:t>
      </w:r>
      <w:r w:rsidR="009B41FC" w:rsidRPr="00906477">
        <w:rPr>
          <w:rFonts w:asciiTheme="minorHAnsi" w:eastAsiaTheme="minorHAnsi" w:hAnsiTheme="minorHAnsi" w:cstheme="minorBidi"/>
          <w:snapToGrid/>
          <w:sz w:val="24"/>
          <w:szCs w:val="22"/>
        </w:rPr>
        <w:t>sev</w:t>
      </w:r>
      <w:r w:rsidR="00F35501" w:rsidRPr="00906477">
        <w:rPr>
          <w:rFonts w:asciiTheme="minorHAnsi" w:eastAsiaTheme="minorHAnsi" w:hAnsiTheme="minorHAnsi" w:cstheme="minorBidi"/>
          <w:snapToGrid/>
          <w:sz w:val="24"/>
          <w:szCs w:val="22"/>
        </w:rPr>
        <w:t>ere active rheumatoid arthritis.</w:t>
      </w:r>
    </w:p>
    <w:p w:rsidR="00CA30A6" w:rsidRPr="00906477" w:rsidRDefault="00EF44A0" w:rsidP="00AF7A5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 xml:space="preserve">The submission </w:t>
      </w:r>
      <w:r w:rsidR="00FF2801" w:rsidRPr="00906477">
        <w:rPr>
          <w:rFonts w:asciiTheme="minorHAnsi" w:eastAsiaTheme="minorHAnsi" w:hAnsiTheme="minorHAnsi" w:cstheme="minorBidi"/>
          <w:snapToGrid/>
          <w:sz w:val="24"/>
          <w:szCs w:val="22"/>
        </w:rPr>
        <w:t>requested</w:t>
      </w:r>
      <w:r w:rsidRPr="00906477">
        <w:rPr>
          <w:rFonts w:asciiTheme="minorHAnsi" w:eastAsiaTheme="minorHAnsi" w:hAnsiTheme="minorHAnsi" w:cstheme="minorBidi"/>
          <w:snapToGrid/>
          <w:sz w:val="24"/>
          <w:szCs w:val="22"/>
        </w:rPr>
        <w:t xml:space="preserve"> </w:t>
      </w:r>
      <w:r w:rsidR="00863CE2" w:rsidRPr="00906477">
        <w:rPr>
          <w:rFonts w:asciiTheme="minorHAnsi" w:eastAsiaTheme="minorHAnsi" w:hAnsiTheme="minorHAnsi" w:cstheme="minorBidi"/>
          <w:snapToGrid/>
          <w:sz w:val="24"/>
          <w:szCs w:val="22"/>
        </w:rPr>
        <w:t>listing</w:t>
      </w:r>
      <w:r w:rsidR="006F3359" w:rsidRPr="00906477">
        <w:rPr>
          <w:rFonts w:asciiTheme="minorHAnsi" w:eastAsiaTheme="minorHAnsi" w:hAnsiTheme="minorHAnsi" w:cstheme="minorBidi"/>
          <w:snapToGrid/>
          <w:sz w:val="24"/>
          <w:szCs w:val="22"/>
        </w:rPr>
        <w:t xml:space="preserve"> for 100 mg per 100 mL and 500 mg per 50 mL injection vial forms of </w:t>
      </w:r>
      <w:proofErr w:type="spellStart"/>
      <w:r w:rsidR="006F3359" w:rsidRPr="00906477">
        <w:rPr>
          <w:rFonts w:asciiTheme="minorHAnsi" w:eastAsiaTheme="minorHAnsi" w:hAnsiTheme="minorHAnsi" w:cstheme="minorBidi"/>
          <w:snapToGrid/>
          <w:sz w:val="24"/>
          <w:szCs w:val="22"/>
        </w:rPr>
        <w:t>Truxima</w:t>
      </w:r>
      <w:proofErr w:type="spellEnd"/>
      <w:r w:rsidR="006F3359" w:rsidRPr="00906477">
        <w:rPr>
          <w:rFonts w:asciiTheme="minorHAnsi" w:eastAsiaTheme="minorHAnsi" w:hAnsiTheme="minorHAnsi" w:cstheme="minorBidi"/>
          <w:snapToGrid/>
          <w:sz w:val="24"/>
          <w:szCs w:val="22"/>
        </w:rPr>
        <w:t>®</w:t>
      </w:r>
      <w:r w:rsidR="00ED3C63" w:rsidRPr="00906477">
        <w:rPr>
          <w:rFonts w:asciiTheme="minorHAnsi" w:eastAsiaTheme="minorHAnsi" w:hAnsiTheme="minorHAnsi" w:cstheme="minorBidi"/>
          <w:snapToGrid/>
          <w:sz w:val="24"/>
          <w:szCs w:val="22"/>
        </w:rPr>
        <w:t xml:space="preserve"> for NHL</w:t>
      </w:r>
      <w:r w:rsidR="003C5D3F" w:rsidRPr="00906477">
        <w:rPr>
          <w:rFonts w:asciiTheme="minorHAnsi" w:eastAsiaTheme="minorHAnsi" w:hAnsiTheme="minorHAnsi" w:cstheme="minorBidi"/>
          <w:snapToGrid/>
          <w:sz w:val="24"/>
          <w:szCs w:val="22"/>
        </w:rPr>
        <w:t>,</w:t>
      </w:r>
      <w:r w:rsidR="00ED3C63" w:rsidRPr="00906477">
        <w:rPr>
          <w:rFonts w:asciiTheme="minorHAnsi" w:eastAsiaTheme="minorHAnsi" w:hAnsiTheme="minorHAnsi" w:cstheme="minorBidi"/>
          <w:snapToGrid/>
          <w:sz w:val="24"/>
          <w:szCs w:val="22"/>
        </w:rPr>
        <w:t xml:space="preserve"> which is the </w:t>
      </w:r>
      <w:r w:rsidR="003C5D3F" w:rsidRPr="00906477">
        <w:rPr>
          <w:rFonts w:asciiTheme="minorHAnsi" w:eastAsiaTheme="minorHAnsi" w:hAnsiTheme="minorHAnsi" w:cstheme="minorBidi"/>
          <w:snapToGrid/>
          <w:sz w:val="24"/>
          <w:szCs w:val="22"/>
        </w:rPr>
        <w:t>only TGA-approved indication for this brand of rituximab</w:t>
      </w:r>
      <w:r w:rsidR="00ED3C63" w:rsidRPr="00906477">
        <w:rPr>
          <w:rFonts w:asciiTheme="minorHAnsi" w:eastAsiaTheme="minorHAnsi" w:hAnsiTheme="minorHAnsi" w:cstheme="minorBidi"/>
          <w:snapToGrid/>
          <w:sz w:val="24"/>
          <w:szCs w:val="22"/>
        </w:rPr>
        <w:t>.</w:t>
      </w:r>
      <w:r w:rsidR="00CA30A6" w:rsidRPr="00906477">
        <w:rPr>
          <w:rFonts w:asciiTheme="minorHAnsi" w:eastAsiaTheme="minorHAnsi" w:hAnsiTheme="minorHAnsi" w:cstheme="minorBidi"/>
          <w:snapToGrid/>
          <w:sz w:val="24"/>
          <w:szCs w:val="22"/>
        </w:rPr>
        <w:t xml:space="preserve"> </w:t>
      </w:r>
    </w:p>
    <w:p w:rsidR="00886E4E" w:rsidRPr="00906477" w:rsidRDefault="00886E4E" w:rsidP="00AF7A5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 xml:space="preserve">The submission requested </w:t>
      </w:r>
      <w:proofErr w:type="spellStart"/>
      <w:r w:rsidRPr="00906477">
        <w:rPr>
          <w:rFonts w:asciiTheme="minorHAnsi" w:eastAsiaTheme="minorHAnsi" w:hAnsiTheme="minorHAnsi" w:cstheme="minorBidi"/>
          <w:snapToGrid/>
          <w:sz w:val="24"/>
          <w:szCs w:val="22"/>
        </w:rPr>
        <w:t>Truxima</w:t>
      </w:r>
      <w:proofErr w:type="spellEnd"/>
      <w:r w:rsidRPr="00906477">
        <w:rPr>
          <w:rFonts w:asciiTheme="minorHAnsi" w:eastAsiaTheme="minorHAnsi" w:hAnsiTheme="minorHAnsi" w:cstheme="minorBidi"/>
          <w:snapToGrid/>
          <w:sz w:val="24"/>
          <w:szCs w:val="22"/>
        </w:rPr>
        <w:t xml:space="preserve">® be considered equivalent (‘a’ flagged) with </w:t>
      </w:r>
      <w:proofErr w:type="spellStart"/>
      <w:r w:rsidRPr="00906477">
        <w:rPr>
          <w:rFonts w:asciiTheme="minorHAnsi" w:eastAsiaTheme="minorHAnsi" w:hAnsiTheme="minorHAnsi" w:cstheme="minorBidi"/>
          <w:snapToGrid/>
          <w:sz w:val="24"/>
          <w:szCs w:val="22"/>
        </w:rPr>
        <w:t>MabThera</w:t>
      </w:r>
      <w:proofErr w:type="spellEnd"/>
      <w:r w:rsidRPr="00906477">
        <w:rPr>
          <w:rFonts w:asciiTheme="minorHAnsi" w:eastAsiaTheme="minorHAnsi" w:hAnsiTheme="minorHAnsi" w:cstheme="minorBidi"/>
          <w:snapToGrid/>
          <w:sz w:val="24"/>
          <w:szCs w:val="22"/>
        </w:rPr>
        <w:t>® for the purpose</w:t>
      </w:r>
      <w:r w:rsidR="008B44F2" w:rsidRPr="00906477">
        <w:rPr>
          <w:rFonts w:asciiTheme="minorHAnsi" w:eastAsiaTheme="minorHAnsi" w:hAnsiTheme="minorHAnsi" w:cstheme="minorBidi"/>
          <w:snapToGrid/>
          <w:sz w:val="24"/>
          <w:szCs w:val="22"/>
        </w:rPr>
        <w:t>s</w:t>
      </w:r>
      <w:r w:rsidRPr="00906477">
        <w:rPr>
          <w:rFonts w:asciiTheme="minorHAnsi" w:eastAsiaTheme="minorHAnsi" w:hAnsiTheme="minorHAnsi" w:cstheme="minorBidi"/>
          <w:snapToGrid/>
          <w:sz w:val="24"/>
          <w:szCs w:val="22"/>
        </w:rPr>
        <w:t xml:space="preserve"> of the substitution at the point of dispensing for the treatment of NHL. </w:t>
      </w:r>
    </w:p>
    <w:p w:rsidR="00886E4E" w:rsidRPr="00906477" w:rsidRDefault="0031455E" w:rsidP="00AF7A5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 xml:space="preserve">Rituximab for </w:t>
      </w:r>
      <w:r w:rsidR="00886E4E" w:rsidRPr="00906477">
        <w:rPr>
          <w:rFonts w:asciiTheme="minorHAnsi" w:eastAsiaTheme="minorHAnsi" w:hAnsiTheme="minorHAnsi" w:cstheme="minorBidi"/>
          <w:snapToGrid/>
          <w:sz w:val="24"/>
          <w:szCs w:val="22"/>
        </w:rPr>
        <w:t xml:space="preserve">NHL </w:t>
      </w:r>
      <w:proofErr w:type="gramStart"/>
      <w:r w:rsidR="00886E4E" w:rsidRPr="00906477">
        <w:rPr>
          <w:rFonts w:asciiTheme="minorHAnsi" w:eastAsiaTheme="minorHAnsi" w:hAnsiTheme="minorHAnsi" w:cstheme="minorBidi"/>
          <w:snapToGrid/>
          <w:sz w:val="24"/>
          <w:szCs w:val="22"/>
        </w:rPr>
        <w:t xml:space="preserve">is currently </w:t>
      </w:r>
      <w:r w:rsidRPr="00906477">
        <w:rPr>
          <w:rFonts w:asciiTheme="minorHAnsi" w:eastAsiaTheme="minorHAnsi" w:hAnsiTheme="minorHAnsi" w:cstheme="minorBidi"/>
          <w:snapToGrid/>
          <w:sz w:val="24"/>
          <w:szCs w:val="22"/>
        </w:rPr>
        <w:t>listed</w:t>
      </w:r>
      <w:proofErr w:type="gramEnd"/>
      <w:r w:rsidRPr="00906477">
        <w:rPr>
          <w:rFonts w:asciiTheme="minorHAnsi" w:eastAsiaTheme="minorHAnsi" w:hAnsiTheme="minorHAnsi" w:cstheme="minorBidi"/>
          <w:snapToGrid/>
          <w:sz w:val="24"/>
          <w:szCs w:val="22"/>
        </w:rPr>
        <w:t xml:space="preserve"> as an </w:t>
      </w:r>
      <w:r w:rsidR="00886E4E" w:rsidRPr="00906477">
        <w:rPr>
          <w:rFonts w:asciiTheme="minorHAnsi" w:eastAsiaTheme="minorHAnsi" w:hAnsiTheme="minorHAnsi" w:cstheme="minorBidi"/>
          <w:snapToGrid/>
          <w:sz w:val="24"/>
          <w:szCs w:val="22"/>
        </w:rPr>
        <w:t>Authority Required (STREAMLINED)</w:t>
      </w:r>
      <w:r w:rsidRPr="00906477">
        <w:rPr>
          <w:rFonts w:asciiTheme="minorHAnsi" w:eastAsiaTheme="minorHAnsi" w:hAnsiTheme="minorHAnsi" w:cstheme="minorBidi"/>
          <w:snapToGrid/>
          <w:sz w:val="24"/>
          <w:szCs w:val="22"/>
        </w:rPr>
        <w:t xml:space="preserve"> benefit.</w:t>
      </w:r>
    </w:p>
    <w:p w:rsidR="00886E4E" w:rsidRPr="00906477" w:rsidRDefault="00886E4E" w:rsidP="00AF7A5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 xml:space="preserve">The submission proposed identical restrictions to the existing listing for </w:t>
      </w:r>
      <w:proofErr w:type="spellStart"/>
      <w:r w:rsidRPr="00906477">
        <w:rPr>
          <w:rFonts w:asciiTheme="minorHAnsi" w:eastAsiaTheme="minorHAnsi" w:hAnsiTheme="minorHAnsi" w:cstheme="minorBidi"/>
          <w:snapToGrid/>
          <w:sz w:val="24"/>
          <w:szCs w:val="22"/>
        </w:rPr>
        <w:t>MabThera</w:t>
      </w:r>
      <w:proofErr w:type="spellEnd"/>
      <w:r w:rsidR="00CA30A6" w:rsidRPr="00906477">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for which the</w:t>
      </w:r>
      <w:r w:rsidR="00501D58" w:rsidRPr="00906477">
        <w:rPr>
          <w:rFonts w:asciiTheme="minorHAnsi" w:eastAsiaTheme="minorHAnsi" w:hAnsiTheme="minorHAnsi" w:cstheme="minorBidi"/>
          <w:snapToGrid/>
          <w:sz w:val="24"/>
          <w:szCs w:val="22"/>
        </w:rPr>
        <w:t xml:space="preserve"> intravenous</w:t>
      </w:r>
      <w:r w:rsidRPr="00906477">
        <w:rPr>
          <w:rFonts w:asciiTheme="minorHAnsi" w:eastAsiaTheme="minorHAnsi" w:hAnsiTheme="minorHAnsi" w:cstheme="minorBidi"/>
          <w:snapToGrid/>
          <w:sz w:val="24"/>
          <w:szCs w:val="22"/>
        </w:rPr>
        <w:t xml:space="preserve"> </w:t>
      </w:r>
      <w:r w:rsidR="00501D58" w:rsidRPr="00906477">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IV</w:t>
      </w:r>
      <w:r w:rsidR="00501D58" w:rsidRPr="00906477">
        <w:rPr>
          <w:rFonts w:asciiTheme="minorHAnsi" w:eastAsiaTheme="minorHAnsi" w:hAnsiTheme="minorHAnsi" w:cstheme="minorBidi"/>
          <w:snapToGrid/>
          <w:sz w:val="24"/>
          <w:szCs w:val="22"/>
        </w:rPr>
        <w:t xml:space="preserve">) </w:t>
      </w:r>
      <w:r w:rsidRPr="00906477">
        <w:rPr>
          <w:rFonts w:asciiTheme="minorHAnsi" w:eastAsiaTheme="minorHAnsi" w:hAnsiTheme="minorHAnsi" w:cstheme="minorBidi"/>
          <w:snapToGrid/>
          <w:sz w:val="24"/>
          <w:szCs w:val="22"/>
        </w:rPr>
        <w:t xml:space="preserve">formulation </w:t>
      </w:r>
      <w:proofErr w:type="gramStart"/>
      <w:r w:rsidRPr="00906477">
        <w:rPr>
          <w:rFonts w:asciiTheme="minorHAnsi" w:eastAsiaTheme="minorHAnsi" w:hAnsiTheme="minorHAnsi" w:cstheme="minorBidi"/>
          <w:snapToGrid/>
          <w:sz w:val="24"/>
          <w:szCs w:val="22"/>
        </w:rPr>
        <w:t>is listed</w:t>
      </w:r>
      <w:proofErr w:type="gramEnd"/>
      <w:r w:rsidRPr="00906477">
        <w:rPr>
          <w:rFonts w:asciiTheme="minorHAnsi" w:eastAsiaTheme="minorHAnsi" w:hAnsiTheme="minorHAnsi" w:cstheme="minorBidi"/>
          <w:snapToGrid/>
          <w:sz w:val="24"/>
          <w:szCs w:val="22"/>
        </w:rPr>
        <w:t xml:space="preserve"> on the Section 100 EFC</w:t>
      </w:r>
      <w:r w:rsidR="00501D58" w:rsidRPr="00906477">
        <w:rPr>
          <w:rFonts w:asciiTheme="minorHAnsi" w:eastAsiaTheme="minorHAnsi" w:hAnsiTheme="minorHAnsi" w:cstheme="minorBidi"/>
          <w:snapToGrid/>
          <w:sz w:val="24"/>
          <w:szCs w:val="22"/>
        </w:rPr>
        <w:t xml:space="preserve"> </w:t>
      </w:r>
      <w:r w:rsidR="0031455E" w:rsidRPr="00906477">
        <w:rPr>
          <w:rFonts w:asciiTheme="minorHAnsi" w:eastAsiaTheme="minorHAnsi" w:hAnsiTheme="minorHAnsi" w:cstheme="minorBidi"/>
          <w:snapToGrid/>
          <w:sz w:val="24"/>
          <w:szCs w:val="22"/>
        </w:rPr>
        <w:t>but</w:t>
      </w:r>
      <w:r w:rsidR="00501D58" w:rsidRPr="00906477">
        <w:rPr>
          <w:rFonts w:asciiTheme="minorHAnsi" w:eastAsiaTheme="minorHAnsi" w:hAnsiTheme="minorHAnsi" w:cstheme="minorBidi"/>
          <w:snapToGrid/>
          <w:sz w:val="24"/>
          <w:szCs w:val="22"/>
        </w:rPr>
        <w:t xml:space="preserve"> </w:t>
      </w:r>
      <w:r w:rsidR="008E4E71" w:rsidRPr="00906477">
        <w:rPr>
          <w:rFonts w:asciiTheme="minorHAnsi" w:eastAsiaTheme="minorHAnsi" w:hAnsiTheme="minorHAnsi" w:cstheme="minorBidi"/>
          <w:snapToGrid/>
          <w:sz w:val="24"/>
          <w:szCs w:val="22"/>
        </w:rPr>
        <w:t xml:space="preserve">these </w:t>
      </w:r>
      <w:r w:rsidR="00501D58" w:rsidRPr="00906477">
        <w:rPr>
          <w:rFonts w:asciiTheme="minorHAnsi" w:eastAsiaTheme="minorHAnsi" w:hAnsiTheme="minorHAnsi" w:cstheme="minorBidi"/>
          <w:snapToGrid/>
          <w:sz w:val="24"/>
          <w:szCs w:val="22"/>
        </w:rPr>
        <w:t>have not been reproduced in full</w:t>
      </w:r>
      <w:r w:rsidR="0031455E" w:rsidRPr="00906477">
        <w:rPr>
          <w:rFonts w:asciiTheme="minorHAnsi" w:eastAsiaTheme="minorHAnsi" w:hAnsiTheme="minorHAnsi" w:cstheme="minorBidi"/>
          <w:snapToGrid/>
          <w:sz w:val="24"/>
          <w:szCs w:val="22"/>
        </w:rPr>
        <w:t xml:space="preserve"> below</w:t>
      </w:r>
      <w:r w:rsidR="00501D58" w:rsidRPr="00906477">
        <w:rPr>
          <w:rFonts w:asciiTheme="minorHAnsi" w:eastAsiaTheme="minorHAnsi" w:hAnsiTheme="minorHAnsi" w:cstheme="minorBidi"/>
          <w:snapToGrid/>
          <w:sz w:val="24"/>
          <w:szCs w:val="22"/>
        </w:rPr>
        <w:t>.</w:t>
      </w:r>
    </w:p>
    <w:tbl>
      <w:tblPr>
        <w:tblW w:w="4915" w:type="pct"/>
        <w:tblLayout w:type="fixed"/>
        <w:tblLook w:val="0000" w:firstRow="0" w:lastRow="0" w:firstColumn="0" w:lastColumn="0" w:noHBand="0" w:noVBand="0"/>
      </w:tblPr>
      <w:tblGrid>
        <w:gridCol w:w="3138"/>
        <w:gridCol w:w="809"/>
        <w:gridCol w:w="600"/>
        <w:gridCol w:w="1975"/>
        <w:gridCol w:w="1015"/>
        <w:gridCol w:w="1336"/>
      </w:tblGrid>
      <w:tr w:rsidR="00163329" w:rsidRPr="00906477" w:rsidTr="00E55694">
        <w:trPr>
          <w:cantSplit/>
          <w:trHeight w:val="465"/>
        </w:trPr>
        <w:tc>
          <w:tcPr>
            <w:tcW w:w="1768" w:type="pct"/>
            <w:tcBorders>
              <w:top w:val="single" w:sz="4" w:space="0" w:color="auto"/>
              <w:bottom w:val="single" w:sz="4" w:space="0" w:color="auto"/>
            </w:tcBorders>
          </w:tcPr>
          <w:p w:rsidR="00826F6D" w:rsidRPr="00906477" w:rsidRDefault="00826F6D" w:rsidP="00EB0B63">
            <w:pPr>
              <w:keepNext/>
              <w:spacing w:before="40" w:after="40"/>
              <w:jc w:val="both"/>
              <w:rPr>
                <w:rFonts w:ascii="Arial Narrow" w:hAnsi="Arial Narrow" w:cs="Arial"/>
                <w:b/>
                <w:sz w:val="20"/>
                <w:szCs w:val="20"/>
              </w:rPr>
            </w:pPr>
            <w:r w:rsidRPr="00906477">
              <w:rPr>
                <w:rFonts w:ascii="Arial Narrow" w:hAnsi="Arial Narrow" w:cs="Arial"/>
                <w:b/>
                <w:sz w:val="20"/>
                <w:szCs w:val="20"/>
              </w:rPr>
              <w:t>Name, Restriction,</w:t>
            </w:r>
          </w:p>
          <w:p w:rsidR="00826F6D" w:rsidRPr="00906477" w:rsidRDefault="00826F6D" w:rsidP="00EB0B63">
            <w:pPr>
              <w:keepNext/>
              <w:spacing w:before="40" w:after="40"/>
              <w:jc w:val="both"/>
              <w:rPr>
                <w:rFonts w:ascii="Arial Narrow" w:hAnsi="Arial Narrow" w:cs="Arial"/>
                <w:b/>
                <w:sz w:val="20"/>
                <w:szCs w:val="20"/>
              </w:rPr>
            </w:pPr>
            <w:r w:rsidRPr="00906477">
              <w:rPr>
                <w:rFonts w:ascii="Arial Narrow" w:hAnsi="Arial Narrow" w:cs="Arial"/>
                <w:b/>
                <w:sz w:val="20"/>
                <w:szCs w:val="20"/>
              </w:rPr>
              <w:t>Manner of administration and form</w:t>
            </w:r>
          </w:p>
        </w:tc>
        <w:tc>
          <w:tcPr>
            <w:tcW w:w="456" w:type="pct"/>
            <w:tcBorders>
              <w:top w:val="single" w:sz="4" w:space="0" w:color="auto"/>
              <w:bottom w:val="single" w:sz="4" w:space="0" w:color="auto"/>
            </w:tcBorders>
          </w:tcPr>
          <w:p w:rsidR="00826F6D" w:rsidRPr="00906477" w:rsidRDefault="00826F6D" w:rsidP="00EB0B63">
            <w:pPr>
              <w:keepNext/>
              <w:spacing w:before="40" w:after="40"/>
              <w:jc w:val="both"/>
              <w:rPr>
                <w:rFonts w:ascii="Arial Narrow" w:hAnsi="Arial Narrow" w:cs="Arial"/>
                <w:b/>
                <w:sz w:val="20"/>
                <w:szCs w:val="20"/>
              </w:rPr>
            </w:pPr>
            <w:r w:rsidRPr="00906477">
              <w:rPr>
                <w:rFonts w:ascii="Arial Narrow" w:hAnsi="Arial Narrow" w:cs="Arial"/>
                <w:b/>
                <w:sz w:val="20"/>
                <w:szCs w:val="20"/>
              </w:rPr>
              <w:t>Max.</w:t>
            </w:r>
          </w:p>
          <w:p w:rsidR="00826F6D" w:rsidRPr="00906477" w:rsidRDefault="008D2F5B" w:rsidP="00EB0B63">
            <w:pPr>
              <w:keepNext/>
              <w:spacing w:before="40" w:after="40"/>
              <w:jc w:val="both"/>
              <w:rPr>
                <w:rFonts w:ascii="Arial Narrow" w:hAnsi="Arial Narrow" w:cs="Arial"/>
                <w:b/>
                <w:sz w:val="20"/>
                <w:szCs w:val="20"/>
              </w:rPr>
            </w:pPr>
            <w:r w:rsidRPr="00906477">
              <w:rPr>
                <w:rFonts w:ascii="Arial Narrow" w:hAnsi="Arial Narrow" w:cs="Arial"/>
                <w:b/>
                <w:sz w:val="20"/>
                <w:szCs w:val="20"/>
              </w:rPr>
              <w:t>amount</w:t>
            </w:r>
          </w:p>
        </w:tc>
        <w:tc>
          <w:tcPr>
            <w:tcW w:w="338" w:type="pct"/>
            <w:tcBorders>
              <w:top w:val="single" w:sz="4" w:space="0" w:color="auto"/>
              <w:bottom w:val="single" w:sz="4" w:space="0" w:color="auto"/>
            </w:tcBorders>
          </w:tcPr>
          <w:p w:rsidR="00826F6D" w:rsidRPr="00906477" w:rsidRDefault="00826F6D" w:rsidP="00EB0B63">
            <w:pPr>
              <w:keepNext/>
              <w:spacing w:before="40" w:after="40"/>
              <w:jc w:val="both"/>
              <w:rPr>
                <w:rFonts w:ascii="Arial Narrow" w:hAnsi="Arial Narrow" w:cs="Arial"/>
                <w:b/>
                <w:sz w:val="20"/>
                <w:szCs w:val="20"/>
              </w:rPr>
            </w:pPr>
            <w:r w:rsidRPr="00906477">
              <w:rPr>
                <w:rFonts w:ascii="Arial Narrow" w:hAnsi="Arial Narrow" w:cs="Arial"/>
                <w:b/>
                <w:sz w:val="20"/>
                <w:szCs w:val="20"/>
              </w:rPr>
              <w:t>№.of</w:t>
            </w:r>
          </w:p>
          <w:p w:rsidR="00826F6D" w:rsidRPr="00906477" w:rsidRDefault="00826F6D" w:rsidP="00EB0B63">
            <w:pPr>
              <w:keepNext/>
              <w:spacing w:before="40" w:after="40"/>
              <w:jc w:val="both"/>
              <w:rPr>
                <w:rFonts w:ascii="Arial Narrow" w:hAnsi="Arial Narrow" w:cs="Arial"/>
                <w:b/>
                <w:sz w:val="20"/>
                <w:szCs w:val="20"/>
              </w:rPr>
            </w:pPr>
            <w:proofErr w:type="spellStart"/>
            <w:r w:rsidRPr="00906477">
              <w:rPr>
                <w:rFonts w:ascii="Arial Narrow" w:hAnsi="Arial Narrow" w:cs="Arial"/>
                <w:b/>
                <w:sz w:val="20"/>
                <w:szCs w:val="20"/>
              </w:rPr>
              <w:t>Rpts</w:t>
            </w:r>
            <w:proofErr w:type="spellEnd"/>
          </w:p>
        </w:tc>
        <w:tc>
          <w:tcPr>
            <w:tcW w:w="1113" w:type="pct"/>
            <w:tcBorders>
              <w:top w:val="single" w:sz="4" w:space="0" w:color="auto"/>
              <w:bottom w:val="single" w:sz="4" w:space="0" w:color="auto"/>
            </w:tcBorders>
          </w:tcPr>
          <w:p w:rsidR="00826F6D" w:rsidRPr="00906477" w:rsidRDefault="00826F6D" w:rsidP="008D2F5B">
            <w:pPr>
              <w:keepNext/>
              <w:spacing w:before="40" w:after="40"/>
              <w:jc w:val="both"/>
              <w:rPr>
                <w:rFonts w:ascii="Arial Narrow" w:hAnsi="Arial Narrow" w:cs="Arial"/>
                <w:b/>
                <w:sz w:val="20"/>
                <w:szCs w:val="20"/>
              </w:rPr>
            </w:pPr>
            <w:r w:rsidRPr="00906477">
              <w:rPr>
                <w:rFonts w:ascii="Arial Narrow" w:hAnsi="Arial Narrow" w:cs="Arial"/>
                <w:b/>
                <w:sz w:val="20"/>
                <w:szCs w:val="20"/>
              </w:rPr>
              <w:t xml:space="preserve">Dispensed Price for Max. </w:t>
            </w:r>
            <w:r w:rsidR="008D2F5B" w:rsidRPr="00906477">
              <w:rPr>
                <w:rFonts w:ascii="Arial Narrow" w:hAnsi="Arial Narrow" w:cs="Arial"/>
                <w:b/>
                <w:sz w:val="20"/>
                <w:szCs w:val="20"/>
              </w:rPr>
              <w:t>Amount</w:t>
            </w:r>
          </w:p>
        </w:tc>
        <w:tc>
          <w:tcPr>
            <w:tcW w:w="1325" w:type="pct"/>
            <w:gridSpan w:val="2"/>
            <w:tcBorders>
              <w:top w:val="single" w:sz="4" w:space="0" w:color="auto"/>
              <w:bottom w:val="single" w:sz="4" w:space="0" w:color="auto"/>
            </w:tcBorders>
          </w:tcPr>
          <w:p w:rsidR="00826F6D" w:rsidRPr="00614307" w:rsidRDefault="00826F6D" w:rsidP="00EB0B63">
            <w:pPr>
              <w:keepNext/>
              <w:spacing w:before="40" w:after="40"/>
              <w:jc w:val="both"/>
              <w:rPr>
                <w:rFonts w:ascii="Arial Narrow" w:hAnsi="Arial Narrow" w:cs="Arial"/>
                <w:b/>
                <w:sz w:val="20"/>
                <w:szCs w:val="20"/>
              </w:rPr>
            </w:pPr>
            <w:r w:rsidRPr="00906477">
              <w:rPr>
                <w:rFonts w:ascii="Arial Narrow" w:hAnsi="Arial Narrow" w:cs="Arial"/>
                <w:b/>
                <w:sz w:val="20"/>
                <w:szCs w:val="20"/>
              </w:rPr>
              <w:t>Proprietary Name and Manufacturer</w:t>
            </w:r>
          </w:p>
        </w:tc>
      </w:tr>
      <w:tr w:rsidR="00163329" w:rsidRPr="00906477" w:rsidTr="00E55694">
        <w:trPr>
          <w:cantSplit/>
          <w:trHeight w:val="567"/>
        </w:trPr>
        <w:tc>
          <w:tcPr>
            <w:tcW w:w="1768" w:type="pct"/>
            <w:tcBorders>
              <w:top w:val="single" w:sz="4" w:space="0" w:color="auto"/>
              <w:bottom w:val="single" w:sz="4" w:space="0" w:color="auto"/>
            </w:tcBorders>
          </w:tcPr>
          <w:p w:rsidR="00826F6D" w:rsidRPr="00906477" w:rsidRDefault="00AF010F" w:rsidP="00EB0B63">
            <w:pPr>
              <w:keepNext/>
              <w:spacing w:before="40" w:after="40"/>
              <w:jc w:val="both"/>
              <w:rPr>
                <w:rFonts w:ascii="Arial Narrow" w:hAnsi="Arial Narrow" w:cs="Arial"/>
                <w:sz w:val="20"/>
                <w:szCs w:val="20"/>
              </w:rPr>
            </w:pPr>
            <w:r w:rsidRPr="00906477">
              <w:rPr>
                <w:rFonts w:ascii="Arial Narrow" w:hAnsi="Arial Narrow" w:cs="Arial"/>
                <w:smallCaps/>
                <w:sz w:val="20"/>
                <w:szCs w:val="20"/>
              </w:rPr>
              <w:t>rituximab</w:t>
            </w:r>
          </w:p>
          <w:p w:rsidR="00826F6D" w:rsidRPr="00906477" w:rsidRDefault="008D2F5B" w:rsidP="00EB0B63">
            <w:pPr>
              <w:keepNext/>
              <w:spacing w:before="40" w:after="40"/>
              <w:jc w:val="both"/>
              <w:rPr>
                <w:rFonts w:ascii="Arial Narrow" w:hAnsi="Arial Narrow" w:cs="Arial"/>
                <w:sz w:val="20"/>
                <w:szCs w:val="20"/>
              </w:rPr>
            </w:pPr>
            <w:r w:rsidRPr="00906477">
              <w:rPr>
                <w:rFonts w:ascii="Arial Narrow" w:hAnsi="Arial Narrow" w:cs="Arial"/>
                <w:sz w:val="20"/>
                <w:szCs w:val="20"/>
              </w:rPr>
              <w:t>100 mg/10 mL injection, 2 x 10 mL vial</w:t>
            </w:r>
          </w:p>
          <w:p w:rsidR="008D2F5B" w:rsidRPr="00906477" w:rsidRDefault="008D2F5B" w:rsidP="00EB0B63">
            <w:pPr>
              <w:keepNext/>
              <w:spacing w:before="40" w:after="40"/>
              <w:jc w:val="both"/>
              <w:rPr>
                <w:rFonts w:ascii="Arial Narrow" w:hAnsi="Arial Narrow" w:cs="Arial"/>
                <w:sz w:val="20"/>
                <w:szCs w:val="20"/>
              </w:rPr>
            </w:pPr>
            <w:r w:rsidRPr="00906477">
              <w:rPr>
                <w:rFonts w:ascii="Arial Narrow" w:hAnsi="Arial Narrow" w:cs="Arial"/>
                <w:sz w:val="20"/>
                <w:szCs w:val="20"/>
              </w:rPr>
              <w:t>500 mg/50 mL injection, 50</w:t>
            </w:r>
            <w:r w:rsidR="00CA30A6" w:rsidRPr="00906477">
              <w:rPr>
                <w:rFonts w:ascii="Arial Narrow" w:hAnsi="Arial Narrow" w:cs="Arial"/>
                <w:sz w:val="20"/>
                <w:szCs w:val="20"/>
              </w:rPr>
              <w:t xml:space="preserve"> </w:t>
            </w:r>
            <w:r w:rsidRPr="00906477">
              <w:rPr>
                <w:rFonts w:ascii="Arial Narrow" w:hAnsi="Arial Narrow" w:cs="Arial"/>
                <w:sz w:val="20"/>
                <w:szCs w:val="20"/>
              </w:rPr>
              <w:t>mL vial</w:t>
            </w:r>
          </w:p>
        </w:tc>
        <w:tc>
          <w:tcPr>
            <w:tcW w:w="456" w:type="pct"/>
            <w:tcBorders>
              <w:top w:val="single" w:sz="4" w:space="0" w:color="auto"/>
              <w:bottom w:val="single" w:sz="4" w:space="0" w:color="auto"/>
            </w:tcBorders>
          </w:tcPr>
          <w:p w:rsidR="00826F6D" w:rsidRPr="00906477" w:rsidRDefault="00826F6D" w:rsidP="00EB0B63">
            <w:pPr>
              <w:keepNext/>
              <w:spacing w:before="40" w:after="40"/>
              <w:jc w:val="both"/>
              <w:rPr>
                <w:rFonts w:ascii="Arial Narrow" w:hAnsi="Arial Narrow" w:cs="Arial"/>
                <w:sz w:val="20"/>
                <w:szCs w:val="20"/>
              </w:rPr>
            </w:pPr>
          </w:p>
          <w:p w:rsidR="00826F6D" w:rsidRPr="00906477" w:rsidRDefault="008D2F5B" w:rsidP="00EB0B63">
            <w:pPr>
              <w:keepNext/>
              <w:spacing w:before="40" w:after="40"/>
              <w:jc w:val="both"/>
              <w:rPr>
                <w:rFonts w:ascii="Arial Narrow" w:hAnsi="Arial Narrow" w:cs="Arial"/>
                <w:sz w:val="20"/>
                <w:szCs w:val="20"/>
              </w:rPr>
            </w:pPr>
            <w:r w:rsidRPr="00906477">
              <w:rPr>
                <w:rFonts w:ascii="Arial Narrow" w:hAnsi="Arial Narrow" w:cs="Arial"/>
                <w:sz w:val="20"/>
                <w:szCs w:val="20"/>
              </w:rPr>
              <w:t>800 mg</w:t>
            </w:r>
          </w:p>
        </w:tc>
        <w:tc>
          <w:tcPr>
            <w:tcW w:w="338" w:type="pct"/>
            <w:tcBorders>
              <w:top w:val="single" w:sz="4" w:space="0" w:color="auto"/>
              <w:bottom w:val="single" w:sz="4" w:space="0" w:color="auto"/>
            </w:tcBorders>
          </w:tcPr>
          <w:p w:rsidR="00826F6D" w:rsidRPr="00906477" w:rsidRDefault="00826F6D" w:rsidP="00EB0B63">
            <w:pPr>
              <w:keepNext/>
              <w:spacing w:before="40" w:after="40"/>
              <w:jc w:val="both"/>
              <w:rPr>
                <w:rFonts w:ascii="Arial Narrow" w:hAnsi="Arial Narrow" w:cs="Arial"/>
                <w:sz w:val="20"/>
                <w:szCs w:val="20"/>
              </w:rPr>
            </w:pPr>
          </w:p>
          <w:p w:rsidR="00A57860" w:rsidRPr="00906477" w:rsidRDefault="008D2F5B" w:rsidP="00EB0B63">
            <w:pPr>
              <w:keepNext/>
              <w:spacing w:before="40" w:after="40"/>
              <w:jc w:val="both"/>
              <w:rPr>
                <w:rFonts w:ascii="Arial Narrow" w:hAnsi="Arial Narrow" w:cs="Arial"/>
                <w:sz w:val="20"/>
                <w:szCs w:val="20"/>
              </w:rPr>
            </w:pPr>
            <w:r w:rsidRPr="00906477">
              <w:rPr>
                <w:rFonts w:ascii="Arial Narrow" w:hAnsi="Arial Narrow" w:cs="Arial"/>
                <w:sz w:val="20"/>
                <w:szCs w:val="20"/>
              </w:rPr>
              <w:t>7</w:t>
            </w:r>
          </w:p>
          <w:p w:rsidR="008D2F5B" w:rsidRPr="00906477" w:rsidRDefault="008D2F5B" w:rsidP="00EB0B63">
            <w:pPr>
              <w:keepNext/>
              <w:spacing w:before="40" w:after="40"/>
              <w:jc w:val="both"/>
              <w:rPr>
                <w:rFonts w:ascii="Arial Narrow" w:hAnsi="Arial Narrow" w:cs="Arial"/>
                <w:sz w:val="20"/>
                <w:szCs w:val="20"/>
              </w:rPr>
            </w:pPr>
            <w:r w:rsidRPr="00906477">
              <w:rPr>
                <w:rFonts w:ascii="Arial Narrow" w:hAnsi="Arial Narrow" w:cs="Arial"/>
                <w:sz w:val="20"/>
                <w:szCs w:val="20"/>
              </w:rPr>
              <w:t>11</w:t>
            </w:r>
          </w:p>
        </w:tc>
        <w:tc>
          <w:tcPr>
            <w:tcW w:w="1113" w:type="pct"/>
            <w:tcBorders>
              <w:top w:val="single" w:sz="4" w:space="0" w:color="auto"/>
              <w:bottom w:val="single" w:sz="4" w:space="0" w:color="auto"/>
            </w:tcBorders>
          </w:tcPr>
          <w:p w:rsidR="00826F6D" w:rsidRPr="00906477" w:rsidRDefault="00826F6D" w:rsidP="00EB0B63">
            <w:pPr>
              <w:keepNext/>
              <w:spacing w:before="40" w:after="40"/>
              <w:jc w:val="both"/>
              <w:rPr>
                <w:rFonts w:ascii="Arial Narrow" w:hAnsi="Arial Narrow" w:cs="Arial"/>
                <w:sz w:val="20"/>
                <w:szCs w:val="20"/>
              </w:rPr>
            </w:pPr>
          </w:p>
          <w:p w:rsidR="00A57860" w:rsidRPr="00906477" w:rsidRDefault="00E25CCB" w:rsidP="00CA30A6">
            <w:pPr>
              <w:keepNext/>
              <w:spacing w:before="40" w:after="40"/>
              <w:rPr>
                <w:rFonts w:ascii="Arial Narrow" w:hAnsi="Arial Narrow" w:cs="Arial"/>
                <w:sz w:val="20"/>
                <w:szCs w:val="20"/>
              </w:rPr>
            </w:pPr>
            <w:r w:rsidRPr="00906477">
              <w:rPr>
                <w:rFonts w:ascii="Arial Narrow" w:hAnsi="Arial Narrow" w:cs="Arial"/>
                <w:sz w:val="20"/>
                <w:szCs w:val="20"/>
              </w:rPr>
              <w:t xml:space="preserve">Refer </w:t>
            </w:r>
            <w:r w:rsidR="0066326C" w:rsidRPr="00906477">
              <w:rPr>
                <w:rFonts w:ascii="Arial Narrow" w:hAnsi="Arial Narrow" w:cs="Arial"/>
                <w:sz w:val="20"/>
                <w:szCs w:val="20"/>
              </w:rPr>
              <w:t>to T</w:t>
            </w:r>
            <w:r w:rsidR="0028378C">
              <w:rPr>
                <w:rFonts w:ascii="Arial Narrow" w:hAnsi="Arial Narrow" w:cs="Arial"/>
                <w:sz w:val="20"/>
                <w:szCs w:val="20"/>
              </w:rPr>
              <w:t>able 2</w:t>
            </w:r>
          </w:p>
        </w:tc>
        <w:tc>
          <w:tcPr>
            <w:tcW w:w="572" w:type="pct"/>
            <w:tcBorders>
              <w:top w:val="single" w:sz="4" w:space="0" w:color="auto"/>
              <w:bottom w:val="single" w:sz="4" w:space="0" w:color="auto"/>
            </w:tcBorders>
          </w:tcPr>
          <w:p w:rsidR="00C27B58" w:rsidRPr="00906477" w:rsidRDefault="00C27B58" w:rsidP="00EB0B63">
            <w:pPr>
              <w:keepNext/>
              <w:spacing w:before="40" w:after="40"/>
              <w:jc w:val="both"/>
              <w:rPr>
                <w:rFonts w:ascii="Arial Narrow" w:hAnsi="Arial Narrow" w:cs="Arial"/>
                <w:sz w:val="20"/>
                <w:szCs w:val="20"/>
              </w:rPr>
            </w:pPr>
          </w:p>
          <w:p w:rsidR="00826F6D" w:rsidRPr="00906477" w:rsidRDefault="008D2F5B" w:rsidP="008D2F5B">
            <w:pPr>
              <w:keepNext/>
              <w:spacing w:before="40" w:after="40"/>
              <w:jc w:val="both"/>
              <w:rPr>
                <w:rFonts w:ascii="Arial Narrow" w:hAnsi="Arial Narrow" w:cs="Arial"/>
                <w:sz w:val="20"/>
                <w:szCs w:val="20"/>
              </w:rPr>
            </w:pPr>
            <w:proofErr w:type="spellStart"/>
            <w:r w:rsidRPr="00906477">
              <w:rPr>
                <w:rFonts w:ascii="Arial Narrow" w:hAnsi="Arial Narrow" w:cs="Arial"/>
                <w:sz w:val="20"/>
                <w:szCs w:val="20"/>
              </w:rPr>
              <w:t>Truxima</w:t>
            </w:r>
            <w:proofErr w:type="spellEnd"/>
            <w:r w:rsidRPr="00906477">
              <w:rPr>
                <w:rFonts w:ascii="Arial Narrow" w:hAnsi="Arial Narrow" w:cs="Arial"/>
                <w:sz w:val="20"/>
                <w:szCs w:val="20"/>
              </w:rPr>
              <w:t>®</w:t>
            </w:r>
          </w:p>
        </w:tc>
        <w:tc>
          <w:tcPr>
            <w:tcW w:w="753" w:type="pct"/>
            <w:tcBorders>
              <w:top w:val="single" w:sz="4" w:space="0" w:color="auto"/>
              <w:bottom w:val="single" w:sz="4" w:space="0" w:color="auto"/>
            </w:tcBorders>
          </w:tcPr>
          <w:p w:rsidR="00C27B58" w:rsidRPr="00906477" w:rsidRDefault="00C27B58" w:rsidP="00EB0B63">
            <w:pPr>
              <w:keepNext/>
              <w:spacing w:before="40" w:after="40"/>
              <w:jc w:val="both"/>
              <w:rPr>
                <w:rFonts w:ascii="Arial Narrow" w:hAnsi="Arial Narrow" w:cs="Arial"/>
                <w:sz w:val="20"/>
                <w:szCs w:val="20"/>
              </w:rPr>
            </w:pPr>
          </w:p>
          <w:p w:rsidR="00826F6D" w:rsidRPr="00906477" w:rsidRDefault="008D2F5B" w:rsidP="00EB0B63">
            <w:pPr>
              <w:keepNext/>
              <w:spacing w:before="40" w:after="40"/>
              <w:jc w:val="both"/>
              <w:rPr>
                <w:rFonts w:ascii="Arial Narrow" w:hAnsi="Arial Narrow" w:cs="Arial"/>
                <w:sz w:val="20"/>
                <w:szCs w:val="20"/>
              </w:rPr>
            </w:pPr>
            <w:proofErr w:type="spellStart"/>
            <w:r w:rsidRPr="00906477">
              <w:rPr>
                <w:rFonts w:ascii="Arial Narrow" w:hAnsi="Arial Narrow" w:cs="Arial"/>
                <w:sz w:val="20"/>
                <w:szCs w:val="20"/>
              </w:rPr>
              <w:t>Celltrion</w:t>
            </w:r>
            <w:proofErr w:type="spellEnd"/>
            <w:r w:rsidRPr="00906477">
              <w:rPr>
                <w:rFonts w:ascii="Arial Narrow" w:hAnsi="Arial Narrow" w:cs="Arial"/>
                <w:sz w:val="20"/>
                <w:szCs w:val="20"/>
              </w:rPr>
              <w:t xml:space="preserve"> Healthcare Australia Pty ltd</w:t>
            </w:r>
          </w:p>
        </w:tc>
      </w:tr>
    </w:tbl>
    <w:p w:rsidR="003D2436" w:rsidRPr="00906477" w:rsidRDefault="00CB7342" w:rsidP="003E77D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 xml:space="preserve">The PBAC noted </w:t>
      </w:r>
      <w:r w:rsidR="00501D58" w:rsidRPr="00906477">
        <w:rPr>
          <w:rFonts w:asciiTheme="minorHAnsi" w:eastAsiaTheme="minorHAnsi" w:hAnsiTheme="minorHAnsi" w:cstheme="minorBidi"/>
          <w:snapToGrid/>
          <w:sz w:val="24"/>
          <w:szCs w:val="22"/>
        </w:rPr>
        <w:t>th</w:t>
      </w:r>
      <w:r w:rsidR="008B44F2" w:rsidRPr="00906477">
        <w:rPr>
          <w:rFonts w:asciiTheme="minorHAnsi" w:eastAsiaTheme="minorHAnsi" w:hAnsiTheme="minorHAnsi" w:cstheme="minorBidi"/>
          <w:snapToGrid/>
          <w:sz w:val="24"/>
          <w:szCs w:val="22"/>
        </w:rPr>
        <w:t>e sponsor</w:t>
      </w:r>
      <w:r w:rsidR="00501D58" w:rsidRPr="00906477">
        <w:rPr>
          <w:rFonts w:asciiTheme="minorHAnsi" w:eastAsiaTheme="minorHAnsi" w:hAnsiTheme="minorHAnsi" w:cstheme="minorBidi"/>
          <w:snapToGrid/>
          <w:sz w:val="24"/>
          <w:szCs w:val="22"/>
        </w:rPr>
        <w:t xml:space="preserve"> sought TGA </w:t>
      </w:r>
      <w:r w:rsidR="0011752B" w:rsidRPr="00906477">
        <w:rPr>
          <w:rFonts w:asciiTheme="minorHAnsi" w:eastAsiaTheme="minorHAnsi" w:hAnsiTheme="minorHAnsi" w:cstheme="minorBidi"/>
          <w:snapToGrid/>
          <w:sz w:val="24"/>
          <w:szCs w:val="22"/>
        </w:rPr>
        <w:t>registration for four brands of</w:t>
      </w:r>
      <w:r w:rsidR="00EE63E2" w:rsidRPr="00906477">
        <w:rPr>
          <w:rFonts w:asciiTheme="minorHAnsi" w:eastAsiaTheme="minorHAnsi" w:hAnsiTheme="minorHAnsi" w:cstheme="minorBidi"/>
          <w:snapToGrid/>
          <w:sz w:val="24"/>
          <w:szCs w:val="22"/>
        </w:rPr>
        <w:t xml:space="preserve"> its</w:t>
      </w:r>
      <w:r w:rsidR="0011752B" w:rsidRPr="00906477">
        <w:rPr>
          <w:rFonts w:asciiTheme="minorHAnsi" w:eastAsiaTheme="minorHAnsi" w:hAnsiTheme="minorHAnsi" w:cstheme="minorBidi"/>
          <w:snapToGrid/>
          <w:sz w:val="24"/>
          <w:szCs w:val="22"/>
        </w:rPr>
        <w:t xml:space="preserve"> biosimilar rituximab</w:t>
      </w:r>
      <w:r w:rsidRPr="00906477">
        <w:rPr>
          <w:rFonts w:asciiTheme="minorHAnsi" w:eastAsiaTheme="minorHAnsi" w:hAnsiTheme="minorHAnsi" w:cstheme="minorBidi"/>
          <w:snapToGrid/>
          <w:sz w:val="24"/>
          <w:szCs w:val="22"/>
        </w:rPr>
        <w:t xml:space="preserve"> </w:t>
      </w:r>
      <w:r w:rsidR="008B5DB6" w:rsidRPr="00906477">
        <w:rPr>
          <w:rFonts w:asciiTheme="minorHAnsi" w:eastAsiaTheme="minorHAnsi" w:hAnsiTheme="minorHAnsi" w:cstheme="minorBidi"/>
          <w:snapToGrid/>
          <w:sz w:val="24"/>
          <w:szCs w:val="22"/>
        </w:rPr>
        <w:t>(i.e. the same drug with four brand names</w:t>
      </w:r>
      <w:r w:rsidR="00F35501" w:rsidRPr="00906477">
        <w:rPr>
          <w:rFonts w:asciiTheme="minorHAnsi" w:eastAsiaTheme="minorHAnsi" w:hAnsiTheme="minorHAnsi" w:cstheme="minorBidi"/>
          <w:snapToGrid/>
          <w:sz w:val="24"/>
          <w:szCs w:val="22"/>
        </w:rPr>
        <w:t>,</w:t>
      </w:r>
      <w:r w:rsidR="005C0033" w:rsidRPr="00906477">
        <w:rPr>
          <w:rFonts w:asciiTheme="minorHAnsi" w:eastAsiaTheme="minorHAnsi" w:hAnsiTheme="minorHAnsi" w:cstheme="minorBidi"/>
          <w:snapToGrid/>
          <w:sz w:val="24"/>
          <w:szCs w:val="22"/>
        </w:rPr>
        <w:t xml:space="preserve"> including </w:t>
      </w:r>
      <w:proofErr w:type="spellStart"/>
      <w:r w:rsidR="00EE63E2" w:rsidRPr="00906477">
        <w:rPr>
          <w:rFonts w:asciiTheme="minorHAnsi" w:eastAsiaTheme="minorHAnsi" w:hAnsiTheme="minorHAnsi" w:cstheme="minorBidi"/>
          <w:snapToGrid/>
          <w:sz w:val="24"/>
          <w:szCs w:val="22"/>
        </w:rPr>
        <w:t>Tuxella</w:t>
      </w:r>
      <w:proofErr w:type="spellEnd"/>
      <w:r w:rsidR="00C24B87" w:rsidRPr="00906477">
        <w:rPr>
          <w:rFonts w:asciiTheme="minorHAnsi" w:eastAsiaTheme="minorHAnsi" w:hAnsiTheme="minorHAnsi" w:cstheme="minorBidi"/>
          <w:snapToGrid/>
          <w:sz w:val="24"/>
          <w:szCs w:val="22"/>
        </w:rPr>
        <w:t>®</w:t>
      </w:r>
      <w:r w:rsidR="00EE63E2" w:rsidRPr="00906477">
        <w:rPr>
          <w:rFonts w:asciiTheme="minorHAnsi" w:eastAsiaTheme="minorHAnsi" w:hAnsiTheme="minorHAnsi" w:cstheme="minorBidi"/>
          <w:snapToGrid/>
          <w:sz w:val="24"/>
          <w:szCs w:val="22"/>
        </w:rPr>
        <w:t xml:space="preserve">, </w:t>
      </w:r>
      <w:proofErr w:type="spellStart"/>
      <w:r w:rsidR="00EE63E2" w:rsidRPr="00906477">
        <w:rPr>
          <w:rFonts w:asciiTheme="minorHAnsi" w:eastAsiaTheme="minorHAnsi" w:hAnsiTheme="minorHAnsi" w:cstheme="minorBidi"/>
          <w:snapToGrid/>
          <w:sz w:val="24"/>
          <w:szCs w:val="22"/>
        </w:rPr>
        <w:t>Rituzena</w:t>
      </w:r>
      <w:proofErr w:type="spellEnd"/>
      <w:r w:rsidR="00C24B87" w:rsidRPr="00906477">
        <w:rPr>
          <w:rFonts w:asciiTheme="minorHAnsi" w:eastAsiaTheme="minorHAnsi" w:hAnsiTheme="minorHAnsi" w:cstheme="minorBidi"/>
          <w:snapToGrid/>
          <w:sz w:val="24"/>
          <w:szCs w:val="22"/>
        </w:rPr>
        <w:t>®</w:t>
      </w:r>
      <w:r w:rsidR="00EE63E2" w:rsidRPr="00906477">
        <w:rPr>
          <w:rFonts w:asciiTheme="minorHAnsi" w:eastAsiaTheme="minorHAnsi" w:hAnsiTheme="minorHAnsi" w:cstheme="minorBidi"/>
          <w:snapToGrid/>
          <w:sz w:val="24"/>
          <w:szCs w:val="22"/>
        </w:rPr>
        <w:t xml:space="preserve">, </w:t>
      </w:r>
      <w:proofErr w:type="spellStart"/>
      <w:proofErr w:type="gramStart"/>
      <w:r w:rsidR="00EE63E2" w:rsidRPr="00906477">
        <w:rPr>
          <w:rFonts w:asciiTheme="minorHAnsi" w:eastAsiaTheme="minorHAnsi" w:hAnsiTheme="minorHAnsi" w:cstheme="minorBidi"/>
          <w:snapToGrid/>
          <w:sz w:val="24"/>
          <w:szCs w:val="22"/>
        </w:rPr>
        <w:t>Ritemvia</w:t>
      </w:r>
      <w:proofErr w:type="spellEnd"/>
      <w:proofErr w:type="gramEnd"/>
      <w:r w:rsidR="00C24B87" w:rsidRPr="00906477">
        <w:rPr>
          <w:rFonts w:asciiTheme="minorHAnsi" w:eastAsiaTheme="minorHAnsi" w:hAnsiTheme="minorHAnsi" w:cstheme="minorBidi"/>
          <w:snapToGrid/>
          <w:sz w:val="24"/>
          <w:szCs w:val="22"/>
        </w:rPr>
        <w:t>®</w:t>
      </w:r>
      <w:r w:rsidR="00EE63E2" w:rsidRPr="00906477">
        <w:rPr>
          <w:rFonts w:asciiTheme="minorHAnsi" w:eastAsiaTheme="minorHAnsi" w:hAnsiTheme="minorHAnsi" w:cstheme="minorBidi"/>
          <w:snapToGrid/>
          <w:sz w:val="24"/>
          <w:szCs w:val="22"/>
        </w:rPr>
        <w:t xml:space="preserve"> in </w:t>
      </w:r>
      <w:r w:rsidR="00C24B87" w:rsidRPr="00906477">
        <w:rPr>
          <w:rFonts w:asciiTheme="minorHAnsi" w:eastAsiaTheme="minorHAnsi" w:hAnsiTheme="minorHAnsi" w:cstheme="minorBidi"/>
          <w:snapToGrid/>
          <w:sz w:val="24"/>
          <w:szCs w:val="22"/>
        </w:rPr>
        <w:t xml:space="preserve">addition to </w:t>
      </w:r>
      <w:proofErr w:type="spellStart"/>
      <w:r w:rsidR="005C0033" w:rsidRPr="00906477">
        <w:rPr>
          <w:rFonts w:asciiTheme="minorHAnsi" w:eastAsiaTheme="minorHAnsi" w:hAnsiTheme="minorHAnsi" w:cstheme="minorBidi"/>
          <w:snapToGrid/>
          <w:sz w:val="24"/>
          <w:szCs w:val="22"/>
        </w:rPr>
        <w:t>Truxima</w:t>
      </w:r>
      <w:proofErr w:type="spellEnd"/>
      <w:r w:rsidR="00C24B87" w:rsidRPr="00906477">
        <w:rPr>
          <w:rFonts w:asciiTheme="minorHAnsi" w:eastAsiaTheme="minorHAnsi" w:hAnsiTheme="minorHAnsi" w:cstheme="minorBidi"/>
          <w:snapToGrid/>
          <w:sz w:val="24"/>
          <w:szCs w:val="22"/>
        </w:rPr>
        <w:t>®</w:t>
      </w:r>
      <w:r w:rsidR="008B5DB6" w:rsidRPr="00906477">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These </w:t>
      </w:r>
      <w:r w:rsidR="008B5DB6" w:rsidRPr="00906477">
        <w:rPr>
          <w:rFonts w:asciiTheme="minorHAnsi" w:eastAsiaTheme="minorHAnsi" w:hAnsiTheme="minorHAnsi" w:cstheme="minorBidi"/>
          <w:snapToGrid/>
          <w:sz w:val="24"/>
          <w:szCs w:val="22"/>
        </w:rPr>
        <w:t xml:space="preserve">brands of </w:t>
      </w:r>
      <w:r w:rsidR="00EE63E2" w:rsidRPr="00906477">
        <w:rPr>
          <w:rFonts w:asciiTheme="minorHAnsi" w:eastAsiaTheme="minorHAnsi" w:hAnsiTheme="minorHAnsi" w:cstheme="minorBidi"/>
          <w:snapToGrid/>
          <w:sz w:val="24"/>
          <w:szCs w:val="22"/>
        </w:rPr>
        <w:t xml:space="preserve">the </w:t>
      </w:r>
      <w:r w:rsidRPr="00906477">
        <w:rPr>
          <w:rFonts w:asciiTheme="minorHAnsi" w:eastAsiaTheme="minorHAnsi" w:hAnsiTheme="minorHAnsi" w:cstheme="minorBidi"/>
          <w:snapToGrid/>
          <w:sz w:val="24"/>
          <w:szCs w:val="22"/>
        </w:rPr>
        <w:t xml:space="preserve">biosimilar </w:t>
      </w:r>
      <w:proofErr w:type="gramStart"/>
      <w:r w:rsidRPr="00906477">
        <w:rPr>
          <w:rFonts w:asciiTheme="minorHAnsi" w:eastAsiaTheme="minorHAnsi" w:hAnsiTheme="minorHAnsi" w:cstheme="minorBidi"/>
          <w:snapToGrid/>
          <w:sz w:val="24"/>
          <w:szCs w:val="22"/>
        </w:rPr>
        <w:t xml:space="preserve">are </w:t>
      </w:r>
      <w:r w:rsidR="008B5DB6" w:rsidRPr="00906477">
        <w:rPr>
          <w:rFonts w:asciiTheme="minorHAnsi" w:eastAsiaTheme="minorHAnsi" w:hAnsiTheme="minorHAnsi" w:cstheme="minorBidi"/>
          <w:snapToGrid/>
          <w:sz w:val="24"/>
          <w:szCs w:val="22"/>
        </w:rPr>
        <w:t>registered</w:t>
      </w:r>
      <w:proofErr w:type="gramEnd"/>
      <w:r w:rsidR="008B5DB6" w:rsidRPr="00906477">
        <w:rPr>
          <w:rFonts w:asciiTheme="minorHAnsi" w:eastAsiaTheme="minorHAnsi" w:hAnsiTheme="minorHAnsi" w:cstheme="minorBidi"/>
          <w:snapToGrid/>
          <w:sz w:val="24"/>
          <w:szCs w:val="22"/>
        </w:rPr>
        <w:t xml:space="preserve"> </w:t>
      </w:r>
      <w:r w:rsidR="0011752B" w:rsidRPr="00906477">
        <w:rPr>
          <w:rFonts w:asciiTheme="minorHAnsi" w:eastAsiaTheme="minorHAnsi" w:hAnsiTheme="minorHAnsi" w:cstheme="minorBidi"/>
          <w:snapToGrid/>
          <w:sz w:val="24"/>
          <w:szCs w:val="22"/>
        </w:rPr>
        <w:t xml:space="preserve">for </w:t>
      </w:r>
      <w:r w:rsidR="008B5DB6" w:rsidRPr="00906477">
        <w:rPr>
          <w:rFonts w:asciiTheme="minorHAnsi" w:eastAsiaTheme="minorHAnsi" w:hAnsiTheme="minorHAnsi" w:cstheme="minorBidi"/>
          <w:snapToGrid/>
          <w:sz w:val="24"/>
          <w:szCs w:val="22"/>
        </w:rPr>
        <w:t>different</w:t>
      </w:r>
      <w:r w:rsidR="0011752B" w:rsidRPr="00906477">
        <w:rPr>
          <w:rFonts w:asciiTheme="minorHAnsi" w:eastAsiaTheme="minorHAnsi" w:hAnsiTheme="minorHAnsi" w:cstheme="minorBidi"/>
          <w:snapToGrid/>
          <w:sz w:val="24"/>
          <w:szCs w:val="22"/>
        </w:rPr>
        <w:t xml:space="preserve"> sets of</w:t>
      </w:r>
      <w:r w:rsidR="008B5DB6" w:rsidRPr="00906477">
        <w:rPr>
          <w:rFonts w:asciiTheme="minorHAnsi" w:eastAsiaTheme="minorHAnsi" w:hAnsiTheme="minorHAnsi" w:cstheme="minorBidi"/>
          <w:snapToGrid/>
          <w:sz w:val="24"/>
          <w:szCs w:val="22"/>
        </w:rPr>
        <w:t xml:space="preserve"> indications. </w:t>
      </w:r>
    </w:p>
    <w:p w:rsidR="0056361F" w:rsidRPr="00906477" w:rsidRDefault="005C0033" w:rsidP="003E77D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lastRenderedPageBreak/>
        <w:t>T</w:t>
      </w:r>
      <w:r w:rsidR="003D2436" w:rsidRPr="00906477">
        <w:rPr>
          <w:rFonts w:asciiTheme="minorHAnsi" w:eastAsiaTheme="minorHAnsi" w:hAnsiTheme="minorHAnsi" w:cstheme="minorBidi"/>
          <w:snapToGrid/>
          <w:sz w:val="24"/>
          <w:szCs w:val="22"/>
        </w:rPr>
        <w:t xml:space="preserve">he </w:t>
      </w:r>
      <w:r w:rsidR="00F35501" w:rsidRPr="00906477">
        <w:rPr>
          <w:rFonts w:asciiTheme="minorHAnsi" w:eastAsiaTheme="minorHAnsi" w:hAnsiTheme="minorHAnsi" w:cstheme="minorBidi"/>
          <w:snapToGrid/>
          <w:sz w:val="24"/>
          <w:szCs w:val="22"/>
        </w:rPr>
        <w:t xml:space="preserve">PBAC noted advice from the </w:t>
      </w:r>
      <w:r w:rsidR="003D2436" w:rsidRPr="00906477">
        <w:rPr>
          <w:rFonts w:asciiTheme="minorHAnsi" w:eastAsiaTheme="minorHAnsi" w:hAnsiTheme="minorHAnsi" w:cstheme="minorBidi"/>
          <w:snapToGrid/>
          <w:sz w:val="24"/>
          <w:szCs w:val="22"/>
        </w:rPr>
        <w:t xml:space="preserve">sponsor </w:t>
      </w:r>
      <w:r w:rsidR="00F35501" w:rsidRPr="00906477">
        <w:rPr>
          <w:rFonts w:asciiTheme="minorHAnsi" w:eastAsiaTheme="minorHAnsi" w:hAnsiTheme="minorHAnsi" w:cstheme="minorBidi"/>
          <w:snapToGrid/>
          <w:sz w:val="24"/>
          <w:szCs w:val="22"/>
        </w:rPr>
        <w:t xml:space="preserve">that </w:t>
      </w:r>
      <w:r w:rsidR="0031455E" w:rsidRPr="00906477">
        <w:rPr>
          <w:rFonts w:asciiTheme="minorHAnsi" w:eastAsiaTheme="minorHAnsi" w:hAnsiTheme="minorHAnsi" w:cstheme="minorBidi"/>
          <w:snapToGrid/>
          <w:sz w:val="24"/>
          <w:szCs w:val="22"/>
        </w:rPr>
        <w:t>it is</w:t>
      </w:r>
      <w:r w:rsidR="00F35501" w:rsidRPr="00906477">
        <w:rPr>
          <w:rFonts w:asciiTheme="minorHAnsi" w:eastAsiaTheme="minorHAnsi" w:hAnsiTheme="minorHAnsi" w:cstheme="minorBidi"/>
          <w:snapToGrid/>
          <w:sz w:val="24"/>
          <w:szCs w:val="22"/>
        </w:rPr>
        <w:t xml:space="preserve"> </w:t>
      </w:r>
      <w:r w:rsidR="003D2436" w:rsidRPr="00906477">
        <w:rPr>
          <w:rFonts w:asciiTheme="minorHAnsi" w:eastAsiaTheme="minorHAnsi" w:hAnsiTheme="minorHAnsi" w:cstheme="minorBidi"/>
          <w:snapToGrid/>
          <w:sz w:val="24"/>
          <w:szCs w:val="22"/>
        </w:rPr>
        <w:t>intending to request the listing</w:t>
      </w:r>
      <w:r w:rsidR="00DC0635" w:rsidRPr="00906477">
        <w:rPr>
          <w:rFonts w:asciiTheme="minorHAnsi" w:eastAsiaTheme="minorHAnsi" w:hAnsiTheme="minorHAnsi" w:cstheme="minorBidi"/>
          <w:snapToGrid/>
          <w:sz w:val="24"/>
          <w:szCs w:val="22"/>
        </w:rPr>
        <w:t>s</w:t>
      </w:r>
      <w:r w:rsidR="003D2436" w:rsidRPr="00906477">
        <w:rPr>
          <w:rFonts w:asciiTheme="minorHAnsi" w:eastAsiaTheme="minorHAnsi" w:hAnsiTheme="minorHAnsi" w:cstheme="minorBidi"/>
          <w:snapToGrid/>
          <w:sz w:val="24"/>
          <w:szCs w:val="22"/>
        </w:rPr>
        <w:t xml:space="preserve"> of </w:t>
      </w:r>
      <w:r w:rsidR="00EE63E2" w:rsidRPr="00906477">
        <w:rPr>
          <w:rFonts w:asciiTheme="minorHAnsi" w:eastAsiaTheme="minorHAnsi" w:hAnsiTheme="minorHAnsi" w:cstheme="minorBidi"/>
          <w:snapToGrid/>
          <w:sz w:val="24"/>
          <w:szCs w:val="22"/>
        </w:rPr>
        <w:t xml:space="preserve">the </w:t>
      </w:r>
      <w:r w:rsidR="003D2436" w:rsidRPr="00906477">
        <w:rPr>
          <w:rFonts w:asciiTheme="minorHAnsi" w:eastAsiaTheme="minorHAnsi" w:hAnsiTheme="minorHAnsi" w:cstheme="minorBidi"/>
          <w:snapToGrid/>
          <w:sz w:val="24"/>
          <w:szCs w:val="22"/>
        </w:rPr>
        <w:t xml:space="preserve">different brands of </w:t>
      </w:r>
      <w:r w:rsidR="00EE63E2" w:rsidRPr="00906477">
        <w:rPr>
          <w:rFonts w:asciiTheme="minorHAnsi" w:eastAsiaTheme="minorHAnsi" w:hAnsiTheme="minorHAnsi" w:cstheme="minorBidi"/>
          <w:snapToGrid/>
          <w:sz w:val="24"/>
          <w:szCs w:val="22"/>
        </w:rPr>
        <w:t xml:space="preserve">the </w:t>
      </w:r>
      <w:r w:rsidR="003D2436" w:rsidRPr="00906477">
        <w:rPr>
          <w:rFonts w:asciiTheme="minorHAnsi" w:eastAsiaTheme="minorHAnsi" w:hAnsiTheme="minorHAnsi" w:cstheme="minorBidi"/>
          <w:snapToGrid/>
          <w:sz w:val="24"/>
          <w:szCs w:val="22"/>
        </w:rPr>
        <w:t>rituximab biosimilar</w:t>
      </w:r>
      <w:r w:rsidR="0011752B" w:rsidRPr="00906477">
        <w:rPr>
          <w:rFonts w:asciiTheme="minorHAnsi" w:eastAsiaTheme="minorHAnsi" w:hAnsiTheme="minorHAnsi" w:cstheme="minorBidi"/>
          <w:snapToGrid/>
          <w:sz w:val="24"/>
          <w:szCs w:val="22"/>
        </w:rPr>
        <w:t xml:space="preserve"> sequentially, with the fourth (and final) brand to include all PBS-listed indications for rituximab.</w:t>
      </w:r>
      <w:r w:rsidR="00DC0635" w:rsidRPr="00906477">
        <w:rPr>
          <w:rFonts w:asciiTheme="minorHAnsi" w:eastAsiaTheme="minorHAnsi" w:hAnsiTheme="minorHAnsi" w:cstheme="minorBidi"/>
          <w:snapToGrid/>
          <w:sz w:val="24"/>
          <w:szCs w:val="22"/>
        </w:rPr>
        <w:t xml:space="preserve"> </w:t>
      </w:r>
    </w:p>
    <w:p w:rsidR="0056361F" w:rsidRPr="00906477" w:rsidRDefault="00760594" w:rsidP="003E77D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As part of consideration for this biosimilar, the PBAC expressed concern regarding the complexity in prescribing</w:t>
      </w:r>
      <w:r w:rsidR="0011752B" w:rsidRPr="00906477">
        <w:rPr>
          <w:rFonts w:asciiTheme="minorHAnsi" w:eastAsiaTheme="minorHAnsi" w:hAnsiTheme="minorHAnsi" w:cstheme="minorBidi"/>
          <w:snapToGrid/>
          <w:sz w:val="24"/>
          <w:szCs w:val="22"/>
        </w:rPr>
        <w:t xml:space="preserve"> and dispensing</w:t>
      </w:r>
      <w:r w:rsidRPr="00906477">
        <w:rPr>
          <w:rFonts w:asciiTheme="minorHAnsi" w:eastAsiaTheme="minorHAnsi" w:hAnsiTheme="minorHAnsi" w:cstheme="minorBidi"/>
          <w:snapToGrid/>
          <w:sz w:val="24"/>
          <w:szCs w:val="22"/>
        </w:rPr>
        <w:t xml:space="preserve"> the same biosimilar under different brand names</w:t>
      </w:r>
      <w:r w:rsidR="0011752B" w:rsidRPr="00906477">
        <w:rPr>
          <w:rFonts w:asciiTheme="minorHAnsi" w:eastAsiaTheme="minorHAnsi" w:hAnsiTheme="minorHAnsi" w:cstheme="minorBidi"/>
          <w:snapToGrid/>
          <w:sz w:val="24"/>
          <w:szCs w:val="22"/>
        </w:rPr>
        <w:t xml:space="preserve"> </w:t>
      </w:r>
      <w:r w:rsidRPr="00906477">
        <w:rPr>
          <w:rFonts w:asciiTheme="minorHAnsi" w:eastAsiaTheme="minorHAnsi" w:hAnsiTheme="minorHAnsi" w:cstheme="minorBidi"/>
          <w:snapToGrid/>
          <w:sz w:val="24"/>
          <w:szCs w:val="22"/>
        </w:rPr>
        <w:t xml:space="preserve">with different TGA approved indications </w:t>
      </w:r>
      <w:r w:rsidR="001C5D17" w:rsidRPr="00906477">
        <w:rPr>
          <w:rFonts w:asciiTheme="minorHAnsi" w:eastAsiaTheme="minorHAnsi" w:hAnsiTheme="minorHAnsi" w:cstheme="minorBidi"/>
          <w:snapToGrid/>
          <w:sz w:val="24"/>
          <w:szCs w:val="22"/>
        </w:rPr>
        <w:t xml:space="preserve">(further detail </w:t>
      </w:r>
      <w:r w:rsidR="00AF5450" w:rsidRPr="00906477">
        <w:rPr>
          <w:rFonts w:asciiTheme="minorHAnsi" w:eastAsiaTheme="minorHAnsi" w:hAnsiTheme="minorHAnsi" w:cstheme="minorBidi"/>
          <w:snapToGrid/>
          <w:sz w:val="24"/>
          <w:szCs w:val="22"/>
        </w:rPr>
        <w:t>under “Quality Use of Medicines”</w:t>
      </w:r>
      <w:r w:rsidR="001C5D17" w:rsidRPr="00906477">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w:t>
      </w:r>
      <w:r w:rsidR="001C5D17" w:rsidRPr="00906477">
        <w:rPr>
          <w:rFonts w:asciiTheme="minorHAnsi" w:eastAsiaTheme="minorHAnsi" w:hAnsiTheme="minorHAnsi" w:cstheme="minorBidi"/>
          <w:snapToGrid/>
          <w:sz w:val="24"/>
          <w:szCs w:val="22"/>
        </w:rPr>
        <w:t xml:space="preserve"> </w:t>
      </w:r>
      <w:r w:rsidRPr="00906477">
        <w:rPr>
          <w:rFonts w:asciiTheme="minorHAnsi" w:eastAsiaTheme="minorHAnsi" w:hAnsiTheme="minorHAnsi" w:cstheme="minorBidi"/>
          <w:snapToGrid/>
          <w:sz w:val="24"/>
          <w:szCs w:val="22"/>
        </w:rPr>
        <w:t xml:space="preserve"> </w:t>
      </w:r>
    </w:p>
    <w:p w:rsidR="0058738C" w:rsidRPr="002F21BB" w:rsidRDefault="0058738C" w:rsidP="003E77D9">
      <w:pPr>
        <w:pStyle w:val="ListParagraph"/>
        <w:spacing w:before="120" w:after="120"/>
        <w:ind w:left="709"/>
        <w:rPr>
          <w:rFonts w:asciiTheme="minorHAnsi" w:hAnsiTheme="minorHAnsi"/>
          <w:i/>
          <w:sz w:val="24"/>
          <w:szCs w:val="24"/>
        </w:rPr>
      </w:pPr>
      <w:r w:rsidRPr="002F21BB">
        <w:rPr>
          <w:rFonts w:asciiTheme="minorHAnsi" w:hAnsiTheme="minorHAnsi"/>
          <w:i/>
          <w:sz w:val="24"/>
          <w:szCs w:val="24"/>
        </w:rPr>
        <w:t>For more deta</w:t>
      </w:r>
      <w:r w:rsidR="00680D17" w:rsidRPr="002F21BB">
        <w:rPr>
          <w:rFonts w:asciiTheme="minorHAnsi" w:hAnsiTheme="minorHAnsi"/>
          <w:i/>
          <w:sz w:val="24"/>
          <w:szCs w:val="24"/>
        </w:rPr>
        <w:t>il on PBAC’s view, see section 6</w:t>
      </w:r>
      <w:r w:rsidRPr="002F21BB">
        <w:rPr>
          <w:rFonts w:asciiTheme="minorHAnsi" w:hAnsiTheme="minorHAnsi"/>
          <w:i/>
          <w:sz w:val="24"/>
          <w:szCs w:val="24"/>
        </w:rPr>
        <w:t xml:space="preserve"> PBAC outcome.</w:t>
      </w:r>
    </w:p>
    <w:p w:rsidR="00C603D4" w:rsidRPr="00906477" w:rsidRDefault="00CE10C4" w:rsidP="003E77D9">
      <w:pPr>
        <w:pStyle w:val="PBACHeading1"/>
        <w:keepNext/>
        <w:numPr>
          <w:ilvl w:val="0"/>
          <w:numId w:val="5"/>
        </w:numPr>
        <w:spacing w:before="120" w:after="120"/>
        <w:rPr>
          <w:rFonts w:asciiTheme="minorHAnsi" w:hAnsiTheme="minorHAnsi"/>
          <w:sz w:val="32"/>
          <w:szCs w:val="32"/>
        </w:rPr>
      </w:pPr>
      <w:r w:rsidRPr="00906477">
        <w:rPr>
          <w:rFonts w:asciiTheme="minorHAnsi" w:hAnsiTheme="minorHAnsi"/>
          <w:sz w:val="32"/>
          <w:szCs w:val="32"/>
        </w:rPr>
        <w:t>Background</w:t>
      </w:r>
    </w:p>
    <w:p w:rsidR="0064176B" w:rsidRPr="00906477" w:rsidRDefault="009A089D" w:rsidP="003E77D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T</w:t>
      </w:r>
      <w:r w:rsidR="0064176B" w:rsidRPr="00906477">
        <w:rPr>
          <w:rFonts w:asciiTheme="minorHAnsi" w:eastAsiaTheme="minorHAnsi" w:hAnsiTheme="minorHAnsi" w:cstheme="minorBidi"/>
          <w:snapToGrid/>
          <w:sz w:val="24"/>
          <w:szCs w:val="22"/>
        </w:rPr>
        <w:t xml:space="preserve">he </w:t>
      </w:r>
      <w:proofErr w:type="spellStart"/>
      <w:r w:rsidR="00EC22BB" w:rsidRPr="00906477">
        <w:rPr>
          <w:rFonts w:asciiTheme="minorHAnsi" w:eastAsiaTheme="minorHAnsi" w:hAnsiTheme="minorHAnsi" w:cstheme="minorBidi"/>
          <w:snapToGrid/>
          <w:sz w:val="24"/>
          <w:szCs w:val="22"/>
        </w:rPr>
        <w:t>Truxima</w:t>
      </w:r>
      <w:proofErr w:type="spellEnd"/>
      <w:r w:rsidR="00EC22BB" w:rsidRPr="00906477">
        <w:rPr>
          <w:rFonts w:asciiTheme="minorHAnsi" w:eastAsiaTheme="minorHAnsi" w:hAnsiTheme="minorHAnsi" w:cstheme="minorBidi"/>
          <w:snapToGrid/>
          <w:sz w:val="24"/>
          <w:szCs w:val="22"/>
        </w:rPr>
        <w:t>®</w:t>
      </w:r>
      <w:r w:rsidR="0064176B" w:rsidRPr="00906477">
        <w:rPr>
          <w:rFonts w:asciiTheme="minorHAnsi" w:eastAsiaTheme="minorHAnsi" w:hAnsiTheme="minorHAnsi" w:cstheme="minorBidi"/>
          <w:snapToGrid/>
          <w:sz w:val="24"/>
          <w:szCs w:val="22"/>
        </w:rPr>
        <w:t xml:space="preserve"> brand of rituximab was</w:t>
      </w:r>
      <w:r w:rsidR="00EC22BB" w:rsidRPr="00906477">
        <w:rPr>
          <w:rFonts w:asciiTheme="minorHAnsi" w:eastAsiaTheme="minorHAnsi" w:hAnsiTheme="minorHAnsi" w:cstheme="minorBidi"/>
          <w:snapToGrid/>
          <w:sz w:val="24"/>
          <w:szCs w:val="22"/>
        </w:rPr>
        <w:t xml:space="preserve"> TGA</w:t>
      </w:r>
      <w:r w:rsidR="00476245" w:rsidRPr="00906477">
        <w:rPr>
          <w:rFonts w:asciiTheme="minorHAnsi" w:eastAsiaTheme="minorHAnsi" w:hAnsiTheme="minorHAnsi" w:cstheme="minorBidi"/>
          <w:snapToGrid/>
          <w:sz w:val="24"/>
          <w:szCs w:val="22"/>
        </w:rPr>
        <w:t xml:space="preserve"> registered </w:t>
      </w:r>
      <w:r w:rsidR="006A7DC0" w:rsidRPr="00906477">
        <w:rPr>
          <w:rFonts w:asciiTheme="minorHAnsi" w:eastAsiaTheme="minorHAnsi" w:hAnsiTheme="minorHAnsi" w:cstheme="minorBidi"/>
          <w:snapToGrid/>
          <w:sz w:val="24"/>
          <w:szCs w:val="22"/>
        </w:rPr>
        <w:t xml:space="preserve">on 29 November 2018 </w:t>
      </w:r>
      <w:r w:rsidR="00476245" w:rsidRPr="00906477">
        <w:rPr>
          <w:rFonts w:asciiTheme="minorHAnsi" w:eastAsiaTheme="minorHAnsi" w:hAnsiTheme="minorHAnsi" w:cstheme="minorBidi"/>
          <w:snapToGrid/>
          <w:sz w:val="24"/>
          <w:szCs w:val="22"/>
        </w:rPr>
        <w:t>for</w:t>
      </w:r>
      <w:r w:rsidR="00EC22BB" w:rsidRPr="00906477">
        <w:rPr>
          <w:rFonts w:asciiTheme="minorHAnsi" w:eastAsiaTheme="minorHAnsi" w:hAnsiTheme="minorHAnsi" w:cstheme="minorBidi"/>
          <w:snapToGrid/>
          <w:sz w:val="24"/>
          <w:szCs w:val="22"/>
        </w:rPr>
        <w:t xml:space="preserve"> </w:t>
      </w:r>
      <w:r w:rsidR="0064176B" w:rsidRPr="00906477">
        <w:rPr>
          <w:rFonts w:asciiTheme="minorHAnsi" w:eastAsiaTheme="minorHAnsi" w:hAnsiTheme="minorHAnsi" w:cstheme="minorBidi"/>
          <w:snapToGrid/>
          <w:sz w:val="24"/>
          <w:szCs w:val="22"/>
        </w:rPr>
        <w:t xml:space="preserve">both 100 mg/10 mL and 500 mg/50 mL forms for </w:t>
      </w:r>
      <w:r w:rsidR="00D4265B" w:rsidRPr="00906477">
        <w:rPr>
          <w:rFonts w:asciiTheme="minorHAnsi" w:eastAsiaTheme="minorHAnsi" w:hAnsiTheme="minorHAnsi" w:cstheme="minorBidi"/>
          <w:snapToGrid/>
          <w:sz w:val="24"/>
          <w:szCs w:val="22"/>
        </w:rPr>
        <w:t>the treatment</w:t>
      </w:r>
      <w:r w:rsidR="006A7DC0" w:rsidRPr="00906477">
        <w:rPr>
          <w:rFonts w:asciiTheme="minorHAnsi" w:eastAsiaTheme="minorHAnsi" w:hAnsiTheme="minorHAnsi" w:cstheme="minorBidi"/>
          <w:snapToGrid/>
          <w:sz w:val="24"/>
          <w:szCs w:val="22"/>
        </w:rPr>
        <w:t xml:space="preserve"> of</w:t>
      </w:r>
      <w:r w:rsidR="0064176B" w:rsidRPr="00906477">
        <w:rPr>
          <w:rFonts w:asciiTheme="minorHAnsi" w:eastAsiaTheme="minorHAnsi" w:hAnsiTheme="minorHAnsi" w:cstheme="minorBidi"/>
          <w:snapToGrid/>
          <w:sz w:val="24"/>
          <w:szCs w:val="22"/>
        </w:rPr>
        <w:t xml:space="preserve"> NHL.</w:t>
      </w:r>
    </w:p>
    <w:p w:rsidR="00A87F78" w:rsidRPr="00906477" w:rsidRDefault="00A87F78" w:rsidP="003E77D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 xml:space="preserve">This </w:t>
      </w:r>
      <w:r w:rsidR="00167A56" w:rsidRPr="00906477">
        <w:rPr>
          <w:rFonts w:asciiTheme="minorHAnsi" w:eastAsiaTheme="minorHAnsi" w:hAnsiTheme="minorHAnsi" w:cstheme="minorBidi"/>
          <w:snapToGrid/>
          <w:sz w:val="24"/>
          <w:szCs w:val="22"/>
        </w:rPr>
        <w:t>b</w:t>
      </w:r>
      <w:r w:rsidRPr="00906477">
        <w:rPr>
          <w:rFonts w:asciiTheme="minorHAnsi" w:eastAsiaTheme="minorHAnsi" w:hAnsiTheme="minorHAnsi" w:cstheme="minorBidi"/>
          <w:snapToGrid/>
          <w:sz w:val="24"/>
          <w:szCs w:val="22"/>
        </w:rPr>
        <w:t xml:space="preserve">rand of rituximab </w:t>
      </w:r>
      <w:proofErr w:type="gramStart"/>
      <w:r w:rsidRPr="00906477">
        <w:rPr>
          <w:rFonts w:asciiTheme="minorHAnsi" w:eastAsiaTheme="minorHAnsi" w:hAnsiTheme="minorHAnsi" w:cstheme="minorBidi"/>
          <w:snapToGrid/>
          <w:sz w:val="24"/>
          <w:szCs w:val="22"/>
        </w:rPr>
        <w:t>was previously submitted</w:t>
      </w:r>
      <w:proofErr w:type="gramEnd"/>
      <w:r w:rsidRPr="00906477">
        <w:rPr>
          <w:rFonts w:asciiTheme="minorHAnsi" w:eastAsiaTheme="minorHAnsi" w:hAnsiTheme="minorHAnsi" w:cstheme="minorBidi"/>
          <w:snapToGrid/>
          <w:sz w:val="24"/>
          <w:szCs w:val="22"/>
        </w:rPr>
        <w:t xml:space="preserve"> to the PBAC Secretariat for consideration at the July 2018 PBAC meeting as a minor submission </w:t>
      </w:r>
      <w:r w:rsidR="0011752B" w:rsidRPr="00906477">
        <w:rPr>
          <w:rFonts w:asciiTheme="minorHAnsi" w:eastAsiaTheme="minorHAnsi" w:hAnsiTheme="minorHAnsi" w:cstheme="minorBidi"/>
          <w:snapToGrid/>
          <w:sz w:val="24"/>
          <w:szCs w:val="22"/>
        </w:rPr>
        <w:t>h</w:t>
      </w:r>
      <w:r w:rsidRPr="00906477">
        <w:rPr>
          <w:rFonts w:asciiTheme="minorHAnsi" w:eastAsiaTheme="minorHAnsi" w:hAnsiTheme="minorHAnsi" w:cstheme="minorBidi"/>
          <w:snapToGrid/>
          <w:sz w:val="24"/>
          <w:szCs w:val="22"/>
        </w:rPr>
        <w:t>owever</w:t>
      </w:r>
      <w:r w:rsidR="00906477">
        <w:rPr>
          <w:rFonts w:asciiTheme="minorHAnsi" w:eastAsiaTheme="minorHAnsi" w:hAnsiTheme="minorHAnsi" w:cstheme="minorBidi"/>
          <w:snapToGrid/>
          <w:sz w:val="24"/>
          <w:szCs w:val="22"/>
        </w:rPr>
        <w:t>,</w:t>
      </w:r>
      <w:r w:rsidR="0011752B" w:rsidRPr="00906477">
        <w:rPr>
          <w:rFonts w:asciiTheme="minorHAnsi" w:eastAsiaTheme="minorHAnsi" w:hAnsiTheme="minorHAnsi" w:cstheme="minorBidi"/>
          <w:snapToGrid/>
          <w:sz w:val="24"/>
          <w:szCs w:val="22"/>
        </w:rPr>
        <w:t xml:space="preserve"> </w:t>
      </w:r>
      <w:r w:rsidR="00906477">
        <w:rPr>
          <w:rFonts w:asciiTheme="minorHAnsi" w:eastAsiaTheme="minorHAnsi" w:hAnsiTheme="minorHAnsi" w:cstheme="minorBidi"/>
          <w:snapToGrid/>
          <w:sz w:val="24"/>
          <w:szCs w:val="22"/>
        </w:rPr>
        <w:t xml:space="preserve">the sponsor withdrew it </w:t>
      </w:r>
      <w:r w:rsidRPr="00906477">
        <w:rPr>
          <w:rFonts w:asciiTheme="minorHAnsi" w:eastAsiaTheme="minorHAnsi" w:hAnsiTheme="minorHAnsi" w:cstheme="minorBidi"/>
          <w:snapToGrid/>
          <w:sz w:val="24"/>
          <w:szCs w:val="22"/>
        </w:rPr>
        <w:t xml:space="preserve">before the meeting. </w:t>
      </w:r>
    </w:p>
    <w:p w:rsidR="006B0D94" w:rsidRPr="00906477" w:rsidRDefault="0064176B" w:rsidP="003E77D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The PBAC has not previously considered an</w:t>
      </w:r>
      <w:r w:rsidR="002B1AE6" w:rsidRPr="00906477">
        <w:rPr>
          <w:rFonts w:asciiTheme="minorHAnsi" w:eastAsiaTheme="minorHAnsi" w:hAnsiTheme="minorHAnsi" w:cstheme="minorBidi"/>
          <w:snapToGrid/>
          <w:sz w:val="24"/>
          <w:szCs w:val="22"/>
        </w:rPr>
        <w:t xml:space="preserve"> </w:t>
      </w:r>
      <w:r w:rsidRPr="00906477">
        <w:rPr>
          <w:rFonts w:asciiTheme="minorHAnsi" w:eastAsiaTheme="minorHAnsi" w:hAnsiTheme="minorHAnsi" w:cstheme="minorBidi"/>
          <w:snapToGrid/>
          <w:sz w:val="24"/>
          <w:szCs w:val="22"/>
        </w:rPr>
        <w:t xml:space="preserve">application for this </w:t>
      </w:r>
      <w:r w:rsidR="0011752B" w:rsidRPr="00906477">
        <w:rPr>
          <w:rFonts w:asciiTheme="minorHAnsi" w:eastAsiaTheme="minorHAnsi" w:hAnsiTheme="minorHAnsi" w:cstheme="minorBidi"/>
          <w:snapToGrid/>
          <w:sz w:val="24"/>
          <w:szCs w:val="22"/>
        </w:rPr>
        <w:t>biosimilar</w:t>
      </w:r>
      <w:r w:rsidRPr="00906477">
        <w:rPr>
          <w:rFonts w:asciiTheme="minorHAnsi" w:eastAsiaTheme="minorHAnsi" w:hAnsiTheme="minorHAnsi" w:cstheme="minorBidi"/>
          <w:snapToGrid/>
          <w:sz w:val="24"/>
          <w:szCs w:val="22"/>
        </w:rPr>
        <w:t xml:space="preserve"> rituximab.</w:t>
      </w:r>
    </w:p>
    <w:p w:rsidR="009A089D" w:rsidRPr="00906477" w:rsidRDefault="009A089D" w:rsidP="003E77D9">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At its March 2018 meeting, the PBAC considered a</w:t>
      </w:r>
      <w:r w:rsidR="00CE38DC" w:rsidRPr="00906477">
        <w:rPr>
          <w:rFonts w:asciiTheme="minorHAnsi" w:eastAsiaTheme="minorHAnsi" w:hAnsiTheme="minorHAnsi" w:cstheme="minorBidi"/>
          <w:snapToGrid/>
          <w:sz w:val="24"/>
          <w:szCs w:val="22"/>
        </w:rPr>
        <w:t xml:space="preserve"> submission for</w:t>
      </w:r>
      <w:r w:rsidRPr="00906477">
        <w:rPr>
          <w:rFonts w:asciiTheme="minorHAnsi" w:eastAsiaTheme="minorHAnsi" w:hAnsiTheme="minorHAnsi" w:cstheme="minorBidi"/>
          <w:snapToGrid/>
          <w:sz w:val="24"/>
          <w:szCs w:val="22"/>
        </w:rPr>
        <w:t xml:space="preserve"> another biosimilar rituximab, </w:t>
      </w:r>
      <w:proofErr w:type="spellStart"/>
      <w:r w:rsidRPr="00906477">
        <w:rPr>
          <w:rFonts w:asciiTheme="minorHAnsi" w:eastAsiaTheme="minorHAnsi" w:hAnsiTheme="minorHAnsi" w:cstheme="minorBidi"/>
          <w:snapToGrid/>
          <w:sz w:val="24"/>
          <w:szCs w:val="22"/>
        </w:rPr>
        <w:t>Riximyo</w:t>
      </w:r>
      <w:proofErr w:type="spellEnd"/>
      <w:r w:rsidR="00906477" w:rsidRPr="005B2A40">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which requested a range of biosimilar uptake drivers </w:t>
      </w:r>
      <w:proofErr w:type="gramStart"/>
      <w:r w:rsidRPr="00906477">
        <w:rPr>
          <w:rFonts w:asciiTheme="minorHAnsi" w:eastAsiaTheme="minorHAnsi" w:hAnsiTheme="minorHAnsi" w:cstheme="minorBidi"/>
          <w:snapToGrid/>
          <w:sz w:val="24"/>
          <w:szCs w:val="22"/>
        </w:rPr>
        <w:t>be applied</w:t>
      </w:r>
      <w:proofErr w:type="gramEnd"/>
      <w:r w:rsidRPr="00906477">
        <w:rPr>
          <w:rFonts w:asciiTheme="minorHAnsi" w:eastAsiaTheme="minorHAnsi" w:hAnsiTheme="minorHAnsi" w:cstheme="minorBidi"/>
          <w:snapToGrid/>
          <w:sz w:val="24"/>
          <w:szCs w:val="22"/>
        </w:rPr>
        <w:t xml:space="preserve"> to the listings for rituximab. </w:t>
      </w:r>
      <w:proofErr w:type="spellStart"/>
      <w:r w:rsidRPr="00906477">
        <w:rPr>
          <w:rFonts w:asciiTheme="minorHAnsi" w:eastAsiaTheme="minorHAnsi" w:hAnsiTheme="minorHAnsi" w:cstheme="minorBidi"/>
          <w:snapToGrid/>
          <w:sz w:val="24"/>
          <w:szCs w:val="22"/>
        </w:rPr>
        <w:t>Riximyo</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received a positive PBAC recommendation </w:t>
      </w:r>
      <w:r w:rsidR="00CE38DC" w:rsidRPr="00906477">
        <w:rPr>
          <w:rFonts w:asciiTheme="minorHAnsi" w:eastAsiaTheme="minorHAnsi" w:hAnsiTheme="minorHAnsi" w:cstheme="minorBidi"/>
          <w:snapToGrid/>
          <w:sz w:val="24"/>
          <w:szCs w:val="22"/>
        </w:rPr>
        <w:t>and the</w:t>
      </w:r>
      <w:r w:rsidRPr="00906477">
        <w:rPr>
          <w:rFonts w:asciiTheme="minorHAnsi" w:eastAsiaTheme="minorHAnsi" w:hAnsiTheme="minorHAnsi" w:cstheme="minorBidi"/>
          <w:snapToGrid/>
          <w:sz w:val="24"/>
          <w:szCs w:val="22"/>
        </w:rPr>
        <w:t xml:space="preserve"> PBAC advised there </w:t>
      </w:r>
      <w:r w:rsidR="00CE38DC" w:rsidRPr="00906477">
        <w:rPr>
          <w:rFonts w:asciiTheme="minorHAnsi" w:eastAsiaTheme="minorHAnsi" w:hAnsiTheme="minorHAnsi" w:cstheme="minorBidi"/>
          <w:snapToGrid/>
          <w:sz w:val="24"/>
          <w:szCs w:val="22"/>
        </w:rPr>
        <w:t>we</w:t>
      </w:r>
      <w:r w:rsidRPr="00906477">
        <w:rPr>
          <w:rFonts w:asciiTheme="minorHAnsi" w:eastAsiaTheme="minorHAnsi" w:hAnsiTheme="minorHAnsi" w:cstheme="minorBidi"/>
          <w:snapToGrid/>
          <w:sz w:val="24"/>
          <w:szCs w:val="22"/>
        </w:rPr>
        <w:t xml:space="preserve">re no clinical or other concerns about appropriate use of medicines, if the policy decision were made to apply biosimilar uptake measures to rituximab, provided certain recommendations </w:t>
      </w:r>
      <w:proofErr w:type="gramStart"/>
      <w:r w:rsidRPr="00906477">
        <w:rPr>
          <w:rFonts w:asciiTheme="minorHAnsi" w:eastAsiaTheme="minorHAnsi" w:hAnsiTheme="minorHAnsi" w:cstheme="minorBidi"/>
          <w:snapToGrid/>
          <w:sz w:val="24"/>
          <w:szCs w:val="22"/>
        </w:rPr>
        <w:t>are</w:t>
      </w:r>
      <w:proofErr w:type="gramEnd"/>
      <w:r w:rsidRPr="00906477">
        <w:rPr>
          <w:rFonts w:asciiTheme="minorHAnsi" w:eastAsiaTheme="minorHAnsi" w:hAnsiTheme="minorHAnsi" w:cstheme="minorBidi"/>
          <w:snapToGrid/>
          <w:sz w:val="24"/>
          <w:szCs w:val="22"/>
        </w:rPr>
        <w:t xml:space="preserve"> followed</w:t>
      </w:r>
      <w:r w:rsidR="00B85C16" w:rsidRPr="00906477">
        <w:rPr>
          <w:rFonts w:asciiTheme="minorHAnsi" w:eastAsiaTheme="minorHAnsi" w:hAnsiTheme="minorHAnsi" w:cstheme="minorBidi"/>
          <w:snapToGrid/>
          <w:sz w:val="24"/>
          <w:szCs w:val="22"/>
        </w:rPr>
        <w:t xml:space="preserve">. </w:t>
      </w:r>
      <w:r w:rsidR="00331CF8" w:rsidRPr="00906477">
        <w:rPr>
          <w:rFonts w:asciiTheme="minorHAnsi" w:eastAsiaTheme="minorHAnsi" w:hAnsiTheme="minorHAnsi" w:cstheme="minorBidi"/>
          <w:snapToGrid/>
          <w:sz w:val="24"/>
          <w:szCs w:val="22"/>
        </w:rPr>
        <w:t>The PBAC considered that the oncology indications for rituximab should remain</w:t>
      </w:r>
      <w:r w:rsidR="00331F1A" w:rsidRPr="00906477">
        <w:rPr>
          <w:rFonts w:asciiTheme="minorHAnsi" w:eastAsiaTheme="minorHAnsi" w:hAnsiTheme="minorHAnsi" w:cstheme="minorBidi"/>
          <w:snapToGrid/>
          <w:sz w:val="24"/>
          <w:szCs w:val="22"/>
        </w:rPr>
        <w:t>ed</w:t>
      </w:r>
      <w:r w:rsidR="00331CF8" w:rsidRPr="00906477">
        <w:rPr>
          <w:rFonts w:asciiTheme="minorHAnsi" w:eastAsiaTheme="minorHAnsi" w:hAnsiTheme="minorHAnsi" w:cstheme="minorBidi"/>
          <w:snapToGrid/>
          <w:sz w:val="24"/>
          <w:szCs w:val="22"/>
        </w:rPr>
        <w:t xml:space="preserve"> unchanged</w:t>
      </w:r>
      <w:r w:rsidR="005A6B1A" w:rsidRPr="00906477">
        <w:rPr>
          <w:rFonts w:asciiTheme="minorHAnsi" w:eastAsiaTheme="minorHAnsi" w:hAnsiTheme="minorHAnsi" w:cstheme="minorBidi"/>
          <w:snapToGrid/>
          <w:sz w:val="24"/>
          <w:szCs w:val="22"/>
        </w:rPr>
        <w:t xml:space="preserve"> </w:t>
      </w:r>
      <w:r w:rsidR="005C0033" w:rsidRPr="00906477">
        <w:rPr>
          <w:rFonts w:asciiTheme="minorHAnsi" w:eastAsiaTheme="minorHAnsi" w:hAnsiTheme="minorHAnsi" w:cstheme="minorBidi"/>
          <w:snapToGrid/>
          <w:sz w:val="24"/>
          <w:szCs w:val="22"/>
        </w:rPr>
        <w:t xml:space="preserve">as </w:t>
      </w:r>
      <w:r w:rsidR="005A6B1A" w:rsidRPr="00906477">
        <w:rPr>
          <w:rFonts w:asciiTheme="minorHAnsi" w:eastAsiaTheme="minorHAnsi" w:hAnsiTheme="minorHAnsi" w:cstheme="minorBidi"/>
          <w:snapToGrid/>
          <w:sz w:val="24"/>
          <w:szCs w:val="22"/>
        </w:rPr>
        <w:t>a streamlined authority as it considered a change to a Restricted Benefit would have minimal effect on prescribing behaviours and may inadvertently lead to an increase in prescribing beyond the current restrictions (</w:t>
      </w:r>
      <w:proofErr w:type="spellStart"/>
      <w:r w:rsidR="005A6B1A" w:rsidRPr="00906477">
        <w:rPr>
          <w:rFonts w:asciiTheme="minorHAnsi" w:eastAsiaTheme="minorHAnsi" w:hAnsiTheme="minorHAnsi" w:cstheme="minorBidi"/>
          <w:snapToGrid/>
          <w:sz w:val="24"/>
          <w:szCs w:val="22"/>
        </w:rPr>
        <w:t>Riximyo</w:t>
      </w:r>
      <w:proofErr w:type="spellEnd"/>
      <w:r w:rsidR="00C65EBB">
        <w:rPr>
          <w:rFonts w:asciiTheme="minorHAnsi" w:eastAsiaTheme="minorHAnsi" w:hAnsiTheme="minorHAnsi" w:cstheme="minorBidi"/>
          <w:snapToGrid/>
          <w:sz w:val="24"/>
          <w:szCs w:val="22"/>
        </w:rPr>
        <w:t>, Public Summary Document,</w:t>
      </w:r>
      <w:r w:rsidR="005A6B1A" w:rsidRPr="00906477">
        <w:rPr>
          <w:rFonts w:asciiTheme="minorHAnsi" w:eastAsiaTheme="minorHAnsi" w:hAnsiTheme="minorHAnsi" w:cstheme="minorBidi"/>
          <w:snapToGrid/>
          <w:sz w:val="24"/>
          <w:szCs w:val="22"/>
        </w:rPr>
        <w:t xml:space="preserve"> March 2018)</w:t>
      </w:r>
      <w:r w:rsidR="005C46B1" w:rsidRPr="00906477">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w:t>
      </w:r>
    </w:p>
    <w:p w:rsidR="009A089D" w:rsidRPr="00906477" w:rsidRDefault="00BD562D" w:rsidP="003E77D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In</w:t>
      </w:r>
      <w:r w:rsidR="00B85C16" w:rsidRPr="00906477">
        <w:rPr>
          <w:rFonts w:asciiTheme="minorHAnsi" w:eastAsiaTheme="minorHAnsi" w:hAnsiTheme="minorHAnsi" w:cstheme="minorBidi"/>
          <w:snapToGrid/>
          <w:sz w:val="24"/>
          <w:szCs w:val="22"/>
        </w:rPr>
        <w:t xml:space="preserve"> its March 2018 consideration of </w:t>
      </w:r>
      <w:proofErr w:type="spellStart"/>
      <w:r w:rsidR="00B85C16" w:rsidRPr="00906477">
        <w:rPr>
          <w:rFonts w:asciiTheme="minorHAnsi" w:eastAsiaTheme="minorHAnsi" w:hAnsiTheme="minorHAnsi" w:cstheme="minorBidi"/>
          <w:snapToGrid/>
          <w:sz w:val="24"/>
          <w:szCs w:val="22"/>
        </w:rPr>
        <w:t>Riximyo</w:t>
      </w:r>
      <w:proofErr w:type="spellEnd"/>
      <w:r w:rsidR="00F23CF6">
        <w:rPr>
          <w:rFonts w:asciiTheme="minorHAnsi" w:eastAsiaTheme="minorHAnsi" w:hAnsiTheme="minorHAnsi" w:cstheme="minorBidi"/>
          <w:snapToGrid/>
          <w:sz w:val="24"/>
          <w:szCs w:val="22"/>
        </w:rPr>
        <w:t>®</w:t>
      </w:r>
      <w:r w:rsidR="00B85C16" w:rsidRPr="00906477">
        <w:rPr>
          <w:rFonts w:asciiTheme="minorHAnsi" w:eastAsiaTheme="minorHAnsi" w:hAnsiTheme="minorHAnsi" w:cstheme="minorBidi"/>
          <w:snapToGrid/>
          <w:sz w:val="24"/>
          <w:szCs w:val="22"/>
        </w:rPr>
        <w:t>, t</w:t>
      </w:r>
      <w:r w:rsidR="009A089D" w:rsidRPr="00906477">
        <w:rPr>
          <w:rFonts w:asciiTheme="minorHAnsi" w:eastAsiaTheme="minorHAnsi" w:hAnsiTheme="minorHAnsi" w:cstheme="minorBidi"/>
          <w:snapToGrid/>
          <w:sz w:val="24"/>
          <w:szCs w:val="22"/>
        </w:rPr>
        <w:t>he PBAC also recommended a note encouraging prescribing of the biosimilar brand to treatment naïve patients for all indications</w:t>
      </w:r>
      <w:r w:rsidR="005A6B1A" w:rsidRPr="00906477">
        <w:rPr>
          <w:rFonts w:asciiTheme="minorHAnsi" w:eastAsiaTheme="minorHAnsi" w:hAnsiTheme="minorHAnsi" w:cstheme="minorBidi"/>
          <w:snapToGrid/>
          <w:sz w:val="24"/>
          <w:szCs w:val="22"/>
        </w:rPr>
        <w:t xml:space="preserve"> as part of its consideration of biosimilar uptake drivers</w:t>
      </w:r>
      <w:r w:rsidR="00AD5687" w:rsidRPr="00906477">
        <w:rPr>
          <w:rFonts w:asciiTheme="minorHAnsi" w:eastAsiaTheme="minorHAnsi" w:hAnsiTheme="minorHAnsi" w:cstheme="minorBidi"/>
          <w:snapToGrid/>
          <w:sz w:val="24"/>
          <w:szCs w:val="22"/>
        </w:rPr>
        <w:t>.</w:t>
      </w:r>
      <w:r w:rsidR="009A089D" w:rsidRPr="00906477">
        <w:rPr>
          <w:rFonts w:asciiTheme="minorHAnsi" w:eastAsiaTheme="minorHAnsi" w:hAnsiTheme="minorHAnsi" w:cstheme="minorBidi"/>
          <w:snapToGrid/>
          <w:sz w:val="24"/>
          <w:szCs w:val="22"/>
        </w:rPr>
        <w:t xml:space="preserve"> </w:t>
      </w:r>
    </w:p>
    <w:p w:rsidR="0058738C" w:rsidRPr="002F21BB" w:rsidRDefault="0058738C" w:rsidP="003E77D9">
      <w:pPr>
        <w:pStyle w:val="ListParagraph"/>
        <w:spacing w:before="120" w:after="120"/>
        <w:ind w:left="709"/>
        <w:rPr>
          <w:rFonts w:asciiTheme="minorHAnsi" w:hAnsiTheme="minorHAnsi"/>
          <w:i/>
          <w:sz w:val="24"/>
          <w:szCs w:val="24"/>
        </w:rPr>
      </w:pPr>
      <w:r w:rsidRPr="002F21BB">
        <w:rPr>
          <w:rFonts w:asciiTheme="minorHAnsi" w:hAnsiTheme="minorHAnsi"/>
          <w:i/>
          <w:sz w:val="24"/>
          <w:szCs w:val="24"/>
        </w:rPr>
        <w:t xml:space="preserve">For more detail on PBAC’s view, see section </w:t>
      </w:r>
      <w:r w:rsidR="005C0033" w:rsidRPr="002F21BB">
        <w:rPr>
          <w:rFonts w:asciiTheme="minorHAnsi" w:hAnsiTheme="minorHAnsi"/>
          <w:i/>
          <w:sz w:val="24"/>
          <w:szCs w:val="24"/>
        </w:rPr>
        <w:t>6</w:t>
      </w:r>
      <w:r w:rsidRPr="002F21BB">
        <w:rPr>
          <w:rFonts w:asciiTheme="minorHAnsi" w:hAnsiTheme="minorHAnsi"/>
          <w:i/>
          <w:sz w:val="24"/>
          <w:szCs w:val="24"/>
        </w:rPr>
        <w:t xml:space="preserve"> PBAC outcome.</w:t>
      </w:r>
    </w:p>
    <w:p w:rsidR="005A3173" w:rsidRPr="00906477" w:rsidRDefault="005A3173" w:rsidP="003E77D9">
      <w:pPr>
        <w:pStyle w:val="PBACHeading1"/>
        <w:keepNext/>
        <w:numPr>
          <w:ilvl w:val="0"/>
          <w:numId w:val="5"/>
        </w:numPr>
        <w:spacing w:before="120" w:after="120"/>
        <w:rPr>
          <w:rFonts w:asciiTheme="minorHAnsi" w:hAnsiTheme="minorHAnsi"/>
          <w:sz w:val="32"/>
          <w:szCs w:val="32"/>
        </w:rPr>
      </w:pPr>
      <w:r w:rsidRPr="00906477">
        <w:rPr>
          <w:rFonts w:asciiTheme="minorHAnsi" w:hAnsiTheme="minorHAnsi"/>
          <w:sz w:val="32"/>
          <w:szCs w:val="32"/>
        </w:rPr>
        <w:t>Comparator</w:t>
      </w:r>
    </w:p>
    <w:p w:rsidR="00B10249" w:rsidRPr="00906477" w:rsidRDefault="00B10249" w:rsidP="003E77D9">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The minor submission nominated the reference brand of rituximab (</w:t>
      </w:r>
      <w:proofErr w:type="spellStart"/>
      <w:r w:rsidRPr="00906477">
        <w:rPr>
          <w:rFonts w:asciiTheme="minorHAnsi" w:eastAsiaTheme="minorHAnsi" w:hAnsiTheme="minorHAnsi" w:cstheme="minorBidi"/>
          <w:snapToGrid/>
          <w:sz w:val="24"/>
          <w:szCs w:val="22"/>
        </w:rPr>
        <w:t>MabThera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as the comparator, which was appropriate. </w:t>
      </w:r>
      <w:r w:rsidR="003B1E12" w:rsidRPr="00906477">
        <w:rPr>
          <w:rFonts w:asciiTheme="minorHAnsi" w:eastAsiaTheme="minorHAnsi" w:hAnsiTheme="minorHAnsi" w:cstheme="minorBidi"/>
          <w:snapToGrid/>
          <w:sz w:val="24"/>
          <w:szCs w:val="22"/>
        </w:rPr>
        <w:t xml:space="preserve">The submission also stated that the </w:t>
      </w:r>
      <w:proofErr w:type="spellStart"/>
      <w:r w:rsidR="003B1E12" w:rsidRPr="00906477">
        <w:rPr>
          <w:rFonts w:asciiTheme="minorHAnsi" w:eastAsiaTheme="minorHAnsi" w:hAnsiTheme="minorHAnsi" w:cstheme="minorBidi"/>
          <w:snapToGrid/>
          <w:sz w:val="24"/>
          <w:szCs w:val="22"/>
        </w:rPr>
        <w:t>Riximyo</w:t>
      </w:r>
      <w:proofErr w:type="spellEnd"/>
      <w:r w:rsidR="00F23CF6">
        <w:rPr>
          <w:rFonts w:asciiTheme="minorHAnsi" w:eastAsiaTheme="minorHAnsi" w:hAnsiTheme="minorHAnsi" w:cstheme="minorBidi"/>
          <w:snapToGrid/>
          <w:sz w:val="24"/>
          <w:szCs w:val="22"/>
        </w:rPr>
        <w:t>®</w:t>
      </w:r>
      <w:r w:rsidR="003B1E12" w:rsidRPr="00906477">
        <w:rPr>
          <w:rFonts w:asciiTheme="minorHAnsi" w:eastAsiaTheme="minorHAnsi" w:hAnsiTheme="minorHAnsi" w:cstheme="minorBidi"/>
          <w:snapToGrid/>
          <w:sz w:val="24"/>
          <w:szCs w:val="22"/>
        </w:rPr>
        <w:t xml:space="preserve"> brand of rituximab is an alternative comparator. The </w:t>
      </w:r>
      <w:r w:rsidR="0069461C" w:rsidRPr="00906477">
        <w:rPr>
          <w:rFonts w:asciiTheme="minorHAnsi" w:eastAsiaTheme="minorHAnsi" w:hAnsiTheme="minorHAnsi" w:cstheme="minorBidi"/>
          <w:snapToGrid/>
          <w:sz w:val="24"/>
          <w:szCs w:val="22"/>
        </w:rPr>
        <w:t xml:space="preserve">PBAC noted </w:t>
      </w:r>
      <w:r w:rsidR="003B1E12" w:rsidRPr="00906477">
        <w:rPr>
          <w:rFonts w:asciiTheme="minorHAnsi" w:eastAsiaTheme="minorHAnsi" w:hAnsiTheme="minorHAnsi" w:cstheme="minorBidi"/>
          <w:snapToGrid/>
          <w:sz w:val="24"/>
          <w:szCs w:val="22"/>
        </w:rPr>
        <w:t xml:space="preserve">that </w:t>
      </w:r>
      <w:proofErr w:type="spellStart"/>
      <w:r w:rsidR="003B1E12" w:rsidRPr="00906477">
        <w:rPr>
          <w:rFonts w:asciiTheme="minorHAnsi" w:eastAsiaTheme="minorHAnsi" w:hAnsiTheme="minorHAnsi" w:cstheme="minorBidi"/>
          <w:snapToGrid/>
          <w:sz w:val="24"/>
          <w:szCs w:val="22"/>
        </w:rPr>
        <w:t>Riximyo</w:t>
      </w:r>
      <w:proofErr w:type="spellEnd"/>
      <w:r w:rsidR="00F23CF6">
        <w:rPr>
          <w:rFonts w:asciiTheme="minorHAnsi" w:eastAsiaTheme="minorHAnsi" w:hAnsiTheme="minorHAnsi" w:cstheme="minorBidi"/>
          <w:snapToGrid/>
          <w:sz w:val="24"/>
          <w:szCs w:val="22"/>
        </w:rPr>
        <w:t>®</w:t>
      </w:r>
      <w:r w:rsidR="003B1E12" w:rsidRPr="00906477">
        <w:rPr>
          <w:rFonts w:asciiTheme="minorHAnsi" w:eastAsiaTheme="minorHAnsi" w:hAnsiTheme="minorHAnsi" w:cstheme="minorBidi"/>
          <w:snapToGrid/>
          <w:sz w:val="24"/>
          <w:szCs w:val="22"/>
        </w:rPr>
        <w:t xml:space="preserve"> </w:t>
      </w:r>
      <w:r w:rsidR="005C0033" w:rsidRPr="00906477">
        <w:rPr>
          <w:rFonts w:asciiTheme="minorHAnsi" w:eastAsiaTheme="minorHAnsi" w:hAnsiTheme="minorHAnsi" w:cstheme="minorBidi"/>
          <w:snapToGrid/>
          <w:sz w:val="24"/>
          <w:szCs w:val="22"/>
        </w:rPr>
        <w:t xml:space="preserve">was not </w:t>
      </w:r>
      <w:r w:rsidR="003B1E12" w:rsidRPr="00906477">
        <w:rPr>
          <w:rFonts w:asciiTheme="minorHAnsi" w:eastAsiaTheme="minorHAnsi" w:hAnsiTheme="minorHAnsi" w:cstheme="minorBidi"/>
          <w:snapToGrid/>
          <w:sz w:val="24"/>
          <w:szCs w:val="22"/>
        </w:rPr>
        <w:t>PBS list</w:t>
      </w:r>
      <w:r w:rsidR="005C0033" w:rsidRPr="00906477">
        <w:rPr>
          <w:rFonts w:asciiTheme="minorHAnsi" w:eastAsiaTheme="minorHAnsi" w:hAnsiTheme="minorHAnsi" w:cstheme="minorBidi"/>
          <w:snapToGrid/>
          <w:sz w:val="24"/>
          <w:szCs w:val="22"/>
        </w:rPr>
        <w:t>ed</w:t>
      </w:r>
      <w:r w:rsidR="003B1E12" w:rsidRPr="00906477">
        <w:rPr>
          <w:rFonts w:asciiTheme="minorHAnsi" w:eastAsiaTheme="minorHAnsi" w:hAnsiTheme="minorHAnsi" w:cstheme="minorBidi"/>
          <w:snapToGrid/>
          <w:sz w:val="24"/>
          <w:szCs w:val="22"/>
        </w:rPr>
        <w:t xml:space="preserve"> at the time of </w:t>
      </w:r>
      <w:r w:rsidR="005C0033" w:rsidRPr="00906477">
        <w:rPr>
          <w:rFonts w:asciiTheme="minorHAnsi" w:eastAsiaTheme="minorHAnsi" w:hAnsiTheme="minorHAnsi" w:cstheme="minorBidi"/>
          <w:snapToGrid/>
          <w:sz w:val="24"/>
          <w:szCs w:val="22"/>
        </w:rPr>
        <w:t>consideration</w:t>
      </w:r>
      <w:r w:rsidR="005A6B1A" w:rsidRPr="00906477">
        <w:rPr>
          <w:rFonts w:asciiTheme="minorHAnsi" w:eastAsiaTheme="minorHAnsi" w:hAnsiTheme="minorHAnsi" w:cstheme="minorBidi"/>
          <w:snapToGrid/>
          <w:sz w:val="24"/>
          <w:szCs w:val="22"/>
        </w:rPr>
        <w:t>.</w:t>
      </w:r>
    </w:p>
    <w:p w:rsidR="0058738C" w:rsidRPr="002F21BB" w:rsidRDefault="0058738C" w:rsidP="003E77D9">
      <w:pPr>
        <w:pStyle w:val="ListParagraph"/>
        <w:spacing w:before="120" w:after="120"/>
        <w:ind w:left="709"/>
        <w:rPr>
          <w:rFonts w:asciiTheme="minorHAnsi" w:hAnsiTheme="minorHAnsi"/>
          <w:i/>
          <w:sz w:val="24"/>
          <w:szCs w:val="24"/>
        </w:rPr>
      </w:pPr>
      <w:r w:rsidRPr="002F21BB">
        <w:rPr>
          <w:rFonts w:asciiTheme="minorHAnsi" w:hAnsiTheme="minorHAnsi"/>
          <w:i/>
          <w:sz w:val="24"/>
          <w:szCs w:val="24"/>
        </w:rPr>
        <w:t xml:space="preserve">For more detail on PBAC’s view, see section </w:t>
      </w:r>
      <w:r w:rsidR="005C0033" w:rsidRPr="002F21BB">
        <w:rPr>
          <w:rFonts w:asciiTheme="minorHAnsi" w:hAnsiTheme="minorHAnsi"/>
          <w:i/>
          <w:sz w:val="24"/>
          <w:szCs w:val="24"/>
        </w:rPr>
        <w:t>6</w:t>
      </w:r>
      <w:r w:rsidRPr="002F21BB">
        <w:rPr>
          <w:rFonts w:asciiTheme="minorHAnsi" w:hAnsiTheme="minorHAnsi"/>
          <w:i/>
          <w:sz w:val="24"/>
          <w:szCs w:val="24"/>
        </w:rPr>
        <w:t xml:space="preserve"> PBAC outcome.</w:t>
      </w:r>
    </w:p>
    <w:p w:rsidR="000B558D" w:rsidRPr="00906477" w:rsidRDefault="008D7A41" w:rsidP="003E77D9">
      <w:pPr>
        <w:pStyle w:val="Heading1"/>
        <w:numPr>
          <w:ilvl w:val="0"/>
          <w:numId w:val="14"/>
        </w:numPr>
        <w:spacing w:after="120"/>
      </w:pPr>
      <w:r w:rsidRPr="00906477">
        <w:t>C</w:t>
      </w:r>
      <w:r w:rsidR="00D84934" w:rsidRPr="00906477">
        <w:t>onsideration of the evidence</w:t>
      </w:r>
    </w:p>
    <w:p w:rsidR="00DB53A8" w:rsidRPr="00F31049" w:rsidRDefault="00DB53A8" w:rsidP="003E77D9">
      <w:pPr>
        <w:pStyle w:val="Heading2"/>
        <w:spacing w:before="120"/>
      </w:pPr>
      <w:r w:rsidRPr="00F31049">
        <w:lastRenderedPageBreak/>
        <w:t>Sponsor hearing</w:t>
      </w:r>
    </w:p>
    <w:p w:rsidR="00DB53A8" w:rsidRPr="00D439EE" w:rsidRDefault="00DB53A8" w:rsidP="003E77D9">
      <w:pPr>
        <w:pStyle w:val="ListParagraph"/>
        <w:widowControl/>
        <w:numPr>
          <w:ilvl w:val="1"/>
          <w:numId w:val="5"/>
        </w:numPr>
        <w:spacing w:before="120" w:after="120"/>
        <w:rPr>
          <w:rFonts w:asciiTheme="minorHAnsi" w:eastAsiaTheme="majorEastAsia" w:hAnsiTheme="minorHAnsi" w:cstheme="minorHAnsi"/>
          <w:sz w:val="24"/>
          <w:szCs w:val="24"/>
        </w:rPr>
      </w:pPr>
      <w:r w:rsidRPr="00D439EE">
        <w:rPr>
          <w:rFonts w:asciiTheme="minorHAnsi" w:eastAsiaTheme="majorEastAsia" w:hAnsiTheme="minorHAnsi" w:cstheme="minorHAnsi"/>
          <w:sz w:val="24"/>
          <w:szCs w:val="24"/>
        </w:rPr>
        <w:t>There was no hearing for this item as it was a minor submission.</w:t>
      </w:r>
    </w:p>
    <w:p w:rsidR="00DB53A8" w:rsidRPr="00F31049" w:rsidRDefault="00DB53A8" w:rsidP="003E77D9">
      <w:pPr>
        <w:pStyle w:val="Heading2"/>
        <w:spacing w:before="120"/>
      </w:pPr>
      <w:r w:rsidRPr="00F31049">
        <w:t>Consumer comments</w:t>
      </w:r>
    </w:p>
    <w:p w:rsidR="00DB53A8" w:rsidRPr="00D439EE" w:rsidRDefault="00DB53A8" w:rsidP="003E77D9">
      <w:pPr>
        <w:pStyle w:val="ListParagraph"/>
        <w:widowControl/>
        <w:numPr>
          <w:ilvl w:val="1"/>
          <w:numId w:val="5"/>
        </w:numPr>
        <w:spacing w:before="120" w:after="120"/>
        <w:rPr>
          <w:rFonts w:asciiTheme="minorHAnsi" w:eastAsiaTheme="majorEastAsia" w:hAnsiTheme="minorHAnsi" w:cstheme="minorHAnsi"/>
          <w:sz w:val="24"/>
          <w:szCs w:val="24"/>
        </w:rPr>
      </w:pPr>
      <w:r w:rsidRPr="00D439EE">
        <w:rPr>
          <w:rFonts w:asciiTheme="minorHAnsi" w:eastAsiaTheme="majorEastAsia" w:hAnsiTheme="minorHAnsi" w:cstheme="minorHAnsi"/>
          <w:sz w:val="24"/>
          <w:szCs w:val="24"/>
        </w:rPr>
        <w:t xml:space="preserve">The PBAC noted that there </w:t>
      </w:r>
      <w:r w:rsidR="0050015F">
        <w:rPr>
          <w:rFonts w:asciiTheme="minorHAnsi" w:eastAsiaTheme="majorEastAsia" w:hAnsiTheme="minorHAnsi" w:cstheme="minorHAnsi"/>
          <w:sz w:val="24"/>
          <w:szCs w:val="24"/>
        </w:rPr>
        <w:t>were</w:t>
      </w:r>
      <w:r w:rsidRPr="00D439EE">
        <w:rPr>
          <w:rFonts w:asciiTheme="minorHAnsi" w:eastAsiaTheme="majorEastAsia" w:hAnsiTheme="minorHAnsi" w:cstheme="minorHAnsi"/>
          <w:sz w:val="24"/>
          <w:szCs w:val="24"/>
        </w:rPr>
        <w:t xml:space="preserve"> no consumer comment</w:t>
      </w:r>
      <w:r w:rsidR="0050015F">
        <w:rPr>
          <w:rFonts w:asciiTheme="minorHAnsi" w:eastAsiaTheme="majorEastAsia" w:hAnsiTheme="minorHAnsi" w:cstheme="minorHAnsi"/>
          <w:sz w:val="24"/>
          <w:szCs w:val="24"/>
        </w:rPr>
        <w:t xml:space="preserve">s </w:t>
      </w:r>
      <w:r w:rsidRPr="00D439EE">
        <w:rPr>
          <w:rFonts w:asciiTheme="minorHAnsi" w:eastAsiaTheme="majorEastAsia" w:hAnsiTheme="minorHAnsi" w:cstheme="minorHAnsi"/>
          <w:sz w:val="24"/>
          <w:szCs w:val="24"/>
        </w:rPr>
        <w:t>for this submission.</w:t>
      </w:r>
    </w:p>
    <w:p w:rsidR="00D84934" w:rsidRPr="00906477" w:rsidRDefault="00D84934" w:rsidP="003E77D9">
      <w:pPr>
        <w:pStyle w:val="Heading2"/>
        <w:spacing w:before="120"/>
      </w:pPr>
      <w:r w:rsidRPr="00DB53A8">
        <w:t>Clinical</w:t>
      </w:r>
      <w:r w:rsidRPr="00906477">
        <w:t xml:space="preserve"> trials</w:t>
      </w:r>
    </w:p>
    <w:p w:rsidR="005A6B1A" w:rsidRPr="00906477" w:rsidRDefault="005A6B1A" w:rsidP="003E77D9">
      <w:pPr>
        <w:pStyle w:val="ListParagraph"/>
        <w:widowControl/>
        <w:numPr>
          <w:ilvl w:val="1"/>
          <w:numId w:val="14"/>
        </w:numPr>
        <w:spacing w:before="120" w:after="120"/>
        <w:contextualSpacing w:val="0"/>
        <w:rPr>
          <w:rFonts w:asciiTheme="minorHAnsi" w:hAnsiTheme="minorHAnsi"/>
          <w:sz w:val="24"/>
          <w:szCs w:val="24"/>
        </w:rPr>
      </w:pPr>
      <w:r w:rsidRPr="00906477">
        <w:rPr>
          <w:rFonts w:asciiTheme="minorHAnsi" w:hAnsiTheme="minorHAnsi"/>
          <w:sz w:val="24"/>
          <w:szCs w:val="24"/>
        </w:rPr>
        <w:t xml:space="preserve">The submission presented </w:t>
      </w:r>
      <w:r w:rsidR="007C75A0" w:rsidRPr="00906477">
        <w:rPr>
          <w:rFonts w:asciiTheme="minorHAnsi" w:hAnsiTheme="minorHAnsi"/>
          <w:sz w:val="24"/>
          <w:szCs w:val="24"/>
        </w:rPr>
        <w:t>two clinical</w:t>
      </w:r>
      <w:r w:rsidR="00930C40" w:rsidRPr="00906477">
        <w:rPr>
          <w:rFonts w:asciiTheme="minorHAnsi" w:hAnsiTheme="minorHAnsi"/>
          <w:sz w:val="24"/>
          <w:szCs w:val="24"/>
        </w:rPr>
        <w:t xml:space="preserve"> </w:t>
      </w:r>
      <w:r w:rsidRPr="00906477">
        <w:rPr>
          <w:rFonts w:asciiTheme="minorHAnsi" w:hAnsiTheme="minorHAnsi"/>
          <w:sz w:val="24"/>
          <w:szCs w:val="24"/>
        </w:rPr>
        <w:t xml:space="preserve">trials supporting the safety and efficacy of </w:t>
      </w:r>
      <w:proofErr w:type="spellStart"/>
      <w:r w:rsidRPr="00906477">
        <w:rPr>
          <w:rFonts w:asciiTheme="minorHAnsi" w:hAnsiTheme="minorHAnsi"/>
          <w:sz w:val="24"/>
          <w:szCs w:val="24"/>
        </w:rPr>
        <w:t>Truxima</w:t>
      </w:r>
      <w:proofErr w:type="spellEnd"/>
      <w:r w:rsidR="00F23CF6">
        <w:rPr>
          <w:rFonts w:asciiTheme="minorHAnsi" w:hAnsiTheme="minorHAnsi"/>
          <w:sz w:val="24"/>
          <w:szCs w:val="24"/>
        </w:rPr>
        <w:t>®</w:t>
      </w:r>
      <w:r w:rsidRPr="00906477">
        <w:rPr>
          <w:rFonts w:asciiTheme="minorHAnsi" w:hAnsiTheme="minorHAnsi"/>
          <w:sz w:val="24"/>
          <w:szCs w:val="24"/>
        </w:rPr>
        <w:t xml:space="preserve"> with the reference brand as outlined below.</w:t>
      </w:r>
    </w:p>
    <w:p w:rsidR="005F4397" w:rsidRPr="00906477" w:rsidRDefault="007C75A0" w:rsidP="00422709">
      <w:pPr>
        <w:pStyle w:val="PBACheading10"/>
        <w:outlineLvl w:val="9"/>
        <w:rPr>
          <w:rFonts w:ascii="Arial Narrow" w:hAnsi="Arial Narrow"/>
          <w:b w:val="0"/>
          <w:sz w:val="20"/>
          <w:szCs w:val="20"/>
        </w:rPr>
      </w:pPr>
      <w:r w:rsidRPr="00906477">
        <w:rPr>
          <w:rFonts w:ascii="Arial Narrow" w:hAnsi="Arial Narrow"/>
          <w:sz w:val="20"/>
          <w:szCs w:val="20"/>
        </w:rPr>
        <w:t>T</w:t>
      </w:r>
      <w:r w:rsidR="0028378C">
        <w:rPr>
          <w:rFonts w:ascii="Arial Narrow" w:hAnsi="Arial Narrow"/>
          <w:sz w:val="20"/>
          <w:szCs w:val="20"/>
        </w:rPr>
        <w:t>able 1</w:t>
      </w:r>
      <w:r w:rsidR="005F4397" w:rsidRPr="00906477">
        <w:rPr>
          <w:rFonts w:ascii="Arial Narrow" w:hAnsi="Arial Narrow"/>
          <w:sz w:val="20"/>
          <w:szCs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rials and associated reports presented in the submission"/>
      </w:tblPr>
      <w:tblGrid>
        <w:gridCol w:w="1436"/>
        <w:gridCol w:w="5458"/>
        <w:gridCol w:w="2122"/>
      </w:tblGrid>
      <w:tr w:rsidR="005F4397" w:rsidRPr="00906477" w:rsidTr="00040D24">
        <w:trPr>
          <w:cantSplit/>
          <w:trHeight w:val="539"/>
          <w:tblHeader/>
        </w:trPr>
        <w:tc>
          <w:tcPr>
            <w:tcW w:w="796" w:type="pct"/>
          </w:tcPr>
          <w:p w:rsidR="005F4397" w:rsidRPr="00906477" w:rsidRDefault="005F4397" w:rsidP="00D96D71">
            <w:pPr>
              <w:pStyle w:val="NoSpacing"/>
              <w:spacing w:before="40" w:after="40"/>
              <w:jc w:val="left"/>
              <w:rPr>
                <w:rFonts w:ascii="Arial Narrow" w:hAnsi="Arial Narrow"/>
                <w:b/>
                <w:sz w:val="20"/>
              </w:rPr>
            </w:pPr>
            <w:r w:rsidRPr="00906477">
              <w:rPr>
                <w:rFonts w:ascii="Arial Narrow" w:hAnsi="Arial Narrow"/>
                <w:b/>
                <w:sz w:val="20"/>
              </w:rPr>
              <w:t>Trial ID/First Author</w:t>
            </w:r>
          </w:p>
        </w:tc>
        <w:tc>
          <w:tcPr>
            <w:tcW w:w="3027" w:type="pct"/>
          </w:tcPr>
          <w:p w:rsidR="005F4397" w:rsidRPr="00906477" w:rsidRDefault="005F4397" w:rsidP="00D96D71">
            <w:pPr>
              <w:keepNext/>
              <w:spacing w:before="40" w:after="40"/>
              <w:rPr>
                <w:rFonts w:ascii="Arial Narrow" w:hAnsi="Arial Narrow"/>
                <w:b/>
                <w:sz w:val="20"/>
              </w:rPr>
            </w:pPr>
            <w:r w:rsidRPr="00906477">
              <w:rPr>
                <w:rFonts w:ascii="Arial Narrow" w:hAnsi="Arial Narrow"/>
                <w:b/>
                <w:sz w:val="20"/>
              </w:rPr>
              <w:t>Protocol title/ Publication title</w:t>
            </w:r>
          </w:p>
        </w:tc>
        <w:tc>
          <w:tcPr>
            <w:tcW w:w="1177" w:type="pct"/>
          </w:tcPr>
          <w:p w:rsidR="005F4397" w:rsidRPr="00906477" w:rsidRDefault="005F4397" w:rsidP="00D96D71">
            <w:pPr>
              <w:keepNext/>
              <w:spacing w:before="40" w:after="40"/>
              <w:rPr>
                <w:rFonts w:ascii="Arial Narrow" w:hAnsi="Arial Narrow"/>
                <w:b/>
                <w:sz w:val="20"/>
              </w:rPr>
            </w:pPr>
            <w:r w:rsidRPr="00906477">
              <w:rPr>
                <w:rFonts w:ascii="Arial Narrow" w:hAnsi="Arial Narrow"/>
                <w:b/>
                <w:sz w:val="20"/>
              </w:rPr>
              <w:t>Publication citation</w:t>
            </w:r>
          </w:p>
        </w:tc>
      </w:tr>
      <w:tr w:rsidR="005F4397" w:rsidRPr="00906477" w:rsidTr="00040D24">
        <w:trPr>
          <w:cantSplit/>
          <w:trHeight w:val="317"/>
        </w:trPr>
        <w:tc>
          <w:tcPr>
            <w:tcW w:w="5000" w:type="pct"/>
            <w:gridSpan w:val="3"/>
          </w:tcPr>
          <w:p w:rsidR="005F4397" w:rsidRPr="00906477" w:rsidRDefault="005F4397" w:rsidP="00D96D71">
            <w:pPr>
              <w:pStyle w:val="NoSpacing"/>
              <w:spacing w:before="40" w:after="40"/>
              <w:rPr>
                <w:rFonts w:ascii="Arial Narrow" w:hAnsi="Arial Narrow"/>
                <w:b/>
                <w:sz w:val="20"/>
              </w:rPr>
            </w:pPr>
            <w:r w:rsidRPr="00906477">
              <w:rPr>
                <w:rFonts w:ascii="Arial Narrow" w:hAnsi="Arial Narrow"/>
                <w:b/>
                <w:sz w:val="20"/>
              </w:rPr>
              <w:t>Direct randomised trial(s)</w:t>
            </w:r>
          </w:p>
        </w:tc>
      </w:tr>
      <w:tr w:rsidR="005F4397" w:rsidRPr="00906477" w:rsidTr="00040D24">
        <w:trPr>
          <w:cantSplit/>
          <w:trHeight w:val="317"/>
        </w:trPr>
        <w:tc>
          <w:tcPr>
            <w:tcW w:w="796" w:type="pct"/>
          </w:tcPr>
          <w:p w:rsidR="005F4397" w:rsidRPr="00040D24" w:rsidRDefault="005F4397" w:rsidP="00D96D71">
            <w:pPr>
              <w:pStyle w:val="NoSpacing"/>
              <w:rPr>
                <w:rFonts w:ascii="Arial Narrow" w:hAnsi="Arial Narrow"/>
                <w:sz w:val="20"/>
              </w:rPr>
            </w:pPr>
            <w:r w:rsidRPr="00040D24">
              <w:rPr>
                <w:rFonts w:ascii="Arial Narrow" w:hAnsi="Arial Narrow"/>
                <w:sz w:val="20"/>
              </w:rPr>
              <w:t>Study CT-P10 3.2</w:t>
            </w:r>
          </w:p>
          <w:p w:rsidR="005F4397" w:rsidRPr="00040D24" w:rsidRDefault="005F4397" w:rsidP="00D96D71">
            <w:pPr>
              <w:pStyle w:val="NoSpacing"/>
              <w:rPr>
                <w:rFonts w:ascii="Arial Narrow" w:hAnsi="Arial Narrow"/>
                <w:sz w:val="20"/>
              </w:rPr>
            </w:pPr>
            <w:r w:rsidRPr="00040D24">
              <w:rPr>
                <w:rFonts w:ascii="Arial Narrow" w:hAnsi="Arial Narrow"/>
                <w:sz w:val="20"/>
              </w:rPr>
              <w:t>NCT 02149121</w:t>
            </w:r>
          </w:p>
        </w:tc>
        <w:tc>
          <w:tcPr>
            <w:tcW w:w="3027" w:type="pct"/>
          </w:tcPr>
          <w:p w:rsidR="005F4397" w:rsidRPr="00906477" w:rsidRDefault="005F4397" w:rsidP="00D96D71">
            <w:pPr>
              <w:keepNext/>
              <w:rPr>
                <w:rFonts w:ascii="Arial Narrow" w:hAnsi="Arial Narrow"/>
                <w:sz w:val="20"/>
              </w:rPr>
            </w:pPr>
            <w:r w:rsidRPr="00906477">
              <w:rPr>
                <w:rFonts w:ascii="Arial Narrow" w:hAnsi="Arial Narrow"/>
                <w:sz w:val="20"/>
              </w:rPr>
              <w:t xml:space="preserve">A Randomized, Controlled, Double-Blind, Parallel-Group, Phase 3 Study to Compare the Pharmacokinetics, Efficacy and Safety Between CT-P10, </w:t>
            </w:r>
            <w:proofErr w:type="spellStart"/>
            <w:r w:rsidRPr="00906477">
              <w:rPr>
                <w:rFonts w:ascii="Arial Narrow" w:hAnsi="Arial Narrow"/>
                <w:sz w:val="20"/>
              </w:rPr>
              <w:t>Rituxan</w:t>
            </w:r>
            <w:proofErr w:type="spellEnd"/>
            <w:r w:rsidRPr="00906477">
              <w:rPr>
                <w:rFonts w:ascii="Arial Narrow" w:hAnsi="Arial Narrow"/>
                <w:sz w:val="20"/>
              </w:rPr>
              <w:t xml:space="preserve"> and </w:t>
            </w:r>
            <w:proofErr w:type="spellStart"/>
            <w:r w:rsidRPr="00906477">
              <w:rPr>
                <w:rFonts w:ascii="Arial Narrow" w:hAnsi="Arial Narrow"/>
                <w:sz w:val="20"/>
              </w:rPr>
              <w:t>MabThera</w:t>
            </w:r>
            <w:proofErr w:type="spellEnd"/>
            <w:r w:rsidRPr="00906477">
              <w:rPr>
                <w:rFonts w:ascii="Arial Narrow" w:hAnsi="Arial Narrow"/>
                <w:sz w:val="20"/>
              </w:rPr>
              <w:t xml:space="preserve"> in Patients With Rheumatoid Arthritis</w:t>
            </w:r>
          </w:p>
        </w:tc>
        <w:tc>
          <w:tcPr>
            <w:tcW w:w="1177" w:type="pct"/>
          </w:tcPr>
          <w:p w:rsidR="005F4397" w:rsidRPr="00906477" w:rsidRDefault="005F4397" w:rsidP="00D96D71">
            <w:pPr>
              <w:keepNext/>
              <w:rPr>
                <w:rFonts w:ascii="Arial Narrow" w:hAnsi="Arial Narrow"/>
                <w:sz w:val="20"/>
              </w:rPr>
            </w:pPr>
            <w:r w:rsidRPr="00906477">
              <w:rPr>
                <w:rFonts w:ascii="Arial Narrow" w:hAnsi="Arial Narrow"/>
                <w:sz w:val="20"/>
              </w:rPr>
              <w:t>CSR CT-P10 3.2 Addendum 14 November 2016 (</w:t>
            </w:r>
            <w:proofErr w:type="spellStart"/>
            <w:r w:rsidRPr="00906477">
              <w:rPr>
                <w:rFonts w:ascii="Arial Narrow" w:hAnsi="Arial Narrow"/>
                <w:sz w:val="20"/>
              </w:rPr>
              <w:t>Celltrion</w:t>
            </w:r>
            <w:proofErr w:type="spellEnd"/>
            <w:r w:rsidRPr="00906477">
              <w:rPr>
                <w:rFonts w:ascii="Arial Narrow" w:hAnsi="Arial Narrow"/>
                <w:sz w:val="20"/>
              </w:rPr>
              <w:t xml:space="preserve"> Healthcare, Nov 2016)</w:t>
            </w:r>
          </w:p>
        </w:tc>
      </w:tr>
      <w:tr w:rsidR="005F4397" w:rsidRPr="00906477" w:rsidTr="00040D24">
        <w:trPr>
          <w:cantSplit/>
          <w:trHeight w:val="317"/>
        </w:trPr>
        <w:tc>
          <w:tcPr>
            <w:tcW w:w="796" w:type="pct"/>
          </w:tcPr>
          <w:p w:rsidR="005F4397" w:rsidRPr="00040D24" w:rsidRDefault="005F4397" w:rsidP="00D96D71">
            <w:pPr>
              <w:pStyle w:val="NoSpacing"/>
              <w:rPr>
                <w:rFonts w:ascii="Arial Narrow" w:hAnsi="Arial Narrow"/>
                <w:sz w:val="20"/>
              </w:rPr>
            </w:pPr>
            <w:r w:rsidRPr="00040D24">
              <w:rPr>
                <w:rFonts w:ascii="Arial Narrow" w:hAnsi="Arial Narrow"/>
                <w:sz w:val="20"/>
              </w:rPr>
              <w:t>Study CT-P10 3.3</w:t>
            </w:r>
          </w:p>
          <w:p w:rsidR="005F4397" w:rsidRPr="00040D24" w:rsidRDefault="005F4397" w:rsidP="00D96D71">
            <w:pPr>
              <w:pStyle w:val="NoSpacing"/>
              <w:rPr>
                <w:rFonts w:ascii="Arial Narrow" w:hAnsi="Arial Narrow"/>
                <w:sz w:val="20"/>
              </w:rPr>
            </w:pPr>
            <w:r w:rsidRPr="00040D24">
              <w:rPr>
                <w:rFonts w:ascii="Arial Narrow" w:hAnsi="Arial Narrow"/>
                <w:sz w:val="20"/>
              </w:rPr>
              <w:t>NCT 02162771</w:t>
            </w:r>
          </w:p>
        </w:tc>
        <w:tc>
          <w:tcPr>
            <w:tcW w:w="3027" w:type="pct"/>
          </w:tcPr>
          <w:p w:rsidR="005F4397" w:rsidRPr="00906477" w:rsidRDefault="005F4397" w:rsidP="00D96D71">
            <w:pPr>
              <w:keepNext/>
              <w:rPr>
                <w:rFonts w:ascii="Arial Narrow" w:hAnsi="Arial Narrow"/>
                <w:b/>
                <w:sz w:val="20"/>
              </w:rPr>
            </w:pPr>
            <w:r w:rsidRPr="00906477">
              <w:rPr>
                <w:rFonts w:ascii="Arial Narrow" w:hAnsi="Arial Narrow"/>
                <w:sz w:val="20"/>
              </w:rPr>
              <w:t xml:space="preserve">Efficacy, pharmacokinetics, and safety of the biosimilar CT-P10 compared with rituximab in patients with previously untreated advanced-stage follicular lymphoma: a randomised, </w:t>
            </w:r>
            <w:proofErr w:type="gramStart"/>
            <w:r w:rsidRPr="00906477">
              <w:rPr>
                <w:rFonts w:ascii="Arial Narrow" w:hAnsi="Arial Narrow"/>
                <w:sz w:val="20"/>
              </w:rPr>
              <w:t>double-blind</w:t>
            </w:r>
            <w:proofErr w:type="gramEnd"/>
            <w:r w:rsidRPr="00906477">
              <w:rPr>
                <w:rFonts w:ascii="Arial Narrow" w:hAnsi="Arial Narrow"/>
                <w:sz w:val="20"/>
              </w:rPr>
              <w:t>, parallel-group, non-inferiority phase 3 trial.</w:t>
            </w:r>
            <w:r w:rsidRPr="00906477">
              <w:rPr>
                <w:rFonts w:ascii="Arial Narrow" w:hAnsi="Arial Narrow"/>
                <w:b/>
                <w:sz w:val="20"/>
              </w:rPr>
              <w:t xml:space="preserve"> </w:t>
            </w:r>
          </w:p>
        </w:tc>
        <w:tc>
          <w:tcPr>
            <w:tcW w:w="1177" w:type="pct"/>
          </w:tcPr>
          <w:p w:rsidR="005F4397" w:rsidRPr="00906477" w:rsidRDefault="005F4397" w:rsidP="00D96D71">
            <w:pPr>
              <w:keepNext/>
              <w:rPr>
                <w:rFonts w:ascii="Arial Narrow" w:hAnsi="Arial Narrow"/>
                <w:sz w:val="20"/>
              </w:rPr>
            </w:pPr>
            <w:r w:rsidRPr="00906477">
              <w:rPr>
                <w:rFonts w:ascii="Arial Narrow" w:hAnsi="Arial Narrow"/>
                <w:sz w:val="20"/>
              </w:rPr>
              <w:t xml:space="preserve">Kim WS et al. Lancet </w:t>
            </w:r>
            <w:proofErr w:type="spellStart"/>
            <w:r w:rsidRPr="00906477">
              <w:rPr>
                <w:rFonts w:ascii="Arial Narrow" w:hAnsi="Arial Narrow"/>
                <w:sz w:val="20"/>
              </w:rPr>
              <w:t>Haematol</w:t>
            </w:r>
            <w:proofErr w:type="spellEnd"/>
            <w:r w:rsidRPr="00906477">
              <w:rPr>
                <w:rFonts w:ascii="Arial Narrow" w:hAnsi="Arial Narrow"/>
                <w:sz w:val="20"/>
              </w:rPr>
              <w:t xml:space="preserve"> 2017</w:t>
            </w:r>
            <w:proofErr w:type="gramStart"/>
            <w:r w:rsidRPr="00906477">
              <w:rPr>
                <w:rFonts w:ascii="Arial Narrow" w:hAnsi="Arial Narrow"/>
                <w:sz w:val="20"/>
              </w:rPr>
              <w:t>;</w:t>
            </w:r>
            <w:proofErr w:type="gramEnd"/>
            <w:r w:rsidRPr="00906477">
              <w:rPr>
                <w:rFonts w:ascii="Arial Narrow" w:hAnsi="Arial Narrow"/>
                <w:sz w:val="20"/>
              </w:rPr>
              <w:t xml:space="preserve"> 4: e362-73. (Kim, 2017)</w:t>
            </w:r>
          </w:p>
        </w:tc>
      </w:tr>
    </w:tbl>
    <w:p w:rsidR="003C7875" w:rsidRPr="00906477" w:rsidRDefault="003C7875" w:rsidP="003E77D9">
      <w:pPr>
        <w:pStyle w:val="ListParagraph"/>
        <w:widowControl/>
        <w:numPr>
          <w:ilvl w:val="1"/>
          <w:numId w:val="14"/>
        </w:numPr>
        <w:spacing w:before="120" w:after="120"/>
        <w:contextualSpacing w:val="0"/>
        <w:rPr>
          <w:rFonts w:asciiTheme="minorHAnsi" w:hAnsiTheme="minorHAnsi"/>
          <w:sz w:val="24"/>
          <w:szCs w:val="24"/>
        </w:rPr>
      </w:pPr>
      <w:r w:rsidRPr="00906477">
        <w:rPr>
          <w:rFonts w:asciiTheme="minorHAnsi" w:eastAsiaTheme="minorHAnsi" w:hAnsiTheme="minorHAnsi" w:cstheme="minorBidi"/>
          <w:snapToGrid/>
          <w:sz w:val="24"/>
          <w:szCs w:val="22"/>
        </w:rPr>
        <w:t xml:space="preserve">As a minor submission, no evaluation of the clinical data was undertaken. </w:t>
      </w:r>
    </w:p>
    <w:p w:rsidR="005A3173" w:rsidRPr="00906477" w:rsidRDefault="005A3173" w:rsidP="003E77D9">
      <w:pPr>
        <w:pStyle w:val="Heading2"/>
        <w:spacing w:before="120"/>
      </w:pPr>
      <w:r w:rsidRPr="00906477">
        <w:t>Comparative effectiveness</w:t>
      </w:r>
    </w:p>
    <w:p w:rsidR="000E02D4" w:rsidRPr="00906477" w:rsidRDefault="000E02D4" w:rsidP="003E77D9">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 xml:space="preserve">The </w:t>
      </w:r>
      <w:r w:rsidR="00930C40" w:rsidRPr="00906477">
        <w:rPr>
          <w:rFonts w:asciiTheme="minorHAnsi" w:eastAsiaTheme="minorHAnsi" w:hAnsiTheme="minorHAnsi" w:cstheme="minorBidi"/>
          <w:snapToGrid/>
          <w:sz w:val="24"/>
          <w:szCs w:val="22"/>
        </w:rPr>
        <w:t>approved Product Information (PI) states</w:t>
      </w:r>
      <w:r w:rsidRPr="00906477">
        <w:rPr>
          <w:rFonts w:asciiTheme="minorHAnsi" w:eastAsiaTheme="minorHAnsi" w:hAnsiTheme="minorHAnsi" w:cstheme="minorBidi"/>
          <w:snapToGrid/>
          <w:sz w:val="24"/>
          <w:szCs w:val="22"/>
        </w:rPr>
        <w:t xml:space="preserve"> that</w:t>
      </w:r>
      <w:r w:rsidR="00930C40" w:rsidRPr="00906477">
        <w:rPr>
          <w:rFonts w:asciiTheme="minorHAnsi" w:eastAsiaTheme="minorHAnsi" w:hAnsiTheme="minorHAnsi" w:cstheme="minorBidi"/>
          <w:snapToGrid/>
          <w:sz w:val="24"/>
          <w:szCs w:val="22"/>
        </w:rPr>
        <w:t xml:space="preserve"> the comparability of</w:t>
      </w:r>
      <w:r w:rsidRPr="00906477">
        <w:rPr>
          <w:rFonts w:asciiTheme="minorHAnsi" w:eastAsiaTheme="minorHAnsi" w:hAnsiTheme="minorHAnsi" w:cstheme="minorBidi"/>
          <w:snapToGrid/>
          <w:sz w:val="24"/>
          <w:szCs w:val="22"/>
        </w:rPr>
        <w:t xml:space="preserve"> </w:t>
      </w:r>
      <w:proofErr w:type="spellStart"/>
      <w:r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 xml:space="preserve">® </w:t>
      </w:r>
      <w:r w:rsidR="00930C40" w:rsidRPr="00906477">
        <w:rPr>
          <w:rFonts w:asciiTheme="minorHAnsi" w:eastAsiaTheme="minorHAnsi" w:hAnsiTheme="minorHAnsi" w:cstheme="minorBidi"/>
          <w:snapToGrid/>
          <w:sz w:val="24"/>
          <w:szCs w:val="22"/>
        </w:rPr>
        <w:t xml:space="preserve">with </w:t>
      </w:r>
      <w:proofErr w:type="spellStart"/>
      <w:r w:rsidR="00930C40" w:rsidRPr="00906477">
        <w:rPr>
          <w:rFonts w:asciiTheme="minorHAnsi" w:eastAsiaTheme="minorHAnsi" w:hAnsiTheme="minorHAnsi" w:cstheme="minorBidi"/>
          <w:snapToGrid/>
          <w:sz w:val="24"/>
          <w:szCs w:val="22"/>
        </w:rPr>
        <w:t>MabThera</w:t>
      </w:r>
      <w:proofErr w:type="spellEnd"/>
      <w:r w:rsidR="00F23CF6">
        <w:rPr>
          <w:rFonts w:asciiTheme="minorHAnsi" w:eastAsiaTheme="minorHAnsi" w:hAnsiTheme="minorHAnsi" w:cstheme="minorBidi"/>
          <w:snapToGrid/>
          <w:sz w:val="24"/>
          <w:szCs w:val="22"/>
        </w:rPr>
        <w:t>®</w:t>
      </w:r>
      <w:r w:rsidR="00930C40" w:rsidRPr="00906477">
        <w:rPr>
          <w:rFonts w:asciiTheme="minorHAnsi" w:eastAsiaTheme="minorHAnsi" w:hAnsiTheme="minorHAnsi" w:cstheme="minorBidi"/>
          <w:snapToGrid/>
          <w:sz w:val="24"/>
          <w:szCs w:val="22"/>
        </w:rPr>
        <w:t xml:space="preserve"> </w:t>
      </w:r>
      <w:proofErr w:type="gramStart"/>
      <w:r w:rsidR="00930C40" w:rsidRPr="00906477">
        <w:rPr>
          <w:rFonts w:asciiTheme="minorHAnsi" w:eastAsiaTheme="minorHAnsi" w:hAnsiTheme="minorHAnsi" w:cstheme="minorBidi"/>
          <w:snapToGrid/>
          <w:sz w:val="24"/>
          <w:szCs w:val="22"/>
        </w:rPr>
        <w:t>has been demonstrated</w:t>
      </w:r>
      <w:proofErr w:type="gramEnd"/>
      <w:r w:rsidR="00930C40" w:rsidRPr="00906477">
        <w:rPr>
          <w:rFonts w:asciiTheme="minorHAnsi" w:eastAsiaTheme="minorHAnsi" w:hAnsiTheme="minorHAnsi" w:cstheme="minorBidi"/>
          <w:snapToGrid/>
          <w:sz w:val="24"/>
          <w:szCs w:val="22"/>
        </w:rPr>
        <w:t xml:space="preserve"> with regard to physicochemical characteristics and efficacy and safety outcomes for the listed indications</w:t>
      </w:r>
      <w:r w:rsidRPr="00906477">
        <w:rPr>
          <w:rFonts w:asciiTheme="minorHAnsi" w:eastAsiaTheme="minorHAnsi" w:hAnsiTheme="minorHAnsi" w:cstheme="minorBidi"/>
          <w:snapToGrid/>
          <w:sz w:val="24"/>
          <w:szCs w:val="22"/>
        </w:rPr>
        <w:t xml:space="preserve">. </w:t>
      </w:r>
    </w:p>
    <w:p w:rsidR="000E02D4" w:rsidRPr="00906477" w:rsidRDefault="000E02D4" w:rsidP="003E77D9">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 xml:space="preserve">The </w:t>
      </w:r>
      <w:r w:rsidR="00930C40" w:rsidRPr="00906477">
        <w:rPr>
          <w:rFonts w:asciiTheme="minorHAnsi" w:eastAsiaTheme="minorHAnsi" w:hAnsiTheme="minorHAnsi" w:cstheme="minorBidi"/>
          <w:snapToGrid/>
          <w:sz w:val="24"/>
          <w:szCs w:val="22"/>
        </w:rPr>
        <w:t>PI</w:t>
      </w:r>
      <w:r w:rsidRPr="00906477">
        <w:rPr>
          <w:rFonts w:asciiTheme="minorHAnsi" w:eastAsiaTheme="minorHAnsi" w:hAnsiTheme="minorHAnsi" w:cstheme="minorBidi"/>
          <w:snapToGrid/>
          <w:sz w:val="24"/>
          <w:szCs w:val="22"/>
        </w:rPr>
        <w:t xml:space="preserve"> considered the physicochemical, pharmacological, clinical and safety properties of </w:t>
      </w:r>
      <w:proofErr w:type="spellStart"/>
      <w:r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to be very similar to </w:t>
      </w:r>
      <w:proofErr w:type="spellStart"/>
      <w:r w:rsidR="00906477" w:rsidRPr="00906477">
        <w:rPr>
          <w:rFonts w:asciiTheme="minorHAnsi" w:eastAsiaTheme="minorHAnsi" w:hAnsiTheme="minorHAnsi" w:cstheme="minorBidi"/>
          <w:snapToGrid/>
          <w:sz w:val="24"/>
          <w:szCs w:val="22"/>
        </w:rPr>
        <w:t>Mab</w:t>
      </w:r>
      <w:r w:rsidR="00906477">
        <w:rPr>
          <w:rFonts w:asciiTheme="minorHAnsi" w:eastAsiaTheme="minorHAnsi" w:hAnsiTheme="minorHAnsi" w:cstheme="minorBidi"/>
          <w:snapToGrid/>
          <w:sz w:val="24"/>
          <w:szCs w:val="22"/>
        </w:rPr>
        <w:t>T</w:t>
      </w:r>
      <w:r w:rsidR="00906477" w:rsidRPr="00906477">
        <w:rPr>
          <w:rFonts w:asciiTheme="minorHAnsi" w:eastAsiaTheme="minorHAnsi" w:hAnsiTheme="minorHAnsi" w:cstheme="minorBidi"/>
          <w:snapToGrid/>
          <w:sz w:val="24"/>
          <w:szCs w:val="22"/>
        </w:rPr>
        <w:t>hera</w:t>
      </w:r>
      <w:proofErr w:type="spellEnd"/>
      <w:r w:rsidR="00F23CF6">
        <w:rPr>
          <w:rFonts w:asciiTheme="minorHAnsi" w:eastAsiaTheme="minorHAnsi" w:hAnsiTheme="minorHAnsi" w:cstheme="minorBidi"/>
          <w:snapToGrid/>
          <w:sz w:val="24"/>
          <w:szCs w:val="22"/>
        </w:rPr>
        <w:t>®</w:t>
      </w:r>
      <w:r w:rsidR="00906477" w:rsidRPr="00906477">
        <w:rPr>
          <w:rFonts w:asciiTheme="minorHAnsi" w:eastAsiaTheme="minorHAnsi" w:hAnsiTheme="minorHAnsi" w:cstheme="minorBidi"/>
          <w:snapToGrid/>
          <w:sz w:val="24"/>
          <w:szCs w:val="22"/>
        </w:rPr>
        <w:t xml:space="preserve"> </w:t>
      </w:r>
      <w:r w:rsidRPr="00906477">
        <w:rPr>
          <w:rFonts w:asciiTheme="minorHAnsi" w:eastAsiaTheme="minorHAnsi" w:hAnsiTheme="minorHAnsi" w:cstheme="minorBidi"/>
          <w:snapToGrid/>
          <w:sz w:val="24"/>
          <w:szCs w:val="22"/>
        </w:rPr>
        <w:t xml:space="preserve">and was of the view that </w:t>
      </w:r>
      <w:proofErr w:type="spellStart"/>
      <w:r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was highly </w:t>
      </w:r>
      <w:r w:rsidR="005A6B1A" w:rsidRPr="00906477">
        <w:rPr>
          <w:rFonts w:asciiTheme="minorHAnsi" w:eastAsiaTheme="minorHAnsi" w:hAnsiTheme="minorHAnsi" w:cstheme="minorBidi"/>
          <w:snapToGrid/>
          <w:sz w:val="24"/>
          <w:szCs w:val="22"/>
        </w:rPr>
        <w:t xml:space="preserve">similar </w:t>
      </w:r>
      <w:r w:rsidRPr="00906477">
        <w:rPr>
          <w:rFonts w:asciiTheme="minorHAnsi" w:eastAsiaTheme="minorHAnsi" w:hAnsiTheme="minorHAnsi" w:cstheme="minorBidi"/>
          <w:snapToGrid/>
          <w:sz w:val="24"/>
          <w:szCs w:val="22"/>
        </w:rPr>
        <w:t xml:space="preserve">to </w:t>
      </w:r>
      <w:proofErr w:type="spellStart"/>
      <w:r w:rsidRPr="00906477">
        <w:rPr>
          <w:rFonts w:asciiTheme="minorHAnsi" w:eastAsiaTheme="minorHAnsi" w:hAnsiTheme="minorHAnsi" w:cstheme="minorBidi"/>
          <w:snapToGrid/>
          <w:sz w:val="24"/>
          <w:szCs w:val="22"/>
        </w:rPr>
        <w:t>MabThera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w:t>
      </w:r>
    </w:p>
    <w:p w:rsidR="005A3173" w:rsidRPr="00906477" w:rsidRDefault="005A3173" w:rsidP="003E77D9">
      <w:pPr>
        <w:pStyle w:val="Heading2"/>
        <w:spacing w:before="120"/>
      </w:pPr>
      <w:r w:rsidRPr="00906477">
        <w:t>Comparative harms</w:t>
      </w:r>
    </w:p>
    <w:p w:rsidR="000E02D4" w:rsidRPr="00906477" w:rsidRDefault="000E02D4" w:rsidP="003E77D9">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 xml:space="preserve">The </w:t>
      </w:r>
      <w:r w:rsidR="00331F1A" w:rsidRPr="00906477">
        <w:rPr>
          <w:rFonts w:asciiTheme="minorHAnsi" w:eastAsiaTheme="minorHAnsi" w:hAnsiTheme="minorHAnsi" w:cstheme="minorBidi"/>
          <w:snapToGrid/>
          <w:sz w:val="24"/>
          <w:szCs w:val="22"/>
        </w:rPr>
        <w:t>TGA approved</w:t>
      </w:r>
      <w:r w:rsidR="00294434" w:rsidRPr="00906477">
        <w:rPr>
          <w:rFonts w:asciiTheme="minorHAnsi" w:eastAsiaTheme="minorHAnsi" w:hAnsiTheme="minorHAnsi" w:cstheme="minorBidi"/>
          <w:snapToGrid/>
          <w:sz w:val="24"/>
          <w:szCs w:val="22"/>
        </w:rPr>
        <w:t xml:space="preserve"> product information (PI) </w:t>
      </w:r>
      <w:r w:rsidR="001D66FF" w:rsidRPr="00906477">
        <w:rPr>
          <w:rFonts w:asciiTheme="minorHAnsi" w:eastAsiaTheme="minorHAnsi" w:hAnsiTheme="minorHAnsi" w:cstheme="minorBidi"/>
          <w:snapToGrid/>
          <w:sz w:val="24"/>
          <w:szCs w:val="22"/>
        </w:rPr>
        <w:t xml:space="preserve">stated </w:t>
      </w:r>
      <w:r w:rsidR="00294434" w:rsidRPr="00906477">
        <w:rPr>
          <w:rFonts w:asciiTheme="minorHAnsi" w:eastAsiaTheme="minorHAnsi" w:hAnsiTheme="minorHAnsi" w:cstheme="minorBidi"/>
          <w:snapToGrid/>
          <w:sz w:val="24"/>
          <w:szCs w:val="22"/>
        </w:rPr>
        <w:t xml:space="preserve">that the overall safety profile of </w:t>
      </w:r>
      <w:proofErr w:type="spellStart"/>
      <w:r w:rsidR="00294434"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00294434" w:rsidRPr="00906477">
        <w:rPr>
          <w:rFonts w:asciiTheme="minorHAnsi" w:eastAsiaTheme="minorHAnsi" w:hAnsiTheme="minorHAnsi" w:cstheme="minorBidi"/>
          <w:snapToGrid/>
          <w:sz w:val="24"/>
          <w:szCs w:val="22"/>
        </w:rPr>
        <w:t xml:space="preserve"> in clinical trials was similar to that of </w:t>
      </w:r>
      <w:proofErr w:type="spellStart"/>
      <w:r w:rsidR="00294434" w:rsidRPr="00906477">
        <w:rPr>
          <w:rFonts w:asciiTheme="minorHAnsi" w:eastAsiaTheme="minorHAnsi" w:hAnsiTheme="minorHAnsi" w:cstheme="minorBidi"/>
          <w:snapToGrid/>
          <w:sz w:val="24"/>
          <w:szCs w:val="22"/>
        </w:rPr>
        <w:t>MabThera</w:t>
      </w:r>
      <w:proofErr w:type="spellEnd"/>
      <w:r w:rsidR="00294434" w:rsidRPr="00906477">
        <w:rPr>
          <w:rFonts w:asciiTheme="minorHAnsi" w:eastAsiaTheme="minorHAnsi" w:hAnsiTheme="minorHAnsi" w:cstheme="minorBidi"/>
          <w:snapToGrid/>
          <w:sz w:val="24"/>
          <w:szCs w:val="22"/>
        </w:rPr>
        <w:t xml:space="preserve">®. </w:t>
      </w:r>
    </w:p>
    <w:p w:rsidR="000E02D4" w:rsidRPr="00906477" w:rsidRDefault="00A34367" w:rsidP="003E77D9">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The m</w:t>
      </w:r>
      <w:r w:rsidR="000E02D4" w:rsidRPr="00906477">
        <w:rPr>
          <w:rFonts w:asciiTheme="minorHAnsi" w:eastAsiaTheme="minorHAnsi" w:hAnsiTheme="minorHAnsi" w:cstheme="minorBidi"/>
          <w:snapToGrid/>
          <w:sz w:val="24"/>
          <w:szCs w:val="22"/>
        </w:rPr>
        <w:t xml:space="preserve">ost common reported </w:t>
      </w:r>
      <w:r w:rsidRPr="00906477">
        <w:rPr>
          <w:rFonts w:asciiTheme="minorHAnsi" w:eastAsiaTheme="minorHAnsi" w:hAnsiTheme="minorHAnsi" w:cstheme="minorBidi"/>
          <w:snapToGrid/>
          <w:sz w:val="24"/>
          <w:szCs w:val="22"/>
        </w:rPr>
        <w:t xml:space="preserve">adverse </w:t>
      </w:r>
      <w:r w:rsidR="000E02D4" w:rsidRPr="00906477">
        <w:rPr>
          <w:rFonts w:asciiTheme="minorHAnsi" w:eastAsiaTheme="minorHAnsi" w:hAnsiTheme="minorHAnsi" w:cstheme="minorBidi"/>
          <w:snapToGrid/>
          <w:sz w:val="24"/>
          <w:szCs w:val="22"/>
        </w:rPr>
        <w:t xml:space="preserve">events were infections and infusion related reactions. The frequencies and nature of the adverse events were </w:t>
      </w:r>
      <w:r w:rsidR="005A6B1A" w:rsidRPr="00906477">
        <w:rPr>
          <w:rFonts w:asciiTheme="minorHAnsi" w:eastAsiaTheme="minorHAnsi" w:hAnsiTheme="minorHAnsi" w:cstheme="minorBidi"/>
          <w:snapToGrid/>
          <w:sz w:val="24"/>
          <w:szCs w:val="22"/>
        </w:rPr>
        <w:t>similar</w:t>
      </w:r>
      <w:r w:rsidR="000E02D4" w:rsidRPr="00906477">
        <w:rPr>
          <w:rFonts w:asciiTheme="minorHAnsi" w:eastAsiaTheme="minorHAnsi" w:hAnsiTheme="minorHAnsi" w:cstheme="minorBidi"/>
          <w:snapToGrid/>
          <w:sz w:val="24"/>
          <w:szCs w:val="22"/>
        </w:rPr>
        <w:t xml:space="preserve"> </w:t>
      </w:r>
      <w:r w:rsidR="005A6B1A" w:rsidRPr="00906477">
        <w:rPr>
          <w:rFonts w:asciiTheme="minorHAnsi" w:eastAsiaTheme="minorHAnsi" w:hAnsiTheme="minorHAnsi" w:cstheme="minorBidi"/>
          <w:snapToGrid/>
          <w:sz w:val="24"/>
          <w:szCs w:val="22"/>
        </w:rPr>
        <w:t xml:space="preserve">to </w:t>
      </w:r>
      <w:r w:rsidR="000E02D4" w:rsidRPr="00906477">
        <w:rPr>
          <w:rFonts w:asciiTheme="minorHAnsi" w:eastAsiaTheme="minorHAnsi" w:hAnsiTheme="minorHAnsi" w:cstheme="minorBidi"/>
          <w:snapToGrid/>
          <w:sz w:val="24"/>
          <w:szCs w:val="22"/>
        </w:rPr>
        <w:t xml:space="preserve">those reported for </w:t>
      </w:r>
      <w:proofErr w:type="spellStart"/>
      <w:r w:rsidR="000E02D4" w:rsidRPr="00906477">
        <w:rPr>
          <w:rFonts w:asciiTheme="minorHAnsi" w:eastAsiaTheme="minorHAnsi" w:hAnsiTheme="minorHAnsi" w:cstheme="minorBidi"/>
          <w:snapToGrid/>
          <w:sz w:val="24"/>
          <w:szCs w:val="22"/>
        </w:rPr>
        <w:t>MabThera</w:t>
      </w:r>
      <w:proofErr w:type="spellEnd"/>
      <w:r w:rsidR="00F23CF6">
        <w:rPr>
          <w:rFonts w:asciiTheme="minorHAnsi" w:eastAsiaTheme="minorHAnsi" w:hAnsiTheme="minorHAnsi" w:cstheme="minorBidi"/>
          <w:snapToGrid/>
          <w:sz w:val="24"/>
          <w:szCs w:val="22"/>
        </w:rPr>
        <w:t>®</w:t>
      </w:r>
      <w:r w:rsidR="000E02D4" w:rsidRPr="00906477">
        <w:rPr>
          <w:rFonts w:asciiTheme="minorHAnsi" w:eastAsiaTheme="minorHAnsi" w:hAnsiTheme="minorHAnsi" w:cstheme="minorBidi"/>
          <w:snapToGrid/>
          <w:sz w:val="24"/>
          <w:szCs w:val="22"/>
        </w:rPr>
        <w:t xml:space="preserve">. </w:t>
      </w:r>
    </w:p>
    <w:p w:rsidR="003C2FB5" w:rsidRPr="00906477" w:rsidRDefault="005A3173" w:rsidP="003E77D9">
      <w:pPr>
        <w:pStyle w:val="Heading2"/>
        <w:spacing w:before="120"/>
      </w:pPr>
      <w:r w:rsidRPr="00906477">
        <w:t>Clinical claim</w:t>
      </w:r>
    </w:p>
    <w:p w:rsidR="00767750" w:rsidRPr="00906477" w:rsidRDefault="00767750" w:rsidP="003E77D9">
      <w:pPr>
        <w:pStyle w:val="ListParagraph"/>
        <w:widowControl/>
        <w:numPr>
          <w:ilvl w:val="1"/>
          <w:numId w:val="5"/>
        </w:numPr>
        <w:spacing w:before="120" w:after="120"/>
        <w:contextualSpacing w:val="0"/>
        <w:rPr>
          <w:rFonts w:asciiTheme="minorHAnsi" w:hAnsiTheme="minorHAnsi"/>
          <w:sz w:val="24"/>
          <w:szCs w:val="24"/>
        </w:rPr>
      </w:pPr>
      <w:r w:rsidRPr="00906477">
        <w:rPr>
          <w:rFonts w:asciiTheme="minorHAnsi" w:hAnsiTheme="minorHAnsi"/>
          <w:sz w:val="24"/>
          <w:szCs w:val="24"/>
        </w:rPr>
        <w:t xml:space="preserve">The </w:t>
      </w:r>
      <w:r w:rsidR="00930C40" w:rsidRPr="00906477">
        <w:rPr>
          <w:rFonts w:asciiTheme="minorHAnsi" w:hAnsiTheme="minorHAnsi"/>
          <w:sz w:val="24"/>
          <w:szCs w:val="24"/>
        </w:rPr>
        <w:t>approved Product Information states</w:t>
      </w:r>
      <w:r w:rsidRPr="00906477">
        <w:rPr>
          <w:rFonts w:asciiTheme="minorHAnsi" w:hAnsiTheme="minorHAnsi"/>
          <w:sz w:val="24"/>
          <w:szCs w:val="24"/>
        </w:rPr>
        <w:t xml:space="preserve"> that </w:t>
      </w:r>
      <w:proofErr w:type="spellStart"/>
      <w:r w:rsidRPr="00906477">
        <w:rPr>
          <w:rFonts w:asciiTheme="minorHAnsi" w:hAnsiTheme="minorHAnsi"/>
          <w:sz w:val="24"/>
          <w:szCs w:val="24"/>
        </w:rPr>
        <w:t>Truxima</w:t>
      </w:r>
      <w:proofErr w:type="spellEnd"/>
      <w:r w:rsidR="00F23CF6">
        <w:rPr>
          <w:rFonts w:asciiTheme="minorHAnsi" w:eastAsiaTheme="minorHAnsi" w:hAnsiTheme="minorHAnsi" w:cstheme="minorBidi"/>
          <w:snapToGrid/>
          <w:sz w:val="24"/>
          <w:szCs w:val="22"/>
        </w:rPr>
        <w:t>®</w:t>
      </w:r>
      <w:r w:rsidRPr="00906477">
        <w:rPr>
          <w:rFonts w:asciiTheme="minorHAnsi" w:hAnsiTheme="minorHAnsi"/>
          <w:sz w:val="24"/>
          <w:szCs w:val="24"/>
        </w:rPr>
        <w:t xml:space="preserve"> is a biosimilar rituximab, and equivalent in terms of efficacy and safety to the reference brand, </w:t>
      </w:r>
      <w:proofErr w:type="spellStart"/>
      <w:r w:rsidRPr="00906477">
        <w:rPr>
          <w:rFonts w:asciiTheme="minorHAnsi" w:hAnsiTheme="minorHAnsi"/>
          <w:sz w:val="24"/>
          <w:szCs w:val="24"/>
        </w:rPr>
        <w:t>MabThera</w:t>
      </w:r>
      <w:proofErr w:type="spellEnd"/>
      <w:r w:rsidR="00F23CF6">
        <w:rPr>
          <w:rFonts w:asciiTheme="minorHAnsi" w:eastAsiaTheme="minorHAnsi" w:hAnsiTheme="minorHAnsi" w:cstheme="minorBidi"/>
          <w:snapToGrid/>
          <w:sz w:val="24"/>
          <w:szCs w:val="22"/>
        </w:rPr>
        <w:t>®</w:t>
      </w:r>
      <w:r w:rsidRPr="00906477">
        <w:rPr>
          <w:rFonts w:asciiTheme="minorHAnsi" w:hAnsiTheme="minorHAnsi"/>
          <w:sz w:val="24"/>
          <w:szCs w:val="24"/>
        </w:rPr>
        <w:t>.</w:t>
      </w:r>
    </w:p>
    <w:p w:rsidR="000E4B34" w:rsidRPr="00860BA4" w:rsidRDefault="00767750" w:rsidP="003E77D9">
      <w:pPr>
        <w:pStyle w:val="ListParagraph"/>
        <w:widowControl/>
        <w:numPr>
          <w:ilvl w:val="1"/>
          <w:numId w:val="5"/>
        </w:numPr>
        <w:spacing w:before="120" w:after="120"/>
        <w:contextualSpacing w:val="0"/>
        <w:rPr>
          <w:rFonts w:asciiTheme="minorHAnsi" w:eastAsiaTheme="minorHAnsi" w:hAnsiTheme="minorHAnsi" w:cstheme="minorBidi"/>
          <w:snapToGrid/>
          <w:vanish/>
          <w:sz w:val="24"/>
          <w:szCs w:val="22"/>
        </w:rPr>
      </w:pPr>
      <w:r w:rsidRPr="00906477">
        <w:rPr>
          <w:rFonts w:asciiTheme="minorHAnsi" w:eastAsiaTheme="minorHAnsi" w:hAnsiTheme="minorHAnsi" w:cstheme="minorBidi"/>
          <w:snapToGrid/>
          <w:sz w:val="24"/>
          <w:szCs w:val="22"/>
        </w:rPr>
        <w:t xml:space="preserve">There has been limited data on switching between the different brands of rituximab. Twenty subjects with RA switched from </w:t>
      </w:r>
      <w:proofErr w:type="spellStart"/>
      <w:r w:rsidRPr="00906477">
        <w:rPr>
          <w:rFonts w:asciiTheme="minorHAnsi" w:eastAsiaTheme="minorHAnsi" w:hAnsiTheme="minorHAnsi" w:cstheme="minorBidi"/>
          <w:snapToGrid/>
          <w:sz w:val="24"/>
          <w:szCs w:val="22"/>
        </w:rPr>
        <w:t>MabThera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to </w:t>
      </w:r>
      <w:proofErr w:type="spellStart"/>
      <w:r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in </w:t>
      </w:r>
      <w:r w:rsidR="0028694D" w:rsidRPr="00906477">
        <w:rPr>
          <w:rFonts w:asciiTheme="minorHAnsi" w:eastAsiaTheme="minorHAnsi" w:hAnsiTheme="minorHAnsi" w:cstheme="minorBidi"/>
          <w:snapToGrid/>
          <w:sz w:val="24"/>
          <w:szCs w:val="22"/>
        </w:rPr>
        <w:t xml:space="preserve">a </w:t>
      </w:r>
      <w:r w:rsidRPr="00906477">
        <w:rPr>
          <w:rFonts w:asciiTheme="minorHAnsi" w:eastAsiaTheme="minorHAnsi" w:hAnsiTheme="minorHAnsi" w:cstheme="minorBidi"/>
          <w:snapToGrid/>
          <w:sz w:val="24"/>
          <w:szCs w:val="22"/>
        </w:rPr>
        <w:t xml:space="preserve">phase </w:t>
      </w:r>
      <w:proofErr w:type="gramStart"/>
      <w:r w:rsidRPr="00906477">
        <w:rPr>
          <w:rFonts w:asciiTheme="minorHAnsi" w:eastAsiaTheme="minorHAnsi" w:hAnsiTheme="minorHAnsi" w:cstheme="minorBidi"/>
          <w:snapToGrid/>
          <w:sz w:val="24"/>
          <w:szCs w:val="22"/>
        </w:rPr>
        <w:t>1</w:t>
      </w:r>
      <w:proofErr w:type="gramEnd"/>
      <w:r w:rsidRPr="00906477">
        <w:rPr>
          <w:rFonts w:asciiTheme="minorHAnsi" w:eastAsiaTheme="minorHAnsi" w:hAnsiTheme="minorHAnsi" w:cstheme="minorBidi"/>
          <w:snapToGrid/>
          <w:sz w:val="24"/>
          <w:szCs w:val="22"/>
        </w:rPr>
        <w:t xml:space="preserve"> open label extension study which aimed to investigate the long-term safety of </w:t>
      </w:r>
      <w:proofErr w:type="spellStart"/>
      <w:r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(up </w:t>
      </w:r>
      <w:r w:rsidRPr="00906477">
        <w:rPr>
          <w:rFonts w:asciiTheme="minorHAnsi" w:eastAsiaTheme="minorHAnsi" w:hAnsiTheme="minorHAnsi" w:cstheme="minorBidi"/>
          <w:snapToGrid/>
          <w:sz w:val="24"/>
          <w:szCs w:val="22"/>
        </w:rPr>
        <w:lastRenderedPageBreak/>
        <w:t xml:space="preserve">to 2 years). No significant difference in B-cell responses </w:t>
      </w:r>
      <w:proofErr w:type="gramStart"/>
      <w:r w:rsidRPr="00906477">
        <w:rPr>
          <w:rFonts w:asciiTheme="minorHAnsi" w:eastAsiaTheme="minorHAnsi" w:hAnsiTheme="minorHAnsi" w:cstheme="minorBidi"/>
          <w:snapToGrid/>
          <w:sz w:val="24"/>
          <w:szCs w:val="22"/>
        </w:rPr>
        <w:t>was observed</w:t>
      </w:r>
      <w:proofErr w:type="gramEnd"/>
      <w:r w:rsidRPr="00906477">
        <w:rPr>
          <w:rFonts w:asciiTheme="minorHAnsi" w:eastAsiaTheme="minorHAnsi" w:hAnsiTheme="minorHAnsi" w:cstheme="minorBidi"/>
          <w:snapToGrid/>
          <w:sz w:val="24"/>
          <w:szCs w:val="22"/>
        </w:rPr>
        <w:t xml:space="preserve"> between the </w:t>
      </w:r>
      <w:proofErr w:type="spellStart"/>
      <w:r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maintenance and switch cohort over the whole study period. Efficacy data (ACR 20, ACR 50 and ACR 70) were also similar in the switch cohort compared to the </w:t>
      </w:r>
      <w:proofErr w:type="spellStart"/>
      <w:r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maintenance cohort. There was no notable difference in the safety profile in the switch cohort. Park et</w:t>
      </w:r>
      <w:r w:rsidR="004932DA" w:rsidRPr="00906477">
        <w:rPr>
          <w:rFonts w:asciiTheme="minorHAnsi" w:eastAsiaTheme="minorHAnsi" w:hAnsiTheme="minorHAnsi" w:cstheme="minorBidi"/>
          <w:snapToGrid/>
          <w:sz w:val="24"/>
          <w:szCs w:val="22"/>
        </w:rPr>
        <w:t xml:space="preserve"> </w:t>
      </w:r>
      <w:r w:rsidRPr="00906477">
        <w:rPr>
          <w:rFonts w:asciiTheme="minorHAnsi" w:eastAsiaTheme="minorHAnsi" w:hAnsiTheme="minorHAnsi" w:cstheme="minorBidi"/>
          <w:snapToGrid/>
          <w:sz w:val="24"/>
          <w:szCs w:val="22"/>
        </w:rPr>
        <w:t xml:space="preserve">al 2017 concluded that comparable efficacy and safety profiles </w:t>
      </w:r>
      <w:proofErr w:type="gramStart"/>
      <w:r w:rsidRPr="00906477">
        <w:rPr>
          <w:rFonts w:asciiTheme="minorHAnsi" w:eastAsiaTheme="minorHAnsi" w:hAnsiTheme="minorHAnsi" w:cstheme="minorBidi"/>
          <w:snapToGrid/>
          <w:sz w:val="24"/>
          <w:szCs w:val="22"/>
        </w:rPr>
        <w:t>were observed</w:t>
      </w:r>
      <w:proofErr w:type="gramEnd"/>
      <w:r w:rsidRPr="00906477">
        <w:rPr>
          <w:rFonts w:asciiTheme="minorHAnsi" w:eastAsiaTheme="minorHAnsi" w:hAnsiTheme="minorHAnsi" w:cstheme="minorBidi"/>
          <w:snapToGrid/>
          <w:sz w:val="24"/>
          <w:szCs w:val="22"/>
        </w:rPr>
        <w:t xml:space="preserve"> in patients who switched from </w:t>
      </w:r>
      <w:proofErr w:type="spellStart"/>
      <w:r w:rsidR="00906477" w:rsidRPr="00906477">
        <w:rPr>
          <w:rFonts w:asciiTheme="minorHAnsi" w:eastAsiaTheme="minorHAnsi" w:hAnsiTheme="minorHAnsi" w:cstheme="minorBidi"/>
          <w:snapToGrid/>
          <w:sz w:val="24"/>
          <w:szCs w:val="22"/>
        </w:rPr>
        <w:t>Mab</w:t>
      </w:r>
      <w:r w:rsidR="00906477">
        <w:rPr>
          <w:rFonts w:asciiTheme="minorHAnsi" w:eastAsiaTheme="minorHAnsi" w:hAnsiTheme="minorHAnsi" w:cstheme="minorBidi"/>
          <w:snapToGrid/>
          <w:sz w:val="24"/>
          <w:szCs w:val="22"/>
        </w:rPr>
        <w:t>T</w:t>
      </w:r>
      <w:r w:rsidR="00906477" w:rsidRPr="00906477">
        <w:rPr>
          <w:rFonts w:asciiTheme="minorHAnsi" w:eastAsiaTheme="minorHAnsi" w:hAnsiTheme="minorHAnsi" w:cstheme="minorBidi"/>
          <w:snapToGrid/>
          <w:sz w:val="24"/>
          <w:szCs w:val="22"/>
        </w:rPr>
        <w:t>hera</w:t>
      </w:r>
      <w:proofErr w:type="spellEnd"/>
      <w:r w:rsidR="00F23CF6">
        <w:rPr>
          <w:rFonts w:asciiTheme="minorHAnsi" w:eastAsiaTheme="minorHAnsi" w:hAnsiTheme="minorHAnsi" w:cstheme="minorBidi"/>
          <w:snapToGrid/>
          <w:sz w:val="24"/>
          <w:szCs w:val="22"/>
        </w:rPr>
        <w:t>®</w:t>
      </w:r>
      <w:r w:rsidR="00906477" w:rsidRPr="00906477">
        <w:rPr>
          <w:rFonts w:asciiTheme="minorHAnsi" w:eastAsiaTheme="minorHAnsi" w:hAnsiTheme="minorHAnsi" w:cstheme="minorBidi"/>
          <w:snapToGrid/>
          <w:sz w:val="24"/>
          <w:szCs w:val="22"/>
        </w:rPr>
        <w:t xml:space="preserve"> </w:t>
      </w:r>
      <w:r w:rsidRPr="00906477">
        <w:rPr>
          <w:rFonts w:asciiTheme="minorHAnsi" w:eastAsiaTheme="minorHAnsi" w:hAnsiTheme="minorHAnsi" w:cstheme="minorBidi"/>
          <w:snapToGrid/>
          <w:sz w:val="24"/>
          <w:szCs w:val="22"/>
        </w:rPr>
        <w:t xml:space="preserve">to </w:t>
      </w:r>
      <w:proofErr w:type="spellStart"/>
      <w:r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and those maintained on </w:t>
      </w:r>
      <w:proofErr w:type="spellStart"/>
      <w:r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throughout treatment</w:t>
      </w:r>
      <w:r w:rsidRPr="00906477">
        <w:rPr>
          <w:rFonts w:asciiTheme="minorHAnsi" w:hAnsiTheme="minorHAnsi"/>
          <w:b/>
          <w:szCs w:val="24"/>
          <w:vertAlign w:val="superscript"/>
        </w:rPr>
        <w:footnoteReference w:id="1"/>
      </w:r>
      <w:r w:rsidRPr="00906477">
        <w:rPr>
          <w:rFonts w:asciiTheme="minorHAnsi" w:eastAsiaTheme="minorHAnsi" w:hAnsiTheme="minorHAnsi" w:cstheme="minorBidi"/>
          <w:snapToGrid/>
          <w:sz w:val="24"/>
          <w:szCs w:val="22"/>
        </w:rPr>
        <w:t>.</w:t>
      </w:r>
    </w:p>
    <w:p w:rsidR="005A3173" w:rsidRPr="00906477" w:rsidRDefault="005A3173" w:rsidP="003E77D9">
      <w:pPr>
        <w:pStyle w:val="Heading2"/>
        <w:spacing w:before="120"/>
      </w:pPr>
      <w:r w:rsidRPr="00906477">
        <w:t>Estimated PBS usage &amp; financial implications</w:t>
      </w:r>
    </w:p>
    <w:p w:rsidR="001115CE" w:rsidRPr="00906477" w:rsidRDefault="00AB626E" w:rsidP="003E77D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A</w:t>
      </w:r>
      <w:r w:rsidR="004B11D9" w:rsidRPr="00906477">
        <w:rPr>
          <w:rFonts w:asciiTheme="minorHAnsi" w:eastAsiaTheme="minorHAnsi" w:hAnsiTheme="minorHAnsi" w:cstheme="minorBidi"/>
          <w:snapToGrid/>
          <w:sz w:val="24"/>
          <w:szCs w:val="22"/>
        </w:rPr>
        <w:t>s</w:t>
      </w:r>
      <w:r w:rsidR="00767750" w:rsidRPr="00906477">
        <w:rPr>
          <w:rFonts w:asciiTheme="minorHAnsi" w:eastAsiaTheme="minorHAnsi" w:hAnsiTheme="minorHAnsi" w:cstheme="minorBidi"/>
          <w:snapToGrid/>
          <w:sz w:val="24"/>
          <w:szCs w:val="22"/>
        </w:rPr>
        <w:t xml:space="preserve"> the </w:t>
      </w:r>
      <w:proofErr w:type="spellStart"/>
      <w:r w:rsidR="00767750" w:rsidRPr="00906477">
        <w:rPr>
          <w:rFonts w:asciiTheme="minorHAnsi" w:eastAsiaTheme="minorHAnsi" w:hAnsiTheme="minorHAnsi" w:cstheme="minorBidi"/>
          <w:snapToGrid/>
          <w:sz w:val="24"/>
          <w:szCs w:val="22"/>
        </w:rPr>
        <w:t>Riximyo</w:t>
      </w:r>
      <w:proofErr w:type="spellEnd"/>
      <w:r w:rsidR="00F23CF6">
        <w:rPr>
          <w:rFonts w:asciiTheme="minorHAnsi" w:eastAsiaTheme="minorHAnsi" w:hAnsiTheme="minorHAnsi" w:cstheme="minorBidi"/>
          <w:snapToGrid/>
          <w:sz w:val="24"/>
          <w:szCs w:val="22"/>
        </w:rPr>
        <w:t>®</w:t>
      </w:r>
      <w:r w:rsidR="00767750" w:rsidRPr="00906477">
        <w:rPr>
          <w:rFonts w:asciiTheme="minorHAnsi" w:eastAsiaTheme="minorHAnsi" w:hAnsiTheme="minorHAnsi" w:cstheme="minorBidi"/>
          <w:snapToGrid/>
          <w:sz w:val="24"/>
          <w:szCs w:val="22"/>
        </w:rPr>
        <w:t xml:space="preserve"> brand of rituximab</w:t>
      </w:r>
      <w:r w:rsidR="00732506" w:rsidRPr="00906477">
        <w:rPr>
          <w:rFonts w:asciiTheme="minorHAnsi" w:eastAsiaTheme="minorHAnsi" w:hAnsiTheme="minorHAnsi" w:cstheme="minorBidi"/>
          <w:snapToGrid/>
          <w:sz w:val="24"/>
          <w:szCs w:val="22"/>
        </w:rPr>
        <w:t xml:space="preserve"> </w:t>
      </w:r>
      <w:r w:rsidR="00767750" w:rsidRPr="00906477">
        <w:rPr>
          <w:rFonts w:asciiTheme="minorHAnsi" w:eastAsiaTheme="minorHAnsi" w:hAnsiTheme="minorHAnsi" w:cstheme="minorBidi"/>
          <w:snapToGrid/>
          <w:sz w:val="24"/>
          <w:szCs w:val="22"/>
        </w:rPr>
        <w:t xml:space="preserve">was not listed on the PBS at the time of the submission, </w:t>
      </w:r>
      <w:proofErr w:type="spellStart"/>
      <w:r w:rsidR="001115CE"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001115CE" w:rsidRPr="00906477">
        <w:rPr>
          <w:rFonts w:asciiTheme="minorHAnsi" w:eastAsiaTheme="minorHAnsi" w:hAnsiTheme="minorHAnsi" w:cstheme="minorBidi"/>
          <w:snapToGrid/>
          <w:sz w:val="24"/>
          <w:szCs w:val="22"/>
        </w:rPr>
        <w:t xml:space="preserve"> may be the first biosimilar rituximab brand to be listed on the PBS and, in accordance with division 3A of Part VII of the </w:t>
      </w:r>
      <w:r w:rsidR="00F23CF6">
        <w:rPr>
          <w:rFonts w:asciiTheme="minorHAnsi" w:eastAsiaTheme="minorHAnsi" w:hAnsiTheme="minorHAnsi" w:cstheme="minorBidi"/>
          <w:i/>
          <w:snapToGrid/>
          <w:sz w:val="24"/>
          <w:szCs w:val="22"/>
        </w:rPr>
        <w:t>National Health Act </w:t>
      </w:r>
      <w:r w:rsidR="001115CE" w:rsidRPr="00906477">
        <w:rPr>
          <w:rFonts w:asciiTheme="minorHAnsi" w:eastAsiaTheme="minorHAnsi" w:hAnsiTheme="minorHAnsi" w:cstheme="minorBidi"/>
          <w:i/>
          <w:snapToGrid/>
          <w:sz w:val="24"/>
          <w:szCs w:val="22"/>
        </w:rPr>
        <w:t>1953</w:t>
      </w:r>
      <w:r w:rsidR="001115CE" w:rsidRPr="00906477">
        <w:rPr>
          <w:rFonts w:asciiTheme="minorHAnsi" w:eastAsiaTheme="minorHAnsi" w:hAnsiTheme="minorHAnsi" w:cstheme="minorBidi"/>
          <w:snapToGrid/>
          <w:sz w:val="24"/>
          <w:szCs w:val="22"/>
        </w:rPr>
        <w:t>, </w:t>
      </w:r>
      <w:proofErr w:type="gramStart"/>
      <w:r w:rsidR="004B11D9" w:rsidRPr="00906477">
        <w:rPr>
          <w:rFonts w:asciiTheme="minorHAnsi" w:eastAsiaTheme="minorHAnsi" w:hAnsiTheme="minorHAnsi" w:cstheme="minorBidi"/>
          <w:snapToGrid/>
          <w:sz w:val="24"/>
          <w:szCs w:val="22"/>
        </w:rPr>
        <w:t>rituximab</w:t>
      </w:r>
      <w:proofErr w:type="gramEnd"/>
      <w:r w:rsidR="004B11D9" w:rsidRPr="00906477">
        <w:rPr>
          <w:rFonts w:asciiTheme="minorHAnsi" w:eastAsiaTheme="minorHAnsi" w:hAnsiTheme="minorHAnsi" w:cstheme="minorBidi"/>
          <w:snapToGrid/>
          <w:sz w:val="24"/>
          <w:szCs w:val="22"/>
        </w:rPr>
        <w:t xml:space="preserve"> may be subject to a</w:t>
      </w:r>
      <w:r w:rsidR="001115CE" w:rsidRPr="00906477">
        <w:rPr>
          <w:rFonts w:asciiTheme="minorHAnsi" w:eastAsiaTheme="minorHAnsi" w:hAnsiTheme="minorHAnsi" w:cstheme="minorBidi"/>
          <w:snapToGrid/>
          <w:sz w:val="24"/>
          <w:szCs w:val="22"/>
        </w:rPr>
        <w:t xml:space="preserve"> statutory price reduction. </w:t>
      </w:r>
      <w:r w:rsidR="00906477">
        <w:rPr>
          <w:rFonts w:asciiTheme="minorHAnsi" w:eastAsiaTheme="minorHAnsi" w:hAnsiTheme="minorHAnsi" w:cstheme="minorBidi"/>
          <w:snapToGrid/>
          <w:sz w:val="24"/>
          <w:szCs w:val="22"/>
        </w:rPr>
        <w:t xml:space="preserve">The sponsor </w:t>
      </w:r>
      <w:r w:rsidR="001115CE" w:rsidRPr="00906477">
        <w:rPr>
          <w:rFonts w:asciiTheme="minorHAnsi" w:eastAsiaTheme="minorHAnsi" w:hAnsiTheme="minorHAnsi" w:cstheme="minorBidi"/>
          <w:snapToGrid/>
          <w:sz w:val="24"/>
          <w:szCs w:val="22"/>
        </w:rPr>
        <w:t xml:space="preserve">also acknowledged </w:t>
      </w:r>
      <w:r w:rsidR="00906477">
        <w:rPr>
          <w:rFonts w:asciiTheme="minorHAnsi" w:eastAsiaTheme="minorHAnsi" w:hAnsiTheme="minorHAnsi" w:cstheme="minorBidi"/>
          <w:snapToGrid/>
          <w:sz w:val="24"/>
          <w:szCs w:val="22"/>
        </w:rPr>
        <w:t xml:space="preserve">this </w:t>
      </w:r>
      <w:r w:rsidR="001115CE" w:rsidRPr="00906477">
        <w:rPr>
          <w:rFonts w:asciiTheme="minorHAnsi" w:eastAsiaTheme="minorHAnsi" w:hAnsiTheme="minorHAnsi" w:cstheme="minorBidi"/>
          <w:snapToGrid/>
          <w:sz w:val="24"/>
          <w:szCs w:val="22"/>
        </w:rPr>
        <w:t>in the submission</w:t>
      </w:r>
      <w:r w:rsidR="00767750" w:rsidRPr="00906477">
        <w:rPr>
          <w:rFonts w:asciiTheme="minorHAnsi" w:eastAsiaTheme="minorHAnsi" w:hAnsiTheme="minorHAnsi" w:cstheme="minorBidi"/>
          <w:snapToGrid/>
          <w:sz w:val="24"/>
          <w:szCs w:val="22"/>
        </w:rPr>
        <w:t>.</w:t>
      </w:r>
    </w:p>
    <w:p w:rsidR="001115CE" w:rsidRPr="00906477" w:rsidRDefault="0028378C" w:rsidP="00860BA4">
      <w:pPr>
        <w:pStyle w:val="PBACheading10"/>
        <w:keepNext/>
        <w:ind w:left="0" w:firstLine="0"/>
        <w:outlineLvl w:val="9"/>
        <w:rPr>
          <w:rFonts w:ascii="Arial Narrow" w:hAnsi="Arial Narrow"/>
          <w:b w:val="0"/>
          <w:sz w:val="20"/>
          <w:szCs w:val="20"/>
        </w:rPr>
      </w:pPr>
      <w:r>
        <w:rPr>
          <w:rFonts w:ascii="Arial Narrow" w:hAnsi="Arial Narrow"/>
          <w:sz w:val="20"/>
          <w:szCs w:val="20"/>
        </w:rPr>
        <w:t>Table 2</w:t>
      </w:r>
      <w:r w:rsidR="001115CE" w:rsidRPr="00906477">
        <w:rPr>
          <w:rFonts w:ascii="Arial Narrow" w:hAnsi="Arial Narrow"/>
          <w:sz w:val="20"/>
          <w:szCs w:val="20"/>
        </w:rPr>
        <w:t>: Proposed DPMA for both private and public hospital</w:t>
      </w:r>
    </w:p>
    <w:tbl>
      <w:tblPr>
        <w:tblStyle w:val="TableGrid"/>
        <w:tblW w:w="8931" w:type="dxa"/>
        <w:tblInd w:w="-5" w:type="dxa"/>
        <w:tblLook w:val="04A0" w:firstRow="1" w:lastRow="0" w:firstColumn="1" w:lastColumn="0" w:noHBand="0" w:noVBand="1"/>
        <w:tblCaption w:val="Proposed DPMA for both private and public hospital"/>
      </w:tblPr>
      <w:tblGrid>
        <w:gridCol w:w="7088"/>
        <w:gridCol w:w="1843"/>
      </w:tblGrid>
      <w:tr w:rsidR="001115CE" w:rsidRPr="00906477" w:rsidTr="000B5D9A">
        <w:trPr>
          <w:tblHeader/>
        </w:trPr>
        <w:tc>
          <w:tcPr>
            <w:tcW w:w="7088" w:type="dxa"/>
          </w:tcPr>
          <w:p w:rsidR="001115CE" w:rsidRPr="00906477" w:rsidRDefault="001115CE" w:rsidP="00860BA4">
            <w:pPr>
              <w:pStyle w:val="NoSpacing"/>
              <w:keepNext/>
              <w:spacing w:before="40" w:after="40"/>
              <w:jc w:val="center"/>
              <w:rPr>
                <w:rFonts w:ascii="Arial Narrow" w:hAnsi="Arial Narrow"/>
                <w:b/>
                <w:sz w:val="20"/>
              </w:rPr>
            </w:pPr>
            <w:bookmarkStart w:id="0" w:name="_GoBack"/>
            <w:r w:rsidRPr="00906477">
              <w:rPr>
                <w:rFonts w:ascii="Arial Narrow" w:hAnsi="Arial Narrow"/>
                <w:b/>
                <w:sz w:val="20"/>
              </w:rPr>
              <w:t xml:space="preserve">Indication </w:t>
            </w:r>
          </w:p>
        </w:tc>
        <w:tc>
          <w:tcPr>
            <w:tcW w:w="1843" w:type="dxa"/>
          </w:tcPr>
          <w:p w:rsidR="001115CE" w:rsidRPr="00906477" w:rsidRDefault="001115CE" w:rsidP="00860BA4">
            <w:pPr>
              <w:pStyle w:val="NoSpacing"/>
              <w:keepNext/>
              <w:spacing w:before="40" w:after="40"/>
              <w:jc w:val="center"/>
              <w:rPr>
                <w:rFonts w:ascii="Arial Narrow" w:hAnsi="Arial Narrow"/>
                <w:b/>
                <w:sz w:val="20"/>
              </w:rPr>
            </w:pPr>
            <w:r w:rsidRPr="00906477">
              <w:rPr>
                <w:rFonts w:ascii="Arial Narrow" w:hAnsi="Arial Narrow"/>
                <w:b/>
                <w:sz w:val="20"/>
              </w:rPr>
              <w:t>DPMA</w:t>
            </w:r>
          </w:p>
        </w:tc>
      </w:tr>
      <w:tr w:rsidR="001115CE" w:rsidRPr="00906477" w:rsidTr="000B5D9A">
        <w:trPr>
          <w:tblHeader/>
        </w:trPr>
        <w:tc>
          <w:tcPr>
            <w:tcW w:w="7088" w:type="dxa"/>
            <w:tcBorders>
              <w:bottom w:val="single" w:sz="4" w:space="0" w:color="auto"/>
            </w:tcBorders>
          </w:tcPr>
          <w:p w:rsidR="001115CE" w:rsidRPr="00906477" w:rsidRDefault="001115CE" w:rsidP="00860BA4">
            <w:pPr>
              <w:keepNext/>
              <w:rPr>
                <w:rFonts w:ascii="Arial Narrow" w:hAnsi="Arial Narrow"/>
                <w:sz w:val="20"/>
              </w:rPr>
            </w:pPr>
            <w:r w:rsidRPr="00906477">
              <w:rPr>
                <w:rFonts w:ascii="Arial Narrow" w:hAnsi="Arial Narrow"/>
                <w:sz w:val="20"/>
              </w:rPr>
              <w:t xml:space="preserve">CD20 positive, previously untreated, Stage III/IV follicular, B-cell non-Hodgkin’s lymphoma </w:t>
            </w:r>
          </w:p>
        </w:tc>
        <w:tc>
          <w:tcPr>
            <w:tcW w:w="1843" w:type="dxa"/>
            <w:tcBorders>
              <w:bottom w:val="single" w:sz="4" w:space="0" w:color="auto"/>
            </w:tcBorders>
          </w:tcPr>
          <w:p w:rsidR="001115CE" w:rsidRPr="00906477" w:rsidRDefault="001115CE" w:rsidP="00860BA4">
            <w:pPr>
              <w:keepNext/>
              <w:jc w:val="center"/>
              <w:rPr>
                <w:rFonts w:ascii="Arial Narrow" w:hAnsi="Arial Narrow"/>
                <w:sz w:val="20"/>
              </w:rPr>
            </w:pPr>
            <w:r w:rsidRPr="00906477">
              <w:rPr>
                <w:rFonts w:ascii="Arial Narrow" w:hAnsi="Arial Narrow"/>
                <w:sz w:val="20"/>
              </w:rPr>
              <w:t>$</w:t>
            </w:r>
            <w:r w:rsidR="008B4DEA">
              <w:rPr>
                <w:rFonts w:ascii="Arial Narrow" w:hAnsi="Arial Narrow"/>
                <w:noProof/>
                <w:color w:val="000000"/>
                <w:sz w:val="20"/>
                <w:highlight w:val="black"/>
              </w:rPr>
              <w:t>'''''''''''''''''''''</w:t>
            </w:r>
          </w:p>
        </w:tc>
      </w:tr>
      <w:tr w:rsidR="001115CE" w:rsidRPr="00906477" w:rsidTr="000B5D9A">
        <w:trPr>
          <w:tblHeader/>
        </w:trPr>
        <w:tc>
          <w:tcPr>
            <w:tcW w:w="7088" w:type="dxa"/>
            <w:tcBorders>
              <w:bottom w:val="single" w:sz="4" w:space="0" w:color="auto"/>
            </w:tcBorders>
          </w:tcPr>
          <w:p w:rsidR="001115CE" w:rsidRPr="00906477" w:rsidRDefault="001115CE" w:rsidP="00860BA4">
            <w:pPr>
              <w:keepNext/>
              <w:rPr>
                <w:rFonts w:ascii="Arial Narrow" w:hAnsi="Arial Narrow"/>
                <w:sz w:val="20"/>
              </w:rPr>
            </w:pPr>
            <w:r w:rsidRPr="00906477">
              <w:rPr>
                <w:rFonts w:ascii="Arial Narrow" w:hAnsi="Arial Narrow"/>
                <w:sz w:val="20"/>
              </w:rPr>
              <w:t>CD20 positive, relapsed or refractory low grade or follicular, B-cell non-Hodgkin's lymphoma</w:t>
            </w:r>
          </w:p>
        </w:tc>
        <w:tc>
          <w:tcPr>
            <w:tcW w:w="1843" w:type="dxa"/>
            <w:tcBorders>
              <w:bottom w:val="single" w:sz="4" w:space="0" w:color="auto"/>
            </w:tcBorders>
          </w:tcPr>
          <w:p w:rsidR="001115CE" w:rsidRPr="00906477" w:rsidRDefault="001115CE" w:rsidP="00860BA4">
            <w:pPr>
              <w:keepNext/>
              <w:jc w:val="center"/>
              <w:rPr>
                <w:rFonts w:ascii="Arial Narrow" w:hAnsi="Arial Narrow"/>
                <w:sz w:val="20"/>
              </w:rPr>
            </w:pPr>
            <w:r w:rsidRPr="00906477">
              <w:rPr>
                <w:rFonts w:ascii="Arial Narrow" w:hAnsi="Arial Narrow"/>
                <w:sz w:val="20"/>
              </w:rPr>
              <w:t>$</w:t>
            </w:r>
            <w:r w:rsidR="008B4DEA">
              <w:rPr>
                <w:rFonts w:ascii="Arial Narrow" w:hAnsi="Arial Narrow"/>
                <w:noProof/>
                <w:color w:val="000000"/>
                <w:sz w:val="20"/>
                <w:highlight w:val="black"/>
              </w:rPr>
              <w:t>''''''''''''''''''''''</w:t>
            </w:r>
          </w:p>
        </w:tc>
      </w:tr>
    </w:tbl>
    <w:bookmarkEnd w:id="0"/>
    <w:p w:rsidR="001115CE" w:rsidRPr="00906477" w:rsidRDefault="001115CE" w:rsidP="00860BA4">
      <w:pPr>
        <w:pStyle w:val="tablenotes"/>
        <w:keepNext/>
        <w:spacing w:after="120"/>
        <w:rPr>
          <w:rFonts w:ascii="Arial Narrow" w:hAnsi="Arial Narrow"/>
          <w:sz w:val="18"/>
          <w:szCs w:val="18"/>
        </w:rPr>
      </w:pPr>
      <w:r w:rsidRPr="00906477">
        <w:rPr>
          <w:rFonts w:ascii="Arial Narrow" w:hAnsi="Arial Narrow"/>
          <w:sz w:val="18"/>
          <w:szCs w:val="18"/>
        </w:rPr>
        <w:t>DPMA: dispensed price for maximum amount</w:t>
      </w:r>
    </w:p>
    <w:p w:rsidR="006A7DC0" w:rsidRPr="00906477" w:rsidRDefault="00767750" w:rsidP="003E77D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Based on this assumption, t</w:t>
      </w:r>
      <w:r w:rsidR="006A7DC0" w:rsidRPr="00906477">
        <w:rPr>
          <w:rFonts w:asciiTheme="minorHAnsi" w:eastAsiaTheme="minorHAnsi" w:hAnsiTheme="minorHAnsi" w:cstheme="minorBidi"/>
          <w:snapToGrid/>
          <w:sz w:val="24"/>
          <w:szCs w:val="22"/>
        </w:rPr>
        <w:t xml:space="preserve">he sponsor estimated </w:t>
      </w:r>
      <w:r w:rsidRPr="00906477">
        <w:rPr>
          <w:rFonts w:asciiTheme="minorHAnsi" w:eastAsiaTheme="minorHAnsi" w:hAnsiTheme="minorHAnsi" w:cstheme="minorBidi"/>
          <w:snapToGrid/>
          <w:sz w:val="24"/>
          <w:szCs w:val="22"/>
        </w:rPr>
        <w:t xml:space="preserve">a </w:t>
      </w:r>
      <w:r w:rsidR="006A7DC0" w:rsidRPr="00906477">
        <w:rPr>
          <w:rFonts w:asciiTheme="minorHAnsi" w:eastAsiaTheme="minorHAnsi" w:hAnsiTheme="minorHAnsi" w:cstheme="minorBidi"/>
          <w:snapToGrid/>
          <w:sz w:val="24"/>
          <w:szCs w:val="22"/>
        </w:rPr>
        <w:t xml:space="preserve">cost saving to Government </w:t>
      </w:r>
      <w:r w:rsidR="00906477" w:rsidRPr="00906477">
        <w:rPr>
          <w:rFonts w:asciiTheme="minorHAnsi" w:eastAsiaTheme="minorHAnsi" w:hAnsiTheme="minorHAnsi" w:cstheme="minorBidi"/>
          <w:snapToGrid/>
          <w:sz w:val="24"/>
          <w:szCs w:val="22"/>
        </w:rPr>
        <w:t>because</w:t>
      </w:r>
      <w:r w:rsidR="006A7DC0" w:rsidRPr="00906477">
        <w:rPr>
          <w:rFonts w:asciiTheme="minorHAnsi" w:eastAsiaTheme="minorHAnsi" w:hAnsiTheme="minorHAnsi" w:cstheme="minorBidi"/>
          <w:snapToGrid/>
          <w:sz w:val="24"/>
          <w:szCs w:val="22"/>
        </w:rPr>
        <w:t xml:space="preserve"> of the listing of </w:t>
      </w:r>
      <w:proofErr w:type="spellStart"/>
      <w:r w:rsidR="006A7DC0"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006A7DC0" w:rsidRPr="00906477">
        <w:rPr>
          <w:rFonts w:asciiTheme="minorHAnsi" w:eastAsiaTheme="minorHAnsi" w:hAnsiTheme="minorHAnsi" w:cstheme="minorBidi"/>
          <w:snapToGrid/>
          <w:sz w:val="24"/>
          <w:szCs w:val="22"/>
        </w:rPr>
        <w:t xml:space="preserve"> for the requested NHL indications </w:t>
      </w:r>
      <w:r w:rsidRPr="00906477">
        <w:rPr>
          <w:rFonts w:asciiTheme="minorHAnsi" w:eastAsiaTheme="minorHAnsi" w:hAnsiTheme="minorHAnsi" w:cstheme="minorBidi"/>
          <w:snapToGrid/>
          <w:sz w:val="24"/>
          <w:szCs w:val="22"/>
        </w:rPr>
        <w:t>in</w:t>
      </w:r>
      <w:r w:rsidR="006A7DC0" w:rsidRPr="00906477">
        <w:rPr>
          <w:rFonts w:asciiTheme="minorHAnsi" w:eastAsiaTheme="minorHAnsi" w:hAnsiTheme="minorHAnsi" w:cstheme="minorBidi"/>
          <w:snapToGrid/>
          <w:sz w:val="24"/>
          <w:szCs w:val="22"/>
        </w:rPr>
        <w:t xml:space="preserve"> excess of </w:t>
      </w:r>
      <w:r w:rsidR="00F3170F">
        <w:rPr>
          <w:rFonts w:asciiTheme="minorHAnsi" w:eastAsiaTheme="minorHAnsi" w:hAnsiTheme="minorHAnsi" w:cstheme="minorBidi"/>
          <w:snapToGrid/>
          <w:sz w:val="24"/>
          <w:szCs w:val="22"/>
        </w:rPr>
        <w:t>$30 to $ 60 million</w:t>
      </w:r>
      <w:r w:rsidR="006A7DC0" w:rsidRPr="00906477">
        <w:rPr>
          <w:rFonts w:asciiTheme="minorHAnsi" w:eastAsiaTheme="minorHAnsi" w:hAnsiTheme="minorHAnsi" w:cstheme="minorBidi"/>
          <w:snapToGrid/>
          <w:sz w:val="24"/>
          <w:szCs w:val="22"/>
        </w:rPr>
        <w:t xml:space="preserve"> over </w:t>
      </w:r>
      <w:r w:rsidR="00CA29D3" w:rsidRPr="00906477">
        <w:rPr>
          <w:rFonts w:asciiTheme="minorHAnsi" w:eastAsiaTheme="minorHAnsi" w:hAnsiTheme="minorHAnsi" w:cstheme="minorBidi"/>
          <w:snapToGrid/>
          <w:sz w:val="24"/>
          <w:szCs w:val="22"/>
        </w:rPr>
        <w:t xml:space="preserve">a </w:t>
      </w:r>
      <w:r w:rsidR="00906477" w:rsidRPr="00906477">
        <w:rPr>
          <w:rFonts w:asciiTheme="minorHAnsi" w:eastAsiaTheme="minorHAnsi" w:hAnsiTheme="minorHAnsi" w:cstheme="minorBidi"/>
          <w:snapToGrid/>
          <w:sz w:val="24"/>
          <w:szCs w:val="22"/>
        </w:rPr>
        <w:t>six-year</w:t>
      </w:r>
      <w:r w:rsidR="006A7DC0" w:rsidRPr="00906477">
        <w:rPr>
          <w:rFonts w:asciiTheme="minorHAnsi" w:eastAsiaTheme="minorHAnsi" w:hAnsiTheme="minorHAnsi" w:cstheme="minorBidi"/>
          <w:snapToGrid/>
          <w:sz w:val="24"/>
          <w:szCs w:val="22"/>
        </w:rPr>
        <w:t xml:space="preserve"> period.</w:t>
      </w:r>
    </w:p>
    <w:p w:rsidR="00CA29D3" w:rsidRPr="008C01BE" w:rsidRDefault="0058738C" w:rsidP="003E77D9">
      <w:pPr>
        <w:pStyle w:val="ListParagraph"/>
        <w:spacing w:before="120" w:after="120"/>
        <w:rPr>
          <w:rFonts w:asciiTheme="minorHAnsi" w:hAnsiTheme="minorHAnsi"/>
          <w:i/>
          <w:sz w:val="24"/>
          <w:szCs w:val="24"/>
        </w:rPr>
      </w:pPr>
      <w:r w:rsidRPr="002F21BB">
        <w:rPr>
          <w:rFonts w:asciiTheme="minorHAnsi" w:hAnsiTheme="minorHAnsi"/>
          <w:i/>
          <w:sz w:val="24"/>
          <w:szCs w:val="24"/>
        </w:rPr>
        <w:t xml:space="preserve">For more detail on PBAC’s view, see section </w:t>
      </w:r>
      <w:r w:rsidR="005C0033" w:rsidRPr="002F21BB">
        <w:rPr>
          <w:rFonts w:asciiTheme="minorHAnsi" w:hAnsiTheme="minorHAnsi"/>
          <w:i/>
          <w:sz w:val="24"/>
          <w:szCs w:val="24"/>
        </w:rPr>
        <w:t>6</w:t>
      </w:r>
      <w:r w:rsidRPr="002F21BB">
        <w:rPr>
          <w:rFonts w:asciiTheme="minorHAnsi" w:hAnsiTheme="minorHAnsi"/>
          <w:i/>
          <w:sz w:val="24"/>
          <w:szCs w:val="24"/>
        </w:rPr>
        <w:t xml:space="preserve"> PBAC outcome.</w:t>
      </w:r>
    </w:p>
    <w:p w:rsidR="00D8194A" w:rsidRPr="00906477" w:rsidRDefault="005E6E52" w:rsidP="003E77D9">
      <w:pPr>
        <w:pStyle w:val="Heading2"/>
        <w:spacing w:before="120"/>
      </w:pPr>
      <w:r w:rsidRPr="00906477">
        <w:t>Quality Use of Medicine</w:t>
      </w:r>
      <w:r w:rsidR="00205FE9" w:rsidRPr="00906477">
        <w:t>s</w:t>
      </w:r>
      <w:r w:rsidRPr="00906477">
        <w:t xml:space="preserve"> (QUM)</w:t>
      </w:r>
    </w:p>
    <w:p w:rsidR="00D8194A" w:rsidRPr="00906477" w:rsidRDefault="001115CE" w:rsidP="003E77D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As part of the consideration for this biosimilar, the PBAC expressed concern regarding the complexity in prescribing the same biosimilar under different brand names with different</w:t>
      </w:r>
      <w:r w:rsidR="00CA29D3" w:rsidRPr="00906477">
        <w:rPr>
          <w:rFonts w:asciiTheme="minorHAnsi" w:eastAsiaTheme="minorHAnsi" w:hAnsiTheme="minorHAnsi" w:cstheme="minorBidi"/>
          <w:snapToGrid/>
          <w:sz w:val="24"/>
          <w:szCs w:val="22"/>
        </w:rPr>
        <w:t xml:space="preserve"> sets of</w:t>
      </w:r>
      <w:r w:rsidRPr="00906477">
        <w:rPr>
          <w:rFonts w:asciiTheme="minorHAnsi" w:eastAsiaTheme="minorHAnsi" w:hAnsiTheme="minorHAnsi" w:cstheme="minorBidi"/>
          <w:snapToGrid/>
          <w:sz w:val="24"/>
          <w:szCs w:val="22"/>
        </w:rPr>
        <w:t xml:space="preserve"> TGA approved indications</w:t>
      </w:r>
      <w:r w:rsidR="00F11986" w:rsidRPr="00906477">
        <w:rPr>
          <w:rFonts w:asciiTheme="minorHAnsi" w:eastAsiaTheme="minorHAnsi" w:hAnsiTheme="minorHAnsi" w:cstheme="minorBidi"/>
          <w:snapToGrid/>
          <w:sz w:val="24"/>
          <w:szCs w:val="22"/>
        </w:rPr>
        <w:t>. The PBAC</w:t>
      </w:r>
      <w:r w:rsidR="004814D7" w:rsidRPr="00906477">
        <w:rPr>
          <w:rFonts w:asciiTheme="minorHAnsi" w:eastAsiaTheme="minorHAnsi" w:hAnsiTheme="minorHAnsi" w:cstheme="minorBidi"/>
          <w:snapToGrid/>
          <w:sz w:val="24"/>
          <w:szCs w:val="22"/>
        </w:rPr>
        <w:t xml:space="preserve"> noted there were practical implementation challenges </w:t>
      </w:r>
      <w:r w:rsidR="00F11986" w:rsidRPr="00906477">
        <w:rPr>
          <w:rFonts w:asciiTheme="minorHAnsi" w:eastAsiaTheme="minorHAnsi" w:hAnsiTheme="minorHAnsi" w:cstheme="minorBidi"/>
          <w:snapToGrid/>
          <w:sz w:val="24"/>
          <w:szCs w:val="22"/>
        </w:rPr>
        <w:t xml:space="preserve">particularly in the hospital </w:t>
      </w:r>
      <w:r w:rsidR="00906477" w:rsidRPr="00906477">
        <w:rPr>
          <w:rFonts w:asciiTheme="minorHAnsi" w:eastAsiaTheme="minorHAnsi" w:hAnsiTheme="minorHAnsi" w:cstheme="minorBidi"/>
          <w:snapToGrid/>
          <w:sz w:val="24"/>
          <w:szCs w:val="22"/>
        </w:rPr>
        <w:t>setting, as individual</w:t>
      </w:r>
      <w:r w:rsidR="00F11986" w:rsidRPr="00906477">
        <w:rPr>
          <w:rFonts w:asciiTheme="minorHAnsi" w:eastAsiaTheme="minorHAnsi" w:hAnsiTheme="minorHAnsi" w:cstheme="minorBidi"/>
          <w:snapToGrid/>
          <w:sz w:val="24"/>
          <w:szCs w:val="22"/>
        </w:rPr>
        <w:t xml:space="preserve"> </w:t>
      </w:r>
      <w:r w:rsidR="004814D7" w:rsidRPr="00906477">
        <w:rPr>
          <w:rFonts w:asciiTheme="minorHAnsi" w:eastAsiaTheme="minorHAnsi" w:hAnsiTheme="minorHAnsi" w:cstheme="minorBidi"/>
          <w:snapToGrid/>
          <w:sz w:val="24"/>
          <w:szCs w:val="22"/>
        </w:rPr>
        <w:t>hospitals are unlikely to stock multiple brands of rituximab and dispense them across a range of</w:t>
      </w:r>
      <w:r w:rsidR="00CA29D3" w:rsidRPr="00906477">
        <w:rPr>
          <w:rFonts w:asciiTheme="minorHAnsi" w:eastAsiaTheme="minorHAnsi" w:hAnsiTheme="minorHAnsi" w:cstheme="minorBidi"/>
          <w:snapToGrid/>
          <w:sz w:val="24"/>
          <w:szCs w:val="22"/>
        </w:rPr>
        <w:t xml:space="preserve"> specific</w:t>
      </w:r>
      <w:r w:rsidR="004814D7" w:rsidRPr="00906477">
        <w:rPr>
          <w:rFonts w:asciiTheme="minorHAnsi" w:eastAsiaTheme="minorHAnsi" w:hAnsiTheme="minorHAnsi" w:cstheme="minorBidi"/>
          <w:snapToGrid/>
          <w:sz w:val="24"/>
          <w:szCs w:val="22"/>
        </w:rPr>
        <w:t xml:space="preserve"> indication subsets</w:t>
      </w:r>
      <w:r w:rsidRPr="00906477">
        <w:rPr>
          <w:rFonts w:asciiTheme="minorHAnsi" w:eastAsiaTheme="minorHAnsi" w:hAnsiTheme="minorHAnsi" w:cstheme="minorBidi"/>
          <w:snapToGrid/>
          <w:sz w:val="24"/>
          <w:szCs w:val="22"/>
        </w:rPr>
        <w:t xml:space="preserve">. </w:t>
      </w:r>
    </w:p>
    <w:p w:rsidR="001115CE" w:rsidRPr="00906477" w:rsidRDefault="004814D7" w:rsidP="003E77D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06477">
        <w:rPr>
          <w:rFonts w:asciiTheme="minorHAnsi" w:eastAsiaTheme="minorHAnsi" w:hAnsiTheme="minorHAnsi" w:cstheme="minorBidi"/>
          <w:snapToGrid/>
          <w:sz w:val="24"/>
          <w:szCs w:val="22"/>
        </w:rPr>
        <w:t>T</w:t>
      </w:r>
      <w:r w:rsidR="001115CE" w:rsidRPr="00906477">
        <w:rPr>
          <w:rFonts w:asciiTheme="minorHAnsi" w:eastAsiaTheme="minorHAnsi" w:hAnsiTheme="minorHAnsi" w:cstheme="minorBidi"/>
          <w:snapToGrid/>
          <w:sz w:val="24"/>
          <w:szCs w:val="22"/>
        </w:rPr>
        <w:t xml:space="preserve">he </w:t>
      </w:r>
      <w:r w:rsidR="00CA29D3" w:rsidRPr="00906477">
        <w:rPr>
          <w:rFonts w:asciiTheme="minorHAnsi" w:eastAsiaTheme="minorHAnsi" w:hAnsiTheme="minorHAnsi" w:cstheme="minorBidi"/>
          <w:snapToGrid/>
          <w:sz w:val="24"/>
          <w:szCs w:val="22"/>
        </w:rPr>
        <w:t xml:space="preserve">PBAC </w:t>
      </w:r>
      <w:r w:rsidR="001115CE" w:rsidRPr="00906477">
        <w:rPr>
          <w:rFonts w:asciiTheme="minorHAnsi" w:eastAsiaTheme="minorHAnsi" w:hAnsiTheme="minorHAnsi" w:cstheme="minorBidi"/>
          <w:snapToGrid/>
          <w:sz w:val="24"/>
          <w:szCs w:val="22"/>
        </w:rPr>
        <w:t xml:space="preserve">considered having </w:t>
      </w:r>
      <w:r w:rsidR="00EE63E2" w:rsidRPr="00906477">
        <w:rPr>
          <w:rFonts w:asciiTheme="minorHAnsi" w:eastAsiaTheme="minorHAnsi" w:hAnsiTheme="minorHAnsi" w:cstheme="minorBidi"/>
          <w:snapToGrid/>
          <w:sz w:val="24"/>
          <w:szCs w:val="22"/>
        </w:rPr>
        <w:t xml:space="preserve">multiple </w:t>
      </w:r>
      <w:r w:rsidRPr="00906477">
        <w:rPr>
          <w:rFonts w:asciiTheme="minorHAnsi" w:eastAsiaTheme="minorHAnsi" w:hAnsiTheme="minorHAnsi" w:cstheme="minorBidi"/>
          <w:snapToGrid/>
          <w:sz w:val="24"/>
          <w:szCs w:val="22"/>
        </w:rPr>
        <w:t>brand</w:t>
      </w:r>
      <w:r w:rsidR="00EE63E2" w:rsidRPr="00906477">
        <w:rPr>
          <w:rFonts w:asciiTheme="minorHAnsi" w:eastAsiaTheme="minorHAnsi" w:hAnsiTheme="minorHAnsi" w:cstheme="minorBidi"/>
          <w:snapToGrid/>
          <w:sz w:val="24"/>
          <w:szCs w:val="22"/>
        </w:rPr>
        <w:t>s</w:t>
      </w:r>
      <w:r w:rsidRPr="00906477">
        <w:rPr>
          <w:rFonts w:asciiTheme="minorHAnsi" w:eastAsiaTheme="minorHAnsi" w:hAnsiTheme="minorHAnsi" w:cstheme="minorBidi"/>
          <w:snapToGrid/>
          <w:sz w:val="24"/>
          <w:szCs w:val="22"/>
        </w:rPr>
        <w:t xml:space="preserve"> of </w:t>
      </w:r>
      <w:r w:rsidR="00EE63E2" w:rsidRPr="00906477">
        <w:rPr>
          <w:rFonts w:asciiTheme="minorHAnsi" w:eastAsiaTheme="minorHAnsi" w:hAnsiTheme="minorHAnsi" w:cstheme="minorBidi"/>
          <w:snapToGrid/>
          <w:sz w:val="24"/>
          <w:szCs w:val="22"/>
        </w:rPr>
        <w:t xml:space="preserve">the same </w:t>
      </w:r>
      <w:proofErr w:type="gramStart"/>
      <w:r w:rsidR="00EE63E2" w:rsidRPr="00906477">
        <w:rPr>
          <w:rFonts w:asciiTheme="minorHAnsi" w:eastAsiaTheme="minorHAnsi" w:hAnsiTheme="minorHAnsi" w:cstheme="minorBidi"/>
          <w:snapToGrid/>
          <w:sz w:val="24"/>
          <w:szCs w:val="22"/>
        </w:rPr>
        <w:t>biosimilar</w:t>
      </w:r>
      <w:proofErr w:type="gramEnd"/>
      <w:r w:rsidR="00EE63E2" w:rsidRPr="00906477">
        <w:rPr>
          <w:rFonts w:asciiTheme="minorHAnsi" w:eastAsiaTheme="minorHAnsi" w:hAnsiTheme="minorHAnsi" w:cstheme="minorBidi"/>
          <w:snapToGrid/>
          <w:sz w:val="24"/>
          <w:szCs w:val="22"/>
        </w:rPr>
        <w:t xml:space="preserve"> </w:t>
      </w:r>
      <w:r w:rsidRPr="00906477">
        <w:rPr>
          <w:rFonts w:asciiTheme="minorHAnsi" w:eastAsiaTheme="minorHAnsi" w:hAnsiTheme="minorHAnsi" w:cstheme="minorBidi"/>
          <w:snapToGrid/>
          <w:sz w:val="24"/>
          <w:szCs w:val="22"/>
        </w:rPr>
        <w:t>rituximab</w:t>
      </w:r>
      <w:r w:rsidR="001115CE" w:rsidRPr="00906477">
        <w:rPr>
          <w:rFonts w:asciiTheme="minorHAnsi" w:eastAsiaTheme="minorHAnsi" w:hAnsiTheme="minorHAnsi" w:cstheme="minorBidi"/>
          <w:snapToGrid/>
          <w:sz w:val="24"/>
          <w:szCs w:val="22"/>
        </w:rPr>
        <w:t xml:space="preserve"> would </w:t>
      </w:r>
      <w:r w:rsidR="005C0033" w:rsidRPr="00906477">
        <w:rPr>
          <w:rFonts w:asciiTheme="minorHAnsi" w:eastAsiaTheme="minorHAnsi" w:hAnsiTheme="minorHAnsi" w:cstheme="minorBidi"/>
          <w:snapToGrid/>
          <w:sz w:val="24"/>
          <w:szCs w:val="22"/>
        </w:rPr>
        <w:t xml:space="preserve">lead to </w:t>
      </w:r>
      <w:r w:rsidR="001115CE" w:rsidRPr="00906477">
        <w:rPr>
          <w:rFonts w:asciiTheme="minorHAnsi" w:eastAsiaTheme="minorHAnsi" w:hAnsiTheme="minorHAnsi" w:cstheme="minorBidi"/>
          <w:snapToGrid/>
          <w:sz w:val="24"/>
          <w:szCs w:val="22"/>
        </w:rPr>
        <w:t>confusion for both prescribers and patients</w:t>
      </w:r>
      <w:r w:rsidR="00F11986" w:rsidRPr="00906477">
        <w:rPr>
          <w:rFonts w:asciiTheme="minorHAnsi" w:eastAsiaTheme="minorHAnsi" w:hAnsiTheme="minorHAnsi" w:cstheme="minorBidi"/>
          <w:snapToGrid/>
          <w:sz w:val="24"/>
          <w:szCs w:val="22"/>
        </w:rPr>
        <w:t xml:space="preserve">, particularly if </w:t>
      </w:r>
      <w:r w:rsidR="00EE63E2" w:rsidRPr="00906477">
        <w:rPr>
          <w:rFonts w:asciiTheme="minorHAnsi" w:eastAsiaTheme="minorHAnsi" w:hAnsiTheme="minorHAnsi" w:cstheme="minorBidi"/>
          <w:snapToGrid/>
          <w:sz w:val="24"/>
          <w:szCs w:val="22"/>
        </w:rPr>
        <w:t>a</w:t>
      </w:r>
      <w:r w:rsidR="00F11986" w:rsidRPr="00906477">
        <w:rPr>
          <w:rFonts w:asciiTheme="minorHAnsi" w:eastAsiaTheme="minorHAnsi" w:hAnsiTheme="minorHAnsi" w:cstheme="minorBidi"/>
          <w:snapToGrid/>
          <w:sz w:val="24"/>
          <w:szCs w:val="22"/>
        </w:rPr>
        <w:t xml:space="preserve"> change in brand was</w:t>
      </w:r>
      <w:r w:rsidR="00EE63E2" w:rsidRPr="00906477">
        <w:rPr>
          <w:rFonts w:asciiTheme="minorHAnsi" w:eastAsiaTheme="minorHAnsi" w:hAnsiTheme="minorHAnsi" w:cstheme="minorBidi"/>
          <w:snapToGrid/>
          <w:sz w:val="24"/>
          <w:szCs w:val="22"/>
        </w:rPr>
        <w:t xml:space="preserve"> incorrectly considered to be</w:t>
      </w:r>
      <w:r w:rsidR="00F11986" w:rsidRPr="00906477">
        <w:rPr>
          <w:rFonts w:asciiTheme="minorHAnsi" w:eastAsiaTheme="minorHAnsi" w:hAnsiTheme="minorHAnsi" w:cstheme="minorBidi"/>
          <w:snapToGrid/>
          <w:sz w:val="24"/>
          <w:szCs w:val="22"/>
        </w:rPr>
        <w:t xml:space="preserve"> a treatment switch</w:t>
      </w:r>
      <w:r w:rsidR="001115CE" w:rsidRPr="00906477">
        <w:rPr>
          <w:rFonts w:asciiTheme="minorHAnsi" w:eastAsiaTheme="minorHAnsi" w:hAnsiTheme="minorHAnsi" w:cstheme="minorBidi"/>
          <w:snapToGrid/>
          <w:sz w:val="24"/>
          <w:szCs w:val="22"/>
        </w:rPr>
        <w:t xml:space="preserve">, and this </w:t>
      </w:r>
      <w:r w:rsidR="000123F9" w:rsidRPr="00906477">
        <w:rPr>
          <w:rFonts w:asciiTheme="minorHAnsi" w:eastAsiaTheme="minorHAnsi" w:hAnsiTheme="minorHAnsi" w:cstheme="minorBidi"/>
          <w:snapToGrid/>
          <w:sz w:val="24"/>
          <w:szCs w:val="22"/>
        </w:rPr>
        <w:t>would ultimately</w:t>
      </w:r>
      <w:r w:rsidR="001115CE" w:rsidRPr="00906477">
        <w:rPr>
          <w:rFonts w:asciiTheme="minorHAnsi" w:eastAsiaTheme="minorHAnsi" w:hAnsiTheme="minorHAnsi" w:cstheme="minorBidi"/>
          <w:snapToGrid/>
          <w:sz w:val="24"/>
          <w:szCs w:val="22"/>
        </w:rPr>
        <w:t xml:space="preserve"> impact on quality use of medicine</w:t>
      </w:r>
      <w:r w:rsidRPr="00906477">
        <w:rPr>
          <w:rFonts w:asciiTheme="minorHAnsi" w:eastAsiaTheme="minorHAnsi" w:hAnsiTheme="minorHAnsi" w:cstheme="minorBidi"/>
          <w:snapToGrid/>
          <w:sz w:val="24"/>
          <w:szCs w:val="22"/>
        </w:rPr>
        <w:t>s</w:t>
      </w:r>
      <w:r w:rsidR="001115CE" w:rsidRPr="00906477">
        <w:rPr>
          <w:rFonts w:asciiTheme="minorHAnsi" w:eastAsiaTheme="minorHAnsi" w:hAnsiTheme="minorHAnsi" w:cstheme="minorBidi"/>
          <w:snapToGrid/>
          <w:sz w:val="24"/>
          <w:szCs w:val="22"/>
        </w:rPr>
        <w:t xml:space="preserve"> and </w:t>
      </w:r>
      <w:r w:rsidR="00F11986" w:rsidRPr="00906477">
        <w:rPr>
          <w:rFonts w:asciiTheme="minorHAnsi" w:eastAsiaTheme="minorHAnsi" w:hAnsiTheme="minorHAnsi" w:cstheme="minorBidi"/>
          <w:snapToGrid/>
          <w:sz w:val="24"/>
          <w:szCs w:val="22"/>
        </w:rPr>
        <w:t xml:space="preserve">could </w:t>
      </w:r>
      <w:r w:rsidR="001115CE" w:rsidRPr="00906477">
        <w:rPr>
          <w:rFonts w:asciiTheme="minorHAnsi" w:eastAsiaTheme="minorHAnsi" w:hAnsiTheme="minorHAnsi" w:cstheme="minorBidi"/>
          <w:snapToGrid/>
          <w:sz w:val="24"/>
          <w:szCs w:val="22"/>
        </w:rPr>
        <w:t xml:space="preserve">discourage the use of </w:t>
      </w:r>
      <w:proofErr w:type="spellStart"/>
      <w:r w:rsidR="001115CE" w:rsidRPr="00906477">
        <w:rPr>
          <w:rFonts w:asciiTheme="minorHAnsi" w:eastAsiaTheme="minorHAnsi" w:hAnsiTheme="minorHAnsi" w:cstheme="minorBidi"/>
          <w:snapToGrid/>
          <w:sz w:val="24"/>
          <w:szCs w:val="22"/>
        </w:rPr>
        <w:t>biosimilars</w:t>
      </w:r>
      <w:proofErr w:type="spellEnd"/>
      <w:r w:rsidR="001115CE" w:rsidRPr="00906477">
        <w:rPr>
          <w:rFonts w:asciiTheme="minorHAnsi" w:eastAsiaTheme="minorHAnsi" w:hAnsiTheme="minorHAnsi" w:cstheme="minorBidi"/>
          <w:snapToGrid/>
          <w:sz w:val="24"/>
          <w:szCs w:val="22"/>
        </w:rPr>
        <w:t xml:space="preserve"> in a long term. </w:t>
      </w:r>
    </w:p>
    <w:p w:rsidR="0058738C" w:rsidRPr="00F23CF6" w:rsidRDefault="0058738C" w:rsidP="003E77D9">
      <w:pPr>
        <w:widowControl w:val="0"/>
        <w:numPr>
          <w:ilvl w:val="0"/>
          <w:numId w:val="5"/>
        </w:numPr>
        <w:spacing w:before="120" w:after="120"/>
        <w:jc w:val="both"/>
        <w:outlineLvl w:val="0"/>
        <w:rPr>
          <w:rFonts w:asciiTheme="minorHAnsi" w:hAnsiTheme="minorHAnsi" w:cs="Arial"/>
          <w:b/>
          <w:bCs/>
          <w:snapToGrid w:val="0"/>
          <w:sz w:val="32"/>
        </w:rPr>
      </w:pPr>
      <w:r w:rsidRPr="00F23CF6">
        <w:rPr>
          <w:rFonts w:asciiTheme="minorHAnsi" w:hAnsiTheme="minorHAnsi" w:cs="Arial"/>
          <w:b/>
          <w:bCs/>
          <w:snapToGrid w:val="0"/>
          <w:sz w:val="32"/>
        </w:rPr>
        <w:t>PBAC Outcome</w:t>
      </w:r>
    </w:p>
    <w:p w:rsidR="0058738C" w:rsidRPr="00614307" w:rsidRDefault="0058738C" w:rsidP="003E77D9">
      <w:pPr>
        <w:widowControl w:val="0"/>
        <w:numPr>
          <w:ilvl w:val="1"/>
          <w:numId w:val="5"/>
        </w:numPr>
        <w:spacing w:before="120" w:after="120"/>
        <w:jc w:val="both"/>
        <w:rPr>
          <w:rFonts w:asciiTheme="minorHAnsi" w:hAnsiTheme="minorHAnsi" w:cs="Arial"/>
          <w:bCs/>
          <w:snapToGrid w:val="0"/>
        </w:rPr>
      </w:pPr>
      <w:r w:rsidRPr="00614307">
        <w:rPr>
          <w:rFonts w:asciiTheme="minorHAnsi" w:hAnsiTheme="minorHAnsi" w:cs="Arial"/>
          <w:bCs/>
          <w:snapToGrid w:val="0"/>
        </w:rPr>
        <w:t>The PBAC recommended the</w:t>
      </w:r>
      <w:r w:rsidR="003134B4" w:rsidRPr="00614307">
        <w:rPr>
          <w:rFonts w:asciiTheme="minorHAnsi" w:hAnsiTheme="minorHAnsi" w:cs="Arial"/>
          <w:bCs/>
          <w:snapToGrid w:val="0"/>
        </w:rPr>
        <w:t xml:space="preserve"> Section 100 (Efficient F</w:t>
      </w:r>
      <w:r w:rsidR="008E4E71" w:rsidRPr="00614307">
        <w:rPr>
          <w:rFonts w:asciiTheme="minorHAnsi" w:hAnsiTheme="minorHAnsi" w:cs="Arial"/>
          <w:bCs/>
          <w:snapToGrid w:val="0"/>
        </w:rPr>
        <w:t>unding of Chemotherapy</w:t>
      </w:r>
      <w:r w:rsidR="00422709" w:rsidRPr="00614307">
        <w:rPr>
          <w:rFonts w:asciiTheme="minorHAnsi" w:hAnsiTheme="minorHAnsi" w:cs="Arial"/>
          <w:bCs/>
          <w:snapToGrid w:val="0"/>
        </w:rPr>
        <w:t xml:space="preserve">), </w:t>
      </w:r>
      <w:r w:rsidR="003134B4" w:rsidRPr="00614307">
        <w:rPr>
          <w:rFonts w:asciiTheme="minorHAnsi" w:hAnsiTheme="minorHAnsi" w:cs="Arial"/>
          <w:bCs/>
          <w:snapToGrid w:val="0"/>
        </w:rPr>
        <w:t>Authority Required (STREAMLINED)</w:t>
      </w:r>
      <w:r w:rsidRPr="00614307">
        <w:rPr>
          <w:rFonts w:asciiTheme="minorHAnsi" w:hAnsiTheme="minorHAnsi" w:cs="Arial"/>
          <w:bCs/>
          <w:snapToGrid w:val="0"/>
        </w:rPr>
        <w:t xml:space="preserve"> listing of</w:t>
      </w:r>
      <w:r w:rsidR="003134B4" w:rsidRPr="00614307">
        <w:rPr>
          <w:rFonts w:asciiTheme="minorHAnsi" w:hAnsiTheme="minorHAnsi" w:cs="Arial"/>
          <w:bCs/>
          <w:snapToGrid w:val="0"/>
        </w:rPr>
        <w:t xml:space="preserve"> </w:t>
      </w:r>
      <w:proofErr w:type="spellStart"/>
      <w:r w:rsidR="008E4E71" w:rsidRPr="00614307">
        <w:rPr>
          <w:rFonts w:asciiTheme="minorHAnsi" w:hAnsiTheme="minorHAnsi" w:cs="Arial"/>
          <w:bCs/>
          <w:snapToGrid w:val="0"/>
        </w:rPr>
        <w:t>Truxima</w:t>
      </w:r>
      <w:proofErr w:type="spellEnd"/>
      <w:r w:rsidR="008E4E71" w:rsidRPr="00614307">
        <w:rPr>
          <w:rFonts w:asciiTheme="minorHAnsi" w:hAnsiTheme="minorHAnsi" w:cs="Arial"/>
          <w:bCs/>
          <w:snapToGrid w:val="0"/>
        </w:rPr>
        <w:t xml:space="preserve">® brand of </w:t>
      </w:r>
      <w:r w:rsidR="001D17E8" w:rsidRPr="00614307">
        <w:rPr>
          <w:rFonts w:asciiTheme="minorHAnsi" w:hAnsiTheme="minorHAnsi" w:cs="Arial"/>
          <w:bCs/>
          <w:snapToGrid w:val="0"/>
        </w:rPr>
        <w:t>rituximab</w:t>
      </w:r>
      <w:r w:rsidRPr="00614307">
        <w:rPr>
          <w:rFonts w:asciiTheme="minorHAnsi" w:hAnsiTheme="minorHAnsi" w:cs="Arial"/>
          <w:bCs/>
          <w:snapToGrid w:val="0"/>
        </w:rPr>
        <w:t xml:space="preserve">, </w:t>
      </w:r>
      <w:r w:rsidR="000D3D1D" w:rsidRPr="00614307">
        <w:rPr>
          <w:rFonts w:asciiTheme="minorHAnsi" w:hAnsiTheme="minorHAnsi" w:cs="Arial"/>
          <w:bCs/>
          <w:snapToGrid w:val="0"/>
        </w:rPr>
        <w:t xml:space="preserve">for </w:t>
      </w:r>
      <w:r w:rsidR="008B5DB6" w:rsidRPr="00614307">
        <w:rPr>
          <w:rFonts w:asciiTheme="minorHAnsi" w:hAnsiTheme="minorHAnsi" w:cs="Arial"/>
          <w:bCs/>
          <w:snapToGrid w:val="0"/>
        </w:rPr>
        <w:t>the treatment of</w:t>
      </w:r>
      <w:r w:rsidR="000D3D1D" w:rsidRPr="00614307">
        <w:rPr>
          <w:rFonts w:asciiTheme="minorHAnsi" w:hAnsiTheme="minorHAnsi" w:cs="Arial"/>
          <w:bCs/>
          <w:snapToGrid w:val="0"/>
        </w:rPr>
        <w:t xml:space="preserve"> </w:t>
      </w:r>
      <w:r w:rsidR="008E4E71" w:rsidRPr="00614307">
        <w:rPr>
          <w:rFonts w:asciiTheme="minorHAnsi" w:hAnsiTheme="minorHAnsi" w:cs="Arial"/>
          <w:bCs/>
          <w:snapToGrid w:val="0"/>
        </w:rPr>
        <w:t>stage III or IV CD20 positive</w:t>
      </w:r>
      <w:r w:rsidR="000D3D1D" w:rsidRPr="00614307">
        <w:rPr>
          <w:rFonts w:asciiTheme="minorHAnsi" w:hAnsiTheme="minorHAnsi" w:cs="Arial"/>
          <w:bCs/>
          <w:snapToGrid w:val="0"/>
        </w:rPr>
        <w:t xml:space="preserve"> </w:t>
      </w:r>
      <w:r w:rsidR="008E4E71" w:rsidRPr="00614307">
        <w:rPr>
          <w:rFonts w:asciiTheme="minorHAnsi" w:hAnsiTheme="minorHAnsi" w:cs="Arial"/>
          <w:bCs/>
          <w:snapToGrid w:val="0"/>
        </w:rPr>
        <w:t xml:space="preserve">follicular </w:t>
      </w:r>
      <w:r w:rsidR="000D3D1D" w:rsidRPr="00614307">
        <w:rPr>
          <w:rFonts w:asciiTheme="minorHAnsi" w:hAnsiTheme="minorHAnsi" w:cs="Arial"/>
          <w:bCs/>
          <w:snapToGrid w:val="0"/>
        </w:rPr>
        <w:t>B-cell non-Hodgkin</w:t>
      </w:r>
      <w:r w:rsidR="008E4E71" w:rsidRPr="00614307">
        <w:rPr>
          <w:rFonts w:asciiTheme="minorHAnsi" w:hAnsiTheme="minorHAnsi" w:cs="Arial"/>
          <w:bCs/>
          <w:snapToGrid w:val="0"/>
        </w:rPr>
        <w:t>’</w:t>
      </w:r>
      <w:r w:rsidR="000D3D1D" w:rsidRPr="00614307">
        <w:rPr>
          <w:rFonts w:asciiTheme="minorHAnsi" w:hAnsiTheme="minorHAnsi" w:cs="Arial"/>
          <w:bCs/>
          <w:snapToGrid w:val="0"/>
        </w:rPr>
        <w:t xml:space="preserve">s lymphoma (NHL) </w:t>
      </w:r>
      <w:r w:rsidR="00233CB9" w:rsidRPr="00614307">
        <w:rPr>
          <w:rFonts w:asciiTheme="minorHAnsi" w:hAnsiTheme="minorHAnsi" w:cs="Arial"/>
          <w:bCs/>
          <w:snapToGrid w:val="0"/>
        </w:rPr>
        <w:t>as</w:t>
      </w:r>
      <w:r w:rsidR="003134B4" w:rsidRPr="00614307">
        <w:rPr>
          <w:rFonts w:asciiTheme="minorHAnsi" w:hAnsiTheme="minorHAnsi" w:cs="Arial"/>
          <w:bCs/>
          <w:snapToGrid w:val="0"/>
        </w:rPr>
        <w:t xml:space="preserve"> a biosimilar of</w:t>
      </w:r>
      <w:r w:rsidR="000D62C0" w:rsidRPr="00614307">
        <w:rPr>
          <w:rFonts w:asciiTheme="minorHAnsi" w:hAnsiTheme="minorHAnsi" w:cs="Arial"/>
          <w:bCs/>
          <w:snapToGrid w:val="0"/>
        </w:rPr>
        <w:t xml:space="preserve"> </w:t>
      </w:r>
      <w:r w:rsidR="001E2BDB" w:rsidRPr="00614307">
        <w:rPr>
          <w:rFonts w:asciiTheme="minorHAnsi" w:hAnsiTheme="minorHAnsi" w:cs="Arial"/>
          <w:bCs/>
          <w:snapToGrid w:val="0"/>
        </w:rPr>
        <w:t>the</w:t>
      </w:r>
      <w:r w:rsidR="003134B4" w:rsidRPr="00614307">
        <w:rPr>
          <w:rFonts w:asciiTheme="minorHAnsi" w:hAnsiTheme="minorHAnsi" w:cs="Arial"/>
          <w:bCs/>
          <w:snapToGrid w:val="0"/>
        </w:rPr>
        <w:t xml:space="preserve"> intravenous</w:t>
      </w:r>
      <w:r w:rsidR="001E2BDB" w:rsidRPr="00614307">
        <w:rPr>
          <w:rFonts w:asciiTheme="minorHAnsi" w:hAnsiTheme="minorHAnsi" w:cs="Arial"/>
          <w:bCs/>
          <w:snapToGrid w:val="0"/>
        </w:rPr>
        <w:t xml:space="preserve"> </w:t>
      </w:r>
      <w:r w:rsidR="003134B4" w:rsidRPr="00614307">
        <w:rPr>
          <w:rFonts w:asciiTheme="minorHAnsi" w:hAnsiTheme="minorHAnsi" w:cs="Arial"/>
          <w:bCs/>
          <w:snapToGrid w:val="0"/>
        </w:rPr>
        <w:t>(</w:t>
      </w:r>
      <w:r w:rsidR="001E2BDB" w:rsidRPr="00614307">
        <w:rPr>
          <w:rFonts w:asciiTheme="minorHAnsi" w:hAnsiTheme="minorHAnsi" w:cs="Arial"/>
          <w:bCs/>
          <w:snapToGrid w:val="0"/>
        </w:rPr>
        <w:t>IV</w:t>
      </w:r>
      <w:r w:rsidR="003134B4" w:rsidRPr="00614307">
        <w:rPr>
          <w:rFonts w:asciiTheme="minorHAnsi" w:hAnsiTheme="minorHAnsi" w:cs="Arial"/>
          <w:bCs/>
          <w:snapToGrid w:val="0"/>
        </w:rPr>
        <w:t>)</w:t>
      </w:r>
      <w:r w:rsidR="001E2BDB" w:rsidRPr="00614307">
        <w:rPr>
          <w:rFonts w:asciiTheme="minorHAnsi" w:hAnsiTheme="minorHAnsi" w:cs="Arial"/>
          <w:bCs/>
          <w:snapToGrid w:val="0"/>
        </w:rPr>
        <w:t xml:space="preserve"> infusion</w:t>
      </w:r>
      <w:r w:rsidR="003134B4" w:rsidRPr="00614307">
        <w:rPr>
          <w:rFonts w:asciiTheme="minorHAnsi" w:hAnsiTheme="minorHAnsi" w:cs="Arial"/>
          <w:bCs/>
          <w:snapToGrid w:val="0"/>
        </w:rPr>
        <w:t xml:space="preserve"> presentation of the</w:t>
      </w:r>
      <w:r w:rsidR="001E2BDB" w:rsidRPr="00614307">
        <w:rPr>
          <w:rFonts w:asciiTheme="minorHAnsi" w:hAnsiTheme="minorHAnsi" w:cs="Arial"/>
          <w:bCs/>
          <w:snapToGrid w:val="0"/>
        </w:rPr>
        <w:t xml:space="preserve"> reference </w:t>
      </w:r>
      <w:r w:rsidR="001E2BDB" w:rsidRPr="00614307">
        <w:rPr>
          <w:rFonts w:asciiTheme="minorHAnsi" w:hAnsiTheme="minorHAnsi" w:cs="Arial"/>
          <w:bCs/>
          <w:snapToGrid w:val="0"/>
        </w:rPr>
        <w:lastRenderedPageBreak/>
        <w:t>brand of rituximab</w:t>
      </w:r>
      <w:r w:rsidR="003134B4" w:rsidRPr="00614307">
        <w:rPr>
          <w:rFonts w:asciiTheme="minorHAnsi" w:hAnsiTheme="minorHAnsi" w:cs="Arial"/>
          <w:bCs/>
          <w:snapToGrid w:val="0"/>
        </w:rPr>
        <w:t xml:space="preserve"> (</w:t>
      </w:r>
      <w:proofErr w:type="spellStart"/>
      <w:r w:rsidR="003134B4" w:rsidRPr="00614307">
        <w:rPr>
          <w:rFonts w:asciiTheme="minorHAnsi" w:hAnsiTheme="minorHAnsi" w:cs="Arial"/>
          <w:bCs/>
          <w:snapToGrid w:val="0"/>
        </w:rPr>
        <w:t>MabThera</w:t>
      </w:r>
      <w:proofErr w:type="spellEnd"/>
      <w:r w:rsidR="003134B4" w:rsidRPr="00614307">
        <w:rPr>
          <w:rFonts w:asciiTheme="minorHAnsi" w:hAnsiTheme="minorHAnsi" w:cstheme="minorHAnsi"/>
          <w:bCs/>
          <w:snapToGrid w:val="0"/>
        </w:rPr>
        <w:t>®</w:t>
      </w:r>
      <w:r w:rsidR="003134B4" w:rsidRPr="00614307">
        <w:rPr>
          <w:rFonts w:asciiTheme="minorHAnsi" w:hAnsiTheme="minorHAnsi" w:cs="Arial"/>
          <w:bCs/>
          <w:snapToGrid w:val="0"/>
        </w:rPr>
        <w:t>)</w:t>
      </w:r>
      <w:r w:rsidR="00DD5E35" w:rsidRPr="00614307">
        <w:rPr>
          <w:rFonts w:asciiTheme="minorHAnsi" w:hAnsiTheme="minorHAnsi" w:cs="Arial"/>
          <w:bCs/>
          <w:snapToGrid w:val="0"/>
        </w:rPr>
        <w:t xml:space="preserve">. In making this recommendation, the PBAC noted the </w:t>
      </w:r>
      <w:r w:rsidR="00930C40" w:rsidRPr="00614307">
        <w:rPr>
          <w:rFonts w:asciiTheme="minorHAnsi" w:hAnsiTheme="minorHAnsi" w:cs="Arial"/>
          <w:bCs/>
          <w:snapToGrid w:val="0"/>
        </w:rPr>
        <w:t>approved Product Information</w:t>
      </w:r>
      <w:r w:rsidR="00DD5E35" w:rsidRPr="00614307">
        <w:rPr>
          <w:rFonts w:asciiTheme="minorHAnsi" w:hAnsiTheme="minorHAnsi" w:cs="Arial"/>
          <w:bCs/>
          <w:snapToGrid w:val="0"/>
        </w:rPr>
        <w:t xml:space="preserve"> </w:t>
      </w:r>
      <w:r w:rsidR="00930C40" w:rsidRPr="00614307">
        <w:rPr>
          <w:rFonts w:asciiTheme="minorHAnsi" w:hAnsiTheme="minorHAnsi" w:cs="Arial"/>
          <w:bCs/>
          <w:snapToGrid w:val="0"/>
        </w:rPr>
        <w:t>states that</w:t>
      </w:r>
      <w:r w:rsidR="00DD5E35" w:rsidRPr="00614307">
        <w:rPr>
          <w:rFonts w:asciiTheme="minorHAnsi" w:hAnsiTheme="minorHAnsi" w:cs="Arial"/>
          <w:bCs/>
          <w:snapToGrid w:val="0"/>
        </w:rPr>
        <w:t xml:space="preserve"> </w:t>
      </w:r>
      <w:proofErr w:type="spellStart"/>
      <w:r w:rsidR="00DD5E35" w:rsidRPr="00614307">
        <w:rPr>
          <w:rFonts w:asciiTheme="minorHAnsi" w:hAnsiTheme="minorHAnsi" w:cs="Arial"/>
          <w:bCs/>
          <w:snapToGrid w:val="0"/>
        </w:rPr>
        <w:t>Truxima</w:t>
      </w:r>
      <w:proofErr w:type="spellEnd"/>
      <w:r w:rsidR="00F23CF6">
        <w:rPr>
          <w:rFonts w:asciiTheme="minorHAnsi" w:eastAsiaTheme="minorHAnsi" w:hAnsiTheme="minorHAnsi" w:cstheme="minorBidi"/>
          <w:szCs w:val="22"/>
        </w:rPr>
        <w:t>®</w:t>
      </w:r>
      <w:r w:rsidR="00DD5E35" w:rsidRPr="00614307">
        <w:rPr>
          <w:rFonts w:asciiTheme="minorHAnsi" w:hAnsiTheme="minorHAnsi" w:cs="Arial"/>
          <w:bCs/>
          <w:snapToGrid w:val="0"/>
        </w:rPr>
        <w:t xml:space="preserve"> </w:t>
      </w:r>
      <w:r w:rsidR="00930C40" w:rsidRPr="00614307">
        <w:rPr>
          <w:rFonts w:asciiTheme="minorHAnsi" w:hAnsiTheme="minorHAnsi" w:cs="Arial"/>
          <w:bCs/>
          <w:snapToGrid w:val="0"/>
        </w:rPr>
        <w:t>is</w:t>
      </w:r>
      <w:r w:rsidR="00DD5E35" w:rsidRPr="00614307">
        <w:rPr>
          <w:rFonts w:asciiTheme="minorHAnsi" w:hAnsiTheme="minorHAnsi" w:cs="Arial"/>
          <w:bCs/>
          <w:snapToGrid w:val="0"/>
        </w:rPr>
        <w:t xml:space="preserve"> biosimilar </w:t>
      </w:r>
      <w:r w:rsidR="00D27682" w:rsidRPr="00614307">
        <w:rPr>
          <w:rFonts w:asciiTheme="minorHAnsi" w:hAnsiTheme="minorHAnsi" w:cs="Arial"/>
          <w:bCs/>
          <w:snapToGrid w:val="0"/>
        </w:rPr>
        <w:t>to</w:t>
      </w:r>
      <w:r w:rsidR="008E4E71" w:rsidRPr="00614307">
        <w:rPr>
          <w:rFonts w:asciiTheme="minorHAnsi" w:hAnsiTheme="minorHAnsi" w:cs="Arial"/>
          <w:bCs/>
          <w:snapToGrid w:val="0"/>
        </w:rPr>
        <w:t xml:space="preserve"> the reference brand, </w:t>
      </w:r>
      <w:proofErr w:type="spellStart"/>
      <w:r w:rsidR="008E4E71" w:rsidRPr="00614307">
        <w:rPr>
          <w:rFonts w:asciiTheme="minorHAnsi" w:hAnsiTheme="minorHAnsi" w:cs="Arial"/>
          <w:bCs/>
          <w:snapToGrid w:val="0"/>
        </w:rPr>
        <w:t>MabThera</w:t>
      </w:r>
      <w:proofErr w:type="spellEnd"/>
      <w:r w:rsidR="00F23CF6">
        <w:rPr>
          <w:rFonts w:asciiTheme="minorHAnsi" w:eastAsiaTheme="minorHAnsi" w:hAnsiTheme="minorHAnsi" w:cstheme="minorBidi"/>
          <w:szCs w:val="22"/>
        </w:rPr>
        <w:t>®</w:t>
      </w:r>
      <w:r w:rsidR="00243B0B" w:rsidRPr="00614307">
        <w:rPr>
          <w:rFonts w:asciiTheme="minorHAnsi" w:hAnsiTheme="minorHAnsi" w:cs="Arial"/>
          <w:bCs/>
          <w:snapToGrid w:val="0"/>
        </w:rPr>
        <w:t xml:space="preserve">. </w:t>
      </w:r>
    </w:p>
    <w:p w:rsidR="00117142" w:rsidRPr="00614307" w:rsidRDefault="003D178A" w:rsidP="003E77D9">
      <w:pPr>
        <w:widowControl w:val="0"/>
        <w:numPr>
          <w:ilvl w:val="1"/>
          <w:numId w:val="5"/>
        </w:numPr>
        <w:spacing w:before="120" w:after="120"/>
        <w:jc w:val="both"/>
        <w:rPr>
          <w:rFonts w:asciiTheme="minorHAnsi" w:hAnsiTheme="minorHAnsi" w:cs="Arial"/>
          <w:bCs/>
          <w:snapToGrid w:val="0"/>
        </w:rPr>
      </w:pPr>
      <w:r w:rsidRPr="00614307">
        <w:rPr>
          <w:rFonts w:asciiTheme="minorHAnsi" w:hAnsiTheme="minorHAnsi" w:cs="Arial"/>
          <w:bCs/>
          <w:snapToGrid w:val="0"/>
        </w:rPr>
        <w:t xml:space="preserve">The PBAC noted that </w:t>
      </w:r>
      <w:r w:rsidR="00D27682" w:rsidRPr="00614307">
        <w:rPr>
          <w:rFonts w:asciiTheme="minorHAnsi" w:hAnsiTheme="minorHAnsi" w:cs="Arial"/>
          <w:bCs/>
          <w:snapToGrid w:val="0"/>
        </w:rPr>
        <w:t xml:space="preserve">the </w:t>
      </w:r>
      <w:r w:rsidRPr="00614307">
        <w:rPr>
          <w:rFonts w:asciiTheme="minorHAnsi" w:hAnsiTheme="minorHAnsi" w:cs="Arial"/>
          <w:bCs/>
          <w:snapToGrid w:val="0"/>
        </w:rPr>
        <w:t xml:space="preserve">submission </w:t>
      </w:r>
      <w:r w:rsidR="0069461C" w:rsidRPr="00614307">
        <w:rPr>
          <w:rFonts w:asciiTheme="minorHAnsi" w:hAnsiTheme="minorHAnsi" w:cs="Arial"/>
          <w:bCs/>
          <w:snapToGrid w:val="0"/>
        </w:rPr>
        <w:t>only requested</w:t>
      </w:r>
      <w:r w:rsidR="00BB0397" w:rsidRPr="00614307">
        <w:rPr>
          <w:rFonts w:asciiTheme="minorHAnsi" w:hAnsiTheme="minorHAnsi" w:cs="Arial"/>
          <w:bCs/>
          <w:snapToGrid w:val="0"/>
        </w:rPr>
        <w:t xml:space="preserve"> listing</w:t>
      </w:r>
      <w:r w:rsidR="007C36E1" w:rsidRPr="00614307">
        <w:rPr>
          <w:rFonts w:asciiTheme="minorHAnsi" w:hAnsiTheme="minorHAnsi" w:cs="Arial"/>
          <w:bCs/>
          <w:snapToGrid w:val="0"/>
        </w:rPr>
        <w:t xml:space="preserve"> </w:t>
      </w:r>
      <w:r w:rsidR="00906477" w:rsidRPr="00906477">
        <w:rPr>
          <w:rFonts w:asciiTheme="minorHAnsi" w:hAnsiTheme="minorHAnsi" w:cs="Arial"/>
          <w:bCs/>
          <w:snapToGrid w:val="0"/>
        </w:rPr>
        <w:t>for NHL</w:t>
      </w:r>
      <w:r w:rsidRPr="00614307">
        <w:rPr>
          <w:rFonts w:asciiTheme="minorHAnsi" w:hAnsiTheme="minorHAnsi" w:cs="Arial"/>
          <w:bCs/>
          <w:snapToGrid w:val="0"/>
        </w:rPr>
        <w:t xml:space="preserve"> indication</w:t>
      </w:r>
      <w:r w:rsidR="007C36E1" w:rsidRPr="00614307">
        <w:rPr>
          <w:rFonts w:asciiTheme="minorHAnsi" w:hAnsiTheme="minorHAnsi" w:cs="Arial"/>
          <w:bCs/>
          <w:snapToGrid w:val="0"/>
        </w:rPr>
        <w:t>s</w:t>
      </w:r>
      <w:r w:rsidR="00C26821" w:rsidRPr="00614307">
        <w:rPr>
          <w:rFonts w:asciiTheme="minorHAnsi" w:hAnsiTheme="minorHAnsi" w:cs="Arial"/>
          <w:bCs/>
          <w:snapToGrid w:val="0"/>
        </w:rPr>
        <w:t xml:space="preserve"> at this time</w:t>
      </w:r>
      <w:r w:rsidR="003134B4" w:rsidRPr="00614307">
        <w:rPr>
          <w:rFonts w:asciiTheme="minorHAnsi" w:hAnsiTheme="minorHAnsi" w:cs="Arial"/>
          <w:bCs/>
          <w:snapToGrid w:val="0"/>
        </w:rPr>
        <w:t xml:space="preserve">. </w:t>
      </w:r>
      <w:r w:rsidR="00117142" w:rsidRPr="00614307">
        <w:rPr>
          <w:rFonts w:asciiTheme="minorHAnsi" w:hAnsiTheme="minorHAnsi" w:cs="Arial"/>
          <w:bCs/>
          <w:snapToGrid w:val="0"/>
        </w:rPr>
        <w:t xml:space="preserve">The PBAC noted there are other brands of the rituximab </w:t>
      </w:r>
      <w:r w:rsidR="00C26821" w:rsidRPr="00614307">
        <w:rPr>
          <w:rFonts w:asciiTheme="minorHAnsi" w:hAnsiTheme="minorHAnsi" w:cs="Arial"/>
          <w:bCs/>
          <w:snapToGrid w:val="0"/>
        </w:rPr>
        <w:t>biosimilar that</w:t>
      </w:r>
      <w:r w:rsidR="00117142" w:rsidRPr="00614307">
        <w:rPr>
          <w:rFonts w:asciiTheme="minorHAnsi" w:hAnsiTheme="minorHAnsi" w:cs="Arial"/>
          <w:bCs/>
          <w:snapToGrid w:val="0"/>
        </w:rPr>
        <w:t xml:space="preserve"> are TGA registered </w:t>
      </w:r>
      <w:r w:rsidR="00C26821" w:rsidRPr="00614307">
        <w:rPr>
          <w:rFonts w:asciiTheme="minorHAnsi" w:hAnsiTheme="minorHAnsi" w:cs="Arial"/>
          <w:bCs/>
          <w:snapToGrid w:val="0"/>
        </w:rPr>
        <w:t xml:space="preserve">by </w:t>
      </w:r>
      <w:r w:rsidR="00117142" w:rsidRPr="00614307">
        <w:rPr>
          <w:rFonts w:asciiTheme="minorHAnsi" w:hAnsiTheme="minorHAnsi" w:cs="Arial"/>
          <w:bCs/>
          <w:snapToGrid w:val="0"/>
        </w:rPr>
        <w:t xml:space="preserve">the same sponsor for different </w:t>
      </w:r>
      <w:r w:rsidR="003134B4" w:rsidRPr="00614307">
        <w:rPr>
          <w:rFonts w:asciiTheme="minorHAnsi" w:hAnsiTheme="minorHAnsi" w:cs="Arial"/>
          <w:bCs/>
          <w:snapToGrid w:val="0"/>
        </w:rPr>
        <w:t xml:space="preserve">subsets of indications for which the reference brand </w:t>
      </w:r>
      <w:proofErr w:type="gramStart"/>
      <w:r w:rsidR="003134B4" w:rsidRPr="00614307">
        <w:rPr>
          <w:rFonts w:asciiTheme="minorHAnsi" w:hAnsiTheme="minorHAnsi" w:cs="Arial"/>
          <w:bCs/>
          <w:snapToGrid w:val="0"/>
        </w:rPr>
        <w:t>is currently listed</w:t>
      </w:r>
      <w:proofErr w:type="gramEnd"/>
      <w:r w:rsidR="003134B4" w:rsidRPr="00614307">
        <w:rPr>
          <w:rFonts w:asciiTheme="minorHAnsi" w:hAnsiTheme="minorHAnsi" w:cs="Arial"/>
          <w:bCs/>
          <w:snapToGrid w:val="0"/>
        </w:rPr>
        <w:t xml:space="preserve"> on the PBS.</w:t>
      </w:r>
      <w:r w:rsidR="00117142" w:rsidRPr="00614307">
        <w:rPr>
          <w:rFonts w:asciiTheme="minorHAnsi" w:hAnsiTheme="minorHAnsi" w:cs="Arial"/>
          <w:bCs/>
          <w:snapToGrid w:val="0"/>
        </w:rPr>
        <w:t xml:space="preserve"> The PBAC considered the </w:t>
      </w:r>
      <w:r w:rsidR="007C36E1" w:rsidRPr="00614307">
        <w:rPr>
          <w:rFonts w:asciiTheme="minorHAnsi" w:hAnsiTheme="minorHAnsi" w:cs="Arial"/>
          <w:bCs/>
          <w:snapToGrid w:val="0"/>
        </w:rPr>
        <w:t>listing</w:t>
      </w:r>
      <w:r w:rsidR="00117142" w:rsidRPr="00614307">
        <w:rPr>
          <w:rFonts w:asciiTheme="minorHAnsi" w:hAnsiTheme="minorHAnsi" w:cs="Arial"/>
          <w:bCs/>
          <w:snapToGrid w:val="0"/>
        </w:rPr>
        <w:t xml:space="preserve"> of</w:t>
      </w:r>
      <w:r w:rsidR="007C36E1" w:rsidRPr="00614307">
        <w:rPr>
          <w:rFonts w:asciiTheme="minorHAnsi" w:hAnsiTheme="minorHAnsi" w:cs="Arial"/>
          <w:bCs/>
          <w:snapToGrid w:val="0"/>
        </w:rPr>
        <w:t xml:space="preserve"> numerous</w:t>
      </w:r>
      <w:r w:rsidR="00117142" w:rsidRPr="00614307">
        <w:rPr>
          <w:rFonts w:asciiTheme="minorHAnsi" w:hAnsiTheme="minorHAnsi" w:cs="Arial"/>
          <w:bCs/>
          <w:snapToGrid w:val="0"/>
        </w:rPr>
        <w:t xml:space="preserve"> different brands of </w:t>
      </w:r>
      <w:r w:rsidR="009A6D17" w:rsidRPr="00614307">
        <w:rPr>
          <w:rFonts w:asciiTheme="minorHAnsi" w:hAnsiTheme="minorHAnsi" w:cs="Arial"/>
          <w:bCs/>
          <w:snapToGrid w:val="0"/>
        </w:rPr>
        <w:t xml:space="preserve">this </w:t>
      </w:r>
      <w:r w:rsidR="00117142" w:rsidRPr="00614307">
        <w:rPr>
          <w:rFonts w:asciiTheme="minorHAnsi" w:hAnsiTheme="minorHAnsi" w:cs="Arial"/>
          <w:bCs/>
          <w:snapToGrid w:val="0"/>
        </w:rPr>
        <w:t xml:space="preserve">biosimilar with different indications </w:t>
      </w:r>
      <w:r w:rsidR="007C36E1" w:rsidRPr="00614307">
        <w:rPr>
          <w:rFonts w:asciiTheme="minorHAnsi" w:hAnsiTheme="minorHAnsi" w:cs="Arial"/>
          <w:bCs/>
          <w:snapToGrid w:val="0"/>
        </w:rPr>
        <w:t>c</w:t>
      </w:r>
      <w:r w:rsidR="00117142" w:rsidRPr="00614307">
        <w:rPr>
          <w:rFonts w:asciiTheme="minorHAnsi" w:hAnsiTheme="minorHAnsi" w:cs="Arial"/>
          <w:bCs/>
          <w:snapToGrid w:val="0"/>
        </w:rPr>
        <w:t>ould cause significant brand confusion for consumers</w:t>
      </w:r>
      <w:r w:rsidR="007C36E1" w:rsidRPr="00614307">
        <w:rPr>
          <w:rFonts w:asciiTheme="minorHAnsi" w:hAnsiTheme="minorHAnsi" w:cs="Arial"/>
          <w:bCs/>
          <w:snapToGrid w:val="0"/>
        </w:rPr>
        <w:t xml:space="preserve">, </w:t>
      </w:r>
      <w:r w:rsidR="00117142" w:rsidRPr="00614307">
        <w:rPr>
          <w:rFonts w:asciiTheme="minorHAnsi" w:hAnsiTheme="minorHAnsi" w:cs="Arial"/>
          <w:bCs/>
          <w:snapToGrid w:val="0"/>
        </w:rPr>
        <w:t>prescribers</w:t>
      </w:r>
      <w:r w:rsidR="007C36E1" w:rsidRPr="00614307">
        <w:rPr>
          <w:rFonts w:asciiTheme="minorHAnsi" w:hAnsiTheme="minorHAnsi" w:cs="Arial"/>
          <w:bCs/>
          <w:snapToGrid w:val="0"/>
        </w:rPr>
        <w:t xml:space="preserve"> and dispensers</w:t>
      </w:r>
      <w:r w:rsidR="00117142" w:rsidRPr="00614307">
        <w:rPr>
          <w:rFonts w:asciiTheme="minorHAnsi" w:hAnsiTheme="minorHAnsi" w:cs="Arial"/>
          <w:bCs/>
          <w:snapToGrid w:val="0"/>
        </w:rPr>
        <w:t xml:space="preserve">. </w:t>
      </w:r>
    </w:p>
    <w:p w:rsidR="003134B4" w:rsidRPr="00614307" w:rsidRDefault="009F6799" w:rsidP="003E77D9">
      <w:pPr>
        <w:widowControl w:val="0"/>
        <w:numPr>
          <w:ilvl w:val="1"/>
          <w:numId w:val="5"/>
        </w:numPr>
        <w:spacing w:before="120" w:after="120"/>
        <w:jc w:val="both"/>
        <w:rPr>
          <w:rFonts w:asciiTheme="minorHAnsi" w:hAnsiTheme="minorHAnsi" w:cs="Arial"/>
          <w:bCs/>
          <w:snapToGrid w:val="0"/>
        </w:rPr>
      </w:pPr>
      <w:r w:rsidRPr="00614307">
        <w:rPr>
          <w:rFonts w:asciiTheme="minorHAnsi" w:hAnsiTheme="minorHAnsi" w:cs="Arial"/>
          <w:bCs/>
          <w:snapToGrid w:val="0"/>
        </w:rPr>
        <w:t xml:space="preserve">Although the submission requested listing only for </w:t>
      </w:r>
      <w:proofErr w:type="spellStart"/>
      <w:r w:rsidR="00C26821" w:rsidRPr="00614307">
        <w:rPr>
          <w:rFonts w:asciiTheme="minorHAnsi" w:hAnsiTheme="minorHAnsi" w:cs="Arial"/>
          <w:bCs/>
          <w:snapToGrid w:val="0"/>
        </w:rPr>
        <w:t>Truxima</w:t>
      </w:r>
      <w:proofErr w:type="spellEnd"/>
      <w:r w:rsidR="00F23CF6">
        <w:rPr>
          <w:rFonts w:asciiTheme="minorHAnsi" w:eastAsiaTheme="minorHAnsi" w:hAnsiTheme="minorHAnsi" w:cstheme="minorBidi"/>
          <w:szCs w:val="22"/>
        </w:rPr>
        <w:t>®</w:t>
      </w:r>
      <w:r w:rsidR="00C26821" w:rsidRPr="00614307">
        <w:rPr>
          <w:rFonts w:asciiTheme="minorHAnsi" w:hAnsiTheme="minorHAnsi" w:cs="Arial"/>
          <w:bCs/>
          <w:snapToGrid w:val="0"/>
        </w:rPr>
        <w:t xml:space="preserve"> brand for </w:t>
      </w:r>
      <w:r w:rsidRPr="00614307">
        <w:rPr>
          <w:rFonts w:asciiTheme="minorHAnsi" w:hAnsiTheme="minorHAnsi" w:cs="Arial"/>
          <w:bCs/>
          <w:snapToGrid w:val="0"/>
        </w:rPr>
        <w:t xml:space="preserve">NHL, the PBAC was satisfied </w:t>
      </w:r>
      <w:r w:rsidR="00C26821" w:rsidRPr="00614307">
        <w:rPr>
          <w:rFonts w:asciiTheme="minorHAnsi" w:hAnsiTheme="minorHAnsi" w:cs="Arial"/>
          <w:bCs/>
          <w:snapToGrid w:val="0"/>
        </w:rPr>
        <w:t>that i</w:t>
      </w:r>
      <w:r w:rsidR="00D27682" w:rsidRPr="00614307">
        <w:rPr>
          <w:rFonts w:asciiTheme="minorHAnsi" w:hAnsiTheme="minorHAnsi" w:cs="Arial"/>
          <w:bCs/>
          <w:snapToGrid w:val="0"/>
        </w:rPr>
        <w:t>t</w:t>
      </w:r>
      <w:r w:rsidR="00C26821" w:rsidRPr="00614307">
        <w:rPr>
          <w:rFonts w:asciiTheme="minorHAnsi" w:hAnsiTheme="minorHAnsi" w:cs="Arial"/>
          <w:bCs/>
          <w:snapToGrid w:val="0"/>
        </w:rPr>
        <w:t xml:space="preserve"> was sufficiently able </w:t>
      </w:r>
      <w:r w:rsidRPr="00614307">
        <w:rPr>
          <w:rFonts w:asciiTheme="minorHAnsi" w:hAnsiTheme="minorHAnsi" w:cs="Arial"/>
          <w:bCs/>
          <w:snapToGrid w:val="0"/>
        </w:rPr>
        <w:t xml:space="preserve">to extrapolate, in principle, the recommendation to all indications for which rituximab is currently </w:t>
      </w:r>
      <w:r w:rsidR="009A6D17" w:rsidRPr="00614307">
        <w:rPr>
          <w:rFonts w:asciiTheme="minorHAnsi" w:hAnsiTheme="minorHAnsi" w:cs="Arial"/>
          <w:bCs/>
          <w:snapToGrid w:val="0"/>
        </w:rPr>
        <w:t>PBS-</w:t>
      </w:r>
      <w:r w:rsidRPr="00614307">
        <w:rPr>
          <w:rFonts w:asciiTheme="minorHAnsi" w:hAnsiTheme="minorHAnsi" w:cs="Arial"/>
          <w:bCs/>
          <w:snapToGrid w:val="0"/>
        </w:rPr>
        <w:t xml:space="preserve">listed, including additional brands of the </w:t>
      </w:r>
      <w:r w:rsidR="00D27682" w:rsidRPr="00614307">
        <w:rPr>
          <w:rFonts w:asciiTheme="minorHAnsi" w:hAnsiTheme="minorHAnsi" w:cs="Arial"/>
          <w:bCs/>
          <w:snapToGrid w:val="0"/>
        </w:rPr>
        <w:t xml:space="preserve">identical </w:t>
      </w:r>
      <w:r w:rsidR="009A6D17" w:rsidRPr="00614307">
        <w:rPr>
          <w:rFonts w:asciiTheme="minorHAnsi" w:hAnsiTheme="minorHAnsi" w:cs="Arial"/>
          <w:bCs/>
          <w:snapToGrid w:val="0"/>
        </w:rPr>
        <w:t xml:space="preserve">TGA registered </w:t>
      </w:r>
      <w:r w:rsidR="00D27682" w:rsidRPr="00614307">
        <w:rPr>
          <w:rFonts w:asciiTheme="minorHAnsi" w:hAnsiTheme="minorHAnsi" w:cs="Arial"/>
          <w:bCs/>
          <w:snapToGrid w:val="0"/>
        </w:rPr>
        <w:t xml:space="preserve">rituximab product </w:t>
      </w:r>
      <w:r w:rsidR="00C26821" w:rsidRPr="00614307">
        <w:rPr>
          <w:rFonts w:asciiTheme="minorHAnsi" w:hAnsiTheme="minorHAnsi" w:cs="Arial"/>
          <w:bCs/>
          <w:snapToGrid w:val="0"/>
        </w:rPr>
        <w:t>manufactured by the same sponsor</w:t>
      </w:r>
      <w:r w:rsidRPr="00614307">
        <w:rPr>
          <w:rFonts w:asciiTheme="minorHAnsi" w:hAnsiTheme="minorHAnsi" w:cs="Arial"/>
          <w:bCs/>
          <w:snapToGrid w:val="0"/>
        </w:rPr>
        <w:t>.</w:t>
      </w:r>
    </w:p>
    <w:p w:rsidR="003D178A" w:rsidRPr="00614307" w:rsidRDefault="0093220E" w:rsidP="003E77D9">
      <w:pPr>
        <w:widowControl w:val="0"/>
        <w:numPr>
          <w:ilvl w:val="1"/>
          <w:numId w:val="5"/>
        </w:numPr>
        <w:spacing w:before="120" w:after="120"/>
        <w:jc w:val="both"/>
        <w:rPr>
          <w:rFonts w:asciiTheme="minorHAnsi" w:hAnsiTheme="minorHAnsi" w:cs="Arial"/>
          <w:bCs/>
          <w:snapToGrid w:val="0"/>
        </w:rPr>
      </w:pPr>
      <w:r w:rsidRPr="00614307">
        <w:rPr>
          <w:rFonts w:asciiTheme="minorHAnsi" w:hAnsiTheme="minorHAnsi" w:cs="Arial"/>
          <w:bCs/>
          <w:snapToGrid w:val="0"/>
        </w:rPr>
        <w:t>The PBAC</w:t>
      </w:r>
      <w:r w:rsidR="003D178A" w:rsidRPr="00614307">
        <w:rPr>
          <w:rFonts w:asciiTheme="minorHAnsi" w:hAnsiTheme="minorHAnsi" w:cs="Arial"/>
          <w:bCs/>
          <w:snapToGrid w:val="0"/>
        </w:rPr>
        <w:t xml:space="preserve"> </w:t>
      </w:r>
      <w:r w:rsidR="00117142" w:rsidRPr="00614307">
        <w:rPr>
          <w:rFonts w:asciiTheme="minorHAnsi" w:hAnsiTheme="minorHAnsi" w:cs="Arial"/>
          <w:bCs/>
          <w:snapToGrid w:val="0"/>
        </w:rPr>
        <w:t>indicated</w:t>
      </w:r>
      <w:r w:rsidR="0069461C" w:rsidRPr="00614307">
        <w:rPr>
          <w:rFonts w:asciiTheme="minorHAnsi" w:hAnsiTheme="minorHAnsi" w:cs="Arial"/>
          <w:bCs/>
          <w:snapToGrid w:val="0"/>
        </w:rPr>
        <w:t xml:space="preserve"> a</w:t>
      </w:r>
      <w:r w:rsidR="003D178A" w:rsidRPr="00614307">
        <w:rPr>
          <w:rFonts w:asciiTheme="minorHAnsi" w:hAnsiTheme="minorHAnsi" w:cs="Arial"/>
          <w:bCs/>
          <w:snapToGrid w:val="0"/>
        </w:rPr>
        <w:t xml:space="preserve"> strong preference </w:t>
      </w:r>
      <w:r w:rsidR="009F6799" w:rsidRPr="00614307">
        <w:rPr>
          <w:rFonts w:asciiTheme="minorHAnsi" w:hAnsiTheme="minorHAnsi" w:cs="Arial"/>
          <w:bCs/>
          <w:snapToGrid w:val="0"/>
        </w:rPr>
        <w:t xml:space="preserve">to minimise brand proliferation of the same </w:t>
      </w:r>
      <w:r w:rsidR="003D178A" w:rsidRPr="00614307">
        <w:rPr>
          <w:rFonts w:asciiTheme="minorHAnsi" w:hAnsiTheme="minorHAnsi" w:cs="Arial"/>
          <w:bCs/>
          <w:snapToGrid w:val="0"/>
        </w:rPr>
        <w:t>rituxima</w:t>
      </w:r>
      <w:r w:rsidR="007C36E1" w:rsidRPr="00614307">
        <w:rPr>
          <w:rFonts w:asciiTheme="minorHAnsi" w:hAnsiTheme="minorHAnsi" w:cs="Arial"/>
          <w:bCs/>
          <w:snapToGrid w:val="0"/>
        </w:rPr>
        <w:t>b</w:t>
      </w:r>
      <w:r w:rsidR="003D178A" w:rsidRPr="00614307">
        <w:rPr>
          <w:rFonts w:asciiTheme="minorHAnsi" w:hAnsiTheme="minorHAnsi" w:cs="Arial"/>
          <w:bCs/>
          <w:snapToGrid w:val="0"/>
        </w:rPr>
        <w:t xml:space="preserve"> biosimilar</w:t>
      </w:r>
      <w:r w:rsidR="009F6799" w:rsidRPr="00614307">
        <w:rPr>
          <w:rFonts w:asciiTheme="minorHAnsi" w:hAnsiTheme="minorHAnsi" w:cs="Arial"/>
          <w:bCs/>
          <w:snapToGrid w:val="0"/>
        </w:rPr>
        <w:t xml:space="preserve">(s) to minimise the risks of quality use of medicines (QUM) issues </w:t>
      </w:r>
      <w:r w:rsidR="00906477">
        <w:rPr>
          <w:rFonts w:asciiTheme="minorHAnsi" w:hAnsiTheme="minorHAnsi" w:cs="Arial"/>
          <w:bCs/>
          <w:snapToGrid w:val="0"/>
        </w:rPr>
        <w:t xml:space="preserve">including </w:t>
      </w:r>
      <w:r w:rsidR="00D27682" w:rsidRPr="00614307">
        <w:rPr>
          <w:rFonts w:asciiTheme="minorHAnsi" w:hAnsiTheme="minorHAnsi" w:cs="Arial"/>
          <w:bCs/>
          <w:snapToGrid w:val="0"/>
        </w:rPr>
        <w:t>patient and prescriber confusion</w:t>
      </w:r>
      <w:r w:rsidR="00EE63E2" w:rsidRPr="00614307">
        <w:rPr>
          <w:rFonts w:asciiTheme="minorHAnsi" w:hAnsiTheme="minorHAnsi" w:cs="Arial"/>
          <w:bCs/>
          <w:snapToGrid w:val="0"/>
        </w:rPr>
        <w:t xml:space="preserve">, where a change in brand </w:t>
      </w:r>
      <w:proofErr w:type="gramStart"/>
      <w:r w:rsidR="00EE63E2" w:rsidRPr="00614307">
        <w:rPr>
          <w:rFonts w:asciiTheme="minorHAnsi" w:hAnsiTheme="minorHAnsi" w:cs="Arial"/>
          <w:bCs/>
          <w:snapToGrid w:val="0"/>
        </w:rPr>
        <w:t>is incorrectly considered</w:t>
      </w:r>
      <w:proofErr w:type="gramEnd"/>
      <w:r w:rsidR="00EE63E2" w:rsidRPr="00614307">
        <w:rPr>
          <w:rFonts w:asciiTheme="minorHAnsi" w:hAnsiTheme="minorHAnsi" w:cs="Arial"/>
          <w:bCs/>
          <w:snapToGrid w:val="0"/>
        </w:rPr>
        <w:t xml:space="preserve"> a treatment switch.</w:t>
      </w:r>
      <w:r w:rsidR="00D27682" w:rsidRPr="00614307">
        <w:rPr>
          <w:rFonts w:asciiTheme="minorHAnsi" w:hAnsiTheme="minorHAnsi" w:cs="Arial"/>
          <w:bCs/>
          <w:snapToGrid w:val="0"/>
        </w:rPr>
        <w:t xml:space="preserve"> </w:t>
      </w:r>
      <w:r w:rsidR="00971618" w:rsidRPr="00614307">
        <w:rPr>
          <w:rFonts w:asciiTheme="minorHAnsi" w:hAnsiTheme="minorHAnsi" w:cs="Arial"/>
          <w:bCs/>
          <w:snapToGrid w:val="0"/>
        </w:rPr>
        <w:t xml:space="preserve">The PBAC </w:t>
      </w:r>
      <w:r w:rsidR="009F6799" w:rsidRPr="00614307">
        <w:rPr>
          <w:rFonts w:asciiTheme="minorHAnsi" w:hAnsiTheme="minorHAnsi" w:cs="Arial"/>
          <w:bCs/>
          <w:snapToGrid w:val="0"/>
        </w:rPr>
        <w:t>requested the Department investigate implementation options to minimise the impact of these QUM issues</w:t>
      </w:r>
      <w:r w:rsidR="00C26821" w:rsidRPr="00614307">
        <w:rPr>
          <w:rFonts w:asciiTheme="minorHAnsi" w:hAnsiTheme="minorHAnsi" w:cs="Arial"/>
          <w:bCs/>
          <w:snapToGrid w:val="0"/>
        </w:rPr>
        <w:t xml:space="preserve">, stating a preference for </w:t>
      </w:r>
      <w:proofErr w:type="spellStart"/>
      <w:r w:rsidR="00C26821" w:rsidRPr="00614307">
        <w:rPr>
          <w:rFonts w:asciiTheme="minorHAnsi" w:hAnsiTheme="minorHAnsi" w:cs="Arial"/>
          <w:bCs/>
          <w:snapToGrid w:val="0"/>
        </w:rPr>
        <w:t>Ritemvia</w:t>
      </w:r>
      <w:proofErr w:type="spellEnd"/>
      <w:r w:rsidR="00C26821" w:rsidRPr="00614307">
        <w:rPr>
          <w:rFonts w:asciiTheme="minorHAnsi" w:hAnsiTheme="minorHAnsi" w:cstheme="minorHAnsi"/>
          <w:bCs/>
          <w:snapToGrid w:val="0"/>
        </w:rPr>
        <w:t>®</w:t>
      </w:r>
      <w:r w:rsidR="00C26821" w:rsidRPr="00614307">
        <w:rPr>
          <w:rFonts w:asciiTheme="minorHAnsi" w:hAnsiTheme="minorHAnsi" w:cs="Arial"/>
          <w:bCs/>
          <w:snapToGrid w:val="0"/>
        </w:rPr>
        <w:t xml:space="preserve"> brand alone to be PBS listed</w:t>
      </w:r>
      <w:r w:rsidR="00D27682" w:rsidRPr="00614307">
        <w:rPr>
          <w:rFonts w:asciiTheme="minorHAnsi" w:hAnsiTheme="minorHAnsi" w:cs="Arial"/>
          <w:bCs/>
          <w:snapToGrid w:val="0"/>
        </w:rPr>
        <w:t xml:space="preserve"> as this is TGA registered for all indications for which the reference biologic is currently </w:t>
      </w:r>
      <w:r w:rsidRPr="00614307">
        <w:rPr>
          <w:rFonts w:asciiTheme="minorHAnsi" w:hAnsiTheme="minorHAnsi" w:cs="Arial"/>
          <w:bCs/>
          <w:snapToGrid w:val="0"/>
        </w:rPr>
        <w:t xml:space="preserve">PBS </w:t>
      </w:r>
      <w:r w:rsidR="00D27682" w:rsidRPr="00614307">
        <w:rPr>
          <w:rFonts w:asciiTheme="minorHAnsi" w:hAnsiTheme="minorHAnsi" w:cs="Arial"/>
          <w:bCs/>
          <w:snapToGrid w:val="0"/>
        </w:rPr>
        <w:t>listed.</w:t>
      </w:r>
    </w:p>
    <w:p w:rsidR="000D3D1D" w:rsidRPr="002271B6" w:rsidRDefault="000123F9" w:rsidP="003E77D9">
      <w:pPr>
        <w:pStyle w:val="ListParagraph"/>
        <w:widowControl/>
        <w:numPr>
          <w:ilvl w:val="1"/>
          <w:numId w:val="5"/>
        </w:numPr>
        <w:spacing w:before="120" w:after="120"/>
        <w:contextualSpacing w:val="0"/>
        <w:rPr>
          <w:rFonts w:asciiTheme="minorHAnsi" w:hAnsiTheme="minorHAnsi"/>
          <w:bCs/>
        </w:rPr>
      </w:pPr>
      <w:r w:rsidRPr="00906477">
        <w:rPr>
          <w:rFonts w:asciiTheme="minorHAnsi" w:eastAsiaTheme="minorHAnsi" w:hAnsiTheme="minorHAnsi" w:cstheme="minorBidi"/>
          <w:snapToGrid/>
          <w:sz w:val="24"/>
          <w:szCs w:val="22"/>
        </w:rPr>
        <w:t>The</w:t>
      </w:r>
      <w:r w:rsidR="005D46C8" w:rsidRPr="00906477">
        <w:rPr>
          <w:rFonts w:asciiTheme="minorHAnsi" w:eastAsiaTheme="minorHAnsi" w:hAnsiTheme="minorHAnsi" w:cstheme="minorBidi"/>
          <w:snapToGrid/>
          <w:sz w:val="24"/>
          <w:szCs w:val="22"/>
        </w:rPr>
        <w:t xml:space="preserve"> PBAC noted the</w:t>
      </w:r>
      <w:r w:rsidRPr="00906477">
        <w:rPr>
          <w:rFonts w:asciiTheme="minorHAnsi" w:eastAsiaTheme="minorHAnsi" w:hAnsiTheme="minorHAnsi" w:cstheme="minorBidi"/>
          <w:snapToGrid/>
          <w:sz w:val="24"/>
          <w:szCs w:val="22"/>
        </w:rPr>
        <w:t xml:space="preserve"> minor submission did not propose the application of biosimilar uptake drivers for the </w:t>
      </w:r>
      <w:proofErr w:type="spellStart"/>
      <w:r w:rsidRPr="00906477">
        <w:rPr>
          <w:rFonts w:asciiTheme="minorHAnsi" w:eastAsiaTheme="minorHAnsi" w:hAnsiTheme="minorHAnsi" w:cstheme="minorBidi"/>
          <w:snapToGrid/>
          <w:sz w:val="24"/>
          <w:szCs w:val="22"/>
        </w:rPr>
        <w:t>Truxima</w:t>
      </w:r>
      <w:proofErr w:type="spellEnd"/>
      <w:r w:rsidR="00F23CF6">
        <w:rPr>
          <w:rFonts w:asciiTheme="minorHAnsi" w:eastAsiaTheme="minorHAnsi" w:hAnsiTheme="minorHAnsi" w:cstheme="minorBidi"/>
          <w:snapToGrid/>
          <w:sz w:val="24"/>
          <w:szCs w:val="22"/>
        </w:rPr>
        <w:t>®</w:t>
      </w:r>
      <w:r w:rsidRPr="00906477">
        <w:rPr>
          <w:rFonts w:asciiTheme="minorHAnsi" w:eastAsiaTheme="minorHAnsi" w:hAnsiTheme="minorHAnsi" w:cstheme="minorBidi"/>
          <w:snapToGrid/>
          <w:sz w:val="24"/>
          <w:szCs w:val="22"/>
        </w:rPr>
        <w:t xml:space="preserve"> brand of rituximab</w:t>
      </w:r>
      <w:r w:rsidR="005D46C8" w:rsidRPr="00906477">
        <w:rPr>
          <w:rFonts w:asciiTheme="minorHAnsi" w:eastAsiaTheme="minorHAnsi" w:hAnsiTheme="minorHAnsi" w:cstheme="minorBidi"/>
          <w:snapToGrid/>
          <w:sz w:val="24"/>
          <w:szCs w:val="22"/>
        </w:rPr>
        <w:t xml:space="preserve">, however considered that issues previously identified relating to biosimilar uptake drivers for the S100 EFC listings of the </w:t>
      </w:r>
      <w:proofErr w:type="spellStart"/>
      <w:r w:rsidR="005D46C8" w:rsidRPr="00906477">
        <w:rPr>
          <w:rFonts w:asciiTheme="minorHAnsi" w:eastAsiaTheme="minorHAnsi" w:hAnsiTheme="minorHAnsi" w:cstheme="minorBidi"/>
          <w:snapToGrid/>
          <w:sz w:val="24"/>
          <w:szCs w:val="22"/>
        </w:rPr>
        <w:t>Riximyo</w:t>
      </w:r>
      <w:proofErr w:type="spellEnd"/>
      <w:r w:rsidR="00F23CF6">
        <w:rPr>
          <w:rFonts w:asciiTheme="minorHAnsi" w:eastAsiaTheme="minorHAnsi" w:hAnsiTheme="minorHAnsi" w:cstheme="minorBidi"/>
          <w:snapToGrid/>
          <w:sz w:val="24"/>
          <w:szCs w:val="22"/>
        </w:rPr>
        <w:t xml:space="preserve">® </w:t>
      </w:r>
      <w:r w:rsidR="005D46C8" w:rsidRPr="00906477">
        <w:rPr>
          <w:rFonts w:asciiTheme="minorHAnsi" w:eastAsiaTheme="minorHAnsi" w:hAnsiTheme="minorHAnsi" w:cstheme="minorBidi"/>
          <w:snapToGrid/>
          <w:sz w:val="24"/>
          <w:szCs w:val="22"/>
        </w:rPr>
        <w:t>brand of rituximab (March 2018)</w:t>
      </w:r>
      <w:r w:rsidR="007C36E1" w:rsidRPr="00906477">
        <w:rPr>
          <w:rFonts w:asciiTheme="minorHAnsi" w:eastAsiaTheme="minorHAnsi" w:hAnsiTheme="minorHAnsi" w:cstheme="minorBidi"/>
          <w:snapToGrid/>
          <w:sz w:val="24"/>
          <w:szCs w:val="22"/>
        </w:rPr>
        <w:t xml:space="preserve"> continued to</w:t>
      </w:r>
      <w:r w:rsidR="005D46C8" w:rsidRPr="00906477">
        <w:rPr>
          <w:rFonts w:asciiTheme="minorHAnsi" w:eastAsiaTheme="minorHAnsi" w:hAnsiTheme="minorHAnsi" w:cstheme="minorBidi"/>
          <w:snapToGrid/>
          <w:sz w:val="24"/>
          <w:szCs w:val="22"/>
        </w:rPr>
        <w:t xml:space="preserve"> apply. As such, the Committee reiterated its position that</w:t>
      </w:r>
      <w:r w:rsidRPr="00906477">
        <w:rPr>
          <w:rFonts w:asciiTheme="minorHAnsi" w:eastAsiaTheme="minorHAnsi" w:hAnsiTheme="minorHAnsi" w:cstheme="minorBidi"/>
          <w:snapToGrid/>
          <w:sz w:val="24"/>
          <w:szCs w:val="22"/>
        </w:rPr>
        <w:t xml:space="preserve"> lowering the authority level for oncology indications of rituximab may have minimal effect on prescribing behaviours and potentially increase the risk of leakage beyond the current restrictions</w:t>
      </w:r>
      <w:r w:rsidR="007C36E1" w:rsidRPr="00906477">
        <w:rPr>
          <w:rFonts w:asciiTheme="minorHAnsi" w:eastAsiaTheme="minorHAnsi" w:hAnsiTheme="minorHAnsi" w:cstheme="minorBidi"/>
          <w:snapToGrid/>
          <w:sz w:val="24"/>
          <w:szCs w:val="22"/>
        </w:rPr>
        <w:t>.</w:t>
      </w:r>
      <w:r w:rsidR="0069461C" w:rsidRPr="00906477">
        <w:rPr>
          <w:rFonts w:asciiTheme="minorHAnsi" w:eastAsiaTheme="minorHAnsi" w:hAnsiTheme="minorHAnsi" w:cstheme="minorBidi"/>
          <w:snapToGrid/>
          <w:sz w:val="24"/>
          <w:szCs w:val="22"/>
        </w:rPr>
        <w:t xml:space="preserve"> </w:t>
      </w:r>
    </w:p>
    <w:p w:rsidR="002973B3" w:rsidRPr="002271B6" w:rsidRDefault="002973B3" w:rsidP="003E77D9">
      <w:pPr>
        <w:widowControl w:val="0"/>
        <w:numPr>
          <w:ilvl w:val="1"/>
          <w:numId w:val="5"/>
        </w:numPr>
        <w:spacing w:before="120" w:after="120"/>
        <w:jc w:val="both"/>
        <w:rPr>
          <w:rFonts w:asciiTheme="minorHAnsi" w:hAnsiTheme="minorHAnsi" w:cs="Arial"/>
          <w:bCs/>
          <w:snapToGrid w:val="0"/>
        </w:rPr>
      </w:pPr>
      <w:r w:rsidRPr="002271B6">
        <w:rPr>
          <w:rFonts w:asciiTheme="minorHAnsi" w:hAnsiTheme="minorHAnsi" w:cs="Arial"/>
          <w:bCs/>
          <w:snapToGrid w:val="0"/>
        </w:rPr>
        <w:t>The</w:t>
      </w:r>
      <w:r w:rsidR="00DD5E35" w:rsidRPr="002271B6">
        <w:rPr>
          <w:rFonts w:asciiTheme="minorHAnsi" w:hAnsiTheme="minorHAnsi" w:cs="Arial"/>
          <w:bCs/>
          <w:snapToGrid w:val="0"/>
        </w:rPr>
        <w:t xml:space="preserve"> PBAC advised that</w:t>
      </w:r>
      <w:r w:rsidR="0093220E" w:rsidRPr="002271B6">
        <w:rPr>
          <w:rFonts w:asciiTheme="minorHAnsi" w:hAnsiTheme="minorHAnsi" w:cs="Arial"/>
          <w:bCs/>
          <w:snapToGrid w:val="0"/>
        </w:rPr>
        <w:t xml:space="preserve"> </w:t>
      </w:r>
      <w:r w:rsidR="00DD5E35" w:rsidRPr="002271B6">
        <w:rPr>
          <w:rFonts w:asciiTheme="minorHAnsi" w:hAnsiTheme="minorHAnsi" w:cs="Arial"/>
          <w:bCs/>
          <w:snapToGrid w:val="0"/>
        </w:rPr>
        <w:t xml:space="preserve">under Section 101(4AACD) of the National Health Act, that </w:t>
      </w:r>
      <w:proofErr w:type="spellStart"/>
      <w:r w:rsidR="00EB53FE" w:rsidRPr="002271B6">
        <w:rPr>
          <w:rFonts w:asciiTheme="minorHAnsi" w:hAnsiTheme="minorHAnsi" w:cs="Arial"/>
          <w:bCs/>
          <w:snapToGrid w:val="0"/>
        </w:rPr>
        <w:t>Truxima</w:t>
      </w:r>
      <w:proofErr w:type="spellEnd"/>
      <w:r w:rsidR="00F23CF6">
        <w:rPr>
          <w:rFonts w:asciiTheme="minorHAnsi" w:eastAsiaTheme="minorHAnsi" w:hAnsiTheme="minorHAnsi" w:cstheme="minorBidi"/>
          <w:szCs w:val="22"/>
        </w:rPr>
        <w:t>®</w:t>
      </w:r>
      <w:r w:rsidR="00EB53FE" w:rsidRPr="002271B6">
        <w:rPr>
          <w:rFonts w:asciiTheme="minorHAnsi" w:hAnsiTheme="minorHAnsi" w:cs="Arial"/>
          <w:bCs/>
          <w:snapToGrid w:val="0"/>
        </w:rPr>
        <w:t xml:space="preserve"> brand of </w:t>
      </w:r>
      <w:r w:rsidR="00DD5E35" w:rsidRPr="002271B6">
        <w:rPr>
          <w:rFonts w:asciiTheme="minorHAnsi" w:hAnsiTheme="minorHAnsi" w:cs="Arial"/>
          <w:bCs/>
          <w:snapToGrid w:val="0"/>
        </w:rPr>
        <w:t>rituximab (</w:t>
      </w:r>
      <w:r w:rsidR="0093220E" w:rsidRPr="002271B6">
        <w:rPr>
          <w:rFonts w:asciiTheme="minorHAnsi" w:hAnsiTheme="minorHAnsi" w:cs="Arial"/>
          <w:bCs/>
          <w:snapToGrid w:val="0"/>
        </w:rPr>
        <w:t xml:space="preserve">or any other identical brand of rituximab sponsored by </w:t>
      </w:r>
      <w:proofErr w:type="spellStart"/>
      <w:r w:rsidR="0093220E" w:rsidRPr="002271B6">
        <w:rPr>
          <w:rFonts w:asciiTheme="minorHAnsi" w:hAnsiTheme="minorHAnsi" w:cs="Arial"/>
          <w:bCs/>
          <w:snapToGrid w:val="0"/>
        </w:rPr>
        <w:t>Celltrion</w:t>
      </w:r>
      <w:proofErr w:type="spellEnd"/>
      <w:r w:rsidR="0093220E" w:rsidRPr="002271B6">
        <w:rPr>
          <w:rFonts w:asciiTheme="minorHAnsi" w:hAnsiTheme="minorHAnsi" w:cs="Arial"/>
          <w:bCs/>
          <w:snapToGrid w:val="0"/>
        </w:rPr>
        <w:t xml:space="preserve"> Healthcare Australia</w:t>
      </w:r>
      <w:r w:rsidR="00DD5E35" w:rsidRPr="002271B6">
        <w:rPr>
          <w:rFonts w:asciiTheme="minorHAnsi" w:hAnsiTheme="minorHAnsi" w:cs="Arial"/>
          <w:bCs/>
          <w:snapToGrid w:val="0"/>
        </w:rPr>
        <w:t xml:space="preserve">) and </w:t>
      </w:r>
      <w:proofErr w:type="spellStart"/>
      <w:r w:rsidR="00EB53FE" w:rsidRPr="002271B6">
        <w:rPr>
          <w:rFonts w:asciiTheme="minorHAnsi" w:hAnsiTheme="minorHAnsi" w:cs="Arial"/>
          <w:bCs/>
          <w:snapToGrid w:val="0"/>
        </w:rPr>
        <w:t>MabThera</w:t>
      </w:r>
      <w:proofErr w:type="spellEnd"/>
      <w:r w:rsidR="00F23CF6">
        <w:rPr>
          <w:rFonts w:asciiTheme="minorHAnsi" w:eastAsiaTheme="minorHAnsi" w:hAnsiTheme="minorHAnsi" w:cstheme="minorBidi"/>
          <w:szCs w:val="22"/>
        </w:rPr>
        <w:t>®</w:t>
      </w:r>
      <w:r w:rsidR="00EB53FE" w:rsidRPr="002271B6">
        <w:rPr>
          <w:rFonts w:asciiTheme="minorHAnsi" w:hAnsiTheme="minorHAnsi" w:cs="Arial"/>
          <w:bCs/>
          <w:snapToGrid w:val="0"/>
        </w:rPr>
        <w:t xml:space="preserve"> brand of rituximab </w:t>
      </w:r>
      <w:r w:rsidR="007C36E1" w:rsidRPr="002271B6">
        <w:rPr>
          <w:rFonts w:asciiTheme="minorHAnsi" w:hAnsiTheme="minorHAnsi" w:cs="Arial"/>
          <w:bCs/>
          <w:snapToGrid w:val="0"/>
        </w:rPr>
        <w:t>s</w:t>
      </w:r>
      <w:r w:rsidR="00DD5E35" w:rsidRPr="002271B6">
        <w:rPr>
          <w:rFonts w:asciiTheme="minorHAnsi" w:hAnsiTheme="minorHAnsi" w:cs="Arial"/>
          <w:bCs/>
          <w:snapToGrid w:val="0"/>
        </w:rPr>
        <w:t>hould be considered equivalent for the purpose</w:t>
      </w:r>
      <w:r w:rsidR="005D46C8" w:rsidRPr="002271B6">
        <w:rPr>
          <w:rFonts w:asciiTheme="minorHAnsi" w:hAnsiTheme="minorHAnsi" w:cs="Arial"/>
          <w:bCs/>
          <w:snapToGrid w:val="0"/>
        </w:rPr>
        <w:t>s</w:t>
      </w:r>
      <w:r w:rsidR="00DD5E35" w:rsidRPr="002271B6">
        <w:rPr>
          <w:rFonts w:asciiTheme="minorHAnsi" w:hAnsiTheme="minorHAnsi" w:cs="Arial"/>
          <w:bCs/>
          <w:snapToGrid w:val="0"/>
        </w:rPr>
        <w:t xml:space="preserve"> of substitution (i.e., ‘a’ flagged in the Schedule) at the pharmacy level.</w:t>
      </w:r>
      <w:r w:rsidR="007C36E1" w:rsidRPr="002271B6">
        <w:rPr>
          <w:rFonts w:asciiTheme="minorHAnsi" w:hAnsiTheme="minorHAnsi" w:cs="Arial"/>
          <w:bCs/>
          <w:snapToGrid w:val="0"/>
        </w:rPr>
        <w:t xml:space="preserve"> The Committee </w:t>
      </w:r>
      <w:r w:rsidR="007A0E0F">
        <w:rPr>
          <w:rFonts w:asciiTheme="minorHAnsi" w:hAnsiTheme="minorHAnsi" w:cs="Arial"/>
          <w:bCs/>
          <w:snapToGrid w:val="0"/>
        </w:rPr>
        <w:t xml:space="preserve">recalled it had previously noted concerns professional groups raised regarding multiple treatment switches. The PBAC noted </w:t>
      </w:r>
      <w:r w:rsidR="007C36E1" w:rsidRPr="002271B6">
        <w:rPr>
          <w:rFonts w:asciiTheme="minorHAnsi" w:hAnsiTheme="minorHAnsi" w:cs="Arial"/>
          <w:bCs/>
          <w:snapToGrid w:val="0"/>
        </w:rPr>
        <w:t xml:space="preserve">that switches between more than two brands of rituximab could </w:t>
      </w:r>
      <w:r w:rsidR="002064A8">
        <w:rPr>
          <w:rFonts w:asciiTheme="minorHAnsi" w:hAnsiTheme="minorHAnsi" w:cs="Arial"/>
          <w:bCs/>
          <w:snapToGrid w:val="0"/>
        </w:rPr>
        <w:t xml:space="preserve">possibly </w:t>
      </w:r>
      <w:r w:rsidR="007C36E1" w:rsidRPr="002271B6">
        <w:rPr>
          <w:rFonts w:asciiTheme="minorHAnsi" w:hAnsiTheme="minorHAnsi" w:cs="Arial"/>
          <w:bCs/>
          <w:snapToGrid w:val="0"/>
        </w:rPr>
        <w:t xml:space="preserve">occur in practice </w:t>
      </w:r>
      <w:r w:rsidR="002064A8">
        <w:rPr>
          <w:rFonts w:asciiTheme="minorHAnsi" w:hAnsiTheme="minorHAnsi" w:cs="Arial"/>
          <w:bCs/>
          <w:snapToGrid w:val="0"/>
        </w:rPr>
        <w:t>but</w:t>
      </w:r>
      <w:r w:rsidR="007C36E1" w:rsidRPr="002271B6">
        <w:rPr>
          <w:rFonts w:asciiTheme="minorHAnsi" w:hAnsiTheme="minorHAnsi" w:cs="Arial"/>
          <w:bCs/>
          <w:snapToGrid w:val="0"/>
        </w:rPr>
        <w:t xml:space="preserve"> had no reason to consider this </w:t>
      </w:r>
      <w:r w:rsidR="002064A8">
        <w:rPr>
          <w:rFonts w:asciiTheme="minorHAnsi" w:hAnsiTheme="minorHAnsi" w:cs="Arial"/>
          <w:bCs/>
          <w:snapToGrid w:val="0"/>
        </w:rPr>
        <w:t>a major QUM concern, noting that prescriber and patient choice remained paramount</w:t>
      </w:r>
      <w:r w:rsidR="007C36E1" w:rsidRPr="002271B6">
        <w:rPr>
          <w:rFonts w:asciiTheme="minorHAnsi" w:hAnsiTheme="minorHAnsi" w:cs="Arial"/>
          <w:bCs/>
          <w:snapToGrid w:val="0"/>
        </w:rPr>
        <w:t>.</w:t>
      </w:r>
    </w:p>
    <w:p w:rsidR="00DD5E35" w:rsidRPr="002271B6" w:rsidRDefault="002973B3" w:rsidP="003E77D9">
      <w:pPr>
        <w:widowControl w:val="0"/>
        <w:numPr>
          <w:ilvl w:val="1"/>
          <w:numId w:val="5"/>
        </w:numPr>
        <w:spacing w:before="120" w:after="120"/>
        <w:jc w:val="both"/>
        <w:rPr>
          <w:rFonts w:asciiTheme="minorHAnsi" w:hAnsiTheme="minorHAnsi" w:cs="Arial"/>
          <w:bCs/>
          <w:snapToGrid w:val="0"/>
        </w:rPr>
      </w:pPr>
      <w:r w:rsidRPr="002271B6">
        <w:rPr>
          <w:rFonts w:asciiTheme="minorHAnsi" w:hAnsiTheme="minorHAnsi" w:cs="Arial"/>
          <w:bCs/>
          <w:snapToGrid w:val="0"/>
        </w:rPr>
        <w:t xml:space="preserve">The PBAC noted that another rituximab biosimilar, </w:t>
      </w:r>
      <w:proofErr w:type="spellStart"/>
      <w:r w:rsidRPr="002271B6">
        <w:rPr>
          <w:rFonts w:asciiTheme="minorHAnsi" w:hAnsiTheme="minorHAnsi" w:cs="Arial"/>
          <w:bCs/>
          <w:snapToGrid w:val="0"/>
        </w:rPr>
        <w:t>Riximyo</w:t>
      </w:r>
      <w:proofErr w:type="spellEnd"/>
      <w:r w:rsidRPr="002271B6">
        <w:rPr>
          <w:rFonts w:asciiTheme="minorHAnsi" w:hAnsiTheme="minorHAnsi" w:cs="Arial"/>
          <w:bCs/>
          <w:snapToGrid w:val="0"/>
        </w:rPr>
        <w:t xml:space="preserve">® </w:t>
      </w:r>
      <w:proofErr w:type="gramStart"/>
      <w:r w:rsidRPr="002271B6">
        <w:rPr>
          <w:rFonts w:asciiTheme="minorHAnsi" w:hAnsiTheme="minorHAnsi" w:cs="Arial"/>
          <w:bCs/>
          <w:snapToGrid w:val="0"/>
        </w:rPr>
        <w:t>was recommen</w:t>
      </w:r>
      <w:r w:rsidR="005D46C8" w:rsidRPr="002271B6">
        <w:rPr>
          <w:rFonts w:asciiTheme="minorHAnsi" w:hAnsiTheme="minorHAnsi" w:cs="Arial"/>
          <w:bCs/>
          <w:snapToGrid w:val="0"/>
        </w:rPr>
        <w:t>d</w:t>
      </w:r>
      <w:r w:rsidRPr="002271B6">
        <w:rPr>
          <w:rFonts w:asciiTheme="minorHAnsi" w:hAnsiTheme="minorHAnsi" w:cs="Arial"/>
          <w:bCs/>
          <w:snapToGrid w:val="0"/>
        </w:rPr>
        <w:t>ed</w:t>
      </w:r>
      <w:proofErr w:type="gramEnd"/>
      <w:r w:rsidRPr="002271B6">
        <w:rPr>
          <w:rFonts w:asciiTheme="minorHAnsi" w:hAnsiTheme="minorHAnsi" w:cs="Arial"/>
          <w:bCs/>
          <w:snapToGrid w:val="0"/>
        </w:rPr>
        <w:t xml:space="preserve"> for PBS </w:t>
      </w:r>
      <w:r w:rsidR="005D46C8" w:rsidRPr="002271B6">
        <w:rPr>
          <w:rFonts w:asciiTheme="minorHAnsi" w:hAnsiTheme="minorHAnsi" w:cs="Arial"/>
          <w:bCs/>
          <w:snapToGrid w:val="0"/>
        </w:rPr>
        <w:t>listing</w:t>
      </w:r>
      <w:r w:rsidRPr="002271B6">
        <w:rPr>
          <w:rFonts w:asciiTheme="minorHAnsi" w:hAnsiTheme="minorHAnsi" w:cs="Arial"/>
          <w:bCs/>
          <w:snapToGrid w:val="0"/>
        </w:rPr>
        <w:t xml:space="preserve"> at the March 2018 PBAC meeting. At the time, the PBAC advised that </w:t>
      </w:r>
      <w:proofErr w:type="spellStart"/>
      <w:r w:rsidRPr="002271B6">
        <w:rPr>
          <w:rFonts w:asciiTheme="minorHAnsi" w:hAnsiTheme="minorHAnsi" w:cs="Arial"/>
          <w:bCs/>
          <w:snapToGrid w:val="0"/>
        </w:rPr>
        <w:t>Riximyo</w:t>
      </w:r>
      <w:proofErr w:type="spellEnd"/>
      <w:r w:rsidR="00F23CF6">
        <w:rPr>
          <w:rFonts w:asciiTheme="minorHAnsi" w:eastAsiaTheme="minorHAnsi" w:hAnsiTheme="minorHAnsi" w:cstheme="minorBidi"/>
          <w:szCs w:val="22"/>
        </w:rPr>
        <w:t>®</w:t>
      </w:r>
      <w:r w:rsidRPr="002271B6">
        <w:rPr>
          <w:rFonts w:asciiTheme="minorHAnsi" w:hAnsiTheme="minorHAnsi" w:cs="Arial"/>
          <w:bCs/>
          <w:snapToGrid w:val="0"/>
        </w:rPr>
        <w:t xml:space="preserve"> and </w:t>
      </w:r>
      <w:proofErr w:type="spellStart"/>
      <w:r w:rsidRPr="002271B6">
        <w:rPr>
          <w:rFonts w:asciiTheme="minorHAnsi" w:hAnsiTheme="minorHAnsi" w:cs="Arial"/>
          <w:bCs/>
          <w:snapToGrid w:val="0"/>
        </w:rPr>
        <w:t>Ma</w:t>
      </w:r>
      <w:r w:rsidR="007C36E1" w:rsidRPr="002271B6">
        <w:rPr>
          <w:rFonts w:asciiTheme="minorHAnsi" w:hAnsiTheme="minorHAnsi" w:cs="Arial"/>
          <w:bCs/>
          <w:snapToGrid w:val="0"/>
        </w:rPr>
        <w:t>bT</w:t>
      </w:r>
      <w:r w:rsidRPr="002271B6">
        <w:rPr>
          <w:rFonts w:asciiTheme="minorHAnsi" w:hAnsiTheme="minorHAnsi" w:cs="Arial"/>
          <w:bCs/>
          <w:snapToGrid w:val="0"/>
        </w:rPr>
        <w:t>hera</w:t>
      </w:r>
      <w:proofErr w:type="spellEnd"/>
      <w:r w:rsidR="00F23CF6">
        <w:rPr>
          <w:rFonts w:asciiTheme="minorHAnsi" w:eastAsiaTheme="minorHAnsi" w:hAnsiTheme="minorHAnsi" w:cstheme="minorBidi"/>
          <w:szCs w:val="22"/>
        </w:rPr>
        <w:t>®</w:t>
      </w:r>
      <w:r w:rsidRPr="002271B6">
        <w:rPr>
          <w:rFonts w:asciiTheme="minorHAnsi" w:hAnsiTheme="minorHAnsi" w:cs="Arial"/>
          <w:bCs/>
          <w:snapToGrid w:val="0"/>
        </w:rPr>
        <w:t xml:space="preserve"> should be</w:t>
      </w:r>
      <w:r w:rsidR="005D46C8" w:rsidRPr="002271B6">
        <w:rPr>
          <w:rFonts w:asciiTheme="minorHAnsi" w:hAnsiTheme="minorHAnsi" w:cs="Arial"/>
          <w:bCs/>
          <w:snapToGrid w:val="0"/>
        </w:rPr>
        <w:t xml:space="preserve"> marked as equivalent for the purposes of substitution</w:t>
      </w:r>
      <w:r w:rsidRPr="002271B6">
        <w:rPr>
          <w:rFonts w:asciiTheme="minorHAnsi" w:hAnsiTheme="minorHAnsi" w:cs="Arial"/>
          <w:bCs/>
          <w:snapToGrid w:val="0"/>
        </w:rPr>
        <w:t xml:space="preserve"> </w:t>
      </w:r>
      <w:r w:rsidR="005D46C8" w:rsidRPr="002271B6">
        <w:rPr>
          <w:rFonts w:asciiTheme="minorHAnsi" w:hAnsiTheme="minorHAnsi" w:cs="Arial"/>
          <w:bCs/>
          <w:snapToGrid w:val="0"/>
        </w:rPr>
        <w:t>(</w:t>
      </w:r>
      <w:r w:rsidRPr="002271B6">
        <w:rPr>
          <w:rFonts w:asciiTheme="minorHAnsi" w:hAnsiTheme="minorHAnsi" w:cs="Arial"/>
          <w:bCs/>
          <w:snapToGrid w:val="0"/>
        </w:rPr>
        <w:t>‘a’ flagged</w:t>
      </w:r>
      <w:r w:rsidR="005D46C8" w:rsidRPr="002271B6">
        <w:rPr>
          <w:rFonts w:asciiTheme="minorHAnsi" w:hAnsiTheme="minorHAnsi" w:cs="Arial"/>
          <w:bCs/>
          <w:snapToGrid w:val="0"/>
        </w:rPr>
        <w:t>)</w:t>
      </w:r>
      <w:r w:rsidRPr="002271B6">
        <w:rPr>
          <w:rFonts w:asciiTheme="minorHAnsi" w:hAnsiTheme="minorHAnsi" w:cs="Arial"/>
          <w:bCs/>
          <w:snapToGrid w:val="0"/>
        </w:rPr>
        <w:t>.</w:t>
      </w:r>
      <w:r w:rsidR="009F6A66" w:rsidRPr="002271B6">
        <w:rPr>
          <w:rFonts w:asciiTheme="minorHAnsi" w:hAnsiTheme="minorHAnsi" w:cs="Arial"/>
          <w:bCs/>
          <w:snapToGrid w:val="0"/>
        </w:rPr>
        <w:t xml:space="preserve"> Therefore, the PBAC considered it would be appropriate for all three brands of rituximab (</w:t>
      </w:r>
      <w:proofErr w:type="spellStart"/>
      <w:r w:rsidR="00906477" w:rsidRPr="002271B6">
        <w:rPr>
          <w:rFonts w:asciiTheme="minorHAnsi" w:hAnsiTheme="minorHAnsi" w:cs="Arial"/>
          <w:bCs/>
          <w:snapToGrid w:val="0"/>
        </w:rPr>
        <w:t>Mab</w:t>
      </w:r>
      <w:r w:rsidR="00906477">
        <w:rPr>
          <w:rFonts w:asciiTheme="minorHAnsi" w:hAnsiTheme="minorHAnsi" w:cs="Arial"/>
          <w:bCs/>
          <w:snapToGrid w:val="0"/>
        </w:rPr>
        <w:t>T</w:t>
      </w:r>
      <w:r w:rsidR="00906477" w:rsidRPr="002271B6">
        <w:rPr>
          <w:rFonts w:asciiTheme="minorHAnsi" w:hAnsiTheme="minorHAnsi" w:cs="Arial"/>
          <w:bCs/>
          <w:snapToGrid w:val="0"/>
        </w:rPr>
        <w:t>hera</w:t>
      </w:r>
      <w:proofErr w:type="spellEnd"/>
      <w:r w:rsidR="00274519" w:rsidRPr="00906477">
        <w:rPr>
          <w:rFonts w:asciiTheme="minorHAnsi" w:eastAsiaTheme="minorHAnsi" w:hAnsiTheme="minorHAnsi" w:cstheme="minorBidi"/>
          <w:szCs w:val="22"/>
        </w:rPr>
        <w:t>®</w:t>
      </w:r>
      <w:r w:rsidR="009F6A66" w:rsidRPr="002271B6">
        <w:rPr>
          <w:rFonts w:asciiTheme="minorHAnsi" w:hAnsiTheme="minorHAnsi" w:cs="Arial"/>
          <w:bCs/>
          <w:snapToGrid w:val="0"/>
        </w:rPr>
        <w:t xml:space="preserve"> IV, </w:t>
      </w:r>
      <w:proofErr w:type="spellStart"/>
      <w:r w:rsidR="009F6A66" w:rsidRPr="002271B6">
        <w:rPr>
          <w:rFonts w:asciiTheme="minorHAnsi" w:hAnsiTheme="minorHAnsi" w:cs="Arial"/>
          <w:bCs/>
          <w:snapToGrid w:val="0"/>
        </w:rPr>
        <w:t>Riximyo</w:t>
      </w:r>
      <w:proofErr w:type="spellEnd"/>
      <w:r w:rsidR="00274519" w:rsidRPr="00906477">
        <w:rPr>
          <w:rFonts w:asciiTheme="minorHAnsi" w:eastAsiaTheme="minorHAnsi" w:hAnsiTheme="minorHAnsi" w:cstheme="minorBidi"/>
          <w:szCs w:val="22"/>
        </w:rPr>
        <w:t>®</w:t>
      </w:r>
      <w:r w:rsidR="009F6A66" w:rsidRPr="002271B6">
        <w:rPr>
          <w:rFonts w:asciiTheme="minorHAnsi" w:hAnsiTheme="minorHAnsi" w:cs="Arial"/>
          <w:bCs/>
          <w:snapToGrid w:val="0"/>
        </w:rPr>
        <w:t xml:space="preserve"> and </w:t>
      </w:r>
      <w:proofErr w:type="spellStart"/>
      <w:r w:rsidR="009F6A66" w:rsidRPr="002271B6">
        <w:rPr>
          <w:rFonts w:asciiTheme="minorHAnsi" w:hAnsiTheme="minorHAnsi" w:cs="Arial"/>
          <w:bCs/>
          <w:snapToGrid w:val="0"/>
        </w:rPr>
        <w:t>Truxima</w:t>
      </w:r>
      <w:proofErr w:type="spellEnd"/>
      <w:r w:rsidR="00274519" w:rsidRPr="00906477">
        <w:rPr>
          <w:rFonts w:asciiTheme="minorHAnsi" w:eastAsiaTheme="minorHAnsi" w:hAnsiTheme="minorHAnsi" w:cstheme="minorBidi"/>
          <w:szCs w:val="22"/>
        </w:rPr>
        <w:t>®</w:t>
      </w:r>
      <w:r w:rsidR="00274519" w:rsidRPr="002271B6">
        <w:rPr>
          <w:rFonts w:asciiTheme="minorHAnsi" w:hAnsiTheme="minorHAnsi" w:cs="Arial"/>
          <w:bCs/>
          <w:snapToGrid w:val="0"/>
        </w:rPr>
        <w:t>/</w:t>
      </w:r>
      <w:proofErr w:type="spellStart"/>
      <w:r w:rsidR="00274519" w:rsidRPr="002271B6">
        <w:rPr>
          <w:rFonts w:asciiTheme="minorHAnsi" w:hAnsiTheme="minorHAnsi" w:cs="Arial"/>
          <w:bCs/>
          <w:snapToGrid w:val="0"/>
        </w:rPr>
        <w:t>Ritemvia</w:t>
      </w:r>
      <w:proofErr w:type="spellEnd"/>
      <w:r w:rsidR="00274519" w:rsidRPr="00906477">
        <w:rPr>
          <w:rFonts w:asciiTheme="minorHAnsi" w:eastAsiaTheme="minorHAnsi" w:hAnsiTheme="minorHAnsi" w:cstheme="minorBidi"/>
          <w:szCs w:val="22"/>
        </w:rPr>
        <w:t>®</w:t>
      </w:r>
      <w:r w:rsidR="00274519" w:rsidRPr="002271B6">
        <w:rPr>
          <w:rFonts w:asciiTheme="minorHAnsi" w:hAnsiTheme="minorHAnsi" w:cs="Arial"/>
          <w:bCs/>
          <w:snapToGrid w:val="0"/>
        </w:rPr>
        <w:t xml:space="preserve"> or any </w:t>
      </w:r>
      <w:r w:rsidR="00274519" w:rsidRPr="002271B6">
        <w:rPr>
          <w:rFonts w:asciiTheme="minorHAnsi" w:hAnsiTheme="minorHAnsi" w:cs="Arial"/>
          <w:bCs/>
          <w:snapToGrid w:val="0"/>
        </w:rPr>
        <w:lastRenderedPageBreak/>
        <w:t xml:space="preserve">other identical brand of rituximab sponsored by </w:t>
      </w:r>
      <w:proofErr w:type="spellStart"/>
      <w:r w:rsidR="00274519" w:rsidRPr="002271B6">
        <w:rPr>
          <w:rFonts w:asciiTheme="minorHAnsi" w:hAnsiTheme="minorHAnsi" w:cs="Arial"/>
          <w:bCs/>
          <w:snapToGrid w:val="0"/>
        </w:rPr>
        <w:t>Celltrion</w:t>
      </w:r>
      <w:proofErr w:type="spellEnd"/>
      <w:r w:rsidR="00274519" w:rsidRPr="002271B6">
        <w:rPr>
          <w:rFonts w:asciiTheme="minorHAnsi" w:hAnsiTheme="minorHAnsi" w:cs="Arial"/>
          <w:bCs/>
          <w:snapToGrid w:val="0"/>
        </w:rPr>
        <w:t xml:space="preserve"> Healthcare Australia</w:t>
      </w:r>
      <w:r w:rsidR="009F6A66" w:rsidRPr="002271B6">
        <w:rPr>
          <w:rFonts w:asciiTheme="minorHAnsi" w:hAnsiTheme="minorHAnsi" w:cs="Arial"/>
          <w:bCs/>
          <w:snapToGrid w:val="0"/>
        </w:rPr>
        <w:t xml:space="preserve">) to be marked as equivalent (‘a’ flagged) to each other for the indication of NHL, </w:t>
      </w:r>
      <w:r w:rsidR="0093220E" w:rsidRPr="002271B6">
        <w:rPr>
          <w:rFonts w:asciiTheme="minorHAnsi" w:hAnsiTheme="minorHAnsi" w:cs="Arial"/>
          <w:bCs/>
          <w:snapToGrid w:val="0"/>
        </w:rPr>
        <w:t>when all brands are</w:t>
      </w:r>
      <w:r w:rsidR="009F6A66" w:rsidRPr="002271B6">
        <w:rPr>
          <w:rFonts w:asciiTheme="minorHAnsi" w:hAnsiTheme="minorHAnsi" w:cs="Arial"/>
          <w:bCs/>
          <w:snapToGrid w:val="0"/>
        </w:rPr>
        <w:t xml:space="preserve"> PBS listed.</w:t>
      </w:r>
    </w:p>
    <w:p w:rsidR="00233CB9" w:rsidRPr="002271B6" w:rsidRDefault="00233CB9" w:rsidP="003E77D9">
      <w:pPr>
        <w:widowControl w:val="0"/>
        <w:numPr>
          <w:ilvl w:val="1"/>
          <w:numId w:val="5"/>
        </w:numPr>
        <w:spacing w:before="120" w:after="120"/>
        <w:jc w:val="both"/>
        <w:rPr>
          <w:rFonts w:asciiTheme="minorHAnsi" w:hAnsiTheme="minorHAnsi" w:cs="Arial"/>
          <w:bCs/>
          <w:snapToGrid w:val="0"/>
        </w:rPr>
      </w:pPr>
      <w:r w:rsidRPr="002271B6">
        <w:rPr>
          <w:rFonts w:asciiTheme="minorHAnsi" w:hAnsiTheme="minorHAnsi" w:cs="Arial"/>
          <w:bCs/>
          <w:snapToGrid w:val="0"/>
        </w:rPr>
        <w:t>The PBAC reiterated</w:t>
      </w:r>
      <w:r w:rsidR="005D46C8" w:rsidRPr="002271B6">
        <w:rPr>
          <w:rFonts w:asciiTheme="minorHAnsi" w:hAnsiTheme="minorHAnsi" w:cs="Arial"/>
          <w:bCs/>
          <w:snapToGrid w:val="0"/>
        </w:rPr>
        <w:t xml:space="preserve"> its previous position</w:t>
      </w:r>
      <w:r w:rsidR="007C36E1" w:rsidRPr="002271B6">
        <w:rPr>
          <w:rFonts w:asciiTheme="minorHAnsi" w:hAnsiTheme="minorHAnsi" w:cs="Arial"/>
          <w:bCs/>
          <w:snapToGrid w:val="0"/>
        </w:rPr>
        <w:t xml:space="preserve"> from the March 2018 consideration of </w:t>
      </w:r>
      <w:proofErr w:type="spellStart"/>
      <w:r w:rsidR="007C36E1" w:rsidRPr="002271B6">
        <w:rPr>
          <w:rFonts w:asciiTheme="minorHAnsi" w:hAnsiTheme="minorHAnsi" w:cs="Arial"/>
          <w:bCs/>
          <w:snapToGrid w:val="0"/>
        </w:rPr>
        <w:t>Riximyo</w:t>
      </w:r>
      <w:proofErr w:type="spellEnd"/>
      <w:r w:rsidR="00F23CF6">
        <w:rPr>
          <w:rFonts w:asciiTheme="minorHAnsi" w:eastAsiaTheme="minorHAnsi" w:hAnsiTheme="minorHAnsi" w:cstheme="minorBidi"/>
          <w:szCs w:val="22"/>
        </w:rPr>
        <w:t>®</w:t>
      </w:r>
      <w:r w:rsidRPr="002271B6">
        <w:rPr>
          <w:rFonts w:asciiTheme="minorHAnsi" w:hAnsiTheme="minorHAnsi" w:cs="Arial"/>
          <w:bCs/>
          <w:snapToGrid w:val="0"/>
        </w:rPr>
        <w:t xml:space="preserve"> that although brand substitution at the pharmacy level has been recommended, the uptake of this biosimilar brand of rituximab will largely be driven by which brand of rituximab hospitals choose to keep in stock via tendering and formulary arrangements. </w:t>
      </w:r>
    </w:p>
    <w:p w:rsidR="00233CB9" w:rsidRPr="002271B6" w:rsidRDefault="00233CB9" w:rsidP="003E77D9">
      <w:pPr>
        <w:widowControl w:val="0"/>
        <w:numPr>
          <w:ilvl w:val="1"/>
          <w:numId w:val="5"/>
        </w:numPr>
        <w:spacing w:before="120" w:after="120"/>
        <w:jc w:val="both"/>
        <w:rPr>
          <w:rFonts w:asciiTheme="minorHAnsi" w:hAnsiTheme="minorHAnsi" w:cs="Arial"/>
          <w:bCs/>
          <w:snapToGrid w:val="0"/>
        </w:rPr>
      </w:pPr>
      <w:r w:rsidRPr="002271B6">
        <w:rPr>
          <w:rFonts w:asciiTheme="minorHAnsi" w:hAnsiTheme="minorHAnsi" w:cs="Arial"/>
          <w:bCs/>
          <w:snapToGrid w:val="0"/>
        </w:rPr>
        <w:t xml:space="preserve">The PBAC advised that rituximab </w:t>
      </w:r>
      <w:r w:rsidR="007C36E1" w:rsidRPr="002271B6">
        <w:rPr>
          <w:rFonts w:asciiTheme="minorHAnsi" w:hAnsiTheme="minorHAnsi" w:cs="Arial"/>
          <w:bCs/>
          <w:snapToGrid w:val="0"/>
        </w:rPr>
        <w:t xml:space="preserve">remains </w:t>
      </w:r>
      <w:r w:rsidR="006C7D95" w:rsidRPr="002271B6">
        <w:rPr>
          <w:rFonts w:asciiTheme="minorHAnsi" w:hAnsiTheme="minorHAnsi" w:cs="Arial"/>
          <w:bCs/>
          <w:snapToGrid w:val="0"/>
        </w:rPr>
        <w:t>un</w:t>
      </w:r>
      <w:r w:rsidRPr="002271B6">
        <w:rPr>
          <w:rFonts w:asciiTheme="minorHAnsi" w:hAnsiTheme="minorHAnsi" w:cs="Arial"/>
          <w:bCs/>
          <w:snapToGrid w:val="0"/>
        </w:rPr>
        <w:t>suitable for prescribing by nurse practitioners.</w:t>
      </w:r>
    </w:p>
    <w:p w:rsidR="00233CB9" w:rsidRPr="002271B6" w:rsidRDefault="00233CB9" w:rsidP="003E77D9">
      <w:pPr>
        <w:widowControl w:val="0"/>
        <w:numPr>
          <w:ilvl w:val="1"/>
          <w:numId w:val="5"/>
        </w:numPr>
        <w:spacing w:before="120" w:after="120"/>
        <w:jc w:val="both"/>
        <w:rPr>
          <w:rFonts w:asciiTheme="minorHAnsi" w:hAnsiTheme="minorHAnsi" w:cs="Arial"/>
          <w:bCs/>
          <w:snapToGrid w:val="0"/>
        </w:rPr>
      </w:pPr>
      <w:r w:rsidRPr="002271B6">
        <w:rPr>
          <w:rFonts w:asciiTheme="minorHAnsi" w:hAnsiTheme="minorHAnsi" w:cs="Arial"/>
          <w:bCs/>
          <w:snapToGrid w:val="0"/>
        </w:rPr>
        <w:t>The PBAC recommended that the Early Supply Rule should</w:t>
      </w:r>
      <w:r w:rsidR="005F2E85" w:rsidRPr="002271B6">
        <w:rPr>
          <w:rFonts w:asciiTheme="minorHAnsi" w:hAnsiTheme="minorHAnsi" w:cs="Arial"/>
          <w:bCs/>
          <w:snapToGrid w:val="0"/>
        </w:rPr>
        <w:t xml:space="preserve"> </w:t>
      </w:r>
      <w:r w:rsidRPr="002271B6">
        <w:rPr>
          <w:rFonts w:asciiTheme="minorHAnsi" w:hAnsiTheme="minorHAnsi" w:cs="Arial"/>
          <w:bCs/>
          <w:snapToGrid w:val="0"/>
        </w:rPr>
        <w:t>not apply.</w:t>
      </w:r>
    </w:p>
    <w:p w:rsidR="00233CB9" w:rsidRPr="002271B6" w:rsidRDefault="00233CB9" w:rsidP="003E77D9">
      <w:pPr>
        <w:widowControl w:val="0"/>
        <w:numPr>
          <w:ilvl w:val="1"/>
          <w:numId w:val="5"/>
        </w:numPr>
        <w:spacing w:before="120" w:after="120"/>
        <w:jc w:val="both"/>
        <w:rPr>
          <w:rFonts w:asciiTheme="minorHAnsi" w:hAnsiTheme="minorHAnsi" w:cs="Arial"/>
          <w:bCs/>
          <w:snapToGrid w:val="0"/>
        </w:rPr>
      </w:pPr>
      <w:r w:rsidRPr="002271B6">
        <w:rPr>
          <w:rFonts w:asciiTheme="minorHAnsi" w:hAnsiTheme="minorHAnsi" w:cs="Arial"/>
          <w:bCs/>
          <w:snapToGrid w:val="0"/>
        </w:rPr>
        <w:t xml:space="preserve">The PBAC noted the restriction </w:t>
      </w:r>
      <w:proofErr w:type="gramStart"/>
      <w:r w:rsidRPr="002271B6">
        <w:rPr>
          <w:rFonts w:asciiTheme="minorHAnsi" w:hAnsiTheme="minorHAnsi" w:cs="Arial"/>
          <w:bCs/>
          <w:snapToGrid w:val="0"/>
        </w:rPr>
        <w:t>is</w:t>
      </w:r>
      <w:r w:rsidR="005F2E85" w:rsidRPr="002271B6">
        <w:rPr>
          <w:rFonts w:asciiTheme="minorHAnsi" w:hAnsiTheme="minorHAnsi" w:cs="Arial"/>
          <w:bCs/>
          <w:snapToGrid w:val="0"/>
        </w:rPr>
        <w:t xml:space="preserve"> considered</w:t>
      </w:r>
      <w:proofErr w:type="gramEnd"/>
      <w:r w:rsidRPr="002271B6">
        <w:rPr>
          <w:rFonts w:asciiTheme="minorHAnsi" w:hAnsiTheme="minorHAnsi" w:cs="Arial"/>
          <w:bCs/>
          <w:snapToGrid w:val="0"/>
        </w:rPr>
        <w:t xml:space="preserve"> complex</w:t>
      </w:r>
      <w:r w:rsidR="0093220E" w:rsidRPr="002271B6">
        <w:rPr>
          <w:rFonts w:asciiTheme="minorHAnsi" w:hAnsiTheme="minorHAnsi" w:cs="Arial"/>
          <w:bCs/>
          <w:snapToGrid w:val="0"/>
        </w:rPr>
        <w:t>, and that the resolution of issues outlined in paragraph 6.4 above may need to be factored into timeframes for the implementation of this positive recommendation</w:t>
      </w:r>
      <w:r w:rsidRPr="002271B6">
        <w:rPr>
          <w:rFonts w:asciiTheme="minorHAnsi" w:hAnsiTheme="minorHAnsi" w:cs="Arial"/>
          <w:bCs/>
          <w:snapToGrid w:val="0"/>
        </w:rPr>
        <w:t>.</w:t>
      </w:r>
    </w:p>
    <w:p w:rsidR="00233CB9" w:rsidRPr="002271B6" w:rsidRDefault="00233CB9" w:rsidP="003E77D9">
      <w:pPr>
        <w:widowControl w:val="0"/>
        <w:numPr>
          <w:ilvl w:val="1"/>
          <w:numId w:val="5"/>
        </w:numPr>
        <w:spacing w:before="120" w:after="120"/>
        <w:jc w:val="both"/>
        <w:rPr>
          <w:rFonts w:asciiTheme="minorHAnsi" w:hAnsiTheme="minorHAnsi" w:cs="Arial"/>
          <w:bCs/>
          <w:snapToGrid w:val="0"/>
        </w:rPr>
      </w:pPr>
      <w:r w:rsidRPr="002271B6">
        <w:rPr>
          <w:rFonts w:asciiTheme="minorHAnsi" w:hAnsiTheme="minorHAnsi" w:cs="Arial"/>
          <w:bCs/>
          <w:snapToGrid w:val="0"/>
        </w:rPr>
        <w:t xml:space="preserve">The PBAC noted that this submission is not eligible for an Independent Review as it received a positive recommendation. </w:t>
      </w:r>
    </w:p>
    <w:p w:rsidR="0058738C" w:rsidRPr="002271B6" w:rsidRDefault="0058738C" w:rsidP="003E77D9">
      <w:pPr>
        <w:spacing w:before="120" w:after="120"/>
        <w:jc w:val="both"/>
        <w:rPr>
          <w:rFonts w:asciiTheme="minorHAnsi" w:hAnsiTheme="minorHAnsi" w:cs="Arial"/>
          <w:b/>
          <w:bCs/>
          <w:snapToGrid w:val="0"/>
        </w:rPr>
      </w:pPr>
      <w:r w:rsidRPr="002271B6">
        <w:rPr>
          <w:rFonts w:asciiTheme="minorHAnsi" w:hAnsiTheme="minorHAnsi" w:cs="Arial"/>
          <w:b/>
          <w:bCs/>
          <w:snapToGrid w:val="0"/>
        </w:rPr>
        <w:t>Outcome:</w:t>
      </w:r>
    </w:p>
    <w:p w:rsidR="0058738C" w:rsidRPr="002271B6" w:rsidRDefault="0058738C" w:rsidP="003E77D9">
      <w:pPr>
        <w:spacing w:before="120" w:after="120"/>
        <w:jc w:val="both"/>
        <w:rPr>
          <w:rFonts w:asciiTheme="minorHAnsi" w:hAnsiTheme="minorHAnsi" w:cs="Arial"/>
          <w:bCs/>
          <w:snapToGrid w:val="0"/>
        </w:rPr>
      </w:pPr>
      <w:r w:rsidRPr="002271B6">
        <w:rPr>
          <w:rFonts w:asciiTheme="minorHAnsi" w:hAnsiTheme="minorHAnsi" w:cs="Arial"/>
          <w:bCs/>
          <w:snapToGrid w:val="0"/>
        </w:rPr>
        <w:t xml:space="preserve">Recommended </w:t>
      </w:r>
    </w:p>
    <w:p w:rsidR="0058738C" w:rsidRPr="00E640DF" w:rsidRDefault="0058738C" w:rsidP="003E77D9">
      <w:pPr>
        <w:widowControl w:val="0"/>
        <w:numPr>
          <w:ilvl w:val="0"/>
          <w:numId w:val="5"/>
        </w:numPr>
        <w:spacing w:before="120" w:after="120"/>
        <w:jc w:val="both"/>
        <w:outlineLvl w:val="0"/>
        <w:rPr>
          <w:rFonts w:asciiTheme="minorHAnsi" w:hAnsiTheme="minorHAnsi" w:cs="Arial"/>
          <w:b/>
          <w:bCs/>
          <w:snapToGrid w:val="0"/>
          <w:sz w:val="32"/>
        </w:rPr>
      </w:pPr>
      <w:r w:rsidRPr="002271B6">
        <w:rPr>
          <w:rFonts w:asciiTheme="minorHAnsi" w:hAnsiTheme="minorHAnsi" w:cs="Arial"/>
          <w:b/>
          <w:bCs/>
          <w:snapToGrid w:val="0"/>
          <w:sz w:val="32"/>
        </w:rPr>
        <w:t>Recommended listing</w:t>
      </w:r>
    </w:p>
    <w:p w:rsidR="0058738C" w:rsidRPr="00906477" w:rsidRDefault="00AD4F12" w:rsidP="003E77D9">
      <w:pPr>
        <w:spacing w:before="120" w:after="120"/>
        <w:rPr>
          <w:rFonts w:asciiTheme="minorHAnsi" w:hAnsiTheme="minorHAnsi"/>
        </w:rPr>
      </w:pPr>
      <w:r w:rsidRPr="00906477">
        <w:rPr>
          <w:rFonts w:asciiTheme="minorHAnsi" w:hAnsiTheme="minorHAnsi"/>
        </w:rPr>
        <w:t xml:space="preserve">Add new brand to item codes 10179R, 10193L, 4613T, 7258B. </w:t>
      </w:r>
      <w:r w:rsidR="005F2E85" w:rsidRPr="00906477">
        <w:rPr>
          <w:rFonts w:asciiTheme="minorHAnsi" w:hAnsiTheme="minorHAnsi"/>
        </w:rPr>
        <w:t>No changes to current re</w:t>
      </w:r>
      <w:r w:rsidRPr="00906477">
        <w:rPr>
          <w:rFonts w:asciiTheme="minorHAnsi" w:hAnsiTheme="minorHAnsi"/>
        </w:rPr>
        <w:t xml:space="preserve">striction wording. </w:t>
      </w:r>
    </w:p>
    <w:tbl>
      <w:tblPr>
        <w:tblW w:w="5000" w:type="pct"/>
        <w:tblLayout w:type="fixed"/>
        <w:tblLook w:val="0000" w:firstRow="0" w:lastRow="0" w:firstColumn="0" w:lastColumn="0" w:noHBand="0" w:noVBand="0"/>
      </w:tblPr>
      <w:tblGrid>
        <w:gridCol w:w="3442"/>
        <w:gridCol w:w="890"/>
        <w:gridCol w:w="659"/>
        <w:gridCol w:w="1116"/>
        <w:gridCol w:w="2919"/>
      </w:tblGrid>
      <w:tr w:rsidR="00F6007F" w:rsidRPr="00906477" w:rsidTr="00AC2909">
        <w:trPr>
          <w:cantSplit/>
          <w:trHeight w:val="465"/>
        </w:trPr>
        <w:tc>
          <w:tcPr>
            <w:tcW w:w="1907" w:type="pct"/>
            <w:tcBorders>
              <w:top w:val="single" w:sz="4" w:space="0" w:color="auto"/>
              <w:bottom w:val="single" w:sz="4" w:space="0" w:color="auto"/>
            </w:tcBorders>
          </w:tcPr>
          <w:p w:rsidR="00F6007F" w:rsidRPr="00906477" w:rsidRDefault="00F6007F" w:rsidP="00D96D71">
            <w:pPr>
              <w:keepNext/>
              <w:spacing w:before="40" w:after="40"/>
              <w:jc w:val="both"/>
              <w:rPr>
                <w:rFonts w:ascii="Arial Narrow" w:hAnsi="Arial Narrow" w:cs="Arial"/>
                <w:b/>
                <w:sz w:val="20"/>
                <w:szCs w:val="20"/>
              </w:rPr>
            </w:pPr>
            <w:r w:rsidRPr="00906477">
              <w:rPr>
                <w:rFonts w:ascii="Arial Narrow" w:hAnsi="Arial Narrow" w:cs="Arial"/>
                <w:b/>
                <w:sz w:val="20"/>
                <w:szCs w:val="20"/>
              </w:rPr>
              <w:t>Name, Restriction,</w:t>
            </w:r>
          </w:p>
          <w:p w:rsidR="00F6007F" w:rsidRPr="00906477" w:rsidRDefault="00F6007F" w:rsidP="00D96D71">
            <w:pPr>
              <w:keepNext/>
              <w:spacing w:before="40" w:after="40"/>
              <w:jc w:val="both"/>
              <w:rPr>
                <w:rFonts w:ascii="Arial Narrow" w:hAnsi="Arial Narrow" w:cs="Arial"/>
                <w:b/>
                <w:sz w:val="20"/>
                <w:szCs w:val="20"/>
              </w:rPr>
            </w:pPr>
            <w:r w:rsidRPr="00906477">
              <w:rPr>
                <w:rFonts w:ascii="Arial Narrow" w:hAnsi="Arial Narrow" w:cs="Arial"/>
                <w:b/>
                <w:sz w:val="20"/>
                <w:szCs w:val="20"/>
              </w:rPr>
              <w:t>Manner of administration and form</w:t>
            </w:r>
          </w:p>
        </w:tc>
        <w:tc>
          <w:tcPr>
            <w:tcW w:w="493" w:type="pct"/>
            <w:tcBorders>
              <w:top w:val="single" w:sz="4" w:space="0" w:color="auto"/>
              <w:bottom w:val="single" w:sz="4" w:space="0" w:color="auto"/>
            </w:tcBorders>
          </w:tcPr>
          <w:p w:rsidR="00F6007F" w:rsidRPr="00906477" w:rsidRDefault="00F6007F" w:rsidP="00D96D71">
            <w:pPr>
              <w:keepNext/>
              <w:spacing w:before="40" w:after="40"/>
              <w:jc w:val="both"/>
              <w:rPr>
                <w:rFonts w:ascii="Arial Narrow" w:hAnsi="Arial Narrow" w:cs="Arial"/>
                <w:b/>
                <w:sz w:val="20"/>
                <w:szCs w:val="20"/>
              </w:rPr>
            </w:pPr>
            <w:r w:rsidRPr="00906477">
              <w:rPr>
                <w:rFonts w:ascii="Arial Narrow" w:hAnsi="Arial Narrow" w:cs="Arial"/>
                <w:b/>
                <w:sz w:val="20"/>
                <w:szCs w:val="20"/>
              </w:rPr>
              <w:t>Max.</w:t>
            </w:r>
          </w:p>
          <w:p w:rsidR="00F6007F" w:rsidRPr="00906477" w:rsidRDefault="00F6007F" w:rsidP="00D96D71">
            <w:pPr>
              <w:keepNext/>
              <w:spacing w:before="40" w:after="40"/>
              <w:jc w:val="both"/>
              <w:rPr>
                <w:rFonts w:ascii="Arial Narrow" w:hAnsi="Arial Narrow" w:cs="Arial"/>
                <w:b/>
                <w:sz w:val="20"/>
                <w:szCs w:val="20"/>
              </w:rPr>
            </w:pPr>
            <w:r w:rsidRPr="00906477">
              <w:rPr>
                <w:rFonts w:ascii="Arial Narrow" w:hAnsi="Arial Narrow" w:cs="Arial"/>
                <w:b/>
                <w:sz w:val="20"/>
                <w:szCs w:val="20"/>
              </w:rPr>
              <w:t>amount</w:t>
            </w:r>
          </w:p>
        </w:tc>
        <w:tc>
          <w:tcPr>
            <w:tcW w:w="365" w:type="pct"/>
            <w:tcBorders>
              <w:top w:val="single" w:sz="4" w:space="0" w:color="auto"/>
              <w:bottom w:val="single" w:sz="4" w:space="0" w:color="auto"/>
            </w:tcBorders>
          </w:tcPr>
          <w:p w:rsidR="00F6007F" w:rsidRPr="00906477" w:rsidRDefault="00F6007F" w:rsidP="00D96D71">
            <w:pPr>
              <w:keepNext/>
              <w:spacing w:before="40" w:after="40"/>
              <w:jc w:val="both"/>
              <w:rPr>
                <w:rFonts w:ascii="Arial Narrow" w:hAnsi="Arial Narrow" w:cs="Arial"/>
                <w:b/>
                <w:sz w:val="20"/>
                <w:szCs w:val="20"/>
              </w:rPr>
            </w:pPr>
            <w:r w:rsidRPr="00906477">
              <w:rPr>
                <w:rFonts w:ascii="Arial Narrow" w:hAnsi="Arial Narrow" w:cs="Arial"/>
                <w:b/>
                <w:sz w:val="20"/>
                <w:szCs w:val="20"/>
              </w:rPr>
              <w:t>№.of</w:t>
            </w:r>
          </w:p>
          <w:p w:rsidR="00F6007F" w:rsidRPr="00906477" w:rsidRDefault="00F6007F" w:rsidP="00D96D71">
            <w:pPr>
              <w:keepNext/>
              <w:spacing w:before="40" w:after="40"/>
              <w:jc w:val="both"/>
              <w:rPr>
                <w:rFonts w:ascii="Arial Narrow" w:hAnsi="Arial Narrow" w:cs="Arial"/>
                <w:b/>
                <w:sz w:val="20"/>
                <w:szCs w:val="20"/>
              </w:rPr>
            </w:pPr>
            <w:proofErr w:type="spellStart"/>
            <w:r w:rsidRPr="00906477">
              <w:rPr>
                <w:rFonts w:ascii="Arial Narrow" w:hAnsi="Arial Narrow" w:cs="Arial"/>
                <w:b/>
                <w:sz w:val="20"/>
                <w:szCs w:val="20"/>
              </w:rPr>
              <w:t>Rpts</w:t>
            </w:r>
            <w:proofErr w:type="spellEnd"/>
          </w:p>
        </w:tc>
        <w:tc>
          <w:tcPr>
            <w:tcW w:w="2235" w:type="pct"/>
            <w:gridSpan w:val="2"/>
            <w:tcBorders>
              <w:top w:val="single" w:sz="4" w:space="0" w:color="auto"/>
              <w:bottom w:val="single" w:sz="4" w:space="0" w:color="auto"/>
            </w:tcBorders>
            <w:vAlign w:val="center"/>
          </w:tcPr>
          <w:p w:rsidR="00F6007F" w:rsidRPr="002271B6" w:rsidRDefault="00F6007F" w:rsidP="00AC2909">
            <w:pPr>
              <w:keepNext/>
              <w:spacing w:before="40" w:after="40"/>
              <w:jc w:val="center"/>
              <w:rPr>
                <w:rFonts w:ascii="Arial Narrow" w:hAnsi="Arial Narrow" w:cs="Arial"/>
                <w:b/>
                <w:sz w:val="20"/>
                <w:szCs w:val="20"/>
              </w:rPr>
            </w:pPr>
            <w:r w:rsidRPr="00906477">
              <w:rPr>
                <w:rFonts w:ascii="Arial Narrow" w:hAnsi="Arial Narrow" w:cs="Arial"/>
                <w:b/>
                <w:sz w:val="20"/>
                <w:szCs w:val="20"/>
              </w:rPr>
              <w:t>Proprietary Name and Manufacturer</w:t>
            </w:r>
          </w:p>
        </w:tc>
      </w:tr>
      <w:tr w:rsidR="00F6007F" w:rsidRPr="00906477" w:rsidTr="0080182E">
        <w:trPr>
          <w:cantSplit/>
          <w:trHeight w:val="567"/>
        </w:trPr>
        <w:tc>
          <w:tcPr>
            <w:tcW w:w="1907" w:type="pct"/>
          </w:tcPr>
          <w:p w:rsidR="00F6007F" w:rsidRPr="00906477" w:rsidRDefault="00F6007F" w:rsidP="00D96D71">
            <w:pPr>
              <w:keepNext/>
              <w:spacing w:before="40" w:after="40"/>
              <w:jc w:val="both"/>
              <w:rPr>
                <w:rFonts w:ascii="Arial Narrow" w:hAnsi="Arial Narrow" w:cs="Arial"/>
                <w:sz w:val="20"/>
                <w:szCs w:val="20"/>
              </w:rPr>
            </w:pPr>
            <w:r w:rsidRPr="00906477">
              <w:rPr>
                <w:rFonts w:ascii="Arial Narrow" w:hAnsi="Arial Narrow" w:cs="Arial"/>
                <w:smallCaps/>
                <w:sz w:val="20"/>
                <w:szCs w:val="20"/>
              </w:rPr>
              <w:t>rituximab</w:t>
            </w:r>
          </w:p>
          <w:p w:rsidR="00F6007F" w:rsidRPr="00906477" w:rsidRDefault="00F6007F" w:rsidP="00D96D71">
            <w:pPr>
              <w:keepNext/>
              <w:spacing w:before="40" w:after="40"/>
              <w:jc w:val="both"/>
              <w:rPr>
                <w:rFonts w:ascii="Arial Narrow" w:hAnsi="Arial Narrow" w:cs="Arial"/>
                <w:sz w:val="20"/>
                <w:szCs w:val="20"/>
              </w:rPr>
            </w:pPr>
            <w:r w:rsidRPr="00906477">
              <w:rPr>
                <w:rFonts w:ascii="Arial Narrow" w:hAnsi="Arial Narrow" w:cs="Arial"/>
                <w:sz w:val="20"/>
                <w:szCs w:val="20"/>
              </w:rPr>
              <w:t>100 mg/10 mL injection, 2 x 10 mL vial</w:t>
            </w:r>
          </w:p>
          <w:p w:rsidR="00F6007F" w:rsidRPr="00906477" w:rsidRDefault="00F6007F" w:rsidP="00D96D71">
            <w:pPr>
              <w:keepNext/>
              <w:spacing w:before="40" w:after="40"/>
              <w:jc w:val="both"/>
              <w:rPr>
                <w:rFonts w:ascii="Arial Narrow" w:hAnsi="Arial Narrow" w:cs="Arial"/>
                <w:sz w:val="20"/>
                <w:szCs w:val="20"/>
              </w:rPr>
            </w:pPr>
            <w:r w:rsidRPr="00906477">
              <w:rPr>
                <w:rFonts w:ascii="Arial Narrow" w:hAnsi="Arial Narrow" w:cs="Arial"/>
                <w:sz w:val="20"/>
                <w:szCs w:val="20"/>
              </w:rPr>
              <w:t>500 mg/50 mL injection, 50 mL vial</w:t>
            </w:r>
          </w:p>
        </w:tc>
        <w:tc>
          <w:tcPr>
            <w:tcW w:w="493" w:type="pct"/>
          </w:tcPr>
          <w:p w:rsidR="00F6007F" w:rsidRPr="00906477" w:rsidRDefault="00F6007F" w:rsidP="00D96D71">
            <w:pPr>
              <w:keepNext/>
              <w:spacing w:before="40" w:after="40"/>
              <w:jc w:val="both"/>
              <w:rPr>
                <w:rFonts w:ascii="Arial Narrow" w:hAnsi="Arial Narrow" w:cs="Arial"/>
                <w:sz w:val="20"/>
                <w:szCs w:val="20"/>
              </w:rPr>
            </w:pPr>
          </w:p>
          <w:p w:rsidR="00F6007F" w:rsidRPr="00906477" w:rsidRDefault="00F6007F" w:rsidP="00D96D71">
            <w:pPr>
              <w:keepNext/>
              <w:spacing w:before="40" w:after="40"/>
              <w:jc w:val="both"/>
              <w:rPr>
                <w:rFonts w:ascii="Arial Narrow" w:hAnsi="Arial Narrow" w:cs="Arial"/>
                <w:sz w:val="20"/>
                <w:szCs w:val="20"/>
              </w:rPr>
            </w:pPr>
            <w:r w:rsidRPr="00906477">
              <w:rPr>
                <w:rFonts w:ascii="Arial Narrow" w:hAnsi="Arial Narrow" w:cs="Arial"/>
                <w:sz w:val="20"/>
                <w:szCs w:val="20"/>
              </w:rPr>
              <w:t>800 mg</w:t>
            </w:r>
          </w:p>
        </w:tc>
        <w:tc>
          <w:tcPr>
            <w:tcW w:w="365" w:type="pct"/>
          </w:tcPr>
          <w:p w:rsidR="00F6007F" w:rsidRPr="00906477" w:rsidRDefault="00F6007F" w:rsidP="00D96D71">
            <w:pPr>
              <w:keepNext/>
              <w:spacing w:before="40" w:after="40"/>
              <w:jc w:val="both"/>
              <w:rPr>
                <w:rFonts w:ascii="Arial Narrow" w:hAnsi="Arial Narrow" w:cs="Arial"/>
                <w:sz w:val="20"/>
                <w:szCs w:val="20"/>
              </w:rPr>
            </w:pPr>
          </w:p>
          <w:p w:rsidR="00F6007F" w:rsidRPr="00906477" w:rsidRDefault="00F6007F" w:rsidP="00D96D71">
            <w:pPr>
              <w:keepNext/>
              <w:spacing w:before="40" w:after="40"/>
              <w:jc w:val="both"/>
              <w:rPr>
                <w:rFonts w:ascii="Arial Narrow" w:hAnsi="Arial Narrow" w:cs="Arial"/>
                <w:sz w:val="20"/>
                <w:szCs w:val="20"/>
              </w:rPr>
            </w:pPr>
            <w:r w:rsidRPr="00906477">
              <w:rPr>
                <w:rFonts w:ascii="Arial Narrow" w:hAnsi="Arial Narrow" w:cs="Arial"/>
                <w:sz w:val="20"/>
                <w:szCs w:val="20"/>
              </w:rPr>
              <w:t>7</w:t>
            </w:r>
          </w:p>
          <w:p w:rsidR="00F6007F" w:rsidRPr="00906477" w:rsidRDefault="00F6007F" w:rsidP="00D96D71">
            <w:pPr>
              <w:keepNext/>
              <w:spacing w:before="40" w:after="40"/>
              <w:jc w:val="both"/>
              <w:rPr>
                <w:rFonts w:ascii="Arial Narrow" w:hAnsi="Arial Narrow" w:cs="Arial"/>
                <w:sz w:val="20"/>
                <w:szCs w:val="20"/>
              </w:rPr>
            </w:pPr>
            <w:r w:rsidRPr="00906477">
              <w:rPr>
                <w:rFonts w:ascii="Arial Narrow" w:hAnsi="Arial Narrow" w:cs="Arial"/>
                <w:sz w:val="20"/>
                <w:szCs w:val="20"/>
              </w:rPr>
              <w:t>11</w:t>
            </w:r>
          </w:p>
        </w:tc>
        <w:tc>
          <w:tcPr>
            <w:tcW w:w="618" w:type="pct"/>
          </w:tcPr>
          <w:p w:rsidR="00F6007F" w:rsidRPr="00906477" w:rsidRDefault="00F6007F" w:rsidP="00D96D71">
            <w:pPr>
              <w:keepNext/>
              <w:spacing w:before="40" w:after="40"/>
              <w:jc w:val="both"/>
              <w:rPr>
                <w:rFonts w:ascii="Arial Narrow" w:hAnsi="Arial Narrow" w:cs="Arial"/>
                <w:sz w:val="20"/>
                <w:szCs w:val="20"/>
              </w:rPr>
            </w:pPr>
          </w:p>
          <w:p w:rsidR="00F6007F" w:rsidRPr="00906477" w:rsidRDefault="00F6007F" w:rsidP="00D96D71">
            <w:pPr>
              <w:keepNext/>
              <w:spacing w:before="40" w:after="40"/>
              <w:jc w:val="both"/>
              <w:rPr>
                <w:rFonts w:ascii="Arial Narrow" w:hAnsi="Arial Narrow" w:cs="Arial"/>
                <w:sz w:val="20"/>
                <w:szCs w:val="20"/>
              </w:rPr>
            </w:pPr>
            <w:proofErr w:type="spellStart"/>
            <w:r w:rsidRPr="00906477">
              <w:rPr>
                <w:rFonts w:ascii="Arial Narrow" w:hAnsi="Arial Narrow" w:cs="Arial"/>
                <w:sz w:val="20"/>
                <w:szCs w:val="20"/>
              </w:rPr>
              <w:t>Truxima</w:t>
            </w:r>
            <w:proofErr w:type="spellEnd"/>
            <w:r w:rsidRPr="00906477">
              <w:rPr>
                <w:rFonts w:ascii="Arial Narrow" w:hAnsi="Arial Narrow" w:cs="Arial"/>
                <w:sz w:val="20"/>
                <w:szCs w:val="20"/>
              </w:rPr>
              <w:t>®</w:t>
            </w:r>
          </w:p>
        </w:tc>
        <w:tc>
          <w:tcPr>
            <w:tcW w:w="1617" w:type="pct"/>
          </w:tcPr>
          <w:p w:rsidR="00F6007F" w:rsidRPr="00906477" w:rsidRDefault="00F6007F" w:rsidP="00D96D71">
            <w:pPr>
              <w:keepNext/>
              <w:spacing w:before="40" w:after="40"/>
              <w:jc w:val="both"/>
              <w:rPr>
                <w:rFonts w:ascii="Arial Narrow" w:hAnsi="Arial Narrow" w:cs="Arial"/>
                <w:sz w:val="20"/>
                <w:szCs w:val="20"/>
              </w:rPr>
            </w:pPr>
          </w:p>
          <w:p w:rsidR="00F6007F" w:rsidRPr="00906477" w:rsidRDefault="00F6007F" w:rsidP="00D96D71">
            <w:pPr>
              <w:keepNext/>
              <w:spacing w:before="40" w:after="40"/>
              <w:jc w:val="both"/>
              <w:rPr>
                <w:rFonts w:ascii="Arial Narrow" w:hAnsi="Arial Narrow" w:cs="Arial"/>
                <w:sz w:val="20"/>
                <w:szCs w:val="20"/>
              </w:rPr>
            </w:pPr>
            <w:proofErr w:type="spellStart"/>
            <w:r w:rsidRPr="00906477">
              <w:rPr>
                <w:rFonts w:ascii="Arial Narrow" w:hAnsi="Arial Narrow" w:cs="Arial"/>
                <w:sz w:val="20"/>
                <w:szCs w:val="20"/>
              </w:rPr>
              <w:t>Celltrion</w:t>
            </w:r>
            <w:proofErr w:type="spellEnd"/>
            <w:r w:rsidRPr="00906477">
              <w:rPr>
                <w:rFonts w:ascii="Arial Narrow" w:hAnsi="Arial Narrow" w:cs="Arial"/>
                <w:sz w:val="20"/>
                <w:szCs w:val="20"/>
              </w:rPr>
              <w:t xml:space="preserve"> Healthcare Australia Pty ltd</w:t>
            </w:r>
          </w:p>
        </w:tc>
      </w:tr>
    </w:tbl>
    <w:p w:rsidR="00E640DF" w:rsidRPr="00E640DF" w:rsidRDefault="00E640DF" w:rsidP="003E77D9">
      <w:pPr>
        <w:widowControl w:val="0"/>
        <w:numPr>
          <w:ilvl w:val="0"/>
          <w:numId w:val="5"/>
        </w:numPr>
        <w:spacing w:before="120" w:after="120"/>
        <w:jc w:val="both"/>
        <w:outlineLvl w:val="0"/>
        <w:rPr>
          <w:rFonts w:asciiTheme="minorHAnsi" w:hAnsiTheme="minorHAnsi" w:cs="Arial"/>
          <w:b/>
          <w:bCs/>
          <w:snapToGrid w:val="0"/>
          <w:sz w:val="32"/>
        </w:rPr>
      </w:pPr>
      <w:r w:rsidRPr="00E640DF">
        <w:rPr>
          <w:rFonts w:asciiTheme="minorHAnsi" w:hAnsiTheme="minorHAnsi" w:cs="Arial"/>
          <w:b/>
          <w:bCs/>
          <w:snapToGrid w:val="0"/>
          <w:sz w:val="32"/>
        </w:rPr>
        <w:t>Context for Decision</w:t>
      </w:r>
    </w:p>
    <w:p w:rsidR="00E640DF" w:rsidRPr="005B7BBD" w:rsidRDefault="00E640DF" w:rsidP="003E77D9">
      <w:pPr>
        <w:widowControl w:val="0"/>
        <w:spacing w:before="120" w:after="120"/>
        <w:ind w:left="720"/>
        <w:jc w:val="both"/>
        <w:rPr>
          <w:rFonts w:asciiTheme="minorHAnsi" w:hAnsiTheme="minorHAnsi" w:cs="Arial"/>
          <w:bCs/>
          <w:snapToGrid w:val="0"/>
        </w:rPr>
      </w:pPr>
      <w:r w:rsidRPr="005B7BBD">
        <w:rPr>
          <w:rFonts w:asciiTheme="minorHAnsi" w:hAnsiTheme="minorHAnsi" w:cs="Arial"/>
          <w:bCs/>
          <w:snapToGrid w:val="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640DF" w:rsidRPr="00E640DF" w:rsidRDefault="00E640DF" w:rsidP="003E77D9">
      <w:pPr>
        <w:widowControl w:val="0"/>
        <w:numPr>
          <w:ilvl w:val="0"/>
          <w:numId w:val="5"/>
        </w:numPr>
        <w:spacing w:before="120" w:after="120"/>
        <w:jc w:val="both"/>
        <w:outlineLvl w:val="0"/>
        <w:rPr>
          <w:rFonts w:asciiTheme="minorHAnsi" w:hAnsiTheme="minorHAnsi" w:cs="Arial"/>
          <w:b/>
          <w:bCs/>
          <w:snapToGrid w:val="0"/>
          <w:sz w:val="32"/>
        </w:rPr>
      </w:pPr>
      <w:r w:rsidRPr="00E640DF">
        <w:rPr>
          <w:rFonts w:asciiTheme="minorHAnsi" w:hAnsiTheme="minorHAnsi" w:cs="Arial"/>
          <w:b/>
          <w:bCs/>
          <w:snapToGrid w:val="0"/>
          <w:sz w:val="32"/>
        </w:rPr>
        <w:t>Sponsor’s Comment</w:t>
      </w:r>
    </w:p>
    <w:p w:rsidR="00E55DED" w:rsidRPr="005B7BBD" w:rsidRDefault="00E55DED" w:rsidP="003E77D9">
      <w:pPr>
        <w:widowControl w:val="0"/>
        <w:spacing w:before="120" w:after="120"/>
        <w:ind w:left="720"/>
        <w:jc w:val="both"/>
        <w:rPr>
          <w:rFonts w:asciiTheme="minorHAnsi" w:hAnsiTheme="minorHAnsi" w:cs="Arial"/>
          <w:bCs/>
          <w:snapToGrid w:val="0"/>
        </w:rPr>
      </w:pPr>
      <w:r w:rsidRPr="00AB17AB">
        <w:rPr>
          <w:rFonts w:asciiTheme="minorHAnsi" w:hAnsiTheme="minorHAnsi" w:cs="Arial"/>
          <w:bCs/>
          <w:snapToGrid w:val="0"/>
        </w:rPr>
        <w:t xml:space="preserve"> </w:t>
      </w:r>
      <w:proofErr w:type="spellStart"/>
      <w:r w:rsidRPr="00AB17AB">
        <w:rPr>
          <w:rFonts w:asciiTheme="minorHAnsi" w:hAnsiTheme="minorHAnsi" w:cs="Arial"/>
          <w:bCs/>
          <w:snapToGrid w:val="0"/>
        </w:rPr>
        <w:t>Celltrion</w:t>
      </w:r>
      <w:proofErr w:type="spellEnd"/>
      <w:r w:rsidRPr="00AB17AB">
        <w:rPr>
          <w:rFonts w:asciiTheme="minorHAnsi" w:hAnsiTheme="minorHAnsi" w:cs="Arial"/>
          <w:bCs/>
          <w:snapToGrid w:val="0"/>
        </w:rPr>
        <w:t xml:space="preserve"> Healthcare Australia agrees with the position of PB</w:t>
      </w:r>
      <w:r w:rsidR="00AB17AB">
        <w:rPr>
          <w:rFonts w:asciiTheme="minorHAnsi" w:hAnsiTheme="minorHAnsi" w:cs="Arial"/>
          <w:bCs/>
          <w:snapToGrid w:val="0"/>
        </w:rPr>
        <w:t>AC to PBS list a single brand (</w:t>
      </w:r>
      <w:proofErr w:type="spellStart"/>
      <w:r w:rsidR="00AB17AB">
        <w:rPr>
          <w:rFonts w:asciiTheme="minorHAnsi" w:hAnsiTheme="minorHAnsi" w:cs="Arial"/>
          <w:bCs/>
          <w:snapToGrid w:val="0"/>
        </w:rPr>
        <w:t>Truxima</w:t>
      </w:r>
      <w:proofErr w:type="spellEnd"/>
      <w:r w:rsidRPr="00AB17AB">
        <w:rPr>
          <w:rFonts w:asciiTheme="minorHAnsi" w:hAnsiTheme="minorHAnsi" w:cs="Arial"/>
          <w:bCs/>
          <w:snapToGrid w:val="0"/>
        </w:rPr>
        <w:t>®) for all indications for which reference rituximab is currently PBS listed</w:t>
      </w:r>
      <w:r w:rsidR="00AB17AB">
        <w:rPr>
          <w:rFonts w:asciiTheme="minorHAnsi" w:hAnsiTheme="minorHAnsi" w:cs="Arial"/>
          <w:bCs/>
          <w:snapToGrid w:val="0"/>
        </w:rPr>
        <w:t>.</w:t>
      </w:r>
    </w:p>
    <w:sectPr w:rsidR="00E55DED" w:rsidRPr="005B7BBD"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EA" w:rsidRDefault="008B4DEA">
      <w:r>
        <w:separator/>
      </w:r>
    </w:p>
    <w:p w:rsidR="008B4DEA" w:rsidRDefault="008B4DEA"/>
  </w:endnote>
  <w:endnote w:type="continuationSeparator" w:id="0">
    <w:p w:rsidR="008B4DEA" w:rsidRDefault="008B4DEA">
      <w:r>
        <w:continuationSeparator/>
      </w:r>
    </w:p>
    <w:p w:rsidR="008B4DEA" w:rsidRDefault="008B4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C36E1" w:rsidTr="005A3173">
      <w:trPr>
        <w:trHeight w:val="151"/>
      </w:trPr>
      <w:tc>
        <w:tcPr>
          <w:tcW w:w="2250" w:type="pct"/>
          <w:tcBorders>
            <w:top w:val="nil"/>
            <w:left w:val="nil"/>
            <w:bottom w:val="single" w:sz="4" w:space="0" w:color="4F81BD"/>
            <w:right w:val="nil"/>
          </w:tcBorders>
        </w:tcPr>
        <w:p w:rsidR="007C36E1" w:rsidRPr="005A3173" w:rsidRDefault="007C36E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C36E1" w:rsidRPr="005A3173" w:rsidRDefault="007C36E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C36E1" w:rsidRPr="005A3173" w:rsidRDefault="007C36E1" w:rsidP="005A3173">
          <w:pPr>
            <w:pStyle w:val="Header"/>
            <w:spacing w:line="276" w:lineRule="auto"/>
            <w:rPr>
              <w:rFonts w:ascii="Calibri" w:eastAsia="MS Gothic" w:hAnsi="Calibri"/>
              <w:b/>
              <w:bCs/>
              <w:color w:val="4F81BD"/>
            </w:rPr>
          </w:pPr>
        </w:p>
      </w:tc>
    </w:tr>
    <w:tr w:rsidR="007C36E1" w:rsidTr="005A3173">
      <w:trPr>
        <w:trHeight w:val="150"/>
      </w:trPr>
      <w:tc>
        <w:tcPr>
          <w:tcW w:w="2250" w:type="pct"/>
          <w:tcBorders>
            <w:top w:val="single" w:sz="4" w:space="0" w:color="4F81BD"/>
            <w:left w:val="nil"/>
            <w:bottom w:val="nil"/>
            <w:right w:val="nil"/>
          </w:tcBorders>
        </w:tcPr>
        <w:p w:rsidR="007C36E1" w:rsidRPr="005A3173" w:rsidRDefault="007C36E1" w:rsidP="005A3173">
          <w:pPr>
            <w:pStyle w:val="Header"/>
            <w:spacing w:line="276" w:lineRule="auto"/>
            <w:rPr>
              <w:rFonts w:ascii="Calibri" w:eastAsia="MS Gothic" w:hAnsi="Calibri"/>
              <w:b/>
              <w:bCs/>
              <w:color w:val="4F81BD"/>
            </w:rPr>
          </w:pPr>
        </w:p>
      </w:tc>
      <w:tc>
        <w:tcPr>
          <w:tcW w:w="0" w:type="auto"/>
          <w:vMerge/>
          <w:vAlign w:val="center"/>
          <w:hideMark/>
        </w:tcPr>
        <w:p w:rsidR="007C36E1" w:rsidRPr="005A3173" w:rsidRDefault="007C36E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C36E1" w:rsidRPr="005A3173" w:rsidRDefault="007C36E1" w:rsidP="005A3173">
          <w:pPr>
            <w:pStyle w:val="Header"/>
            <w:spacing w:line="276" w:lineRule="auto"/>
            <w:rPr>
              <w:rFonts w:ascii="Calibri" w:eastAsia="MS Gothic" w:hAnsi="Calibri"/>
              <w:b/>
              <w:bCs/>
              <w:color w:val="4F81BD"/>
            </w:rPr>
          </w:pPr>
        </w:p>
      </w:tc>
    </w:tr>
  </w:tbl>
  <w:p w:rsidR="007C36E1" w:rsidRDefault="007C36E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36E1" w:rsidRDefault="007C36E1">
    <w:pPr>
      <w:pStyle w:val="Footer"/>
    </w:pPr>
  </w:p>
  <w:p w:rsidR="007C36E1" w:rsidRDefault="007C36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E1" w:rsidRPr="00F90A91" w:rsidRDefault="007C36E1" w:rsidP="0058738C">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0B5D9A">
      <w:rPr>
        <w:rFonts w:ascii="Calibri" w:hAnsi="Calibri" w:cs="Arial"/>
        <w:b/>
        <w:noProof/>
        <w:sz w:val="20"/>
      </w:rPr>
      <w:t>5</w:t>
    </w:r>
    <w:r w:rsidRPr="00F90A91">
      <w:rPr>
        <w:rFonts w:ascii="Calibri" w:hAnsi="Calibri" w:cs="Arial"/>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7C36E1" w:rsidTr="005A3173">
      <w:trPr>
        <w:trHeight w:val="151"/>
      </w:trPr>
      <w:tc>
        <w:tcPr>
          <w:tcW w:w="2250" w:type="pct"/>
          <w:tcBorders>
            <w:top w:val="nil"/>
            <w:left w:val="nil"/>
            <w:bottom w:val="single" w:sz="4" w:space="0" w:color="4F81BD"/>
            <w:right w:val="nil"/>
          </w:tcBorders>
        </w:tcPr>
        <w:p w:rsidR="007C36E1" w:rsidRPr="005A3173" w:rsidRDefault="007C36E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C36E1" w:rsidRPr="005A3173" w:rsidRDefault="007C36E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C36E1" w:rsidRPr="005A3173" w:rsidRDefault="007C36E1" w:rsidP="005A3173">
          <w:pPr>
            <w:pStyle w:val="Header"/>
            <w:spacing w:line="276" w:lineRule="auto"/>
            <w:rPr>
              <w:rFonts w:ascii="Calibri" w:eastAsia="MS Gothic" w:hAnsi="Calibri"/>
              <w:b/>
              <w:bCs/>
              <w:color w:val="4F81BD"/>
            </w:rPr>
          </w:pPr>
        </w:p>
      </w:tc>
    </w:tr>
    <w:tr w:rsidR="007C36E1" w:rsidTr="005A3173">
      <w:trPr>
        <w:trHeight w:val="150"/>
      </w:trPr>
      <w:tc>
        <w:tcPr>
          <w:tcW w:w="2250" w:type="pct"/>
          <w:tcBorders>
            <w:top w:val="single" w:sz="4" w:space="0" w:color="4F81BD"/>
            <w:left w:val="nil"/>
            <w:bottom w:val="nil"/>
            <w:right w:val="nil"/>
          </w:tcBorders>
        </w:tcPr>
        <w:p w:rsidR="007C36E1" w:rsidRPr="005A3173" w:rsidRDefault="007C36E1" w:rsidP="005A3173">
          <w:pPr>
            <w:pStyle w:val="Header"/>
            <w:spacing w:line="276" w:lineRule="auto"/>
            <w:rPr>
              <w:rFonts w:ascii="Calibri" w:eastAsia="MS Gothic" w:hAnsi="Calibri"/>
              <w:b/>
              <w:bCs/>
              <w:color w:val="4F81BD"/>
            </w:rPr>
          </w:pPr>
        </w:p>
      </w:tc>
      <w:tc>
        <w:tcPr>
          <w:tcW w:w="0" w:type="auto"/>
          <w:vMerge/>
          <w:vAlign w:val="center"/>
          <w:hideMark/>
        </w:tcPr>
        <w:p w:rsidR="007C36E1" w:rsidRPr="005A3173" w:rsidRDefault="007C36E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C36E1" w:rsidRPr="005A3173" w:rsidRDefault="007C36E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C36E1" w:rsidTr="005A3173">
      <w:trPr>
        <w:trHeight w:val="151"/>
      </w:trPr>
      <w:tc>
        <w:tcPr>
          <w:tcW w:w="2250" w:type="pct"/>
          <w:tcBorders>
            <w:top w:val="nil"/>
            <w:left w:val="nil"/>
            <w:bottom w:val="single" w:sz="4" w:space="0" w:color="4F81BD"/>
            <w:right w:val="nil"/>
          </w:tcBorders>
        </w:tcPr>
        <w:p w:rsidR="007C36E1" w:rsidRPr="005A3173" w:rsidRDefault="007C36E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C36E1" w:rsidRPr="005A3173" w:rsidRDefault="007C36E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C36E1" w:rsidRPr="005A3173" w:rsidRDefault="007C36E1" w:rsidP="005A3173">
          <w:pPr>
            <w:pStyle w:val="Header"/>
            <w:spacing w:line="276" w:lineRule="auto"/>
            <w:rPr>
              <w:rFonts w:ascii="Calibri" w:eastAsia="MS Gothic" w:hAnsi="Calibri"/>
              <w:b/>
              <w:bCs/>
              <w:color w:val="4F81BD"/>
            </w:rPr>
          </w:pPr>
        </w:p>
      </w:tc>
    </w:tr>
    <w:tr w:rsidR="007C36E1" w:rsidTr="005A3173">
      <w:trPr>
        <w:trHeight w:val="150"/>
      </w:trPr>
      <w:tc>
        <w:tcPr>
          <w:tcW w:w="2250" w:type="pct"/>
          <w:tcBorders>
            <w:top w:val="single" w:sz="4" w:space="0" w:color="4F81BD"/>
            <w:left w:val="nil"/>
            <w:bottom w:val="nil"/>
            <w:right w:val="nil"/>
          </w:tcBorders>
        </w:tcPr>
        <w:p w:rsidR="007C36E1" w:rsidRPr="005A3173" w:rsidRDefault="007C36E1" w:rsidP="005A3173">
          <w:pPr>
            <w:pStyle w:val="Header"/>
            <w:spacing w:line="276" w:lineRule="auto"/>
            <w:rPr>
              <w:rFonts w:ascii="Calibri" w:eastAsia="MS Gothic" w:hAnsi="Calibri"/>
              <w:b/>
              <w:bCs/>
              <w:color w:val="4F81BD"/>
            </w:rPr>
          </w:pPr>
        </w:p>
      </w:tc>
      <w:tc>
        <w:tcPr>
          <w:tcW w:w="0" w:type="auto"/>
          <w:vMerge/>
          <w:vAlign w:val="center"/>
          <w:hideMark/>
        </w:tcPr>
        <w:p w:rsidR="007C36E1" w:rsidRPr="005A3173" w:rsidRDefault="007C36E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C36E1" w:rsidRPr="005A3173" w:rsidRDefault="007C36E1" w:rsidP="005A3173">
          <w:pPr>
            <w:pStyle w:val="Header"/>
            <w:spacing w:line="276" w:lineRule="auto"/>
            <w:rPr>
              <w:rFonts w:ascii="Calibri" w:eastAsia="MS Gothic" w:hAnsi="Calibri"/>
              <w:b/>
              <w:bCs/>
              <w:color w:val="4F81BD"/>
            </w:rPr>
          </w:pPr>
        </w:p>
      </w:tc>
    </w:tr>
  </w:tbl>
  <w:p w:rsidR="007C36E1" w:rsidRPr="007C0F57" w:rsidRDefault="007C36E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C36E1" w:rsidRPr="007C0F57" w:rsidRDefault="007C36E1" w:rsidP="007C0F57">
    <w:pPr>
      <w:pStyle w:val="Footer"/>
      <w:jc w:val="center"/>
      <w:rPr>
        <w:b/>
        <w:i/>
        <w:sz w:val="20"/>
        <w:szCs w:val="20"/>
      </w:rPr>
    </w:pPr>
    <w:r w:rsidRPr="007C0F57">
      <w:rPr>
        <w:b/>
        <w:i/>
        <w:sz w:val="20"/>
        <w:szCs w:val="20"/>
      </w:rPr>
      <w:t>Commercial-in-Confidence</w:t>
    </w:r>
  </w:p>
  <w:p w:rsidR="007C36E1" w:rsidRDefault="007C36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EA" w:rsidRDefault="008B4DEA">
      <w:r>
        <w:separator/>
      </w:r>
    </w:p>
    <w:p w:rsidR="008B4DEA" w:rsidRDefault="008B4DEA"/>
  </w:footnote>
  <w:footnote w:type="continuationSeparator" w:id="0">
    <w:p w:rsidR="008B4DEA" w:rsidRDefault="008B4DEA">
      <w:r>
        <w:continuationSeparator/>
      </w:r>
    </w:p>
    <w:p w:rsidR="008B4DEA" w:rsidRDefault="008B4DEA"/>
  </w:footnote>
  <w:footnote w:id="1">
    <w:p w:rsidR="007C36E1" w:rsidRPr="007966E3" w:rsidRDefault="007C36E1" w:rsidP="00767750">
      <w:pPr>
        <w:rPr>
          <w:rFonts w:asciiTheme="minorHAnsi" w:hAnsiTheme="minorHAnsi"/>
          <w:sz w:val="20"/>
          <w:szCs w:val="20"/>
        </w:rPr>
      </w:pPr>
      <w:r w:rsidRPr="007966E3">
        <w:rPr>
          <w:rStyle w:val="FootnoteReference"/>
          <w:rFonts w:asciiTheme="minorHAnsi" w:hAnsiTheme="minorHAnsi" w:cs="Arial"/>
          <w:sz w:val="20"/>
          <w:szCs w:val="20"/>
        </w:rPr>
        <w:footnoteRef/>
      </w:r>
      <w:r w:rsidRPr="007966E3">
        <w:rPr>
          <w:rFonts w:asciiTheme="minorHAnsi" w:hAnsiTheme="minorHAnsi" w:cs="Arial"/>
          <w:sz w:val="20"/>
          <w:szCs w:val="20"/>
        </w:rPr>
        <w:t xml:space="preserve"> </w:t>
      </w:r>
      <w:r w:rsidRPr="007966E3">
        <w:rPr>
          <w:rFonts w:asciiTheme="minorHAnsi" w:hAnsiTheme="minorHAnsi"/>
          <w:sz w:val="20"/>
          <w:szCs w:val="20"/>
        </w:rPr>
        <w:t xml:space="preserve">Park W et al. </w:t>
      </w:r>
      <w:proofErr w:type="spellStart"/>
      <w:r w:rsidRPr="007966E3">
        <w:rPr>
          <w:rFonts w:asciiTheme="minorHAnsi" w:hAnsiTheme="minorHAnsi"/>
          <w:sz w:val="20"/>
          <w:szCs w:val="20"/>
        </w:rPr>
        <w:t>BioDrugs</w:t>
      </w:r>
      <w:proofErr w:type="spellEnd"/>
      <w:r w:rsidRPr="007966E3">
        <w:rPr>
          <w:rFonts w:asciiTheme="minorHAnsi" w:hAnsiTheme="minorHAnsi"/>
          <w:sz w:val="20"/>
          <w:szCs w:val="20"/>
        </w:rPr>
        <w:t xml:space="preserve"> (2017) 31:369-377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C36E1" w:rsidRPr="008E0D90" w:rsidTr="00A06225">
      <w:trPr>
        <w:trHeight w:val="151"/>
      </w:trPr>
      <w:tc>
        <w:tcPr>
          <w:tcW w:w="2389" w:type="pct"/>
          <w:tcBorders>
            <w:top w:val="nil"/>
            <w:left w:val="nil"/>
            <w:bottom w:val="single" w:sz="4" w:space="0" w:color="4F81BD"/>
            <w:right w:val="nil"/>
          </w:tcBorders>
        </w:tcPr>
        <w:p w:rsidR="007C36E1" w:rsidRPr="00A06225" w:rsidRDefault="007C36E1">
          <w:pPr>
            <w:pStyle w:val="Header"/>
            <w:spacing w:line="276" w:lineRule="auto"/>
            <w:rPr>
              <w:rFonts w:ascii="Cambria" w:eastAsia="MS Gothic" w:hAnsi="Cambria"/>
              <w:b/>
              <w:bCs/>
              <w:color w:val="4F81BD"/>
            </w:rPr>
          </w:pPr>
        </w:p>
      </w:tc>
      <w:tc>
        <w:tcPr>
          <w:tcW w:w="333" w:type="pct"/>
          <w:vMerge w:val="restart"/>
          <w:noWrap/>
          <w:vAlign w:val="center"/>
          <w:hideMark/>
        </w:tcPr>
        <w:p w:rsidR="007C36E1" w:rsidRPr="00A06225" w:rsidRDefault="007C36E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C36E1" w:rsidRPr="00A06225" w:rsidRDefault="007C36E1">
          <w:pPr>
            <w:pStyle w:val="Header"/>
            <w:spacing w:line="276" w:lineRule="auto"/>
            <w:rPr>
              <w:rFonts w:ascii="Cambria" w:eastAsia="MS Gothic" w:hAnsi="Cambria"/>
              <w:b/>
              <w:bCs/>
              <w:color w:val="4F81BD"/>
            </w:rPr>
          </w:pPr>
        </w:p>
      </w:tc>
    </w:tr>
    <w:tr w:rsidR="007C36E1" w:rsidRPr="008E0D90" w:rsidTr="00A06225">
      <w:trPr>
        <w:trHeight w:val="150"/>
      </w:trPr>
      <w:tc>
        <w:tcPr>
          <w:tcW w:w="2389" w:type="pct"/>
          <w:tcBorders>
            <w:top w:val="single" w:sz="4" w:space="0" w:color="4F81BD"/>
            <w:left w:val="nil"/>
            <w:bottom w:val="nil"/>
            <w:right w:val="nil"/>
          </w:tcBorders>
        </w:tcPr>
        <w:p w:rsidR="007C36E1" w:rsidRPr="00A06225" w:rsidRDefault="007C36E1">
          <w:pPr>
            <w:pStyle w:val="Header"/>
            <w:spacing w:line="276" w:lineRule="auto"/>
            <w:rPr>
              <w:rFonts w:ascii="Cambria" w:eastAsia="MS Gothic" w:hAnsi="Cambria"/>
              <w:b/>
              <w:bCs/>
              <w:color w:val="4F81BD"/>
            </w:rPr>
          </w:pPr>
        </w:p>
      </w:tc>
      <w:tc>
        <w:tcPr>
          <w:tcW w:w="0" w:type="auto"/>
          <w:vMerge/>
          <w:vAlign w:val="center"/>
          <w:hideMark/>
        </w:tcPr>
        <w:p w:rsidR="007C36E1" w:rsidRPr="00A06225" w:rsidRDefault="007C36E1">
          <w:pPr>
            <w:rPr>
              <w:rFonts w:ascii="Cambria" w:hAnsi="Cambria"/>
              <w:color w:val="4F81BD"/>
              <w:sz w:val="22"/>
              <w:szCs w:val="22"/>
            </w:rPr>
          </w:pPr>
        </w:p>
      </w:tc>
      <w:tc>
        <w:tcPr>
          <w:tcW w:w="2278" w:type="pct"/>
          <w:tcBorders>
            <w:top w:val="single" w:sz="4" w:space="0" w:color="4F81BD"/>
            <w:left w:val="nil"/>
            <w:bottom w:val="nil"/>
            <w:right w:val="nil"/>
          </w:tcBorders>
        </w:tcPr>
        <w:p w:rsidR="007C36E1" w:rsidRPr="00A06225" w:rsidRDefault="007C36E1">
          <w:pPr>
            <w:pStyle w:val="Header"/>
            <w:spacing w:line="276" w:lineRule="auto"/>
            <w:rPr>
              <w:rFonts w:ascii="Cambria" w:eastAsia="MS Gothic" w:hAnsi="Cambria"/>
              <w:b/>
              <w:bCs/>
              <w:color w:val="4F81BD"/>
            </w:rPr>
          </w:pPr>
        </w:p>
      </w:tc>
    </w:tr>
  </w:tbl>
  <w:p w:rsidR="007C36E1" w:rsidRDefault="007C36E1">
    <w:pPr>
      <w:pStyle w:val="Header"/>
    </w:pPr>
  </w:p>
  <w:p w:rsidR="007C36E1" w:rsidRDefault="007C36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E1" w:rsidRPr="00E430D7" w:rsidRDefault="00EF1911" w:rsidP="00EF1911">
    <w:pPr>
      <w:pStyle w:val="Header"/>
      <w:ind w:left="360"/>
      <w:jc w:val="center"/>
      <w:rPr>
        <w:rFonts w:asciiTheme="minorHAnsi" w:hAnsiTheme="minorHAnsi" w:cs="Arial"/>
        <w:i/>
        <w:color w:val="808080"/>
      </w:rPr>
    </w:pPr>
    <w:r>
      <w:rPr>
        <w:rFonts w:asciiTheme="minorHAnsi" w:hAnsiTheme="minorHAnsi" w:cs="Arial"/>
        <w:i/>
        <w:color w:val="808080"/>
      </w:rPr>
      <w:t>Public Summary Document</w:t>
    </w:r>
    <w:r w:rsidR="007C36E1" w:rsidRPr="00E430D7">
      <w:rPr>
        <w:rFonts w:asciiTheme="minorHAnsi" w:hAnsiTheme="minorHAnsi" w:cs="Arial"/>
        <w:i/>
        <w:color w:val="808080"/>
      </w:rPr>
      <w:t xml:space="preserve"> – March 2019 PBAC Meeting</w:t>
    </w:r>
  </w:p>
  <w:p w:rsidR="007C36E1" w:rsidRPr="002B5596" w:rsidRDefault="007C36E1" w:rsidP="00C27B58">
    <w:pPr>
      <w:pStyle w:val="Header"/>
      <w:jc w:val="right"/>
      <w:rPr>
        <w:rFonts w:asciiTheme="minorHAnsi" w:hAnsiTheme="minorHAnsi"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9553520"/>
    <w:multiLevelType w:val="hybridMultilevel"/>
    <w:tmpl w:val="928A2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9C86691"/>
    <w:multiLevelType w:val="hybridMultilevel"/>
    <w:tmpl w:val="4CB8B43A"/>
    <w:lvl w:ilvl="0" w:tplc="CBC26CD2">
      <w:start w:val="1"/>
      <w:numFmt w:val="bullet"/>
      <w:lvlText w:val="•"/>
      <w:lvlJc w:val="left"/>
      <w:pPr>
        <w:tabs>
          <w:tab w:val="num" w:pos="720"/>
        </w:tabs>
        <w:ind w:left="720" w:hanging="360"/>
      </w:pPr>
      <w:rPr>
        <w:rFonts w:ascii="Times New Roman" w:hAnsi="Times New Roman" w:hint="default"/>
      </w:rPr>
    </w:lvl>
    <w:lvl w:ilvl="1" w:tplc="2806E1E2" w:tentative="1">
      <w:start w:val="1"/>
      <w:numFmt w:val="bullet"/>
      <w:lvlText w:val="•"/>
      <w:lvlJc w:val="left"/>
      <w:pPr>
        <w:tabs>
          <w:tab w:val="num" w:pos="1440"/>
        </w:tabs>
        <w:ind w:left="1440" w:hanging="360"/>
      </w:pPr>
      <w:rPr>
        <w:rFonts w:ascii="Times New Roman" w:hAnsi="Times New Roman" w:hint="default"/>
      </w:rPr>
    </w:lvl>
    <w:lvl w:ilvl="2" w:tplc="2F2E5624" w:tentative="1">
      <w:start w:val="1"/>
      <w:numFmt w:val="bullet"/>
      <w:lvlText w:val="•"/>
      <w:lvlJc w:val="left"/>
      <w:pPr>
        <w:tabs>
          <w:tab w:val="num" w:pos="2160"/>
        </w:tabs>
        <w:ind w:left="2160" w:hanging="360"/>
      </w:pPr>
      <w:rPr>
        <w:rFonts w:ascii="Times New Roman" w:hAnsi="Times New Roman" w:hint="default"/>
      </w:rPr>
    </w:lvl>
    <w:lvl w:ilvl="3" w:tplc="192043B8" w:tentative="1">
      <w:start w:val="1"/>
      <w:numFmt w:val="bullet"/>
      <w:lvlText w:val="•"/>
      <w:lvlJc w:val="left"/>
      <w:pPr>
        <w:tabs>
          <w:tab w:val="num" w:pos="2880"/>
        </w:tabs>
        <w:ind w:left="2880" w:hanging="360"/>
      </w:pPr>
      <w:rPr>
        <w:rFonts w:ascii="Times New Roman" w:hAnsi="Times New Roman" w:hint="default"/>
      </w:rPr>
    </w:lvl>
    <w:lvl w:ilvl="4" w:tplc="6922A9DE" w:tentative="1">
      <w:start w:val="1"/>
      <w:numFmt w:val="bullet"/>
      <w:lvlText w:val="•"/>
      <w:lvlJc w:val="left"/>
      <w:pPr>
        <w:tabs>
          <w:tab w:val="num" w:pos="3600"/>
        </w:tabs>
        <w:ind w:left="3600" w:hanging="360"/>
      </w:pPr>
      <w:rPr>
        <w:rFonts w:ascii="Times New Roman" w:hAnsi="Times New Roman" w:hint="default"/>
      </w:rPr>
    </w:lvl>
    <w:lvl w:ilvl="5" w:tplc="5D889832" w:tentative="1">
      <w:start w:val="1"/>
      <w:numFmt w:val="bullet"/>
      <w:lvlText w:val="•"/>
      <w:lvlJc w:val="left"/>
      <w:pPr>
        <w:tabs>
          <w:tab w:val="num" w:pos="4320"/>
        </w:tabs>
        <w:ind w:left="4320" w:hanging="360"/>
      </w:pPr>
      <w:rPr>
        <w:rFonts w:ascii="Times New Roman" w:hAnsi="Times New Roman" w:hint="default"/>
      </w:rPr>
    </w:lvl>
    <w:lvl w:ilvl="6" w:tplc="35F41F92" w:tentative="1">
      <w:start w:val="1"/>
      <w:numFmt w:val="bullet"/>
      <w:lvlText w:val="•"/>
      <w:lvlJc w:val="left"/>
      <w:pPr>
        <w:tabs>
          <w:tab w:val="num" w:pos="5040"/>
        </w:tabs>
        <w:ind w:left="5040" w:hanging="360"/>
      </w:pPr>
      <w:rPr>
        <w:rFonts w:ascii="Times New Roman" w:hAnsi="Times New Roman" w:hint="default"/>
      </w:rPr>
    </w:lvl>
    <w:lvl w:ilvl="7" w:tplc="7610AF88" w:tentative="1">
      <w:start w:val="1"/>
      <w:numFmt w:val="bullet"/>
      <w:lvlText w:val="•"/>
      <w:lvlJc w:val="left"/>
      <w:pPr>
        <w:tabs>
          <w:tab w:val="num" w:pos="5760"/>
        </w:tabs>
        <w:ind w:left="5760" w:hanging="360"/>
      </w:pPr>
      <w:rPr>
        <w:rFonts w:ascii="Times New Roman" w:hAnsi="Times New Roman" w:hint="default"/>
      </w:rPr>
    </w:lvl>
    <w:lvl w:ilvl="8" w:tplc="901CE4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0462001"/>
    <w:multiLevelType w:val="hybridMultilevel"/>
    <w:tmpl w:val="F28CA54E"/>
    <w:lvl w:ilvl="0" w:tplc="0C090001">
      <w:start w:val="1"/>
      <w:numFmt w:val="bullet"/>
      <w:lvlText w:val=""/>
      <w:lvlJc w:val="left"/>
      <w:pPr>
        <w:ind w:left="720" w:hanging="360"/>
      </w:pPr>
      <w:rPr>
        <w:rFonts w:ascii="Symbol" w:hAnsi="Symbol" w:hint="default"/>
      </w:rPr>
    </w:lvl>
    <w:lvl w:ilvl="1" w:tplc="1A4E79B8">
      <w:numFmt w:val="bullet"/>
      <w:lvlText w:val="•"/>
      <w:lvlJc w:val="left"/>
      <w:pPr>
        <w:ind w:left="1440" w:hanging="360"/>
      </w:pPr>
      <w:rPr>
        <w:rFonts w:ascii="Calibri" w:eastAsiaTheme="majorEastAsia" w:hAnsi="Calibri" w:cstheme="maj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657974"/>
    <w:multiLevelType w:val="multilevel"/>
    <w:tmpl w:val="3C863296"/>
    <w:lvl w:ilvl="0">
      <w:start w:val="1"/>
      <w:numFmt w:val="bullet"/>
      <w:lvlText w:val=""/>
      <w:lvlJc w:val="left"/>
      <w:pPr>
        <w:ind w:left="2160" w:hanging="720"/>
      </w:pPr>
      <w:rPr>
        <w:rFonts w:ascii="Symbol" w:hAnsi="Symbol" w:hint="default"/>
        <w:b/>
      </w:rPr>
    </w:lvl>
    <w:lvl w:ilvl="1">
      <w:start w:val="1"/>
      <w:numFmt w:val="decimal"/>
      <w:lvlText w:val="%1.%2"/>
      <w:lvlJc w:val="left"/>
      <w:pPr>
        <w:ind w:left="216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DD42261"/>
    <w:multiLevelType w:val="multilevel"/>
    <w:tmpl w:val="3D204E1A"/>
    <w:lvl w:ilvl="0">
      <w:start w:val="1"/>
      <w:numFmt w:val="bullet"/>
      <w:lvlText w:val=""/>
      <w:lvlJc w:val="left"/>
      <w:pPr>
        <w:ind w:left="2160" w:hanging="720"/>
      </w:pPr>
      <w:rPr>
        <w:rFonts w:ascii="Symbol" w:hAnsi="Symbol" w:hint="default"/>
        <w:b/>
      </w:rPr>
    </w:lvl>
    <w:lvl w:ilvl="1">
      <w:start w:val="1"/>
      <w:numFmt w:val="decimal"/>
      <w:lvlText w:val="%1.%2"/>
      <w:lvlJc w:val="left"/>
      <w:pPr>
        <w:ind w:left="216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585355F"/>
    <w:multiLevelType w:val="multilevel"/>
    <w:tmpl w:val="338C0A5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F51F80"/>
    <w:multiLevelType w:val="hybridMultilevel"/>
    <w:tmpl w:val="367C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9B74D02"/>
    <w:multiLevelType w:val="hybridMultilevel"/>
    <w:tmpl w:val="342E23F6"/>
    <w:lvl w:ilvl="0" w:tplc="EED062B6">
      <w:start w:val="1"/>
      <w:numFmt w:val="bullet"/>
      <w:lvlText w:val="•"/>
      <w:lvlJc w:val="left"/>
      <w:pPr>
        <w:tabs>
          <w:tab w:val="num" w:pos="720"/>
        </w:tabs>
        <w:ind w:left="720" w:hanging="360"/>
      </w:pPr>
      <w:rPr>
        <w:rFonts w:ascii="Times New Roman" w:hAnsi="Times New Roman" w:hint="default"/>
      </w:rPr>
    </w:lvl>
    <w:lvl w:ilvl="1" w:tplc="3544D00E" w:tentative="1">
      <w:start w:val="1"/>
      <w:numFmt w:val="bullet"/>
      <w:lvlText w:val="•"/>
      <w:lvlJc w:val="left"/>
      <w:pPr>
        <w:tabs>
          <w:tab w:val="num" w:pos="1440"/>
        </w:tabs>
        <w:ind w:left="1440" w:hanging="360"/>
      </w:pPr>
      <w:rPr>
        <w:rFonts w:ascii="Times New Roman" w:hAnsi="Times New Roman" w:hint="default"/>
      </w:rPr>
    </w:lvl>
    <w:lvl w:ilvl="2" w:tplc="5A143F3E" w:tentative="1">
      <w:start w:val="1"/>
      <w:numFmt w:val="bullet"/>
      <w:lvlText w:val="•"/>
      <w:lvlJc w:val="left"/>
      <w:pPr>
        <w:tabs>
          <w:tab w:val="num" w:pos="2160"/>
        </w:tabs>
        <w:ind w:left="2160" w:hanging="360"/>
      </w:pPr>
      <w:rPr>
        <w:rFonts w:ascii="Times New Roman" w:hAnsi="Times New Roman" w:hint="default"/>
      </w:rPr>
    </w:lvl>
    <w:lvl w:ilvl="3" w:tplc="886C26B0" w:tentative="1">
      <w:start w:val="1"/>
      <w:numFmt w:val="bullet"/>
      <w:lvlText w:val="•"/>
      <w:lvlJc w:val="left"/>
      <w:pPr>
        <w:tabs>
          <w:tab w:val="num" w:pos="2880"/>
        </w:tabs>
        <w:ind w:left="2880" w:hanging="360"/>
      </w:pPr>
      <w:rPr>
        <w:rFonts w:ascii="Times New Roman" w:hAnsi="Times New Roman" w:hint="default"/>
      </w:rPr>
    </w:lvl>
    <w:lvl w:ilvl="4" w:tplc="970AFAC2" w:tentative="1">
      <w:start w:val="1"/>
      <w:numFmt w:val="bullet"/>
      <w:lvlText w:val="•"/>
      <w:lvlJc w:val="left"/>
      <w:pPr>
        <w:tabs>
          <w:tab w:val="num" w:pos="3600"/>
        </w:tabs>
        <w:ind w:left="3600" w:hanging="360"/>
      </w:pPr>
      <w:rPr>
        <w:rFonts w:ascii="Times New Roman" w:hAnsi="Times New Roman" w:hint="default"/>
      </w:rPr>
    </w:lvl>
    <w:lvl w:ilvl="5" w:tplc="7520CD04" w:tentative="1">
      <w:start w:val="1"/>
      <w:numFmt w:val="bullet"/>
      <w:lvlText w:val="•"/>
      <w:lvlJc w:val="left"/>
      <w:pPr>
        <w:tabs>
          <w:tab w:val="num" w:pos="4320"/>
        </w:tabs>
        <w:ind w:left="4320" w:hanging="360"/>
      </w:pPr>
      <w:rPr>
        <w:rFonts w:ascii="Times New Roman" w:hAnsi="Times New Roman" w:hint="default"/>
      </w:rPr>
    </w:lvl>
    <w:lvl w:ilvl="6" w:tplc="C79A1C7A" w:tentative="1">
      <w:start w:val="1"/>
      <w:numFmt w:val="bullet"/>
      <w:lvlText w:val="•"/>
      <w:lvlJc w:val="left"/>
      <w:pPr>
        <w:tabs>
          <w:tab w:val="num" w:pos="5040"/>
        </w:tabs>
        <w:ind w:left="5040" w:hanging="360"/>
      </w:pPr>
      <w:rPr>
        <w:rFonts w:ascii="Times New Roman" w:hAnsi="Times New Roman" w:hint="default"/>
      </w:rPr>
    </w:lvl>
    <w:lvl w:ilvl="7" w:tplc="D5060580" w:tentative="1">
      <w:start w:val="1"/>
      <w:numFmt w:val="bullet"/>
      <w:lvlText w:val="•"/>
      <w:lvlJc w:val="left"/>
      <w:pPr>
        <w:tabs>
          <w:tab w:val="num" w:pos="5760"/>
        </w:tabs>
        <w:ind w:left="5760" w:hanging="360"/>
      </w:pPr>
      <w:rPr>
        <w:rFonts w:ascii="Times New Roman" w:hAnsi="Times New Roman" w:hint="default"/>
      </w:rPr>
    </w:lvl>
    <w:lvl w:ilvl="8" w:tplc="616862E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4D033C"/>
    <w:multiLevelType w:val="multilevel"/>
    <w:tmpl w:val="06203D2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8"/>
  </w:num>
  <w:num w:numId="4">
    <w:abstractNumId w:val="21"/>
  </w:num>
  <w:num w:numId="5">
    <w:abstractNumId w:val="26"/>
  </w:num>
  <w:num w:numId="6">
    <w:abstractNumId w:val="9"/>
  </w:num>
  <w:num w:numId="7">
    <w:abstractNumId w:val="16"/>
  </w:num>
  <w:num w:numId="8">
    <w:abstractNumId w:val="4"/>
  </w:num>
  <w:num w:numId="9">
    <w:abstractNumId w:val="15"/>
  </w:num>
  <w:num w:numId="10">
    <w:abstractNumId w:val="14"/>
  </w:num>
  <w:num w:numId="11">
    <w:abstractNumId w:val="12"/>
  </w:num>
  <w:num w:numId="12">
    <w:abstractNumId w:val="1"/>
  </w:num>
  <w:num w:numId="13">
    <w:abstractNumId w:val="0"/>
  </w:num>
  <w:num w:numId="14">
    <w:abstractNumId w:val="26"/>
  </w:num>
  <w:num w:numId="15">
    <w:abstractNumId w:val="17"/>
  </w:num>
  <w:num w:numId="16">
    <w:abstractNumId w:val="18"/>
  </w:num>
  <w:num w:numId="17">
    <w:abstractNumId w:val="13"/>
  </w:num>
  <w:num w:numId="18">
    <w:abstractNumId w:val="20"/>
  </w:num>
  <w:num w:numId="19">
    <w:abstractNumId w:val="19"/>
  </w:num>
  <w:num w:numId="20">
    <w:abstractNumId w:val="22"/>
  </w:num>
  <w:num w:numId="21">
    <w:abstractNumId w:val="23"/>
  </w:num>
  <w:num w:numId="22">
    <w:abstractNumId w:val="7"/>
  </w:num>
  <w:num w:numId="23">
    <w:abstractNumId w:val="2"/>
  </w:num>
  <w:num w:numId="24">
    <w:abstractNumId w:val="11"/>
  </w:num>
  <w:num w:numId="25">
    <w:abstractNumId w:val="5"/>
  </w:num>
  <w:num w:numId="26">
    <w:abstractNumId w:val="6"/>
  </w:num>
  <w:num w:numId="27">
    <w:abstractNumId w:val="25"/>
  </w:num>
  <w:num w:numId="2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23F9"/>
    <w:rsid w:val="0002464A"/>
    <w:rsid w:val="0003106B"/>
    <w:rsid w:val="00040D24"/>
    <w:rsid w:val="000421A1"/>
    <w:rsid w:val="0004240E"/>
    <w:rsid w:val="00045E26"/>
    <w:rsid w:val="000514B5"/>
    <w:rsid w:val="00060E64"/>
    <w:rsid w:val="00066755"/>
    <w:rsid w:val="000711A4"/>
    <w:rsid w:val="00077143"/>
    <w:rsid w:val="00082169"/>
    <w:rsid w:val="00096527"/>
    <w:rsid w:val="000969AD"/>
    <w:rsid w:val="000A29B1"/>
    <w:rsid w:val="000B558D"/>
    <w:rsid w:val="000B5D9A"/>
    <w:rsid w:val="000C6996"/>
    <w:rsid w:val="000D23BA"/>
    <w:rsid w:val="000D3D1D"/>
    <w:rsid w:val="000D62C0"/>
    <w:rsid w:val="000E02D4"/>
    <w:rsid w:val="000E4B34"/>
    <w:rsid w:val="000E5EDC"/>
    <w:rsid w:val="000E681E"/>
    <w:rsid w:val="000F0003"/>
    <w:rsid w:val="000F4E6A"/>
    <w:rsid w:val="00101553"/>
    <w:rsid w:val="00104227"/>
    <w:rsid w:val="0010546C"/>
    <w:rsid w:val="001107BF"/>
    <w:rsid w:val="001115CE"/>
    <w:rsid w:val="001126B9"/>
    <w:rsid w:val="00117142"/>
    <w:rsid w:val="0011752B"/>
    <w:rsid w:val="0012417C"/>
    <w:rsid w:val="00142395"/>
    <w:rsid w:val="00142714"/>
    <w:rsid w:val="00142DDB"/>
    <w:rsid w:val="001452ED"/>
    <w:rsid w:val="0015565D"/>
    <w:rsid w:val="00163329"/>
    <w:rsid w:val="00164623"/>
    <w:rsid w:val="00165B64"/>
    <w:rsid w:val="00167A56"/>
    <w:rsid w:val="00180713"/>
    <w:rsid w:val="001830CE"/>
    <w:rsid w:val="0018643B"/>
    <w:rsid w:val="0019404E"/>
    <w:rsid w:val="00196307"/>
    <w:rsid w:val="001A33EA"/>
    <w:rsid w:val="001A5A49"/>
    <w:rsid w:val="001B017F"/>
    <w:rsid w:val="001B2BBC"/>
    <w:rsid w:val="001B5129"/>
    <w:rsid w:val="001C0293"/>
    <w:rsid w:val="001C1195"/>
    <w:rsid w:val="001C2312"/>
    <w:rsid w:val="001C5D17"/>
    <w:rsid w:val="001D17E8"/>
    <w:rsid w:val="001D55C6"/>
    <w:rsid w:val="001D66FF"/>
    <w:rsid w:val="001E2BDB"/>
    <w:rsid w:val="001F1850"/>
    <w:rsid w:val="00201603"/>
    <w:rsid w:val="00203FAC"/>
    <w:rsid w:val="00205FE9"/>
    <w:rsid w:val="002064A8"/>
    <w:rsid w:val="00206E35"/>
    <w:rsid w:val="00213CFB"/>
    <w:rsid w:val="00214633"/>
    <w:rsid w:val="00217BE1"/>
    <w:rsid w:val="002271B6"/>
    <w:rsid w:val="00233CB9"/>
    <w:rsid w:val="00237E2A"/>
    <w:rsid w:val="00243B0B"/>
    <w:rsid w:val="00255251"/>
    <w:rsid w:val="00265ACA"/>
    <w:rsid w:val="00271BA1"/>
    <w:rsid w:val="00274519"/>
    <w:rsid w:val="002762FA"/>
    <w:rsid w:val="00277505"/>
    <w:rsid w:val="0028378C"/>
    <w:rsid w:val="0028694D"/>
    <w:rsid w:val="00294434"/>
    <w:rsid w:val="0029458F"/>
    <w:rsid w:val="002973B3"/>
    <w:rsid w:val="002A104C"/>
    <w:rsid w:val="002A2B3B"/>
    <w:rsid w:val="002A4960"/>
    <w:rsid w:val="002B1AE6"/>
    <w:rsid w:val="002B2DE8"/>
    <w:rsid w:val="002B30F8"/>
    <w:rsid w:val="002B5596"/>
    <w:rsid w:val="002C212F"/>
    <w:rsid w:val="002D4543"/>
    <w:rsid w:val="002E3153"/>
    <w:rsid w:val="002E72CA"/>
    <w:rsid w:val="002F21BB"/>
    <w:rsid w:val="002F600D"/>
    <w:rsid w:val="00300A6C"/>
    <w:rsid w:val="00300AD6"/>
    <w:rsid w:val="00307BC2"/>
    <w:rsid w:val="003134B4"/>
    <w:rsid w:val="0031455E"/>
    <w:rsid w:val="00317C6C"/>
    <w:rsid w:val="00320AEF"/>
    <w:rsid w:val="00326E79"/>
    <w:rsid w:val="00331CF8"/>
    <w:rsid w:val="00331F1A"/>
    <w:rsid w:val="0033518A"/>
    <w:rsid w:val="003367EF"/>
    <w:rsid w:val="00341AE4"/>
    <w:rsid w:val="00357828"/>
    <w:rsid w:val="00363BE1"/>
    <w:rsid w:val="00376B49"/>
    <w:rsid w:val="003872CF"/>
    <w:rsid w:val="0039782C"/>
    <w:rsid w:val="003A5B4A"/>
    <w:rsid w:val="003B1E12"/>
    <w:rsid w:val="003B23C5"/>
    <w:rsid w:val="003B2A75"/>
    <w:rsid w:val="003B394A"/>
    <w:rsid w:val="003B3BEF"/>
    <w:rsid w:val="003B4960"/>
    <w:rsid w:val="003B6124"/>
    <w:rsid w:val="003C2FB5"/>
    <w:rsid w:val="003C5D3F"/>
    <w:rsid w:val="003C7875"/>
    <w:rsid w:val="003D178A"/>
    <w:rsid w:val="003D2436"/>
    <w:rsid w:val="003D4AC4"/>
    <w:rsid w:val="003D63B7"/>
    <w:rsid w:val="003E468B"/>
    <w:rsid w:val="003E7527"/>
    <w:rsid w:val="003E77D9"/>
    <w:rsid w:val="003F038C"/>
    <w:rsid w:val="003F3228"/>
    <w:rsid w:val="003F333C"/>
    <w:rsid w:val="003F5C8C"/>
    <w:rsid w:val="00402EAC"/>
    <w:rsid w:val="00417C26"/>
    <w:rsid w:val="00421205"/>
    <w:rsid w:val="00422709"/>
    <w:rsid w:val="004252EC"/>
    <w:rsid w:val="0044127D"/>
    <w:rsid w:val="00443047"/>
    <w:rsid w:val="004465BD"/>
    <w:rsid w:val="00466ADA"/>
    <w:rsid w:val="00473E2F"/>
    <w:rsid w:val="00476245"/>
    <w:rsid w:val="004814D7"/>
    <w:rsid w:val="00483035"/>
    <w:rsid w:val="00485940"/>
    <w:rsid w:val="0048781B"/>
    <w:rsid w:val="004932DA"/>
    <w:rsid w:val="004A2484"/>
    <w:rsid w:val="004A3783"/>
    <w:rsid w:val="004A5A85"/>
    <w:rsid w:val="004A71D1"/>
    <w:rsid w:val="004B11D9"/>
    <w:rsid w:val="004B5640"/>
    <w:rsid w:val="004C1BD7"/>
    <w:rsid w:val="004C31FE"/>
    <w:rsid w:val="004C691D"/>
    <w:rsid w:val="004C6C07"/>
    <w:rsid w:val="004E692D"/>
    <w:rsid w:val="004F2B5B"/>
    <w:rsid w:val="0050015F"/>
    <w:rsid w:val="00500FAA"/>
    <w:rsid w:val="00501554"/>
    <w:rsid w:val="00501D58"/>
    <w:rsid w:val="00504EF8"/>
    <w:rsid w:val="00514CD7"/>
    <w:rsid w:val="005319B2"/>
    <w:rsid w:val="00532402"/>
    <w:rsid w:val="00532C74"/>
    <w:rsid w:val="00534E2E"/>
    <w:rsid w:val="005375A3"/>
    <w:rsid w:val="00544552"/>
    <w:rsid w:val="0056361F"/>
    <w:rsid w:val="0056363E"/>
    <w:rsid w:val="00577C4D"/>
    <w:rsid w:val="00581932"/>
    <w:rsid w:val="005846BD"/>
    <w:rsid w:val="0058738C"/>
    <w:rsid w:val="005963BB"/>
    <w:rsid w:val="005A3173"/>
    <w:rsid w:val="005A3223"/>
    <w:rsid w:val="005A3DA3"/>
    <w:rsid w:val="005A52C4"/>
    <w:rsid w:val="005A6B1A"/>
    <w:rsid w:val="005B7BBD"/>
    <w:rsid w:val="005C0033"/>
    <w:rsid w:val="005C42F6"/>
    <w:rsid w:val="005C46B1"/>
    <w:rsid w:val="005D03AB"/>
    <w:rsid w:val="005D04C9"/>
    <w:rsid w:val="005D46C8"/>
    <w:rsid w:val="005D5017"/>
    <w:rsid w:val="005E1333"/>
    <w:rsid w:val="005E6E52"/>
    <w:rsid w:val="005F2E85"/>
    <w:rsid w:val="005F4397"/>
    <w:rsid w:val="00601A91"/>
    <w:rsid w:val="00602BA3"/>
    <w:rsid w:val="00606EED"/>
    <w:rsid w:val="006107E9"/>
    <w:rsid w:val="00612E34"/>
    <w:rsid w:val="00614159"/>
    <w:rsid w:val="00614307"/>
    <w:rsid w:val="00617C00"/>
    <w:rsid w:val="006263BF"/>
    <w:rsid w:val="0062748A"/>
    <w:rsid w:val="00630A2C"/>
    <w:rsid w:val="0063682E"/>
    <w:rsid w:val="0064176B"/>
    <w:rsid w:val="006436CD"/>
    <w:rsid w:val="00647E30"/>
    <w:rsid w:val="00651169"/>
    <w:rsid w:val="00653D69"/>
    <w:rsid w:val="0066326C"/>
    <w:rsid w:val="006670BE"/>
    <w:rsid w:val="00667BC0"/>
    <w:rsid w:val="00670A76"/>
    <w:rsid w:val="006711AA"/>
    <w:rsid w:val="00672B57"/>
    <w:rsid w:val="00675622"/>
    <w:rsid w:val="0067747D"/>
    <w:rsid w:val="00680D17"/>
    <w:rsid w:val="00683A43"/>
    <w:rsid w:val="006906DB"/>
    <w:rsid w:val="00691E6C"/>
    <w:rsid w:val="0069354F"/>
    <w:rsid w:val="006944B6"/>
    <w:rsid w:val="0069461C"/>
    <w:rsid w:val="00696129"/>
    <w:rsid w:val="00697CF2"/>
    <w:rsid w:val="006A12A5"/>
    <w:rsid w:val="006A7DC0"/>
    <w:rsid w:val="006B0D94"/>
    <w:rsid w:val="006B485D"/>
    <w:rsid w:val="006C708E"/>
    <w:rsid w:val="006C7D95"/>
    <w:rsid w:val="006D14E7"/>
    <w:rsid w:val="006D6493"/>
    <w:rsid w:val="006D6EC7"/>
    <w:rsid w:val="006E6700"/>
    <w:rsid w:val="006F1002"/>
    <w:rsid w:val="006F3359"/>
    <w:rsid w:val="006F5125"/>
    <w:rsid w:val="00702B6F"/>
    <w:rsid w:val="007069BF"/>
    <w:rsid w:val="0071340B"/>
    <w:rsid w:val="007174BB"/>
    <w:rsid w:val="0071767D"/>
    <w:rsid w:val="0072025D"/>
    <w:rsid w:val="007316F1"/>
    <w:rsid w:val="00732506"/>
    <w:rsid w:val="007353D3"/>
    <w:rsid w:val="00760594"/>
    <w:rsid w:val="0076420C"/>
    <w:rsid w:val="00767750"/>
    <w:rsid w:val="007753C2"/>
    <w:rsid w:val="00776549"/>
    <w:rsid w:val="007838B8"/>
    <w:rsid w:val="007A0E0F"/>
    <w:rsid w:val="007C0F57"/>
    <w:rsid w:val="007C36E1"/>
    <w:rsid w:val="007C40B6"/>
    <w:rsid w:val="007C562C"/>
    <w:rsid w:val="007C64AA"/>
    <w:rsid w:val="007C729F"/>
    <w:rsid w:val="007C75A0"/>
    <w:rsid w:val="007C7D58"/>
    <w:rsid w:val="007E1D28"/>
    <w:rsid w:val="007F2641"/>
    <w:rsid w:val="007F7C36"/>
    <w:rsid w:val="0080182E"/>
    <w:rsid w:val="00805390"/>
    <w:rsid w:val="00806796"/>
    <w:rsid w:val="00811878"/>
    <w:rsid w:val="0081451E"/>
    <w:rsid w:val="008151D6"/>
    <w:rsid w:val="00823CEE"/>
    <w:rsid w:val="00826F6D"/>
    <w:rsid w:val="008306F3"/>
    <w:rsid w:val="0083353C"/>
    <w:rsid w:val="00841085"/>
    <w:rsid w:val="00853322"/>
    <w:rsid w:val="00855B22"/>
    <w:rsid w:val="00855C06"/>
    <w:rsid w:val="00856DDD"/>
    <w:rsid w:val="00860BA4"/>
    <w:rsid w:val="00863CE2"/>
    <w:rsid w:val="00863E68"/>
    <w:rsid w:val="00882085"/>
    <w:rsid w:val="00883188"/>
    <w:rsid w:val="00886E4E"/>
    <w:rsid w:val="00897D58"/>
    <w:rsid w:val="00897F22"/>
    <w:rsid w:val="008A1956"/>
    <w:rsid w:val="008A4937"/>
    <w:rsid w:val="008A50F1"/>
    <w:rsid w:val="008A5544"/>
    <w:rsid w:val="008B1676"/>
    <w:rsid w:val="008B44F2"/>
    <w:rsid w:val="008B4DEA"/>
    <w:rsid w:val="008B5DB6"/>
    <w:rsid w:val="008C01BE"/>
    <w:rsid w:val="008D1B5C"/>
    <w:rsid w:val="008D2F5B"/>
    <w:rsid w:val="008D3C82"/>
    <w:rsid w:val="008D447E"/>
    <w:rsid w:val="008D7A41"/>
    <w:rsid w:val="008E0139"/>
    <w:rsid w:val="008E3680"/>
    <w:rsid w:val="008E4E71"/>
    <w:rsid w:val="008E5870"/>
    <w:rsid w:val="008E7089"/>
    <w:rsid w:val="008F1434"/>
    <w:rsid w:val="008F308D"/>
    <w:rsid w:val="008F7355"/>
    <w:rsid w:val="00903EF0"/>
    <w:rsid w:val="00905C82"/>
    <w:rsid w:val="00906477"/>
    <w:rsid w:val="009067B7"/>
    <w:rsid w:val="0090757E"/>
    <w:rsid w:val="009133C3"/>
    <w:rsid w:val="00917286"/>
    <w:rsid w:val="00930937"/>
    <w:rsid w:val="00930C40"/>
    <w:rsid w:val="0093220E"/>
    <w:rsid w:val="00933E6C"/>
    <w:rsid w:val="00937958"/>
    <w:rsid w:val="00942160"/>
    <w:rsid w:val="009475A6"/>
    <w:rsid w:val="0095146F"/>
    <w:rsid w:val="009602C5"/>
    <w:rsid w:val="00960448"/>
    <w:rsid w:val="00962223"/>
    <w:rsid w:val="00966D0D"/>
    <w:rsid w:val="00971618"/>
    <w:rsid w:val="00974C21"/>
    <w:rsid w:val="009A089D"/>
    <w:rsid w:val="009A6D17"/>
    <w:rsid w:val="009B0F67"/>
    <w:rsid w:val="009B41FC"/>
    <w:rsid w:val="009B60FB"/>
    <w:rsid w:val="009B7F76"/>
    <w:rsid w:val="009C5089"/>
    <w:rsid w:val="009C703C"/>
    <w:rsid w:val="009D3CAA"/>
    <w:rsid w:val="009E40E1"/>
    <w:rsid w:val="009F4E46"/>
    <w:rsid w:val="009F5B65"/>
    <w:rsid w:val="009F5F2E"/>
    <w:rsid w:val="009F6799"/>
    <w:rsid w:val="009F6A66"/>
    <w:rsid w:val="00A02627"/>
    <w:rsid w:val="00A06225"/>
    <w:rsid w:val="00A128E6"/>
    <w:rsid w:val="00A32F50"/>
    <w:rsid w:val="00A34367"/>
    <w:rsid w:val="00A34E6C"/>
    <w:rsid w:val="00A37C8D"/>
    <w:rsid w:val="00A5273B"/>
    <w:rsid w:val="00A53A9D"/>
    <w:rsid w:val="00A55FEE"/>
    <w:rsid w:val="00A57860"/>
    <w:rsid w:val="00A62C1A"/>
    <w:rsid w:val="00A6426D"/>
    <w:rsid w:val="00A665C1"/>
    <w:rsid w:val="00A70622"/>
    <w:rsid w:val="00A70977"/>
    <w:rsid w:val="00A77613"/>
    <w:rsid w:val="00A8390C"/>
    <w:rsid w:val="00A84E7A"/>
    <w:rsid w:val="00A87F78"/>
    <w:rsid w:val="00A928BD"/>
    <w:rsid w:val="00AA340B"/>
    <w:rsid w:val="00AA4D1C"/>
    <w:rsid w:val="00AB17AB"/>
    <w:rsid w:val="00AB626E"/>
    <w:rsid w:val="00AC193C"/>
    <w:rsid w:val="00AC2909"/>
    <w:rsid w:val="00AC2D51"/>
    <w:rsid w:val="00AC5206"/>
    <w:rsid w:val="00AC6D03"/>
    <w:rsid w:val="00AD4F12"/>
    <w:rsid w:val="00AD5687"/>
    <w:rsid w:val="00AE11A5"/>
    <w:rsid w:val="00AE13E2"/>
    <w:rsid w:val="00AE1B0E"/>
    <w:rsid w:val="00AE22D3"/>
    <w:rsid w:val="00AF010F"/>
    <w:rsid w:val="00AF5450"/>
    <w:rsid w:val="00AF62DF"/>
    <w:rsid w:val="00AF68CC"/>
    <w:rsid w:val="00AF7A5D"/>
    <w:rsid w:val="00B10249"/>
    <w:rsid w:val="00B1059E"/>
    <w:rsid w:val="00B11276"/>
    <w:rsid w:val="00B14E88"/>
    <w:rsid w:val="00B176C8"/>
    <w:rsid w:val="00B205AA"/>
    <w:rsid w:val="00B22E84"/>
    <w:rsid w:val="00B25F75"/>
    <w:rsid w:val="00B26B3F"/>
    <w:rsid w:val="00B323DC"/>
    <w:rsid w:val="00B43E90"/>
    <w:rsid w:val="00B467DC"/>
    <w:rsid w:val="00B56118"/>
    <w:rsid w:val="00B64874"/>
    <w:rsid w:val="00B6773F"/>
    <w:rsid w:val="00B801BA"/>
    <w:rsid w:val="00B830D4"/>
    <w:rsid w:val="00B84D5C"/>
    <w:rsid w:val="00B85C16"/>
    <w:rsid w:val="00BB0397"/>
    <w:rsid w:val="00BB296B"/>
    <w:rsid w:val="00BB69F5"/>
    <w:rsid w:val="00BB7EC3"/>
    <w:rsid w:val="00BC4B9A"/>
    <w:rsid w:val="00BD1334"/>
    <w:rsid w:val="00BD3AA9"/>
    <w:rsid w:val="00BD529D"/>
    <w:rsid w:val="00BD562D"/>
    <w:rsid w:val="00BD784C"/>
    <w:rsid w:val="00BF4CB6"/>
    <w:rsid w:val="00C00DA7"/>
    <w:rsid w:val="00C06CBB"/>
    <w:rsid w:val="00C12768"/>
    <w:rsid w:val="00C24B87"/>
    <w:rsid w:val="00C26821"/>
    <w:rsid w:val="00C27B58"/>
    <w:rsid w:val="00C34B41"/>
    <w:rsid w:val="00C35996"/>
    <w:rsid w:val="00C4747E"/>
    <w:rsid w:val="00C5342C"/>
    <w:rsid w:val="00C603D4"/>
    <w:rsid w:val="00C6256A"/>
    <w:rsid w:val="00C65EBB"/>
    <w:rsid w:val="00C77891"/>
    <w:rsid w:val="00C91449"/>
    <w:rsid w:val="00C92D10"/>
    <w:rsid w:val="00CA29D3"/>
    <w:rsid w:val="00CA30A6"/>
    <w:rsid w:val="00CB7342"/>
    <w:rsid w:val="00CD340F"/>
    <w:rsid w:val="00CE10C4"/>
    <w:rsid w:val="00CE27B5"/>
    <w:rsid w:val="00CE38DC"/>
    <w:rsid w:val="00CF3CDF"/>
    <w:rsid w:val="00D02B91"/>
    <w:rsid w:val="00D0321E"/>
    <w:rsid w:val="00D1455A"/>
    <w:rsid w:val="00D15E44"/>
    <w:rsid w:val="00D21A73"/>
    <w:rsid w:val="00D23B36"/>
    <w:rsid w:val="00D27682"/>
    <w:rsid w:val="00D31150"/>
    <w:rsid w:val="00D3138B"/>
    <w:rsid w:val="00D3280C"/>
    <w:rsid w:val="00D3406A"/>
    <w:rsid w:val="00D4265B"/>
    <w:rsid w:val="00D4572C"/>
    <w:rsid w:val="00D469B2"/>
    <w:rsid w:val="00D50322"/>
    <w:rsid w:val="00D741EB"/>
    <w:rsid w:val="00D74F7F"/>
    <w:rsid w:val="00D8194A"/>
    <w:rsid w:val="00D83605"/>
    <w:rsid w:val="00D84934"/>
    <w:rsid w:val="00D91271"/>
    <w:rsid w:val="00D919F5"/>
    <w:rsid w:val="00D94F03"/>
    <w:rsid w:val="00D96E66"/>
    <w:rsid w:val="00DA2CB5"/>
    <w:rsid w:val="00DA4BAC"/>
    <w:rsid w:val="00DB3EEC"/>
    <w:rsid w:val="00DB53A8"/>
    <w:rsid w:val="00DC0635"/>
    <w:rsid w:val="00DC41FD"/>
    <w:rsid w:val="00DC4C64"/>
    <w:rsid w:val="00DD0066"/>
    <w:rsid w:val="00DD5E35"/>
    <w:rsid w:val="00DE6D27"/>
    <w:rsid w:val="00DF217D"/>
    <w:rsid w:val="00DF26A7"/>
    <w:rsid w:val="00E15627"/>
    <w:rsid w:val="00E164B3"/>
    <w:rsid w:val="00E16910"/>
    <w:rsid w:val="00E17B02"/>
    <w:rsid w:val="00E25CCB"/>
    <w:rsid w:val="00E42BDB"/>
    <w:rsid w:val="00E430D7"/>
    <w:rsid w:val="00E434C3"/>
    <w:rsid w:val="00E44C9E"/>
    <w:rsid w:val="00E55694"/>
    <w:rsid w:val="00E55DED"/>
    <w:rsid w:val="00E57EEB"/>
    <w:rsid w:val="00E62D94"/>
    <w:rsid w:val="00E640DF"/>
    <w:rsid w:val="00E65E54"/>
    <w:rsid w:val="00E80155"/>
    <w:rsid w:val="00E8159D"/>
    <w:rsid w:val="00E81F28"/>
    <w:rsid w:val="00E848C0"/>
    <w:rsid w:val="00E868A7"/>
    <w:rsid w:val="00E91B96"/>
    <w:rsid w:val="00E941A1"/>
    <w:rsid w:val="00E9432C"/>
    <w:rsid w:val="00E95CE3"/>
    <w:rsid w:val="00EA2825"/>
    <w:rsid w:val="00EB0B63"/>
    <w:rsid w:val="00EB1936"/>
    <w:rsid w:val="00EB5088"/>
    <w:rsid w:val="00EB53FE"/>
    <w:rsid w:val="00EC05DA"/>
    <w:rsid w:val="00EC22BB"/>
    <w:rsid w:val="00ED1644"/>
    <w:rsid w:val="00ED2593"/>
    <w:rsid w:val="00ED3C63"/>
    <w:rsid w:val="00ED7D9C"/>
    <w:rsid w:val="00EE6085"/>
    <w:rsid w:val="00EE63E2"/>
    <w:rsid w:val="00EF1911"/>
    <w:rsid w:val="00EF44A0"/>
    <w:rsid w:val="00EF4FED"/>
    <w:rsid w:val="00F050BD"/>
    <w:rsid w:val="00F05657"/>
    <w:rsid w:val="00F11986"/>
    <w:rsid w:val="00F23CF6"/>
    <w:rsid w:val="00F25578"/>
    <w:rsid w:val="00F258E5"/>
    <w:rsid w:val="00F300BC"/>
    <w:rsid w:val="00F30CCB"/>
    <w:rsid w:val="00F3170F"/>
    <w:rsid w:val="00F3334E"/>
    <w:rsid w:val="00F35501"/>
    <w:rsid w:val="00F36CCB"/>
    <w:rsid w:val="00F374E5"/>
    <w:rsid w:val="00F41EB5"/>
    <w:rsid w:val="00F43AF2"/>
    <w:rsid w:val="00F4554A"/>
    <w:rsid w:val="00F46DB7"/>
    <w:rsid w:val="00F5007E"/>
    <w:rsid w:val="00F50EC4"/>
    <w:rsid w:val="00F550CF"/>
    <w:rsid w:val="00F57A6D"/>
    <w:rsid w:val="00F6007F"/>
    <w:rsid w:val="00F638CC"/>
    <w:rsid w:val="00F64CC1"/>
    <w:rsid w:val="00F72317"/>
    <w:rsid w:val="00F80475"/>
    <w:rsid w:val="00F8247A"/>
    <w:rsid w:val="00F95FFF"/>
    <w:rsid w:val="00F9629A"/>
    <w:rsid w:val="00F97EFC"/>
    <w:rsid w:val="00FA2392"/>
    <w:rsid w:val="00FA5883"/>
    <w:rsid w:val="00FA6055"/>
    <w:rsid w:val="00FB2B41"/>
    <w:rsid w:val="00FB322F"/>
    <w:rsid w:val="00FB442F"/>
    <w:rsid w:val="00FC1929"/>
    <w:rsid w:val="00FC25B4"/>
    <w:rsid w:val="00FC5B46"/>
    <w:rsid w:val="00FD4494"/>
    <w:rsid w:val="00FD6D8E"/>
    <w:rsid w:val="00FD7178"/>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Title"/>
    <w:next w:val="Normal"/>
    <w:link w:val="Heading1Char"/>
    <w:uiPriority w:val="1"/>
    <w:qFormat/>
    <w:rsid w:val="00AB17AB"/>
    <w:pPr>
      <w:spacing w:before="120" w:after="160"/>
      <w:ind w:left="720" w:hanging="720"/>
    </w:pPr>
    <w:rPr>
      <w:rFonts w:asciiTheme="minorHAnsi" w:hAnsiTheme="minorHAnsi"/>
      <w:sz w:val="36"/>
      <w:szCs w:val="36"/>
    </w:rPr>
  </w:style>
  <w:style w:type="paragraph" w:styleId="Heading2">
    <w:name w:val="heading 2"/>
    <w:basedOn w:val="Normal"/>
    <w:next w:val="Normal"/>
    <w:link w:val="Heading2Char"/>
    <w:uiPriority w:val="1"/>
    <w:qFormat/>
    <w:rsid w:val="00DB53A8"/>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AB17AB"/>
    <w:pPr>
      <w:spacing w:after="300"/>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AB17AB"/>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AB17AB"/>
    <w:rPr>
      <w:rFonts w:asciiTheme="minorHAnsi" w:eastAsiaTheme="majorEastAsia" w:hAnsiTheme="minorHAnsi" w:cstheme="majorBidi"/>
      <w:b/>
      <w:spacing w:val="5"/>
      <w:kern w:val="28"/>
      <w:sz w:val="36"/>
      <w:szCs w:val="36"/>
    </w:rPr>
  </w:style>
  <w:style w:type="character" w:customStyle="1" w:styleId="Heading2Char">
    <w:name w:val="Heading 2 Char"/>
    <w:basedOn w:val="DefaultParagraphFont"/>
    <w:link w:val="Heading2"/>
    <w:uiPriority w:val="1"/>
    <w:rsid w:val="00DB53A8"/>
    <w:rPr>
      <w:rFonts w:asciiTheme="minorHAnsi" w:eastAsiaTheme="majorEastAsia" w:hAnsiTheme="minorHAnsi" w:cstheme="majorBidi"/>
      <w:b/>
      <w:i/>
      <w:sz w:val="28"/>
      <w:szCs w:val="28"/>
      <w:lang w:eastAsia="en-US"/>
    </w:rPr>
  </w:style>
  <w:style w:type="character" w:customStyle="1" w:styleId="CaptionFootnoteChar">
    <w:name w:val="Caption Footnote Char"/>
    <w:basedOn w:val="DefaultParagraphFont"/>
    <w:link w:val="CaptionFootnote"/>
    <w:rsid w:val="006A7DC0"/>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6A7DC0"/>
    <w:pPr>
      <w:jc w:val="both"/>
    </w:pPr>
    <w:rPr>
      <w:rFonts w:asciiTheme="minorHAnsi" w:hAnsiTheme="minorHAnsi"/>
      <w:kern w:val="28"/>
      <w:sz w:val="16"/>
      <w:lang w:eastAsia="en-GB"/>
    </w:rPr>
  </w:style>
  <w:style w:type="paragraph" w:customStyle="1" w:styleId="PBACheading10">
    <w:name w:val="PBAC heading 1"/>
    <w:qFormat/>
    <w:rsid w:val="0081451E"/>
    <w:pPr>
      <w:ind w:left="720" w:hanging="720"/>
      <w:outlineLvl w:val="0"/>
    </w:pPr>
    <w:rPr>
      <w:rFonts w:ascii="Arial" w:hAnsi="Arial" w:cs="Arial"/>
      <w:b/>
      <w:snapToGrid w:val="0"/>
      <w:sz w:val="22"/>
      <w:szCs w:val="22"/>
      <w:lang w:eastAsia="en-US"/>
    </w:rPr>
  </w:style>
  <w:style w:type="paragraph" w:customStyle="1" w:styleId="TableLeft">
    <w:name w:val="Table Left"/>
    <w:basedOn w:val="Normal"/>
    <w:link w:val="TableLeftChar"/>
    <w:uiPriority w:val="99"/>
    <w:qFormat/>
    <w:rsid w:val="00B323DC"/>
    <w:pPr>
      <w:jc w:val="both"/>
    </w:pPr>
    <w:rPr>
      <w:rFonts w:ascii="Calibri" w:eastAsiaTheme="majorEastAsia" w:hAnsi="Calibri" w:cstheme="majorBidi"/>
      <w:sz w:val="20"/>
      <w:szCs w:val="22"/>
      <w:lang w:eastAsia="en-US" w:bidi="en-US"/>
    </w:rPr>
  </w:style>
  <w:style w:type="character" w:customStyle="1" w:styleId="TableLeftChar">
    <w:name w:val="Table Left Char"/>
    <w:basedOn w:val="DefaultParagraphFont"/>
    <w:link w:val="TableLeft"/>
    <w:uiPriority w:val="99"/>
    <w:locked/>
    <w:rsid w:val="00B323DC"/>
    <w:rPr>
      <w:rFonts w:ascii="Calibri" w:eastAsiaTheme="majorEastAsia" w:hAnsi="Calibri" w:cstheme="majorBidi"/>
      <w:szCs w:val="22"/>
      <w:lang w:eastAsia="en-US" w:bidi="en-US"/>
    </w:rPr>
  </w:style>
  <w:style w:type="character" w:styleId="FootnoteReference">
    <w:name w:val="footnote reference"/>
    <w:basedOn w:val="DefaultParagraphFont"/>
    <w:rsid w:val="00767750"/>
    <w:rPr>
      <w:vertAlign w:val="superscript"/>
    </w:rPr>
  </w:style>
  <w:style w:type="paragraph" w:styleId="Revision">
    <w:name w:val="Revision"/>
    <w:hidden/>
    <w:uiPriority w:val="71"/>
    <w:semiHidden/>
    <w:rsid w:val="00DD00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95849894">
      <w:bodyDiv w:val="1"/>
      <w:marLeft w:val="0"/>
      <w:marRight w:val="0"/>
      <w:marTop w:val="0"/>
      <w:marBottom w:val="0"/>
      <w:divBdr>
        <w:top w:val="none" w:sz="0" w:space="0" w:color="auto"/>
        <w:left w:val="none" w:sz="0" w:space="0" w:color="auto"/>
        <w:bottom w:val="none" w:sz="0" w:space="0" w:color="auto"/>
        <w:right w:val="none" w:sz="0" w:space="0" w:color="auto"/>
      </w:divBdr>
    </w:div>
    <w:div w:id="323627482">
      <w:bodyDiv w:val="1"/>
      <w:marLeft w:val="0"/>
      <w:marRight w:val="0"/>
      <w:marTop w:val="0"/>
      <w:marBottom w:val="0"/>
      <w:divBdr>
        <w:top w:val="none" w:sz="0" w:space="0" w:color="auto"/>
        <w:left w:val="none" w:sz="0" w:space="0" w:color="auto"/>
        <w:bottom w:val="none" w:sz="0" w:space="0" w:color="auto"/>
        <w:right w:val="none" w:sz="0" w:space="0" w:color="auto"/>
      </w:divBdr>
      <w:divsChild>
        <w:div w:id="889732468">
          <w:marLeft w:val="547"/>
          <w:marRight w:val="0"/>
          <w:marTop w:val="77"/>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489652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04890381">
      <w:bodyDiv w:val="1"/>
      <w:marLeft w:val="0"/>
      <w:marRight w:val="0"/>
      <w:marTop w:val="0"/>
      <w:marBottom w:val="0"/>
      <w:divBdr>
        <w:top w:val="none" w:sz="0" w:space="0" w:color="auto"/>
        <w:left w:val="none" w:sz="0" w:space="0" w:color="auto"/>
        <w:bottom w:val="none" w:sz="0" w:space="0" w:color="auto"/>
        <w:right w:val="none" w:sz="0" w:space="0" w:color="auto"/>
      </w:divBdr>
      <w:divsChild>
        <w:div w:id="134165824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FB2A-BDE7-4A7C-BA00-F0846539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2324</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2019-06-25T04:44:00Z</dcterms:created>
  <dcterms:modified xsi:type="dcterms:W3CDTF">2019-07-01T04:03:00Z</dcterms:modified>
</cp:coreProperties>
</file>