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BE5FAF" w:rsidRDefault="00A90E0E" w:rsidP="00FC5CB1">
      <w:pPr>
        <w:pStyle w:val="Heading1"/>
        <w:spacing w:after="120"/>
        <w:jc w:val="left"/>
        <w:rPr>
          <w:rFonts w:eastAsia="Calibri" w:cs="Times New Roman"/>
          <w:caps w:val="0"/>
          <w:snapToGrid/>
          <w:sz w:val="36"/>
          <w:szCs w:val="36"/>
        </w:rPr>
      </w:pPr>
      <w:r w:rsidRPr="00BE5FAF">
        <w:rPr>
          <w:sz w:val="36"/>
        </w:rPr>
        <w:t>5</w:t>
      </w:r>
      <w:r w:rsidR="00433044" w:rsidRPr="00BE5FAF">
        <w:rPr>
          <w:sz w:val="36"/>
        </w:rPr>
        <w:t>.</w:t>
      </w:r>
      <w:r w:rsidRPr="00BE5FAF">
        <w:rPr>
          <w:sz w:val="36"/>
        </w:rPr>
        <w:t>07</w:t>
      </w:r>
      <w:r w:rsidR="00B60939" w:rsidRPr="00BE5FAF">
        <w:rPr>
          <w:sz w:val="36"/>
        </w:rPr>
        <w:tab/>
      </w:r>
      <w:r w:rsidR="00610594" w:rsidRPr="00BE5FAF">
        <w:rPr>
          <w:rFonts w:eastAsia="Calibri" w:cs="Times New Roman"/>
          <w:caps w:val="0"/>
          <w:snapToGrid/>
          <w:sz w:val="36"/>
          <w:szCs w:val="36"/>
        </w:rPr>
        <w:t>RIVAROXABAN</w:t>
      </w:r>
      <w:proofErr w:type="gramStart"/>
      <w:r w:rsidR="00B60939" w:rsidRPr="00BE5FAF">
        <w:rPr>
          <w:rFonts w:eastAsia="Calibri" w:cs="Times New Roman"/>
          <w:caps w:val="0"/>
          <w:snapToGrid/>
          <w:sz w:val="36"/>
          <w:szCs w:val="36"/>
        </w:rPr>
        <w:t>,</w:t>
      </w:r>
      <w:proofErr w:type="gramEnd"/>
      <w:r w:rsidR="00AC4F9B" w:rsidRPr="00BE5FAF">
        <w:rPr>
          <w:rFonts w:eastAsia="Calibri" w:cs="Times New Roman"/>
          <w:caps w:val="0"/>
          <w:snapToGrid/>
          <w:sz w:val="36"/>
          <w:szCs w:val="36"/>
        </w:rPr>
        <w:br/>
      </w:r>
      <w:r w:rsidR="00F72E31" w:rsidRPr="00BE5FAF">
        <w:rPr>
          <w:rFonts w:eastAsia="Calibri" w:cs="Times New Roman"/>
          <w:caps w:val="0"/>
          <w:snapToGrid/>
          <w:sz w:val="36"/>
          <w:szCs w:val="36"/>
        </w:rPr>
        <w:t>Tablet</w:t>
      </w:r>
      <w:r w:rsidR="00B60939" w:rsidRPr="00BE5FAF">
        <w:rPr>
          <w:rFonts w:eastAsia="Calibri" w:cs="Times New Roman"/>
          <w:caps w:val="0"/>
          <w:snapToGrid/>
          <w:sz w:val="36"/>
          <w:szCs w:val="36"/>
        </w:rPr>
        <w:t xml:space="preserve"> </w:t>
      </w:r>
      <w:r w:rsidR="00610594" w:rsidRPr="00BE5FAF">
        <w:rPr>
          <w:rFonts w:eastAsia="Calibri" w:cs="Times New Roman"/>
          <w:caps w:val="0"/>
          <w:snapToGrid/>
          <w:sz w:val="36"/>
          <w:szCs w:val="36"/>
        </w:rPr>
        <w:t>2.5 mg</w:t>
      </w:r>
      <w:r w:rsidR="00B60939" w:rsidRPr="00BE5FAF">
        <w:rPr>
          <w:rFonts w:eastAsia="Calibri" w:cs="Times New Roman"/>
          <w:caps w:val="0"/>
          <w:snapToGrid/>
          <w:sz w:val="36"/>
          <w:szCs w:val="36"/>
        </w:rPr>
        <w:t>,</w:t>
      </w:r>
      <w:r w:rsidR="00AC4F9B" w:rsidRPr="00BE5FAF">
        <w:rPr>
          <w:rFonts w:eastAsia="Calibri" w:cs="Times New Roman"/>
          <w:caps w:val="0"/>
          <w:snapToGrid/>
          <w:sz w:val="36"/>
          <w:szCs w:val="36"/>
        </w:rPr>
        <w:br/>
      </w:r>
      <w:proofErr w:type="spellStart"/>
      <w:r w:rsidR="00610594" w:rsidRPr="00BE5FAF">
        <w:rPr>
          <w:rFonts w:eastAsia="Calibri" w:cs="Times New Roman"/>
          <w:caps w:val="0"/>
          <w:snapToGrid/>
          <w:sz w:val="36"/>
          <w:szCs w:val="36"/>
        </w:rPr>
        <w:t>Xarelto</w:t>
      </w:r>
      <w:proofErr w:type="spellEnd"/>
      <w:r w:rsidR="00B60939" w:rsidRPr="00BE5FAF">
        <w:rPr>
          <w:rFonts w:eastAsia="Calibri" w:cs="Times New Roman"/>
          <w:caps w:val="0"/>
          <w:snapToGrid/>
          <w:sz w:val="36"/>
          <w:szCs w:val="36"/>
        </w:rPr>
        <w:t xml:space="preserve">®, </w:t>
      </w:r>
      <w:r w:rsidR="00610594" w:rsidRPr="00BE5FAF">
        <w:rPr>
          <w:rFonts w:eastAsia="Calibri" w:cs="Times New Roman"/>
          <w:caps w:val="0"/>
          <w:snapToGrid/>
          <w:sz w:val="36"/>
          <w:szCs w:val="36"/>
        </w:rPr>
        <w:t>Bayer Australia</w:t>
      </w:r>
      <w:r w:rsidR="00E50EBD" w:rsidRPr="00BE5FAF">
        <w:rPr>
          <w:rFonts w:eastAsia="Calibri" w:cs="Times New Roman"/>
          <w:caps w:val="0"/>
          <w:snapToGrid/>
          <w:sz w:val="36"/>
          <w:szCs w:val="36"/>
        </w:rPr>
        <w:t xml:space="preserve"> Limited</w:t>
      </w:r>
    </w:p>
    <w:p w:rsidR="00B50DB8" w:rsidRPr="00BE5FAF" w:rsidRDefault="00B50DB8" w:rsidP="00F27EFD">
      <w:pPr>
        <w:pStyle w:val="Heading1"/>
        <w:keepNext/>
        <w:keepLines/>
        <w:widowControl/>
        <w:numPr>
          <w:ilvl w:val="0"/>
          <w:numId w:val="2"/>
        </w:numPr>
        <w:spacing w:before="120" w:after="120"/>
        <w:ind w:left="709" w:hanging="709"/>
        <w:rPr>
          <w:rFonts w:asciiTheme="minorHAnsi" w:eastAsiaTheme="majorEastAsia" w:hAnsiTheme="minorHAnsi" w:cstheme="majorBidi"/>
          <w:caps w:val="0"/>
          <w:snapToGrid/>
          <w:szCs w:val="28"/>
        </w:rPr>
      </w:pPr>
      <w:bookmarkStart w:id="0" w:name="_Toc535943606"/>
      <w:r w:rsidRPr="00BE5FAF">
        <w:rPr>
          <w:rFonts w:asciiTheme="minorHAnsi" w:eastAsiaTheme="majorEastAsia" w:hAnsiTheme="minorHAnsi" w:cstheme="majorBidi"/>
          <w:caps w:val="0"/>
          <w:snapToGrid/>
          <w:szCs w:val="28"/>
        </w:rPr>
        <w:t>Purpose of Application</w:t>
      </w:r>
      <w:bookmarkEnd w:id="0"/>
    </w:p>
    <w:p w:rsidR="001B5C1A" w:rsidRPr="00BE5FAF" w:rsidRDefault="001B5C1A" w:rsidP="00F27EFD">
      <w:pPr>
        <w:pStyle w:val="ListParagraph"/>
        <w:widowControl/>
        <w:numPr>
          <w:ilvl w:val="1"/>
          <w:numId w:val="2"/>
        </w:numPr>
        <w:spacing w:before="120" w:after="120"/>
      </w:pPr>
      <w:r w:rsidRPr="00BE5FAF">
        <w:t>The submission requested a Section 85 (Authority Required) PBS listing for</w:t>
      </w:r>
      <w:r w:rsidR="0023312C" w:rsidRPr="00BE5FAF">
        <w:t xml:space="preserve"> a new form of the listed drug</w:t>
      </w:r>
      <w:r w:rsidRPr="00BE5FAF">
        <w:t xml:space="preserve">  </w:t>
      </w:r>
      <w:proofErr w:type="spellStart"/>
      <w:r w:rsidRPr="00BE5FAF">
        <w:t>rivaroxaban</w:t>
      </w:r>
      <w:proofErr w:type="spellEnd"/>
      <w:r w:rsidRPr="00BE5FAF">
        <w:t xml:space="preserve"> </w:t>
      </w:r>
      <w:r w:rsidR="0023312C" w:rsidRPr="00BE5FAF">
        <w:t xml:space="preserve">(2.5mg tablets) </w:t>
      </w:r>
      <w:r w:rsidRPr="00BE5FAF">
        <w:t>in combination with aspirin for the prevention of recurrent cardiovascular events in patients in the stable phase of coronary artery disease</w:t>
      </w:r>
      <w:r w:rsidR="009F2B7D" w:rsidRPr="00BE5FAF">
        <w:t xml:space="preserve"> (CAD)</w:t>
      </w:r>
      <w:r w:rsidRPr="00BE5FAF">
        <w:t xml:space="preserve"> or peripheral artery disease</w:t>
      </w:r>
      <w:r w:rsidR="009F2B7D" w:rsidRPr="00BE5FAF">
        <w:t xml:space="preserve"> (PAD)</w:t>
      </w:r>
      <w:r w:rsidRPr="00BE5FAF">
        <w:t xml:space="preserve">. The PBAC has not previously considered </w:t>
      </w:r>
      <w:proofErr w:type="spellStart"/>
      <w:r w:rsidRPr="00BE5FAF">
        <w:t>rivaroxaban</w:t>
      </w:r>
      <w:proofErr w:type="spellEnd"/>
      <w:r w:rsidRPr="00BE5FAF">
        <w:t xml:space="preserve"> for this indication.</w:t>
      </w:r>
    </w:p>
    <w:p w:rsidR="001B5C1A" w:rsidRPr="00BE5FAF" w:rsidRDefault="001B5C1A" w:rsidP="00F27EFD">
      <w:pPr>
        <w:pStyle w:val="ListParagraph"/>
        <w:widowControl/>
        <w:numPr>
          <w:ilvl w:val="1"/>
          <w:numId w:val="2"/>
        </w:numPr>
        <w:spacing w:before="120" w:after="120"/>
      </w:pPr>
      <w:r w:rsidRPr="00BE5FAF">
        <w:t xml:space="preserve">Listing </w:t>
      </w:r>
      <w:proofErr w:type="gramStart"/>
      <w:r w:rsidRPr="00BE5FAF">
        <w:t>was requested</w:t>
      </w:r>
      <w:proofErr w:type="gramEnd"/>
      <w:r w:rsidRPr="00BE5FAF">
        <w:t xml:space="preserve"> on a cost-effectiveness basis compared to aspirin.</w:t>
      </w:r>
    </w:p>
    <w:p w:rsidR="001B5C1A" w:rsidRPr="00BE5FAF" w:rsidRDefault="001B5C1A" w:rsidP="000F3DEC">
      <w:pPr>
        <w:keepNext/>
        <w:keepLines/>
        <w:widowControl/>
        <w:rPr>
          <w:rStyle w:val="CommentReference"/>
        </w:rPr>
      </w:pPr>
      <w:r w:rsidRPr="00BE5FAF">
        <w:rPr>
          <w:rStyle w:val="CommentReference"/>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71"/>
        <w:gridCol w:w="7885"/>
      </w:tblGrid>
      <w:tr w:rsidR="001B5C1A" w:rsidRPr="00BE5FAF" w:rsidTr="005207A7">
        <w:tc>
          <w:tcPr>
            <w:tcW w:w="1271" w:type="dxa"/>
            <w:vAlign w:val="center"/>
          </w:tcPr>
          <w:p w:rsidR="001B5C1A" w:rsidRPr="00BE5FAF" w:rsidRDefault="001B5C1A" w:rsidP="000F3DEC">
            <w:pPr>
              <w:pStyle w:val="Tabletext"/>
              <w:keepNext/>
              <w:keepLines/>
              <w:rPr>
                <w:b/>
              </w:rPr>
            </w:pPr>
            <w:r w:rsidRPr="00BE5FAF">
              <w:rPr>
                <w:b/>
              </w:rPr>
              <w:t>Component</w:t>
            </w:r>
          </w:p>
        </w:tc>
        <w:tc>
          <w:tcPr>
            <w:tcW w:w="7885" w:type="dxa"/>
            <w:vAlign w:val="center"/>
          </w:tcPr>
          <w:p w:rsidR="001B5C1A" w:rsidRPr="00BE5FAF" w:rsidRDefault="001B5C1A" w:rsidP="000F3DEC">
            <w:pPr>
              <w:pStyle w:val="Tabletext"/>
              <w:keepNext/>
              <w:keepLines/>
              <w:jc w:val="center"/>
              <w:rPr>
                <w:b/>
              </w:rPr>
            </w:pPr>
            <w:r w:rsidRPr="00BE5FAF">
              <w:rPr>
                <w:b/>
              </w:rPr>
              <w:t>Description</w:t>
            </w:r>
          </w:p>
        </w:tc>
      </w:tr>
      <w:tr w:rsidR="001B5C1A" w:rsidRPr="00BE5FAF" w:rsidTr="005207A7">
        <w:tc>
          <w:tcPr>
            <w:tcW w:w="1271" w:type="dxa"/>
            <w:vAlign w:val="center"/>
          </w:tcPr>
          <w:p w:rsidR="001B5C1A" w:rsidRPr="00BE5FAF" w:rsidRDefault="001B5C1A" w:rsidP="000F3DEC">
            <w:pPr>
              <w:pStyle w:val="Tabletext"/>
              <w:keepNext/>
              <w:keepLines/>
            </w:pPr>
            <w:r w:rsidRPr="00BE5FAF">
              <w:t>Population</w:t>
            </w:r>
          </w:p>
        </w:tc>
        <w:tc>
          <w:tcPr>
            <w:tcW w:w="7885" w:type="dxa"/>
            <w:vAlign w:val="center"/>
          </w:tcPr>
          <w:p w:rsidR="001B5C1A" w:rsidRPr="00BE5FAF" w:rsidRDefault="001B5C1A" w:rsidP="00E814D1">
            <w:pPr>
              <w:pStyle w:val="Tabletext"/>
              <w:keepNext/>
              <w:keepLines/>
            </w:pPr>
            <w:r w:rsidRPr="00BE5FAF">
              <w:t xml:space="preserve">Adults with stable atherosclerotic disease of the coronary and/or peripheral arteries, following resolution of one or more acute episodes. </w:t>
            </w:r>
          </w:p>
        </w:tc>
      </w:tr>
      <w:tr w:rsidR="001B5C1A" w:rsidRPr="00BE5FAF" w:rsidTr="005207A7">
        <w:tc>
          <w:tcPr>
            <w:tcW w:w="1271" w:type="dxa"/>
            <w:vAlign w:val="center"/>
          </w:tcPr>
          <w:p w:rsidR="001B5C1A" w:rsidRPr="00BE5FAF" w:rsidRDefault="001B5C1A" w:rsidP="000F3DEC">
            <w:pPr>
              <w:pStyle w:val="Tabletext"/>
              <w:keepNext/>
              <w:keepLines/>
            </w:pPr>
            <w:r w:rsidRPr="00BE5FAF">
              <w:t>Intervention</w:t>
            </w:r>
          </w:p>
        </w:tc>
        <w:tc>
          <w:tcPr>
            <w:tcW w:w="7885" w:type="dxa"/>
            <w:vAlign w:val="center"/>
          </w:tcPr>
          <w:p w:rsidR="001B5C1A" w:rsidRPr="00BE5FAF" w:rsidRDefault="001B5C1A" w:rsidP="000F3DEC">
            <w:pPr>
              <w:pStyle w:val="Tabletext"/>
              <w:keepNext/>
              <w:keepLines/>
            </w:pPr>
            <w:proofErr w:type="spellStart"/>
            <w:r w:rsidRPr="00BE5FAF">
              <w:t>Rivaroxaban</w:t>
            </w:r>
            <w:proofErr w:type="spellEnd"/>
            <w:r w:rsidRPr="00BE5FAF">
              <w:t xml:space="preserve"> 2.5 mg twice daily in combination with aspirin 100 mg once daily</w:t>
            </w:r>
          </w:p>
        </w:tc>
      </w:tr>
      <w:tr w:rsidR="001B5C1A" w:rsidRPr="00BE5FAF" w:rsidTr="005207A7">
        <w:tc>
          <w:tcPr>
            <w:tcW w:w="1271" w:type="dxa"/>
            <w:vAlign w:val="center"/>
          </w:tcPr>
          <w:p w:rsidR="001B5C1A" w:rsidRPr="00BE5FAF" w:rsidRDefault="001B5C1A" w:rsidP="000F3DEC">
            <w:pPr>
              <w:pStyle w:val="Tabletext"/>
              <w:keepNext/>
              <w:keepLines/>
            </w:pPr>
            <w:r w:rsidRPr="00BE5FAF">
              <w:t>Comparator</w:t>
            </w:r>
          </w:p>
        </w:tc>
        <w:tc>
          <w:tcPr>
            <w:tcW w:w="7885" w:type="dxa"/>
            <w:vAlign w:val="center"/>
          </w:tcPr>
          <w:p w:rsidR="001B5C1A" w:rsidRPr="00BE5FAF" w:rsidRDefault="001B5C1A" w:rsidP="000F3DEC">
            <w:pPr>
              <w:pStyle w:val="Tabletext"/>
              <w:keepNext/>
              <w:keepLines/>
            </w:pPr>
            <w:r w:rsidRPr="00BE5FAF">
              <w:t>Aspirin 100 mg once daily</w:t>
            </w:r>
          </w:p>
        </w:tc>
      </w:tr>
      <w:tr w:rsidR="001B5C1A" w:rsidRPr="00BE5FAF" w:rsidTr="005207A7">
        <w:tc>
          <w:tcPr>
            <w:tcW w:w="1271" w:type="dxa"/>
            <w:vAlign w:val="center"/>
          </w:tcPr>
          <w:p w:rsidR="001B5C1A" w:rsidRPr="00BE5FAF" w:rsidRDefault="001B5C1A" w:rsidP="000F3DEC">
            <w:pPr>
              <w:pStyle w:val="Tabletext"/>
              <w:keepNext/>
              <w:keepLines/>
            </w:pPr>
            <w:r w:rsidRPr="00BE5FAF">
              <w:t>Outcomes</w:t>
            </w:r>
          </w:p>
        </w:tc>
        <w:tc>
          <w:tcPr>
            <w:tcW w:w="7885" w:type="dxa"/>
            <w:vAlign w:val="center"/>
          </w:tcPr>
          <w:p w:rsidR="001B5C1A" w:rsidRPr="00BE5FAF" w:rsidRDefault="001B5C1A" w:rsidP="000F3DEC">
            <w:pPr>
              <w:pStyle w:val="Tabletext"/>
              <w:keepNext/>
              <w:keepLines/>
            </w:pPr>
            <w:r w:rsidRPr="00BE5FAF">
              <w:t>Composite outcome of cardiovascular death, stroke, or myocardial infarction (efficacy); major bleeding (safety)</w:t>
            </w:r>
          </w:p>
        </w:tc>
      </w:tr>
      <w:tr w:rsidR="001B5C1A" w:rsidRPr="00BE5FAF" w:rsidTr="005207A7">
        <w:tc>
          <w:tcPr>
            <w:tcW w:w="1271" w:type="dxa"/>
            <w:vAlign w:val="center"/>
          </w:tcPr>
          <w:p w:rsidR="001B5C1A" w:rsidRPr="00BE5FAF" w:rsidRDefault="001B5C1A" w:rsidP="000F3DEC">
            <w:pPr>
              <w:pStyle w:val="Tabletext"/>
              <w:keepNext/>
              <w:keepLines/>
            </w:pPr>
            <w:r w:rsidRPr="00BE5FAF">
              <w:t>Clinical claim</w:t>
            </w:r>
          </w:p>
        </w:tc>
        <w:tc>
          <w:tcPr>
            <w:tcW w:w="7885" w:type="dxa"/>
            <w:vAlign w:val="center"/>
          </w:tcPr>
          <w:p w:rsidR="001B5C1A" w:rsidRPr="00BE5FAF" w:rsidRDefault="001B5C1A" w:rsidP="000F3DEC">
            <w:pPr>
              <w:pStyle w:val="Tabletext"/>
              <w:keepNext/>
              <w:keepLines/>
            </w:pPr>
            <w:r w:rsidRPr="00BE5FAF">
              <w:t xml:space="preserve">In patients with atherosclerotic disease of the coronary and/or peripheral arteries, </w:t>
            </w:r>
            <w:proofErr w:type="spellStart"/>
            <w:r w:rsidRPr="00BE5FAF">
              <w:t>rivaroxaban</w:t>
            </w:r>
            <w:proofErr w:type="spellEnd"/>
            <w:r w:rsidRPr="00BE5FAF">
              <w:t xml:space="preserve"> 2.5 mg in combination with aspirin is superior in terms of efficacy and inferior in terms of safety compared to aspirin.</w:t>
            </w:r>
          </w:p>
        </w:tc>
      </w:tr>
    </w:tbl>
    <w:p w:rsidR="001B5C1A" w:rsidRPr="00BE5FAF" w:rsidRDefault="001B5C1A" w:rsidP="000F3DEC">
      <w:pPr>
        <w:pStyle w:val="TableFooter"/>
        <w:keepNext/>
        <w:keepLines/>
        <w:widowControl/>
      </w:pPr>
      <w:r w:rsidRPr="00BE5FAF">
        <w:t>Source: Table 1.1.1, p.25 of the submission</w:t>
      </w:r>
    </w:p>
    <w:p w:rsidR="00E575A7" w:rsidRPr="00BE5FAF" w:rsidRDefault="00E575A7" w:rsidP="000F3DEC">
      <w:pPr>
        <w:pStyle w:val="TableFooter"/>
        <w:keepNext/>
        <w:keepLines/>
        <w:widowControl/>
      </w:pPr>
      <w:r w:rsidRPr="00BE5FAF">
        <w:t>Abbreviations: CAD, coronary artery disease; PAD, peripheral artery disease</w:t>
      </w:r>
    </w:p>
    <w:p w:rsidR="00B60939" w:rsidRPr="00BE5FAF" w:rsidRDefault="00B50DB8" w:rsidP="00F27EFD">
      <w:pPr>
        <w:pStyle w:val="Heading1"/>
        <w:keepNext/>
        <w:keepLines/>
        <w:widowControl/>
        <w:numPr>
          <w:ilvl w:val="0"/>
          <w:numId w:val="2"/>
        </w:numPr>
        <w:spacing w:before="120" w:after="120"/>
        <w:ind w:left="709" w:hanging="709"/>
        <w:rPr>
          <w:rFonts w:asciiTheme="minorHAnsi" w:eastAsiaTheme="majorEastAsia" w:hAnsiTheme="minorHAnsi" w:cstheme="majorBidi"/>
          <w:caps w:val="0"/>
          <w:snapToGrid/>
          <w:szCs w:val="28"/>
        </w:rPr>
      </w:pPr>
      <w:bookmarkStart w:id="1" w:name="_Toc535943607"/>
      <w:r w:rsidRPr="00BE5FAF">
        <w:rPr>
          <w:rFonts w:asciiTheme="minorHAnsi" w:eastAsiaTheme="majorEastAsia" w:hAnsiTheme="minorHAnsi" w:cstheme="majorBidi"/>
          <w:caps w:val="0"/>
          <w:snapToGrid/>
          <w:szCs w:val="28"/>
        </w:rPr>
        <w:t>Requested listing</w:t>
      </w:r>
      <w:bookmarkEnd w:id="1"/>
    </w:p>
    <w:p w:rsidR="001960ED" w:rsidRPr="00BE5FAF" w:rsidRDefault="001960ED" w:rsidP="00F27EFD">
      <w:pPr>
        <w:pStyle w:val="ListParagraph"/>
        <w:keepNext/>
        <w:widowControl/>
        <w:numPr>
          <w:ilvl w:val="1"/>
          <w:numId w:val="2"/>
        </w:numPr>
        <w:spacing w:before="120" w:after="120"/>
        <w:rPr>
          <w:szCs w:val="24"/>
        </w:rPr>
      </w:pPr>
      <w:r w:rsidRPr="00BE5FAF">
        <w:rPr>
          <w:szCs w:val="24"/>
        </w:rPr>
        <w:t xml:space="preserve">The restriction </w:t>
      </w:r>
      <w:r w:rsidR="00B5015D" w:rsidRPr="00BE5FAF">
        <w:rPr>
          <w:szCs w:val="24"/>
        </w:rPr>
        <w:t xml:space="preserve">requested in the submission is </w:t>
      </w:r>
      <w:r w:rsidRPr="00BE5FAF">
        <w:rPr>
          <w:szCs w:val="24"/>
        </w:rPr>
        <w:t xml:space="preserve">outlined below </w:t>
      </w:r>
      <w:r w:rsidR="00B5015D" w:rsidRPr="00BE5FAF">
        <w:rPr>
          <w:szCs w:val="24"/>
        </w:rPr>
        <w:t xml:space="preserve">(it </w:t>
      </w:r>
      <w:r w:rsidRPr="00BE5FAF">
        <w:rPr>
          <w:szCs w:val="24"/>
        </w:rPr>
        <w:t xml:space="preserve">has been reworded to comply with electronic media requirements </w:t>
      </w:r>
      <w:r w:rsidR="00B5015D" w:rsidRPr="00BE5FAF">
        <w:rPr>
          <w:szCs w:val="24"/>
        </w:rPr>
        <w:t>only</w:t>
      </w:r>
      <w:r w:rsidRPr="00BE5FAF">
        <w:rPr>
          <w:szCs w:val="24"/>
        </w:rPr>
        <w:t>).</w:t>
      </w:r>
    </w:p>
    <w:tbl>
      <w:tblPr>
        <w:tblW w:w="9214" w:type="dxa"/>
        <w:tblInd w:w="108" w:type="dxa"/>
        <w:tblLayout w:type="fixed"/>
        <w:tblLook w:val="0000" w:firstRow="0" w:lastRow="0" w:firstColumn="0" w:lastColumn="0" w:noHBand="0" w:noVBand="0"/>
      </w:tblPr>
      <w:tblGrid>
        <w:gridCol w:w="2019"/>
        <w:gridCol w:w="1242"/>
        <w:gridCol w:w="567"/>
        <w:gridCol w:w="850"/>
        <w:gridCol w:w="1701"/>
        <w:gridCol w:w="1559"/>
        <w:gridCol w:w="1276"/>
      </w:tblGrid>
      <w:tr w:rsidR="00B75BCC" w:rsidRPr="00BE5FAF" w:rsidTr="00F67D6E">
        <w:trPr>
          <w:cantSplit/>
          <w:trHeight w:val="471"/>
        </w:trPr>
        <w:tc>
          <w:tcPr>
            <w:tcW w:w="3261" w:type="dxa"/>
            <w:gridSpan w:val="2"/>
            <w:tcBorders>
              <w:bottom w:val="single" w:sz="4" w:space="0" w:color="auto"/>
            </w:tcBorders>
          </w:tcPr>
          <w:p w:rsidR="00B75BCC" w:rsidRPr="00BE5FAF" w:rsidRDefault="00B75BCC" w:rsidP="00F67D6E">
            <w:pPr>
              <w:keepNext/>
              <w:widowControl/>
              <w:ind w:left="-108"/>
              <w:rPr>
                <w:rFonts w:ascii="Arial Narrow" w:hAnsi="Arial Narrow"/>
                <w:b/>
                <w:sz w:val="20"/>
                <w:szCs w:val="20"/>
              </w:rPr>
            </w:pPr>
            <w:r w:rsidRPr="00BE5FAF">
              <w:rPr>
                <w:rFonts w:ascii="Arial Narrow" w:hAnsi="Arial Narrow"/>
                <w:b/>
                <w:sz w:val="20"/>
                <w:szCs w:val="20"/>
              </w:rPr>
              <w:t>Name, Restriction,</w:t>
            </w:r>
          </w:p>
          <w:p w:rsidR="00B75BCC" w:rsidRPr="00BE5FAF" w:rsidRDefault="00B75BCC" w:rsidP="00F67D6E">
            <w:pPr>
              <w:keepNext/>
              <w:widowControl/>
              <w:ind w:left="-108"/>
              <w:rPr>
                <w:rFonts w:ascii="Arial Narrow" w:hAnsi="Arial Narrow"/>
                <w:b/>
                <w:sz w:val="20"/>
                <w:szCs w:val="20"/>
              </w:rPr>
            </w:pPr>
            <w:r w:rsidRPr="00BE5FAF">
              <w:rPr>
                <w:rFonts w:ascii="Arial Narrow" w:hAnsi="Arial Narrow"/>
                <w:b/>
                <w:sz w:val="20"/>
                <w:szCs w:val="20"/>
              </w:rPr>
              <w:t>Manner of administration and form</w:t>
            </w:r>
          </w:p>
        </w:tc>
        <w:tc>
          <w:tcPr>
            <w:tcW w:w="567" w:type="dxa"/>
            <w:tcBorders>
              <w:bottom w:val="single" w:sz="4" w:space="0" w:color="auto"/>
            </w:tcBorders>
          </w:tcPr>
          <w:p w:rsidR="00B75BCC" w:rsidRPr="00BE5FAF" w:rsidRDefault="00B75BCC" w:rsidP="00F67D6E">
            <w:pPr>
              <w:keepNext/>
              <w:widowControl/>
              <w:ind w:left="-108"/>
              <w:rPr>
                <w:rFonts w:ascii="Arial Narrow" w:hAnsi="Arial Narrow"/>
                <w:b/>
                <w:sz w:val="20"/>
                <w:szCs w:val="20"/>
              </w:rPr>
            </w:pPr>
            <w:r w:rsidRPr="00BE5FAF">
              <w:rPr>
                <w:rFonts w:ascii="Arial Narrow" w:hAnsi="Arial Narrow"/>
                <w:b/>
                <w:sz w:val="20"/>
                <w:szCs w:val="20"/>
              </w:rPr>
              <w:t>Max.</w:t>
            </w:r>
          </w:p>
          <w:p w:rsidR="00B75BCC" w:rsidRPr="00BE5FAF" w:rsidRDefault="00B75BCC" w:rsidP="00F67D6E">
            <w:pPr>
              <w:keepNext/>
              <w:widowControl/>
              <w:ind w:left="-108"/>
              <w:rPr>
                <w:rFonts w:ascii="Arial Narrow" w:hAnsi="Arial Narrow"/>
                <w:b/>
                <w:sz w:val="20"/>
                <w:szCs w:val="20"/>
              </w:rPr>
            </w:pPr>
            <w:proofErr w:type="spellStart"/>
            <w:r w:rsidRPr="00BE5FAF">
              <w:rPr>
                <w:rFonts w:ascii="Arial Narrow" w:hAnsi="Arial Narrow"/>
                <w:b/>
                <w:sz w:val="20"/>
                <w:szCs w:val="20"/>
              </w:rPr>
              <w:t>Qty</w:t>
            </w:r>
            <w:proofErr w:type="spellEnd"/>
          </w:p>
        </w:tc>
        <w:tc>
          <w:tcPr>
            <w:tcW w:w="850" w:type="dxa"/>
            <w:tcBorders>
              <w:bottom w:val="single" w:sz="4" w:space="0" w:color="auto"/>
            </w:tcBorders>
          </w:tcPr>
          <w:p w:rsidR="00B75BCC" w:rsidRPr="00BE5FAF" w:rsidRDefault="00B75BCC" w:rsidP="00F67D6E">
            <w:pPr>
              <w:keepNext/>
              <w:widowControl/>
              <w:ind w:left="-108"/>
              <w:rPr>
                <w:rFonts w:ascii="Arial Narrow" w:hAnsi="Arial Narrow"/>
                <w:b/>
                <w:sz w:val="20"/>
                <w:szCs w:val="20"/>
              </w:rPr>
            </w:pPr>
            <w:r w:rsidRPr="00BE5FAF">
              <w:rPr>
                <w:rFonts w:ascii="Arial Narrow" w:hAnsi="Arial Narrow"/>
                <w:b/>
                <w:sz w:val="20"/>
                <w:szCs w:val="20"/>
              </w:rPr>
              <w:t>№.of</w:t>
            </w:r>
          </w:p>
          <w:p w:rsidR="00B75BCC" w:rsidRPr="00BE5FAF" w:rsidRDefault="00B75BCC" w:rsidP="00F67D6E">
            <w:pPr>
              <w:keepNext/>
              <w:widowControl/>
              <w:ind w:left="-108"/>
              <w:rPr>
                <w:rFonts w:ascii="Arial Narrow" w:hAnsi="Arial Narrow"/>
                <w:b/>
                <w:sz w:val="20"/>
                <w:szCs w:val="20"/>
              </w:rPr>
            </w:pPr>
            <w:proofErr w:type="spellStart"/>
            <w:r w:rsidRPr="00BE5FAF">
              <w:rPr>
                <w:rFonts w:ascii="Arial Narrow" w:hAnsi="Arial Narrow"/>
                <w:b/>
                <w:sz w:val="20"/>
                <w:szCs w:val="20"/>
              </w:rPr>
              <w:t>Rpts</w:t>
            </w:r>
            <w:proofErr w:type="spellEnd"/>
          </w:p>
        </w:tc>
        <w:tc>
          <w:tcPr>
            <w:tcW w:w="1701" w:type="dxa"/>
            <w:tcBorders>
              <w:bottom w:val="single" w:sz="4" w:space="0" w:color="auto"/>
            </w:tcBorders>
          </w:tcPr>
          <w:p w:rsidR="00B75BCC" w:rsidRPr="00BE5FAF" w:rsidRDefault="00B75BCC" w:rsidP="00F67D6E">
            <w:pPr>
              <w:keepNext/>
              <w:widowControl/>
              <w:ind w:left="-108"/>
              <w:rPr>
                <w:rFonts w:ascii="Arial Narrow" w:hAnsi="Arial Narrow"/>
                <w:b/>
                <w:sz w:val="20"/>
                <w:szCs w:val="20"/>
              </w:rPr>
            </w:pPr>
            <w:r w:rsidRPr="00BE5FAF">
              <w:rPr>
                <w:rFonts w:ascii="Arial Narrow" w:hAnsi="Arial Narrow"/>
                <w:b/>
                <w:sz w:val="20"/>
                <w:szCs w:val="20"/>
              </w:rPr>
              <w:t xml:space="preserve">Dispensed Price for Max. </w:t>
            </w:r>
            <w:proofErr w:type="spellStart"/>
            <w:r w:rsidRPr="00BE5FAF">
              <w:rPr>
                <w:rFonts w:ascii="Arial Narrow" w:hAnsi="Arial Narrow"/>
                <w:b/>
                <w:sz w:val="20"/>
                <w:szCs w:val="20"/>
              </w:rPr>
              <w:t>Qty</w:t>
            </w:r>
            <w:proofErr w:type="spellEnd"/>
          </w:p>
        </w:tc>
        <w:tc>
          <w:tcPr>
            <w:tcW w:w="2835" w:type="dxa"/>
            <w:gridSpan w:val="2"/>
            <w:tcBorders>
              <w:bottom w:val="single" w:sz="4" w:space="0" w:color="auto"/>
            </w:tcBorders>
          </w:tcPr>
          <w:p w:rsidR="00B75BCC" w:rsidRPr="00BE5FAF" w:rsidRDefault="00B75BCC" w:rsidP="00F67D6E">
            <w:pPr>
              <w:keepNext/>
              <w:widowControl/>
              <w:rPr>
                <w:rFonts w:ascii="Arial Narrow" w:hAnsi="Arial Narrow"/>
                <w:b/>
                <w:sz w:val="20"/>
                <w:szCs w:val="20"/>
              </w:rPr>
            </w:pPr>
            <w:r w:rsidRPr="00BE5FAF">
              <w:rPr>
                <w:rFonts w:ascii="Arial Narrow" w:hAnsi="Arial Narrow"/>
                <w:b/>
                <w:sz w:val="20"/>
                <w:szCs w:val="20"/>
              </w:rPr>
              <w:t>Proprietary Name and Manufacturer</w:t>
            </w:r>
          </w:p>
        </w:tc>
      </w:tr>
      <w:tr w:rsidR="00B75BCC" w:rsidRPr="00BE5FAF" w:rsidTr="00F67D6E">
        <w:trPr>
          <w:cantSplit/>
          <w:trHeight w:val="577"/>
        </w:trPr>
        <w:tc>
          <w:tcPr>
            <w:tcW w:w="3261" w:type="dxa"/>
            <w:gridSpan w:val="2"/>
          </w:tcPr>
          <w:p w:rsidR="00B75BCC" w:rsidRPr="00BE5FAF" w:rsidRDefault="00B75BCC" w:rsidP="00F67D6E">
            <w:pPr>
              <w:keepNext/>
              <w:widowControl/>
              <w:ind w:left="-108"/>
              <w:rPr>
                <w:rFonts w:ascii="Arial Narrow" w:hAnsi="Arial Narrow"/>
                <w:sz w:val="20"/>
                <w:szCs w:val="20"/>
              </w:rPr>
            </w:pPr>
            <w:r w:rsidRPr="00BE5FAF">
              <w:rPr>
                <w:rFonts w:ascii="Arial Narrow" w:hAnsi="Arial Narrow"/>
                <w:smallCaps/>
                <w:sz w:val="20"/>
                <w:szCs w:val="20"/>
              </w:rPr>
              <w:t>RIVAROXABAN</w:t>
            </w:r>
          </w:p>
          <w:p w:rsidR="00B75BCC" w:rsidRPr="00BE5FAF" w:rsidRDefault="00B75BCC" w:rsidP="00F67D6E">
            <w:pPr>
              <w:keepNext/>
              <w:widowControl/>
              <w:ind w:left="-108"/>
              <w:rPr>
                <w:rFonts w:ascii="Arial Narrow" w:hAnsi="Arial Narrow"/>
                <w:sz w:val="20"/>
                <w:szCs w:val="20"/>
              </w:rPr>
            </w:pPr>
            <w:r w:rsidRPr="00BE5FAF">
              <w:rPr>
                <w:rFonts w:ascii="Arial Narrow" w:hAnsi="Arial Narrow"/>
                <w:sz w:val="20"/>
                <w:szCs w:val="20"/>
              </w:rPr>
              <w:t>Tablet 2.5 mg, 60</w:t>
            </w:r>
          </w:p>
        </w:tc>
        <w:tc>
          <w:tcPr>
            <w:tcW w:w="567" w:type="dxa"/>
          </w:tcPr>
          <w:p w:rsidR="00B75BCC" w:rsidRPr="00BE5FAF" w:rsidRDefault="00B75BCC" w:rsidP="00F67D6E">
            <w:pPr>
              <w:keepNext/>
              <w:widowControl/>
              <w:ind w:left="-108"/>
              <w:rPr>
                <w:rFonts w:ascii="Arial Narrow" w:hAnsi="Arial Narrow"/>
                <w:sz w:val="20"/>
                <w:szCs w:val="20"/>
              </w:rPr>
            </w:pPr>
          </w:p>
          <w:p w:rsidR="00B75BCC" w:rsidRPr="00BE5FAF" w:rsidRDefault="00B75BCC" w:rsidP="00F67D6E">
            <w:pPr>
              <w:keepNext/>
              <w:widowControl/>
              <w:ind w:left="-108"/>
              <w:rPr>
                <w:rFonts w:ascii="Arial Narrow" w:hAnsi="Arial Narrow"/>
                <w:sz w:val="20"/>
                <w:szCs w:val="20"/>
              </w:rPr>
            </w:pPr>
            <w:r w:rsidRPr="00BE5FAF">
              <w:rPr>
                <w:rFonts w:ascii="Arial Narrow" w:hAnsi="Arial Narrow"/>
                <w:sz w:val="20"/>
                <w:szCs w:val="20"/>
              </w:rPr>
              <w:t>1</w:t>
            </w:r>
          </w:p>
        </w:tc>
        <w:tc>
          <w:tcPr>
            <w:tcW w:w="850" w:type="dxa"/>
          </w:tcPr>
          <w:p w:rsidR="00B75BCC" w:rsidRPr="00BE5FAF" w:rsidRDefault="00B75BCC" w:rsidP="00F67D6E">
            <w:pPr>
              <w:keepNext/>
              <w:widowControl/>
              <w:ind w:left="-108"/>
              <w:rPr>
                <w:rFonts w:ascii="Arial Narrow" w:hAnsi="Arial Narrow"/>
                <w:sz w:val="20"/>
                <w:szCs w:val="20"/>
              </w:rPr>
            </w:pPr>
          </w:p>
          <w:p w:rsidR="00B75BCC" w:rsidRPr="00BE5FAF" w:rsidRDefault="00B75BCC" w:rsidP="00F67D6E">
            <w:pPr>
              <w:keepNext/>
              <w:widowControl/>
              <w:ind w:left="-108"/>
              <w:rPr>
                <w:rFonts w:ascii="Arial Narrow" w:hAnsi="Arial Narrow"/>
                <w:sz w:val="20"/>
                <w:szCs w:val="20"/>
              </w:rPr>
            </w:pPr>
            <w:r w:rsidRPr="00BE5FAF">
              <w:rPr>
                <w:rFonts w:ascii="Arial Narrow" w:hAnsi="Arial Narrow"/>
                <w:sz w:val="20"/>
                <w:szCs w:val="20"/>
              </w:rPr>
              <w:t>5</w:t>
            </w:r>
          </w:p>
        </w:tc>
        <w:tc>
          <w:tcPr>
            <w:tcW w:w="1701" w:type="dxa"/>
          </w:tcPr>
          <w:p w:rsidR="00B75BCC" w:rsidRPr="00BE5FAF" w:rsidRDefault="00B75BCC" w:rsidP="00F67D6E">
            <w:pPr>
              <w:keepNext/>
              <w:widowControl/>
              <w:ind w:left="-108"/>
              <w:rPr>
                <w:rFonts w:ascii="Arial Narrow" w:hAnsi="Arial Narrow"/>
                <w:sz w:val="20"/>
                <w:szCs w:val="20"/>
              </w:rPr>
            </w:pPr>
          </w:p>
          <w:p w:rsidR="00B75BCC" w:rsidRPr="00BE5FAF" w:rsidRDefault="00B75BCC" w:rsidP="00F67D6E">
            <w:pPr>
              <w:keepNext/>
              <w:widowControl/>
              <w:ind w:left="-108"/>
              <w:rPr>
                <w:rFonts w:ascii="Arial Narrow" w:hAnsi="Arial Narrow"/>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559" w:type="dxa"/>
          </w:tcPr>
          <w:p w:rsidR="00B75BCC" w:rsidRPr="00BE5FAF" w:rsidRDefault="00B75BCC" w:rsidP="00F67D6E">
            <w:pPr>
              <w:keepNext/>
              <w:widowControl/>
              <w:rPr>
                <w:rFonts w:ascii="Arial Narrow" w:hAnsi="Arial Narrow"/>
                <w:sz w:val="20"/>
                <w:szCs w:val="20"/>
              </w:rPr>
            </w:pPr>
            <w:proofErr w:type="spellStart"/>
            <w:r w:rsidRPr="00BE5FAF">
              <w:rPr>
                <w:rFonts w:ascii="Arial Narrow" w:hAnsi="Arial Narrow"/>
                <w:sz w:val="20"/>
                <w:szCs w:val="20"/>
              </w:rPr>
              <w:t>Xarelto</w:t>
            </w:r>
            <w:proofErr w:type="spellEnd"/>
            <w:r w:rsidRPr="00BE5FAF">
              <w:rPr>
                <w:rFonts w:ascii="Arial Narrow" w:hAnsi="Arial Narrow" w:cs="Calibri"/>
                <w:sz w:val="20"/>
                <w:szCs w:val="20"/>
              </w:rPr>
              <w:t>®</w:t>
            </w:r>
          </w:p>
        </w:tc>
        <w:tc>
          <w:tcPr>
            <w:tcW w:w="1276" w:type="dxa"/>
          </w:tcPr>
          <w:p w:rsidR="00B75BCC" w:rsidRPr="00BE5FAF" w:rsidRDefault="00B75BCC" w:rsidP="00F67D6E">
            <w:pPr>
              <w:keepNext/>
              <w:widowControl/>
              <w:rPr>
                <w:rFonts w:ascii="Arial Narrow" w:hAnsi="Arial Narrow"/>
                <w:sz w:val="20"/>
                <w:szCs w:val="20"/>
              </w:rPr>
            </w:pPr>
            <w:r w:rsidRPr="00BE5FAF">
              <w:rPr>
                <w:rFonts w:ascii="Arial Narrow" w:hAnsi="Arial Narrow"/>
                <w:sz w:val="20"/>
                <w:szCs w:val="20"/>
              </w:rPr>
              <w:t>Bayer Australia Limited</w:t>
            </w:r>
          </w:p>
        </w:tc>
      </w:tr>
      <w:tr w:rsidR="00B75BCC" w:rsidRPr="00BE5FAF" w:rsidTr="00F67D6E">
        <w:trPr>
          <w:cantSplit/>
          <w:trHeight w:val="360"/>
        </w:trPr>
        <w:tc>
          <w:tcPr>
            <w:tcW w:w="9214" w:type="dxa"/>
            <w:gridSpan w:val="7"/>
            <w:tcBorders>
              <w:bottom w:val="single" w:sz="4" w:space="0" w:color="auto"/>
            </w:tcBorders>
          </w:tcPr>
          <w:p w:rsidR="00B75BCC" w:rsidRPr="00BE5FAF" w:rsidRDefault="00B75BCC" w:rsidP="00F67D6E">
            <w:pPr>
              <w:widowControl/>
              <w:rPr>
                <w:sz w:val="20"/>
                <w:szCs w:val="20"/>
              </w:rPr>
            </w:pPr>
          </w:p>
        </w:tc>
      </w:tr>
      <w:tr w:rsidR="00B75BCC" w:rsidRPr="00BE5FAF" w:rsidTr="002560C1">
        <w:trPr>
          <w:cantSplit/>
          <w:trHeight w:val="360"/>
        </w:trPr>
        <w:tc>
          <w:tcPr>
            <w:tcW w:w="2019" w:type="dxa"/>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b/>
                <w:sz w:val="20"/>
                <w:szCs w:val="20"/>
              </w:rPr>
            </w:pPr>
            <w:r w:rsidRPr="00BE5FAF">
              <w:rPr>
                <w:rFonts w:ascii="Arial Narrow" w:hAnsi="Arial Narrow"/>
                <w:b/>
                <w:sz w:val="20"/>
                <w:szCs w:val="20"/>
              </w:rPr>
              <w:t>Category / Program</w:t>
            </w:r>
          </w:p>
        </w:tc>
        <w:tc>
          <w:tcPr>
            <w:tcW w:w="7195" w:type="dxa"/>
            <w:gridSpan w:val="6"/>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sz w:val="20"/>
                <w:szCs w:val="20"/>
              </w:rPr>
            </w:pPr>
            <w:r w:rsidRPr="00BE5FAF">
              <w:rPr>
                <w:rFonts w:ascii="Arial Narrow" w:hAnsi="Arial Narrow"/>
                <w:sz w:val="20"/>
                <w:szCs w:val="20"/>
              </w:rPr>
              <w:t>GENERAL – General Schedule (Code GE)</w:t>
            </w:r>
          </w:p>
        </w:tc>
      </w:tr>
      <w:tr w:rsidR="00B75BCC" w:rsidRPr="00BE5FAF" w:rsidTr="002560C1">
        <w:trPr>
          <w:cantSplit/>
          <w:trHeight w:val="360"/>
        </w:trPr>
        <w:tc>
          <w:tcPr>
            <w:tcW w:w="2019" w:type="dxa"/>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b/>
                <w:sz w:val="20"/>
                <w:szCs w:val="20"/>
              </w:rPr>
            </w:pPr>
            <w:r w:rsidRPr="00BE5FAF">
              <w:rPr>
                <w:rFonts w:ascii="Arial Narrow" w:hAnsi="Arial Narrow"/>
                <w:b/>
                <w:sz w:val="20"/>
                <w:szCs w:val="20"/>
              </w:rPr>
              <w:t>Prescriber type:</w:t>
            </w:r>
          </w:p>
          <w:p w:rsidR="00B75BCC" w:rsidRPr="00BE5FAF" w:rsidRDefault="00B75BCC" w:rsidP="00F67D6E">
            <w:pPr>
              <w:widowControl/>
              <w:rPr>
                <w:rFonts w:ascii="Arial Narrow" w:hAnsi="Arial Narrow"/>
                <w:b/>
                <w:sz w:val="20"/>
                <w:szCs w:val="20"/>
              </w:rPr>
            </w:pPr>
          </w:p>
        </w:tc>
        <w:tc>
          <w:tcPr>
            <w:tcW w:w="7195" w:type="dxa"/>
            <w:gridSpan w:val="6"/>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sz w:val="20"/>
                <w:szCs w:val="20"/>
              </w:rPr>
            </w:pPr>
            <w:r w:rsidRPr="00BE5FAF">
              <w:rPr>
                <w:rFonts w:ascii="Arial Narrow" w:hAnsi="Arial Narrow"/>
                <w:sz w:val="20"/>
                <w:szCs w:val="20"/>
              </w:rPr>
              <w:fldChar w:fldCharType="begin">
                <w:ffData>
                  <w:name w:val="Check1"/>
                  <w:enabled/>
                  <w:calcOnExit w:val="0"/>
                  <w:checkBox>
                    <w:sizeAuto/>
                    <w:default w:val="0"/>
                  </w:checkBox>
                </w:ffData>
              </w:fldChar>
            </w:r>
            <w:r w:rsidRPr="00BE5FAF">
              <w:rPr>
                <w:rFonts w:ascii="Arial Narrow" w:hAnsi="Arial Narrow"/>
                <w:sz w:val="20"/>
                <w:szCs w:val="20"/>
              </w:rPr>
              <w:instrText xml:space="preserve"> FORMCHECKBOX </w:instrText>
            </w:r>
            <w:r w:rsidR="003844D1">
              <w:rPr>
                <w:rFonts w:ascii="Arial Narrow" w:hAnsi="Arial Narrow"/>
                <w:sz w:val="20"/>
                <w:szCs w:val="20"/>
              </w:rPr>
            </w:r>
            <w:r w:rsidR="003844D1">
              <w:rPr>
                <w:rFonts w:ascii="Arial Narrow" w:hAnsi="Arial Narrow"/>
                <w:sz w:val="20"/>
                <w:szCs w:val="20"/>
              </w:rPr>
              <w:fldChar w:fldCharType="separate"/>
            </w:r>
            <w:r w:rsidRPr="00BE5FAF">
              <w:rPr>
                <w:rFonts w:ascii="Arial Narrow" w:hAnsi="Arial Narrow"/>
                <w:sz w:val="20"/>
                <w:szCs w:val="20"/>
              </w:rPr>
              <w:fldChar w:fldCharType="end"/>
            </w:r>
            <w:r w:rsidRPr="00BE5FAF">
              <w:rPr>
                <w:rFonts w:ascii="Arial Narrow" w:hAnsi="Arial Narrow"/>
                <w:sz w:val="20"/>
                <w:szCs w:val="20"/>
              </w:rPr>
              <w:t xml:space="preserve">Dental  </w:t>
            </w:r>
            <w:r w:rsidRPr="00BE5FAF">
              <w:rPr>
                <w:rFonts w:ascii="Arial Narrow" w:hAnsi="Arial Narrow"/>
                <w:sz w:val="20"/>
                <w:szCs w:val="20"/>
              </w:rPr>
              <w:fldChar w:fldCharType="begin">
                <w:ffData>
                  <w:name w:val=""/>
                  <w:enabled/>
                  <w:calcOnExit w:val="0"/>
                  <w:checkBox>
                    <w:sizeAuto/>
                    <w:default w:val="1"/>
                  </w:checkBox>
                </w:ffData>
              </w:fldChar>
            </w:r>
            <w:r w:rsidRPr="00BE5FAF">
              <w:rPr>
                <w:rFonts w:ascii="Arial Narrow" w:hAnsi="Arial Narrow"/>
                <w:sz w:val="20"/>
                <w:szCs w:val="20"/>
              </w:rPr>
              <w:instrText xml:space="preserve"> FORMCHECKBOX </w:instrText>
            </w:r>
            <w:r w:rsidR="003844D1">
              <w:rPr>
                <w:rFonts w:ascii="Arial Narrow" w:hAnsi="Arial Narrow"/>
                <w:sz w:val="20"/>
                <w:szCs w:val="20"/>
              </w:rPr>
            </w:r>
            <w:r w:rsidR="003844D1">
              <w:rPr>
                <w:rFonts w:ascii="Arial Narrow" w:hAnsi="Arial Narrow"/>
                <w:sz w:val="20"/>
                <w:szCs w:val="20"/>
              </w:rPr>
              <w:fldChar w:fldCharType="separate"/>
            </w:r>
            <w:r w:rsidRPr="00BE5FAF">
              <w:rPr>
                <w:rFonts w:ascii="Arial Narrow" w:hAnsi="Arial Narrow"/>
                <w:sz w:val="20"/>
                <w:szCs w:val="20"/>
              </w:rPr>
              <w:fldChar w:fldCharType="end"/>
            </w:r>
            <w:r w:rsidRPr="00BE5FAF">
              <w:rPr>
                <w:rFonts w:ascii="Arial Narrow" w:hAnsi="Arial Narrow"/>
                <w:sz w:val="20"/>
                <w:szCs w:val="20"/>
              </w:rPr>
              <w:t xml:space="preserve">Medical Practitioners  </w:t>
            </w:r>
            <w:r w:rsidRPr="00BE5FAF">
              <w:rPr>
                <w:rFonts w:ascii="Arial Narrow" w:hAnsi="Arial Narrow"/>
                <w:sz w:val="20"/>
                <w:szCs w:val="20"/>
              </w:rPr>
              <w:fldChar w:fldCharType="begin">
                <w:ffData>
                  <w:name w:val="Check3"/>
                  <w:enabled/>
                  <w:calcOnExit w:val="0"/>
                  <w:checkBox>
                    <w:sizeAuto/>
                    <w:default w:val="0"/>
                  </w:checkBox>
                </w:ffData>
              </w:fldChar>
            </w:r>
            <w:r w:rsidRPr="00BE5FAF">
              <w:rPr>
                <w:rFonts w:ascii="Arial Narrow" w:hAnsi="Arial Narrow"/>
                <w:sz w:val="20"/>
                <w:szCs w:val="20"/>
              </w:rPr>
              <w:instrText xml:space="preserve"> FORMCHECKBOX </w:instrText>
            </w:r>
            <w:r w:rsidR="003844D1">
              <w:rPr>
                <w:rFonts w:ascii="Arial Narrow" w:hAnsi="Arial Narrow"/>
                <w:sz w:val="20"/>
                <w:szCs w:val="20"/>
              </w:rPr>
            </w:r>
            <w:r w:rsidR="003844D1">
              <w:rPr>
                <w:rFonts w:ascii="Arial Narrow" w:hAnsi="Arial Narrow"/>
                <w:sz w:val="20"/>
                <w:szCs w:val="20"/>
              </w:rPr>
              <w:fldChar w:fldCharType="separate"/>
            </w:r>
            <w:r w:rsidRPr="00BE5FAF">
              <w:rPr>
                <w:rFonts w:ascii="Arial Narrow" w:hAnsi="Arial Narrow"/>
                <w:sz w:val="20"/>
                <w:szCs w:val="20"/>
              </w:rPr>
              <w:fldChar w:fldCharType="end"/>
            </w:r>
            <w:r w:rsidRPr="00BE5FAF">
              <w:rPr>
                <w:rFonts w:ascii="Arial Narrow" w:hAnsi="Arial Narrow"/>
                <w:sz w:val="20"/>
                <w:szCs w:val="20"/>
              </w:rPr>
              <w:t xml:space="preserve">Nurse practitioners  </w:t>
            </w:r>
            <w:r w:rsidRPr="00BE5FAF">
              <w:rPr>
                <w:rFonts w:ascii="Arial Narrow" w:hAnsi="Arial Narrow"/>
                <w:sz w:val="20"/>
                <w:szCs w:val="20"/>
              </w:rPr>
              <w:fldChar w:fldCharType="begin">
                <w:ffData>
                  <w:name w:val=""/>
                  <w:enabled/>
                  <w:calcOnExit w:val="0"/>
                  <w:checkBox>
                    <w:sizeAuto/>
                    <w:default w:val="0"/>
                  </w:checkBox>
                </w:ffData>
              </w:fldChar>
            </w:r>
            <w:r w:rsidRPr="00BE5FAF">
              <w:rPr>
                <w:rFonts w:ascii="Arial Narrow" w:hAnsi="Arial Narrow"/>
                <w:sz w:val="20"/>
                <w:szCs w:val="20"/>
              </w:rPr>
              <w:instrText xml:space="preserve"> FORMCHECKBOX </w:instrText>
            </w:r>
            <w:r w:rsidR="003844D1">
              <w:rPr>
                <w:rFonts w:ascii="Arial Narrow" w:hAnsi="Arial Narrow"/>
                <w:sz w:val="20"/>
                <w:szCs w:val="20"/>
              </w:rPr>
            </w:r>
            <w:r w:rsidR="003844D1">
              <w:rPr>
                <w:rFonts w:ascii="Arial Narrow" w:hAnsi="Arial Narrow"/>
                <w:sz w:val="20"/>
                <w:szCs w:val="20"/>
              </w:rPr>
              <w:fldChar w:fldCharType="separate"/>
            </w:r>
            <w:r w:rsidRPr="00BE5FAF">
              <w:rPr>
                <w:rFonts w:ascii="Arial Narrow" w:hAnsi="Arial Narrow"/>
                <w:sz w:val="20"/>
                <w:szCs w:val="20"/>
              </w:rPr>
              <w:fldChar w:fldCharType="end"/>
            </w:r>
            <w:r w:rsidRPr="00BE5FAF">
              <w:rPr>
                <w:rFonts w:ascii="Arial Narrow" w:hAnsi="Arial Narrow"/>
                <w:sz w:val="20"/>
                <w:szCs w:val="20"/>
              </w:rPr>
              <w:t>Optometrists</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fldChar w:fldCharType="begin">
                <w:ffData>
                  <w:name w:val="Check5"/>
                  <w:enabled/>
                  <w:calcOnExit w:val="0"/>
                  <w:checkBox>
                    <w:sizeAuto/>
                    <w:default w:val="0"/>
                  </w:checkBox>
                </w:ffData>
              </w:fldChar>
            </w:r>
            <w:r w:rsidRPr="00BE5FAF">
              <w:rPr>
                <w:rFonts w:ascii="Arial Narrow" w:hAnsi="Arial Narrow"/>
                <w:sz w:val="20"/>
                <w:szCs w:val="20"/>
              </w:rPr>
              <w:instrText xml:space="preserve"> FORMCHECKBOX </w:instrText>
            </w:r>
            <w:r w:rsidR="003844D1">
              <w:rPr>
                <w:rFonts w:ascii="Arial Narrow" w:hAnsi="Arial Narrow"/>
                <w:sz w:val="20"/>
                <w:szCs w:val="20"/>
              </w:rPr>
            </w:r>
            <w:r w:rsidR="003844D1">
              <w:rPr>
                <w:rFonts w:ascii="Arial Narrow" w:hAnsi="Arial Narrow"/>
                <w:sz w:val="20"/>
                <w:szCs w:val="20"/>
              </w:rPr>
              <w:fldChar w:fldCharType="separate"/>
            </w:r>
            <w:r w:rsidRPr="00BE5FAF">
              <w:rPr>
                <w:rFonts w:ascii="Arial Narrow" w:hAnsi="Arial Narrow"/>
                <w:sz w:val="20"/>
                <w:szCs w:val="20"/>
              </w:rPr>
              <w:fldChar w:fldCharType="end"/>
            </w:r>
            <w:r w:rsidRPr="00BE5FAF">
              <w:rPr>
                <w:rFonts w:ascii="Arial Narrow" w:hAnsi="Arial Narrow"/>
                <w:sz w:val="20"/>
                <w:szCs w:val="20"/>
              </w:rPr>
              <w:t>Midwives</w:t>
            </w:r>
          </w:p>
        </w:tc>
      </w:tr>
      <w:tr w:rsidR="00B75BCC" w:rsidRPr="00BE5FAF" w:rsidTr="002560C1">
        <w:trPr>
          <w:cantSplit/>
          <w:trHeight w:val="360"/>
        </w:trPr>
        <w:tc>
          <w:tcPr>
            <w:tcW w:w="2019" w:type="dxa"/>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b/>
                <w:sz w:val="20"/>
                <w:szCs w:val="20"/>
              </w:rPr>
            </w:pPr>
            <w:proofErr w:type="spellStart"/>
            <w:r w:rsidRPr="00BE5FAF">
              <w:rPr>
                <w:rFonts w:ascii="Arial Narrow" w:hAnsi="Arial Narrow"/>
                <w:b/>
                <w:sz w:val="20"/>
                <w:szCs w:val="20"/>
              </w:rPr>
              <w:t>Episodicity</w:t>
            </w:r>
            <w:proofErr w:type="spellEnd"/>
            <w:r w:rsidRPr="00BE5FAF">
              <w:rPr>
                <w:rFonts w:ascii="Arial Narrow" w:hAnsi="Arial Narrow"/>
                <w:b/>
                <w:sz w:val="20"/>
                <w:szCs w:val="20"/>
              </w:rPr>
              <w:t>:</w:t>
            </w:r>
          </w:p>
        </w:tc>
        <w:tc>
          <w:tcPr>
            <w:tcW w:w="7195" w:type="dxa"/>
            <w:gridSpan w:val="6"/>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sz w:val="20"/>
                <w:szCs w:val="20"/>
              </w:rPr>
            </w:pPr>
            <w:r w:rsidRPr="00BE5FAF">
              <w:rPr>
                <w:rFonts w:ascii="Arial Narrow" w:hAnsi="Arial Narrow"/>
                <w:sz w:val="20"/>
                <w:szCs w:val="20"/>
              </w:rPr>
              <w:t>Chronic</w:t>
            </w:r>
          </w:p>
        </w:tc>
      </w:tr>
      <w:tr w:rsidR="00B75BCC" w:rsidRPr="00BE5FAF" w:rsidTr="002560C1">
        <w:trPr>
          <w:cantSplit/>
          <w:trHeight w:val="360"/>
        </w:trPr>
        <w:tc>
          <w:tcPr>
            <w:tcW w:w="2019" w:type="dxa"/>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b/>
                <w:sz w:val="20"/>
                <w:szCs w:val="20"/>
              </w:rPr>
            </w:pPr>
            <w:r w:rsidRPr="00BE5FAF">
              <w:rPr>
                <w:rFonts w:ascii="Arial Narrow" w:hAnsi="Arial Narrow"/>
                <w:b/>
                <w:sz w:val="20"/>
                <w:szCs w:val="20"/>
              </w:rPr>
              <w:t>Severity:</w:t>
            </w:r>
          </w:p>
        </w:tc>
        <w:tc>
          <w:tcPr>
            <w:tcW w:w="7195" w:type="dxa"/>
            <w:gridSpan w:val="6"/>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sz w:val="20"/>
                <w:szCs w:val="20"/>
              </w:rPr>
            </w:pPr>
            <w:r w:rsidRPr="00BE5FAF">
              <w:rPr>
                <w:rFonts w:ascii="Arial Narrow" w:hAnsi="Arial Narrow"/>
                <w:sz w:val="20"/>
                <w:szCs w:val="20"/>
              </w:rPr>
              <w:t>Stable</w:t>
            </w:r>
          </w:p>
        </w:tc>
      </w:tr>
      <w:tr w:rsidR="00B75BCC" w:rsidRPr="00BE5FAF" w:rsidTr="002560C1">
        <w:trPr>
          <w:cantSplit/>
          <w:trHeight w:val="360"/>
        </w:trPr>
        <w:tc>
          <w:tcPr>
            <w:tcW w:w="2019" w:type="dxa"/>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b/>
                <w:sz w:val="20"/>
                <w:szCs w:val="20"/>
              </w:rPr>
            </w:pPr>
            <w:r w:rsidRPr="00BE5FAF">
              <w:rPr>
                <w:rFonts w:ascii="Arial Narrow" w:hAnsi="Arial Narrow"/>
                <w:b/>
                <w:sz w:val="20"/>
                <w:szCs w:val="20"/>
              </w:rPr>
              <w:t>Condition:</w:t>
            </w:r>
          </w:p>
        </w:tc>
        <w:tc>
          <w:tcPr>
            <w:tcW w:w="7195" w:type="dxa"/>
            <w:gridSpan w:val="6"/>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sz w:val="20"/>
                <w:szCs w:val="20"/>
              </w:rPr>
            </w:pPr>
            <w:r w:rsidRPr="00BE5FAF">
              <w:rPr>
                <w:rFonts w:ascii="Arial Narrow" w:hAnsi="Arial Narrow"/>
                <w:sz w:val="20"/>
                <w:szCs w:val="20"/>
              </w:rPr>
              <w:t xml:space="preserve">Atherosclerotic disease </w:t>
            </w:r>
          </w:p>
        </w:tc>
      </w:tr>
      <w:tr w:rsidR="00B75BCC" w:rsidRPr="00BE5FAF" w:rsidTr="002560C1">
        <w:trPr>
          <w:cantSplit/>
          <w:trHeight w:val="360"/>
        </w:trPr>
        <w:tc>
          <w:tcPr>
            <w:tcW w:w="2019" w:type="dxa"/>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sz w:val="20"/>
                <w:szCs w:val="20"/>
              </w:rPr>
            </w:pPr>
            <w:r w:rsidRPr="00BE5FAF">
              <w:rPr>
                <w:rFonts w:ascii="Arial Narrow" w:hAnsi="Arial Narrow"/>
                <w:b/>
                <w:sz w:val="20"/>
                <w:szCs w:val="20"/>
              </w:rPr>
              <w:t>PBS Indication:</w:t>
            </w:r>
          </w:p>
        </w:tc>
        <w:tc>
          <w:tcPr>
            <w:tcW w:w="7195" w:type="dxa"/>
            <w:gridSpan w:val="6"/>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sz w:val="20"/>
                <w:szCs w:val="20"/>
              </w:rPr>
            </w:pPr>
            <w:r w:rsidRPr="00BE5FAF">
              <w:rPr>
                <w:rFonts w:ascii="Arial Narrow" w:hAnsi="Arial Narrow"/>
                <w:sz w:val="20"/>
                <w:szCs w:val="20"/>
              </w:rPr>
              <w:t xml:space="preserve">Chronic stable atherosclerotic disease </w:t>
            </w:r>
          </w:p>
        </w:tc>
      </w:tr>
      <w:tr w:rsidR="00B75BCC" w:rsidRPr="00BE5FAF" w:rsidTr="002560C1">
        <w:trPr>
          <w:cantSplit/>
          <w:trHeight w:val="360"/>
        </w:trPr>
        <w:tc>
          <w:tcPr>
            <w:tcW w:w="2019" w:type="dxa"/>
            <w:tcBorders>
              <w:top w:val="single" w:sz="4" w:space="0" w:color="auto"/>
              <w:left w:val="single" w:sz="4" w:space="0" w:color="auto"/>
              <w:bottom w:val="single" w:sz="4" w:space="0" w:color="auto"/>
              <w:right w:val="single" w:sz="4" w:space="0" w:color="auto"/>
            </w:tcBorders>
          </w:tcPr>
          <w:p w:rsidR="00B75BCC" w:rsidRPr="00BE5FAF" w:rsidRDefault="00B75BCC" w:rsidP="000F3DEC">
            <w:pPr>
              <w:widowControl/>
              <w:rPr>
                <w:rFonts w:ascii="Arial Narrow" w:hAnsi="Arial Narrow"/>
                <w:i/>
                <w:sz w:val="20"/>
                <w:szCs w:val="20"/>
              </w:rPr>
            </w:pPr>
            <w:r w:rsidRPr="00BE5FAF">
              <w:rPr>
                <w:rFonts w:ascii="Arial Narrow" w:hAnsi="Arial Narrow"/>
                <w:b/>
                <w:sz w:val="20"/>
                <w:szCs w:val="20"/>
              </w:rPr>
              <w:t>Restriction Level / Method:</w:t>
            </w:r>
            <w:r w:rsidR="000F3DEC" w:rsidRPr="00BE5FAF">
              <w:rPr>
                <w:rFonts w:ascii="Arial Narrow" w:hAnsi="Arial Narrow"/>
                <w:i/>
                <w:sz w:val="20"/>
                <w:szCs w:val="20"/>
              </w:rPr>
              <w:t xml:space="preserve"> </w:t>
            </w:r>
          </w:p>
        </w:tc>
        <w:tc>
          <w:tcPr>
            <w:tcW w:w="7195" w:type="dxa"/>
            <w:gridSpan w:val="6"/>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sz w:val="20"/>
                <w:szCs w:val="20"/>
              </w:rPr>
            </w:pPr>
            <w:r w:rsidRPr="00BE5FAF">
              <w:rPr>
                <w:rFonts w:ascii="Arial Narrow" w:hAnsi="Arial Narrow"/>
                <w:sz w:val="20"/>
                <w:szCs w:val="20"/>
              </w:rPr>
              <w:fldChar w:fldCharType="begin">
                <w:ffData>
                  <w:name w:val="Check5"/>
                  <w:enabled/>
                  <w:calcOnExit w:val="0"/>
                  <w:checkBox>
                    <w:sizeAuto/>
                    <w:default w:val="1"/>
                  </w:checkBox>
                </w:ffData>
              </w:fldChar>
            </w:r>
            <w:r w:rsidRPr="00BE5FAF">
              <w:rPr>
                <w:rFonts w:ascii="Arial Narrow" w:hAnsi="Arial Narrow"/>
                <w:sz w:val="20"/>
                <w:szCs w:val="20"/>
              </w:rPr>
              <w:instrText xml:space="preserve"> FORMCHECKBOX </w:instrText>
            </w:r>
            <w:r w:rsidR="003844D1">
              <w:rPr>
                <w:rFonts w:ascii="Arial Narrow" w:hAnsi="Arial Narrow"/>
                <w:sz w:val="20"/>
                <w:szCs w:val="20"/>
              </w:rPr>
            </w:r>
            <w:r w:rsidR="003844D1">
              <w:rPr>
                <w:rFonts w:ascii="Arial Narrow" w:hAnsi="Arial Narrow"/>
                <w:sz w:val="20"/>
                <w:szCs w:val="20"/>
              </w:rPr>
              <w:fldChar w:fldCharType="separate"/>
            </w:r>
            <w:r w:rsidRPr="00BE5FAF">
              <w:rPr>
                <w:rFonts w:ascii="Arial Narrow" w:hAnsi="Arial Narrow"/>
                <w:sz w:val="20"/>
                <w:szCs w:val="20"/>
              </w:rPr>
              <w:fldChar w:fldCharType="end"/>
            </w:r>
            <w:r w:rsidRPr="00BE5FAF">
              <w:rPr>
                <w:rFonts w:ascii="Arial Narrow" w:hAnsi="Arial Narrow"/>
                <w:sz w:val="20"/>
                <w:szCs w:val="20"/>
              </w:rPr>
              <w:t>Streamlined</w:t>
            </w:r>
          </w:p>
        </w:tc>
      </w:tr>
      <w:tr w:rsidR="00B75BCC" w:rsidRPr="00BE5FAF" w:rsidTr="002560C1">
        <w:trPr>
          <w:trHeight w:val="360"/>
        </w:trPr>
        <w:tc>
          <w:tcPr>
            <w:tcW w:w="2019" w:type="dxa"/>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b/>
                <w:sz w:val="20"/>
                <w:szCs w:val="20"/>
              </w:rPr>
            </w:pPr>
            <w:r w:rsidRPr="00BE5FAF">
              <w:rPr>
                <w:rFonts w:ascii="Arial Narrow" w:hAnsi="Arial Narrow"/>
                <w:b/>
                <w:sz w:val="20"/>
                <w:szCs w:val="20"/>
              </w:rPr>
              <w:t>Clinical Criteria</w:t>
            </w:r>
          </w:p>
        </w:tc>
        <w:tc>
          <w:tcPr>
            <w:tcW w:w="7195" w:type="dxa"/>
            <w:gridSpan w:val="6"/>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sz w:val="20"/>
                <w:szCs w:val="20"/>
              </w:rPr>
            </w:pPr>
            <w:r w:rsidRPr="00BE5FAF">
              <w:rPr>
                <w:rFonts w:ascii="Arial Narrow" w:hAnsi="Arial Narrow"/>
                <w:sz w:val="20"/>
                <w:szCs w:val="20"/>
              </w:rPr>
              <w:t xml:space="preserve">Patient must have objective evidence of a large burden of atherosclerotic disease in peripheral, carotid or coronary arteries; </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lastRenderedPageBreak/>
              <w:t xml:space="preserve">AND </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 xml:space="preserve">Patient must have had previous surgical intervention for vascular disease; OR </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Patient must have intermittent claudication with an ankle-brachial index &lt;0.90 or diagnosed significant peripheral artery stenosis</w:t>
            </w:r>
            <w:r w:rsidR="000F3DEC" w:rsidRPr="00BE5FAF">
              <w:rPr>
                <w:rFonts w:ascii="Arial Narrow" w:hAnsi="Arial Narrow"/>
                <w:sz w:val="20"/>
                <w:szCs w:val="20"/>
              </w:rPr>
              <w:t xml:space="preserve">; </w:t>
            </w:r>
            <w:r w:rsidRPr="00BE5FAF">
              <w:rPr>
                <w:rFonts w:ascii="Arial Narrow" w:hAnsi="Arial Narrow"/>
                <w:sz w:val="20"/>
                <w:szCs w:val="20"/>
              </w:rPr>
              <w:t xml:space="preserve">OR </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Patient must have asymptomatic stenosis ≥50% of the carotid artery</w:t>
            </w:r>
            <w:r w:rsidR="000F3DEC" w:rsidRPr="00BE5FAF">
              <w:rPr>
                <w:rFonts w:ascii="Arial Narrow" w:hAnsi="Arial Narrow"/>
                <w:sz w:val="20"/>
                <w:szCs w:val="20"/>
              </w:rPr>
              <w:t xml:space="preserve">; </w:t>
            </w:r>
            <w:r w:rsidRPr="00BE5FAF">
              <w:rPr>
                <w:rFonts w:ascii="Arial Narrow" w:hAnsi="Arial Narrow"/>
                <w:sz w:val="20"/>
                <w:szCs w:val="20"/>
              </w:rPr>
              <w:t>OR</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Patient must have had a previous myocardial infarction within the last {x} years</w:t>
            </w:r>
            <w:r w:rsidR="000F3DEC" w:rsidRPr="00BE5FAF">
              <w:rPr>
                <w:rFonts w:ascii="Arial Narrow" w:hAnsi="Arial Narrow"/>
                <w:sz w:val="20"/>
                <w:szCs w:val="20"/>
              </w:rPr>
              <w:t xml:space="preserve">; </w:t>
            </w:r>
            <w:r w:rsidRPr="00BE5FAF">
              <w:rPr>
                <w:rFonts w:ascii="Arial Narrow" w:hAnsi="Arial Narrow"/>
                <w:sz w:val="20"/>
                <w:szCs w:val="20"/>
              </w:rPr>
              <w:t xml:space="preserve">OR </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Patient must have had a multi-vessel coronary revascularisation procedure; OR</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Patient must have symptomatic coronary artery disease with significant stenosis in ≥2 coronary arteries</w:t>
            </w:r>
            <w:r w:rsidR="000F3DEC" w:rsidRPr="00BE5FAF">
              <w:rPr>
                <w:rFonts w:ascii="Arial Narrow" w:hAnsi="Arial Narrow"/>
                <w:sz w:val="20"/>
                <w:szCs w:val="20"/>
              </w:rPr>
              <w:t xml:space="preserve">; </w:t>
            </w:r>
            <w:r w:rsidRPr="00BE5FAF">
              <w:rPr>
                <w:rFonts w:ascii="Arial Narrow" w:hAnsi="Arial Narrow"/>
                <w:sz w:val="20"/>
                <w:szCs w:val="20"/>
              </w:rPr>
              <w:t xml:space="preserve">OR </w:t>
            </w:r>
          </w:p>
          <w:p w:rsidR="00B75BCC" w:rsidRPr="00BE5FAF" w:rsidRDefault="00B75BCC" w:rsidP="00F67D6E">
            <w:pPr>
              <w:widowControl/>
              <w:rPr>
                <w:rFonts w:ascii="Arial Narrow" w:hAnsi="Arial Narrow"/>
                <w:strike/>
                <w:sz w:val="20"/>
                <w:szCs w:val="20"/>
              </w:rPr>
            </w:pPr>
            <w:r w:rsidRPr="00BE5FAF">
              <w:rPr>
                <w:rFonts w:ascii="Arial Narrow" w:hAnsi="Arial Narrow"/>
                <w:sz w:val="20"/>
                <w:szCs w:val="20"/>
              </w:rPr>
              <w:t xml:space="preserve">Patient must have symptomatic coronary artery disease with significant stenosis in one coronary artery if ≥1 other territory has been </w:t>
            </w:r>
            <w:proofErr w:type="spellStart"/>
            <w:r w:rsidRPr="00BE5FAF">
              <w:rPr>
                <w:rFonts w:ascii="Arial Narrow" w:hAnsi="Arial Narrow"/>
                <w:sz w:val="20"/>
                <w:szCs w:val="20"/>
              </w:rPr>
              <w:t>revascularised</w:t>
            </w:r>
            <w:proofErr w:type="spellEnd"/>
            <w:r w:rsidRPr="00BE5FAF">
              <w:rPr>
                <w:rFonts w:ascii="Arial Narrow" w:hAnsi="Arial Narrow"/>
                <w:sz w:val="20"/>
                <w:szCs w:val="20"/>
              </w:rPr>
              <w:t xml:space="preserve"> </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 xml:space="preserve">AND </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Patient must not have acute coronary syndrome</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 xml:space="preserve">AND </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 xml:space="preserve">Patient must not require concomitant intensified antiplatelet therapy </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 xml:space="preserve">AND </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The treatment must be in combination with aspirin</w:t>
            </w:r>
          </w:p>
        </w:tc>
      </w:tr>
      <w:tr w:rsidR="00B75BCC" w:rsidRPr="00BE5FAF" w:rsidTr="002560C1">
        <w:trPr>
          <w:cantSplit/>
          <w:trHeight w:val="360"/>
        </w:trPr>
        <w:tc>
          <w:tcPr>
            <w:tcW w:w="2019" w:type="dxa"/>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sz w:val="20"/>
                <w:szCs w:val="20"/>
              </w:rPr>
            </w:pPr>
            <w:r w:rsidRPr="00BE5FAF">
              <w:rPr>
                <w:rFonts w:ascii="Arial Narrow" w:hAnsi="Arial Narrow"/>
                <w:b/>
                <w:sz w:val="20"/>
                <w:szCs w:val="20"/>
              </w:rPr>
              <w:lastRenderedPageBreak/>
              <w:t>Prescriber Instructions</w:t>
            </w:r>
          </w:p>
        </w:tc>
        <w:tc>
          <w:tcPr>
            <w:tcW w:w="7195" w:type="dxa"/>
            <w:gridSpan w:val="6"/>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sz w:val="20"/>
                <w:szCs w:val="20"/>
              </w:rPr>
            </w:pPr>
            <w:r w:rsidRPr="00BE5FAF">
              <w:rPr>
                <w:rFonts w:ascii="Arial Narrow" w:hAnsi="Arial Narrow"/>
                <w:sz w:val="20"/>
                <w:szCs w:val="20"/>
              </w:rPr>
              <w:t>Peripheral artery stenosis, stenosis of the carotid artery, or coronary artery stenosis must be diagnosed by angiography or non-invasive imaging</w:t>
            </w:r>
          </w:p>
          <w:p w:rsidR="00B75BCC" w:rsidRPr="00BE5FAF" w:rsidRDefault="00B75BCC" w:rsidP="00F67D6E">
            <w:pPr>
              <w:widowControl/>
              <w:rPr>
                <w:rFonts w:ascii="Arial Narrow" w:hAnsi="Arial Narrow"/>
                <w:sz w:val="20"/>
                <w:szCs w:val="20"/>
              </w:rPr>
            </w:pP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 xml:space="preserve">Patients under 65 years of age must have documented atherosclerotic disease affecting an additional vascular bed or at least two additional risk factors such as smoking, diabetes, renal dysfunction, heart failure, or history of non-lacunar stroke  </w:t>
            </w:r>
          </w:p>
          <w:p w:rsidR="00B75BCC" w:rsidRPr="00BE5FAF" w:rsidRDefault="00B75BCC" w:rsidP="00F67D6E">
            <w:pPr>
              <w:widowControl/>
              <w:rPr>
                <w:rFonts w:ascii="Arial Narrow" w:hAnsi="Arial Narrow"/>
                <w:sz w:val="20"/>
                <w:szCs w:val="20"/>
              </w:rPr>
            </w:pPr>
          </w:p>
        </w:tc>
      </w:tr>
      <w:tr w:rsidR="00B75BCC" w:rsidRPr="00BE5FAF" w:rsidTr="002560C1">
        <w:trPr>
          <w:cantSplit/>
          <w:trHeight w:val="360"/>
        </w:trPr>
        <w:tc>
          <w:tcPr>
            <w:tcW w:w="2019" w:type="dxa"/>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b/>
                <w:sz w:val="20"/>
                <w:szCs w:val="20"/>
              </w:rPr>
            </w:pPr>
            <w:r w:rsidRPr="00BE5FAF">
              <w:rPr>
                <w:rFonts w:ascii="Arial Narrow" w:hAnsi="Arial Narrow"/>
                <w:b/>
                <w:sz w:val="20"/>
                <w:szCs w:val="20"/>
              </w:rPr>
              <w:t>Administrative Advice</w:t>
            </w:r>
          </w:p>
        </w:tc>
        <w:tc>
          <w:tcPr>
            <w:tcW w:w="7195" w:type="dxa"/>
            <w:gridSpan w:val="6"/>
            <w:tcBorders>
              <w:top w:val="single" w:sz="4" w:space="0" w:color="auto"/>
              <w:left w:val="single" w:sz="4" w:space="0" w:color="auto"/>
              <w:bottom w:val="single" w:sz="4" w:space="0" w:color="auto"/>
              <w:right w:val="single" w:sz="4" w:space="0" w:color="auto"/>
            </w:tcBorders>
          </w:tcPr>
          <w:p w:rsidR="00B75BCC" w:rsidRPr="00BE5FAF" w:rsidRDefault="00B75BCC" w:rsidP="00F67D6E">
            <w:pPr>
              <w:widowControl/>
              <w:rPr>
                <w:rFonts w:ascii="Arial Narrow" w:hAnsi="Arial Narrow"/>
                <w:b/>
                <w:sz w:val="20"/>
                <w:szCs w:val="20"/>
              </w:rPr>
            </w:pPr>
            <w:r w:rsidRPr="00BE5FAF">
              <w:rPr>
                <w:rFonts w:ascii="Arial Narrow" w:hAnsi="Arial Narrow"/>
                <w:b/>
                <w:bCs/>
                <w:sz w:val="20"/>
                <w:szCs w:val="20"/>
              </w:rPr>
              <w:t>Shared Care Model</w:t>
            </w:r>
            <w:r w:rsidRPr="00BE5FAF">
              <w:rPr>
                <w:rFonts w:ascii="Arial Narrow" w:hAnsi="Arial Narrow"/>
                <w:b/>
                <w:sz w:val="20"/>
                <w:szCs w:val="20"/>
              </w:rPr>
              <w:t>:</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 xml:space="preserve">For prescribing by nurse practitioners where care of a patient </w:t>
            </w:r>
            <w:proofErr w:type="gramStart"/>
            <w:r w:rsidRPr="00BE5FAF">
              <w:rPr>
                <w:rFonts w:ascii="Arial Narrow" w:hAnsi="Arial Narrow"/>
                <w:sz w:val="20"/>
                <w:szCs w:val="20"/>
              </w:rPr>
              <w:t>is shared</w:t>
            </w:r>
            <w:proofErr w:type="gramEnd"/>
            <w:r w:rsidRPr="00BE5FAF">
              <w:rPr>
                <w:rFonts w:ascii="Arial Narrow" w:hAnsi="Arial Narrow"/>
                <w:sz w:val="20"/>
                <w:szCs w:val="20"/>
              </w:rPr>
              <w:t xml:space="preserve"> between a nurse practitioner and medical practitioner in a formalised arrangement with an agreed management plan. Further information </w:t>
            </w:r>
            <w:proofErr w:type="gramStart"/>
            <w:r w:rsidRPr="00BE5FAF">
              <w:rPr>
                <w:rFonts w:ascii="Arial Narrow" w:hAnsi="Arial Narrow"/>
                <w:sz w:val="20"/>
                <w:szCs w:val="20"/>
              </w:rPr>
              <w:t>can be found</w:t>
            </w:r>
            <w:proofErr w:type="gramEnd"/>
            <w:r w:rsidRPr="00BE5FAF">
              <w:rPr>
                <w:rFonts w:ascii="Arial Narrow" w:hAnsi="Arial Narrow"/>
                <w:sz w:val="20"/>
                <w:szCs w:val="20"/>
              </w:rPr>
              <w:t xml:space="preserve"> in the Explanatory Notes for Nurse Practitioners.</w:t>
            </w:r>
          </w:p>
          <w:p w:rsidR="00B75BCC" w:rsidRPr="00BE5FAF" w:rsidRDefault="00B75BCC" w:rsidP="00F67D6E">
            <w:pPr>
              <w:widowControl/>
              <w:rPr>
                <w:rFonts w:ascii="Arial Narrow" w:hAnsi="Arial Narrow"/>
                <w:sz w:val="20"/>
                <w:szCs w:val="20"/>
              </w:rPr>
            </w:pPr>
            <w:r w:rsidRPr="00BE5FAF">
              <w:rPr>
                <w:rFonts w:ascii="Arial Narrow" w:hAnsi="Arial Narrow"/>
                <w:b/>
                <w:bCs/>
                <w:sz w:val="20"/>
                <w:szCs w:val="20"/>
                <w:u w:val="single"/>
              </w:rPr>
              <w:t>Note</w:t>
            </w:r>
          </w:p>
          <w:p w:rsidR="00B75BCC" w:rsidRPr="00BE5FAF" w:rsidRDefault="00B75BCC" w:rsidP="00F67D6E">
            <w:pPr>
              <w:widowControl/>
              <w:rPr>
                <w:rFonts w:ascii="Arial Narrow" w:hAnsi="Arial Narrow"/>
                <w:sz w:val="20"/>
                <w:szCs w:val="20"/>
              </w:rPr>
            </w:pPr>
            <w:r w:rsidRPr="00BE5FAF">
              <w:rPr>
                <w:rFonts w:ascii="Arial Narrow" w:hAnsi="Arial Narrow"/>
                <w:sz w:val="20"/>
                <w:szCs w:val="20"/>
              </w:rPr>
              <w:t>No increase in the maximum quantity or number of units may be authorised.</w:t>
            </w:r>
          </w:p>
          <w:p w:rsidR="00B75BCC" w:rsidRPr="00BE5FAF" w:rsidRDefault="00B75BCC" w:rsidP="00F67D6E">
            <w:pPr>
              <w:widowControl/>
              <w:rPr>
                <w:rFonts w:ascii="Arial Narrow" w:hAnsi="Arial Narrow"/>
                <w:sz w:val="20"/>
                <w:szCs w:val="20"/>
              </w:rPr>
            </w:pPr>
            <w:r w:rsidRPr="00BE5FAF">
              <w:rPr>
                <w:rFonts w:ascii="Arial Narrow" w:hAnsi="Arial Narrow"/>
                <w:b/>
                <w:bCs/>
                <w:sz w:val="20"/>
                <w:szCs w:val="20"/>
                <w:u w:val="single"/>
              </w:rPr>
              <w:t>Note</w:t>
            </w:r>
          </w:p>
          <w:p w:rsidR="00B75BCC" w:rsidRPr="00BE5FAF" w:rsidRDefault="00B75BCC" w:rsidP="001960ED">
            <w:pPr>
              <w:widowControl/>
              <w:rPr>
                <w:rFonts w:ascii="Arial Narrow" w:hAnsi="Arial Narrow"/>
                <w:i/>
                <w:sz w:val="20"/>
                <w:szCs w:val="20"/>
              </w:rPr>
            </w:pPr>
            <w:r w:rsidRPr="00BE5FAF">
              <w:rPr>
                <w:rFonts w:ascii="Arial Narrow" w:hAnsi="Arial Narrow"/>
                <w:sz w:val="20"/>
                <w:szCs w:val="20"/>
              </w:rPr>
              <w:t>No increase in the maximum number of repeats may be authorised.</w:t>
            </w:r>
          </w:p>
        </w:tc>
      </w:tr>
    </w:tbl>
    <w:p w:rsidR="001B5C1A" w:rsidRPr="00BE5FAF" w:rsidRDefault="001B5C1A" w:rsidP="004A557C">
      <w:pPr>
        <w:pStyle w:val="ListParagraph"/>
        <w:widowControl/>
        <w:numPr>
          <w:ilvl w:val="1"/>
          <w:numId w:val="2"/>
        </w:numPr>
        <w:spacing w:before="120" w:after="120"/>
      </w:pPr>
      <w:r w:rsidRPr="00BE5FAF">
        <w:t>The proposed restriction is narrower than the proposed TGA indication in that it specifies stable atherosclerotic disease.</w:t>
      </w:r>
    </w:p>
    <w:p w:rsidR="00F529AD" w:rsidRPr="00BE5FAF" w:rsidRDefault="001B5C1A" w:rsidP="004A557C">
      <w:pPr>
        <w:pStyle w:val="ListParagraph"/>
        <w:widowControl/>
        <w:numPr>
          <w:ilvl w:val="1"/>
          <w:numId w:val="2"/>
        </w:numPr>
        <w:spacing w:before="120" w:after="120"/>
        <w:rPr>
          <w:i/>
        </w:rPr>
      </w:pPr>
      <w:r w:rsidRPr="00BE5FAF">
        <w:t xml:space="preserve">The submission acknowledged that the restriction is complex and may require </w:t>
      </w:r>
      <w:r w:rsidR="00796010" w:rsidRPr="00BE5FAF">
        <w:t xml:space="preserve">further </w:t>
      </w:r>
      <w:r w:rsidRPr="00BE5FAF">
        <w:t xml:space="preserve">input from the </w:t>
      </w:r>
      <w:r w:rsidR="00796010" w:rsidRPr="00BE5FAF">
        <w:t>Department.</w:t>
      </w:r>
      <w:r w:rsidRPr="00BE5FAF">
        <w:t xml:space="preserve"> </w:t>
      </w:r>
      <w:r w:rsidR="00606C1B" w:rsidRPr="00BE5FAF">
        <w:t xml:space="preserve">The evaluation considered there </w:t>
      </w:r>
      <w:r w:rsidR="00025F2F" w:rsidRPr="00BE5FAF">
        <w:t>i</w:t>
      </w:r>
      <w:r w:rsidR="00606C1B" w:rsidRPr="00BE5FAF">
        <w:t>s</w:t>
      </w:r>
      <w:r w:rsidRPr="00BE5FAF">
        <w:t xml:space="preserve"> </w:t>
      </w:r>
      <w:r w:rsidR="00606C1B" w:rsidRPr="00BE5FAF">
        <w:t xml:space="preserve">a risk of </w:t>
      </w:r>
      <w:r w:rsidR="007C2958" w:rsidRPr="00BE5FAF">
        <w:t xml:space="preserve">use </w:t>
      </w:r>
      <w:r w:rsidRPr="00BE5FAF">
        <w:t>outside the proposed population</w:t>
      </w:r>
      <w:r w:rsidR="000D6C3A" w:rsidRPr="00BE5FAF">
        <w:t xml:space="preserve"> </w:t>
      </w:r>
      <w:r w:rsidR="0080682D" w:rsidRPr="00BE5FAF">
        <w:t xml:space="preserve">(e.g. </w:t>
      </w:r>
      <w:r w:rsidR="000D6C3A" w:rsidRPr="00BE5FAF">
        <w:t>in populations at lower risk of cardiac events</w:t>
      </w:r>
      <w:r w:rsidR="0080682D" w:rsidRPr="00BE5FAF">
        <w:t xml:space="preserve">, </w:t>
      </w:r>
      <w:r w:rsidR="00CA1732">
        <w:t xml:space="preserve">or populations </w:t>
      </w:r>
      <w:r w:rsidR="0080682D" w:rsidRPr="00BE5FAF">
        <w:t>with recent ACS</w:t>
      </w:r>
      <w:r w:rsidR="0001414A" w:rsidRPr="00BE5FAF">
        <w:t>)</w:t>
      </w:r>
      <w:r w:rsidRPr="00BE5FAF">
        <w:t>.</w:t>
      </w:r>
      <w:r w:rsidR="00156CA8" w:rsidRPr="00BE5FAF">
        <w:rPr>
          <w:i/>
        </w:rPr>
        <w:t xml:space="preserve"> </w:t>
      </w:r>
      <w:r w:rsidR="00156CA8" w:rsidRPr="00BE5FAF">
        <w:t xml:space="preserve">The ESC agreed the </w:t>
      </w:r>
      <w:r w:rsidR="00F529AD" w:rsidRPr="00BE5FAF">
        <w:t xml:space="preserve">proposed </w:t>
      </w:r>
      <w:r w:rsidR="00156CA8" w:rsidRPr="00BE5FAF">
        <w:t>restriction was complex</w:t>
      </w:r>
      <w:r w:rsidR="002B3BDC" w:rsidRPr="00BE5FAF">
        <w:t xml:space="preserve"> and </w:t>
      </w:r>
      <w:r w:rsidR="001453DB" w:rsidRPr="00BE5FAF">
        <w:t>open to interpretation</w:t>
      </w:r>
      <w:r w:rsidR="00004E36" w:rsidRPr="00BE5FAF">
        <w:t>.</w:t>
      </w:r>
      <w:r w:rsidR="00F529AD" w:rsidRPr="00BE5FAF">
        <w:t xml:space="preserve"> The ESC </w:t>
      </w:r>
      <w:r w:rsidR="00B5015D" w:rsidRPr="00BE5FAF">
        <w:t>considered</w:t>
      </w:r>
      <w:r w:rsidR="00F529AD" w:rsidRPr="00BE5FAF">
        <w:t xml:space="preserve"> that th</w:t>
      </w:r>
      <w:r w:rsidR="00B5015D" w:rsidRPr="00BE5FAF">
        <w:t>e</w:t>
      </w:r>
      <w:r w:rsidR="00F529AD" w:rsidRPr="00BE5FAF">
        <w:t xml:space="preserve"> restriction would need considerable refinement to ensure the appropriate </w:t>
      </w:r>
      <w:r w:rsidR="00BE5FAF" w:rsidRPr="00BE5FAF">
        <w:t>high-risk</w:t>
      </w:r>
      <w:r w:rsidR="00F529AD" w:rsidRPr="00BE5FAF">
        <w:t xml:space="preserve"> population </w:t>
      </w:r>
      <w:proofErr w:type="gramStart"/>
      <w:r w:rsidR="00F529AD" w:rsidRPr="00BE5FAF">
        <w:t>was identified</w:t>
      </w:r>
      <w:proofErr w:type="gramEnd"/>
      <w:r w:rsidR="00F529AD" w:rsidRPr="00BE5FAF">
        <w:rPr>
          <w:i/>
        </w:rPr>
        <w:t>.</w:t>
      </w:r>
    </w:p>
    <w:p w:rsidR="00004E36" w:rsidRPr="00BE5FAF" w:rsidRDefault="001453DB" w:rsidP="004A557C">
      <w:pPr>
        <w:pStyle w:val="ListParagraph"/>
        <w:widowControl/>
        <w:numPr>
          <w:ilvl w:val="1"/>
          <w:numId w:val="2"/>
        </w:numPr>
        <w:spacing w:before="120" w:after="120"/>
      </w:pPr>
      <w:r w:rsidRPr="00BE5FAF">
        <w:t xml:space="preserve">The ESC considered </w:t>
      </w:r>
      <w:r w:rsidR="002B2C22" w:rsidRPr="00BE5FAF">
        <w:t xml:space="preserve">that </w:t>
      </w:r>
      <w:r w:rsidRPr="00BE5FAF">
        <w:t xml:space="preserve">more specific wording </w:t>
      </w:r>
      <w:r w:rsidR="009C7BE1" w:rsidRPr="00BE5FAF">
        <w:t>around</w:t>
      </w:r>
      <w:r w:rsidR="002B2C22" w:rsidRPr="00BE5FAF">
        <w:t xml:space="preserve"> many of the clinical criteria would be required, including regarding </w:t>
      </w:r>
      <w:r w:rsidR="009C7BE1" w:rsidRPr="00BE5FAF">
        <w:t>disease burden, surgical intervention</w:t>
      </w:r>
      <w:r w:rsidR="00220808" w:rsidRPr="00BE5FAF">
        <w:t xml:space="preserve"> (e.g. whether this includes percutaneous procedures)</w:t>
      </w:r>
      <w:r w:rsidR="004D572E" w:rsidRPr="00BE5FAF">
        <w:t xml:space="preserve">, </w:t>
      </w:r>
      <w:r w:rsidR="009C7BE1" w:rsidRPr="00BE5FAF">
        <w:t>and extent of arter</w:t>
      </w:r>
      <w:r w:rsidR="00004E36" w:rsidRPr="00BE5FAF">
        <w:t>ial</w:t>
      </w:r>
      <w:r w:rsidR="009C7BE1" w:rsidRPr="00BE5FAF">
        <w:t xml:space="preserve"> stenosis </w:t>
      </w:r>
      <w:r w:rsidR="00004E36" w:rsidRPr="00BE5FAF">
        <w:t xml:space="preserve">(e.g. whether this should </w:t>
      </w:r>
      <w:r w:rsidR="002B2C22" w:rsidRPr="00BE5FAF">
        <w:t>outline</w:t>
      </w:r>
      <w:r w:rsidR="00004E36" w:rsidRPr="00BE5FAF">
        <w:t xml:space="preserve"> a minimum percent</w:t>
      </w:r>
      <w:r w:rsidR="002B2C22" w:rsidRPr="00BE5FAF">
        <w:t xml:space="preserve"> of stenosis</w:t>
      </w:r>
      <w:r w:rsidR="00004E36" w:rsidRPr="00BE5FAF">
        <w:t xml:space="preserve"> on imaging</w:t>
      </w:r>
      <w:r w:rsidR="00CA1732">
        <w:t xml:space="preserve"> or evidence of functional significance</w:t>
      </w:r>
      <w:r w:rsidR="00004E36" w:rsidRPr="00BE5FAF">
        <w:t>)</w:t>
      </w:r>
      <w:r w:rsidR="009C7BE1" w:rsidRPr="00BE5FAF">
        <w:t xml:space="preserve">. </w:t>
      </w:r>
      <w:r w:rsidR="00004E36" w:rsidRPr="00BE5FAF">
        <w:t xml:space="preserve">The ESC considered that the Prescriber Instruction requiring patients to have at least </w:t>
      </w:r>
      <w:proofErr w:type="gramStart"/>
      <w:r w:rsidR="00004E36" w:rsidRPr="00BE5FAF">
        <w:t>2</w:t>
      </w:r>
      <w:proofErr w:type="gramEnd"/>
      <w:r w:rsidR="00004E36" w:rsidRPr="00BE5FAF">
        <w:t xml:space="preserve"> additional risk factors “such as smoking, diabetes, renal dysfunction, heart failure, or history of non-lacunar stroke” was particularly open to interpretation, and could be interpreted to include risk factors such as family history, hyperuricemia, dyslipidaemia. Given the varying </w:t>
      </w:r>
      <w:r w:rsidR="00B5015D" w:rsidRPr="00BE5FAF">
        <w:t xml:space="preserve">clinical </w:t>
      </w:r>
      <w:r w:rsidR="00004E36" w:rsidRPr="00BE5FAF">
        <w:t xml:space="preserve">significance of different risk </w:t>
      </w:r>
      <w:r w:rsidR="00004E36" w:rsidRPr="00BE5FAF">
        <w:lastRenderedPageBreak/>
        <w:t>factors</w:t>
      </w:r>
      <w:r w:rsidR="002B2C22" w:rsidRPr="00BE5FAF">
        <w:t xml:space="preserve">, the ESC considered that it may be necessary to outline the particular risk factors that a patient must have in order be eligible for </w:t>
      </w:r>
      <w:proofErr w:type="spellStart"/>
      <w:r w:rsidR="002B2C22" w:rsidRPr="00BE5FAF">
        <w:t>rivaroxaban</w:t>
      </w:r>
      <w:proofErr w:type="spellEnd"/>
      <w:r w:rsidR="00BE5FAF">
        <w:t xml:space="preserve">. </w:t>
      </w:r>
    </w:p>
    <w:p w:rsidR="00EF5136" w:rsidRPr="00BE5FAF" w:rsidRDefault="009C7BE1" w:rsidP="004A557C">
      <w:pPr>
        <w:pStyle w:val="ListParagraph"/>
        <w:widowControl/>
        <w:numPr>
          <w:ilvl w:val="1"/>
          <w:numId w:val="2"/>
        </w:numPr>
        <w:spacing w:before="120" w:after="120"/>
      </w:pPr>
      <w:r w:rsidRPr="00BE5FAF">
        <w:t>The ESC also proposed</w:t>
      </w:r>
      <w:r w:rsidR="001453DB" w:rsidRPr="00BE5FAF">
        <w:t xml:space="preserve"> </w:t>
      </w:r>
      <w:r w:rsidRPr="00BE5FAF">
        <w:t>that</w:t>
      </w:r>
      <w:r w:rsidR="00C76328" w:rsidRPr="00BE5FAF">
        <w:t xml:space="preserve"> </w:t>
      </w:r>
      <w:proofErr w:type="spellStart"/>
      <w:r w:rsidR="00C76328" w:rsidRPr="00BE5FAF">
        <w:t>rivaroxaban</w:t>
      </w:r>
      <w:proofErr w:type="spellEnd"/>
      <w:r w:rsidR="00C76328" w:rsidRPr="00BE5FAF">
        <w:t xml:space="preserve"> treatment</w:t>
      </w:r>
      <w:r w:rsidR="002B2C22" w:rsidRPr="00BE5FAF">
        <w:t xml:space="preserve"> </w:t>
      </w:r>
      <w:proofErr w:type="gramStart"/>
      <w:r w:rsidR="002B2C22" w:rsidRPr="00BE5FAF">
        <w:t>should</w:t>
      </w:r>
      <w:r w:rsidR="00C76328" w:rsidRPr="00BE5FAF">
        <w:t xml:space="preserve"> </w:t>
      </w:r>
      <w:r w:rsidR="00EF5136" w:rsidRPr="00BE5FAF">
        <w:t xml:space="preserve">be </w:t>
      </w:r>
      <w:r w:rsidR="00E579CD" w:rsidRPr="00BE5FAF">
        <w:t>excluded</w:t>
      </w:r>
      <w:proofErr w:type="gramEnd"/>
      <w:r w:rsidR="00EF5136" w:rsidRPr="00BE5FAF">
        <w:t xml:space="preserve"> in patients who have</w:t>
      </w:r>
      <w:r w:rsidR="00C76328" w:rsidRPr="00BE5FAF">
        <w:t xml:space="preserve"> experience</w:t>
      </w:r>
      <w:r w:rsidR="00EF5136" w:rsidRPr="00BE5FAF">
        <w:t>d</w:t>
      </w:r>
      <w:r w:rsidR="00C76328" w:rsidRPr="00BE5FAF">
        <w:t xml:space="preserve"> acute coronary syndrome</w:t>
      </w:r>
      <w:r w:rsidR="00176AFC" w:rsidRPr="00BE5FAF">
        <w:t>s</w:t>
      </w:r>
      <w:r w:rsidR="00C76328" w:rsidRPr="00BE5FAF">
        <w:t xml:space="preserve"> </w:t>
      </w:r>
      <w:r w:rsidR="00EF5136" w:rsidRPr="00BE5FAF">
        <w:t xml:space="preserve">in the </w:t>
      </w:r>
      <w:r w:rsidR="00606C1B" w:rsidRPr="00BE5FAF">
        <w:t>previous</w:t>
      </w:r>
      <w:r w:rsidRPr="00BE5FAF">
        <w:t xml:space="preserve"> 12 months</w:t>
      </w:r>
      <w:r w:rsidR="00EF5136" w:rsidRPr="00BE5FAF">
        <w:t xml:space="preserve">. </w:t>
      </w:r>
      <w:r w:rsidR="00004E36" w:rsidRPr="00BE5FAF">
        <w:t xml:space="preserve">The ESC considered that the </w:t>
      </w:r>
      <w:r w:rsidR="002B2C22" w:rsidRPr="00BE5FAF">
        <w:t xml:space="preserve">proposed </w:t>
      </w:r>
      <w:r w:rsidR="00004E36" w:rsidRPr="00BE5FAF">
        <w:t xml:space="preserve">criterion ‘Patient must not require concomitant intensified antiplatelet therapy’ may need to be more specific (e.g. </w:t>
      </w:r>
      <w:r w:rsidR="002B2C22" w:rsidRPr="00BE5FAF">
        <w:t xml:space="preserve">specify </w:t>
      </w:r>
      <w:r w:rsidR="00004E36" w:rsidRPr="00BE5FAF">
        <w:t>dual anti-platelet therapy).</w:t>
      </w:r>
      <w:r w:rsidR="002B2C22" w:rsidRPr="00BE5FAF">
        <w:t xml:space="preserve"> </w:t>
      </w:r>
      <w:proofErr w:type="gramStart"/>
      <w:r w:rsidR="002B2C22" w:rsidRPr="00BE5FAF">
        <w:t>With regard to the proposed criterion ‘Patient must have had a previous myocardial infarction within the last {x} years</w:t>
      </w:r>
      <w:r w:rsidR="005B46E5" w:rsidRPr="00BE5FAF">
        <w:t>’</w:t>
      </w:r>
      <w:r w:rsidR="002B2C22" w:rsidRPr="00BE5FAF">
        <w:t>, the E</w:t>
      </w:r>
      <w:r w:rsidR="00E579CD" w:rsidRPr="00BE5FAF">
        <w:t xml:space="preserve">SC </w:t>
      </w:r>
      <w:r w:rsidR="00E44770">
        <w:t xml:space="preserve">and PBAC </w:t>
      </w:r>
      <w:r w:rsidR="002B2C22" w:rsidRPr="00BE5FAF">
        <w:t xml:space="preserve">considered </w:t>
      </w:r>
      <w:r w:rsidR="00E579CD" w:rsidRPr="00BE5FAF">
        <w:t>that i</w:t>
      </w:r>
      <w:r w:rsidR="002B2C22" w:rsidRPr="00BE5FAF">
        <w:t>t may be unnecessary to specify the number of years since the patient had a myocardial infarction</w:t>
      </w:r>
      <w:r w:rsidR="00CA1732">
        <w:t>, provided it was more than 12 months ago, although considered that remote events were likely associated with a lower risk than more recent events</w:t>
      </w:r>
      <w:r w:rsidR="002B2C22" w:rsidRPr="00BE5FAF">
        <w:t>.</w:t>
      </w:r>
      <w:proofErr w:type="gramEnd"/>
    </w:p>
    <w:p w:rsidR="001B5C1A" w:rsidRPr="00BE5FAF" w:rsidRDefault="001B5C1A" w:rsidP="004A557C">
      <w:pPr>
        <w:pStyle w:val="ListParagraph"/>
        <w:widowControl/>
        <w:numPr>
          <w:ilvl w:val="1"/>
          <w:numId w:val="2"/>
        </w:numPr>
        <w:spacing w:before="120" w:after="120"/>
      </w:pPr>
      <w:r w:rsidRPr="00BE5FAF">
        <w:t xml:space="preserve">The proposed restriction defines a large and heterogeneous eligible population, including patients at varying levels of cardiovascular risk. The submission presents the results of a subgroup analysis of patients with both CAD and PAD, as opposed to patients with CAD and/or PAD, who are included in the proposed restriction. In general, baseline medical history data showed that the narrower </w:t>
      </w:r>
      <w:r w:rsidR="00176AFC" w:rsidRPr="00BE5FAF">
        <w:t xml:space="preserve">population with </w:t>
      </w:r>
      <w:r w:rsidRPr="00BE5FAF">
        <w:t xml:space="preserve">CAD and PAD have more severe disease resulting from a more diffuse atherosclerotic plaque burden. This population forms the basis of a two-tiered risk-sharing arrangement proposed by the submission, designed to address uncertainty associated with uptake within the large eligible population. </w:t>
      </w:r>
    </w:p>
    <w:p w:rsidR="004B1219" w:rsidRPr="00BE5FAF" w:rsidRDefault="004B1219" w:rsidP="004A557C">
      <w:pPr>
        <w:pStyle w:val="ListParagraph"/>
        <w:widowControl/>
        <w:numPr>
          <w:ilvl w:val="1"/>
          <w:numId w:val="2"/>
        </w:numPr>
        <w:spacing w:before="120" w:after="120"/>
      </w:pPr>
      <w:r w:rsidRPr="00BE5FAF">
        <w:t xml:space="preserve">The ESC considered </w:t>
      </w:r>
      <w:r w:rsidR="00192C35" w:rsidRPr="00BE5FAF">
        <w:t xml:space="preserve">that </w:t>
      </w:r>
      <w:r w:rsidRPr="00BE5FAF">
        <w:t xml:space="preserve">the optimal patient population for treatment with </w:t>
      </w:r>
      <w:proofErr w:type="spellStart"/>
      <w:r w:rsidRPr="00BE5FAF">
        <w:t>rivaroxaban</w:t>
      </w:r>
      <w:proofErr w:type="spellEnd"/>
      <w:r w:rsidRPr="00BE5FAF">
        <w:t xml:space="preserve"> </w:t>
      </w:r>
      <w:proofErr w:type="gramStart"/>
      <w:r w:rsidRPr="00BE5FAF">
        <w:t>ha</w:t>
      </w:r>
      <w:r w:rsidR="00192C35" w:rsidRPr="00BE5FAF">
        <w:t>d</w:t>
      </w:r>
      <w:r w:rsidRPr="00BE5FAF">
        <w:t xml:space="preserve"> not been clearly defined</w:t>
      </w:r>
      <w:proofErr w:type="gramEnd"/>
      <w:r w:rsidRPr="00BE5FAF">
        <w:t xml:space="preserve">, and that risk factors in addition to </w:t>
      </w:r>
      <w:r w:rsidR="00176AFC" w:rsidRPr="00BE5FAF">
        <w:t xml:space="preserve">the presence of </w:t>
      </w:r>
      <w:r w:rsidRPr="00BE5FAF">
        <w:t xml:space="preserve">CAD and PAD may need to be considered to better define </w:t>
      </w:r>
      <w:r w:rsidR="00176AFC" w:rsidRPr="00BE5FAF">
        <w:t>the optimal</w:t>
      </w:r>
      <w:r w:rsidRPr="00BE5FAF">
        <w:t xml:space="preserve"> population at higher risk of cardiovascular events who would achieve a greater clinical benefit with </w:t>
      </w:r>
      <w:proofErr w:type="spellStart"/>
      <w:r w:rsidRPr="00BE5FAF">
        <w:t>rivaroxaban</w:t>
      </w:r>
      <w:proofErr w:type="spellEnd"/>
      <w:r w:rsidR="00176AFC" w:rsidRPr="00BE5FAF">
        <w:t>.</w:t>
      </w:r>
    </w:p>
    <w:p w:rsidR="001B5C1A" w:rsidRPr="00BE5FAF" w:rsidRDefault="001B5C1A" w:rsidP="004A557C">
      <w:pPr>
        <w:pStyle w:val="ListParagraph"/>
        <w:widowControl/>
        <w:numPr>
          <w:ilvl w:val="1"/>
          <w:numId w:val="2"/>
        </w:numPr>
        <w:spacing w:before="120" w:after="120"/>
      </w:pPr>
      <w:r w:rsidRPr="00BE5FAF">
        <w:t xml:space="preserve">The additional benefit of adding </w:t>
      </w:r>
      <w:proofErr w:type="spellStart"/>
      <w:r w:rsidRPr="00BE5FAF">
        <w:t>rivaroxaban</w:t>
      </w:r>
      <w:proofErr w:type="spellEnd"/>
      <w:r w:rsidRPr="00BE5FAF">
        <w:t xml:space="preserve"> 2.5 mg to low dose aspirin in stable atherosclerotic disease </w:t>
      </w:r>
      <w:proofErr w:type="gramStart"/>
      <w:r w:rsidRPr="00BE5FAF">
        <w:t>must be weighed</w:t>
      </w:r>
      <w:proofErr w:type="gramEnd"/>
      <w:r w:rsidRPr="00BE5FAF">
        <w:t xml:space="preserve"> against the bleeding risk for each individual at the point of care. The assessment of bleeding risk in the target patient population is complex and undertaken on an individual patient basis by the treating clinician. The submission noted that there is no established scoring system for assessing bleeding risk in the large and heterogeneous CAD and/or PAD population. </w:t>
      </w:r>
    </w:p>
    <w:p w:rsidR="003F22BE" w:rsidRPr="00BE5FAF" w:rsidRDefault="003F22BE" w:rsidP="004A557C">
      <w:pPr>
        <w:pStyle w:val="ListParagraph"/>
        <w:widowControl/>
        <w:numPr>
          <w:ilvl w:val="1"/>
          <w:numId w:val="2"/>
        </w:numPr>
        <w:spacing w:before="120" w:after="120"/>
      </w:pPr>
      <w:r w:rsidRPr="00BE5FAF">
        <w:t xml:space="preserve">The </w:t>
      </w:r>
      <w:r w:rsidR="00852399">
        <w:t>Pre-Sub-Committee Response (PSCR</w:t>
      </w:r>
      <w:r w:rsidRPr="00BE5FAF">
        <w:t>) proposed that additional criteria be added to the proposed restriction to align more closely with the COMPASS trial, such as excluding patients at high bleeding risk, or who require dual antiplatelet therapy</w:t>
      </w:r>
      <w:r w:rsidR="000E292F" w:rsidRPr="00BE5FAF">
        <w:t xml:space="preserve"> (refer to Paragraph 6.2</w:t>
      </w:r>
      <w:r w:rsidR="00E94C71">
        <w:t>3</w:t>
      </w:r>
      <w:r w:rsidR="000E292F" w:rsidRPr="00BE5FAF">
        <w:t>)</w:t>
      </w:r>
      <w:r w:rsidRPr="00BE5FAF">
        <w:t>.</w:t>
      </w:r>
      <w:r w:rsidR="00E5477D" w:rsidRPr="00BE5FAF">
        <w:t xml:space="preserve"> </w:t>
      </w:r>
    </w:p>
    <w:p w:rsidR="00602C83" w:rsidRPr="00BE5FAF" w:rsidRDefault="00602C83" w:rsidP="004A557C">
      <w:pPr>
        <w:pStyle w:val="ListParagraph"/>
        <w:spacing w:before="120" w:after="120"/>
        <w:ind w:left="709"/>
        <w:rPr>
          <w:rFonts w:asciiTheme="minorHAnsi" w:hAnsiTheme="minorHAnsi"/>
        </w:rPr>
      </w:pPr>
      <w:r w:rsidRPr="00BE5FAF">
        <w:rPr>
          <w:rFonts w:asciiTheme="minorHAnsi" w:hAnsiTheme="minorHAnsi"/>
        </w:rPr>
        <w:t>For more detail on PBAC’s view, see section 7 PBAC outcome.</w:t>
      </w:r>
    </w:p>
    <w:p w:rsidR="00B50DB8" w:rsidRPr="00BE5FAF" w:rsidRDefault="00B50DB8" w:rsidP="004A557C">
      <w:pPr>
        <w:pStyle w:val="Heading1"/>
        <w:keepNext/>
        <w:keepLines/>
        <w:widowControl/>
        <w:numPr>
          <w:ilvl w:val="0"/>
          <w:numId w:val="2"/>
        </w:numPr>
        <w:spacing w:before="120" w:after="120"/>
        <w:ind w:left="709" w:hanging="709"/>
        <w:rPr>
          <w:rFonts w:asciiTheme="minorHAnsi" w:eastAsiaTheme="majorEastAsia" w:hAnsiTheme="minorHAnsi" w:cstheme="majorBidi"/>
          <w:caps w:val="0"/>
          <w:snapToGrid/>
          <w:szCs w:val="28"/>
        </w:rPr>
      </w:pPr>
      <w:bookmarkStart w:id="2" w:name="_Toc535943608"/>
      <w:r w:rsidRPr="00BE5FAF">
        <w:rPr>
          <w:rFonts w:asciiTheme="minorHAnsi" w:eastAsiaTheme="majorEastAsia" w:hAnsiTheme="minorHAnsi" w:cstheme="majorBidi"/>
          <w:caps w:val="0"/>
          <w:snapToGrid/>
          <w:szCs w:val="28"/>
        </w:rPr>
        <w:t>Background</w:t>
      </w:r>
      <w:bookmarkEnd w:id="2"/>
    </w:p>
    <w:p w:rsidR="00B60939" w:rsidRPr="00211901" w:rsidRDefault="00591957" w:rsidP="004A557C">
      <w:pPr>
        <w:pStyle w:val="Heading2"/>
        <w:keepNext/>
        <w:widowControl/>
        <w:spacing w:before="120" w:after="120"/>
      </w:pPr>
      <w:r w:rsidRPr="00211901">
        <w:t>Registration status</w:t>
      </w:r>
    </w:p>
    <w:p w:rsidR="00B10FD1" w:rsidRPr="00BE5FAF" w:rsidRDefault="00F67D6E" w:rsidP="004A557C">
      <w:pPr>
        <w:pStyle w:val="ListParagraph"/>
        <w:widowControl/>
        <w:numPr>
          <w:ilvl w:val="1"/>
          <w:numId w:val="2"/>
        </w:numPr>
        <w:spacing w:before="120" w:after="120"/>
      </w:pPr>
      <w:proofErr w:type="spellStart"/>
      <w:r w:rsidRPr="00BE5FAF">
        <w:t>Rivaroxaban</w:t>
      </w:r>
      <w:proofErr w:type="spellEnd"/>
      <w:r w:rsidRPr="00BE5FAF">
        <w:t xml:space="preserve"> 2.5 mg was TGA registered on </w:t>
      </w:r>
      <w:r w:rsidR="005067CA" w:rsidRPr="00BE5FAF">
        <w:t>11 January</w:t>
      </w:r>
      <w:r w:rsidRPr="00BE5FAF">
        <w:t xml:space="preserve"> 2019</w:t>
      </w:r>
      <w:r w:rsidR="003206BA" w:rsidRPr="00BE5FAF">
        <w:t xml:space="preserve"> </w:t>
      </w:r>
      <w:r w:rsidR="005E0FAD" w:rsidRPr="00BE5FAF">
        <w:t xml:space="preserve">for </w:t>
      </w:r>
      <w:r w:rsidR="001960ED" w:rsidRPr="00BE5FAF">
        <w:t>“</w:t>
      </w:r>
      <w:r w:rsidR="003206BA" w:rsidRPr="00BE5FAF">
        <w:t xml:space="preserve">the prevention of major cardiovascular events (composite of stroke, myocardial infarction and </w:t>
      </w:r>
      <w:r w:rsidR="003206BA" w:rsidRPr="00BE5FAF">
        <w:lastRenderedPageBreak/>
        <w:t>cardiovascular death) in patients with coronary artery disease (CAD) and/or peripheral artery disease (PAD)</w:t>
      </w:r>
      <w:r w:rsidR="001960ED" w:rsidRPr="00BE5FAF">
        <w:t>”</w:t>
      </w:r>
      <w:r w:rsidR="003206BA" w:rsidRPr="00BE5FAF">
        <w:t>. The TGA</w:t>
      </w:r>
      <w:r w:rsidR="000F3DEC" w:rsidRPr="00BE5FAF">
        <w:t>-</w:t>
      </w:r>
      <w:r w:rsidR="003206BA" w:rsidRPr="00BE5FAF">
        <w:t xml:space="preserve">approved indication does not </w:t>
      </w:r>
      <w:r w:rsidR="005E0FAD" w:rsidRPr="00BE5FAF">
        <w:t xml:space="preserve">require concomitant use of aspirin with </w:t>
      </w:r>
      <w:proofErr w:type="spellStart"/>
      <w:r w:rsidR="005E0FAD" w:rsidRPr="00BE5FAF">
        <w:t>rivaroxaban</w:t>
      </w:r>
      <w:proofErr w:type="spellEnd"/>
      <w:r w:rsidR="005E0FAD" w:rsidRPr="00BE5FAF">
        <w:t xml:space="preserve"> treatment. </w:t>
      </w:r>
    </w:p>
    <w:p w:rsidR="00E55BB5" w:rsidRPr="00BE5FAF" w:rsidRDefault="00A3651E" w:rsidP="004A557C">
      <w:pPr>
        <w:pStyle w:val="ListParagraph"/>
        <w:widowControl/>
        <w:numPr>
          <w:ilvl w:val="1"/>
          <w:numId w:val="2"/>
        </w:numPr>
        <w:spacing w:before="120" w:after="120"/>
      </w:pPr>
      <w:r w:rsidRPr="00BE5FAF">
        <w:t xml:space="preserve">The TGA Delegate noted that, for the proposed indication, no data were available for </w:t>
      </w:r>
      <w:r w:rsidR="00103517" w:rsidRPr="00BE5FAF">
        <w:t>CAD</w:t>
      </w:r>
      <w:r w:rsidRPr="00BE5FAF">
        <w:t xml:space="preserve"> and/or </w:t>
      </w:r>
      <w:r w:rsidR="00103517" w:rsidRPr="00BE5FAF">
        <w:t>PAD</w:t>
      </w:r>
      <w:r w:rsidRPr="00BE5FAF">
        <w:t xml:space="preserve"> patients requiring dual antiplatelet therapy or non-aspirin antiplatelet therapy, or those with a history of ischaemic stroke within 1 month or any history of haemorrhagic or lacunar stroke. The Delegate also noted that </w:t>
      </w:r>
      <w:r w:rsidR="00BE5FAF" w:rsidRPr="00BE5FAF">
        <w:t>long-term</w:t>
      </w:r>
      <w:r w:rsidRPr="00BE5FAF">
        <w:t xml:space="preserve"> data were limited; the mean duration of treatment in the COMPASS trial was 619 days (20 months), median 615 days. The Delegate also noted that the risk</w:t>
      </w:r>
      <w:r w:rsidR="00025F2F" w:rsidRPr="00BE5FAF">
        <w:t>-</w:t>
      </w:r>
      <w:r w:rsidRPr="00BE5FAF">
        <w:t>benefit profile of patients aged ≥75 years was more finely balanced than in younger patients, primarily due to the increased risk of bleeding in this older age group.</w:t>
      </w:r>
    </w:p>
    <w:p w:rsidR="00602C83" w:rsidRPr="00BE5FAF" w:rsidRDefault="00602C83" w:rsidP="004A557C">
      <w:pPr>
        <w:pStyle w:val="ListParagraph"/>
        <w:spacing w:before="120" w:after="120"/>
        <w:ind w:left="709"/>
        <w:rPr>
          <w:rFonts w:asciiTheme="minorHAnsi" w:hAnsiTheme="minorHAnsi"/>
          <w:i/>
        </w:rPr>
      </w:pPr>
      <w:r w:rsidRPr="00BE5FAF">
        <w:rPr>
          <w:rFonts w:asciiTheme="minorHAnsi" w:hAnsiTheme="minorHAnsi"/>
          <w:i/>
        </w:rPr>
        <w:t>For more detail on PBAC’s view, see section 7 PBAC outcome.</w:t>
      </w:r>
    </w:p>
    <w:p w:rsidR="00B50DB8" w:rsidRPr="00BE5FAF" w:rsidRDefault="00203181" w:rsidP="004A557C">
      <w:pPr>
        <w:pStyle w:val="Heading1"/>
        <w:keepNext/>
        <w:keepLines/>
        <w:widowControl/>
        <w:numPr>
          <w:ilvl w:val="0"/>
          <w:numId w:val="2"/>
        </w:numPr>
        <w:spacing w:before="120" w:after="120"/>
        <w:ind w:left="709" w:hanging="709"/>
        <w:rPr>
          <w:rFonts w:asciiTheme="minorHAnsi" w:eastAsiaTheme="majorEastAsia" w:hAnsiTheme="minorHAnsi" w:cstheme="majorBidi"/>
          <w:caps w:val="0"/>
          <w:snapToGrid/>
          <w:szCs w:val="28"/>
        </w:rPr>
      </w:pPr>
      <w:bookmarkStart w:id="3" w:name="_Toc535943609"/>
      <w:r w:rsidRPr="00BE5FAF">
        <w:rPr>
          <w:rFonts w:asciiTheme="minorHAnsi" w:eastAsiaTheme="majorEastAsia" w:hAnsiTheme="minorHAnsi" w:cstheme="majorBidi"/>
          <w:caps w:val="0"/>
          <w:snapToGrid/>
          <w:szCs w:val="28"/>
        </w:rPr>
        <w:t xml:space="preserve">Population and </w:t>
      </w:r>
      <w:r w:rsidR="008E0D3C" w:rsidRPr="00BE5FAF">
        <w:rPr>
          <w:rFonts w:asciiTheme="minorHAnsi" w:eastAsiaTheme="majorEastAsia" w:hAnsiTheme="minorHAnsi" w:cstheme="majorBidi"/>
          <w:caps w:val="0"/>
          <w:snapToGrid/>
          <w:szCs w:val="28"/>
        </w:rPr>
        <w:t>d</w:t>
      </w:r>
      <w:r w:rsidRPr="00BE5FAF">
        <w:rPr>
          <w:rFonts w:asciiTheme="minorHAnsi" w:eastAsiaTheme="majorEastAsia" w:hAnsiTheme="minorHAnsi" w:cstheme="majorBidi"/>
          <w:caps w:val="0"/>
          <w:snapToGrid/>
          <w:szCs w:val="28"/>
        </w:rPr>
        <w:t>isease</w:t>
      </w:r>
      <w:bookmarkEnd w:id="3"/>
    </w:p>
    <w:p w:rsidR="00A3651E" w:rsidRPr="00BE5FAF" w:rsidRDefault="00A3651E" w:rsidP="004A557C">
      <w:pPr>
        <w:pStyle w:val="ListParagraph"/>
        <w:widowControl/>
        <w:numPr>
          <w:ilvl w:val="1"/>
          <w:numId w:val="2"/>
        </w:numPr>
        <w:spacing w:before="120" w:after="120"/>
      </w:pPr>
      <w:r w:rsidRPr="00BE5FAF">
        <w:t xml:space="preserve">The target population is patients with </w:t>
      </w:r>
      <w:r w:rsidR="008C1739" w:rsidRPr="00BE5FAF">
        <w:t xml:space="preserve">a large burden of </w:t>
      </w:r>
      <w:r w:rsidRPr="00BE5FAF">
        <w:t xml:space="preserve">stable </w:t>
      </w:r>
      <w:r w:rsidR="008C1739" w:rsidRPr="00BE5FAF">
        <w:t>atherosclerotic disease (</w:t>
      </w:r>
      <w:r w:rsidR="00E575A7" w:rsidRPr="00BE5FAF">
        <w:t>CAD</w:t>
      </w:r>
      <w:r w:rsidRPr="00BE5FAF">
        <w:t xml:space="preserve"> and/or </w:t>
      </w:r>
      <w:r w:rsidR="00E575A7" w:rsidRPr="00BE5FAF">
        <w:t>PAD</w:t>
      </w:r>
      <w:r w:rsidR="008C1739" w:rsidRPr="00BE5FAF">
        <w:t>)</w:t>
      </w:r>
      <w:r w:rsidRPr="00BE5FAF">
        <w:t>, who</w:t>
      </w:r>
      <w:r w:rsidR="003F22BE" w:rsidRPr="00BE5FAF">
        <w:t xml:space="preserve"> </w:t>
      </w:r>
      <w:r w:rsidRPr="00BE5FAF">
        <w:t>require prevention for a secondary major cardiac event.</w:t>
      </w:r>
      <w:r w:rsidR="0003107A" w:rsidRPr="00BE5FAF">
        <w:t xml:space="preserve"> It is unclear when patients would transition from post-acute treatment (e.g. dual antiplatelet therapy) to re-establish treatment </w:t>
      </w:r>
      <w:proofErr w:type="gramStart"/>
      <w:r w:rsidR="0003107A" w:rsidRPr="00BE5FAF">
        <w:t xml:space="preserve">with </w:t>
      </w:r>
      <w:proofErr w:type="spellStart"/>
      <w:r w:rsidR="0003107A" w:rsidRPr="00BE5FAF">
        <w:t>rivaroxaban</w:t>
      </w:r>
      <w:proofErr w:type="spellEnd"/>
      <w:r w:rsidR="0003107A" w:rsidRPr="00BE5FAF">
        <w:t xml:space="preserve"> in combination with aspirin for the prevention of secondary events in stable atherosclerotic disease in clinical practice</w:t>
      </w:r>
      <w:proofErr w:type="gramEnd"/>
      <w:r w:rsidR="00AA4E57" w:rsidRPr="00BE5FAF">
        <w:t>.</w:t>
      </w:r>
      <w:r w:rsidR="008C1739" w:rsidRPr="00BE5FAF">
        <w:t xml:space="preserve"> </w:t>
      </w:r>
      <w:r w:rsidR="00AA4E57" w:rsidRPr="00BE5FAF">
        <w:t>While</w:t>
      </w:r>
      <w:r w:rsidR="008C1739" w:rsidRPr="00BE5FAF">
        <w:t xml:space="preserve"> Guidelines in this area generally recommend a minimum of 12 months after acute coronary syndrome</w:t>
      </w:r>
      <w:r w:rsidR="00176AFC" w:rsidRPr="00BE5FAF">
        <w:t>s</w:t>
      </w:r>
      <w:r w:rsidR="008C1739" w:rsidRPr="00BE5FAF">
        <w:t xml:space="preserve"> </w:t>
      </w:r>
      <w:r w:rsidR="000F634B" w:rsidRPr="00BE5FAF">
        <w:t xml:space="preserve">(ACS) </w:t>
      </w:r>
      <w:r w:rsidR="008C1739" w:rsidRPr="00BE5FAF">
        <w:t>or percutaneous revascularisation</w:t>
      </w:r>
      <w:r w:rsidR="00AA4E57" w:rsidRPr="00BE5FAF">
        <w:t xml:space="preserve">, the ESC noted that patients </w:t>
      </w:r>
      <w:proofErr w:type="gramStart"/>
      <w:r w:rsidR="00AA4E57" w:rsidRPr="00BE5FAF">
        <w:t xml:space="preserve">are </w:t>
      </w:r>
      <w:r w:rsidR="003D3544">
        <w:t xml:space="preserve">now </w:t>
      </w:r>
      <w:r w:rsidR="00AA4E57" w:rsidRPr="00BE5FAF">
        <w:t>frequently treated</w:t>
      </w:r>
      <w:proofErr w:type="gramEnd"/>
      <w:r w:rsidR="00AA4E57" w:rsidRPr="00BE5FAF">
        <w:t xml:space="preserve"> with dual antiplatelet therapy for longer</w:t>
      </w:r>
      <w:r w:rsidR="00DE4769" w:rsidRPr="00BE5FAF">
        <w:t xml:space="preserve"> than 12 months, especially post-ACS</w:t>
      </w:r>
      <w:r w:rsidR="008C1739" w:rsidRPr="00BE5FAF">
        <w:t>.</w:t>
      </w:r>
    </w:p>
    <w:p w:rsidR="00A3651E" w:rsidRPr="00BE5FAF" w:rsidRDefault="00A3651E" w:rsidP="004A557C">
      <w:pPr>
        <w:pStyle w:val="ListParagraph"/>
        <w:widowControl/>
        <w:numPr>
          <w:ilvl w:val="1"/>
          <w:numId w:val="2"/>
        </w:numPr>
        <w:spacing w:before="120" w:after="120"/>
      </w:pPr>
      <w:r w:rsidRPr="00BE5FAF">
        <w:t xml:space="preserve">Atherosclerosis is a progressive disease characterised by the accumulation of lipids and fibrous elements in the large arteries. Stable </w:t>
      </w:r>
      <w:r w:rsidR="00E575A7" w:rsidRPr="00BE5FAF">
        <w:t>CAD</w:t>
      </w:r>
      <w:r w:rsidRPr="00BE5FAF">
        <w:t xml:space="preserve"> is predominantly an atherosclerotic disease with narrowing of </w:t>
      </w:r>
      <w:r w:rsidR="008C1739" w:rsidRPr="00BE5FAF">
        <w:t xml:space="preserve">the </w:t>
      </w:r>
      <w:r w:rsidRPr="00BE5FAF">
        <w:t xml:space="preserve">coronary arteries that give rise to episodes of myocardial </w:t>
      </w:r>
      <w:proofErr w:type="spellStart"/>
      <w:r w:rsidRPr="00BE5FAF">
        <w:t>ischaemia</w:t>
      </w:r>
      <w:proofErr w:type="spellEnd"/>
      <w:r w:rsidRPr="00BE5FAF">
        <w:t xml:space="preserve"> causing angina pectoris. Peripheral arterial disease </w:t>
      </w:r>
      <w:proofErr w:type="gramStart"/>
      <w:r w:rsidRPr="00BE5FAF">
        <w:t>is also typically caused</w:t>
      </w:r>
      <w:proofErr w:type="gramEnd"/>
      <w:r w:rsidRPr="00BE5FAF">
        <w:t xml:space="preserve"> by atherosclerosis. </w:t>
      </w:r>
      <w:r w:rsidR="0001414A" w:rsidRPr="00BE5FAF">
        <w:t>CAD and PAD</w:t>
      </w:r>
      <w:r w:rsidRPr="00BE5FAF">
        <w:t xml:space="preserve"> share similar risk factors; both increase with increasing age and entail different risks of future major cardiovascular events</w:t>
      </w:r>
      <w:r w:rsidR="008C1739" w:rsidRPr="00BE5FAF">
        <w:t xml:space="preserve"> depending on risk factors, comorbidities and disease modifying or preventative pharmacotherapies</w:t>
      </w:r>
      <w:r w:rsidRPr="00BE5FAF">
        <w:t xml:space="preserve">. Risk of future major cardiovascular events varies considerably between patients with stable disease as compared to those with unstable disease, </w:t>
      </w:r>
      <w:proofErr w:type="gramStart"/>
      <w:r w:rsidRPr="00BE5FAF">
        <w:t>and also</w:t>
      </w:r>
      <w:proofErr w:type="gramEnd"/>
      <w:r w:rsidRPr="00BE5FAF">
        <w:t xml:space="preserve"> based on evidence of more generalised atherosclerotic disease and previous </w:t>
      </w:r>
      <w:proofErr w:type="spellStart"/>
      <w:r w:rsidRPr="00BE5FAF">
        <w:t>atherothrombotic</w:t>
      </w:r>
      <w:proofErr w:type="spellEnd"/>
      <w:r w:rsidRPr="00BE5FAF">
        <w:t xml:space="preserve"> events. </w:t>
      </w:r>
    </w:p>
    <w:p w:rsidR="00E55BB5" w:rsidRPr="00BE5FAF" w:rsidRDefault="00A3651E" w:rsidP="004A557C">
      <w:pPr>
        <w:pStyle w:val="ListParagraph"/>
        <w:widowControl/>
        <w:numPr>
          <w:ilvl w:val="1"/>
          <w:numId w:val="2"/>
        </w:numPr>
        <w:spacing w:before="120" w:after="120"/>
      </w:pPr>
      <w:r w:rsidRPr="00BE5FAF">
        <w:t>The submission position</w:t>
      </w:r>
      <w:r w:rsidR="00833BAA">
        <w:t>ed</w:t>
      </w:r>
      <w:r w:rsidRPr="00BE5FAF">
        <w:t xml:space="preserve"> </w:t>
      </w:r>
      <w:proofErr w:type="spellStart"/>
      <w:r w:rsidRPr="00BE5FAF">
        <w:t>rivaroxaban</w:t>
      </w:r>
      <w:proofErr w:type="spellEnd"/>
      <w:r w:rsidRPr="00BE5FAF">
        <w:t xml:space="preserve"> 2.5 mg in combination with aspirin as an alternative to low dose aspirin monotherapy for the secondary prevention of thrombotic cardiovascular events for patients in the stabilised, asymptomatic phase of </w:t>
      </w:r>
      <w:r w:rsidR="00E575A7" w:rsidRPr="00BE5FAF">
        <w:t>CAD</w:t>
      </w:r>
      <w:r w:rsidRPr="00BE5FAF">
        <w:t xml:space="preserve"> and/or </w:t>
      </w:r>
      <w:r w:rsidR="00DE1382" w:rsidRPr="00BE5FAF">
        <w:t>PAD</w:t>
      </w:r>
      <w:r w:rsidRPr="00BE5FAF">
        <w:t xml:space="preserve">. Treatment </w:t>
      </w:r>
      <w:proofErr w:type="gramStart"/>
      <w:r w:rsidRPr="00BE5FAF">
        <w:t>is initiated</w:t>
      </w:r>
      <w:proofErr w:type="gramEnd"/>
      <w:r w:rsidRPr="00BE5FAF">
        <w:t xml:space="preserve"> as long-term secondary prevention </w:t>
      </w:r>
      <w:r w:rsidR="00E66D20" w:rsidRPr="00E66D20">
        <w:t>in the stable phase of the disease</w:t>
      </w:r>
      <w:r w:rsidRPr="00BE5FAF">
        <w:t xml:space="preserve">, and may be temporarily interrupted for the management of recurrent events. </w:t>
      </w:r>
    </w:p>
    <w:p w:rsidR="0003107A" w:rsidRPr="00BE5FAF" w:rsidRDefault="0003107A" w:rsidP="004A557C">
      <w:pPr>
        <w:pStyle w:val="ListParagraph"/>
        <w:widowControl/>
        <w:numPr>
          <w:ilvl w:val="1"/>
          <w:numId w:val="2"/>
        </w:numPr>
        <w:spacing w:before="120" w:after="120"/>
      </w:pPr>
      <w:r w:rsidRPr="00BE5FAF">
        <w:t xml:space="preserve">The standard of care for the secondary prevention of cardiovascular events depends on the clinical presentation of patients with </w:t>
      </w:r>
      <w:r w:rsidR="00E575A7" w:rsidRPr="00BE5FAF">
        <w:t>CAD</w:t>
      </w:r>
      <w:r w:rsidRPr="00BE5FAF">
        <w:t xml:space="preserve"> and/or </w:t>
      </w:r>
      <w:r w:rsidR="008B1C3C" w:rsidRPr="00BE5FAF">
        <w:t>PAD</w:t>
      </w:r>
      <w:r w:rsidRPr="00BE5FAF">
        <w:t xml:space="preserve">, and includes other </w:t>
      </w:r>
      <w:r w:rsidRPr="00BE5FAF">
        <w:lastRenderedPageBreak/>
        <w:t>classes of medications such as other antiplatelet agents, angiotensin-converting enzyme (ACE) inhibitors or angiotensin receptor blockers</w:t>
      </w:r>
      <w:r w:rsidRPr="00BE5FAF">
        <w:rPr>
          <w:i/>
        </w:rPr>
        <w:t xml:space="preserve">, </w:t>
      </w:r>
      <w:r w:rsidR="00BE5FAF" w:rsidRPr="00BE5FAF">
        <w:t>lipid-lowering</w:t>
      </w:r>
      <w:r w:rsidR="008C1739" w:rsidRPr="00BE5FAF">
        <w:t xml:space="preserve"> therapy </w:t>
      </w:r>
      <w:r w:rsidRPr="00BE5FAF">
        <w:t xml:space="preserve">and </w:t>
      </w:r>
      <w:r w:rsidR="00BE5FAF" w:rsidRPr="00BE5FAF">
        <w:t>beta-blockers</w:t>
      </w:r>
      <w:r w:rsidRPr="00BE5FAF">
        <w:t>. At present, there is no clear therapeutic strategy for intensified antithrombotic treatment in addition to aspirin in stable cardiovascular patients.</w:t>
      </w:r>
    </w:p>
    <w:p w:rsidR="00477C91" w:rsidRPr="00BE5FAF" w:rsidRDefault="00477C91" w:rsidP="004A557C">
      <w:pPr>
        <w:pStyle w:val="ListParagraph"/>
        <w:widowControl/>
        <w:numPr>
          <w:ilvl w:val="1"/>
          <w:numId w:val="2"/>
        </w:numPr>
        <w:spacing w:before="120" w:after="120"/>
      </w:pPr>
      <w:r w:rsidRPr="00BE5FAF">
        <w:t xml:space="preserve">The </w:t>
      </w:r>
      <w:r w:rsidR="005864AD" w:rsidRPr="00BE5FAF">
        <w:t xml:space="preserve">pivotal trial, COMPASS, </w:t>
      </w:r>
      <w:r w:rsidRPr="00BE5FAF">
        <w:t>inclu</w:t>
      </w:r>
      <w:r w:rsidR="005864AD" w:rsidRPr="00BE5FAF">
        <w:t>ded</w:t>
      </w:r>
      <w:r w:rsidRPr="00BE5FAF">
        <w:t xml:space="preserve"> carotid atherosclerotic disease as a subcategory of PAD</w:t>
      </w:r>
      <w:r w:rsidR="005864AD" w:rsidRPr="00BE5FAF">
        <w:t xml:space="preserve">; however, the evaluation considered that this </w:t>
      </w:r>
      <w:r w:rsidR="00DE4769" w:rsidRPr="00BE5FAF">
        <w:t>align</w:t>
      </w:r>
      <w:r w:rsidR="00E66D20">
        <w:t>ed poorly</w:t>
      </w:r>
      <w:r w:rsidR="00DE4769" w:rsidRPr="00BE5FAF">
        <w:t xml:space="preserve"> with clinical practice. While both are atherosclerotic conditions, the baseline risks may be quite different. </w:t>
      </w:r>
      <w:r w:rsidR="00E66D20">
        <w:t>T</w:t>
      </w:r>
      <w:r w:rsidR="00E66D20" w:rsidRPr="00BE5FAF">
        <w:t xml:space="preserve">reatment algorithms </w:t>
      </w:r>
      <w:r w:rsidR="00E66D20">
        <w:t>for c</w:t>
      </w:r>
      <w:r w:rsidRPr="00BE5FAF">
        <w:t>arotid atherosclerotic disease typically include different management strategies for carotid versus other peripheral disease</w:t>
      </w:r>
      <w:r w:rsidR="003D0A8E" w:rsidRPr="00BE5FAF">
        <w:t>.</w:t>
      </w:r>
    </w:p>
    <w:p w:rsidR="00602C83" w:rsidRPr="00BE5FAF" w:rsidRDefault="00602C83" w:rsidP="004A557C">
      <w:pPr>
        <w:pStyle w:val="ListParagraph"/>
        <w:spacing w:before="120" w:after="120"/>
        <w:ind w:left="709"/>
        <w:rPr>
          <w:rFonts w:asciiTheme="minorHAnsi" w:hAnsiTheme="minorHAnsi"/>
          <w:i/>
        </w:rPr>
      </w:pPr>
      <w:r w:rsidRPr="00BE5FAF">
        <w:rPr>
          <w:rFonts w:asciiTheme="minorHAnsi" w:hAnsiTheme="minorHAnsi"/>
          <w:i/>
        </w:rPr>
        <w:t>For more detail on PBAC’s view, see section 7 PBAC outcome.</w:t>
      </w:r>
    </w:p>
    <w:p w:rsidR="00B50DB8" w:rsidRPr="00BE5FAF" w:rsidRDefault="00B50DB8" w:rsidP="004A557C">
      <w:pPr>
        <w:pStyle w:val="Heading1"/>
        <w:keepNext/>
        <w:keepLines/>
        <w:widowControl/>
        <w:numPr>
          <w:ilvl w:val="0"/>
          <w:numId w:val="2"/>
        </w:numPr>
        <w:spacing w:before="120" w:after="120"/>
        <w:ind w:left="709" w:hanging="709"/>
        <w:rPr>
          <w:rFonts w:asciiTheme="minorHAnsi" w:eastAsiaTheme="majorEastAsia" w:hAnsiTheme="minorHAnsi" w:cstheme="majorBidi"/>
          <w:caps w:val="0"/>
          <w:snapToGrid/>
          <w:szCs w:val="28"/>
        </w:rPr>
      </w:pPr>
      <w:bookmarkStart w:id="4" w:name="_Toc535943610"/>
      <w:r w:rsidRPr="00BE5FAF">
        <w:rPr>
          <w:rFonts w:asciiTheme="minorHAnsi" w:eastAsiaTheme="majorEastAsia" w:hAnsiTheme="minorHAnsi" w:cstheme="majorBidi"/>
          <w:caps w:val="0"/>
          <w:snapToGrid/>
          <w:szCs w:val="28"/>
        </w:rPr>
        <w:t>Comparator</w:t>
      </w:r>
      <w:bookmarkEnd w:id="4"/>
    </w:p>
    <w:p w:rsidR="00A3651E" w:rsidRPr="00BE5FAF" w:rsidRDefault="00A3651E" w:rsidP="004A557C">
      <w:pPr>
        <w:pStyle w:val="ListParagraph"/>
        <w:widowControl/>
        <w:numPr>
          <w:ilvl w:val="1"/>
          <w:numId w:val="2"/>
        </w:numPr>
        <w:spacing w:before="120" w:after="120"/>
      </w:pPr>
      <w:r w:rsidRPr="00BE5FAF">
        <w:rPr>
          <w:rFonts w:cs="Calibri"/>
          <w:snapToGrid/>
          <w:szCs w:val="24"/>
          <w:lang w:eastAsia="en-AU"/>
        </w:rPr>
        <w:t xml:space="preserve">The submission nominated aspirin as the main comparator. </w:t>
      </w:r>
    </w:p>
    <w:p w:rsidR="00A3651E" w:rsidRPr="00BE5FAF" w:rsidRDefault="00A3651E" w:rsidP="004A557C">
      <w:pPr>
        <w:pStyle w:val="ListParagraph"/>
        <w:widowControl/>
        <w:numPr>
          <w:ilvl w:val="1"/>
          <w:numId w:val="2"/>
        </w:numPr>
        <w:spacing w:before="120" w:after="120"/>
      </w:pPr>
      <w:r w:rsidRPr="00BE5FAF">
        <w:rPr>
          <w:rFonts w:cs="Calibri"/>
          <w:snapToGrid/>
          <w:szCs w:val="24"/>
          <w:lang w:eastAsia="en-AU"/>
        </w:rPr>
        <w:t xml:space="preserve">Alternative comparators such as anti-platelet therapies (aspirin in combination with </w:t>
      </w:r>
      <w:proofErr w:type="spellStart"/>
      <w:r w:rsidRPr="00BE5FAF">
        <w:rPr>
          <w:rFonts w:cs="Calibri"/>
          <w:snapToGrid/>
          <w:szCs w:val="24"/>
          <w:lang w:eastAsia="en-AU"/>
        </w:rPr>
        <w:t>clopidogrel</w:t>
      </w:r>
      <w:proofErr w:type="spellEnd"/>
      <w:r w:rsidRPr="00BE5FAF">
        <w:rPr>
          <w:rFonts w:cs="Calibri"/>
          <w:snapToGrid/>
          <w:szCs w:val="24"/>
          <w:lang w:eastAsia="en-AU"/>
        </w:rPr>
        <w:t xml:space="preserve">, or </w:t>
      </w:r>
      <w:proofErr w:type="spellStart"/>
      <w:r w:rsidRPr="00BE5FAF">
        <w:rPr>
          <w:rFonts w:cs="Calibri"/>
          <w:snapToGrid/>
          <w:szCs w:val="24"/>
          <w:lang w:eastAsia="en-AU"/>
        </w:rPr>
        <w:t>clopidogrel</w:t>
      </w:r>
      <w:proofErr w:type="spellEnd"/>
      <w:r w:rsidRPr="00BE5FAF">
        <w:rPr>
          <w:rFonts w:cs="Calibri"/>
          <w:snapToGrid/>
          <w:szCs w:val="24"/>
          <w:lang w:eastAsia="en-AU"/>
        </w:rPr>
        <w:t xml:space="preserve"> monotherapy) were not considered </w:t>
      </w:r>
      <w:proofErr w:type="gramStart"/>
      <w:r w:rsidRPr="00BE5FAF">
        <w:rPr>
          <w:rFonts w:cs="Calibri"/>
          <w:snapToGrid/>
          <w:szCs w:val="24"/>
          <w:lang w:eastAsia="en-AU"/>
        </w:rPr>
        <w:t>to be relevant</w:t>
      </w:r>
      <w:proofErr w:type="gramEnd"/>
      <w:r w:rsidRPr="00BE5FAF">
        <w:rPr>
          <w:rFonts w:cs="Calibri"/>
          <w:snapToGrid/>
          <w:szCs w:val="24"/>
          <w:lang w:eastAsia="en-AU"/>
        </w:rPr>
        <w:t xml:space="preserve"> in the submission. The submission argued that these </w:t>
      </w:r>
      <w:proofErr w:type="gramStart"/>
      <w:r w:rsidRPr="00BE5FAF">
        <w:rPr>
          <w:rFonts w:cs="Calibri"/>
          <w:snapToGrid/>
          <w:szCs w:val="24"/>
          <w:lang w:eastAsia="en-AU"/>
        </w:rPr>
        <w:t>are indicated</w:t>
      </w:r>
      <w:proofErr w:type="gramEnd"/>
      <w:r w:rsidRPr="00BE5FAF">
        <w:rPr>
          <w:rFonts w:cs="Calibri"/>
          <w:snapToGrid/>
          <w:szCs w:val="24"/>
          <w:lang w:eastAsia="en-AU"/>
        </w:rPr>
        <w:t xml:space="preserve"> for short-term management of </w:t>
      </w:r>
      <w:r w:rsidR="00FC147D" w:rsidRPr="00BE5FAF">
        <w:rPr>
          <w:rFonts w:cs="Calibri"/>
          <w:snapToGrid/>
          <w:szCs w:val="24"/>
          <w:lang w:eastAsia="en-AU"/>
        </w:rPr>
        <w:t>ACS</w:t>
      </w:r>
      <w:r w:rsidRPr="00BE5FAF">
        <w:rPr>
          <w:rFonts w:cs="Calibri"/>
          <w:snapToGrid/>
          <w:szCs w:val="24"/>
          <w:lang w:eastAsia="en-AU"/>
        </w:rPr>
        <w:t>. Whilst in most guidelines dual antiplatelet therapy (</w:t>
      </w:r>
      <w:r w:rsidR="003D3544">
        <w:rPr>
          <w:rFonts w:cs="Calibri"/>
          <w:snapToGrid/>
          <w:szCs w:val="24"/>
          <w:lang w:eastAsia="en-AU"/>
        </w:rPr>
        <w:t>either</w:t>
      </w:r>
      <w:r w:rsidR="003D3544" w:rsidRPr="00BE5FAF">
        <w:rPr>
          <w:rFonts w:cs="Calibri"/>
          <w:snapToGrid/>
          <w:szCs w:val="24"/>
          <w:lang w:eastAsia="en-AU"/>
        </w:rPr>
        <w:t xml:space="preserve"> </w:t>
      </w:r>
      <w:r w:rsidRPr="00BE5FAF">
        <w:rPr>
          <w:rFonts w:cs="Calibri"/>
          <w:snapToGrid/>
          <w:szCs w:val="24"/>
          <w:lang w:eastAsia="en-AU"/>
        </w:rPr>
        <w:t xml:space="preserve">aspirin and </w:t>
      </w:r>
      <w:proofErr w:type="spellStart"/>
      <w:r w:rsidRPr="00BE5FAF">
        <w:rPr>
          <w:rFonts w:cs="Calibri"/>
          <w:snapToGrid/>
          <w:szCs w:val="24"/>
          <w:lang w:eastAsia="en-AU"/>
        </w:rPr>
        <w:t>clopidogrel</w:t>
      </w:r>
      <w:proofErr w:type="spellEnd"/>
      <w:r w:rsidR="003D3544">
        <w:rPr>
          <w:rFonts w:cs="Calibri"/>
          <w:snapToGrid/>
          <w:szCs w:val="24"/>
          <w:lang w:eastAsia="en-AU"/>
        </w:rPr>
        <w:t xml:space="preserve"> or aspirin and </w:t>
      </w:r>
      <w:proofErr w:type="spellStart"/>
      <w:r w:rsidR="003D3544">
        <w:rPr>
          <w:rFonts w:cs="Calibri"/>
          <w:snapToGrid/>
          <w:szCs w:val="24"/>
          <w:lang w:eastAsia="en-AU"/>
        </w:rPr>
        <w:t>ticagrelor</w:t>
      </w:r>
      <w:proofErr w:type="spellEnd"/>
      <w:r w:rsidRPr="00BE5FAF">
        <w:rPr>
          <w:rFonts w:cs="Calibri"/>
          <w:snapToGrid/>
          <w:szCs w:val="24"/>
          <w:lang w:eastAsia="en-AU"/>
        </w:rPr>
        <w:t xml:space="preserve">) </w:t>
      </w:r>
      <w:proofErr w:type="gramStart"/>
      <w:r w:rsidR="00FF290C">
        <w:rPr>
          <w:rFonts w:cs="Calibri"/>
          <w:snapToGrid/>
          <w:szCs w:val="24"/>
          <w:lang w:eastAsia="en-AU"/>
        </w:rPr>
        <w:t>is</w:t>
      </w:r>
      <w:r w:rsidR="003D3544" w:rsidRPr="00BE5FAF">
        <w:rPr>
          <w:rFonts w:cs="Calibri"/>
          <w:snapToGrid/>
          <w:szCs w:val="24"/>
          <w:lang w:eastAsia="en-AU"/>
        </w:rPr>
        <w:t xml:space="preserve"> </w:t>
      </w:r>
      <w:r w:rsidRPr="00BE5FAF">
        <w:rPr>
          <w:rFonts w:cs="Calibri"/>
          <w:snapToGrid/>
          <w:szCs w:val="24"/>
          <w:lang w:eastAsia="en-AU"/>
        </w:rPr>
        <w:t>recommended</w:t>
      </w:r>
      <w:proofErr w:type="gramEnd"/>
      <w:r w:rsidRPr="00BE5FAF">
        <w:rPr>
          <w:rFonts w:cs="Calibri"/>
          <w:snapToGrid/>
          <w:szCs w:val="24"/>
          <w:lang w:eastAsia="en-AU"/>
        </w:rPr>
        <w:t xml:space="preserve"> for a short duration following an event, single antiplatelet therapy (monotherapy with either aspirin or </w:t>
      </w:r>
      <w:proofErr w:type="spellStart"/>
      <w:r w:rsidRPr="00BE5FAF">
        <w:rPr>
          <w:rFonts w:cs="Calibri"/>
          <w:snapToGrid/>
          <w:szCs w:val="24"/>
          <w:lang w:eastAsia="en-AU"/>
        </w:rPr>
        <w:t>clopidogrel</w:t>
      </w:r>
      <w:proofErr w:type="spellEnd"/>
      <w:r w:rsidRPr="00BE5FAF">
        <w:rPr>
          <w:rFonts w:cs="Calibri"/>
          <w:snapToGrid/>
          <w:szCs w:val="24"/>
          <w:lang w:eastAsia="en-AU"/>
        </w:rPr>
        <w:t xml:space="preserve">) is recommended for long-term prevention of secondary events. </w:t>
      </w:r>
      <w:r w:rsidR="00C71F78">
        <w:rPr>
          <w:rFonts w:cs="Calibri"/>
          <w:snapToGrid/>
          <w:szCs w:val="24"/>
          <w:lang w:eastAsia="en-AU"/>
        </w:rPr>
        <w:t>Aspirin</w:t>
      </w:r>
      <w:r w:rsidR="002F2BF5">
        <w:rPr>
          <w:rFonts w:cs="Calibri"/>
          <w:snapToGrid/>
          <w:szCs w:val="24"/>
          <w:lang w:eastAsia="en-AU"/>
        </w:rPr>
        <w:t xml:space="preserve"> plus </w:t>
      </w:r>
      <w:r w:rsidR="00C71F78">
        <w:rPr>
          <w:rFonts w:cs="Calibri"/>
          <w:snapToGrid/>
          <w:szCs w:val="24"/>
          <w:lang w:eastAsia="en-AU"/>
        </w:rPr>
        <w:t xml:space="preserve">dipyridamole </w:t>
      </w:r>
      <w:proofErr w:type="gramStart"/>
      <w:r w:rsidR="00C71F78">
        <w:rPr>
          <w:rFonts w:cs="Calibri"/>
          <w:snapToGrid/>
          <w:szCs w:val="24"/>
          <w:lang w:eastAsia="en-AU"/>
        </w:rPr>
        <w:t>is also used</w:t>
      </w:r>
      <w:proofErr w:type="gramEnd"/>
      <w:r w:rsidR="00C71F78">
        <w:rPr>
          <w:rFonts w:cs="Calibri"/>
          <w:snapToGrid/>
          <w:szCs w:val="24"/>
          <w:lang w:eastAsia="en-AU"/>
        </w:rPr>
        <w:t xml:space="preserve"> long</w:t>
      </w:r>
      <w:r w:rsidR="00FF290C">
        <w:rPr>
          <w:rFonts w:cs="Calibri"/>
          <w:snapToGrid/>
          <w:szCs w:val="24"/>
          <w:lang w:eastAsia="en-AU"/>
        </w:rPr>
        <w:t>-</w:t>
      </w:r>
      <w:r w:rsidR="00C71F78">
        <w:rPr>
          <w:rFonts w:cs="Calibri"/>
          <w:snapToGrid/>
          <w:szCs w:val="24"/>
          <w:lang w:eastAsia="en-AU"/>
        </w:rPr>
        <w:t>term in the specific indication of cerebrovascular disease.</w:t>
      </w:r>
    </w:p>
    <w:p w:rsidR="00B60939" w:rsidRPr="00BE5FAF" w:rsidRDefault="00A3651E" w:rsidP="004A557C">
      <w:pPr>
        <w:pStyle w:val="ListParagraph"/>
        <w:widowControl/>
        <w:numPr>
          <w:ilvl w:val="1"/>
          <w:numId w:val="2"/>
        </w:numPr>
        <w:spacing w:before="120" w:after="120"/>
      </w:pPr>
      <w:r w:rsidRPr="00BE5FAF">
        <w:rPr>
          <w:rFonts w:cs="Calibri"/>
          <w:snapToGrid/>
          <w:szCs w:val="24"/>
          <w:lang w:eastAsia="en-AU"/>
        </w:rPr>
        <w:t>Data from a 10% Medicare sample analysis provided in the submission indicate</w:t>
      </w:r>
      <w:r w:rsidR="009E07D7">
        <w:rPr>
          <w:rFonts w:cs="Calibri"/>
          <w:snapToGrid/>
          <w:szCs w:val="24"/>
          <w:lang w:eastAsia="en-AU"/>
        </w:rPr>
        <w:t>d</w:t>
      </w:r>
      <w:r w:rsidRPr="00BE5FAF">
        <w:rPr>
          <w:rFonts w:cs="Calibri"/>
          <w:snapToGrid/>
          <w:szCs w:val="24"/>
          <w:lang w:eastAsia="en-AU"/>
        </w:rPr>
        <w:t xml:space="preserve"> that a significant number of patients initiated on </w:t>
      </w:r>
      <w:proofErr w:type="spellStart"/>
      <w:r w:rsidRPr="00BE5FAF">
        <w:rPr>
          <w:rFonts w:cs="Calibri"/>
          <w:snapToGrid/>
          <w:szCs w:val="24"/>
          <w:lang w:eastAsia="en-AU"/>
        </w:rPr>
        <w:t>clopidogrel</w:t>
      </w:r>
      <w:proofErr w:type="spellEnd"/>
      <w:r w:rsidR="00C84A6B" w:rsidRPr="00BE5FAF">
        <w:rPr>
          <w:rFonts w:cs="Calibri"/>
          <w:snapToGrid/>
          <w:szCs w:val="24"/>
          <w:lang w:eastAsia="en-AU"/>
        </w:rPr>
        <w:t xml:space="preserve"> for prevention of cardiac events after experiencing </w:t>
      </w:r>
      <w:r w:rsidR="002E3DD0" w:rsidRPr="00BE5FAF">
        <w:rPr>
          <w:rFonts w:cs="Calibri"/>
          <w:snapToGrid/>
          <w:szCs w:val="24"/>
          <w:lang w:eastAsia="en-AU"/>
        </w:rPr>
        <w:t>ACS</w:t>
      </w:r>
      <w:r w:rsidR="00C84A6B" w:rsidRPr="00BE5FAF">
        <w:rPr>
          <w:rFonts w:cs="Calibri"/>
          <w:snapToGrid/>
          <w:szCs w:val="24"/>
          <w:lang w:eastAsia="en-AU"/>
        </w:rPr>
        <w:t xml:space="preserve"> whilst on aspirin</w:t>
      </w:r>
      <w:r w:rsidRPr="00BE5FAF">
        <w:rPr>
          <w:rFonts w:cs="Calibri"/>
          <w:snapToGrid/>
          <w:szCs w:val="24"/>
          <w:lang w:eastAsia="en-AU"/>
        </w:rPr>
        <w:t xml:space="preserve"> remain on treatment beyond 24 months (</w:t>
      </w:r>
      <w:r w:rsidR="00C71F78">
        <w:rPr>
          <w:rFonts w:cs="Calibri"/>
          <w:snapToGrid/>
          <w:szCs w:val="24"/>
          <w:lang w:eastAsia="en-AU"/>
        </w:rPr>
        <w:t xml:space="preserve">estimate of </w:t>
      </w:r>
      <w:r w:rsidRPr="00BE5FAF">
        <w:rPr>
          <w:rFonts w:cs="Calibri"/>
          <w:snapToGrid/>
          <w:szCs w:val="24"/>
          <w:lang w:eastAsia="en-AU"/>
        </w:rPr>
        <w:t>33,600</w:t>
      </w:r>
      <w:r w:rsidR="00C71F78">
        <w:rPr>
          <w:rFonts w:cs="Calibri"/>
          <w:snapToGrid/>
          <w:szCs w:val="24"/>
          <w:lang w:eastAsia="en-AU"/>
        </w:rPr>
        <w:t xml:space="preserve"> patients</w:t>
      </w:r>
      <w:r w:rsidRPr="00BE5FAF">
        <w:rPr>
          <w:rFonts w:cs="Calibri"/>
          <w:snapToGrid/>
          <w:szCs w:val="24"/>
          <w:lang w:eastAsia="en-AU"/>
        </w:rPr>
        <w:t>).</w:t>
      </w:r>
      <w:r w:rsidR="008C1739" w:rsidRPr="00BE5FAF">
        <w:rPr>
          <w:rFonts w:cs="Calibri"/>
          <w:snapToGrid/>
          <w:szCs w:val="24"/>
          <w:lang w:eastAsia="en-AU"/>
        </w:rPr>
        <w:t xml:space="preserve"> </w:t>
      </w:r>
      <w:r w:rsidR="00DE4769" w:rsidRPr="00BE5FAF">
        <w:rPr>
          <w:rFonts w:cs="Calibri"/>
          <w:snapToGrid/>
          <w:szCs w:val="24"/>
          <w:lang w:eastAsia="en-AU"/>
        </w:rPr>
        <w:t xml:space="preserve">The ESC </w:t>
      </w:r>
      <w:r w:rsidR="002E3DD0" w:rsidRPr="00BE5FAF">
        <w:rPr>
          <w:rFonts w:cs="Calibri"/>
          <w:snapToGrid/>
          <w:szCs w:val="24"/>
          <w:lang w:eastAsia="en-AU"/>
        </w:rPr>
        <w:t>considered</w:t>
      </w:r>
      <w:r w:rsidR="00DE4769" w:rsidRPr="00BE5FAF">
        <w:rPr>
          <w:rFonts w:cs="Calibri"/>
          <w:snapToGrid/>
          <w:szCs w:val="24"/>
          <w:lang w:eastAsia="en-AU"/>
        </w:rPr>
        <w:t xml:space="preserve"> that there </w:t>
      </w:r>
      <w:proofErr w:type="gramStart"/>
      <w:r w:rsidR="00DE4769" w:rsidRPr="00BE5FAF">
        <w:rPr>
          <w:rFonts w:cs="Calibri"/>
          <w:snapToGrid/>
          <w:szCs w:val="24"/>
          <w:lang w:eastAsia="en-AU"/>
        </w:rPr>
        <w:t>may</w:t>
      </w:r>
      <w:proofErr w:type="gramEnd"/>
      <w:r w:rsidR="00DE4769" w:rsidRPr="00BE5FAF">
        <w:rPr>
          <w:rFonts w:cs="Calibri"/>
          <w:snapToGrid/>
          <w:szCs w:val="24"/>
          <w:lang w:eastAsia="en-AU"/>
        </w:rPr>
        <w:t xml:space="preserve"> be a number of explanations for this, including inadvertent failure to stop dual antiplatelet therapy after 12 months, deliberate use of dual antiplatelet therapy after 12 months due to </w:t>
      </w:r>
      <w:r w:rsidR="00C71F78">
        <w:rPr>
          <w:rFonts w:cs="Calibri"/>
          <w:snapToGrid/>
          <w:szCs w:val="24"/>
          <w:lang w:eastAsia="en-AU"/>
        </w:rPr>
        <w:t xml:space="preserve">the </w:t>
      </w:r>
      <w:r w:rsidR="00DE4769" w:rsidRPr="00BE5FAF">
        <w:rPr>
          <w:rFonts w:cs="Calibri"/>
          <w:snapToGrid/>
          <w:szCs w:val="24"/>
          <w:lang w:eastAsia="en-AU"/>
        </w:rPr>
        <w:t>potential clinical benefit reflected in recent studies and potentially patient preference.</w:t>
      </w:r>
    </w:p>
    <w:p w:rsidR="00AA4E57" w:rsidRPr="00BE5FAF" w:rsidRDefault="00AA4E57" w:rsidP="004A557C">
      <w:pPr>
        <w:pStyle w:val="ListParagraph"/>
        <w:widowControl/>
        <w:numPr>
          <w:ilvl w:val="1"/>
          <w:numId w:val="2"/>
        </w:numPr>
        <w:spacing w:before="120" w:after="120"/>
      </w:pPr>
      <w:r w:rsidRPr="00BE5FAF">
        <w:rPr>
          <w:rFonts w:cs="Calibri"/>
          <w:snapToGrid/>
          <w:szCs w:val="24"/>
          <w:lang w:eastAsia="en-AU"/>
        </w:rPr>
        <w:t>The ESC</w:t>
      </w:r>
      <w:r w:rsidR="002F2BF5">
        <w:rPr>
          <w:rFonts w:cs="Calibri"/>
          <w:snapToGrid/>
          <w:szCs w:val="24"/>
          <w:lang w:eastAsia="en-AU"/>
        </w:rPr>
        <w:t xml:space="preserve"> and the PBAC</w:t>
      </w:r>
      <w:r w:rsidRPr="00BE5FAF">
        <w:rPr>
          <w:rFonts w:cs="Calibri"/>
          <w:snapToGrid/>
          <w:szCs w:val="24"/>
          <w:lang w:eastAsia="en-AU"/>
        </w:rPr>
        <w:t xml:space="preserve"> </w:t>
      </w:r>
      <w:r w:rsidR="00DE4769" w:rsidRPr="00BE5FAF">
        <w:rPr>
          <w:rFonts w:cs="Calibri"/>
          <w:snapToGrid/>
          <w:szCs w:val="24"/>
          <w:lang w:eastAsia="en-AU"/>
        </w:rPr>
        <w:t xml:space="preserve">considered </w:t>
      </w:r>
      <w:r w:rsidRPr="00BE5FAF">
        <w:rPr>
          <w:rFonts w:cs="Calibri"/>
          <w:snapToGrid/>
          <w:szCs w:val="24"/>
          <w:lang w:eastAsia="en-AU"/>
        </w:rPr>
        <w:t xml:space="preserve">that the use of </w:t>
      </w:r>
      <w:r w:rsidR="00BE5FAF" w:rsidRPr="00BE5FAF">
        <w:rPr>
          <w:rFonts w:cs="Calibri"/>
          <w:snapToGrid/>
          <w:szCs w:val="24"/>
          <w:lang w:eastAsia="en-AU"/>
        </w:rPr>
        <w:t>long-term</w:t>
      </w:r>
      <w:r w:rsidRPr="00BE5FAF">
        <w:rPr>
          <w:rFonts w:cs="Calibri"/>
          <w:snapToGrid/>
          <w:szCs w:val="24"/>
          <w:lang w:eastAsia="en-AU"/>
        </w:rPr>
        <w:t xml:space="preserve"> dual anti-platelet therapy following ACS (e.g. for longer than twelve months after an acute event) is increasing in clinical practice</w:t>
      </w:r>
      <w:r w:rsidR="002B3BDC" w:rsidRPr="00BE5FAF">
        <w:rPr>
          <w:rFonts w:cs="Calibri"/>
          <w:snapToGrid/>
          <w:szCs w:val="24"/>
          <w:lang w:eastAsia="en-AU"/>
        </w:rPr>
        <w:t xml:space="preserve"> in patients at low </w:t>
      </w:r>
      <w:r w:rsidR="002E3DD0" w:rsidRPr="00BE5FAF">
        <w:rPr>
          <w:rFonts w:cs="Calibri"/>
          <w:snapToGrid/>
          <w:szCs w:val="24"/>
          <w:lang w:eastAsia="en-AU"/>
        </w:rPr>
        <w:t xml:space="preserve">risk of </w:t>
      </w:r>
      <w:r w:rsidR="002B3BDC" w:rsidRPr="00BE5FAF">
        <w:rPr>
          <w:rFonts w:cs="Calibri"/>
          <w:snapToGrid/>
          <w:szCs w:val="24"/>
          <w:lang w:eastAsia="en-AU"/>
        </w:rPr>
        <w:t>bleeding,</w:t>
      </w:r>
      <w:r w:rsidR="002F2BF5">
        <w:rPr>
          <w:rStyle w:val="FootnoteReference"/>
          <w:rFonts w:cs="Calibri"/>
          <w:snapToGrid/>
          <w:szCs w:val="24"/>
          <w:lang w:eastAsia="en-AU"/>
        </w:rPr>
        <w:footnoteReference w:id="1"/>
      </w:r>
      <w:r w:rsidR="002B3BDC" w:rsidRPr="00BE5FAF">
        <w:rPr>
          <w:rFonts w:cs="Calibri"/>
          <w:snapToGrid/>
          <w:szCs w:val="24"/>
          <w:lang w:eastAsia="en-AU"/>
        </w:rPr>
        <w:t xml:space="preserve"> who would likely represent a key </w:t>
      </w:r>
      <w:r w:rsidR="000E292F" w:rsidRPr="00BE5FAF">
        <w:rPr>
          <w:rFonts w:cs="Calibri"/>
          <w:snapToGrid/>
          <w:szCs w:val="24"/>
          <w:lang w:eastAsia="en-AU"/>
        </w:rPr>
        <w:t>part</w:t>
      </w:r>
      <w:r w:rsidR="002B3BDC" w:rsidRPr="00BE5FAF">
        <w:rPr>
          <w:rFonts w:cs="Calibri"/>
          <w:snapToGrid/>
          <w:szCs w:val="24"/>
          <w:lang w:eastAsia="en-AU"/>
        </w:rPr>
        <w:t xml:space="preserve"> of the </w:t>
      </w:r>
      <w:proofErr w:type="spellStart"/>
      <w:r w:rsidR="002B3BDC" w:rsidRPr="00BE5FAF">
        <w:rPr>
          <w:rFonts w:cs="Calibri"/>
          <w:snapToGrid/>
          <w:szCs w:val="24"/>
          <w:lang w:eastAsia="en-AU"/>
        </w:rPr>
        <w:t>rivaroxaban</w:t>
      </w:r>
      <w:proofErr w:type="spellEnd"/>
      <w:r w:rsidR="002B3BDC" w:rsidRPr="00BE5FAF">
        <w:rPr>
          <w:rFonts w:cs="Calibri"/>
          <w:snapToGrid/>
          <w:szCs w:val="24"/>
          <w:lang w:eastAsia="en-AU"/>
        </w:rPr>
        <w:t xml:space="preserve"> target population</w:t>
      </w:r>
      <w:r w:rsidRPr="00BE5FAF">
        <w:rPr>
          <w:rFonts w:cs="Calibri"/>
          <w:snapToGrid/>
          <w:szCs w:val="24"/>
          <w:lang w:eastAsia="en-AU"/>
        </w:rPr>
        <w:t xml:space="preserve">. </w:t>
      </w:r>
      <w:r w:rsidR="00BE5FAF" w:rsidRPr="00BE5FAF">
        <w:rPr>
          <w:rFonts w:cs="Calibri"/>
          <w:snapToGrid/>
          <w:szCs w:val="24"/>
          <w:lang w:eastAsia="en-AU"/>
        </w:rPr>
        <w:t>Thus,</w:t>
      </w:r>
      <w:r w:rsidRPr="00BE5FAF">
        <w:rPr>
          <w:rFonts w:cs="Calibri"/>
          <w:snapToGrid/>
          <w:szCs w:val="24"/>
          <w:lang w:eastAsia="en-AU"/>
        </w:rPr>
        <w:t xml:space="preserve"> the ESC</w:t>
      </w:r>
      <w:r w:rsidR="002F2BF5">
        <w:rPr>
          <w:rFonts w:cs="Calibri"/>
          <w:snapToGrid/>
          <w:szCs w:val="24"/>
          <w:lang w:eastAsia="en-AU"/>
        </w:rPr>
        <w:t xml:space="preserve"> and PBAC</w:t>
      </w:r>
      <w:r w:rsidRPr="00BE5FAF">
        <w:rPr>
          <w:rFonts w:cs="Calibri"/>
          <w:snapToGrid/>
          <w:szCs w:val="24"/>
          <w:lang w:eastAsia="en-AU"/>
        </w:rPr>
        <w:t xml:space="preserve"> considered that </w:t>
      </w:r>
      <w:proofErr w:type="spellStart"/>
      <w:r w:rsidR="00DE4769" w:rsidRPr="00BE5FAF">
        <w:rPr>
          <w:rFonts w:cs="Calibri"/>
          <w:snapToGrid/>
          <w:szCs w:val="24"/>
          <w:lang w:eastAsia="en-AU"/>
        </w:rPr>
        <w:t>clopidogrel</w:t>
      </w:r>
      <w:proofErr w:type="spellEnd"/>
      <w:r w:rsidR="00DE4769" w:rsidRPr="00BE5FAF">
        <w:rPr>
          <w:rFonts w:cs="Calibri"/>
          <w:snapToGrid/>
          <w:szCs w:val="24"/>
          <w:lang w:eastAsia="en-AU"/>
        </w:rPr>
        <w:t xml:space="preserve"> </w:t>
      </w:r>
      <w:proofErr w:type="gramStart"/>
      <w:r w:rsidRPr="00BE5FAF">
        <w:rPr>
          <w:rFonts w:cs="Calibri"/>
          <w:snapToGrid/>
          <w:szCs w:val="24"/>
          <w:lang w:eastAsia="en-AU"/>
        </w:rPr>
        <w:t>may</w:t>
      </w:r>
      <w:proofErr w:type="gramEnd"/>
      <w:r w:rsidRPr="00BE5FAF">
        <w:rPr>
          <w:rFonts w:cs="Calibri"/>
          <w:snapToGrid/>
          <w:szCs w:val="24"/>
          <w:lang w:eastAsia="en-AU"/>
        </w:rPr>
        <w:t xml:space="preserve"> be a </w:t>
      </w:r>
      <w:r w:rsidR="002B3BDC" w:rsidRPr="00BE5FAF">
        <w:rPr>
          <w:rFonts w:cs="Calibri"/>
          <w:snapToGrid/>
          <w:szCs w:val="24"/>
          <w:lang w:eastAsia="en-AU"/>
        </w:rPr>
        <w:t>relevant</w:t>
      </w:r>
      <w:r w:rsidRPr="00BE5FAF">
        <w:rPr>
          <w:rFonts w:cs="Calibri"/>
          <w:snapToGrid/>
          <w:szCs w:val="24"/>
          <w:lang w:eastAsia="en-AU"/>
        </w:rPr>
        <w:t xml:space="preserve"> comparator in a </w:t>
      </w:r>
      <w:r w:rsidR="00DE4769" w:rsidRPr="00BE5FAF">
        <w:rPr>
          <w:rFonts w:cs="Calibri"/>
          <w:snapToGrid/>
          <w:szCs w:val="24"/>
          <w:lang w:eastAsia="en-AU"/>
        </w:rPr>
        <w:t>sub-</w:t>
      </w:r>
      <w:r w:rsidRPr="00BE5FAF">
        <w:rPr>
          <w:rFonts w:cs="Calibri"/>
          <w:snapToGrid/>
          <w:szCs w:val="24"/>
          <w:lang w:eastAsia="en-AU"/>
        </w:rPr>
        <w:t xml:space="preserve">group of patients. </w:t>
      </w:r>
      <w:r w:rsidR="009C6C48" w:rsidRPr="00BE5FAF">
        <w:rPr>
          <w:rFonts w:cs="Calibri"/>
          <w:snapToGrid/>
          <w:szCs w:val="24"/>
          <w:lang w:eastAsia="en-AU"/>
        </w:rPr>
        <w:t>The Pre-PBAC response argued</w:t>
      </w:r>
      <w:r w:rsidR="00555971" w:rsidRPr="00BE5FAF">
        <w:rPr>
          <w:rFonts w:cs="Calibri"/>
          <w:snapToGrid/>
          <w:szCs w:val="24"/>
          <w:lang w:eastAsia="en-AU"/>
        </w:rPr>
        <w:t xml:space="preserve"> that</w:t>
      </w:r>
      <w:r w:rsidR="009C6C48" w:rsidRPr="00BE5FAF">
        <w:rPr>
          <w:rFonts w:cs="Calibri"/>
          <w:snapToGrid/>
          <w:szCs w:val="24"/>
          <w:lang w:eastAsia="en-AU"/>
        </w:rPr>
        <w:t xml:space="preserve"> </w:t>
      </w:r>
      <w:proofErr w:type="spellStart"/>
      <w:r w:rsidR="009C6C48" w:rsidRPr="00BE5FAF">
        <w:rPr>
          <w:rFonts w:cs="Calibri"/>
          <w:snapToGrid/>
          <w:szCs w:val="24"/>
          <w:lang w:eastAsia="en-AU"/>
        </w:rPr>
        <w:t>clopidogrel</w:t>
      </w:r>
      <w:proofErr w:type="spellEnd"/>
      <w:r w:rsidR="009C6C48" w:rsidRPr="00BE5FAF">
        <w:rPr>
          <w:rFonts w:cs="Calibri"/>
          <w:snapToGrid/>
          <w:szCs w:val="24"/>
          <w:lang w:eastAsia="en-AU"/>
        </w:rPr>
        <w:t xml:space="preserve"> is not an appropriate comparator</w:t>
      </w:r>
      <w:r w:rsidR="00A7501B" w:rsidRPr="00BE5FAF">
        <w:rPr>
          <w:rFonts w:cs="Calibri"/>
          <w:snapToGrid/>
          <w:szCs w:val="24"/>
          <w:lang w:eastAsia="en-AU"/>
        </w:rPr>
        <w:t>,</w:t>
      </w:r>
      <w:r w:rsidR="009C6C48" w:rsidRPr="00BE5FAF">
        <w:rPr>
          <w:rFonts w:cs="Calibri"/>
          <w:snapToGrid/>
          <w:szCs w:val="24"/>
          <w:lang w:eastAsia="en-AU"/>
        </w:rPr>
        <w:t xml:space="preserve"> </w:t>
      </w:r>
      <w:r w:rsidR="00555971" w:rsidRPr="00BE5FAF">
        <w:rPr>
          <w:rFonts w:cs="Calibri"/>
          <w:snapToGrid/>
          <w:szCs w:val="24"/>
          <w:lang w:eastAsia="en-AU"/>
        </w:rPr>
        <w:t>stati</w:t>
      </w:r>
      <w:r w:rsidR="009C6C48" w:rsidRPr="00BE5FAF">
        <w:rPr>
          <w:rFonts w:cs="Calibri"/>
          <w:snapToGrid/>
          <w:szCs w:val="24"/>
          <w:lang w:eastAsia="en-AU"/>
        </w:rPr>
        <w:t xml:space="preserve">ng </w:t>
      </w:r>
      <w:r w:rsidR="00555971" w:rsidRPr="00BE5FAF">
        <w:rPr>
          <w:rFonts w:cs="Calibri"/>
          <w:snapToGrid/>
          <w:szCs w:val="24"/>
          <w:lang w:eastAsia="en-AU"/>
        </w:rPr>
        <w:t xml:space="preserve">that the </w:t>
      </w:r>
      <w:r w:rsidR="00555971" w:rsidRPr="00BE5FAF">
        <w:rPr>
          <w:rFonts w:cs="Calibri"/>
          <w:snapToGrid/>
          <w:szCs w:val="24"/>
          <w:lang w:eastAsia="en-AU"/>
        </w:rPr>
        <w:lastRenderedPageBreak/>
        <w:t xml:space="preserve">sponsor is not aware of any </w:t>
      </w:r>
      <w:r w:rsidR="00D203DF" w:rsidRPr="00BE5FAF">
        <w:rPr>
          <w:rFonts w:cs="Calibri"/>
          <w:snapToGrid/>
          <w:szCs w:val="24"/>
          <w:lang w:eastAsia="en-AU"/>
        </w:rPr>
        <w:t>randomi</w:t>
      </w:r>
      <w:r w:rsidR="00555971" w:rsidRPr="00BE5FAF">
        <w:rPr>
          <w:rFonts w:cs="Calibri"/>
          <w:snapToGrid/>
          <w:szCs w:val="24"/>
          <w:lang w:eastAsia="en-AU"/>
        </w:rPr>
        <w:t>s</w:t>
      </w:r>
      <w:r w:rsidR="00D203DF" w:rsidRPr="00BE5FAF">
        <w:rPr>
          <w:rFonts w:cs="Calibri"/>
          <w:snapToGrid/>
          <w:szCs w:val="24"/>
          <w:lang w:eastAsia="en-AU"/>
        </w:rPr>
        <w:t>ed controlled trials demonstrating a risk</w:t>
      </w:r>
      <w:r w:rsidR="00E814D1" w:rsidRPr="00BE5FAF">
        <w:rPr>
          <w:rFonts w:cs="Calibri"/>
          <w:snapToGrid/>
          <w:szCs w:val="24"/>
          <w:lang w:eastAsia="en-AU"/>
        </w:rPr>
        <w:t>-</w:t>
      </w:r>
      <w:r w:rsidR="00D203DF" w:rsidRPr="00BE5FAF">
        <w:rPr>
          <w:rFonts w:cs="Calibri"/>
          <w:snapToGrid/>
          <w:szCs w:val="24"/>
          <w:lang w:eastAsia="en-AU"/>
        </w:rPr>
        <w:t>benefit for exten</w:t>
      </w:r>
      <w:r w:rsidR="00555971" w:rsidRPr="00BE5FAF">
        <w:rPr>
          <w:rFonts w:cs="Calibri"/>
          <w:snapToGrid/>
          <w:szCs w:val="24"/>
          <w:lang w:eastAsia="en-AU"/>
        </w:rPr>
        <w:t>ded</w:t>
      </w:r>
      <w:r w:rsidR="00D203DF" w:rsidRPr="00BE5FAF">
        <w:rPr>
          <w:rFonts w:cs="Calibri"/>
          <w:snapToGrid/>
          <w:szCs w:val="24"/>
          <w:lang w:eastAsia="en-AU"/>
        </w:rPr>
        <w:t xml:space="preserve"> use of dual antiplatelet therapy beyond 12 months.</w:t>
      </w:r>
      <w:r w:rsidR="00A63238" w:rsidRPr="00BE5FAF">
        <w:rPr>
          <w:rFonts w:cs="Calibri"/>
          <w:snapToGrid/>
          <w:szCs w:val="24"/>
          <w:lang w:eastAsia="en-AU"/>
        </w:rPr>
        <w:t xml:space="preserve"> However, the PBAC agreed with the ESC that </w:t>
      </w:r>
      <w:proofErr w:type="spellStart"/>
      <w:r w:rsidR="00A63238" w:rsidRPr="00BE5FAF">
        <w:rPr>
          <w:rFonts w:cs="Calibri"/>
          <w:snapToGrid/>
          <w:szCs w:val="24"/>
          <w:lang w:eastAsia="en-AU"/>
        </w:rPr>
        <w:t>clopidogrel</w:t>
      </w:r>
      <w:proofErr w:type="spellEnd"/>
      <w:r w:rsidR="00A63238" w:rsidRPr="00BE5FAF">
        <w:rPr>
          <w:rFonts w:cs="Calibri"/>
          <w:snapToGrid/>
          <w:szCs w:val="24"/>
          <w:lang w:eastAsia="en-AU"/>
        </w:rPr>
        <w:t xml:space="preserve"> </w:t>
      </w:r>
      <w:proofErr w:type="gramStart"/>
      <w:r w:rsidR="00A63238" w:rsidRPr="00BE5FAF">
        <w:rPr>
          <w:rFonts w:cs="Calibri"/>
          <w:snapToGrid/>
          <w:szCs w:val="24"/>
          <w:lang w:eastAsia="en-AU"/>
        </w:rPr>
        <w:t>may</w:t>
      </w:r>
      <w:proofErr w:type="gramEnd"/>
      <w:r w:rsidR="00A63238" w:rsidRPr="00BE5FAF">
        <w:rPr>
          <w:rFonts w:cs="Calibri"/>
          <w:snapToGrid/>
          <w:szCs w:val="24"/>
          <w:lang w:eastAsia="en-AU"/>
        </w:rPr>
        <w:t xml:space="preserve"> be a relevant comparator in a sub-group of patients.</w:t>
      </w:r>
    </w:p>
    <w:p w:rsidR="00602C83" w:rsidRPr="00BE5FAF" w:rsidRDefault="00602C83" w:rsidP="004A557C">
      <w:pPr>
        <w:pStyle w:val="ListParagraph"/>
        <w:widowControl/>
        <w:spacing w:before="120" w:after="120"/>
        <w:rPr>
          <w:i/>
        </w:rPr>
      </w:pPr>
      <w:r w:rsidRPr="00BE5FAF">
        <w:rPr>
          <w:i/>
        </w:rPr>
        <w:t>For more detail on PBAC’s view, see section 7 PBAC outcome.</w:t>
      </w:r>
    </w:p>
    <w:p w:rsidR="00B50DB8" w:rsidRPr="00BE5FAF" w:rsidRDefault="00BD6CF3" w:rsidP="004A557C">
      <w:pPr>
        <w:pStyle w:val="Heading1"/>
        <w:keepNext/>
        <w:keepLines/>
        <w:widowControl/>
        <w:numPr>
          <w:ilvl w:val="0"/>
          <w:numId w:val="2"/>
        </w:numPr>
        <w:spacing w:before="120" w:after="120"/>
        <w:ind w:left="709" w:hanging="709"/>
        <w:rPr>
          <w:rFonts w:asciiTheme="minorHAnsi" w:eastAsiaTheme="majorEastAsia" w:hAnsiTheme="minorHAnsi" w:cstheme="majorBidi"/>
          <w:caps w:val="0"/>
          <w:snapToGrid/>
          <w:szCs w:val="28"/>
        </w:rPr>
      </w:pPr>
      <w:bookmarkStart w:id="5" w:name="_Toc535943611"/>
      <w:r w:rsidRPr="00BE5FAF">
        <w:rPr>
          <w:rFonts w:asciiTheme="minorHAnsi" w:eastAsiaTheme="majorEastAsia" w:hAnsiTheme="minorHAnsi" w:cstheme="majorBidi"/>
          <w:caps w:val="0"/>
          <w:snapToGrid/>
          <w:szCs w:val="28"/>
        </w:rPr>
        <w:t>C</w:t>
      </w:r>
      <w:r w:rsidR="00B50DB8" w:rsidRPr="00BE5FAF">
        <w:rPr>
          <w:rFonts w:asciiTheme="minorHAnsi" w:eastAsiaTheme="majorEastAsia" w:hAnsiTheme="minorHAnsi" w:cstheme="majorBidi"/>
          <w:caps w:val="0"/>
          <w:snapToGrid/>
          <w:szCs w:val="28"/>
        </w:rPr>
        <w:t>onsideration of the evidence</w:t>
      </w:r>
      <w:bookmarkEnd w:id="5"/>
    </w:p>
    <w:p w:rsidR="00EE1A3B" w:rsidRPr="00BE5FAF" w:rsidRDefault="00EE1A3B" w:rsidP="004A557C">
      <w:pPr>
        <w:pStyle w:val="Heading2"/>
        <w:keepNext/>
        <w:widowControl/>
        <w:spacing w:before="120" w:after="120"/>
      </w:pPr>
      <w:bookmarkStart w:id="6" w:name="_Toc535943612"/>
      <w:r w:rsidRPr="00BE5FAF">
        <w:t>Sponsor hearing</w:t>
      </w:r>
    </w:p>
    <w:p w:rsidR="00941386" w:rsidRPr="00BE5FAF" w:rsidRDefault="00EE1A3B" w:rsidP="004A557C">
      <w:pPr>
        <w:widowControl/>
        <w:numPr>
          <w:ilvl w:val="1"/>
          <w:numId w:val="2"/>
        </w:numPr>
        <w:spacing w:before="120" w:after="120"/>
        <w:rPr>
          <w:rFonts w:asciiTheme="minorHAnsi" w:hAnsiTheme="minorHAnsi"/>
          <w:bCs/>
          <w:szCs w:val="24"/>
        </w:rPr>
      </w:pPr>
      <w:r w:rsidRPr="00BE5FAF">
        <w:rPr>
          <w:rFonts w:asciiTheme="minorHAnsi" w:hAnsiTheme="minorHAnsi"/>
          <w:bCs/>
          <w:szCs w:val="24"/>
        </w:rPr>
        <w:t xml:space="preserve">The sponsor requested a hearing for this item. The clinician </w:t>
      </w:r>
      <w:r w:rsidR="00FB58B4" w:rsidRPr="00BE5FAF">
        <w:rPr>
          <w:rFonts w:asciiTheme="minorHAnsi" w:hAnsiTheme="minorHAnsi"/>
          <w:bCs/>
          <w:szCs w:val="24"/>
        </w:rPr>
        <w:t xml:space="preserve">discussed various aspects of the COMPASS clinical trial including </w:t>
      </w:r>
      <w:r w:rsidR="00941386" w:rsidRPr="00BE5FAF">
        <w:rPr>
          <w:rFonts w:asciiTheme="minorHAnsi" w:hAnsiTheme="minorHAnsi"/>
          <w:bCs/>
          <w:szCs w:val="24"/>
        </w:rPr>
        <w:t xml:space="preserve">the </w:t>
      </w:r>
      <w:r w:rsidR="00FB58B4" w:rsidRPr="00BE5FAF">
        <w:rPr>
          <w:rFonts w:asciiTheme="minorHAnsi" w:hAnsiTheme="minorHAnsi"/>
          <w:bCs/>
          <w:szCs w:val="24"/>
        </w:rPr>
        <w:t xml:space="preserve">trial design, </w:t>
      </w:r>
      <w:r w:rsidR="00E179F8" w:rsidRPr="00BE5FAF">
        <w:rPr>
          <w:rFonts w:asciiTheme="minorHAnsi" w:hAnsiTheme="minorHAnsi"/>
          <w:bCs/>
          <w:szCs w:val="24"/>
        </w:rPr>
        <w:t xml:space="preserve">the </w:t>
      </w:r>
      <w:r w:rsidR="00941386" w:rsidRPr="00BE5FAF">
        <w:rPr>
          <w:rFonts w:asciiTheme="minorHAnsi" w:hAnsiTheme="minorHAnsi"/>
          <w:bCs/>
          <w:szCs w:val="24"/>
        </w:rPr>
        <w:t>baseline risk</w:t>
      </w:r>
      <w:r w:rsidR="00E179F8" w:rsidRPr="00BE5FAF">
        <w:rPr>
          <w:rFonts w:asciiTheme="minorHAnsi" w:hAnsiTheme="minorHAnsi"/>
          <w:bCs/>
          <w:szCs w:val="24"/>
        </w:rPr>
        <w:t xml:space="preserve"> of patients in the trial</w:t>
      </w:r>
      <w:r w:rsidR="00941386" w:rsidRPr="00BE5FAF">
        <w:rPr>
          <w:rFonts w:asciiTheme="minorHAnsi" w:hAnsiTheme="minorHAnsi"/>
          <w:bCs/>
          <w:szCs w:val="24"/>
        </w:rPr>
        <w:t xml:space="preserve">, the risk of bleeding with </w:t>
      </w:r>
      <w:proofErr w:type="spellStart"/>
      <w:r w:rsidR="00941386" w:rsidRPr="00BE5FAF">
        <w:rPr>
          <w:rFonts w:asciiTheme="minorHAnsi" w:hAnsiTheme="minorHAnsi"/>
          <w:bCs/>
          <w:szCs w:val="24"/>
        </w:rPr>
        <w:t>rivaroxaban</w:t>
      </w:r>
      <w:proofErr w:type="spellEnd"/>
      <w:r w:rsidR="00941386" w:rsidRPr="00BE5FAF">
        <w:rPr>
          <w:rFonts w:asciiTheme="minorHAnsi" w:hAnsiTheme="minorHAnsi"/>
          <w:bCs/>
          <w:szCs w:val="24"/>
        </w:rPr>
        <w:t xml:space="preserve">, the </w:t>
      </w:r>
      <w:r w:rsidR="00FB58B4" w:rsidRPr="00BE5FAF">
        <w:rPr>
          <w:rFonts w:asciiTheme="minorHAnsi" w:hAnsiTheme="minorHAnsi"/>
          <w:bCs/>
          <w:szCs w:val="24"/>
        </w:rPr>
        <w:t>net clinical benefit</w:t>
      </w:r>
      <w:r w:rsidR="00941386" w:rsidRPr="00BE5FAF">
        <w:rPr>
          <w:rFonts w:asciiTheme="minorHAnsi" w:hAnsiTheme="minorHAnsi"/>
          <w:bCs/>
          <w:szCs w:val="24"/>
        </w:rPr>
        <w:t xml:space="preserve"> observed in the trial</w:t>
      </w:r>
      <w:r w:rsidR="00FB58B4" w:rsidRPr="00BE5FAF">
        <w:rPr>
          <w:rFonts w:asciiTheme="minorHAnsi" w:hAnsiTheme="minorHAnsi"/>
          <w:bCs/>
          <w:szCs w:val="24"/>
        </w:rPr>
        <w:t>, and</w:t>
      </w:r>
      <w:r w:rsidR="00E730A9" w:rsidRPr="00BE5FAF">
        <w:rPr>
          <w:rFonts w:asciiTheme="minorHAnsi" w:hAnsiTheme="minorHAnsi"/>
          <w:bCs/>
          <w:szCs w:val="24"/>
        </w:rPr>
        <w:t xml:space="preserve"> the</w:t>
      </w:r>
      <w:r w:rsidR="00FB58B4" w:rsidRPr="00BE5FAF">
        <w:rPr>
          <w:rFonts w:asciiTheme="minorHAnsi" w:hAnsiTheme="minorHAnsi"/>
          <w:bCs/>
          <w:szCs w:val="24"/>
        </w:rPr>
        <w:t xml:space="preserve"> risk-benefit </w:t>
      </w:r>
      <w:r w:rsidR="00E730A9" w:rsidRPr="00BE5FAF">
        <w:rPr>
          <w:rFonts w:asciiTheme="minorHAnsi" w:hAnsiTheme="minorHAnsi"/>
          <w:bCs/>
          <w:szCs w:val="24"/>
        </w:rPr>
        <w:t xml:space="preserve">profile </w:t>
      </w:r>
      <w:r w:rsidR="00E179F8" w:rsidRPr="00BE5FAF">
        <w:rPr>
          <w:rFonts w:asciiTheme="minorHAnsi" w:hAnsiTheme="minorHAnsi"/>
          <w:bCs/>
          <w:szCs w:val="24"/>
        </w:rPr>
        <w:t xml:space="preserve">in </w:t>
      </w:r>
      <w:r w:rsidR="00FB58B4" w:rsidRPr="00BE5FAF">
        <w:rPr>
          <w:rFonts w:asciiTheme="minorHAnsi" w:hAnsiTheme="minorHAnsi"/>
          <w:bCs/>
          <w:szCs w:val="24"/>
        </w:rPr>
        <w:t>the elderly</w:t>
      </w:r>
      <w:r w:rsidRPr="00BE5FAF">
        <w:rPr>
          <w:rFonts w:asciiTheme="minorHAnsi" w:hAnsiTheme="minorHAnsi"/>
          <w:bCs/>
          <w:szCs w:val="24"/>
        </w:rPr>
        <w:t xml:space="preserve">. </w:t>
      </w:r>
      <w:r w:rsidR="00900833" w:rsidRPr="00BE5FAF">
        <w:rPr>
          <w:rFonts w:asciiTheme="minorHAnsi" w:hAnsiTheme="minorHAnsi"/>
          <w:bCs/>
          <w:szCs w:val="24"/>
        </w:rPr>
        <w:t>The clinician also outlined that m</w:t>
      </w:r>
      <w:r w:rsidR="00941386" w:rsidRPr="00BE5FAF">
        <w:rPr>
          <w:rFonts w:asciiTheme="minorHAnsi" w:hAnsiTheme="minorHAnsi"/>
          <w:bCs/>
          <w:szCs w:val="24"/>
        </w:rPr>
        <w:t xml:space="preserve">ajor adverse limb events </w:t>
      </w:r>
      <w:r w:rsidR="00900833" w:rsidRPr="00BE5FAF">
        <w:rPr>
          <w:rFonts w:asciiTheme="minorHAnsi" w:hAnsiTheme="minorHAnsi"/>
          <w:bCs/>
          <w:szCs w:val="24"/>
        </w:rPr>
        <w:t>were an</w:t>
      </w:r>
      <w:r w:rsidR="00941386" w:rsidRPr="00BE5FAF">
        <w:rPr>
          <w:rFonts w:asciiTheme="minorHAnsi" w:hAnsiTheme="minorHAnsi"/>
          <w:bCs/>
          <w:szCs w:val="24"/>
        </w:rPr>
        <w:t xml:space="preserve"> important trial</w:t>
      </w:r>
      <w:r w:rsidR="00900833" w:rsidRPr="00BE5FAF">
        <w:rPr>
          <w:rFonts w:asciiTheme="minorHAnsi" w:hAnsiTheme="minorHAnsi"/>
          <w:bCs/>
          <w:szCs w:val="24"/>
        </w:rPr>
        <w:t xml:space="preserve"> outcome</w:t>
      </w:r>
      <w:r w:rsidR="00941386" w:rsidRPr="00BE5FAF">
        <w:rPr>
          <w:rFonts w:asciiTheme="minorHAnsi" w:hAnsiTheme="minorHAnsi"/>
          <w:bCs/>
          <w:szCs w:val="24"/>
        </w:rPr>
        <w:t xml:space="preserve">, given </w:t>
      </w:r>
      <w:r w:rsidR="00900833" w:rsidRPr="00BE5FAF">
        <w:rPr>
          <w:rFonts w:asciiTheme="minorHAnsi" w:hAnsiTheme="minorHAnsi"/>
          <w:bCs/>
          <w:szCs w:val="24"/>
        </w:rPr>
        <w:t>few</w:t>
      </w:r>
      <w:r w:rsidR="00941386" w:rsidRPr="00BE5FAF">
        <w:rPr>
          <w:rFonts w:asciiTheme="minorHAnsi" w:hAnsiTheme="minorHAnsi"/>
          <w:bCs/>
          <w:szCs w:val="24"/>
        </w:rPr>
        <w:t xml:space="preserve"> trials</w:t>
      </w:r>
      <w:r w:rsidR="00900833" w:rsidRPr="00BE5FAF">
        <w:rPr>
          <w:rFonts w:asciiTheme="minorHAnsi" w:hAnsiTheme="minorHAnsi"/>
          <w:bCs/>
          <w:szCs w:val="24"/>
        </w:rPr>
        <w:t xml:space="preserve"> have been conducted</w:t>
      </w:r>
      <w:r w:rsidR="00941386" w:rsidRPr="00BE5FAF">
        <w:rPr>
          <w:rFonts w:asciiTheme="minorHAnsi" w:hAnsiTheme="minorHAnsi"/>
          <w:bCs/>
          <w:szCs w:val="24"/>
        </w:rPr>
        <w:t xml:space="preserve"> </w:t>
      </w:r>
      <w:r w:rsidR="00900833" w:rsidRPr="00BE5FAF">
        <w:rPr>
          <w:rFonts w:asciiTheme="minorHAnsi" w:hAnsiTheme="minorHAnsi"/>
          <w:bCs/>
          <w:szCs w:val="24"/>
        </w:rPr>
        <w:t>in patients with</w:t>
      </w:r>
      <w:r w:rsidR="00941386" w:rsidRPr="00BE5FAF">
        <w:rPr>
          <w:rFonts w:asciiTheme="minorHAnsi" w:hAnsiTheme="minorHAnsi"/>
          <w:bCs/>
          <w:szCs w:val="24"/>
        </w:rPr>
        <w:t xml:space="preserve"> PAD</w:t>
      </w:r>
      <w:r w:rsidR="00900833" w:rsidRPr="00BE5FAF">
        <w:rPr>
          <w:rFonts w:asciiTheme="minorHAnsi" w:hAnsiTheme="minorHAnsi"/>
          <w:bCs/>
          <w:szCs w:val="24"/>
        </w:rPr>
        <w:t>.</w:t>
      </w:r>
    </w:p>
    <w:p w:rsidR="00EE1A3B" w:rsidRPr="00BE5FAF" w:rsidRDefault="00EE1A3B" w:rsidP="004A557C">
      <w:pPr>
        <w:pStyle w:val="Heading2"/>
        <w:keepNext/>
        <w:widowControl/>
        <w:spacing w:before="120" w:after="120"/>
      </w:pPr>
      <w:r w:rsidRPr="00BE5FAF">
        <w:t>Consumer comments</w:t>
      </w:r>
      <w:r w:rsidR="00B020A5" w:rsidRPr="00BE5FAF">
        <w:rPr>
          <w:rFonts w:asciiTheme="minorHAnsi" w:hAnsiTheme="minorHAnsi"/>
          <w:bCs/>
          <w:szCs w:val="24"/>
        </w:rPr>
        <w:t xml:space="preserve"> </w:t>
      </w:r>
    </w:p>
    <w:p w:rsidR="00EE1A3B" w:rsidRPr="00BE5FAF" w:rsidRDefault="00EE1A3B" w:rsidP="004A557C">
      <w:pPr>
        <w:widowControl/>
        <w:numPr>
          <w:ilvl w:val="1"/>
          <w:numId w:val="2"/>
        </w:numPr>
        <w:spacing w:before="120" w:after="120"/>
        <w:rPr>
          <w:rFonts w:asciiTheme="minorHAnsi" w:hAnsiTheme="minorHAnsi"/>
          <w:bCs/>
          <w:szCs w:val="24"/>
        </w:rPr>
      </w:pPr>
      <w:r w:rsidRPr="00BE5FAF">
        <w:rPr>
          <w:rFonts w:asciiTheme="minorHAnsi" w:hAnsiTheme="minorHAnsi"/>
          <w:bCs/>
          <w:szCs w:val="24"/>
        </w:rPr>
        <w:t>The PBAC noted and welcomed the input from health care professionals (</w:t>
      </w:r>
      <w:r w:rsidR="00C94ADE" w:rsidRPr="00BE5FAF">
        <w:rPr>
          <w:rFonts w:asciiTheme="minorHAnsi" w:hAnsiTheme="minorHAnsi"/>
          <w:bCs/>
          <w:szCs w:val="24"/>
        </w:rPr>
        <w:t>2</w:t>
      </w:r>
      <w:r w:rsidRPr="00BE5FAF">
        <w:rPr>
          <w:rFonts w:asciiTheme="minorHAnsi" w:hAnsiTheme="minorHAnsi"/>
          <w:bCs/>
          <w:szCs w:val="24"/>
        </w:rPr>
        <w:t>) and organisations (1) via the Consumer Comments facility on the PBS website. The comments described a range of be</w:t>
      </w:r>
      <w:r w:rsidR="00C94ADE" w:rsidRPr="00BE5FAF">
        <w:rPr>
          <w:rFonts w:asciiTheme="minorHAnsi" w:hAnsiTheme="minorHAnsi"/>
          <w:bCs/>
          <w:szCs w:val="24"/>
        </w:rPr>
        <w:t xml:space="preserve">nefits of treatment with </w:t>
      </w:r>
      <w:proofErr w:type="spellStart"/>
      <w:r w:rsidR="00C94ADE" w:rsidRPr="00BE5FAF">
        <w:rPr>
          <w:rFonts w:asciiTheme="minorHAnsi" w:hAnsiTheme="minorHAnsi"/>
          <w:bCs/>
          <w:szCs w:val="24"/>
        </w:rPr>
        <w:t>rivaroxaban</w:t>
      </w:r>
      <w:proofErr w:type="spellEnd"/>
      <w:r w:rsidR="00C94ADE" w:rsidRPr="00BE5FAF">
        <w:rPr>
          <w:rFonts w:asciiTheme="minorHAnsi" w:hAnsiTheme="minorHAnsi"/>
          <w:bCs/>
          <w:szCs w:val="24"/>
        </w:rPr>
        <w:t xml:space="preserve"> in combination with aspirin including </w:t>
      </w:r>
      <w:r w:rsidR="00E179F8" w:rsidRPr="00BE5FAF">
        <w:rPr>
          <w:rFonts w:asciiTheme="minorHAnsi" w:hAnsiTheme="minorHAnsi"/>
          <w:bCs/>
          <w:szCs w:val="24"/>
        </w:rPr>
        <w:t xml:space="preserve">improved cardiovascular outcomes, </w:t>
      </w:r>
      <w:r w:rsidR="00A63238" w:rsidRPr="00BE5FAF">
        <w:rPr>
          <w:rFonts w:asciiTheme="minorHAnsi" w:hAnsiTheme="minorHAnsi"/>
          <w:bCs/>
          <w:szCs w:val="24"/>
        </w:rPr>
        <w:t>an overall net clinical benefit and a reduction in all-cause mortality</w:t>
      </w:r>
      <w:r w:rsidR="00900833" w:rsidRPr="00BE5FAF">
        <w:rPr>
          <w:rFonts w:asciiTheme="minorHAnsi" w:hAnsiTheme="minorHAnsi"/>
          <w:bCs/>
          <w:szCs w:val="24"/>
        </w:rPr>
        <w:t xml:space="preserve">, </w:t>
      </w:r>
      <w:r w:rsidR="00C94ADE" w:rsidRPr="00BE5FAF">
        <w:rPr>
          <w:rFonts w:asciiTheme="minorHAnsi" w:hAnsiTheme="minorHAnsi"/>
          <w:bCs/>
          <w:szCs w:val="24"/>
        </w:rPr>
        <w:t>but</w:t>
      </w:r>
      <w:r w:rsidR="00323BED" w:rsidRPr="00BE5FAF">
        <w:rPr>
          <w:rFonts w:asciiTheme="minorHAnsi" w:hAnsiTheme="minorHAnsi"/>
          <w:bCs/>
          <w:szCs w:val="24"/>
        </w:rPr>
        <w:t xml:space="preserve"> also</w:t>
      </w:r>
      <w:r w:rsidR="00C94ADE" w:rsidRPr="00BE5FAF">
        <w:rPr>
          <w:rFonts w:asciiTheme="minorHAnsi" w:hAnsiTheme="minorHAnsi"/>
          <w:bCs/>
          <w:szCs w:val="24"/>
        </w:rPr>
        <w:t xml:space="preserve"> </w:t>
      </w:r>
      <w:r w:rsidR="00D45C13" w:rsidRPr="00BE5FAF">
        <w:rPr>
          <w:rFonts w:asciiTheme="minorHAnsi" w:hAnsiTheme="minorHAnsi"/>
          <w:bCs/>
          <w:szCs w:val="24"/>
        </w:rPr>
        <w:t xml:space="preserve">noted </w:t>
      </w:r>
      <w:r w:rsidR="00E179F8" w:rsidRPr="00BE5FAF">
        <w:rPr>
          <w:rFonts w:asciiTheme="minorHAnsi" w:hAnsiTheme="minorHAnsi"/>
          <w:bCs/>
          <w:szCs w:val="24"/>
        </w:rPr>
        <w:t>th</w:t>
      </w:r>
      <w:r w:rsidR="00323BED" w:rsidRPr="00BE5FAF">
        <w:rPr>
          <w:rFonts w:asciiTheme="minorHAnsi" w:hAnsiTheme="minorHAnsi"/>
          <w:bCs/>
          <w:szCs w:val="24"/>
        </w:rPr>
        <w:t xml:space="preserve">at </w:t>
      </w:r>
      <w:proofErr w:type="spellStart"/>
      <w:r w:rsidR="00323BED" w:rsidRPr="00BE5FAF">
        <w:rPr>
          <w:rFonts w:asciiTheme="minorHAnsi" w:hAnsiTheme="minorHAnsi"/>
          <w:bCs/>
          <w:szCs w:val="24"/>
        </w:rPr>
        <w:t>rivaroxaban</w:t>
      </w:r>
      <w:proofErr w:type="spellEnd"/>
      <w:r w:rsidR="00323BED" w:rsidRPr="00BE5FAF">
        <w:rPr>
          <w:rFonts w:asciiTheme="minorHAnsi" w:hAnsiTheme="minorHAnsi"/>
          <w:bCs/>
          <w:szCs w:val="24"/>
        </w:rPr>
        <w:t xml:space="preserve"> was associated with an</w:t>
      </w:r>
      <w:r w:rsidR="00E179F8" w:rsidRPr="00BE5FAF">
        <w:rPr>
          <w:rFonts w:asciiTheme="minorHAnsi" w:hAnsiTheme="minorHAnsi"/>
          <w:bCs/>
          <w:szCs w:val="24"/>
        </w:rPr>
        <w:t xml:space="preserve"> increased </w:t>
      </w:r>
      <w:r w:rsidR="00D45C13" w:rsidRPr="00BE5FAF">
        <w:rPr>
          <w:rFonts w:asciiTheme="minorHAnsi" w:hAnsiTheme="minorHAnsi"/>
          <w:bCs/>
          <w:szCs w:val="24"/>
        </w:rPr>
        <w:t xml:space="preserve">risk of </w:t>
      </w:r>
      <w:r w:rsidR="00C94ADE" w:rsidRPr="00BE5FAF">
        <w:rPr>
          <w:rFonts w:asciiTheme="minorHAnsi" w:hAnsiTheme="minorHAnsi"/>
          <w:bCs/>
          <w:szCs w:val="24"/>
        </w:rPr>
        <w:t>bleeding.</w:t>
      </w:r>
      <w:r w:rsidR="00D45C13" w:rsidRPr="00BE5FAF">
        <w:t xml:space="preserve"> The comments noted </w:t>
      </w:r>
      <w:r w:rsidR="00A63238" w:rsidRPr="00BE5FAF">
        <w:t>that this is the first medical treatment for patients with PAD that reduces the risk of amputation</w:t>
      </w:r>
      <w:r w:rsidR="005948C9" w:rsidRPr="00BE5FAF">
        <w:t xml:space="preserve"> for vascular reasons</w:t>
      </w:r>
      <w:r w:rsidR="00A63238" w:rsidRPr="00BE5FAF">
        <w:t>.</w:t>
      </w:r>
    </w:p>
    <w:p w:rsidR="00B60939" w:rsidRPr="00BE5FAF" w:rsidRDefault="00B60939" w:rsidP="004A557C">
      <w:pPr>
        <w:pStyle w:val="Heading2"/>
        <w:keepNext/>
        <w:widowControl/>
        <w:spacing w:before="120" w:after="120"/>
      </w:pPr>
      <w:r w:rsidRPr="00BE5FAF">
        <w:t>Clinical trials</w:t>
      </w:r>
      <w:bookmarkEnd w:id="6"/>
    </w:p>
    <w:p w:rsidR="00A3651E" w:rsidRPr="00BE5FAF" w:rsidRDefault="00A3651E" w:rsidP="004A557C">
      <w:pPr>
        <w:pStyle w:val="ListParagraph"/>
        <w:keepNext/>
        <w:widowControl/>
        <w:numPr>
          <w:ilvl w:val="1"/>
          <w:numId w:val="2"/>
        </w:numPr>
        <w:spacing w:before="120" w:after="120"/>
      </w:pPr>
      <w:r w:rsidRPr="00BE5FAF">
        <w:rPr>
          <w:rFonts w:cs="Calibri"/>
          <w:snapToGrid/>
          <w:szCs w:val="24"/>
          <w:lang w:eastAsia="en-AU"/>
        </w:rPr>
        <w:t xml:space="preserve">The submission was based on one head-to-head randomised controlled trial, in which patients were randomised in a 1:1:1 ratio to </w:t>
      </w:r>
      <w:proofErr w:type="spellStart"/>
      <w:r w:rsidRPr="00BE5FAF">
        <w:rPr>
          <w:rFonts w:cs="Calibri"/>
          <w:snapToGrid/>
          <w:szCs w:val="24"/>
          <w:lang w:eastAsia="en-AU"/>
        </w:rPr>
        <w:t>rivaroxaban</w:t>
      </w:r>
      <w:proofErr w:type="spellEnd"/>
      <w:r w:rsidRPr="00BE5FAF">
        <w:rPr>
          <w:rFonts w:cs="Calibri"/>
          <w:snapToGrid/>
          <w:szCs w:val="24"/>
          <w:lang w:eastAsia="en-AU"/>
        </w:rPr>
        <w:t xml:space="preserve"> 2.5 mg twice daily in combination with aspirin 100 mg once daily, or </w:t>
      </w:r>
      <w:proofErr w:type="spellStart"/>
      <w:r w:rsidRPr="00BE5FAF">
        <w:rPr>
          <w:rFonts w:cs="Calibri"/>
          <w:snapToGrid/>
          <w:szCs w:val="24"/>
          <w:lang w:eastAsia="en-AU"/>
        </w:rPr>
        <w:t>rivaroxaban</w:t>
      </w:r>
      <w:proofErr w:type="spellEnd"/>
      <w:r w:rsidRPr="00BE5FAF">
        <w:rPr>
          <w:rFonts w:cs="Calibri"/>
          <w:snapToGrid/>
          <w:szCs w:val="24"/>
          <w:lang w:eastAsia="en-AU"/>
        </w:rPr>
        <w:t xml:space="preserve"> 5 mg twice daily or aspirin 100 mg </w:t>
      </w:r>
      <w:r w:rsidR="00397527">
        <w:rPr>
          <w:rFonts w:cs="Calibri"/>
          <w:snapToGrid/>
          <w:szCs w:val="24"/>
          <w:lang w:eastAsia="en-AU"/>
        </w:rPr>
        <w:t xml:space="preserve">once daily </w:t>
      </w:r>
      <w:r w:rsidRPr="00BE5FAF">
        <w:rPr>
          <w:rFonts w:cs="Calibri"/>
          <w:snapToGrid/>
          <w:szCs w:val="24"/>
          <w:lang w:eastAsia="en-AU"/>
        </w:rPr>
        <w:t xml:space="preserve">(COMPASS). </w:t>
      </w:r>
    </w:p>
    <w:p w:rsidR="00A3651E" w:rsidRPr="00BE5FAF" w:rsidRDefault="00A3651E" w:rsidP="004A557C">
      <w:pPr>
        <w:pStyle w:val="ListParagraph"/>
        <w:widowControl/>
        <w:numPr>
          <w:ilvl w:val="1"/>
          <w:numId w:val="2"/>
        </w:numPr>
        <w:spacing w:before="120" w:after="120"/>
      </w:pPr>
      <w:r w:rsidRPr="00BE5FAF">
        <w:t xml:space="preserve">The submission presented only the comparison between two arms, </w:t>
      </w:r>
      <w:proofErr w:type="spellStart"/>
      <w:r w:rsidRPr="00BE5FAF">
        <w:t>rivaroxaban</w:t>
      </w:r>
      <w:proofErr w:type="spellEnd"/>
      <w:r w:rsidRPr="00BE5FAF">
        <w:t xml:space="preserve"> 2.5 mg twice daily in combination with aspirin versus aspirin monotherapy. The </w:t>
      </w:r>
      <w:proofErr w:type="spellStart"/>
      <w:r w:rsidRPr="00BE5FAF">
        <w:t>rivaroxaban</w:t>
      </w:r>
      <w:proofErr w:type="spellEnd"/>
      <w:r w:rsidRPr="00BE5FAF">
        <w:t xml:space="preserve"> 5 mg twic</w:t>
      </w:r>
      <w:r w:rsidR="00395903" w:rsidRPr="00BE5FAF">
        <w:t>e daily monotherapy comparison wa</w:t>
      </w:r>
      <w:r w:rsidRPr="00BE5FAF">
        <w:t>s omitted from the submission as it</w:t>
      </w:r>
      <w:r w:rsidR="002C1F74" w:rsidRPr="00BE5FAF">
        <w:t xml:space="preserve"> wa</w:t>
      </w:r>
      <w:r w:rsidRPr="00BE5FAF">
        <w:t xml:space="preserve">s not proposed for TGA registration or PBS listing, </w:t>
      </w:r>
      <w:r w:rsidR="002C1F74" w:rsidRPr="00BE5FAF">
        <w:t xml:space="preserve">and </w:t>
      </w:r>
      <w:r w:rsidRPr="00BE5FAF">
        <w:t>because compared to aspirin, this regimen did not statistically significantly reduce the hazard for the primary outcome, but increased major bleeding.</w:t>
      </w:r>
    </w:p>
    <w:p w:rsidR="0003107A" w:rsidRPr="009C518C" w:rsidRDefault="0003107A" w:rsidP="004A557C">
      <w:pPr>
        <w:pStyle w:val="ListParagraph"/>
        <w:widowControl/>
        <w:numPr>
          <w:ilvl w:val="1"/>
          <w:numId w:val="2"/>
        </w:numPr>
        <w:spacing w:before="120" w:after="120"/>
        <w:rPr>
          <w:i/>
        </w:rPr>
      </w:pPr>
      <w:r w:rsidRPr="00BE5FAF">
        <w:t xml:space="preserve">The COMPASS trial used a partial factorial design. Patients who successfully completed the run-in phase were randomised 1:1:1 to </w:t>
      </w:r>
      <w:proofErr w:type="spellStart"/>
      <w:r w:rsidRPr="00BE5FAF">
        <w:t>rivaroxaban</w:t>
      </w:r>
      <w:proofErr w:type="spellEnd"/>
      <w:r w:rsidRPr="00BE5FAF">
        <w:t xml:space="preserve"> 2.5 mg twice daily in combination with aspirin 100 mg once daily, </w:t>
      </w:r>
      <w:proofErr w:type="spellStart"/>
      <w:r w:rsidRPr="00BE5FAF">
        <w:t>rivaroxaban</w:t>
      </w:r>
      <w:proofErr w:type="spellEnd"/>
      <w:r w:rsidRPr="00BE5FAF">
        <w:t xml:space="preserve"> 5 mg twice </w:t>
      </w:r>
      <w:r w:rsidR="00BE5FAF" w:rsidRPr="00BE5FAF">
        <w:t>daily</w:t>
      </w:r>
      <w:r w:rsidRPr="00BE5FAF">
        <w:t xml:space="preserve"> or aspirin 100 mg once daily. Additionally, patients without an existing continuous need for treatment with a proton pump inhibitor </w:t>
      </w:r>
      <w:r w:rsidR="00A203F6" w:rsidRPr="00BE5FAF">
        <w:t xml:space="preserve">(PPI) </w:t>
      </w:r>
      <w:proofErr w:type="gramStart"/>
      <w:r w:rsidRPr="00BE5FAF">
        <w:t>were randomised</w:t>
      </w:r>
      <w:proofErr w:type="gramEnd"/>
      <w:r w:rsidRPr="00BE5FAF">
        <w:t xml:space="preserve"> to pantoprazole or placebo. </w:t>
      </w:r>
      <w:r w:rsidR="00A203F6" w:rsidRPr="00BE5FAF">
        <w:t>The ESC noted that the baseline use of non</w:t>
      </w:r>
      <w:r w:rsidR="007F1FBC" w:rsidRPr="00BE5FAF">
        <w:t>-</w:t>
      </w:r>
      <w:r w:rsidR="00A203F6" w:rsidRPr="00BE5FAF">
        <w:t>study PPI</w:t>
      </w:r>
      <w:r w:rsidR="007F1FBC" w:rsidRPr="00BE5FAF">
        <w:t>s</w:t>
      </w:r>
      <w:r w:rsidR="00A203F6" w:rsidRPr="00BE5FAF">
        <w:t xml:space="preserve"> </w:t>
      </w:r>
      <w:r w:rsidR="0094267F" w:rsidRPr="00BE5FAF">
        <w:t xml:space="preserve">in this population </w:t>
      </w:r>
      <w:r w:rsidR="00A203F6" w:rsidRPr="00BE5FAF">
        <w:t xml:space="preserve">was </w:t>
      </w:r>
      <w:r w:rsidR="00A203F6" w:rsidRPr="00BE5FAF">
        <w:lastRenderedPageBreak/>
        <w:t>high (3</w:t>
      </w:r>
      <w:r w:rsidR="006E0307" w:rsidRPr="00BE5FAF">
        <w:t>6</w:t>
      </w:r>
      <w:r w:rsidR="00A203F6" w:rsidRPr="00BE5FAF">
        <w:t xml:space="preserve">%). </w:t>
      </w:r>
      <w:r w:rsidRPr="00BE5FAF">
        <w:t xml:space="preserve">The objective for pantoprazole randomisation was to determine whether pantoprazole 40 mg once daily compared with placebo reduces the risk of upper gastrointestinal bleeding, ulceration, or obstruction or perforation in patients receiving antithrombotic study medications. The </w:t>
      </w:r>
      <w:r w:rsidR="009C518C">
        <w:t xml:space="preserve">submission stated that the </w:t>
      </w:r>
      <w:r w:rsidRPr="00BE5FAF">
        <w:t xml:space="preserve">pantoprazole/placebo arms of the COMPASS trial </w:t>
      </w:r>
      <w:r w:rsidR="009C518C">
        <w:t>we</w:t>
      </w:r>
      <w:r w:rsidRPr="00BE5FAF">
        <w:t xml:space="preserve">re still ongoing </w:t>
      </w:r>
      <w:r w:rsidR="009C518C">
        <w:t>at the time of the first CSR publication, and did not provide results from these arms</w:t>
      </w:r>
      <w:r w:rsidRPr="00BE5FAF">
        <w:t>.</w:t>
      </w:r>
      <w:r w:rsidR="009C518C" w:rsidRPr="009C518C">
        <w:t xml:space="preserve"> </w:t>
      </w:r>
      <w:r w:rsidR="009C0A98">
        <w:t xml:space="preserve">In the absence of results being available, the evaluation </w:t>
      </w:r>
      <w:r w:rsidR="009C0A98" w:rsidRPr="009C0A98">
        <w:t xml:space="preserve">considered that the use of </w:t>
      </w:r>
      <w:r w:rsidR="009C0A98">
        <w:t>concomitant</w:t>
      </w:r>
      <w:r w:rsidR="009C0A98" w:rsidRPr="009C0A98">
        <w:t xml:space="preserve"> PPI</w:t>
      </w:r>
      <w:r w:rsidR="009C0A98">
        <w:t>s (</w:t>
      </w:r>
      <w:r w:rsidR="009C0A98" w:rsidRPr="009C0A98">
        <w:t xml:space="preserve">which </w:t>
      </w:r>
      <w:r w:rsidR="009C0A98">
        <w:t>are</w:t>
      </w:r>
      <w:r w:rsidR="009C0A98" w:rsidRPr="009C0A98">
        <w:t xml:space="preserve"> hypothesised to reduce bleeding risk</w:t>
      </w:r>
      <w:r w:rsidR="009C0A98">
        <w:t>)</w:t>
      </w:r>
      <w:r w:rsidR="009C0A98" w:rsidRPr="009C0A98">
        <w:t xml:space="preserve"> </w:t>
      </w:r>
      <w:proofErr w:type="gramStart"/>
      <w:r w:rsidR="009C0A98" w:rsidRPr="009C0A98">
        <w:t>may</w:t>
      </w:r>
      <w:proofErr w:type="gramEnd"/>
      <w:r w:rsidR="009C0A98" w:rsidRPr="009C0A98">
        <w:t xml:space="preserve"> potentially have underestimated the risk of bleeding in populations with lower levels of PPI use. </w:t>
      </w:r>
      <w:r w:rsidR="009C518C">
        <w:t xml:space="preserve">The pre-PBAC response </w:t>
      </w:r>
      <w:proofErr w:type="gramStart"/>
      <w:r w:rsidR="009C518C">
        <w:t>stated that</w:t>
      </w:r>
      <w:proofErr w:type="gramEnd"/>
      <w:r w:rsidR="009C518C">
        <w:t xml:space="preserve"> “the sub-study regarding the utilisation of PPIs in COMPASS was recently published (</w:t>
      </w:r>
      <w:proofErr w:type="spellStart"/>
      <w:r w:rsidR="009C518C">
        <w:t>Moayyedi</w:t>
      </w:r>
      <w:proofErr w:type="spellEnd"/>
      <w:r w:rsidR="009C518C">
        <w:t xml:space="preserve"> et al 2018). The results of the study showed that routine PPI use did not reduce upper GI complications and major bleeds.” The PBAC noted that the </w:t>
      </w:r>
      <w:r w:rsidR="009C0A98">
        <w:t xml:space="preserve">publication </w:t>
      </w:r>
      <w:proofErr w:type="gramStart"/>
      <w:r w:rsidR="009C0A98">
        <w:t xml:space="preserve">was </w:t>
      </w:r>
      <w:r w:rsidR="009C518C">
        <w:t>not provided</w:t>
      </w:r>
      <w:proofErr w:type="gramEnd"/>
      <w:r w:rsidR="009C518C">
        <w:t xml:space="preserve"> in the PSCR or pre-PBAC response, and only limited </w:t>
      </w:r>
      <w:r w:rsidR="009C0A98">
        <w:t>information about the results</w:t>
      </w:r>
      <w:r w:rsidR="009C518C">
        <w:t xml:space="preserve"> were publicly available. </w:t>
      </w:r>
    </w:p>
    <w:p w:rsidR="00A3651E" w:rsidRPr="00BE5FAF" w:rsidRDefault="00A3651E" w:rsidP="004A557C">
      <w:pPr>
        <w:pStyle w:val="ListParagraph"/>
        <w:widowControl/>
        <w:numPr>
          <w:ilvl w:val="1"/>
          <w:numId w:val="2"/>
        </w:numPr>
        <w:spacing w:before="120" w:after="120"/>
      </w:pPr>
      <w:r w:rsidRPr="00BE5FAF">
        <w:rPr>
          <w:rFonts w:cs="Calibri"/>
          <w:snapToGrid/>
          <w:szCs w:val="24"/>
          <w:lang w:eastAsia="en-AU"/>
        </w:rPr>
        <w:t xml:space="preserve">Details of the trial presented in the submission </w:t>
      </w:r>
      <w:proofErr w:type="gramStart"/>
      <w:r w:rsidRPr="00BE5FAF">
        <w:rPr>
          <w:rFonts w:cs="Calibri"/>
          <w:snapToGrid/>
          <w:szCs w:val="24"/>
          <w:lang w:eastAsia="en-AU"/>
        </w:rPr>
        <w:t>are provided</w:t>
      </w:r>
      <w:proofErr w:type="gramEnd"/>
      <w:r w:rsidRPr="00BE5FAF">
        <w:rPr>
          <w:rFonts w:cs="Calibri"/>
          <w:snapToGrid/>
          <w:szCs w:val="24"/>
          <w:lang w:eastAsia="en-AU"/>
        </w:rPr>
        <w:t xml:space="preserve"> in the table below</w:t>
      </w:r>
      <w:r w:rsidR="00BE5FAF">
        <w:rPr>
          <w:rFonts w:cs="Calibri"/>
          <w:snapToGrid/>
          <w:szCs w:val="24"/>
          <w:lang w:eastAsia="en-AU"/>
        </w:rPr>
        <w:t xml:space="preserve">. </w:t>
      </w:r>
    </w:p>
    <w:p w:rsidR="00A3651E" w:rsidRPr="00BE5FAF" w:rsidRDefault="00A3651E" w:rsidP="006E0307">
      <w:pPr>
        <w:keepNext/>
        <w:keepLines/>
        <w:widowControl/>
        <w:rPr>
          <w:rStyle w:val="CommentReference"/>
        </w:rPr>
      </w:pPr>
      <w:r w:rsidRPr="00BE5FAF">
        <w:rPr>
          <w:rStyle w:val="CommentReference"/>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4"/>
        <w:gridCol w:w="5055"/>
        <w:gridCol w:w="2528"/>
      </w:tblGrid>
      <w:tr w:rsidR="00A3651E" w:rsidRPr="00BE5FAF" w:rsidTr="006956D5">
        <w:trPr>
          <w:tblHeader/>
        </w:trPr>
        <w:tc>
          <w:tcPr>
            <w:tcW w:w="795" w:type="pct"/>
            <w:vAlign w:val="center"/>
          </w:tcPr>
          <w:p w:rsidR="00A3651E" w:rsidRPr="00BE5FAF" w:rsidRDefault="00A3651E" w:rsidP="006E0307">
            <w:pPr>
              <w:pStyle w:val="Tabletext"/>
              <w:keepNext/>
              <w:keepLines/>
              <w:rPr>
                <w:b/>
              </w:rPr>
            </w:pPr>
            <w:r w:rsidRPr="00BE5FAF">
              <w:rPr>
                <w:b/>
              </w:rPr>
              <w:t>Trial ID</w:t>
            </w:r>
          </w:p>
        </w:tc>
        <w:tc>
          <w:tcPr>
            <w:tcW w:w="2803" w:type="pct"/>
            <w:vAlign w:val="center"/>
          </w:tcPr>
          <w:p w:rsidR="00A3651E" w:rsidRPr="00BE5FAF" w:rsidRDefault="00A3651E" w:rsidP="006E0307">
            <w:pPr>
              <w:pStyle w:val="Tabletext"/>
              <w:keepNext/>
              <w:keepLines/>
              <w:jc w:val="center"/>
              <w:rPr>
                <w:b/>
              </w:rPr>
            </w:pPr>
            <w:r w:rsidRPr="00BE5FAF">
              <w:rPr>
                <w:b/>
              </w:rPr>
              <w:t>Protocol title/ Publication title</w:t>
            </w:r>
          </w:p>
        </w:tc>
        <w:tc>
          <w:tcPr>
            <w:tcW w:w="1402" w:type="pct"/>
            <w:vAlign w:val="center"/>
          </w:tcPr>
          <w:p w:rsidR="00A3651E" w:rsidRPr="00BE5FAF" w:rsidRDefault="00A3651E" w:rsidP="006E0307">
            <w:pPr>
              <w:pStyle w:val="Tabletext"/>
              <w:keepNext/>
              <w:keepLines/>
              <w:jc w:val="center"/>
              <w:rPr>
                <w:b/>
              </w:rPr>
            </w:pPr>
            <w:r w:rsidRPr="00BE5FAF">
              <w:rPr>
                <w:b/>
              </w:rPr>
              <w:t>Publication citation</w:t>
            </w:r>
          </w:p>
        </w:tc>
      </w:tr>
      <w:tr w:rsidR="00A3651E" w:rsidRPr="00BE5FAF" w:rsidTr="006956D5">
        <w:tc>
          <w:tcPr>
            <w:tcW w:w="795" w:type="pct"/>
            <w:vMerge w:val="restart"/>
            <w:vAlign w:val="center"/>
          </w:tcPr>
          <w:p w:rsidR="00A3651E" w:rsidRPr="00BE5FAF" w:rsidRDefault="00A3651E" w:rsidP="006E0307">
            <w:pPr>
              <w:pStyle w:val="Tabletext"/>
              <w:keepNext/>
              <w:keepLines/>
              <w:rPr>
                <w:rFonts w:ascii="Times" w:hAnsi="Times"/>
              </w:rPr>
            </w:pPr>
            <w:r w:rsidRPr="00BE5FAF">
              <w:t>COMPASS</w:t>
            </w:r>
          </w:p>
        </w:tc>
        <w:tc>
          <w:tcPr>
            <w:tcW w:w="2803" w:type="pct"/>
            <w:tcBorders>
              <w:bottom w:val="nil"/>
            </w:tcBorders>
            <w:vAlign w:val="center"/>
          </w:tcPr>
          <w:p w:rsidR="00A3651E" w:rsidRPr="00BE5FAF" w:rsidRDefault="00A3651E" w:rsidP="006E0307">
            <w:pPr>
              <w:pStyle w:val="Tabletext"/>
              <w:keepNext/>
              <w:keepLines/>
              <w:rPr>
                <w:szCs w:val="18"/>
              </w:rPr>
            </w:pPr>
            <w:r w:rsidRPr="00BE5FAF">
              <w:rPr>
                <w:szCs w:val="18"/>
              </w:rPr>
              <w:t xml:space="preserve">A Randomized Controlled Trial of </w:t>
            </w:r>
            <w:proofErr w:type="spellStart"/>
            <w:r w:rsidRPr="00BE5FAF">
              <w:rPr>
                <w:szCs w:val="18"/>
              </w:rPr>
              <w:t>Rivaroxaban</w:t>
            </w:r>
            <w:proofErr w:type="spellEnd"/>
            <w:r w:rsidRPr="00BE5FAF">
              <w:rPr>
                <w:szCs w:val="18"/>
              </w:rPr>
              <w:t xml:space="preserve"> for the Prevention of Major Cardiovascular Events in Patients With Coronary or Peripheral Artery Disease (COMPASS - Cardiovascular </w:t>
            </w:r>
            <w:proofErr w:type="spellStart"/>
            <w:r w:rsidRPr="00BE5FAF">
              <w:rPr>
                <w:szCs w:val="18"/>
              </w:rPr>
              <w:t>OutcoMes</w:t>
            </w:r>
            <w:proofErr w:type="spellEnd"/>
            <w:r w:rsidRPr="00BE5FAF">
              <w:rPr>
                <w:szCs w:val="18"/>
              </w:rPr>
              <w:t xml:space="preserve"> for People Using Anticoagulation </w:t>
            </w:r>
            <w:proofErr w:type="spellStart"/>
            <w:r w:rsidRPr="00BE5FAF">
              <w:rPr>
                <w:szCs w:val="18"/>
              </w:rPr>
              <w:t>StrategieS</w:t>
            </w:r>
            <w:proofErr w:type="spellEnd"/>
            <w:r w:rsidRPr="00BE5FAF">
              <w:rPr>
                <w:szCs w:val="18"/>
              </w:rPr>
              <w:t>).</w:t>
            </w:r>
          </w:p>
        </w:tc>
        <w:tc>
          <w:tcPr>
            <w:tcW w:w="1402" w:type="pct"/>
            <w:tcBorders>
              <w:bottom w:val="nil"/>
            </w:tcBorders>
          </w:tcPr>
          <w:p w:rsidR="00A3651E" w:rsidRPr="00BE5FAF" w:rsidRDefault="00A3651E" w:rsidP="006E0307">
            <w:pPr>
              <w:pStyle w:val="Tabletext"/>
              <w:keepNext/>
              <w:keepLines/>
              <w:rPr>
                <w:rFonts w:ascii="Times" w:hAnsi="Times"/>
              </w:rPr>
            </w:pPr>
            <w:r w:rsidRPr="00BE5FAF">
              <w:t>Internal study report; 16 October 2017</w:t>
            </w:r>
          </w:p>
        </w:tc>
      </w:tr>
      <w:tr w:rsidR="00A3651E" w:rsidRPr="00BE5FAF" w:rsidTr="006956D5">
        <w:tc>
          <w:tcPr>
            <w:tcW w:w="795" w:type="pct"/>
            <w:vMerge/>
            <w:vAlign w:val="center"/>
          </w:tcPr>
          <w:p w:rsidR="00A3651E" w:rsidRPr="00BE5FAF" w:rsidRDefault="00A3651E" w:rsidP="006E0307">
            <w:pPr>
              <w:pStyle w:val="Tabletext"/>
              <w:keepNext/>
              <w:keepLines/>
            </w:pPr>
          </w:p>
        </w:tc>
        <w:tc>
          <w:tcPr>
            <w:tcW w:w="2803" w:type="pct"/>
            <w:tcBorders>
              <w:top w:val="nil"/>
              <w:bottom w:val="nil"/>
            </w:tcBorders>
            <w:vAlign w:val="center"/>
          </w:tcPr>
          <w:p w:rsidR="00A3651E" w:rsidRPr="00BE5FAF" w:rsidRDefault="00A3651E" w:rsidP="006E0307">
            <w:pPr>
              <w:pStyle w:val="Tabletext"/>
              <w:keepNext/>
              <w:keepLines/>
              <w:rPr>
                <w:szCs w:val="18"/>
                <w:lang w:eastAsia="en-AU"/>
              </w:rPr>
            </w:pPr>
            <w:proofErr w:type="spellStart"/>
            <w:r w:rsidRPr="00BE5FAF">
              <w:rPr>
                <w:szCs w:val="18"/>
                <w:lang w:eastAsia="en-AU"/>
              </w:rPr>
              <w:t>Eikelboom</w:t>
            </w:r>
            <w:proofErr w:type="spellEnd"/>
            <w:r w:rsidRPr="00BE5FAF">
              <w:rPr>
                <w:szCs w:val="18"/>
                <w:lang w:eastAsia="en-AU"/>
              </w:rPr>
              <w:t xml:space="preserve"> et al. (2017). </w:t>
            </w:r>
            <w:proofErr w:type="spellStart"/>
            <w:r w:rsidRPr="00BE5FAF">
              <w:rPr>
                <w:szCs w:val="18"/>
                <w:lang w:eastAsia="en-AU"/>
              </w:rPr>
              <w:t>Rivaroxaban</w:t>
            </w:r>
            <w:proofErr w:type="spellEnd"/>
            <w:r w:rsidRPr="00BE5FAF">
              <w:rPr>
                <w:szCs w:val="18"/>
                <w:lang w:eastAsia="en-AU"/>
              </w:rPr>
              <w:t xml:space="preserve"> with or without Aspirin in Stable Cardiovascular Disease. </w:t>
            </w:r>
          </w:p>
        </w:tc>
        <w:tc>
          <w:tcPr>
            <w:tcW w:w="1402" w:type="pct"/>
            <w:tcBorders>
              <w:top w:val="nil"/>
              <w:bottom w:val="nil"/>
            </w:tcBorders>
          </w:tcPr>
          <w:p w:rsidR="00A3651E" w:rsidRPr="00BE5FAF" w:rsidRDefault="00A3651E" w:rsidP="006E0307">
            <w:pPr>
              <w:pStyle w:val="Tabletext"/>
              <w:keepNext/>
              <w:keepLines/>
              <w:rPr>
                <w:szCs w:val="18"/>
                <w:lang w:eastAsia="en-AU"/>
              </w:rPr>
            </w:pPr>
            <w:r w:rsidRPr="00BE5FAF">
              <w:rPr>
                <w:szCs w:val="18"/>
                <w:lang w:eastAsia="en-AU"/>
              </w:rPr>
              <w:t>NEJM 377(14): 1319-1330</w:t>
            </w:r>
          </w:p>
        </w:tc>
      </w:tr>
      <w:tr w:rsidR="00A3651E" w:rsidRPr="00BE5FAF" w:rsidTr="006956D5">
        <w:tc>
          <w:tcPr>
            <w:tcW w:w="795" w:type="pct"/>
            <w:vMerge/>
            <w:vAlign w:val="center"/>
          </w:tcPr>
          <w:p w:rsidR="00A3651E" w:rsidRPr="00BE5FAF" w:rsidRDefault="00A3651E" w:rsidP="006E0307">
            <w:pPr>
              <w:pStyle w:val="Tabletext"/>
              <w:keepNext/>
              <w:keepLines/>
            </w:pPr>
          </w:p>
        </w:tc>
        <w:tc>
          <w:tcPr>
            <w:tcW w:w="2803" w:type="pct"/>
            <w:tcBorders>
              <w:top w:val="nil"/>
              <w:bottom w:val="nil"/>
            </w:tcBorders>
            <w:vAlign w:val="center"/>
          </w:tcPr>
          <w:p w:rsidR="00A3651E" w:rsidRPr="00BE5FAF" w:rsidRDefault="00A3651E" w:rsidP="006E0307">
            <w:pPr>
              <w:pStyle w:val="Tabletext"/>
              <w:keepNext/>
              <w:keepLines/>
              <w:rPr>
                <w:szCs w:val="18"/>
                <w:lang w:eastAsia="en-AU"/>
              </w:rPr>
            </w:pPr>
            <w:proofErr w:type="spellStart"/>
            <w:r w:rsidRPr="00BE5FAF">
              <w:rPr>
                <w:szCs w:val="18"/>
                <w:lang w:eastAsia="en-AU"/>
              </w:rPr>
              <w:t>Anand</w:t>
            </w:r>
            <w:proofErr w:type="spellEnd"/>
            <w:r w:rsidRPr="00BE5FAF">
              <w:rPr>
                <w:szCs w:val="18"/>
                <w:lang w:eastAsia="en-AU"/>
              </w:rPr>
              <w:t xml:space="preserve"> et al. (2018). Major Adverse Limb Events and Mortality in Patients With Peripheral Artery Disease: The COMPASS Trial. </w:t>
            </w:r>
          </w:p>
        </w:tc>
        <w:tc>
          <w:tcPr>
            <w:tcW w:w="1402" w:type="pct"/>
            <w:tcBorders>
              <w:top w:val="nil"/>
              <w:bottom w:val="nil"/>
            </w:tcBorders>
          </w:tcPr>
          <w:p w:rsidR="00A3651E" w:rsidRPr="00BE5FAF" w:rsidRDefault="00A3651E" w:rsidP="006E0307">
            <w:pPr>
              <w:pStyle w:val="Tabletext"/>
              <w:keepNext/>
              <w:keepLines/>
              <w:rPr>
                <w:i/>
                <w:szCs w:val="18"/>
                <w:lang w:eastAsia="en-AU"/>
              </w:rPr>
            </w:pPr>
            <w:r w:rsidRPr="00BE5FAF">
              <w:rPr>
                <w:szCs w:val="18"/>
                <w:lang w:eastAsia="en-AU"/>
              </w:rPr>
              <w:t xml:space="preserve">J Am </w:t>
            </w:r>
            <w:proofErr w:type="spellStart"/>
            <w:r w:rsidRPr="00BE5FAF">
              <w:rPr>
                <w:szCs w:val="18"/>
                <w:lang w:eastAsia="en-AU"/>
              </w:rPr>
              <w:t>Coll</w:t>
            </w:r>
            <w:proofErr w:type="spellEnd"/>
            <w:r w:rsidRPr="00BE5FAF">
              <w:rPr>
                <w:szCs w:val="18"/>
                <w:lang w:eastAsia="en-AU"/>
              </w:rPr>
              <w:t xml:space="preserve"> </w:t>
            </w:r>
            <w:proofErr w:type="spellStart"/>
            <w:r w:rsidRPr="00BE5FAF">
              <w:rPr>
                <w:szCs w:val="18"/>
                <w:lang w:eastAsia="en-AU"/>
              </w:rPr>
              <w:t>Cardiol</w:t>
            </w:r>
            <w:proofErr w:type="spellEnd"/>
            <w:r w:rsidRPr="00BE5FAF">
              <w:rPr>
                <w:szCs w:val="18"/>
                <w:lang w:eastAsia="en-AU"/>
              </w:rPr>
              <w:t xml:space="preserve"> 71 (20): 2306-2315</w:t>
            </w:r>
          </w:p>
        </w:tc>
      </w:tr>
      <w:tr w:rsidR="00A3651E" w:rsidRPr="00BE5FAF" w:rsidTr="006956D5">
        <w:tc>
          <w:tcPr>
            <w:tcW w:w="795" w:type="pct"/>
            <w:vMerge/>
            <w:vAlign w:val="center"/>
          </w:tcPr>
          <w:p w:rsidR="00A3651E" w:rsidRPr="00BE5FAF" w:rsidRDefault="00A3651E" w:rsidP="006E0307">
            <w:pPr>
              <w:pStyle w:val="Tabletext"/>
              <w:keepNext/>
              <w:keepLines/>
              <w:rPr>
                <w:rFonts w:ascii="Times" w:hAnsi="Times"/>
              </w:rPr>
            </w:pPr>
          </w:p>
        </w:tc>
        <w:tc>
          <w:tcPr>
            <w:tcW w:w="2803" w:type="pct"/>
            <w:tcBorders>
              <w:top w:val="nil"/>
              <w:bottom w:val="nil"/>
            </w:tcBorders>
            <w:vAlign w:val="center"/>
          </w:tcPr>
          <w:p w:rsidR="00A3651E" w:rsidRPr="00BE5FAF" w:rsidRDefault="00A3651E" w:rsidP="006E0307">
            <w:pPr>
              <w:pStyle w:val="Tabletext"/>
              <w:keepNext/>
              <w:keepLines/>
              <w:rPr>
                <w:rFonts w:ascii="Times" w:hAnsi="Times"/>
              </w:rPr>
            </w:pPr>
            <w:proofErr w:type="spellStart"/>
            <w:r w:rsidRPr="00BE5FAF">
              <w:rPr>
                <w:szCs w:val="18"/>
              </w:rPr>
              <w:t>Anand</w:t>
            </w:r>
            <w:proofErr w:type="spellEnd"/>
            <w:r w:rsidRPr="00BE5FAF">
              <w:rPr>
                <w:szCs w:val="18"/>
              </w:rPr>
              <w:t xml:space="preserve"> et al. (2017). </w:t>
            </w:r>
            <w:proofErr w:type="spellStart"/>
            <w:r w:rsidRPr="00BE5FAF">
              <w:rPr>
                <w:szCs w:val="18"/>
              </w:rPr>
              <w:t>Rivaroxaban</w:t>
            </w:r>
            <w:proofErr w:type="spellEnd"/>
            <w:r w:rsidRPr="00BE5FAF">
              <w:rPr>
                <w:szCs w:val="18"/>
              </w:rPr>
              <w:t xml:space="preserve"> with or without aspirin in patients with stable peripheral or carotid artery disease: An international, randomised, </w:t>
            </w:r>
            <w:proofErr w:type="gramStart"/>
            <w:r w:rsidRPr="00BE5FAF">
              <w:rPr>
                <w:szCs w:val="18"/>
              </w:rPr>
              <w:t>double-blind</w:t>
            </w:r>
            <w:proofErr w:type="gramEnd"/>
            <w:r w:rsidRPr="00BE5FAF">
              <w:rPr>
                <w:szCs w:val="18"/>
              </w:rPr>
              <w:t xml:space="preserve">, placebo-controlled trial. </w:t>
            </w:r>
          </w:p>
        </w:tc>
        <w:tc>
          <w:tcPr>
            <w:tcW w:w="1402" w:type="pct"/>
            <w:tcBorders>
              <w:top w:val="nil"/>
              <w:bottom w:val="nil"/>
            </w:tcBorders>
          </w:tcPr>
          <w:p w:rsidR="00A3651E" w:rsidRPr="00BE5FAF" w:rsidRDefault="00A3651E" w:rsidP="006E0307">
            <w:pPr>
              <w:pStyle w:val="Tabletext"/>
              <w:keepNext/>
              <w:keepLines/>
            </w:pPr>
            <w:r w:rsidRPr="00BE5FAF">
              <w:rPr>
                <w:szCs w:val="18"/>
              </w:rPr>
              <w:t>The Lancet S0140-6736(17): 32409-1.</w:t>
            </w:r>
          </w:p>
        </w:tc>
      </w:tr>
      <w:tr w:rsidR="00A3651E" w:rsidRPr="00BE5FAF" w:rsidTr="006956D5">
        <w:tc>
          <w:tcPr>
            <w:tcW w:w="795" w:type="pct"/>
            <w:vMerge/>
            <w:vAlign w:val="center"/>
          </w:tcPr>
          <w:p w:rsidR="00A3651E" w:rsidRPr="00BE5FAF" w:rsidRDefault="00A3651E" w:rsidP="006E0307">
            <w:pPr>
              <w:pStyle w:val="Tabletext"/>
              <w:keepNext/>
              <w:keepLines/>
            </w:pPr>
          </w:p>
        </w:tc>
        <w:tc>
          <w:tcPr>
            <w:tcW w:w="2803" w:type="pct"/>
            <w:tcBorders>
              <w:top w:val="nil"/>
            </w:tcBorders>
            <w:vAlign w:val="center"/>
          </w:tcPr>
          <w:p w:rsidR="00A3651E" w:rsidRPr="00BE5FAF" w:rsidRDefault="00A3651E" w:rsidP="006E0307">
            <w:pPr>
              <w:pStyle w:val="Tabletext"/>
              <w:keepNext/>
              <w:keepLines/>
              <w:rPr>
                <w:szCs w:val="18"/>
              </w:rPr>
            </w:pPr>
            <w:r w:rsidRPr="00BE5FAF">
              <w:rPr>
                <w:szCs w:val="18"/>
              </w:rPr>
              <w:t xml:space="preserve">Connolly et al., </w:t>
            </w:r>
            <w:proofErr w:type="spellStart"/>
            <w:r w:rsidRPr="00BE5FAF">
              <w:rPr>
                <w:szCs w:val="18"/>
              </w:rPr>
              <w:t>Rivaroxaban</w:t>
            </w:r>
            <w:proofErr w:type="spellEnd"/>
            <w:r w:rsidRPr="00BE5FAF">
              <w:rPr>
                <w:szCs w:val="18"/>
              </w:rPr>
              <w:t xml:space="preserve"> with or without aspirin in patients with stable </w:t>
            </w:r>
            <w:r w:rsidR="00E575A7" w:rsidRPr="00BE5FAF">
              <w:rPr>
                <w:szCs w:val="18"/>
              </w:rPr>
              <w:t>CAD</w:t>
            </w:r>
            <w:r w:rsidRPr="00BE5FAF">
              <w:rPr>
                <w:szCs w:val="18"/>
              </w:rPr>
              <w:t xml:space="preserve">: An international, randomised, </w:t>
            </w:r>
            <w:proofErr w:type="gramStart"/>
            <w:r w:rsidRPr="00BE5FAF">
              <w:rPr>
                <w:szCs w:val="18"/>
              </w:rPr>
              <w:t>double-blind</w:t>
            </w:r>
            <w:proofErr w:type="gramEnd"/>
            <w:r w:rsidRPr="00BE5FAF">
              <w:rPr>
                <w:szCs w:val="18"/>
              </w:rPr>
              <w:t xml:space="preserve">, placebo-controlled trial. </w:t>
            </w:r>
          </w:p>
        </w:tc>
        <w:tc>
          <w:tcPr>
            <w:tcW w:w="1402" w:type="pct"/>
            <w:tcBorders>
              <w:top w:val="nil"/>
            </w:tcBorders>
          </w:tcPr>
          <w:p w:rsidR="00A3651E" w:rsidRPr="00BE5FAF" w:rsidRDefault="00A3651E" w:rsidP="006E0307">
            <w:pPr>
              <w:pStyle w:val="Tabletext"/>
              <w:keepNext/>
              <w:keepLines/>
              <w:rPr>
                <w:i/>
              </w:rPr>
            </w:pPr>
            <w:r w:rsidRPr="00BE5FAF">
              <w:rPr>
                <w:szCs w:val="18"/>
              </w:rPr>
              <w:t>The Lancet S0140-6736(17): 32458-3.</w:t>
            </w:r>
          </w:p>
        </w:tc>
      </w:tr>
    </w:tbl>
    <w:p w:rsidR="00A3651E" w:rsidRPr="00BE5FAF" w:rsidRDefault="00A3651E" w:rsidP="006E0307">
      <w:pPr>
        <w:pStyle w:val="TableFooter"/>
        <w:keepNext/>
        <w:keepLines/>
        <w:widowControl/>
        <w:rPr>
          <w:sz w:val="20"/>
        </w:rPr>
      </w:pPr>
      <w:r w:rsidRPr="00BE5FAF">
        <w:t>Source: Table 2.2-1, p.61; Table 2.2-2, p.62 of the submission.</w:t>
      </w:r>
    </w:p>
    <w:p w:rsidR="00763BAC" w:rsidRDefault="00A3651E" w:rsidP="004A557C">
      <w:pPr>
        <w:pStyle w:val="ListParagraph"/>
        <w:widowControl/>
        <w:numPr>
          <w:ilvl w:val="1"/>
          <w:numId w:val="2"/>
        </w:numPr>
        <w:spacing w:before="120" w:after="120"/>
      </w:pPr>
      <w:r w:rsidRPr="00BE5FAF">
        <w:t>The key features of the direct randomised trial are summarised in the table below</w:t>
      </w:r>
      <w:r w:rsidR="00BE5FAF">
        <w:t xml:space="preserve">. </w:t>
      </w:r>
    </w:p>
    <w:p w:rsidR="00A3651E" w:rsidRPr="00BE5FAF" w:rsidRDefault="00763BAC" w:rsidP="00763BAC">
      <w:pPr>
        <w:widowControl/>
        <w:jc w:val="left"/>
      </w:pPr>
      <w:r>
        <w:br w:type="page"/>
      </w:r>
    </w:p>
    <w:p w:rsidR="00A3651E" w:rsidRPr="00BE5FAF" w:rsidRDefault="00A3651E" w:rsidP="00D8518A">
      <w:pPr>
        <w:widowControl/>
        <w:rPr>
          <w:rStyle w:val="CommentReference"/>
        </w:rPr>
      </w:pPr>
      <w:r w:rsidRPr="00BE5FAF">
        <w:rPr>
          <w:rStyle w:val="CommentReference"/>
        </w:rPr>
        <w:lastRenderedPageBreak/>
        <w:t>Table 3: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877"/>
        <w:gridCol w:w="558"/>
        <w:gridCol w:w="800"/>
        <w:gridCol w:w="615"/>
        <w:gridCol w:w="2372"/>
        <w:gridCol w:w="2071"/>
        <w:gridCol w:w="1724"/>
      </w:tblGrid>
      <w:tr w:rsidR="00395903" w:rsidRPr="00BE5FAF" w:rsidTr="006956D5">
        <w:tc>
          <w:tcPr>
            <w:tcW w:w="0" w:type="auto"/>
            <w:shd w:val="clear" w:color="auto" w:fill="auto"/>
            <w:vAlign w:val="center"/>
          </w:tcPr>
          <w:p w:rsidR="00A3651E" w:rsidRPr="00BE5FAF" w:rsidRDefault="00A3651E" w:rsidP="00D8518A">
            <w:pPr>
              <w:pStyle w:val="Tabletext"/>
              <w:rPr>
                <w:b/>
              </w:rPr>
            </w:pPr>
            <w:r w:rsidRPr="00BE5FAF">
              <w:rPr>
                <w:b/>
              </w:rPr>
              <w:t>Trial</w:t>
            </w:r>
          </w:p>
        </w:tc>
        <w:tc>
          <w:tcPr>
            <w:tcW w:w="0" w:type="auto"/>
            <w:shd w:val="clear" w:color="auto" w:fill="auto"/>
            <w:vAlign w:val="center"/>
          </w:tcPr>
          <w:p w:rsidR="00A3651E" w:rsidRPr="00BE5FAF" w:rsidRDefault="00A3651E" w:rsidP="00D8518A">
            <w:pPr>
              <w:pStyle w:val="Tabletext"/>
              <w:jc w:val="center"/>
              <w:rPr>
                <w:b/>
              </w:rPr>
            </w:pPr>
            <w:r w:rsidRPr="00BE5FAF">
              <w:rPr>
                <w:b/>
              </w:rPr>
              <w:t>N</w:t>
            </w:r>
          </w:p>
        </w:tc>
        <w:tc>
          <w:tcPr>
            <w:tcW w:w="0" w:type="auto"/>
            <w:shd w:val="clear" w:color="auto" w:fill="auto"/>
            <w:vAlign w:val="center"/>
          </w:tcPr>
          <w:p w:rsidR="00A3651E" w:rsidRPr="00BE5FAF" w:rsidRDefault="00A3651E" w:rsidP="00D8518A">
            <w:pPr>
              <w:pStyle w:val="Tabletext"/>
              <w:jc w:val="center"/>
              <w:rPr>
                <w:b/>
              </w:rPr>
            </w:pPr>
            <w:r w:rsidRPr="00BE5FAF">
              <w:rPr>
                <w:b/>
              </w:rPr>
              <w:t>Design/ duration</w:t>
            </w:r>
          </w:p>
        </w:tc>
        <w:tc>
          <w:tcPr>
            <w:tcW w:w="615" w:type="dxa"/>
            <w:shd w:val="clear" w:color="auto" w:fill="auto"/>
            <w:vAlign w:val="center"/>
          </w:tcPr>
          <w:p w:rsidR="00A3651E" w:rsidRPr="00BE5FAF" w:rsidRDefault="00A3651E" w:rsidP="00D8518A">
            <w:pPr>
              <w:pStyle w:val="Tabletext"/>
              <w:jc w:val="center"/>
              <w:rPr>
                <w:b/>
              </w:rPr>
            </w:pPr>
            <w:r w:rsidRPr="00BE5FAF">
              <w:rPr>
                <w:b/>
              </w:rPr>
              <w:t>Risk of bias</w:t>
            </w:r>
          </w:p>
        </w:tc>
        <w:tc>
          <w:tcPr>
            <w:tcW w:w="2372" w:type="dxa"/>
            <w:shd w:val="clear" w:color="auto" w:fill="auto"/>
            <w:vAlign w:val="center"/>
          </w:tcPr>
          <w:p w:rsidR="00A3651E" w:rsidRPr="00BE5FAF" w:rsidRDefault="00A3651E" w:rsidP="00D8518A">
            <w:pPr>
              <w:pStyle w:val="Tabletext"/>
              <w:jc w:val="center"/>
              <w:rPr>
                <w:b/>
              </w:rPr>
            </w:pPr>
            <w:r w:rsidRPr="00BE5FAF">
              <w:rPr>
                <w:b/>
              </w:rPr>
              <w:t>Patient population</w:t>
            </w:r>
          </w:p>
        </w:tc>
        <w:tc>
          <w:tcPr>
            <w:tcW w:w="0" w:type="auto"/>
            <w:shd w:val="clear" w:color="auto" w:fill="auto"/>
            <w:vAlign w:val="center"/>
          </w:tcPr>
          <w:p w:rsidR="00A3651E" w:rsidRPr="00BE5FAF" w:rsidRDefault="00395903" w:rsidP="00D8518A">
            <w:pPr>
              <w:pStyle w:val="Tabletext"/>
              <w:jc w:val="center"/>
              <w:rPr>
                <w:b/>
              </w:rPr>
            </w:pPr>
            <w:r w:rsidRPr="00BE5FAF">
              <w:rPr>
                <w:b/>
              </w:rPr>
              <w:t>Outcome</w:t>
            </w:r>
            <w:r w:rsidR="00A3651E" w:rsidRPr="00BE5FAF">
              <w:rPr>
                <w:b/>
              </w:rPr>
              <w:t>s</w:t>
            </w:r>
          </w:p>
        </w:tc>
        <w:tc>
          <w:tcPr>
            <w:tcW w:w="0" w:type="auto"/>
            <w:shd w:val="clear" w:color="auto" w:fill="auto"/>
            <w:vAlign w:val="center"/>
          </w:tcPr>
          <w:p w:rsidR="00A3651E" w:rsidRPr="00BE5FAF" w:rsidRDefault="00A3651E" w:rsidP="00D8518A">
            <w:pPr>
              <w:pStyle w:val="Tabletext"/>
              <w:jc w:val="center"/>
              <w:rPr>
                <w:b/>
              </w:rPr>
            </w:pPr>
            <w:r w:rsidRPr="00BE5FAF">
              <w:rPr>
                <w:b/>
              </w:rPr>
              <w:t>Use in modelled evaluation</w:t>
            </w:r>
          </w:p>
        </w:tc>
      </w:tr>
      <w:tr w:rsidR="00395903" w:rsidRPr="00BE5FAF" w:rsidTr="006956D5">
        <w:tc>
          <w:tcPr>
            <w:tcW w:w="0" w:type="auto"/>
            <w:shd w:val="clear" w:color="auto" w:fill="auto"/>
            <w:vAlign w:val="center"/>
          </w:tcPr>
          <w:p w:rsidR="00A3651E" w:rsidRPr="00BE5FAF" w:rsidRDefault="00A3651E" w:rsidP="00D8518A">
            <w:pPr>
              <w:pStyle w:val="Tabletext"/>
            </w:pPr>
            <w:r w:rsidRPr="00BE5FAF">
              <w:t>COMPASS</w:t>
            </w:r>
          </w:p>
        </w:tc>
        <w:tc>
          <w:tcPr>
            <w:tcW w:w="0" w:type="auto"/>
            <w:shd w:val="clear" w:color="auto" w:fill="auto"/>
            <w:vAlign w:val="center"/>
          </w:tcPr>
          <w:p w:rsidR="00A3651E" w:rsidRPr="00BE5FAF" w:rsidRDefault="00A3651E" w:rsidP="00D8518A">
            <w:pPr>
              <w:pStyle w:val="Tabletext"/>
              <w:jc w:val="center"/>
            </w:pPr>
            <w:r w:rsidRPr="00BE5FAF">
              <w:t>27,395</w:t>
            </w:r>
          </w:p>
        </w:tc>
        <w:tc>
          <w:tcPr>
            <w:tcW w:w="0" w:type="auto"/>
            <w:shd w:val="clear" w:color="auto" w:fill="auto"/>
            <w:vAlign w:val="center"/>
          </w:tcPr>
          <w:p w:rsidR="00A3651E" w:rsidRPr="00BE5FAF" w:rsidRDefault="00A3651E" w:rsidP="00D8518A">
            <w:pPr>
              <w:pStyle w:val="Tabletext"/>
              <w:jc w:val="center"/>
            </w:pPr>
            <w:r w:rsidRPr="00BE5FAF">
              <w:t>MC, R, DB, PC</w:t>
            </w:r>
          </w:p>
          <w:p w:rsidR="00A3651E" w:rsidRPr="00BE5FAF" w:rsidRDefault="00A3651E" w:rsidP="00D8518A">
            <w:pPr>
              <w:pStyle w:val="Tabletext"/>
              <w:jc w:val="center"/>
            </w:pPr>
            <w:r w:rsidRPr="00BE5FAF">
              <w:t>1.7 years</w:t>
            </w:r>
          </w:p>
        </w:tc>
        <w:tc>
          <w:tcPr>
            <w:tcW w:w="615" w:type="dxa"/>
            <w:shd w:val="clear" w:color="auto" w:fill="auto"/>
            <w:vAlign w:val="center"/>
          </w:tcPr>
          <w:p w:rsidR="00A3651E" w:rsidRPr="00BE5FAF" w:rsidRDefault="00A3651E" w:rsidP="00D8518A">
            <w:pPr>
              <w:pStyle w:val="Tabletext"/>
              <w:jc w:val="center"/>
            </w:pPr>
            <w:r w:rsidRPr="00BE5FAF">
              <w:t>Low</w:t>
            </w:r>
          </w:p>
        </w:tc>
        <w:tc>
          <w:tcPr>
            <w:tcW w:w="2372" w:type="dxa"/>
            <w:shd w:val="clear" w:color="auto" w:fill="auto"/>
            <w:vAlign w:val="center"/>
          </w:tcPr>
          <w:p w:rsidR="00A3651E" w:rsidRPr="00BE5FAF" w:rsidRDefault="00A3651E" w:rsidP="00D8518A">
            <w:pPr>
              <w:pStyle w:val="Tabletext"/>
              <w:jc w:val="center"/>
            </w:pPr>
            <w:r w:rsidRPr="00BE5FAF">
              <w:t>Adults with stable atherosclerotic disease of the coronary and/or peripheral arteries, following resolution of one or more acute episodes</w:t>
            </w:r>
          </w:p>
        </w:tc>
        <w:tc>
          <w:tcPr>
            <w:tcW w:w="0" w:type="auto"/>
            <w:shd w:val="clear" w:color="auto" w:fill="auto"/>
            <w:vAlign w:val="center"/>
          </w:tcPr>
          <w:p w:rsidR="00A3651E" w:rsidRPr="00BE5FAF" w:rsidRDefault="00A3651E" w:rsidP="00D8518A">
            <w:pPr>
              <w:pStyle w:val="Tabletext"/>
              <w:jc w:val="center"/>
            </w:pPr>
            <w:r w:rsidRPr="00BE5FAF">
              <w:t>Composite of time to first event including myocardial infarction, stroke, or cardiovascular death; major bleeding</w:t>
            </w:r>
          </w:p>
        </w:tc>
        <w:tc>
          <w:tcPr>
            <w:tcW w:w="0" w:type="auto"/>
            <w:shd w:val="clear" w:color="auto" w:fill="auto"/>
            <w:vAlign w:val="center"/>
          </w:tcPr>
          <w:p w:rsidR="00A3651E" w:rsidRPr="00BE5FAF" w:rsidRDefault="00A3651E" w:rsidP="00D8518A">
            <w:pPr>
              <w:pStyle w:val="Tabletext"/>
              <w:jc w:val="center"/>
            </w:pPr>
            <w:r w:rsidRPr="00BE5FAF">
              <w:t>Major adverse cardiovascular events; major bleeding</w:t>
            </w:r>
            <w:r w:rsidR="00395903" w:rsidRPr="00BE5FAF">
              <w:t>; other vascular events</w:t>
            </w:r>
          </w:p>
        </w:tc>
      </w:tr>
    </w:tbl>
    <w:p w:rsidR="00A3651E" w:rsidRPr="00BE5FAF" w:rsidRDefault="00A3651E" w:rsidP="00D8518A">
      <w:pPr>
        <w:pStyle w:val="TableFooter"/>
        <w:widowControl/>
      </w:pPr>
      <w:r w:rsidRPr="00BE5FAF">
        <w:t>Source: Table 2.3-2, pp.68-69; Table 2.4-1, p.74; Table 2.4-5, p.83; Table 2.4-7, pp.87-92 of the submission</w:t>
      </w:r>
    </w:p>
    <w:p w:rsidR="00A3651E" w:rsidRPr="00BE5FAF" w:rsidRDefault="00A3651E" w:rsidP="00D8518A">
      <w:pPr>
        <w:pStyle w:val="TableFooter"/>
        <w:widowControl/>
      </w:pPr>
      <w:r w:rsidRPr="00BE5FAF">
        <w:t>Abbreviations: DB, double blind; MC, multi-centre; PC, placebo controlled; R, randomised.</w:t>
      </w:r>
    </w:p>
    <w:p w:rsidR="00477C91" w:rsidRPr="00BE5FAF" w:rsidRDefault="00477C91" w:rsidP="004A557C">
      <w:pPr>
        <w:pStyle w:val="ListParagraph"/>
        <w:widowControl/>
        <w:numPr>
          <w:ilvl w:val="1"/>
          <w:numId w:val="2"/>
        </w:numPr>
        <w:spacing w:before="120" w:after="120"/>
      </w:pPr>
      <w:r w:rsidRPr="00F52D7E">
        <w:rPr>
          <w:rFonts w:cs="Calibri"/>
          <w:snapToGrid/>
          <w:szCs w:val="24"/>
          <w:lang w:eastAsia="en-AU"/>
        </w:rPr>
        <w:t xml:space="preserve">The COMPASS trial was stopped prematurely, due to a recommendation for early termination from the independent data and safety monitoring board at the first formal interim analysis for efficacy (50% of planned events), due to a consistent difference in the primary efficacy outcome in favour of </w:t>
      </w:r>
      <w:proofErr w:type="spellStart"/>
      <w:r w:rsidRPr="00F52D7E">
        <w:rPr>
          <w:rFonts w:cs="Calibri"/>
          <w:snapToGrid/>
          <w:szCs w:val="24"/>
          <w:lang w:eastAsia="en-AU"/>
        </w:rPr>
        <w:t>rivaroxaban</w:t>
      </w:r>
      <w:proofErr w:type="spellEnd"/>
      <w:r w:rsidRPr="00F52D7E">
        <w:rPr>
          <w:rFonts w:cs="Calibri"/>
          <w:snapToGrid/>
          <w:szCs w:val="24"/>
          <w:lang w:eastAsia="en-AU"/>
        </w:rPr>
        <w:t xml:space="preserve"> plus aspirin. Historically, trials </w:t>
      </w:r>
      <w:r w:rsidR="002C1F74" w:rsidRPr="00F52D7E">
        <w:rPr>
          <w:rFonts w:cs="Calibri"/>
          <w:snapToGrid/>
          <w:szCs w:val="24"/>
          <w:lang w:eastAsia="en-AU"/>
        </w:rPr>
        <w:t>that</w:t>
      </w:r>
      <w:r w:rsidRPr="00F52D7E">
        <w:rPr>
          <w:rFonts w:cs="Calibri"/>
          <w:snapToGrid/>
          <w:szCs w:val="24"/>
          <w:lang w:eastAsia="en-AU"/>
        </w:rPr>
        <w:t xml:space="preserve"> </w:t>
      </w:r>
      <w:proofErr w:type="gramStart"/>
      <w:r w:rsidRPr="00F52D7E">
        <w:rPr>
          <w:rFonts w:cs="Calibri"/>
          <w:snapToGrid/>
          <w:szCs w:val="24"/>
          <w:lang w:eastAsia="en-AU"/>
        </w:rPr>
        <w:t>are terminated</w:t>
      </w:r>
      <w:proofErr w:type="gramEnd"/>
      <w:r w:rsidRPr="00F52D7E">
        <w:rPr>
          <w:rFonts w:cs="Calibri"/>
          <w:snapToGrid/>
          <w:szCs w:val="24"/>
          <w:lang w:eastAsia="en-AU"/>
        </w:rPr>
        <w:t xml:space="preserve"> prematurely have been at risk of overestimating treatment effect, an issue </w:t>
      </w:r>
      <w:r w:rsidR="00BE5FAF" w:rsidRPr="00F52D7E">
        <w:rPr>
          <w:rFonts w:cs="Calibri"/>
          <w:snapToGrid/>
          <w:szCs w:val="24"/>
          <w:lang w:eastAsia="en-AU"/>
        </w:rPr>
        <w:t>that</w:t>
      </w:r>
      <w:r w:rsidRPr="00F52D7E">
        <w:rPr>
          <w:rFonts w:cs="Calibri"/>
          <w:snapToGrid/>
          <w:szCs w:val="24"/>
          <w:lang w:eastAsia="en-AU"/>
        </w:rPr>
        <w:t xml:space="preserve"> is acknowledged in the discussion of the primary COMPASS publication. </w:t>
      </w:r>
      <w:r w:rsidR="00B050DD" w:rsidRPr="00F52D7E">
        <w:rPr>
          <w:rFonts w:cs="Calibri"/>
          <w:snapToGrid/>
          <w:szCs w:val="24"/>
          <w:lang w:eastAsia="en-AU"/>
        </w:rPr>
        <w:t xml:space="preserve">The ESC agreed with evaluation and considered </w:t>
      </w:r>
      <w:r w:rsidR="00F52D7E" w:rsidRPr="00F52D7E">
        <w:rPr>
          <w:rFonts w:cs="Calibri"/>
          <w:snapToGrid/>
          <w:szCs w:val="24"/>
          <w:lang w:eastAsia="en-AU"/>
        </w:rPr>
        <w:t xml:space="preserve">that </w:t>
      </w:r>
      <w:r w:rsidR="00B050DD" w:rsidRPr="00F52D7E">
        <w:rPr>
          <w:rFonts w:cs="Calibri"/>
          <w:snapToGrid/>
          <w:szCs w:val="24"/>
          <w:lang w:eastAsia="en-AU"/>
        </w:rPr>
        <w:t>the cardiovascular benefits present</w:t>
      </w:r>
      <w:r w:rsidR="00F52D7E" w:rsidRPr="00F52D7E">
        <w:rPr>
          <w:rFonts w:cs="Calibri"/>
          <w:snapToGrid/>
          <w:szCs w:val="24"/>
          <w:lang w:eastAsia="en-AU"/>
        </w:rPr>
        <w:t>ed</w:t>
      </w:r>
      <w:r w:rsidR="00B050DD" w:rsidRPr="00F52D7E">
        <w:rPr>
          <w:rFonts w:cs="Calibri"/>
          <w:snapToGrid/>
          <w:szCs w:val="24"/>
          <w:lang w:eastAsia="en-AU"/>
        </w:rPr>
        <w:t xml:space="preserve"> in the submission </w:t>
      </w:r>
      <w:proofErr w:type="gramStart"/>
      <w:r w:rsidR="00B050DD" w:rsidRPr="00F52D7E">
        <w:rPr>
          <w:rFonts w:cs="Calibri"/>
          <w:snapToGrid/>
          <w:szCs w:val="24"/>
          <w:lang w:eastAsia="en-AU"/>
        </w:rPr>
        <w:t>may</w:t>
      </w:r>
      <w:r w:rsidR="000B7AB4" w:rsidRPr="00F52D7E">
        <w:rPr>
          <w:rFonts w:cs="Calibri"/>
          <w:snapToGrid/>
          <w:szCs w:val="24"/>
          <w:lang w:eastAsia="en-AU"/>
        </w:rPr>
        <w:t xml:space="preserve"> </w:t>
      </w:r>
      <w:r w:rsidR="00176A81" w:rsidRPr="00F52D7E">
        <w:rPr>
          <w:rFonts w:cs="Calibri"/>
          <w:snapToGrid/>
          <w:szCs w:val="24"/>
          <w:lang w:eastAsia="en-AU"/>
        </w:rPr>
        <w:t xml:space="preserve">have </w:t>
      </w:r>
      <w:r w:rsidR="00B050DD" w:rsidRPr="00F52D7E">
        <w:rPr>
          <w:rFonts w:cs="Calibri"/>
          <w:snapToGrid/>
          <w:szCs w:val="24"/>
          <w:lang w:eastAsia="en-AU"/>
        </w:rPr>
        <w:t>be</w:t>
      </w:r>
      <w:r w:rsidR="00176A81" w:rsidRPr="00F52D7E">
        <w:rPr>
          <w:rFonts w:cs="Calibri"/>
          <w:snapToGrid/>
          <w:szCs w:val="24"/>
          <w:lang w:eastAsia="en-AU"/>
        </w:rPr>
        <w:t>en</w:t>
      </w:r>
      <w:r w:rsidR="00B050DD" w:rsidRPr="00F52D7E">
        <w:rPr>
          <w:rFonts w:cs="Calibri"/>
          <w:snapToGrid/>
          <w:szCs w:val="24"/>
          <w:lang w:eastAsia="en-AU"/>
        </w:rPr>
        <w:t xml:space="preserve"> </w:t>
      </w:r>
      <w:r w:rsidR="00176A81" w:rsidRPr="00F52D7E">
        <w:rPr>
          <w:rFonts w:cs="Calibri"/>
          <w:snapToGrid/>
          <w:szCs w:val="24"/>
          <w:lang w:eastAsia="en-AU"/>
        </w:rPr>
        <w:t xml:space="preserve">potentially </w:t>
      </w:r>
      <w:r w:rsidR="008A2C6D" w:rsidRPr="00F52D7E">
        <w:rPr>
          <w:rFonts w:cs="Calibri"/>
          <w:snapToGrid/>
          <w:szCs w:val="24"/>
          <w:lang w:eastAsia="en-AU"/>
        </w:rPr>
        <w:t>overestimated</w:t>
      </w:r>
      <w:proofErr w:type="gramEnd"/>
      <w:r w:rsidR="00B050DD" w:rsidRPr="00F52D7E">
        <w:rPr>
          <w:rFonts w:cs="Calibri"/>
          <w:snapToGrid/>
          <w:szCs w:val="24"/>
          <w:lang w:eastAsia="en-AU"/>
        </w:rPr>
        <w:t xml:space="preserve"> due to the premature termination of the trial.</w:t>
      </w:r>
      <w:r w:rsidR="00397527" w:rsidRPr="00F52D7E">
        <w:rPr>
          <w:rFonts w:cs="Calibri"/>
          <w:snapToGrid/>
          <w:szCs w:val="24"/>
          <w:lang w:eastAsia="en-AU"/>
        </w:rPr>
        <w:t xml:space="preserve"> The pre-PBAC response argued that </w:t>
      </w:r>
      <w:r w:rsidR="00F52D7E">
        <w:rPr>
          <w:rFonts w:cs="Calibri"/>
          <w:snapToGrid/>
          <w:szCs w:val="24"/>
          <w:lang w:eastAsia="en-AU"/>
        </w:rPr>
        <w:t>“</w:t>
      </w:r>
      <w:r w:rsidR="00F52D7E" w:rsidRPr="00F52D7E">
        <w:rPr>
          <w:rFonts w:cs="Calibri"/>
          <w:snapToGrid/>
          <w:szCs w:val="24"/>
          <w:lang w:eastAsia="en-AU"/>
        </w:rPr>
        <w:t>visual inspection of the estimated treatment effect size before and after the date of the independent data and safety monitoring board’s recommendation for early termination, and the application of a formal statistical method to account for potential overestimation of treatment effect size, indicate that conditional bias is</w:t>
      </w:r>
      <w:r w:rsidR="00F52D7E">
        <w:rPr>
          <w:rFonts w:cs="Calibri"/>
          <w:snapToGrid/>
          <w:szCs w:val="24"/>
          <w:lang w:eastAsia="en-AU"/>
        </w:rPr>
        <w:t xml:space="preserve"> </w:t>
      </w:r>
      <w:r w:rsidR="00F52D7E" w:rsidRPr="00F52D7E">
        <w:rPr>
          <w:rFonts w:cs="Calibri"/>
          <w:snapToGrid/>
          <w:szCs w:val="24"/>
          <w:lang w:eastAsia="en-AU"/>
        </w:rPr>
        <w:t>negligible for the COMPASS study</w:t>
      </w:r>
      <w:r w:rsidR="00F52D7E">
        <w:rPr>
          <w:rFonts w:cs="Calibri"/>
          <w:snapToGrid/>
          <w:szCs w:val="24"/>
          <w:lang w:eastAsia="en-AU"/>
        </w:rPr>
        <w:t>”.</w:t>
      </w:r>
    </w:p>
    <w:p w:rsidR="00A3651E" w:rsidRPr="00BE5FAF" w:rsidRDefault="00A3651E" w:rsidP="004A557C">
      <w:pPr>
        <w:pStyle w:val="Heading2"/>
        <w:widowControl/>
        <w:spacing w:before="120" w:after="120"/>
      </w:pPr>
      <w:bookmarkStart w:id="7" w:name="_Toc535943613"/>
      <w:r w:rsidRPr="00BE5FAF">
        <w:t>Comparative efficacy</w:t>
      </w:r>
      <w:bookmarkEnd w:id="7"/>
    </w:p>
    <w:p w:rsidR="00A3651E" w:rsidRPr="00BE5FAF" w:rsidRDefault="00A3651E" w:rsidP="004A557C">
      <w:pPr>
        <w:pStyle w:val="ListParagraph"/>
        <w:widowControl/>
        <w:numPr>
          <w:ilvl w:val="1"/>
          <w:numId w:val="2"/>
        </w:numPr>
        <w:spacing w:before="120" w:after="120"/>
      </w:pPr>
      <w:r w:rsidRPr="00BE5FAF">
        <w:rPr>
          <w:rFonts w:cs="Calibri"/>
          <w:snapToGrid/>
          <w:szCs w:val="24"/>
          <w:lang w:eastAsia="en-AU"/>
        </w:rPr>
        <w:t xml:space="preserve">The results of the primary outcome, the proportion of patients who experienced myocardial infarction, stroke, or cardiovascular death, and the individual components, are summarised in Table 4. </w:t>
      </w:r>
    </w:p>
    <w:p w:rsidR="00A3651E" w:rsidRPr="00BE5FAF" w:rsidRDefault="00A3651E" w:rsidP="00D8518A">
      <w:pPr>
        <w:pStyle w:val="TableHeading0"/>
        <w:spacing w:after="0"/>
        <w:jc w:val="both"/>
      </w:pPr>
      <w:r w:rsidRPr="00BE5FAF">
        <w:t>Table 4: Results of primary efficacy outcome (composite of myocardial infarction, stroke, or death) and its components in the COMPASS trial (ITT)</w:t>
      </w:r>
    </w:p>
    <w:tbl>
      <w:tblPr>
        <w:tblStyle w:val="TableGrid"/>
        <w:tblW w:w="0" w:type="auto"/>
        <w:tblCellMar>
          <w:left w:w="57" w:type="dxa"/>
          <w:right w:w="57" w:type="dxa"/>
        </w:tblCellMar>
        <w:tblLook w:val="04A0" w:firstRow="1" w:lastRow="0" w:firstColumn="1" w:lastColumn="0" w:noHBand="0" w:noVBand="1"/>
        <w:tblCaption w:val="Results of primary efficacy outcome (composite of myocardial infarction, stroke, or death) and its components in the COMPASS trial (ITT)"/>
      </w:tblPr>
      <w:tblGrid>
        <w:gridCol w:w="1817"/>
        <w:gridCol w:w="1812"/>
        <w:gridCol w:w="1793"/>
        <w:gridCol w:w="1803"/>
        <w:gridCol w:w="1792"/>
      </w:tblGrid>
      <w:tr w:rsidR="00A3651E" w:rsidRPr="00BE5FAF" w:rsidTr="00EA4B90">
        <w:trPr>
          <w:tblHeader/>
        </w:trPr>
        <w:tc>
          <w:tcPr>
            <w:tcW w:w="1817" w:type="dxa"/>
          </w:tcPr>
          <w:p w:rsidR="00A3651E" w:rsidRPr="00BE5FAF" w:rsidRDefault="00A3651E" w:rsidP="00D8518A">
            <w:pPr>
              <w:widowControl/>
            </w:pPr>
          </w:p>
        </w:tc>
        <w:tc>
          <w:tcPr>
            <w:tcW w:w="1812" w:type="dxa"/>
            <w:vAlign w:val="center"/>
          </w:tcPr>
          <w:p w:rsidR="00A3651E" w:rsidRPr="00BE5FAF" w:rsidRDefault="00A3651E" w:rsidP="00D8518A">
            <w:pPr>
              <w:pStyle w:val="TableText0"/>
              <w:spacing w:before="0" w:after="0"/>
              <w:jc w:val="center"/>
              <w:rPr>
                <w:b/>
              </w:rPr>
            </w:pPr>
            <w:proofErr w:type="spellStart"/>
            <w:r w:rsidRPr="00BE5FAF">
              <w:rPr>
                <w:b/>
              </w:rPr>
              <w:t>Rivaroxaban</w:t>
            </w:r>
            <w:proofErr w:type="spellEnd"/>
            <w:r w:rsidRPr="00BE5FAF">
              <w:rPr>
                <w:b/>
              </w:rPr>
              <w:t xml:space="preserve"> 2.5 mg + aspirin 100 mg, n (%)</w:t>
            </w:r>
          </w:p>
          <w:p w:rsidR="00A3651E" w:rsidRPr="00BE5FAF" w:rsidRDefault="00A3651E" w:rsidP="00D8518A">
            <w:pPr>
              <w:pStyle w:val="TableText0"/>
              <w:spacing w:before="0" w:after="0"/>
              <w:jc w:val="center"/>
              <w:rPr>
                <w:b/>
              </w:rPr>
            </w:pPr>
            <w:r w:rsidRPr="00BE5FAF">
              <w:rPr>
                <w:b/>
              </w:rPr>
              <w:t>N=9152</w:t>
            </w:r>
          </w:p>
        </w:tc>
        <w:tc>
          <w:tcPr>
            <w:tcW w:w="1793" w:type="dxa"/>
            <w:vAlign w:val="center"/>
          </w:tcPr>
          <w:p w:rsidR="00A3651E" w:rsidRPr="00BE5FAF" w:rsidRDefault="00A3651E" w:rsidP="00D8518A">
            <w:pPr>
              <w:pStyle w:val="TableText0"/>
              <w:spacing w:before="0" w:after="0"/>
              <w:jc w:val="center"/>
              <w:rPr>
                <w:b/>
              </w:rPr>
            </w:pPr>
            <w:r w:rsidRPr="00BE5FAF">
              <w:rPr>
                <w:b/>
              </w:rPr>
              <w:t>Aspirin 100 mg, n (%)</w:t>
            </w:r>
          </w:p>
          <w:p w:rsidR="00A3651E" w:rsidRPr="00BE5FAF" w:rsidRDefault="00A3651E" w:rsidP="00D8518A">
            <w:pPr>
              <w:pStyle w:val="TableText0"/>
              <w:spacing w:before="0" w:after="0"/>
              <w:jc w:val="center"/>
              <w:rPr>
                <w:b/>
              </w:rPr>
            </w:pPr>
            <w:r w:rsidRPr="00BE5FAF">
              <w:rPr>
                <w:b/>
              </w:rPr>
              <w:t>N=9126</w:t>
            </w:r>
          </w:p>
        </w:tc>
        <w:tc>
          <w:tcPr>
            <w:tcW w:w="1803" w:type="dxa"/>
            <w:vAlign w:val="center"/>
          </w:tcPr>
          <w:p w:rsidR="00A3651E" w:rsidRPr="00BE5FAF" w:rsidRDefault="00A3651E" w:rsidP="00D8518A">
            <w:pPr>
              <w:pStyle w:val="TableText0"/>
              <w:spacing w:before="0" w:after="0"/>
              <w:jc w:val="center"/>
              <w:rPr>
                <w:b/>
              </w:rPr>
            </w:pPr>
            <w:r w:rsidRPr="00BE5FAF">
              <w:rPr>
                <w:b/>
              </w:rPr>
              <w:t>Mean difference (%)</w:t>
            </w:r>
          </w:p>
        </w:tc>
        <w:tc>
          <w:tcPr>
            <w:tcW w:w="1792" w:type="dxa"/>
            <w:vAlign w:val="center"/>
          </w:tcPr>
          <w:p w:rsidR="00A3651E" w:rsidRPr="00BE5FAF" w:rsidRDefault="00A3651E" w:rsidP="00D8518A">
            <w:pPr>
              <w:pStyle w:val="TableText0"/>
              <w:spacing w:before="0" w:after="0"/>
              <w:jc w:val="center"/>
              <w:rPr>
                <w:b/>
              </w:rPr>
            </w:pPr>
            <w:r w:rsidRPr="00BE5FAF">
              <w:rPr>
                <w:b/>
              </w:rPr>
              <w:t>Hazard ratio (95% CI)</w:t>
            </w:r>
          </w:p>
        </w:tc>
      </w:tr>
      <w:tr w:rsidR="00A3651E" w:rsidRPr="00BE5FAF" w:rsidTr="00A55597">
        <w:tc>
          <w:tcPr>
            <w:tcW w:w="1817" w:type="dxa"/>
          </w:tcPr>
          <w:p w:rsidR="00A3651E" w:rsidRPr="00BE5FAF" w:rsidRDefault="00A3651E" w:rsidP="00D8518A">
            <w:pPr>
              <w:pStyle w:val="TableText0"/>
              <w:spacing w:before="0" w:after="0"/>
            </w:pPr>
            <w:r w:rsidRPr="00BE5FAF">
              <w:t>Composite primary outcome</w:t>
            </w:r>
          </w:p>
        </w:tc>
        <w:tc>
          <w:tcPr>
            <w:tcW w:w="1812"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jc w:val="center"/>
            </w:pPr>
            <w:r w:rsidRPr="00BE5FAF">
              <w:t>379 (4.1)</w:t>
            </w:r>
          </w:p>
        </w:tc>
        <w:tc>
          <w:tcPr>
            <w:tcW w:w="1793" w:type="dxa"/>
            <w:vAlign w:val="center"/>
          </w:tcPr>
          <w:p w:rsidR="00A3651E" w:rsidRPr="00BE5FAF" w:rsidRDefault="00A3651E" w:rsidP="00D8518A">
            <w:pPr>
              <w:pStyle w:val="TableText0"/>
              <w:spacing w:before="0" w:after="0"/>
              <w:jc w:val="center"/>
            </w:pPr>
            <w:r w:rsidRPr="00BE5FAF">
              <w:t>496 (5.4)</w:t>
            </w:r>
          </w:p>
        </w:tc>
        <w:tc>
          <w:tcPr>
            <w:tcW w:w="1803" w:type="dxa"/>
            <w:vAlign w:val="center"/>
          </w:tcPr>
          <w:p w:rsidR="00A3651E" w:rsidRPr="00BE5FAF" w:rsidRDefault="00A3651E" w:rsidP="00D8518A">
            <w:pPr>
              <w:pStyle w:val="TableText0"/>
              <w:spacing w:before="0" w:after="0"/>
              <w:jc w:val="center"/>
            </w:pPr>
            <w:r w:rsidRPr="00BE5FAF">
              <w:t>1.3</w:t>
            </w:r>
          </w:p>
        </w:tc>
        <w:tc>
          <w:tcPr>
            <w:tcW w:w="1792"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jc w:val="center"/>
              <w:rPr>
                <w:b/>
              </w:rPr>
            </w:pPr>
            <w:r w:rsidRPr="00BE5FAF">
              <w:rPr>
                <w:b/>
              </w:rPr>
              <w:t>0.76 (0.66, 0.86)</w:t>
            </w:r>
          </w:p>
        </w:tc>
      </w:tr>
      <w:tr w:rsidR="00A3651E" w:rsidRPr="00BE5FAF" w:rsidTr="00A55597">
        <w:tc>
          <w:tcPr>
            <w:tcW w:w="1817" w:type="dxa"/>
          </w:tcPr>
          <w:p w:rsidR="00A3651E" w:rsidRPr="00BE5FAF" w:rsidRDefault="00A3651E" w:rsidP="00D8518A">
            <w:pPr>
              <w:pStyle w:val="TableText0"/>
              <w:spacing w:before="0" w:after="0"/>
            </w:pPr>
            <w:r w:rsidRPr="00BE5FAF">
              <w:t>Myocardial infarction</w:t>
            </w:r>
          </w:p>
        </w:tc>
        <w:tc>
          <w:tcPr>
            <w:tcW w:w="1812"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jc w:val="center"/>
            </w:pPr>
            <w:r w:rsidRPr="00BE5FAF">
              <w:t>178 (1.9)</w:t>
            </w:r>
          </w:p>
        </w:tc>
        <w:tc>
          <w:tcPr>
            <w:tcW w:w="1793" w:type="dxa"/>
            <w:vAlign w:val="center"/>
          </w:tcPr>
          <w:p w:rsidR="00A3651E" w:rsidRPr="00BE5FAF" w:rsidRDefault="00A3651E" w:rsidP="00D8518A">
            <w:pPr>
              <w:pStyle w:val="TableText0"/>
              <w:spacing w:before="0" w:after="0"/>
              <w:jc w:val="center"/>
            </w:pPr>
            <w:r w:rsidRPr="00BE5FAF">
              <w:t>205 (2.2)</w:t>
            </w:r>
          </w:p>
        </w:tc>
        <w:tc>
          <w:tcPr>
            <w:tcW w:w="1803" w:type="dxa"/>
            <w:vAlign w:val="center"/>
          </w:tcPr>
          <w:p w:rsidR="00A3651E" w:rsidRPr="00BE5FAF" w:rsidRDefault="00A3651E" w:rsidP="00D8518A">
            <w:pPr>
              <w:pStyle w:val="TableText0"/>
              <w:spacing w:before="0" w:after="0"/>
              <w:jc w:val="center"/>
            </w:pPr>
            <w:r w:rsidRPr="00BE5FAF">
              <w:t>0.3</w:t>
            </w:r>
          </w:p>
        </w:tc>
        <w:tc>
          <w:tcPr>
            <w:tcW w:w="1792"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jc w:val="center"/>
            </w:pPr>
            <w:r w:rsidRPr="00BE5FAF">
              <w:t>0.86 (0.70, 1.05)</w:t>
            </w:r>
          </w:p>
        </w:tc>
      </w:tr>
      <w:tr w:rsidR="00A3651E" w:rsidRPr="00BE5FAF" w:rsidTr="00A55597">
        <w:tc>
          <w:tcPr>
            <w:tcW w:w="1817" w:type="dxa"/>
          </w:tcPr>
          <w:p w:rsidR="00A3651E" w:rsidRPr="00BE5FAF" w:rsidRDefault="00A3651E" w:rsidP="00D8518A">
            <w:pPr>
              <w:pStyle w:val="TableText0"/>
              <w:spacing w:before="0" w:after="0"/>
            </w:pPr>
            <w:r w:rsidRPr="00BE5FAF">
              <w:t>Stroke</w:t>
            </w:r>
          </w:p>
        </w:tc>
        <w:tc>
          <w:tcPr>
            <w:tcW w:w="1812"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jc w:val="center"/>
            </w:pPr>
            <w:r w:rsidRPr="00BE5FAF">
              <w:t>83 (0.9%)</w:t>
            </w:r>
          </w:p>
        </w:tc>
        <w:tc>
          <w:tcPr>
            <w:tcW w:w="1793" w:type="dxa"/>
            <w:vAlign w:val="center"/>
          </w:tcPr>
          <w:p w:rsidR="00A3651E" w:rsidRPr="00BE5FAF" w:rsidRDefault="00A3651E" w:rsidP="00D8518A">
            <w:pPr>
              <w:pStyle w:val="TableText0"/>
              <w:spacing w:before="0" w:after="0"/>
              <w:jc w:val="center"/>
            </w:pPr>
            <w:r w:rsidRPr="00BE5FAF">
              <w:t>142 (1.6)</w:t>
            </w:r>
          </w:p>
        </w:tc>
        <w:tc>
          <w:tcPr>
            <w:tcW w:w="1803" w:type="dxa"/>
            <w:vAlign w:val="center"/>
          </w:tcPr>
          <w:p w:rsidR="00A3651E" w:rsidRPr="00BE5FAF" w:rsidRDefault="00A3651E" w:rsidP="00D8518A">
            <w:pPr>
              <w:pStyle w:val="TableText0"/>
              <w:spacing w:before="0" w:after="0"/>
              <w:jc w:val="center"/>
            </w:pPr>
            <w:r w:rsidRPr="00BE5FAF">
              <w:t>0.7</w:t>
            </w:r>
          </w:p>
        </w:tc>
        <w:tc>
          <w:tcPr>
            <w:tcW w:w="1792"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jc w:val="center"/>
              <w:rPr>
                <w:b/>
              </w:rPr>
            </w:pPr>
            <w:r w:rsidRPr="00BE5FAF">
              <w:rPr>
                <w:b/>
              </w:rPr>
              <w:t>0.58 (0.44, 0.76)</w:t>
            </w:r>
          </w:p>
        </w:tc>
      </w:tr>
      <w:tr w:rsidR="00A55597" w:rsidRPr="00BE5FAF" w:rsidTr="00A55597">
        <w:tc>
          <w:tcPr>
            <w:tcW w:w="1817" w:type="dxa"/>
          </w:tcPr>
          <w:p w:rsidR="00A55597" w:rsidRPr="00BE5FAF" w:rsidRDefault="00A55597" w:rsidP="00D8518A">
            <w:pPr>
              <w:pStyle w:val="TableText0"/>
              <w:spacing w:before="0" w:after="0"/>
            </w:pPr>
            <w:r w:rsidRPr="00BE5FAF">
              <w:t>- Definite isch</w:t>
            </w:r>
            <w:r w:rsidR="0001414A" w:rsidRPr="00BE5FAF">
              <w:t>a</w:t>
            </w:r>
            <w:r w:rsidRPr="00BE5FAF">
              <w:t>emic stroke</w:t>
            </w:r>
          </w:p>
        </w:tc>
        <w:tc>
          <w:tcPr>
            <w:tcW w:w="1812" w:type="dxa"/>
            <w:tcBorders>
              <w:top w:val="single" w:sz="4" w:space="0" w:color="auto"/>
              <w:left w:val="single" w:sz="4" w:space="0" w:color="auto"/>
              <w:bottom w:val="single" w:sz="4" w:space="0" w:color="auto"/>
              <w:right w:val="single" w:sz="4" w:space="0" w:color="auto"/>
            </w:tcBorders>
            <w:vAlign w:val="center"/>
          </w:tcPr>
          <w:p w:rsidR="00A55597" w:rsidRPr="00BE5FAF" w:rsidRDefault="00A55597" w:rsidP="00D8518A">
            <w:pPr>
              <w:pStyle w:val="TableText0"/>
              <w:spacing w:before="0" w:after="0"/>
              <w:jc w:val="center"/>
            </w:pPr>
            <w:r w:rsidRPr="00BE5FAF">
              <w:t>64 (0.7)</w:t>
            </w:r>
          </w:p>
        </w:tc>
        <w:tc>
          <w:tcPr>
            <w:tcW w:w="1793" w:type="dxa"/>
            <w:vAlign w:val="center"/>
          </w:tcPr>
          <w:p w:rsidR="00A55597" w:rsidRPr="00BE5FAF" w:rsidRDefault="00A55597" w:rsidP="00D8518A">
            <w:pPr>
              <w:pStyle w:val="TableText0"/>
              <w:spacing w:before="0" w:after="0"/>
              <w:jc w:val="center"/>
            </w:pPr>
            <w:r w:rsidRPr="00BE5FAF">
              <w:t>125 (1.4)</w:t>
            </w:r>
          </w:p>
        </w:tc>
        <w:tc>
          <w:tcPr>
            <w:tcW w:w="1803" w:type="dxa"/>
            <w:vAlign w:val="center"/>
          </w:tcPr>
          <w:p w:rsidR="00A55597" w:rsidRPr="00BE5FAF" w:rsidRDefault="00A55597" w:rsidP="00D8518A">
            <w:pPr>
              <w:pStyle w:val="TableText0"/>
              <w:spacing w:before="0" w:after="0"/>
              <w:jc w:val="center"/>
            </w:pPr>
            <w:r w:rsidRPr="00BE5FAF">
              <w:t>0.7</w:t>
            </w:r>
          </w:p>
        </w:tc>
        <w:tc>
          <w:tcPr>
            <w:tcW w:w="1792" w:type="dxa"/>
            <w:tcBorders>
              <w:top w:val="single" w:sz="4" w:space="0" w:color="auto"/>
              <w:left w:val="single" w:sz="4" w:space="0" w:color="auto"/>
              <w:bottom w:val="single" w:sz="4" w:space="0" w:color="auto"/>
              <w:right w:val="single" w:sz="4" w:space="0" w:color="auto"/>
            </w:tcBorders>
            <w:vAlign w:val="center"/>
          </w:tcPr>
          <w:p w:rsidR="00A55597" w:rsidRPr="00BE5FAF" w:rsidRDefault="00A55597" w:rsidP="00D8518A">
            <w:pPr>
              <w:pStyle w:val="TableText0"/>
              <w:spacing w:before="0" w:after="0"/>
              <w:jc w:val="center"/>
              <w:rPr>
                <w:b/>
              </w:rPr>
            </w:pPr>
            <w:r w:rsidRPr="00BE5FAF">
              <w:t>0.51 (0.38, 0.69)</w:t>
            </w:r>
          </w:p>
        </w:tc>
      </w:tr>
      <w:tr w:rsidR="00A55597" w:rsidRPr="00BE5FAF" w:rsidTr="00A55597">
        <w:tc>
          <w:tcPr>
            <w:tcW w:w="1817" w:type="dxa"/>
          </w:tcPr>
          <w:p w:rsidR="00A55597" w:rsidRPr="00BE5FAF" w:rsidRDefault="00A55597" w:rsidP="00D8518A">
            <w:pPr>
              <w:pStyle w:val="TableText0"/>
              <w:spacing w:before="0" w:after="0"/>
            </w:pPr>
            <w:r w:rsidRPr="00BE5FAF">
              <w:t>- Definite haemorrhagic stroke</w:t>
            </w:r>
          </w:p>
        </w:tc>
        <w:tc>
          <w:tcPr>
            <w:tcW w:w="1812" w:type="dxa"/>
            <w:tcBorders>
              <w:top w:val="single" w:sz="4" w:space="0" w:color="auto"/>
              <w:left w:val="single" w:sz="4" w:space="0" w:color="auto"/>
              <w:bottom w:val="single" w:sz="4" w:space="0" w:color="auto"/>
              <w:right w:val="single" w:sz="4" w:space="0" w:color="auto"/>
            </w:tcBorders>
            <w:vAlign w:val="center"/>
          </w:tcPr>
          <w:p w:rsidR="00A55597" w:rsidRPr="00BE5FAF" w:rsidRDefault="00A55597" w:rsidP="00D8518A">
            <w:pPr>
              <w:pStyle w:val="TableText0"/>
              <w:spacing w:before="0" w:after="0"/>
              <w:jc w:val="center"/>
            </w:pPr>
            <w:r w:rsidRPr="00BE5FAF">
              <w:t>15 (0.2)</w:t>
            </w:r>
          </w:p>
        </w:tc>
        <w:tc>
          <w:tcPr>
            <w:tcW w:w="1793" w:type="dxa"/>
            <w:vAlign w:val="center"/>
          </w:tcPr>
          <w:p w:rsidR="00A55597" w:rsidRPr="00BE5FAF" w:rsidRDefault="00A55597" w:rsidP="00D8518A">
            <w:pPr>
              <w:pStyle w:val="TableText0"/>
              <w:spacing w:before="0" w:after="0"/>
              <w:jc w:val="center"/>
            </w:pPr>
            <w:r w:rsidRPr="00BE5FAF">
              <w:t>10 (0.1)</w:t>
            </w:r>
          </w:p>
        </w:tc>
        <w:tc>
          <w:tcPr>
            <w:tcW w:w="1803" w:type="dxa"/>
            <w:vAlign w:val="center"/>
          </w:tcPr>
          <w:p w:rsidR="00A55597" w:rsidRPr="00BE5FAF" w:rsidRDefault="00A55597" w:rsidP="00D8518A">
            <w:pPr>
              <w:pStyle w:val="TableText0"/>
              <w:spacing w:before="0" w:after="0"/>
              <w:jc w:val="center"/>
            </w:pPr>
            <w:r w:rsidRPr="00BE5FAF">
              <w:t>-0.1</w:t>
            </w:r>
          </w:p>
        </w:tc>
        <w:tc>
          <w:tcPr>
            <w:tcW w:w="1792" w:type="dxa"/>
            <w:tcBorders>
              <w:top w:val="single" w:sz="4" w:space="0" w:color="auto"/>
              <w:left w:val="single" w:sz="4" w:space="0" w:color="auto"/>
              <w:bottom w:val="single" w:sz="4" w:space="0" w:color="auto"/>
              <w:right w:val="single" w:sz="4" w:space="0" w:color="auto"/>
            </w:tcBorders>
            <w:vAlign w:val="center"/>
          </w:tcPr>
          <w:p w:rsidR="00A55597" w:rsidRPr="00BE5FAF" w:rsidRDefault="00A55597" w:rsidP="00D8518A">
            <w:pPr>
              <w:pStyle w:val="TableText0"/>
              <w:spacing w:before="0" w:after="0"/>
              <w:jc w:val="center"/>
              <w:rPr>
                <w:b/>
              </w:rPr>
            </w:pPr>
            <w:r w:rsidRPr="00BE5FAF">
              <w:t>1.49 (0.67, 3.31)</w:t>
            </w:r>
          </w:p>
        </w:tc>
      </w:tr>
      <w:tr w:rsidR="00A55597" w:rsidRPr="00BE5FAF" w:rsidTr="00A55597">
        <w:tc>
          <w:tcPr>
            <w:tcW w:w="1817" w:type="dxa"/>
          </w:tcPr>
          <w:p w:rsidR="00A55597" w:rsidRPr="00BE5FAF" w:rsidRDefault="00A55597" w:rsidP="00D8518A">
            <w:pPr>
              <w:pStyle w:val="TableText0"/>
              <w:spacing w:before="0" w:after="0"/>
            </w:pPr>
            <w:r w:rsidRPr="00BE5FAF">
              <w:t>- Uncertain/unknown type of stroke</w:t>
            </w:r>
          </w:p>
        </w:tc>
        <w:tc>
          <w:tcPr>
            <w:tcW w:w="1812" w:type="dxa"/>
            <w:tcBorders>
              <w:top w:val="single" w:sz="4" w:space="0" w:color="auto"/>
              <w:left w:val="single" w:sz="4" w:space="0" w:color="auto"/>
              <w:bottom w:val="single" w:sz="4" w:space="0" w:color="auto"/>
              <w:right w:val="single" w:sz="4" w:space="0" w:color="auto"/>
            </w:tcBorders>
            <w:vAlign w:val="center"/>
          </w:tcPr>
          <w:p w:rsidR="00A55597" w:rsidRPr="00BE5FAF" w:rsidRDefault="00A55597" w:rsidP="00D8518A">
            <w:pPr>
              <w:pStyle w:val="TableText0"/>
              <w:spacing w:before="0" w:after="0"/>
              <w:jc w:val="center"/>
            </w:pPr>
            <w:r w:rsidRPr="00BE5FAF">
              <w:t>4 (&lt;0.1)</w:t>
            </w:r>
          </w:p>
        </w:tc>
        <w:tc>
          <w:tcPr>
            <w:tcW w:w="1793" w:type="dxa"/>
            <w:vAlign w:val="center"/>
          </w:tcPr>
          <w:p w:rsidR="00A55597" w:rsidRPr="00BE5FAF" w:rsidRDefault="00A55597" w:rsidP="00D8518A">
            <w:pPr>
              <w:pStyle w:val="TableText0"/>
              <w:spacing w:before="0" w:after="0"/>
              <w:jc w:val="center"/>
            </w:pPr>
            <w:r w:rsidRPr="00BE5FAF">
              <w:t>7 (&lt;0.1)</w:t>
            </w:r>
          </w:p>
        </w:tc>
        <w:tc>
          <w:tcPr>
            <w:tcW w:w="1803" w:type="dxa"/>
            <w:vAlign w:val="center"/>
          </w:tcPr>
          <w:p w:rsidR="00A55597" w:rsidRPr="00BE5FAF" w:rsidRDefault="00A55597" w:rsidP="00D8518A">
            <w:pPr>
              <w:pStyle w:val="TableText0"/>
              <w:spacing w:before="0" w:after="0"/>
              <w:jc w:val="center"/>
            </w:pPr>
            <w:r w:rsidRPr="00BE5FAF">
              <w:t>-</w:t>
            </w:r>
          </w:p>
        </w:tc>
        <w:tc>
          <w:tcPr>
            <w:tcW w:w="1792" w:type="dxa"/>
            <w:tcBorders>
              <w:top w:val="single" w:sz="4" w:space="0" w:color="auto"/>
              <w:left w:val="single" w:sz="4" w:space="0" w:color="auto"/>
              <w:bottom w:val="single" w:sz="4" w:space="0" w:color="auto"/>
              <w:right w:val="single" w:sz="4" w:space="0" w:color="auto"/>
            </w:tcBorders>
            <w:vAlign w:val="center"/>
          </w:tcPr>
          <w:p w:rsidR="00A55597" w:rsidRPr="00BE5FAF" w:rsidRDefault="00A55597" w:rsidP="00D8518A">
            <w:pPr>
              <w:pStyle w:val="TableText0"/>
              <w:spacing w:before="0" w:after="0"/>
              <w:jc w:val="center"/>
              <w:rPr>
                <w:b/>
              </w:rPr>
            </w:pPr>
            <w:r w:rsidRPr="00BE5FAF">
              <w:t>Not calculated</w:t>
            </w:r>
          </w:p>
        </w:tc>
      </w:tr>
      <w:tr w:rsidR="00A55597" w:rsidRPr="00BE5FAF" w:rsidTr="00A55597">
        <w:tc>
          <w:tcPr>
            <w:tcW w:w="1817" w:type="dxa"/>
          </w:tcPr>
          <w:p w:rsidR="00A55597" w:rsidRPr="00BE5FAF" w:rsidRDefault="00A55597" w:rsidP="00D8518A">
            <w:pPr>
              <w:pStyle w:val="TableText0"/>
              <w:spacing w:before="0" w:after="0"/>
            </w:pPr>
            <w:r w:rsidRPr="00BE5FAF">
              <w:t>Cardiovascular death</w:t>
            </w:r>
          </w:p>
        </w:tc>
        <w:tc>
          <w:tcPr>
            <w:tcW w:w="1812" w:type="dxa"/>
            <w:tcBorders>
              <w:top w:val="single" w:sz="4" w:space="0" w:color="auto"/>
              <w:left w:val="single" w:sz="4" w:space="0" w:color="auto"/>
              <w:bottom w:val="single" w:sz="4" w:space="0" w:color="auto"/>
              <w:right w:val="single" w:sz="4" w:space="0" w:color="auto"/>
            </w:tcBorders>
            <w:vAlign w:val="center"/>
          </w:tcPr>
          <w:p w:rsidR="00A55597" w:rsidRPr="00BE5FAF" w:rsidRDefault="00A55597" w:rsidP="00D8518A">
            <w:pPr>
              <w:pStyle w:val="TableText0"/>
              <w:spacing w:before="0" w:after="0"/>
              <w:jc w:val="center"/>
            </w:pPr>
            <w:r w:rsidRPr="00BE5FAF">
              <w:t>160 (1.7)</w:t>
            </w:r>
          </w:p>
        </w:tc>
        <w:tc>
          <w:tcPr>
            <w:tcW w:w="1793" w:type="dxa"/>
            <w:vAlign w:val="center"/>
          </w:tcPr>
          <w:p w:rsidR="00A55597" w:rsidRPr="00BE5FAF" w:rsidRDefault="00A55597" w:rsidP="00D8518A">
            <w:pPr>
              <w:pStyle w:val="TableText0"/>
              <w:spacing w:before="0" w:after="0"/>
              <w:jc w:val="center"/>
            </w:pPr>
            <w:r w:rsidRPr="00BE5FAF">
              <w:t>203 (2.2)</w:t>
            </w:r>
          </w:p>
        </w:tc>
        <w:tc>
          <w:tcPr>
            <w:tcW w:w="1803" w:type="dxa"/>
            <w:vAlign w:val="center"/>
          </w:tcPr>
          <w:p w:rsidR="00A55597" w:rsidRPr="00BE5FAF" w:rsidRDefault="00A55597" w:rsidP="00D8518A">
            <w:pPr>
              <w:pStyle w:val="TableText0"/>
              <w:spacing w:before="0" w:after="0"/>
              <w:jc w:val="center"/>
            </w:pPr>
            <w:r w:rsidRPr="00BE5FAF">
              <w:t>0.5</w:t>
            </w:r>
          </w:p>
        </w:tc>
        <w:tc>
          <w:tcPr>
            <w:tcW w:w="1792" w:type="dxa"/>
            <w:tcBorders>
              <w:top w:val="single" w:sz="4" w:space="0" w:color="auto"/>
              <w:left w:val="single" w:sz="4" w:space="0" w:color="auto"/>
              <w:bottom w:val="single" w:sz="4" w:space="0" w:color="auto"/>
              <w:right w:val="single" w:sz="4" w:space="0" w:color="auto"/>
            </w:tcBorders>
            <w:vAlign w:val="center"/>
          </w:tcPr>
          <w:p w:rsidR="00A55597" w:rsidRPr="00BE5FAF" w:rsidRDefault="00A55597" w:rsidP="00D8518A">
            <w:pPr>
              <w:pStyle w:val="TableText0"/>
              <w:spacing w:before="0" w:after="0"/>
              <w:jc w:val="center"/>
              <w:rPr>
                <w:b/>
              </w:rPr>
            </w:pPr>
            <w:r w:rsidRPr="00BE5FAF">
              <w:rPr>
                <w:b/>
              </w:rPr>
              <w:t>0.78 (0.64, 0.96)</w:t>
            </w:r>
          </w:p>
        </w:tc>
      </w:tr>
    </w:tbl>
    <w:p w:rsidR="00A3651E" w:rsidRPr="00BE5FAF" w:rsidRDefault="00A3651E" w:rsidP="00D8518A">
      <w:pPr>
        <w:pStyle w:val="TableFooter"/>
        <w:widowControl/>
      </w:pPr>
      <w:r w:rsidRPr="00BE5FAF">
        <w:t>Source: Table 2.5-1, p.107 of the submission; Table 9-2, p.124 COMPASS clinical study report</w:t>
      </w:r>
    </w:p>
    <w:p w:rsidR="00A3651E" w:rsidRPr="00BE5FAF" w:rsidRDefault="00A3651E" w:rsidP="00D8518A">
      <w:pPr>
        <w:widowControl/>
      </w:pPr>
    </w:p>
    <w:p w:rsidR="00A3651E" w:rsidRPr="00BE5FAF" w:rsidRDefault="00A3651E" w:rsidP="0016156C">
      <w:pPr>
        <w:pStyle w:val="ListParagraph"/>
        <w:widowControl/>
        <w:numPr>
          <w:ilvl w:val="1"/>
          <w:numId w:val="2"/>
        </w:numPr>
      </w:pPr>
      <w:r w:rsidRPr="00BE5FAF">
        <w:rPr>
          <w:rFonts w:cs="Calibri"/>
          <w:snapToGrid/>
          <w:szCs w:val="24"/>
          <w:lang w:eastAsia="en-AU"/>
        </w:rPr>
        <w:t xml:space="preserve">The Kaplan Meier estimates of the cumulative incidence risk for the composite primary outcome are summarised in Figure 1. </w:t>
      </w:r>
    </w:p>
    <w:p w:rsidR="00A3651E" w:rsidRPr="00BE5FAF" w:rsidRDefault="00A3651E" w:rsidP="002A1798">
      <w:pPr>
        <w:pStyle w:val="TableHeading0"/>
        <w:rPr>
          <w:bCs/>
        </w:rPr>
      </w:pPr>
      <w:r w:rsidRPr="00BE5FAF">
        <w:lastRenderedPageBreak/>
        <w:t xml:space="preserve">Figure </w:t>
      </w:r>
      <w:r w:rsidR="002A1798" w:rsidRPr="00BE5FAF">
        <w:rPr>
          <w:bCs/>
        </w:rPr>
        <w:t>1</w:t>
      </w:r>
      <w:r w:rsidRPr="00BE5FAF">
        <w:t xml:space="preserve">: Cumulative incidence of the composite primary outcome among participants receiving </w:t>
      </w:r>
      <w:proofErr w:type="spellStart"/>
      <w:r w:rsidRPr="00BE5FAF">
        <w:t>rivaroxaban</w:t>
      </w:r>
      <w:proofErr w:type="spellEnd"/>
      <w:r w:rsidRPr="00BE5FAF">
        <w:t xml:space="preserve"> 2.5 mg plus aspirin 100 mg, </w:t>
      </w:r>
      <w:proofErr w:type="spellStart"/>
      <w:r w:rsidRPr="00BE5FAF">
        <w:t>rivaroxaban</w:t>
      </w:r>
      <w:proofErr w:type="spellEnd"/>
      <w:r w:rsidRPr="00BE5FAF">
        <w:t xml:space="preserve"> 5 mg alone, or aspirin 100 mg alone</w:t>
      </w:r>
    </w:p>
    <w:p w:rsidR="00A3651E" w:rsidRPr="00BE5FAF" w:rsidRDefault="00A3651E" w:rsidP="00D8518A">
      <w:pPr>
        <w:widowControl/>
      </w:pPr>
      <w:r w:rsidRPr="00BE5FAF">
        <w:rPr>
          <w:noProof/>
          <w:snapToGrid/>
          <w:lang w:eastAsia="en-AU"/>
        </w:rPr>
        <w:drawing>
          <wp:inline distT="0" distB="0" distL="0" distR="0" wp14:anchorId="5ACBE757" wp14:editId="5520051B">
            <wp:extent cx="5732145" cy="4035425"/>
            <wp:effectExtent l="0" t="0" r="1905" b="3175"/>
            <wp:docPr id="8" name="Picture 8" title="Cumulative incidence of the composite primary outcome among participants receiving rivaroxaban 2.5 mg plus aspirin 100 mg, rivaroxaban 5 mg alone, or aspirin 100 mg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035425"/>
                    </a:xfrm>
                    <a:prstGeom prst="rect">
                      <a:avLst/>
                    </a:prstGeom>
                  </pic:spPr>
                </pic:pic>
              </a:graphicData>
            </a:graphic>
          </wp:inline>
        </w:drawing>
      </w:r>
    </w:p>
    <w:p w:rsidR="00A3651E" w:rsidRPr="00BE5FAF" w:rsidRDefault="00A3651E" w:rsidP="00D8518A">
      <w:pPr>
        <w:pStyle w:val="TableFooter"/>
        <w:widowControl/>
      </w:pPr>
      <w:r w:rsidRPr="00BE5FAF">
        <w:t xml:space="preserve">Source: Figure 1, p.8 </w:t>
      </w:r>
      <w:proofErr w:type="spellStart"/>
      <w:r w:rsidRPr="00BE5FAF">
        <w:t>Eikelboom</w:t>
      </w:r>
      <w:proofErr w:type="spellEnd"/>
      <w:r w:rsidRPr="00BE5FAF">
        <w:t xml:space="preserve"> et al. (2017)</w:t>
      </w:r>
    </w:p>
    <w:p w:rsidR="00A3651E" w:rsidRPr="00BE5FAF" w:rsidRDefault="00A3651E" w:rsidP="00D8518A">
      <w:pPr>
        <w:pStyle w:val="TableFooter"/>
        <w:widowControl/>
      </w:pPr>
      <w:r w:rsidRPr="00BE5FAF">
        <w:t>Note: The inset shows the same data on an expanded y-axis</w:t>
      </w:r>
    </w:p>
    <w:p w:rsidR="00A3651E" w:rsidRPr="00BE5FAF" w:rsidRDefault="00A3651E" w:rsidP="003008B5">
      <w:pPr>
        <w:pStyle w:val="ListParagraph"/>
        <w:widowControl/>
        <w:numPr>
          <w:ilvl w:val="1"/>
          <w:numId w:val="2"/>
        </w:numPr>
        <w:spacing w:before="120" w:after="120"/>
      </w:pPr>
      <w:r w:rsidRPr="00BE5FAF">
        <w:rPr>
          <w:rFonts w:cs="Calibri"/>
          <w:snapToGrid/>
          <w:szCs w:val="24"/>
          <w:lang w:eastAsia="en-AU"/>
        </w:rPr>
        <w:t xml:space="preserve">Treatment with </w:t>
      </w:r>
      <w:proofErr w:type="spellStart"/>
      <w:r w:rsidRPr="00BE5FAF">
        <w:rPr>
          <w:rFonts w:cs="Calibri"/>
          <w:snapToGrid/>
          <w:szCs w:val="24"/>
          <w:lang w:eastAsia="en-AU"/>
        </w:rPr>
        <w:t>rivaroxaban</w:t>
      </w:r>
      <w:proofErr w:type="spellEnd"/>
      <w:r w:rsidRPr="00BE5FAF">
        <w:rPr>
          <w:rFonts w:cs="Calibri"/>
          <w:snapToGrid/>
          <w:szCs w:val="24"/>
          <w:lang w:eastAsia="en-AU"/>
        </w:rPr>
        <w:t xml:space="preserve"> in combination with aspirin was associated with a statistically significant reduction in the proportion of patients who experienced the composite primary efficacy outcome compared with the aspirin. A consistent treatment effect was observed for each of the individual components (myocardial infarction, stroke, and cardiovascular death), although the result was not statistically significantly different between treatment groups for myocardial infarction. The stroke result </w:t>
      </w:r>
      <w:proofErr w:type="gramStart"/>
      <w:r w:rsidRPr="00BE5FAF">
        <w:rPr>
          <w:rFonts w:cs="Calibri"/>
          <w:snapToGrid/>
          <w:szCs w:val="24"/>
          <w:lang w:eastAsia="en-AU"/>
        </w:rPr>
        <w:t>was driven</w:t>
      </w:r>
      <w:proofErr w:type="gramEnd"/>
      <w:r w:rsidRPr="00BE5FAF">
        <w:rPr>
          <w:rFonts w:cs="Calibri"/>
          <w:snapToGrid/>
          <w:szCs w:val="24"/>
          <w:lang w:eastAsia="en-AU"/>
        </w:rPr>
        <w:t xml:space="preserve"> by a reduction in ischaemic stroke.</w:t>
      </w:r>
    </w:p>
    <w:p w:rsidR="00E7722D" w:rsidRPr="00BE5FAF" w:rsidRDefault="00E7722D" w:rsidP="003008B5">
      <w:pPr>
        <w:pStyle w:val="ListParagraph"/>
        <w:numPr>
          <w:ilvl w:val="1"/>
          <w:numId w:val="2"/>
        </w:numPr>
        <w:spacing w:before="120" w:after="120"/>
        <w:rPr>
          <w:rFonts w:cs="Calibri"/>
          <w:snapToGrid/>
          <w:szCs w:val="24"/>
          <w:lang w:eastAsia="en-AU"/>
        </w:rPr>
      </w:pPr>
      <w:r w:rsidRPr="00BE5FAF">
        <w:rPr>
          <w:rFonts w:cs="Calibri"/>
          <w:snapToGrid/>
          <w:szCs w:val="24"/>
          <w:lang w:eastAsia="en-AU"/>
        </w:rPr>
        <w:t xml:space="preserve">The PBAC noted the results of a post hoc landmark analysis of the COMPASS trial data for the CAD subgroup for three </w:t>
      </w:r>
      <w:proofErr w:type="gramStart"/>
      <w:r w:rsidRPr="00BE5FAF">
        <w:rPr>
          <w:rFonts w:cs="Calibri"/>
          <w:snapToGrid/>
          <w:szCs w:val="24"/>
          <w:lang w:eastAsia="en-AU"/>
        </w:rPr>
        <w:t>time periods</w:t>
      </w:r>
      <w:proofErr w:type="gramEnd"/>
      <w:r w:rsidRPr="00BE5FAF">
        <w:rPr>
          <w:rFonts w:cs="Calibri"/>
          <w:snapToGrid/>
          <w:szCs w:val="24"/>
          <w:lang w:eastAsia="en-AU"/>
        </w:rPr>
        <w:t>: from randomization to 1 year; from 1 to 2 years; from 2 years until the end of the trial. This analysis showed that for the primary outcome (myocardial infarction, stroke and cardiovascular death), the hazard ratio was not statistically significant beyond two years (HR: 0.82 (95% CI: 0.58, 1.16). The PBAC noted the limitations of this analysis (</w:t>
      </w:r>
      <w:proofErr w:type="gramStart"/>
      <w:r w:rsidRPr="00BE5FAF">
        <w:rPr>
          <w:rFonts w:cs="Calibri"/>
          <w:snapToGrid/>
          <w:szCs w:val="24"/>
          <w:lang w:eastAsia="en-AU"/>
        </w:rPr>
        <w:t>e.g.</w:t>
      </w:r>
      <w:proofErr w:type="gramEnd"/>
      <w:r w:rsidRPr="00BE5FAF">
        <w:rPr>
          <w:rFonts w:cs="Calibri"/>
          <w:snapToGrid/>
          <w:szCs w:val="24"/>
          <w:lang w:eastAsia="en-AU"/>
        </w:rPr>
        <w:t xml:space="preserve"> there were fewer patient numbers with longer follow-up) but considered that the data indicated that it was unclear whether the treatment effect would be maintained over time. </w:t>
      </w:r>
    </w:p>
    <w:p w:rsidR="00A3651E" w:rsidRPr="00BE5FAF" w:rsidRDefault="00A3651E" w:rsidP="003008B5">
      <w:pPr>
        <w:pStyle w:val="ListParagraph"/>
        <w:widowControl/>
        <w:numPr>
          <w:ilvl w:val="1"/>
          <w:numId w:val="2"/>
        </w:numPr>
        <w:spacing w:before="120" w:after="120"/>
      </w:pPr>
      <w:r w:rsidRPr="00BE5FAF">
        <w:rPr>
          <w:rFonts w:cs="Calibri"/>
          <w:snapToGrid/>
          <w:szCs w:val="24"/>
          <w:lang w:eastAsia="en-AU"/>
        </w:rPr>
        <w:t xml:space="preserve">Treatment with </w:t>
      </w:r>
      <w:proofErr w:type="spellStart"/>
      <w:r w:rsidRPr="00BE5FAF">
        <w:rPr>
          <w:rFonts w:cs="Calibri"/>
          <w:snapToGrid/>
          <w:szCs w:val="24"/>
          <w:lang w:eastAsia="en-AU"/>
        </w:rPr>
        <w:t>rivaroxaban</w:t>
      </w:r>
      <w:proofErr w:type="spellEnd"/>
      <w:r w:rsidRPr="00BE5FAF">
        <w:rPr>
          <w:rFonts w:cs="Calibri"/>
          <w:snapToGrid/>
          <w:szCs w:val="24"/>
          <w:lang w:eastAsia="en-AU"/>
        </w:rPr>
        <w:t xml:space="preserve"> plus aspirin was </w:t>
      </w:r>
      <w:r w:rsidR="00395903" w:rsidRPr="00BE5FAF">
        <w:rPr>
          <w:rFonts w:cs="Calibri"/>
          <w:snapToGrid/>
          <w:szCs w:val="24"/>
          <w:lang w:eastAsia="en-AU"/>
        </w:rPr>
        <w:t xml:space="preserve">also </w:t>
      </w:r>
      <w:r w:rsidRPr="00BE5FAF">
        <w:rPr>
          <w:rFonts w:cs="Calibri"/>
          <w:snapToGrid/>
          <w:szCs w:val="24"/>
          <w:lang w:eastAsia="en-AU"/>
        </w:rPr>
        <w:t>associated with a statistically significant decrease in all-cause mortality compared with aspirin alone, which was driven by a reduction in cardiovascular death</w:t>
      </w:r>
      <w:r w:rsidR="00907424" w:rsidRPr="00BE5FAF">
        <w:rPr>
          <w:rFonts w:cs="Calibri"/>
          <w:snapToGrid/>
          <w:szCs w:val="24"/>
          <w:lang w:eastAsia="en-AU"/>
        </w:rPr>
        <w:t xml:space="preserve"> (HR =</w:t>
      </w:r>
      <w:r w:rsidR="003C1172" w:rsidRPr="00BE5FAF">
        <w:rPr>
          <w:rFonts w:cs="Calibri"/>
          <w:snapToGrid/>
          <w:szCs w:val="24"/>
          <w:lang w:eastAsia="en-AU"/>
        </w:rPr>
        <w:t xml:space="preserve"> 0.82</w:t>
      </w:r>
      <w:r w:rsidR="00907424" w:rsidRPr="00BE5FAF">
        <w:rPr>
          <w:rFonts w:cs="Calibri"/>
          <w:snapToGrid/>
          <w:szCs w:val="24"/>
          <w:lang w:eastAsia="en-AU"/>
        </w:rPr>
        <w:t xml:space="preserve">, 95% CI: 0.71, </w:t>
      </w:r>
      <w:r w:rsidR="003C1172" w:rsidRPr="00BE5FAF">
        <w:rPr>
          <w:rFonts w:cs="Calibri"/>
          <w:snapToGrid/>
          <w:szCs w:val="24"/>
          <w:lang w:eastAsia="en-AU"/>
        </w:rPr>
        <w:t>0.96</w:t>
      </w:r>
      <w:r w:rsidR="00907424" w:rsidRPr="00BE5FAF">
        <w:rPr>
          <w:rFonts w:cs="Calibri"/>
          <w:snapToGrid/>
          <w:szCs w:val="24"/>
          <w:lang w:eastAsia="en-AU"/>
        </w:rPr>
        <w:t>)</w:t>
      </w:r>
      <w:r w:rsidRPr="00BE5FAF">
        <w:rPr>
          <w:rFonts w:cs="Calibri"/>
          <w:snapToGrid/>
          <w:szCs w:val="24"/>
          <w:lang w:eastAsia="en-AU"/>
        </w:rPr>
        <w:t>.</w:t>
      </w:r>
      <w:r w:rsidR="00B00948" w:rsidRPr="00BE5FAF">
        <w:rPr>
          <w:rFonts w:cs="Calibri"/>
          <w:snapToGrid/>
          <w:szCs w:val="24"/>
          <w:lang w:eastAsia="en-AU"/>
        </w:rPr>
        <w:t xml:space="preserve"> </w:t>
      </w:r>
    </w:p>
    <w:p w:rsidR="00D175C2" w:rsidRPr="00BE5FAF" w:rsidRDefault="00D175C2" w:rsidP="003008B5">
      <w:pPr>
        <w:pStyle w:val="ListParagraph"/>
        <w:widowControl/>
        <w:numPr>
          <w:ilvl w:val="1"/>
          <w:numId w:val="2"/>
        </w:numPr>
        <w:spacing w:before="120" w:after="120"/>
        <w:rPr>
          <w:rFonts w:cs="Calibri"/>
          <w:snapToGrid/>
          <w:szCs w:val="24"/>
          <w:lang w:eastAsia="en-AU"/>
        </w:rPr>
      </w:pPr>
      <w:r w:rsidRPr="00BE5FAF">
        <w:rPr>
          <w:rFonts w:cs="Calibri"/>
          <w:snapToGrid/>
          <w:szCs w:val="24"/>
          <w:lang w:eastAsia="en-AU"/>
        </w:rPr>
        <w:lastRenderedPageBreak/>
        <w:t>The results of other vascular outcomes are summarised in Table 5.</w:t>
      </w:r>
    </w:p>
    <w:p w:rsidR="003D1162" w:rsidRPr="00BE5FAF" w:rsidRDefault="003D1162" w:rsidP="00D8518A">
      <w:pPr>
        <w:pStyle w:val="TableHeading0"/>
        <w:spacing w:after="0"/>
      </w:pPr>
      <w:r w:rsidRPr="00BE5FAF">
        <w:t xml:space="preserve"> Table 5: Number of patients with other vascular outcomes in the COMPASS trial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Number of patients with other vascular outcomes in the COMPASS trial (ITT)"/>
      </w:tblPr>
      <w:tblGrid>
        <w:gridCol w:w="2971"/>
        <w:gridCol w:w="2271"/>
        <w:gridCol w:w="1987"/>
        <w:gridCol w:w="1788"/>
      </w:tblGrid>
      <w:tr w:rsidR="003D1162" w:rsidRPr="00BE5FAF" w:rsidTr="006956D5">
        <w:tc>
          <w:tcPr>
            <w:tcW w:w="2970" w:type="dxa"/>
            <w:tcMar>
              <w:top w:w="0" w:type="dxa"/>
              <w:left w:w="108" w:type="dxa"/>
              <w:bottom w:w="0" w:type="dxa"/>
              <w:right w:w="108" w:type="dxa"/>
            </w:tcMar>
          </w:tcPr>
          <w:p w:rsidR="003D1162" w:rsidRPr="00BE5FAF" w:rsidRDefault="003D1162" w:rsidP="00D8518A">
            <w:pPr>
              <w:pStyle w:val="TableText0"/>
              <w:spacing w:before="0" w:after="0"/>
              <w:jc w:val="center"/>
              <w:rPr>
                <w:b/>
                <w:bCs/>
                <w:szCs w:val="20"/>
              </w:rPr>
            </w:pPr>
          </w:p>
        </w:tc>
        <w:tc>
          <w:tcPr>
            <w:tcW w:w="2271" w:type="dxa"/>
            <w:tcMar>
              <w:top w:w="0" w:type="dxa"/>
              <w:left w:w="108" w:type="dxa"/>
              <w:bottom w:w="0" w:type="dxa"/>
              <w:right w:w="108" w:type="dxa"/>
            </w:tcMar>
            <w:vAlign w:val="center"/>
            <w:hideMark/>
          </w:tcPr>
          <w:p w:rsidR="003D1162" w:rsidRPr="00BE5FAF" w:rsidRDefault="003D1162" w:rsidP="00D8518A">
            <w:pPr>
              <w:pStyle w:val="TableText0"/>
              <w:spacing w:before="0" w:after="0"/>
              <w:jc w:val="center"/>
              <w:rPr>
                <w:b/>
                <w:bCs/>
                <w:szCs w:val="20"/>
              </w:rPr>
            </w:pPr>
            <w:proofErr w:type="spellStart"/>
            <w:r w:rsidRPr="00BE5FAF">
              <w:rPr>
                <w:b/>
                <w:bCs/>
                <w:szCs w:val="20"/>
              </w:rPr>
              <w:t>Rivaroxaban</w:t>
            </w:r>
            <w:proofErr w:type="spellEnd"/>
            <w:r w:rsidRPr="00BE5FAF">
              <w:rPr>
                <w:b/>
                <w:bCs/>
                <w:szCs w:val="20"/>
              </w:rPr>
              <w:t xml:space="preserve"> 2.5 mg + aspirin 100 mg, n (%)</w:t>
            </w:r>
          </w:p>
          <w:p w:rsidR="003D1162" w:rsidRPr="00BE5FAF" w:rsidRDefault="003D1162" w:rsidP="00D8518A">
            <w:pPr>
              <w:pStyle w:val="TableText0"/>
              <w:spacing w:before="0" w:after="0"/>
              <w:jc w:val="center"/>
              <w:rPr>
                <w:b/>
                <w:bCs/>
                <w:szCs w:val="20"/>
              </w:rPr>
            </w:pPr>
            <w:r w:rsidRPr="00BE5FAF">
              <w:rPr>
                <w:b/>
                <w:bCs/>
                <w:szCs w:val="20"/>
              </w:rPr>
              <w:t>N=9152</w:t>
            </w:r>
          </w:p>
        </w:tc>
        <w:tc>
          <w:tcPr>
            <w:tcW w:w="1987" w:type="dxa"/>
            <w:tcMar>
              <w:top w:w="0" w:type="dxa"/>
              <w:left w:w="108" w:type="dxa"/>
              <w:bottom w:w="0" w:type="dxa"/>
              <w:right w:w="108" w:type="dxa"/>
            </w:tcMar>
            <w:vAlign w:val="center"/>
            <w:hideMark/>
          </w:tcPr>
          <w:p w:rsidR="003D1162" w:rsidRPr="00BE5FAF" w:rsidRDefault="003D1162" w:rsidP="00D8518A">
            <w:pPr>
              <w:pStyle w:val="TableText0"/>
              <w:spacing w:before="0" w:after="0"/>
              <w:jc w:val="center"/>
              <w:rPr>
                <w:b/>
                <w:bCs/>
                <w:szCs w:val="20"/>
              </w:rPr>
            </w:pPr>
            <w:r w:rsidRPr="00BE5FAF">
              <w:rPr>
                <w:b/>
                <w:bCs/>
                <w:szCs w:val="20"/>
              </w:rPr>
              <w:t>Aspirin 100 mg, n (%)</w:t>
            </w:r>
          </w:p>
          <w:p w:rsidR="003D1162" w:rsidRPr="00BE5FAF" w:rsidRDefault="003D1162" w:rsidP="00D8518A">
            <w:pPr>
              <w:pStyle w:val="TableText0"/>
              <w:spacing w:before="0" w:after="0"/>
              <w:jc w:val="center"/>
              <w:rPr>
                <w:b/>
                <w:bCs/>
                <w:szCs w:val="20"/>
              </w:rPr>
            </w:pPr>
            <w:r w:rsidRPr="00BE5FAF">
              <w:rPr>
                <w:b/>
                <w:bCs/>
                <w:szCs w:val="20"/>
              </w:rPr>
              <w:t>N=9126</w:t>
            </w:r>
          </w:p>
        </w:tc>
        <w:tc>
          <w:tcPr>
            <w:tcW w:w="1788" w:type="dxa"/>
            <w:tcMar>
              <w:top w:w="0" w:type="dxa"/>
              <w:left w:w="108" w:type="dxa"/>
              <w:bottom w:w="0" w:type="dxa"/>
              <w:right w:w="108" w:type="dxa"/>
            </w:tcMar>
            <w:vAlign w:val="center"/>
            <w:hideMark/>
          </w:tcPr>
          <w:p w:rsidR="003D1162" w:rsidRPr="00BE5FAF" w:rsidRDefault="003D1162" w:rsidP="00D8518A">
            <w:pPr>
              <w:pStyle w:val="TableText0"/>
              <w:spacing w:before="0" w:after="0"/>
              <w:jc w:val="center"/>
              <w:rPr>
                <w:b/>
                <w:bCs/>
                <w:szCs w:val="20"/>
              </w:rPr>
            </w:pPr>
            <w:r w:rsidRPr="00BE5FAF">
              <w:rPr>
                <w:b/>
                <w:bCs/>
                <w:szCs w:val="20"/>
              </w:rPr>
              <w:t>Hazard ratio</w:t>
            </w:r>
          </w:p>
          <w:p w:rsidR="003D1162" w:rsidRPr="00BE5FAF" w:rsidRDefault="003D1162" w:rsidP="00D8518A">
            <w:pPr>
              <w:pStyle w:val="TableText0"/>
              <w:spacing w:before="0" w:after="0"/>
              <w:jc w:val="center"/>
              <w:rPr>
                <w:b/>
                <w:bCs/>
                <w:szCs w:val="20"/>
              </w:rPr>
            </w:pPr>
            <w:r w:rsidRPr="00BE5FAF">
              <w:rPr>
                <w:b/>
                <w:bCs/>
                <w:szCs w:val="20"/>
              </w:rPr>
              <w:t>(95% CI)</w:t>
            </w:r>
          </w:p>
        </w:tc>
      </w:tr>
      <w:tr w:rsidR="003D1162" w:rsidRPr="00BE5FAF" w:rsidTr="006956D5">
        <w:tc>
          <w:tcPr>
            <w:tcW w:w="9016" w:type="dxa"/>
            <w:gridSpan w:val="4"/>
            <w:tcMar>
              <w:top w:w="0" w:type="dxa"/>
              <w:left w:w="108" w:type="dxa"/>
              <w:bottom w:w="0" w:type="dxa"/>
              <w:right w:w="108" w:type="dxa"/>
            </w:tcMar>
            <w:vAlign w:val="center"/>
          </w:tcPr>
          <w:p w:rsidR="003D1162" w:rsidRPr="00BE5FAF" w:rsidRDefault="003D1162" w:rsidP="00D8518A">
            <w:pPr>
              <w:pStyle w:val="TableText0"/>
              <w:spacing w:before="0" w:after="0"/>
              <w:rPr>
                <w:b/>
                <w:bCs/>
                <w:szCs w:val="20"/>
              </w:rPr>
            </w:pPr>
            <w:r w:rsidRPr="00BE5FAF">
              <w:rPr>
                <w:b/>
                <w:szCs w:val="20"/>
              </w:rPr>
              <w:t xml:space="preserve">Limb </w:t>
            </w:r>
            <w:proofErr w:type="spellStart"/>
            <w:r w:rsidRPr="00BE5FAF">
              <w:rPr>
                <w:b/>
                <w:szCs w:val="20"/>
              </w:rPr>
              <w:t>ischaemia</w:t>
            </w:r>
            <w:proofErr w:type="spellEnd"/>
            <w:r w:rsidRPr="00BE5FAF">
              <w:rPr>
                <w:b/>
                <w:szCs w:val="20"/>
              </w:rPr>
              <w:t xml:space="preserve"> outcomes</w:t>
            </w:r>
          </w:p>
        </w:tc>
      </w:tr>
      <w:tr w:rsidR="003D1162" w:rsidRPr="00BE5FAF" w:rsidTr="006956D5">
        <w:tc>
          <w:tcPr>
            <w:tcW w:w="2970" w:type="dxa"/>
            <w:tcMar>
              <w:top w:w="0" w:type="dxa"/>
              <w:left w:w="108" w:type="dxa"/>
              <w:bottom w:w="0" w:type="dxa"/>
              <w:right w:w="108" w:type="dxa"/>
            </w:tcMar>
            <w:vAlign w:val="center"/>
          </w:tcPr>
          <w:p w:rsidR="003D1162" w:rsidRPr="00BE5FAF" w:rsidRDefault="003D1162" w:rsidP="00D8518A">
            <w:pPr>
              <w:pStyle w:val="TableText0"/>
              <w:spacing w:before="0" w:after="0"/>
              <w:rPr>
                <w:szCs w:val="20"/>
              </w:rPr>
            </w:pPr>
            <w:r w:rsidRPr="00BE5FAF">
              <w:rPr>
                <w:szCs w:val="20"/>
              </w:rPr>
              <w:t xml:space="preserve">Acute limb </w:t>
            </w:r>
            <w:proofErr w:type="spellStart"/>
            <w:r w:rsidRPr="00BE5FAF">
              <w:rPr>
                <w:szCs w:val="20"/>
              </w:rPr>
              <w:t>ischaemia</w:t>
            </w:r>
            <w:proofErr w:type="spellEnd"/>
          </w:p>
        </w:tc>
        <w:tc>
          <w:tcPr>
            <w:tcW w:w="2271"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22 (0.2)</w:t>
            </w:r>
          </w:p>
        </w:tc>
        <w:tc>
          <w:tcPr>
            <w:tcW w:w="1987"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40 (0.4)</w:t>
            </w:r>
          </w:p>
        </w:tc>
        <w:tc>
          <w:tcPr>
            <w:tcW w:w="1788" w:type="dxa"/>
            <w:tcMar>
              <w:top w:w="0" w:type="dxa"/>
              <w:left w:w="108" w:type="dxa"/>
              <w:bottom w:w="0" w:type="dxa"/>
              <w:right w:w="108" w:type="dxa"/>
            </w:tcMar>
            <w:vAlign w:val="center"/>
          </w:tcPr>
          <w:p w:rsidR="003D1162" w:rsidRPr="00BE5FAF" w:rsidRDefault="003D1162" w:rsidP="00D8518A">
            <w:pPr>
              <w:pStyle w:val="TableText0"/>
              <w:spacing w:before="0" w:after="0"/>
              <w:jc w:val="center"/>
              <w:rPr>
                <w:b/>
                <w:bCs/>
                <w:szCs w:val="20"/>
              </w:rPr>
            </w:pPr>
            <w:r w:rsidRPr="00BE5FAF">
              <w:rPr>
                <w:b/>
                <w:bCs/>
                <w:szCs w:val="20"/>
              </w:rPr>
              <w:t>0.55 (0.32, 0.92)</w:t>
            </w:r>
          </w:p>
        </w:tc>
      </w:tr>
      <w:tr w:rsidR="003D1162" w:rsidRPr="00BE5FAF" w:rsidTr="006956D5">
        <w:tc>
          <w:tcPr>
            <w:tcW w:w="2970" w:type="dxa"/>
            <w:tcMar>
              <w:top w:w="0" w:type="dxa"/>
              <w:left w:w="108" w:type="dxa"/>
              <w:bottom w:w="0" w:type="dxa"/>
              <w:right w:w="108" w:type="dxa"/>
            </w:tcMar>
            <w:hideMark/>
          </w:tcPr>
          <w:p w:rsidR="003D1162" w:rsidRPr="00BE5FAF" w:rsidRDefault="003D1162" w:rsidP="00D8518A">
            <w:pPr>
              <w:pStyle w:val="TableText0"/>
              <w:spacing w:before="0" w:after="0"/>
              <w:rPr>
                <w:szCs w:val="20"/>
              </w:rPr>
            </w:pPr>
            <w:r w:rsidRPr="00BE5FAF">
              <w:rPr>
                <w:szCs w:val="20"/>
              </w:rPr>
              <w:t xml:space="preserve">Chronic limb </w:t>
            </w:r>
            <w:proofErr w:type="spellStart"/>
            <w:r w:rsidRPr="00BE5FAF">
              <w:rPr>
                <w:szCs w:val="20"/>
              </w:rPr>
              <w:t>ischaemia</w:t>
            </w:r>
            <w:proofErr w:type="spellEnd"/>
            <w:r w:rsidRPr="00BE5FAF">
              <w:rPr>
                <w:szCs w:val="20"/>
              </w:rPr>
              <w:t xml:space="preserve"> </w:t>
            </w:r>
          </w:p>
        </w:tc>
        <w:tc>
          <w:tcPr>
            <w:tcW w:w="2271" w:type="dxa"/>
            <w:tcMar>
              <w:top w:w="0" w:type="dxa"/>
              <w:left w:w="108" w:type="dxa"/>
              <w:bottom w:w="0" w:type="dxa"/>
              <w:right w:w="108" w:type="dxa"/>
            </w:tcMar>
            <w:vAlign w:val="center"/>
            <w:hideMark/>
          </w:tcPr>
          <w:p w:rsidR="003D1162" w:rsidRPr="00BE5FAF" w:rsidRDefault="003D1162" w:rsidP="00D8518A">
            <w:pPr>
              <w:pStyle w:val="TableText0"/>
              <w:spacing w:before="0" w:after="0"/>
              <w:jc w:val="center"/>
              <w:rPr>
                <w:szCs w:val="20"/>
              </w:rPr>
            </w:pPr>
            <w:r w:rsidRPr="00BE5FAF">
              <w:rPr>
                <w:szCs w:val="20"/>
              </w:rPr>
              <w:t>17 (0.2)</w:t>
            </w:r>
          </w:p>
        </w:tc>
        <w:tc>
          <w:tcPr>
            <w:tcW w:w="1987" w:type="dxa"/>
            <w:tcMar>
              <w:top w:w="0" w:type="dxa"/>
              <w:left w:w="108" w:type="dxa"/>
              <w:bottom w:w="0" w:type="dxa"/>
              <w:right w:w="108" w:type="dxa"/>
            </w:tcMar>
            <w:vAlign w:val="center"/>
            <w:hideMark/>
          </w:tcPr>
          <w:p w:rsidR="003D1162" w:rsidRPr="00BE5FAF" w:rsidRDefault="003D1162" w:rsidP="00D8518A">
            <w:pPr>
              <w:pStyle w:val="TableText0"/>
              <w:spacing w:before="0" w:after="0"/>
              <w:jc w:val="center"/>
              <w:rPr>
                <w:szCs w:val="20"/>
              </w:rPr>
            </w:pPr>
            <w:r w:rsidRPr="00BE5FAF">
              <w:rPr>
                <w:szCs w:val="20"/>
              </w:rPr>
              <w:t>27 (0.3)</w:t>
            </w:r>
          </w:p>
        </w:tc>
        <w:tc>
          <w:tcPr>
            <w:tcW w:w="1788" w:type="dxa"/>
            <w:tcMar>
              <w:top w:w="0" w:type="dxa"/>
              <w:left w:w="108" w:type="dxa"/>
              <w:bottom w:w="0" w:type="dxa"/>
              <w:right w:w="108" w:type="dxa"/>
            </w:tcMar>
            <w:hideMark/>
          </w:tcPr>
          <w:p w:rsidR="003D1162" w:rsidRPr="00BE5FAF" w:rsidRDefault="003D1162" w:rsidP="00D8518A">
            <w:pPr>
              <w:pStyle w:val="TableText0"/>
              <w:spacing w:before="0" w:after="0"/>
              <w:jc w:val="center"/>
              <w:rPr>
                <w:szCs w:val="20"/>
              </w:rPr>
            </w:pPr>
            <w:r w:rsidRPr="00BE5FAF">
              <w:rPr>
                <w:szCs w:val="20"/>
              </w:rPr>
              <w:t>0.63 (0.34, 1.15)</w:t>
            </w:r>
          </w:p>
        </w:tc>
      </w:tr>
      <w:tr w:rsidR="003D1162" w:rsidRPr="00BE5FAF" w:rsidTr="006956D5">
        <w:tc>
          <w:tcPr>
            <w:tcW w:w="2970" w:type="dxa"/>
            <w:tcMar>
              <w:top w:w="0" w:type="dxa"/>
              <w:left w:w="108" w:type="dxa"/>
              <w:bottom w:w="0" w:type="dxa"/>
              <w:right w:w="108" w:type="dxa"/>
            </w:tcMar>
            <w:hideMark/>
          </w:tcPr>
          <w:p w:rsidR="003D1162" w:rsidRPr="00BE5FAF" w:rsidRDefault="003D1162" w:rsidP="00D8518A">
            <w:pPr>
              <w:pStyle w:val="TableText0"/>
              <w:spacing w:before="0" w:after="0"/>
              <w:rPr>
                <w:szCs w:val="20"/>
              </w:rPr>
            </w:pPr>
            <w:r w:rsidRPr="00BE5FAF">
              <w:rPr>
                <w:szCs w:val="20"/>
              </w:rPr>
              <w:t>Peripheral vascular intervention</w:t>
            </w:r>
          </w:p>
        </w:tc>
        <w:tc>
          <w:tcPr>
            <w:tcW w:w="2271" w:type="dxa"/>
            <w:tcMar>
              <w:top w:w="0" w:type="dxa"/>
              <w:left w:w="108" w:type="dxa"/>
              <w:bottom w:w="0" w:type="dxa"/>
              <w:right w:w="108" w:type="dxa"/>
            </w:tcMar>
            <w:vAlign w:val="center"/>
            <w:hideMark/>
          </w:tcPr>
          <w:p w:rsidR="003D1162" w:rsidRPr="00BE5FAF" w:rsidRDefault="003D1162" w:rsidP="00D8518A">
            <w:pPr>
              <w:pStyle w:val="TableText0"/>
              <w:spacing w:before="0" w:after="0"/>
              <w:jc w:val="center"/>
              <w:rPr>
                <w:szCs w:val="20"/>
              </w:rPr>
            </w:pPr>
            <w:r w:rsidRPr="00BE5FAF">
              <w:rPr>
                <w:szCs w:val="20"/>
              </w:rPr>
              <w:t>153 (1.7)</w:t>
            </w:r>
          </w:p>
        </w:tc>
        <w:tc>
          <w:tcPr>
            <w:tcW w:w="1987" w:type="dxa"/>
            <w:tcMar>
              <w:top w:w="0" w:type="dxa"/>
              <w:left w:w="108" w:type="dxa"/>
              <w:bottom w:w="0" w:type="dxa"/>
              <w:right w:w="108" w:type="dxa"/>
            </w:tcMar>
            <w:vAlign w:val="center"/>
            <w:hideMark/>
          </w:tcPr>
          <w:p w:rsidR="003D1162" w:rsidRPr="00BE5FAF" w:rsidRDefault="003D1162" w:rsidP="00D8518A">
            <w:pPr>
              <w:pStyle w:val="TableText0"/>
              <w:spacing w:before="0" w:after="0"/>
              <w:jc w:val="center"/>
              <w:rPr>
                <w:szCs w:val="20"/>
              </w:rPr>
            </w:pPr>
            <w:r w:rsidRPr="00BE5FAF">
              <w:rPr>
                <w:szCs w:val="20"/>
              </w:rPr>
              <w:t>184 (2.0)</w:t>
            </w:r>
          </w:p>
        </w:tc>
        <w:tc>
          <w:tcPr>
            <w:tcW w:w="1788" w:type="dxa"/>
            <w:tcMar>
              <w:top w:w="0" w:type="dxa"/>
              <w:left w:w="108" w:type="dxa"/>
              <w:bottom w:w="0" w:type="dxa"/>
              <w:right w:w="108" w:type="dxa"/>
            </w:tcMar>
            <w:hideMark/>
          </w:tcPr>
          <w:p w:rsidR="003D1162" w:rsidRPr="00BE5FAF" w:rsidRDefault="003D1162" w:rsidP="00D8518A">
            <w:pPr>
              <w:pStyle w:val="TableText0"/>
              <w:spacing w:before="0" w:after="0"/>
              <w:jc w:val="center"/>
              <w:rPr>
                <w:szCs w:val="20"/>
              </w:rPr>
            </w:pPr>
            <w:r w:rsidRPr="00BE5FAF">
              <w:rPr>
                <w:szCs w:val="20"/>
              </w:rPr>
              <w:t>0.82 (0.67, 1.02)</w:t>
            </w:r>
          </w:p>
        </w:tc>
      </w:tr>
      <w:tr w:rsidR="003D1162" w:rsidRPr="00BE5FAF" w:rsidTr="006956D5">
        <w:tc>
          <w:tcPr>
            <w:tcW w:w="9016" w:type="dxa"/>
            <w:gridSpan w:val="4"/>
            <w:tcMar>
              <w:top w:w="0" w:type="dxa"/>
              <w:left w:w="108" w:type="dxa"/>
              <w:bottom w:w="0" w:type="dxa"/>
              <w:right w:w="108" w:type="dxa"/>
            </w:tcMar>
          </w:tcPr>
          <w:p w:rsidR="003D1162" w:rsidRPr="00BE5FAF" w:rsidRDefault="003D1162" w:rsidP="00D8518A">
            <w:pPr>
              <w:pStyle w:val="TableText0"/>
              <w:spacing w:before="0" w:after="0"/>
              <w:rPr>
                <w:b/>
                <w:bCs/>
                <w:szCs w:val="20"/>
              </w:rPr>
            </w:pPr>
            <w:r w:rsidRPr="00BE5FAF">
              <w:rPr>
                <w:b/>
                <w:szCs w:val="20"/>
              </w:rPr>
              <w:t>Amputation outcomes</w:t>
            </w:r>
          </w:p>
        </w:tc>
      </w:tr>
      <w:tr w:rsidR="003D1162" w:rsidRPr="00BE5FAF" w:rsidTr="006956D5">
        <w:tc>
          <w:tcPr>
            <w:tcW w:w="2970" w:type="dxa"/>
            <w:tcMar>
              <w:top w:w="0" w:type="dxa"/>
              <w:left w:w="108" w:type="dxa"/>
              <w:bottom w:w="0" w:type="dxa"/>
              <w:right w:w="108" w:type="dxa"/>
            </w:tcMar>
          </w:tcPr>
          <w:p w:rsidR="003D1162" w:rsidRPr="00BE5FAF" w:rsidRDefault="003D1162" w:rsidP="00D8518A">
            <w:pPr>
              <w:pStyle w:val="TableText0"/>
              <w:spacing w:before="0" w:after="0"/>
              <w:rPr>
                <w:szCs w:val="20"/>
              </w:rPr>
            </w:pPr>
            <w:r w:rsidRPr="00BE5FAF">
              <w:rPr>
                <w:szCs w:val="20"/>
              </w:rPr>
              <w:t>Amputation, vascular reasons</w:t>
            </w:r>
          </w:p>
        </w:tc>
        <w:tc>
          <w:tcPr>
            <w:tcW w:w="2271"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15 (0.2)</w:t>
            </w:r>
          </w:p>
        </w:tc>
        <w:tc>
          <w:tcPr>
            <w:tcW w:w="1987"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31 (0.3)</w:t>
            </w:r>
          </w:p>
        </w:tc>
        <w:tc>
          <w:tcPr>
            <w:tcW w:w="1788" w:type="dxa"/>
            <w:tcMar>
              <w:top w:w="0" w:type="dxa"/>
              <w:left w:w="108" w:type="dxa"/>
              <w:bottom w:w="0" w:type="dxa"/>
              <w:right w:w="108" w:type="dxa"/>
            </w:tcMar>
            <w:vAlign w:val="center"/>
          </w:tcPr>
          <w:p w:rsidR="003D1162" w:rsidRPr="00BE5FAF" w:rsidRDefault="003D1162" w:rsidP="00D8518A">
            <w:pPr>
              <w:pStyle w:val="TableText0"/>
              <w:spacing w:before="0" w:after="0"/>
              <w:jc w:val="center"/>
              <w:rPr>
                <w:b/>
                <w:szCs w:val="20"/>
              </w:rPr>
            </w:pPr>
            <w:r w:rsidRPr="00BE5FAF">
              <w:rPr>
                <w:b/>
                <w:szCs w:val="20"/>
              </w:rPr>
              <w:t>0.48 (0.26, 0.89)</w:t>
            </w:r>
          </w:p>
        </w:tc>
      </w:tr>
      <w:tr w:rsidR="003D1162" w:rsidRPr="00BE5FAF" w:rsidTr="006956D5">
        <w:trPr>
          <w:trHeight w:val="70"/>
        </w:trPr>
        <w:tc>
          <w:tcPr>
            <w:tcW w:w="2970" w:type="dxa"/>
            <w:tcMar>
              <w:top w:w="0" w:type="dxa"/>
              <w:left w:w="108" w:type="dxa"/>
              <w:bottom w:w="0" w:type="dxa"/>
              <w:right w:w="108" w:type="dxa"/>
            </w:tcMar>
          </w:tcPr>
          <w:p w:rsidR="003D1162" w:rsidRPr="00BE5FAF" w:rsidRDefault="003D1162" w:rsidP="00D8518A">
            <w:pPr>
              <w:pStyle w:val="TableText0"/>
              <w:spacing w:before="0" w:after="0"/>
              <w:rPr>
                <w:szCs w:val="20"/>
              </w:rPr>
            </w:pPr>
            <w:r w:rsidRPr="00BE5FAF">
              <w:rPr>
                <w:szCs w:val="20"/>
              </w:rPr>
              <w:t>Major amputation, vascular and other reasons</w:t>
            </w:r>
          </w:p>
        </w:tc>
        <w:tc>
          <w:tcPr>
            <w:tcW w:w="2271"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15 (0.2)</w:t>
            </w:r>
          </w:p>
        </w:tc>
        <w:tc>
          <w:tcPr>
            <w:tcW w:w="1987"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26 (0.3)</w:t>
            </w:r>
          </w:p>
        </w:tc>
        <w:tc>
          <w:tcPr>
            <w:tcW w:w="1788"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0.57 (0.30, 1.09)</w:t>
            </w:r>
          </w:p>
        </w:tc>
      </w:tr>
      <w:tr w:rsidR="003D1162" w:rsidRPr="00BE5FAF" w:rsidTr="006956D5">
        <w:tc>
          <w:tcPr>
            <w:tcW w:w="2970" w:type="dxa"/>
            <w:tcMar>
              <w:top w:w="0" w:type="dxa"/>
              <w:left w:w="108" w:type="dxa"/>
              <w:bottom w:w="0" w:type="dxa"/>
              <w:right w:w="108" w:type="dxa"/>
            </w:tcMar>
          </w:tcPr>
          <w:p w:rsidR="003D1162" w:rsidRPr="00BE5FAF" w:rsidRDefault="003D1162" w:rsidP="00D8518A">
            <w:pPr>
              <w:pStyle w:val="TableText0"/>
              <w:spacing w:before="0" w:after="0"/>
              <w:rPr>
                <w:szCs w:val="20"/>
              </w:rPr>
            </w:pPr>
            <w:r w:rsidRPr="00BE5FAF">
              <w:rPr>
                <w:szCs w:val="20"/>
              </w:rPr>
              <w:t>Minor amputation, vascular and other reasons</w:t>
            </w:r>
          </w:p>
        </w:tc>
        <w:tc>
          <w:tcPr>
            <w:tcW w:w="2271"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17 (0.2)</w:t>
            </w:r>
          </w:p>
        </w:tc>
        <w:tc>
          <w:tcPr>
            <w:tcW w:w="1987"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26 (0.3)</w:t>
            </w:r>
          </w:p>
        </w:tc>
        <w:tc>
          <w:tcPr>
            <w:tcW w:w="1788"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0.65 (0.35, 1.20)</w:t>
            </w:r>
          </w:p>
        </w:tc>
      </w:tr>
      <w:tr w:rsidR="003D1162" w:rsidRPr="00BE5FAF" w:rsidTr="006956D5">
        <w:tc>
          <w:tcPr>
            <w:tcW w:w="9016" w:type="dxa"/>
            <w:gridSpan w:val="4"/>
            <w:tcMar>
              <w:top w:w="0" w:type="dxa"/>
              <w:left w:w="108" w:type="dxa"/>
              <w:bottom w:w="0" w:type="dxa"/>
              <w:right w:w="108" w:type="dxa"/>
            </w:tcMar>
          </w:tcPr>
          <w:p w:rsidR="003D1162" w:rsidRPr="00BE5FAF" w:rsidRDefault="003D1162" w:rsidP="00D8518A">
            <w:pPr>
              <w:pStyle w:val="TableText0"/>
              <w:spacing w:before="0" w:after="0"/>
              <w:rPr>
                <w:b/>
                <w:bCs/>
                <w:szCs w:val="20"/>
              </w:rPr>
            </w:pPr>
            <w:r w:rsidRPr="00BE5FAF">
              <w:rPr>
                <w:b/>
                <w:szCs w:val="20"/>
              </w:rPr>
              <w:t>Other outcomes</w:t>
            </w:r>
          </w:p>
        </w:tc>
      </w:tr>
      <w:tr w:rsidR="003D1162" w:rsidRPr="00BE5FAF" w:rsidTr="006956D5">
        <w:tc>
          <w:tcPr>
            <w:tcW w:w="2970" w:type="dxa"/>
            <w:tcMar>
              <w:top w:w="0" w:type="dxa"/>
              <w:left w:w="108" w:type="dxa"/>
              <w:bottom w:w="0" w:type="dxa"/>
              <w:right w:w="108" w:type="dxa"/>
            </w:tcMar>
            <w:vAlign w:val="center"/>
          </w:tcPr>
          <w:p w:rsidR="003D1162" w:rsidRPr="00BE5FAF" w:rsidRDefault="003D1162" w:rsidP="00D8518A">
            <w:pPr>
              <w:pStyle w:val="TableText0"/>
              <w:spacing w:before="0" w:after="0"/>
              <w:rPr>
                <w:szCs w:val="20"/>
              </w:rPr>
            </w:pPr>
            <w:r w:rsidRPr="00BE5FAF">
              <w:rPr>
                <w:szCs w:val="20"/>
              </w:rPr>
              <w:t>Angina</w:t>
            </w:r>
          </w:p>
        </w:tc>
        <w:tc>
          <w:tcPr>
            <w:tcW w:w="2271" w:type="dxa"/>
            <w:tcMar>
              <w:top w:w="0" w:type="dxa"/>
              <w:left w:w="108" w:type="dxa"/>
              <w:bottom w:w="0" w:type="dxa"/>
              <w:right w:w="108" w:type="dxa"/>
            </w:tcMar>
          </w:tcPr>
          <w:p w:rsidR="003D1162" w:rsidRPr="00BE5FAF" w:rsidRDefault="003D1162" w:rsidP="00D8518A">
            <w:pPr>
              <w:pStyle w:val="TableText0"/>
              <w:spacing w:before="0" w:after="0"/>
              <w:jc w:val="center"/>
              <w:rPr>
                <w:szCs w:val="20"/>
              </w:rPr>
            </w:pPr>
            <w:r w:rsidRPr="00BE5FAF">
              <w:rPr>
                <w:szCs w:val="20"/>
              </w:rPr>
              <w:t>187 (2.0)</w:t>
            </w:r>
          </w:p>
        </w:tc>
        <w:tc>
          <w:tcPr>
            <w:tcW w:w="1987"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195 (2.1)</w:t>
            </w:r>
          </w:p>
        </w:tc>
        <w:tc>
          <w:tcPr>
            <w:tcW w:w="1788"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0.95 (0.78, 1.17)</w:t>
            </w:r>
          </w:p>
        </w:tc>
      </w:tr>
      <w:tr w:rsidR="003D1162" w:rsidRPr="00BE5FAF" w:rsidTr="006956D5">
        <w:tc>
          <w:tcPr>
            <w:tcW w:w="2970" w:type="dxa"/>
            <w:tcMar>
              <w:top w:w="0" w:type="dxa"/>
              <w:left w:w="108" w:type="dxa"/>
              <w:bottom w:w="0" w:type="dxa"/>
              <w:right w:w="108" w:type="dxa"/>
            </w:tcMar>
          </w:tcPr>
          <w:p w:rsidR="003D1162" w:rsidRPr="00BE5FAF" w:rsidRDefault="003D1162" w:rsidP="00D8518A">
            <w:pPr>
              <w:pStyle w:val="TableText0"/>
              <w:spacing w:before="0" w:after="0"/>
              <w:rPr>
                <w:szCs w:val="20"/>
              </w:rPr>
            </w:pPr>
            <w:r w:rsidRPr="00BE5FAF">
              <w:rPr>
                <w:szCs w:val="20"/>
              </w:rPr>
              <w:t>Heart failure</w:t>
            </w:r>
          </w:p>
        </w:tc>
        <w:tc>
          <w:tcPr>
            <w:tcW w:w="2271"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212 (2.3)</w:t>
            </w:r>
          </w:p>
        </w:tc>
        <w:tc>
          <w:tcPr>
            <w:tcW w:w="1987"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206 (2.3)</w:t>
            </w:r>
          </w:p>
        </w:tc>
        <w:tc>
          <w:tcPr>
            <w:tcW w:w="1788" w:type="dxa"/>
            <w:tcMar>
              <w:top w:w="0" w:type="dxa"/>
              <w:left w:w="108" w:type="dxa"/>
              <w:bottom w:w="0" w:type="dxa"/>
              <w:right w:w="108" w:type="dxa"/>
            </w:tcMar>
          </w:tcPr>
          <w:p w:rsidR="003D1162" w:rsidRPr="00BE5FAF" w:rsidRDefault="003D1162" w:rsidP="00D8518A">
            <w:pPr>
              <w:pStyle w:val="TableText0"/>
              <w:spacing w:before="0" w:after="0"/>
              <w:jc w:val="center"/>
              <w:rPr>
                <w:szCs w:val="20"/>
              </w:rPr>
            </w:pPr>
            <w:r w:rsidRPr="00BE5FAF">
              <w:rPr>
                <w:szCs w:val="20"/>
              </w:rPr>
              <w:t>1.02 (0.84, 1.24)</w:t>
            </w:r>
          </w:p>
        </w:tc>
      </w:tr>
      <w:tr w:rsidR="003D1162" w:rsidRPr="00BE5FAF" w:rsidTr="006956D5">
        <w:tc>
          <w:tcPr>
            <w:tcW w:w="2970" w:type="dxa"/>
            <w:tcMar>
              <w:top w:w="0" w:type="dxa"/>
              <w:left w:w="108" w:type="dxa"/>
              <w:bottom w:w="0" w:type="dxa"/>
              <w:right w:w="108" w:type="dxa"/>
            </w:tcMar>
          </w:tcPr>
          <w:p w:rsidR="003D1162" w:rsidRPr="00BE5FAF" w:rsidRDefault="003D1162" w:rsidP="00D8518A">
            <w:pPr>
              <w:pStyle w:val="TableText0"/>
              <w:spacing w:before="0" w:after="0"/>
              <w:rPr>
                <w:szCs w:val="20"/>
              </w:rPr>
            </w:pPr>
            <w:r w:rsidRPr="00BE5FAF">
              <w:rPr>
                <w:szCs w:val="20"/>
              </w:rPr>
              <w:t>Venous thromboembolism</w:t>
            </w:r>
          </w:p>
        </w:tc>
        <w:tc>
          <w:tcPr>
            <w:tcW w:w="2271"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25 (0.3)</w:t>
            </w:r>
          </w:p>
        </w:tc>
        <w:tc>
          <w:tcPr>
            <w:tcW w:w="1987" w:type="dxa"/>
            <w:tcMar>
              <w:top w:w="0" w:type="dxa"/>
              <w:left w:w="108" w:type="dxa"/>
              <w:bottom w:w="0" w:type="dxa"/>
              <w:right w:w="108" w:type="dxa"/>
            </w:tcMar>
            <w:vAlign w:val="center"/>
          </w:tcPr>
          <w:p w:rsidR="003D1162" w:rsidRPr="00BE5FAF" w:rsidRDefault="003D1162" w:rsidP="00D8518A">
            <w:pPr>
              <w:pStyle w:val="TableText0"/>
              <w:spacing w:before="0" w:after="0"/>
              <w:jc w:val="center"/>
              <w:rPr>
                <w:szCs w:val="20"/>
              </w:rPr>
            </w:pPr>
            <w:r w:rsidRPr="00BE5FAF">
              <w:rPr>
                <w:szCs w:val="20"/>
              </w:rPr>
              <w:t>48 (0.5)</w:t>
            </w:r>
          </w:p>
        </w:tc>
        <w:tc>
          <w:tcPr>
            <w:tcW w:w="1788" w:type="dxa"/>
            <w:tcMar>
              <w:top w:w="0" w:type="dxa"/>
              <w:left w:w="108" w:type="dxa"/>
              <w:bottom w:w="0" w:type="dxa"/>
              <w:right w:w="108" w:type="dxa"/>
            </w:tcMar>
          </w:tcPr>
          <w:p w:rsidR="003D1162" w:rsidRPr="00BE5FAF" w:rsidRDefault="003D1162" w:rsidP="00D8518A">
            <w:pPr>
              <w:pStyle w:val="TableText0"/>
              <w:spacing w:before="0" w:after="0"/>
              <w:jc w:val="center"/>
              <w:rPr>
                <w:b/>
                <w:bCs/>
                <w:szCs w:val="20"/>
              </w:rPr>
            </w:pPr>
            <w:r w:rsidRPr="00BE5FAF">
              <w:rPr>
                <w:b/>
                <w:bCs/>
                <w:szCs w:val="20"/>
              </w:rPr>
              <w:t>0.52 (0.32, 0.84)</w:t>
            </w:r>
          </w:p>
        </w:tc>
      </w:tr>
    </w:tbl>
    <w:p w:rsidR="003D1162" w:rsidRPr="00BE5FAF" w:rsidRDefault="003D1162" w:rsidP="00D8518A">
      <w:pPr>
        <w:pStyle w:val="TableFooter"/>
        <w:widowControl/>
        <w:rPr>
          <w:szCs w:val="18"/>
        </w:rPr>
      </w:pPr>
      <w:r w:rsidRPr="00BE5FAF">
        <w:rPr>
          <w:szCs w:val="18"/>
        </w:rPr>
        <w:t>Source: Table 2.5.10, p.117; Table 2.5-11, p.119; Table 2.5.12, p.119; Table 2.5-13, p.120 of the submission; Table 9-35, p.188; Table 9-36, p.189 COMPASS clinical study report</w:t>
      </w:r>
    </w:p>
    <w:p w:rsidR="003D1162" w:rsidRPr="00BE5FAF" w:rsidRDefault="003D1162" w:rsidP="00D8518A">
      <w:pPr>
        <w:pStyle w:val="TableFooter"/>
        <w:widowControl/>
        <w:rPr>
          <w:rFonts w:eastAsiaTheme="minorHAnsi"/>
          <w:i/>
          <w:szCs w:val="18"/>
        </w:rPr>
      </w:pPr>
      <w:r w:rsidRPr="00BE5FAF">
        <w:rPr>
          <w:i/>
          <w:szCs w:val="18"/>
        </w:rPr>
        <w:t xml:space="preserve">Note that the results for major and minor amputation </w:t>
      </w:r>
      <w:proofErr w:type="gramStart"/>
      <w:r w:rsidRPr="00BE5FAF">
        <w:rPr>
          <w:i/>
          <w:szCs w:val="18"/>
        </w:rPr>
        <w:t>could not be verified</w:t>
      </w:r>
      <w:proofErr w:type="gramEnd"/>
      <w:r w:rsidRPr="00BE5FAF">
        <w:rPr>
          <w:i/>
          <w:szCs w:val="18"/>
        </w:rPr>
        <w:t xml:space="preserve"> during the evaluation</w:t>
      </w:r>
    </w:p>
    <w:p w:rsidR="003D1162" w:rsidRPr="00BE5FAF" w:rsidRDefault="003D1162" w:rsidP="003008B5">
      <w:pPr>
        <w:pStyle w:val="ListParagraph"/>
        <w:widowControl/>
        <w:numPr>
          <w:ilvl w:val="1"/>
          <w:numId w:val="2"/>
        </w:numPr>
        <w:spacing w:before="120" w:after="120"/>
        <w:rPr>
          <w:rFonts w:cs="Calibri"/>
          <w:snapToGrid/>
          <w:szCs w:val="24"/>
          <w:lang w:eastAsia="en-AU"/>
        </w:rPr>
      </w:pPr>
      <w:r w:rsidRPr="00BE5FAF">
        <w:rPr>
          <w:rFonts w:cs="Calibri"/>
          <w:snapToGrid/>
          <w:szCs w:val="24"/>
          <w:lang w:eastAsia="en-AU"/>
        </w:rPr>
        <w:t xml:space="preserve">Treatment with </w:t>
      </w:r>
      <w:proofErr w:type="spellStart"/>
      <w:r w:rsidRPr="00BE5FAF">
        <w:rPr>
          <w:rFonts w:cs="Calibri"/>
          <w:snapToGrid/>
          <w:szCs w:val="24"/>
          <w:lang w:eastAsia="en-AU"/>
        </w:rPr>
        <w:t>rivaroxaban</w:t>
      </w:r>
      <w:proofErr w:type="spellEnd"/>
      <w:r w:rsidRPr="00BE5FAF">
        <w:rPr>
          <w:rFonts w:cs="Calibri"/>
          <w:snapToGrid/>
          <w:szCs w:val="24"/>
          <w:lang w:eastAsia="en-AU"/>
        </w:rPr>
        <w:t xml:space="preserve"> plus aspirin was associated with a nominally significant decrease in acute limb </w:t>
      </w:r>
      <w:proofErr w:type="spellStart"/>
      <w:r w:rsidRPr="00BE5FAF">
        <w:rPr>
          <w:rFonts w:cs="Calibri"/>
          <w:snapToGrid/>
          <w:szCs w:val="24"/>
          <w:lang w:eastAsia="en-AU"/>
        </w:rPr>
        <w:t>ischaemia</w:t>
      </w:r>
      <w:proofErr w:type="spellEnd"/>
      <w:r w:rsidRPr="00BE5FAF">
        <w:rPr>
          <w:rFonts w:cs="Calibri"/>
          <w:snapToGrid/>
          <w:szCs w:val="24"/>
          <w:lang w:eastAsia="en-AU"/>
        </w:rPr>
        <w:t>, amputation for vascular reasons and venous thromboembolism, compared with aspirin alone</w:t>
      </w:r>
      <w:r w:rsidR="00BE5FAF">
        <w:rPr>
          <w:rFonts w:cs="Calibri"/>
          <w:snapToGrid/>
          <w:szCs w:val="24"/>
          <w:lang w:eastAsia="en-AU"/>
        </w:rPr>
        <w:t xml:space="preserve">. </w:t>
      </w:r>
      <w:r w:rsidRPr="00BE5FAF">
        <w:rPr>
          <w:rFonts w:cs="Calibri"/>
          <w:snapToGrid/>
          <w:szCs w:val="24"/>
          <w:lang w:eastAsia="en-AU"/>
        </w:rPr>
        <w:t>Relatively small patient numbers informed the results for each component.</w:t>
      </w:r>
    </w:p>
    <w:p w:rsidR="00EC6609" w:rsidRPr="00BE5FAF" w:rsidRDefault="00EC6609" w:rsidP="003008B5">
      <w:pPr>
        <w:pStyle w:val="ListParagraph"/>
        <w:widowControl/>
        <w:numPr>
          <w:ilvl w:val="1"/>
          <w:numId w:val="2"/>
        </w:numPr>
        <w:spacing w:before="120" w:after="120"/>
        <w:rPr>
          <w:rFonts w:cs="Calibri"/>
          <w:snapToGrid/>
          <w:szCs w:val="24"/>
          <w:lang w:eastAsia="en-AU"/>
        </w:rPr>
      </w:pPr>
      <w:r w:rsidRPr="00BE5FAF">
        <w:rPr>
          <w:rFonts w:cs="Calibri"/>
          <w:snapToGrid/>
          <w:szCs w:val="24"/>
          <w:lang w:eastAsia="en-AU"/>
        </w:rPr>
        <w:t xml:space="preserve">EQ-5D results reported in the COMPASS trial showed that, at each time point, results were nearly identical for each treatment group with most </w:t>
      </w:r>
      <w:r w:rsidR="002B3BDC" w:rsidRPr="00BE5FAF">
        <w:rPr>
          <w:rFonts w:cs="Calibri"/>
          <w:snapToGrid/>
          <w:szCs w:val="24"/>
          <w:lang w:eastAsia="en-AU"/>
        </w:rPr>
        <w:t>patient</w:t>
      </w:r>
      <w:r w:rsidRPr="00BE5FAF">
        <w:rPr>
          <w:rFonts w:cs="Calibri"/>
          <w:snapToGrid/>
          <w:szCs w:val="24"/>
          <w:lang w:eastAsia="en-AU"/>
        </w:rPr>
        <w:t xml:space="preserve">s reporting no problems for each of the dimensions and very few reporting extreme problems. There were no consistent differences in quality of life outcomes between treatments. </w:t>
      </w:r>
    </w:p>
    <w:p w:rsidR="00A3651E" w:rsidRPr="00BE5FAF" w:rsidRDefault="00A3651E" w:rsidP="003008B5">
      <w:pPr>
        <w:pStyle w:val="ListParagraph"/>
        <w:widowControl/>
        <w:numPr>
          <w:ilvl w:val="1"/>
          <w:numId w:val="2"/>
        </w:numPr>
        <w:spacing w:before="120" w:after="120"/>
      </w:pPr>
      <w:r w:rsidRPr="00BE5FAF">
        <w:t xml:space="preserve">The submission presented subgroup analyses for patients with both coronary and peripheral artery disease (CAD and PAD subgroup), CAD alone and PAD alone. The results for the primary efficacy outcome by the CAD and/or PAD subgroups are summarised in Table </w:t>
      </w:r>
      <w:r w:rsidR="00D175C2" w:rsidRPr="00BE5FAF">
        <w:t>6</w:t>
      </w:r>
      <w:r w:rsidRPr="00BE5FAF">
        <w:t>.</w:t>
      </w:r>
    </w:p>
    <w:p w:rsidR="00A3651E" w:rsidRPr="00BE5FAF" w:rsidRDefault="00EC6609" w:rsidP="00D8518A">
      <w:pPr>
        <w:pStyle w:val="TableHeading0"/>
        <w:spacing w:after="0"/>
        <w:jc w:val="both"/>
      </w:pPr>
      <w:r w:rsidRPr="00BE5FAF">
        <w:t>Table 6</w:t>
      </w:r>
      <w:r w:rsidR="00A3651E" w:rsidRPr="00BE5FAF">
        <w:t>: Subgroup analysis of the composite primary efficacy outcome of myocardial infarction, stroke, or cardiovascular death at data cut off (6 February 2017)</w:t>
      </w:r>
    </w:p>
    <w:tbl>
      <w:tblPr>
        <w:tblStyle w:val="TableGrid"/>
        <w:tblW w:w="5000" w:type="pct"/>
        <w:tblLook w:val="04A0" w:firstRow="1" w:lastRow="0" w:firstColumn="1" w:lastColumn="0" w:noHBand="0" w:noVBand="1"/>
        <w:tblCaption w:val="Table 6: Subgroup analysis of the composite primary efficacy outcome of myocardial infarction, stroke, or cardiovascular death at data cut off (6 February 2017)"/>
      </w:tblPr>
      <w:tblGrid>
        <w:gridCol w:w="2217"/>
        <w:gridCol w:w="1874"/>
        <w:gridCol w:w="1876"/>
        <w:gridCol w:w="1876"/>
        <w:gridCol w:w="1174"/>
      </w:tblGrid>
      <w:tr w:rsidR="00A3651E" w:rsidRPr="00BE5FAF" w:rsidTr="00EA4B90">
        <w:trPr>
          <w:tblHeader/>
        </w:trPr>
        <w:tc>
          <w:tcPr>
            <w:tcW w:w="1230" w:type="pct"/>
          </w:tcPr>
          <w:p w:rsidR="00A3651E" w:rsidRPr="00BE5FAF" w:rsidRDefault="00A3651E" w:rsidP="00D8518A">
            <w:pPr>
              <w:pStyle w:val="TableText0"/>
              <w:spacing w:before="0" w:after="0"/>
            </w:pPr>
          </w:p>
        </w:tc>
        <w:tc>
          <w:tcPr>
            <w:tcW w:w="1039" w:type="pct"/>
            <w:vAlign w:val="center"/>
          </w:tcPr>
          <w:p w:rsidR="00A3651E" w:rsidRPr="00BE5FAF" w:rsidRDefault="00A3651E" w:rsidP="00D8518A">
            <w:pPr>
              <w:pStyle w:val="TableText0"/>
              <w:spacing w:before="0" w:after="0"/>
              <w:jc w:val="center"/>
              <w:rPr>
                <w:b/>
              </w:rPr>
            </w:pPr>
            <w:proofErr w:type="spellStart"/>
            <w:r w:rsidRPr="00BE5FAF">
              <w:rPr>
                <w:b/>
              </w:rPr>
              <w:t>Rivaroxaban</w:t>
            </w:r>
            <w:proofErr w:type="spellEnd"/>
            <w:r w:rsidRPr="00BE5FAF">
              <w:rPr>
                <w:b/>
              </w:rPr>
              <w:t xml:space="preserve"> 2.5 mg + aspirin</w:t>
            </w:r>
          </w:p>
          <w:p w:rsidR="00A3651E" w:rsidRPr="00BE5FAF" w:rsidRDefault="00A3651E" w:rsidP="00D8518A">
            <w:pPr>
              <w:pStyle w:val="TableText0"/>
              <w:spacing w:before="0" w:after="0"/>
              <w:jc w:val="center"/>
              <w:rPr>
                <w:b/>
              </w:rPr>
            </w:pPr>
            <w:proofErr w:type="gramStart"/>
            <w:r w:rsidRPr="00BE5FAF">
              <w:rPr>
                <w:b/>
              </w:rPr>
              <w:t>n/N</w:t>
            </w:r>
            <w:proofErr w:type="gramEnd"/>
            <w:r w:rsidRPr="00BE5FAF">
              <w:rPr>
                <w:b/>
              </w:rPr>
              <w:t xml:space="preserve"> (%)</w:t>
            </w:r>
          </w:p>
        </w:tc>
        <w:tc>
          <w:tcPr>
            <w:tcW w:w="1040" w:type="pct"/>
            <w:shd w:val="clear" w:color="auto" w:fill="auto"/>
            <w:vAlign w:val="center"/>
          </w:tcPr>
          <w:p w:rsidR="00A3651E" w:rsidRPr="00BE5FAF" w:rsidRDefault="00A3651E" w:rsidP="00D8518A">
            <w:pPr>
              <w:pStyle w:val="TableText0"/>
              <w:spacing w:before="0" w:after="0"/>
              <w:jc w:val="center"/>
              <w:rPr>
                <w:b/>
              </w:rPr>
            </w:pPr>
            <w:r w:rsidRPr="00BE5FAF">
              <w:rPr>
                <w:b/>
              </w:rPr>
              <w:t>Aspirin</w:t>
            </w:r>
          </w:p>
          <w:p w:rsidR="00A3651E" w:rsidRPr="00BE5FAF" w:rsidRDefault="00A3651E" w:rsidP="00D8518A">
            <w:pPr>
              <w:pStyle w:val="TableText0"/>
              <w:spacing w:before="0" w:after="0"/>
              <w:jc w:val="center"/>
              <w:rPr>
                <w:b/>
              </w:rPr>
            </w:pPr>
            <w:proofErr w:type="gramStart"/>
            <w:r w:rsidRPr="00BE5FAF">
              <w:rPr>
                <w:b/>
              </w:rPr>
              <w:t>n/N</w:t>
            </w:r>
            <w:proofErr w:type="gramEnd"/>
            <w:r w:rsidRPr="00BE5FAF">
              <w:rPr>
                <w:b/>
              </w:rPr>
              <w:t xml:space="preserve"> (%)</w:t>
            </w:r>
          </w:p>
        </w:tc>
        <w:tc>
          <w:tcPr>
            <w:tcW w:w="1040" w:type="pct"/>
            <w:shd w:val="clear" w:color="auto" w:fill="auto"/>
            <w:vAlign w:val="center"/>
          </w:tcPr>
          <w:p w:rsidR="00A3651E" w:rsidRPr="00BE5FAF" w:rsidRDefault="00A3651E" w:rsidP="00D8518A">
            <w:pPr>
              <w:pStyle w:val="TableText0"/>
              <w:spacing w:before="0" w:after="0"/>
              <w:jc w:val="center"/>
              <w:rPr>
                <w:b/>
              </w:rPr>
            </w:pPr>
            <w:r w:rsidRPr="00BE5FAF">
              <w:rPr>
                <w:b/>
              </w:rPr>
              <w:t>Hazard ratio</w:t>
            </w:r>
          </w:p>
          <w:p w:rsidR="00A3651E" w:rsidRPr="00BE5FAF" w:rsidRDefault="00A3651E" w:rsidP="00D8518A">
            <w:pPr>
              <w:pStyle w:val="TableText0"/>
              <w:spacing w:before="0" w:after="0"/>
              <w:jc w:val="center"/>
              <w:rPr>
                <w:b/>
              </w:rPr>
            </w:pPr>
            <w:r w:rsidRPr="00BE5FAF">
              <w:rPr>
                <w:b/>
              </w:rPr>
              <w:t>(95% CI)</w:t>
            </w:r>
          </w:p>
        </w:tc>
        <w:tc>
          <w:tcPr>
            <w:tcW w:w="651" w:type="pct"/>
            <w:vAlign w:val="center"/>
          </w:tcPr>
          <w:p w:rsidR="00A3651E" w:rsidRPr="00BE5FAF" w:rsidRDefault="00A3651E" w:rsidP="00D8518A">
            <w:pPr>
              <w:pStyle w:val="TableText0"/>
              <w:spacing w:before="0" w:after="0"/>
              <w:jc w:val="center"/>
              <w:rPr>
                <w:b/>
              </w:rPr>
            </w:pPr>
            <w:r w:rsidRPr="00BE5FAF">
              <w:rPr>
                <w:b/>
              </w:rPr>
              <w:t>Interaction</w:t>
            </w:r>
          </w:p>
          <w:p w:rsidR="00A3651E" w:rsidRPr="00BE5FAF" w:rsidRDefault="00A3651E" w:rsidP="00D8518A">
            <w:pPr>
              <w:pStyle w:val="TableText0"/>
              <w:spacing w:before="0" w:after="0"/>
              <w:jc w:val="center"/>
              <w:rPr>
                <w:b/>
              </w:rPr>
            </w:pPr>
            <w:r w:rsidRPr="00BE5FAF">
              <w:rPr>
                <w:b/>
              </w:rPr>
              <w:t>p-value*</w:t>
            </w:r>
          </w:p>
        </w:tc>
      </w:tr>
      <w:tr w:rsidR="00A3651E" w:rsidRPr="00BE5FAF" w:rsidTr="006956D5">
        <w:tc>
          <w:tcPr>
            <w:tcW w:w="1230" w:type="pct"/>
          </w:tcPr>
          <w:p w:rsidR="00A3651E" w:rsidRPr="00BE5FAF" w:rsidRDefault="00A3651E" w:rsidP="00D8518A">
            <w:pPr>
              <w:pStyle w:val="TableText0"/>
              <w:spacing w:before="0" w:after="0"/>
            </w:pPr>
            <w:r w:rsidRPr="00BE5FAF">
              <w:t>ITT population</w:t>
            </w:r>
          </w:p>
        </w:tc>
        <w:tc>
          <w:tcPr>
            <w:tcW w:w="1039" w:type="pct"/>
            <w:vAlign w:val="center"/>
          </w:tcPr>
          <w:p w:rsidR="00A3651E" w:rsidRPr="00BE5FAF" w:rsidRDefault="00A3651E" w:rsidP="00D8518A">
            <w:pPr>
              <w:pStyle w:val="TableText0"/>
              <w:spacing w:before="0" w:after="0"/>
              <w:jc w:val="center"/>
            </w:pPr>
            <w:r w:rsidRPr="00BE5FAF">
              <w:t>379/9152 (4.1)</w:t>
            </w:r>
          </w:p>
        </w:tc>
        <w:tc>
          <w:tcPr>
            <w:tcW w:w="1040" w:type="pct"/>
            <w:vAlign w:val="center"/>
          </w:tcPr>
          <w:p w:rsidR="00A3651E" w:rsidRPr="00BE5FAF" w:rsidRDefault="00A3651E" w:rsidP="00D8518A">
            <w:pPr>
              <w:pStyle w:val="TableText0"/>
              <w:spacing w:before="0" w:after="0"/>
              <w:jc w:val="center"/>
            </w:pPr>
            <w:r w:rsidRPr="00BE5FAF">
              <w:t>496/9126 (5.4)</w:t>
            </w:r>
          </w:p>
        </w:tc>
        <w:tc>
          <w:tcPr>
            <w:tcW w:w="1040" w:type="pct"/>
            <w:vAlign w:val="center"/>
          </w:tcPr>
          <w:p w:rsidR="00A3651E" w:rsidRPr="00BE5FAF" w:rsidRDefault="00A3651E" w:rsidP="00D8518A">
            <w:pPr>
              <w:pStyle w:val="TableText0"/>
              <w:spacing w:before="0" w:after="0"/>
              <w:jc w:val="center"/>
              <w:rPr>
                <w:b/>
              </w:rPr>
            </w:pPr>
            <w:r w:rsidRPr="00BE5FAF">
              <w:rPr>
                <w:b/>
              </w:rPr>
              <w:t>0.76 (0.66, 0.86)</w:t>
            </w:r>
          </w:p>
        </w:tc>
        <w:tc>
          <w:tcPr>
            <w:tcW w:w="651" w:type="pct"/>
            <w:vAlign w:val="center"/>
          </w:tcPr>
          <w:p w:rsidR="00A3651E" w:rsidRPr="00BE5FAF" w:rsidRDefault="00A3651E" w:rsidP="00D8518A">
            <w:pPr>
              <w:pStyle w:val="TableText0"/>
              <w:spacing w:before="0" w:after="0"/>
              <w:jc w:val="center"/>
            </w:pPr>
            <w:r w:rsidRPr="00BE5FAF">
              <w:t>-</w:t>
            </w:r>
          </w:p>
        </w:tc>
      </w:tr>
      <w:tr w:rsidR="00A3651E" w:rsidRPr="00BE5FAF" w:rsidTr="006956D5">
        <w:tc>
          <w:tcPr>
            <w:tcW w:w="1230" w:type="pct"/>
          </w:tcPr>
          <w:p w:rsidR="00A3651E" w:rsidRPr="00BE5FAF" w:rsidRDefault="00A3651E" w:rsidP="00D8518A">
            <w:pPr>
              <w:pStyle w:val="TableText0"/>
              <w:spacing w:before="0" w:after="0"/>
            </w:pPr>
            <w:r w:rsidRPr="00BE5FAF">
              <w:t>CAD and PAD subgroup</w:t>
            </w:r>
          </w:p>
        </w:tc>
        <w:tc>
          <w:tcPr>
            <w:tcW w:w="1039" w:type="pct"/>
            <w:vAlign w:val="center"/>
          </w:tcPr>
          <w:p w:rsidR="00A3651E" w:rsidRPr="00BE5FAF" w:rsidRDefault="00A3651E" w:rsidP="00D8518A">
            <w:pPr>
              <w:pStyle w:val="TableText0"/>
              <w:spacing w:before="0" w:after="0"/>
              <w:jc w:val="center"/>
            </w:pPr>
            <w:r w:rsidRPr="00BE5FAF">
              <w:t>94/1656 (5.7)</w:t>
            </w:r>
          </w:p>
        </w:tc>
        <w:tc>
          <w:tcPr>
            <w:tcW w:w="1040" w:type="pct"/>
            <w:vAlign w:val="center"/>
          </w:tcPr>
          <w:p w:rsidR="00A3651E" w:rsidRPr="00BE5FAF" w:rsidRDefault="00A3651E" w:rsidP="00D8518A">
            <w:pPr>
              <w:pStyle w:val="TableText0"/>
              <w:spacing w:before="0" w:after="0"/>
              <w:jc w:val="center"/>
            </w:pPr>
            <w:r w:rsidRPr="00BE5FAF">
              <w:t>138/1641 (8.4)</w:t>
            </w:r>
          </w:p>
        </w:tc>
        <w:tc>
          <w:tcPr>
            <w:tcW w:w="1040" w:type="pct"/>
            <w:vAlign w:val="center"/>
          </w:tcPr>
          <w:p w:rsidR="00A3651E" w:rsidRPr="00BE5FAF" w:rsidRDefault="00A3651E" w:rsidP="00D8518A">
            <w:pPr>
              <w:pStyle w:val="TableText0"/>
              <w:spacing w:before="0" w:after="0"/>
              <w:jc w:val="center"/>
              <w:rPr>
                <w:b/>
              </w:rPr>
            </w:pPr>
            <w:r w:rsidRPr="00BE5FAF">
              <w:rPr>
                <w:b/>
              </w:rPr>
              <w:t>0.67 (0.52, 0.87)</w:t>
            </w:r>
          </w:p>
        </w:tc>
        <w:tc>
          <w:tcPr>
            <w:tcW w:w="651" w:type="pct"/>
            <w:vMerge w:val="restart"/>
            <w:vAlign w:val="center"/>
          </w:tcPr>
          <w:p w:rsidR="00A3651E" w:rsidRPr="00BE5FAF" w:rsidRDefault="00A3651E" w:rsidP="00D8518A">
            <w:pPr>
              <w:pStyle w:val="TableText0"/>
              <w:spacing w:before="0" w:after="0"/>
              <w:jc w:val="center"/>
            </w:pPr>
            <w:r w:rsidRPr="00BE5FAF">
              <w:t>0.5223</w:t>
            </w:r>
          </w:p>
        </w:tc>
      </w:tr>
      <w:tr w:rsidR="00A3651E" w:rsidRPr="00BE5FAF" w:rsidTr="006956D5">
        <w:tc>
          <w:tcPr>
            <w:tcW w:w="1230" w:type="pct"/>
          </w:tcPr>
          <w:p w:rsidR="00A3651E" w:rsidRPr="00BE5FAF" w:rsidRDefault="00A3651E" w:rsidP="00D8518A">
            <w:pPr>
              <w:pStyle w:val="TableText0"/>
              <w:spacing w:before="0" w:after="0"/>
            </w:pPr>
            <w:r w:rsidRPr="00BE5FAF">
              <w:t>CAD only</w:t>
            </w:r>
          </w:p>
        </w:tc>
        <w:tc>
          <w:tcPr>
            <w:tcW w:w="1039" w:type="pct"/>
            <w:vAlign w:val="center"/>
          </w:tcPr>
          <w:p w:rsidR="00A3651E" w:rsidRPr="00BE5FAF" w:rsidRDefault="00A3651E" w:rsidP="00D8518A">
            <w:pPr>
              <w:pStyle w:val="TableText0"/>
              <w:spacing w:before="0" w:after="0"/>
              <w:jc w:val="center"/>
            </w:pPr>
            <w:r w:rsidRPr="00BE5FAF">
              <w:t>253/6657 (3.8)</w:t>
            </w:r>
          </w:p>
        </w:tc>
        <w:tc>
          <w:tcPr>
            <w:tcW w:w="1040" w:type="pct"/>
            <w:vAlign w:val="center"/>
          </w:tcPr>
          <w:p w:rsidR="00A3651E" w:rsidRPr="00BE5FAF" w:rsidRDefault="00A3651E" w:rsidP="00D8518A">
            <w:pPr>
              <w:pStyle w:val="TableText0"/>
              <w:spacing w:before="0" w:after="0"/>
              <w:jc w:val="center"/>
            </w:pPr>
            <w:r w:rsidRPr="00BE5FAF">
              <w:t>322/6620 (4.9)</w:t>
            </w:r>
          </w:p>
        </w:tc>
        <w:tc>
          <w:tcPr>
            <w:tcW w:w="1040" w:type="pct"/>
            <w:vAlign w:val="center"/>
          </w:tcPr>
          <w:p w:rsidR="00A3651E" w:rsidRPr="00BE5FAF" w:rsidRDefault="00A3651E" w:rsidP="00D8518A">
            <w:pPr>
              <w:pStyle w:val="TableText0"/>
              <w:spacing w:before="0" w:after="0"/>
              <w:jc w:val="center"/>
              <w:rPr>
                <w:b/>
              </w:rPr>
            </w:pPr>
            <w:r w:rsidRPr="00BE5FAF">
              <w:rPr>
                <w:b/>
              </w:rPr>
              <w:t>0.79 (0.67, 0.92)</w:t>
            </w:r>
          </w:p>
        </w:tc>
        <w:tc>
          <w:tcPr>
            <w:tcW w:w="651" w:type="pct"/>
            <w:vMerge/>
          </w:tcPr>
          <w:p w:rsidR="00A3651E" w:rsidRPr="00BE5FAF" w:rsidRDefault="00A3651E" w:rsidP="00D8518A">
            <w:pPr>
              <w:pStyle w:val="TableText0"/>
              <w:spacing w:before="0" w:after="0"/>
            </w:pPr>
          </w:p>
        </w:tc>
      </w:tr>
      <w:tr w:rsidR="00A3651E" w:rsidRPr="00BE5FAF" w:rsidTr="006956D5">
        <w:tc>
          <w:tcPr>
            <w:tcW w:w="1230" w:type="pct"/>
          </w:tcPr>
          <w:p w:rsidR="00A3651E" w:rsidRPr="00BE5FAF" w:rsidRDefault="00A3651E" w:rsidP="00D8518A">
            <w:pPr>
              <w:pStyle w:val="TableText0"/>
              <w:spacing w:before="0" w:after="0"/>
            </w:pPr>
            <w:r w:rsidRPr="00BE5FAF">
              <w:t>PAD only</w:t>
            </w:r>
          </w:p>
        </w:tc>
        <w:tc>
          <w:tcPr>
            <w:tcW w:w="1039" w:type="pct"/>
            <w:vAlign w:val="center"/>
          </w:tcPr>
          <w:p w:rsidR="00A3651E" w:rsidRPr="00BE5FAF" w:rsidRDefault="00A3651E" w:rsidP="00D8518A">
            <w:pPr>
              <w:pStyle w:val="TableText0"/>
              <w:spacing w:before="0" w:after="0"/>
              <w:jc w:val="center"/>
            </w:pPr>
            <w:r w:rsidRPr="00BE5FAF">
              <w:t>32/836 (3.8)</w:t>
            </w:r>
          </w:p>
        </w:tc>
        <w:tc>
          <w:tcPr>
            <w:tcW w:w="1040" w:type="pct"/>
            <w:vAlign w:val="center"/>
          </w:tcPr>
          <w:p w:rsidR="00A3651E" w:rsidRPr="00BE5FAF" w:rsidRDefault="00A3651E" w:rsidP="00D8518A">
            <w:pPr>
              <w:pStyle w:val="TableText0"/>
              <w:spacing w:before="0" w:after="0"/>
              <w:jc w:val="center"/>
            </w:pPr>
            <w:r w:rsidRPr="00BE5FAF">
              <w:t>36/863 (4.2)</w:t>
            </w:r>
          </w:p>
        </w:tc>
        <w:tc>
          <w:tcPr>
            <w:tcW w:w="1040" w:type="pct"/>
            <w:vAlign w:val="center"/>
          </w:tcPr>
          <w:p w:rsidR="00A3651E" w:rsidRPr="00BE5FAF" w:rsidRDefault="00A3651E" w:rsidP="00D8518A">
            <w:pPr>
              <w:pStyle w:val="TableText0"/>
              <w:spacing w:before="0" w:after="0"/>
              <w:jc w:val="center"/>
            </w:pPr>
            <w:r w:rsidRPr="00BE5FAF">
              <w:t>0.82 (0.53, 1.29)</w:t>
            </w:r>
          </w:p>
        </w:tc>
        <w:tc>
          <w:tcPr>
            <w:tcW w:w="651" w:type="pct"/>
            <w:vMerge/>
          </w:tcPr>
          <w:p w:rsidR="00A3651E" w:rsidRPr="00BE5FAF" w:rsidRDefault="00A3651E" w:rsidP="00D8518A">
            <w:pPr>
              <w:pStyle w:val="TableText0"/>
              <w:spacing w:before="0" w:after="0"/>
            </w:pPr>
          </w:p>
        </w:tc>
      </w:tr>
    </w:tbl>
    <w:p w:rsidR="00A3651E" w:rsidRPr="00BE5FAF" w:rsidRDefault="00A3651E" w:rsidP="00D8518A">
      <w:pPr>
        <w:pStyle w:val="TableFooter"/>
        <w:widowControl/>
      </w:pPr>
      <w:r w:rsidRPr="00BE5FAF">
        <w:t>Source: Table 2.6-2, p.137 of the submission</w:t>
      </w:r>
    </w:p>
    <w:p w:rsidR="00A3651E" w:rsidRPr="00BE5FAF" w:rsidRDefault="00A3651E" w:rsidP="00D8518A">
      <w:pPr>
        <w:pStyle w:val="TableFooter"/>
        <w:widowControl/>
      </w:pPr>
      <w:r w:rsidRPr="00BE5FAF">
        <w:t>Abbreviations: ITT, intention to treat; CAD, coronary artery disease; PAD, peripheral artery disease</w:t>
      </w:r>
    </w:p>
    <w:p w:rsidR="00A3651E" w:rsidRPr="00BE5FAF" w:rsidRDefault="00A3651E" w:rsidP="00D8518A">
      <w:pPr>
        <w:pStyle w:val="TableFooter"/>
        <w:widowControl/>
      </w:pPr>
      <w:r w:rsidRPr="00BE5FAF">
        <w:t>*P-value (two-sided) for the interaction of treatment group and each baseline subgroup based on the Cox proportional hazards model including the terms treatment group, baseline subgroup, and their interaction</w:t>
      </w:r>
    </w:p>
    <w:p w:rsidR="00A3651E" w:rsidRPr="00BE5FAF" w:rsidRDefault="00A3651E" w:rsidP="0072167D">
      <w:pPr>
        <w:widowControl/>
        <w:spacing w:after="120"/>
      </w:pPr>
    </w:p>
    <w:p w:rsidR="00A3651E" w:rsidRPr="00BE5FAF" w:rsidRDefault="00A3651E" w:rsidP="003008B5">
      <w:pPr>
        <w:pStyle w:val="ListParagraph"/>
        <w:widowControl/>
        <w:numPr>
          <w:ilvl w:val="1"/>
          <w:numId w:val="2"/>
        </w:numPr>
        <w:spacing w:before="120" w:after="120"/>
      </w:pPr>
      <w:r w:rsidRPr="00BE5FAF">
        <w:lastRenderedPageBreak/>
        <w:t xml:space="preserve">There were statistically significantly fewer patients with CAD and PAD in the </w:t>
      </w:r>
      <w:proofErr w:type="spellStart"/>
      <w:r w:rsidRPr="00BE5FAF">
        <w:t>rivaroxaban</w:t>
      </w:r>
      <w:proofErr w:type="spellEnd"/>
      <w:r w:rsidRPr="00BE5FAF">
        <w:t xml:space="preserve"> in combination with aspirin treatment group </w:t>
      </w:r>
      <w:r w:rsidR="005A58B3" w:rsidRPr="00BE5FAF">
        <w:t xml:space="preserve">who </w:t>
      </w:r>
      <w:r w:rsidRPr="00BE5FAF">
        <w:t>experienced myocardial infarction, stroke, or cardiovascular death compared to the aspirin monotherapy treatment group</w:t>
      </w:r>
      <w:r w:rsidR="00A203F6" w:rsidRPr="00BE5FAF">
        <w:t xml:space="preserve"> (</w:t>
      </w:r>
      <w:r w:rsidR="00473DA5" w:rsidRPr="00BE5FAF">
        <w:t xml:space="preserve">5.7% versus </w:t>
      </w:r>
      <w:r w:rsidR="00A203F6" w:rsidRPr="00BE5FAF">
        <w:t>8.4%</w:t>
      </w:r>
      <w:r w:rsidR="00473DA5" w:rsidRPr="00BE5FAF">
        <w:t>, respectively; HR</w:t>
      </w:r>
      <w:r w:rsidR="0052709B" w:rsidRPr="00BE5FAF">
        <w:t>:</w:t>
      </w:r>
      <w:r w:rsidR="00473DA5" w:rsidRPr="00BE5FAF">
        <w:t xml:space="preserve"> 0.67 (95%CI: 0.52, 0.87)</w:t>
      </w:r>
      <w:r w:rsidR="00A203F6" w:rsidRPr="00BE5FAF">
        <w:t>)</w:t>
      </w:r>
      <w:r w:rsidRPr="00BE5FAF">
        <w:t xml:space="preserve">. </w:t>
      </w:r>
    </w:p>
    <w:p w:rsidR="00A3651E" w:rsidRPr="00BE5FAF" w:rsidRDefault="00A3651E" w:rsidP="003008B5">
      <w:pPr>
        <w:pStyle w:val="ListParagraph"/>
        <w:widowControl/>
        <w:numPr>
          <w:ilvl w:val="1"/>
          <w:numId w:val="2"/>
        </w:numPr>
        <w:spacing w:before="120" w:after="120"/>
      </w:pPr>
      <w:r w:rsidRPr="00BE5FAF">
        <w:rPr>
          <w:rFonts w:cs="Calibri"/>
          <w:snapToGrid/>
          <w:szCs w:val="24"/>
          <w:lang w:eastAsia="en-AU"/>
        </w:rPr>
        <w:t xml:space="preserve">Patients in the CAD and PAD subgroup had a higher baseline risk of having an event as a higher proportion of patients in the aspirin arm of the CAD and PAD subgroup (8.4%) had an event compared with the ITT population (5.4%). This resulted in </w:t>
      </w:r>
      <w:r w:rsidR="00B300C4">
        <w:rPr>
          <w:rFonts w:cs="Calibri"/>
          <w:snapToGrid/>
          <w:szCs w:val="24"/>
          <w:lang w:eastAsia="en-AU"/>
        </w:rPr>
        <w:t xml:space="preserve">a </w:t>
      </w:r>
      <w:r w:rsidRPr="00BE5FAF">
        <w:rPr>
          <w:rFonts w:cs="Calibri"/>
          <w:snapToGrid/>
          <w:szCs w:val="24"/>
          <w:lang w:eastAsia="en-AU"/>
        </w:rPr>
        <w:t>larger</w:t>
      </w:r>
      <w:r w:rsidR="00E42B52" w:rsidRPr="00BE5FAF">
        <w:rPr>
          <w:rFonts w:cs="Calibri"/>
          <w:snapToGrid/>
          <w:szCs w:val="24"/>
          <w:lang w:eastAsia="en-AU"/>
        </w:rPr>
        <w:t xml:space="preserve"> </w:t>
      </w:r>
      <w:r w:rsidRPr="00BE5FAF">
        <w:rPr>
          <w:rFonts w:cs="Calibri"/>
          <w:snapToGrid/>
          <w:szCs w:val="24"/>
          <w:lang w:eastAsia="en-AU"/>
        </w:rPr>
        <w:t>absolute reduction in the incidence of cardiovascular events</w:t>
      </w:r>
      <w:r w:rsidR="00D175C2" w:rsidRPr="00BE5FAF">
        <w:rPr>
          <w:rFonts w:cs="Calibri"/>
          <w:snapToGrid/>
          <w:szCs w:val="24"/>
          <w:lang w:eastAsia="en-AU"/>
        </w:rPr>
        <w:t xml:space="preserve"> in the CAD and PAD subgroup (2.7%</w:t>
      </w:r>
      <w:r w:rsidR="00176A81" w:rsidRPr="00BE5FAF">
        <w:rPr>
          <w:rFonts w:cs="Calibri"/>
          <w:snapToGrid/>
          <w:szCs w:val="24"/>
          <w:lang w:eastAsia="en-AU"/>
        </w:rPr>
        <w:t xml:space="preserve"> ARR</w:t>
      </w:r>
      <w:r w:rsidR="00D175C2" w:rsidRPr="00BE5FAF">
        <w:rPr>
          <w:rFonts w:cs="Calibri"/>
          <w:snapToGrid/>
          <w:szCs w:val="24"/>
          <w:lang w:eastAsia="en-AU"/>
        </w:rPr>
        <w:t xml:space="preserve">) compared to the </w:t>
      </w:r>
      <w:r w:rsidRPr="00BE5FAF">
        <w:rPr>
          <w:rFonts w:cs="Calibri"/>
          <w:snapToGrid/>
          <w:szCs w:val="24"/>
          <w:lang w:eastAsia="en-AU"/>
        </w:rPr>
        <w:t xml:space="preserve">ITT population </w:t>
      </w:r>
      <w:r w:rsidR="00D175C2" w:rsidRPr="00BE5FAF">
        <w:rPr>
          <w:rFonts w:cs="Calibri"/>
          <w:snapToGrid/>
          <w:szCs w:val="24"/>
          <w:lang w:eastAsia="en-AU"/>
        </w:rPr>
        <w:t>(</w:t>
      </w:r>
      <w:r w:rsidRPr="00BE5FAF">
        <w:rPr>
          <w:rFonts w:cs="Calibri"/>
          <w:snapToGrid/>
          <w:szCs w:val="24"/>
          <w:lang w:eastAsia="en-AU"/>
        </w:rPr>
        <w:t>1.3%</w:t>
      </w:r>
      <w:r w:rsidR="00176A81" w:rsidRPr="00BE5FAF">
        <w:rPr>
          <w:rFonts w:cs="Calibri"/>
          <w:snapToGrid/>
          <w:szCs w:val="24"/>
          <w:lang w:eastAsia="en-AU"/>
        </w:rPr>
        <w:t xml:space="preserve"> ARR</w:t>
      </w:r>
      <w:r w:rsidR="00D175C2" w:rsidRPr="00BE5FAF">
        <w:rPr>
          <w:rFonts w:cs="Calibri"/>
          <w:snapToGrid/>
          <w:szCs w:val="24"/>
          <w:lang w:eastAsia="en-AU"/>
        </w:rPr>
        <w:t>)</w:t>
      </w:r>
      <w:r w:rsidRPr="00BE5FAF">
        <w:rPr>
          <w:rFonts w:cs="Calibri"/>
          <w:snapToGrid/>
          <w:szCs w:val="24"/>
          <w:lang w:eastAsia="en-AU"/>
        </w:rPr>
        <w:t xml:space="preserve">. </w:t>
      </w:r>
    </w:p>
    <w:p w:rsidR="00A3651E" w:rsidRPr="00BE5FAF" w:rsidRDefault="00A3651E" w:rsidP="003008B5">
      <w:pPr>
        <w:pStyle w:val="ListParagraph"/>
        <w:widowControl/>
        <w:numPr>
          <w:ilvl w:val="1"/>
          <w:numId w:val="2"/>
        </w:numPr>
        <w:spacing w:before="120" w:after="120"/>
      </w:pPr>
      <w:r w:rsidRPr="00BE5FAF">
        <w:rPr>
          <w:rFonts w:cs="Calibri"/>
          <w:snapToGrid/>
          <w:szCs w:val="24"/>
          <w:lang w:eastAsia="en-AU"/>
        </w:rPr>
        <w:t xml:space="preserve">Patients treated with </w:t>
      </w:r>
      <w:proofErr w:type="spellStart"/>
      <w:r w:rsidRPr="00BE5FAF">
        <w:rPr>
          <w:rFonts w:cs="Calibri"/>
          <w:snapToGrid/>
          <w:szCs w:val="24"/>
          <w:lang w:eastAsia="en-AU"/>
        </w:rPr>
        <w:t>rivaroxaban</w:t>
      </w:r>
      <w:proofErr w:type="spellEnd"/>
      <w:r w:rsidRPr="00BE5FAF">
        <w:rPr>
          <w:rFonts w:cs="Calibri"/>
          <w:snapToGrid/>
          <w:szCs w:val="24"/>
          <w:lang w:eastAsia="en-AU"/>
        </w:rPr>
        <w:t xml:space="preserve"> in combination with aspirin had a lower risk of experiencing myocardial infarction, stroke, or cardiovascular death compared with patients treated with aspirin alone in the CAD only subgroup and the PAD only subgroup, although statistical significance was only reached in the CAD only subgroup. An interaction test for homogeneity of treatment effect was not statistically significant, suggesting </w:t>
      </w:r>
      <w:r w:rsidR="00E42B52" w:rsidRPr="00BE5FAF">
        <w:rPr>
          <w:rFonts w:cs="Calibri"/>
          <w:snapToGrid/>
          <w:szCs w:val="24"/>
          <w:lang w:eastAsia="en-AU"/>
        </w:rPr>
        <w:t>similar efficacy</w:t>
      </w:r>
      <w:r w:rsidRPr="00BE5FAF">
        <w:rPr>
          <w:rFonts w:cs="Calibri"/>
          <w:snapToGrid/>
          <w:szCs w:val="24"/>
          <w:lang w:eastAsia="en-AU"/>
        </w:rPr>
        <w:t xml:space="preserve"> across subgroups. </w:t>
      </w:r>
    </w:p>
    <w:p w:rsidR="00A3651E" w:rsidRPr="00BE5FAF" w:rsidRDefault="00634A04" w:rsidP="003008B5">
      <w:pPr>
        <w:pStyle w:val="ListParagraph"/>
        <w:widowControl/>
        <w:numPr>
          <w:ilvl w:val="1"/>
          <w:numId w:val="2"/>
        </w:numPr>
        <w:spacing w:before="120" w:after="120"/>
      </w:pPr>
      <w:r w:rsidRPr="00BE5FAF">
        <w:rPr>
          <w:rFonts w:cs="Calibri"/>
          <w:snapToGrid/>
          <w:szCs w:val="24"/>
          <w:lang w:eastAsia="en-AU"/>
        </w:rPr>
        <w:t>Relative treatment effects were generally consistent across subgroups defined by baseline patient and disease history characteristics, with the exception of coronary artery bypass graft (CABG) surgery, which may be a treatment effect modifier.</w:t>
      </w:r>
      <w:r w:rsidR="00A3651E" w:rsidRPr="00BE5FAF">
        <w:rPr>
          <w:rFonts w:cs="Calibri"/>
          <w:snapToGrid/>
          <w:szCs w:val="24"/>
          <w:lang w:eastAsia="en-AU"/>
        </w:rPr>
        <w:t xml:space="preserve"> </w:t>
      </w:r>
      <w:r w:rsidRPr="00BE5FAF">
        <w:rPr>
          <w:rFonts w:cs="Calibri"/>
          <w:snapToGrid/>
          <w:szCs w:val="24"/>
          <w:lang w:eastAsia="en-AU"/>
        </w:rPr>
        <w:t>Baseline risk varied substantially between patient subgroup populations (e.g. 3.9% of aspirin patients with no history of hypertension experienced an event; 11.3% of aspirin patients with a history of stroke experienced an event).</w:t>
      </w:r>
    </w:p>
    <w:p w:rsidR="00A3651E" w:rsidRPr="00BE5FAF" w:rsidRDefault="00A3651E" w:rsidP="003008B5">
      <w:pPr>
        <w:pStyle w:val="ListParagraph"/>
        <w:widowControl/>
        <w:numPr>
          <w:ilvl w:val="1"/>
          <w:numId w:val="2"/>
        </w:numPr>
        <w:spacing w:before="120" w:after="120"/>
      </w:pPr>
      <w:r w:rsidRPr="00BE5FAF">
        <w:t xml:space="preserve">It is likely that there will be differences in the demographics and disease characteristics between the COMPASS population and Australian patients </w:t>
      </w:r>
      <w:r w:rsidR="00E42B52" w:rsidRPr="00BE5FAF">
        <w:t>defined by</w:t>
      </w:r>
      <w:r w:rsidRPr="00BE5FAF">
        <w:t xml:space="preserve"> the proposed PBS restriction. This may have two possible implications: 1) possible differences </w:t>
      </w:r>
      <w:r w:rsidR="00740D6E" w:rsidRPr="00BE5FAF">
        <w:t xml:space="preserve">across the populations </w:t>
      </w:r>
      <w:r w:rsidRPr="00BE5FAF">
        <w:t xml:space="preserve">in the underlying risk of having an event and 2) if these characteristics are treatment effect modifiers, then the treatment effect of </w:t>
      </w:r>
      <w:proofErr w:type="spellStart"/>
      <w:r w:rsidRPr="00BE5FAF">
        <w:t>rivaroxaban</w:t>
      </w:r>
      <w:proofErr w:type="spellEnd"/>
      <w:r w:rsidRPr="00BE5FAF">
        <w:t xml:space="preserve"> in the Australian population may be different to that observed in COMPASS. Based on the comparison of patient demographics and disease characteristics presented in </w:t>
      </w:r>
      <w:r w:rsidR="00D2115B" w:rsidRPr="00BE5FAF">
        <w:t>the submission,</w:t>
      </w:r>
      <w:r w:rsidRPr="00BE5FAF">
        <w:t xml:space="preserve"> the underlying risk of having an event may be different between the Australian population and COMPASS as there are differences in the proportions of patients with known risk modifiers such as </w:t>
      </w:r>
      <w:r w:rsidR="00740D6E" w:rsidRPr="00BE5FAF">
        <w:t xml:space="preserve">prior </w:t>
      </w:r>
      <w:r w:rsidRPr="00BE5FAF">
        <w:t>myocardial infarction,</w:t>
      </w:r>
      <w:r w:rsidR="00740D6E" w:rsidRPr="00BE5FAF">
        <w:t xml:space="preserve"> prior</w:t>
      </w:r>
      <w:r w:rsidRPr="00BE5FAF">
        <w:t xml:space="preserve"> coronary revascularisation, diabetes and smoking.</w:t>
      </w:r>
      <w:r w:rsidR="00924870" w:rsidRPr="00BE5FAF">
        <w:t xml:space="preserve"> The </w:t>
      </w:r>
      <w:r w:rsidR="00852399">
        <w:t>PSCR</w:t>
      </w:r>
      <w:r w:rsidR="00924870" w:rsidRPr="00BE5FAF">
        <w:t xml:space="preserve"> maintained </w:t>
      </w:r>
      <w:r w:rsidR="00473DA5" w:rsidRPr="00BE5FAF">
        <w:t xml:space="preserve">that </w:t>
      </w:r>
      <w:r w:rsidR="00924870" w:rsidRPr="00BE5FAF">
        <w:t xml:space="preserve">the Australian patient population is likely to have a higher baseline risk and </w:t>
      </w:r>
      <w:r w:rsidR="000B7AB4" w:rsidRPr="00BE5FAF">
        <w:t xml:space="preserve">thus </w:t>
      </w:r>
      <w:r w:rsidR="00924870" w:rsidRPr="00BE5FAF">
        <w:t xml:space="preserve">a higher absolute number of events avoided </w:t>
      </w:r>
      <w:proofErr w:type="gramStart"/>
      <w:r w:rsidR="00924870" w:rsidRPr="00BE5FAF">
        <w:t>should be anticipated</w:t>
      </w:r>
      <w:proofErr w:type="gramEnd"/>
      <w:r w:rsidR="00924870" w:rsidRPr="00BE5FAF">
        <w:t xml:space="preserve"> in Australian clinical practice.</w:t>
      </w:r>
      <w:r w:rsidR="00A87FA2" w:rsidRPr="00BE5FAF">
        <w:t xml:space="preserve"> This </w:t>
      </w:r>
      <w:proofErr w:type="gramStart"/>
      <w:r w:rsidR="00A87FA2" w:rsidRPr="00BE5FAF">
        <w:t>was based</w:t>
      </w:r>
      <w:proofErr w:type="gramEnd"/>
      <w:r w:rsidR="00A87FA2" w:rsidRPr="00BE5FAF">
        <w:t xml:space="preserve"> on a comparison with an analysis of the Western Australian linked hospital data set and the Australian subgroup of the REACH registry. Due to significant differences between the three sources used to compare populations (i.e. clinical trial population, hospital population, and a registry collated via general practice), it remains difficult to assess how comparable the proposed Australian PBS population will be to the COMPASS trial population.</w:t>
      </w:r>
      <w:r w:rsidR="00A87FA2" w:rsidRPr="00BE5FAF">
        <w:rPr>
          <w:i/>
        </w:rPr>
        <w:t xml:space="preserve"> </w:t>
      </w:r>
    </w:p>
    <w:p w:rsidR="00A3651E" w:rsidRPr="00BE5FAF" w:rsidRDefault="00A3651E" w:rsidP="003008B5">
      <w:pPr>
        <w:pStyle w:val="ListParagraph"/>
        <w:widowControl/>
        <w:numPr>
          <w:ilvl w:val="1"/>
          <w:numId w:val="2"/>
        </w:numPr>
        <w:spacing w:before="120" w:after="120"/>
      </w:pPr>
      <w:r w:rsidRPr="00BE5FAF">
        <w:t>The COMPASS trial excluded patients who were a</w:t>
      </w:r>
      <w:r w:rsidR="002E3DD0" w:rsidRPr="00BE5FAF">
        <w:t>t</w:t>
      </w:r>
      <w:r w:rsidRPr="00BE5FAF">
        <w:t xml:space="preserve"> high </w:t>
      </w:r>
      <w:r w:rsidR="002E3DD0" w:rsidRPr="00BE5FAF">
        <w:t xml:space="preserve">risk of </w:t>
      </w:r>
      <w:r w:rsidRPr="00BE5FAF">
        <w:t xml:space="preserve">bleeding; those who had experienced a recent stroke or previous haemorrhagic or lacunar stroke; severe </w:t>
      </w:r>
      <w:r w:rsidRPr="00BE5FAF">
        <w:lastRenderedPageBreak/>
        <w:t xml:space="preserve">heart failure; and advanced stable kidney disease (estimated GFR &lt;15 mL per minute). Further, the mean age of patients was 68, although the majority of deaths due to cardiovascular disease tend to occur in older patients. In clinical practice, it will be essential to carefully screen for factors that increase bleeding risk, such as prior bleeding, older age, kidney disease, anaemia, and low body weight when considering the addition of </w:t>
      </w:r>
      <w:proofErr w:type="spellStart"/>
      <w:r w:rsidRPr="00BE5FAF">
        <w:t>rivaroxaban</w:t>
      </w:r>
      <w:proofErr w:type="spellEnd"/>
      <w:r w:rsidRPr="00BE5FAF">
        <w:t>.</w:t>
      </w:r>
      <w:r w:rsidR="00A203F6" w:rsidRPr="00BE5FAF">
        <w:t xml:space="preserve"> The PSCR </w:t>
      </w:r>
      <w:r w:rsidR="00473DA5" w:rsidRPr="00BE5FAF">
        <w:t xml:space="preserve">proposed that the restriction should include clinical criteria to prevent use in patients with particular </w:t>
      </w:r>
      <w:r w:rsidR="00A203F6" w:rsidRPr="00BE5FAF">
        <w:t>risk factors</w:t>
      </w:r>
      <w:r w:rsidR="00176A81" w:rsidRPr="00BE5FAF">
        <w:t xml:space="preserve"> for bleeding</w:t>
      </w:r>
      <w:r w:rsidR="00A203F6" w:rsidRPr="00BE5FAF">
        <w:t xml:space="preserve">, consistent with the </w:t>
      </w:r>
      <w:r w:rsidR="00473DA5" w:rsidRPr="00BE5FAF">
        <w:t xml:space="preserve">exclusion criteria of the </w:t>
      </w:r>
      <w:r w:rsidR="00A203F6" w:rsidRPr="00BE5FAF">
        <w:t>COMPASS trial.</w:t>
      </w:r>
    </w:p>
    <w:p w:rsidR="00A3651E" w:rsidRPr="00BE5FAF" w:rsidRDefault="00A3651E" w:rsidP="003008B5">
      <w:pPr>
        <w:pStyle w:val="Heading2"/>
        <w:widowControl/>
        <w:spacing w:before="120" w:after="120"/>
      </w:pPr>
      <w:bookmarkStart w:id="8" w:name="_Toc535943614"/>
      <w:r w:rsidRPr="00BE5FAF">
        <w:t>Comparative harms</w:t>
      </w:r>
      <w:bookmarkEnd w:id="8"/>
    </w:p>
    <w:p w:rsidR="00A3651E" w:rsidRPr="00BE5FAF" w:rsidRDefault="008A04A5" w:rsidP="003008B5">
      <w:pPr>
        <w:pStyle w:val="ListParagraph"/>
        <w:widowControl/>
        <w:numPr>
          <w:ilvl w:val="1"/>
          <w:numId w:val="2"/>
        </w:numPr>
        <w:spacing w:before="120" w:after="120"/>
      </w:pPr>
      <w:r w:rsidRPr="00BE5FAF">
        <w:rPr>
          <w:rFonts w:cs="Calibri"/>
          <w:snapToGrid/>
          <w:szCs w:val="24"/>
          <w:lang w:eastAsia="en-AU"/>
        </w:rPr>
        <w:t>In the COMPASS trial, t</w:t>
      </w:r>
      <w:r w:rsidR="00A3651E" w:rsidRPr="00BE5FAF">
        <w:rPr>
          <w:rFonts w:cs="Calibri"/>
          <w:snapToGrid/>
          <w:szCs w:val="24"/>
          <w:lang w:eastAsia="en-AU"/>
        </w:rPr>
        <w:t xml:space="preserve">here were more study medication-related treatment-emergent adverse events, serious adverse events, and permanent discontinuation of anti-thrombotic study medication due to adverse events associated with </w:t>
      </w:r>
      <w:proofErr w:type="spellStart"/>
      <w:r w:rsidR="00A3651E" w:rsidRPr="00BE5FAF">
        <w:rPr>
          <w:rFonts w:cs="Calibri"/>
          <w:snapToGrid/>
          <w:szCs w:val="24"/>
          <w:lang w:eastAsia="en-AU"/>
        </w:rPr>
        <w:t>rivaroxaban</w:t>
      </w:r>
      <w:proofErr w:type="spellEnd"/>
      <w:r w:rsidR="00A3651E" w:rsidRPr="00BE5FAF">
        <w:rPr>
          <w:rFonts w:cs="Calibri"/>
          <w:snapToGrid/>
          <w:szCs w:val="24"/>
          <w:lang w:eastAsia="en-AU"/>
        </w:rPr>
        <w:t xml:space="preserve"> in combination with aspirin compared with aspirin alone. </w:t>
      </w:r>
    </w:p>
    <w:p w:rsidR="00A3651E" w:rsidRPr="00BE5FAF" w:rsidRDefault="00A3651E" w:rsidP="003008B5">
      <w:pPr>
        <w:pStyle w:val="ListParagraph"/>
        <w:widowControl/>
        <w:numPr>
          <w:ilvl w:val="1"/>
          <w:numId w:val="2"/>
        </w:numPr>
        <w:spacing w:before="120" w:after="120"/>
      </w:pPr>
      <w:r w:rsidRPr="00BE5FAF">
        <w:t>A summary of the results for the primary safety outcome, treatment-emergent modified International Society on Thrombosis and Haemostasis (ISTH) major bleeding events for the saf</w:t>
      </w:r>
      <w:r w:rsidR="008A04A5" w:rsidRPr="00BE5FAF">
        <w:t>ety set is summarised in Table 7</w:t>
      </w:r>
      <w:r w:rsidRPr="00BE5FAF">
        <w:t>.</w:t>
      </w:r>
      <w:r w:rsidR="0073160E" w:rsidRPr="00BE5FAF">
        <w:t xml:space="preserve"> The ESC noted that the ISTH criteria distinguish bleeds as ‘major’ when they result in death, are life threatening, cause chronic sequelae or consume major healthcare resources. The modification to the standard ISTH definition (which </w:t>
      </w:r>
      <w:r w:rsidR="00F52D7E">
        <w:t xml:space="preserve">the submission stated </w:t>
      </w:r>
      <w:proofErr w:type="gramStart"/>
      <w:r w:rsidR="0073160E" w:rsidRPr="00BE5FAF">
        <w:t>was requested</w:t>
      </w:r>
      <w:proofErr w:type="gramEnd"/>
      <w:r w:rsidR="0073160E" w:rsidRPr="00BE5FAF">
        <w:t xml:space="preserve"> by the FDA) </w:t>
      </w:r>
      <w:r w:rsidR="00984A1C" w:rsidRPr="00BE5FAF">
        <w:t xml:space="preserve">was to also </w:t>
      </w:r>
      <w:r w:rsidR="0073160E" w:rsidRPr="00BE5FAF">
        <w:t xml:space="preserve">include every </w:t>
      </w:r>
      <w:r w:rsidR="00BE5FAF" w:rsidRPr="00BE5FAF">
        <w:t>bleed that</w:t>
      </w:r>
      <w:r w:rsidR="00984A1C" w:rsidRPr="00BE5FAF">
        <w:t xml:space="preserve"> resulted in a </w:t>
      </w:r>
      <w:r w:rsidR="0073160E" w:rsidRPr="00BE5FAF">
        <w:t>present</w:t>
      </w:r>
      <w:r w:rsidR="00984A1C" w:rsidRPr="00BE5FAF">
        <w:t>ation to</w:t>
      </w:r>
      <w:r w:rsidR="0073160E" w:rsidRPr="00BE5FAF">
        <w:t xml:space="preserve"> an acute care facility.</w:t>
      </w:r>
    </w:p>
    <w:p w:rsidR="00A3651E" w:rsidRPr="00BE5FAF" w:rsidRDefault="008A04A5" w:rsidP="00D8518A">
      <w:pPr>
        <w:pStyle w:val="TableHeading0"/>
        <w:spacing w:after="0"/>
      </w:pPr>
      <w:r w:rsidRPr="00BE5FAF">
        <w:t>Table 7</w:t>
      </w:r>
      <w:r w:rsidR="00A3651E" w:rsidRPr="00BE5FAF">
        <w:t>: Summary of treatment-emergent modified ISTH major bleeding events (safety set)</w:t>
      </w:r>
    </w:p>
    <w:tbl>
      <w:tblPr>
        <w:tblStyle w:val="TableGrid"/>
        <w:tblW w:w="0" w:type="auto"/>
        <w:tblLayout w:type="fixed"/>
        <w:tblLook w:val="04A0" w:firstRow="1" w:lastRow="0" w:firstColumn="1" w:lastColumn="0" w:noHBand="0" w:noVBand="1"/>
        <w:tblCaption w:val="Table 7: Summary of treatment-emergent modified ISTH major bleeding events (safety set)"/>
      </w:tblPr>
      <w:tblGrid>
        <w:gridCol w:w="3681"/>
        <w:gridCol w:w="2268"/>
        <w:gridCol w:w="1559"/>
        <w:gridCol w:w="1509"/>
      </w:tblGrid>
      <w:tr w:rsidR="00A3651E" w:rsidRPr="00BE5FAF" w:rsidTr="0073160E">
        <w:trPr>
          <w:tblHeader/>
        </w:trPr>
        <w:tc>
          <w:tcPr>
            <w:tcW w:w="3681" w:type="dxa"/>
          </w:tcPr>
          <w:p w:rsidR="00A3651E" w:rsidRPr="00BE5FAF" w:rsidRDefault="00A3651E" w:rsidP="00D8518A">
            <w:pPr>
              <w:pStyle w:val="TableText0"/>
              <w:spacing w:before="0" w:after="0"/>
              <w:jc w:val="center"/>
              <w:rPr>
                <w:b/>
              </w:rPr>
            </w:pPr>
          </w:p>
        </w:tc>
        <w:tc>
          <w:tcPr>
            <w:tcW w:w="2268" w:type="dxa"/>
            <w:vAlign w:val="center"/>
          </w:tcPr>
          <w:p w:rsidR="00A3651E" w:rsidRPr="00BE5FAF" w:rsidRDefault="00A3651E" w:rsidP="00D8518A">
            <w:pPr>
              <w:pStyle w:val="TableText0"/>
              <w:jc w:val="center"/>
              <w:rPr>
                <w:b/>
              </w:rPr>
            </w:pPr>
            <w:proofErr w:type="spellStart"/>
            <w:r w:rsidRPr="00BE5FAF">
              <w:rPr>
                <w:b/>
              </w:rPr>
              <w:t>Rivaroxaban</w:t>
            </w:r>
            <w:proofErr w:type="spellEnd"/>
            <w:r w:rsidRPr="00BE5FAF">
              <w:rPr>
                <w:b/>
              </w:rPr>
              <w:t xml:space="preserve"> 2.5 mg + aspirin 100 mg, n (%)</w:t>
            </w:r>
          </w:p>
          <w:p w:rsidR="00A3651E" w:rsidRPr="00BE5FAF" w:rsidRDefault="00A3651E" w:rsidP="00D8518A">
            <w:pPr>
              <w:pStyle w:val="TableText0"/>
              <w:jc w:val="center"/>
              <w:rPr>
                <w:b/>
                <w:color w:val="3366FF"/>
              </w:rPr>
            </w:pPr>
            <w:r w:rsidRPr="00BE5FAF">
              <w:rPr>
                <w:b/>
              </w:rPr>
              <w:t>N=9134</w:t>
            </w:r>
          </w:p>
        </w:tc>
        <w:tc>
          <w:tcPr>
            <w:tcW w:w="1559" w:type="dxa"/>
            <w:vAlign w:val="center"/>
          </w:tcPr>
          <w:p w:rsidR="008A04A5" w:rsidRPr="00BE5FAF" w:rsidRDefault="00A3651E" w:rsidP="00D8518A">
            <w:pPr>
              <w:pStyle w:val="TableText0"/>
              <w:jc w:val="center"/>
              <w:rPr>
                <w:b/>
              </w:rPr>
            </w:pPr>
            <w:r w:rsidRPr="00BE5FAF">
              <w:rPr>
                <w:b/>
              </w:rPr>
              <w:t>Aspirin 100 mg,</w:t>
            </w:r>
          </w:p>
          <w:p w:rsidR="00A3651E" w:rsidRPr="00BE5FAF" w:rsidRDefault="00A3651E" w:rsidP="00D8518A">
            <w:pPr>
              <w:pStyle w:val="TableText0"/>
              <w:jc w:val="center"/>
              <w:rPr>
                <w:b/>
              </w:rPr>
            </w:pPr>
            <w:proofErr w:type="gramStart"/>
            <w:r w:rsidRPr="00BE5FAF">
              <w:rPr>
                <w:b/>
              </w:rPr>
              <w:t>n</w:t>
            </w:r>
            <w:proofErr w:type="gramEnd"/>
            <w:r w:rsidRPr="00BE5FAF">
              <w:rPr>
                <w:b/>
              </w:rPr>
              <w:t xml:space="preserve"> (%)</w:t>
            </w:r>
          </w:p>
          <w:p w:rsidR="00A3651E" w:rsidRPr="00BE5FAF" w:rsidRDefault="00A3651E" w:rsidP="00D8518A">
            <w:pPr>
              <w:pStyle w:val="TableText0"/>
              <w:jc w:val="center"/>
              <w:rPr>
                <w:b/>
                <w:color w:val="3366FF"/>
              </w:rPr>
            </w:pPr>
            <w:r w:rsidRPr="00BE5FAF">
              <w:rPr>
                <w:b/>
              </w:rPr>
              <w:t>N=9107</w:t>
            </w:r>
          </w:p>
        </w:tc>
        <w:tc>
          <w:tcPr>
            <w:tcW w:w="1509" w:type="dxa"/>
            <w:vAlign w:val="center"/>
          </w:tcPr>
          <w:p w:rsidR="008A04A5" w:rsidRPr="00BE5FAF" w:rsidRDefault="008A04A5" w:rsidP="00D8518A">
            <w:pPr>
              <w:pStyle w:val="TableText0"/>
              <w:jc w:val="center"/>
              <w:rPr>
                <w:b/>
              </w:rPr>
            </w:pPr>
            <w:r w:rsidRPr="00BE5FAF">
              <w:rPr>
                <w:b/>
              </w:rPr>
              <w:t>Hazard ratio</w:t>
            </w:r>
          </w:p>
          <w:p w:rsidR="00A3651E" w:rsidRPr="00BE5FAF" w:rsidRDefault="00A3651E" w:rsidP="00D8518A">
            <w:pPr>
              <w:pStyle w:val="TableText0"/>
              <w:jc w:val="center"/>
              <w:rPr>
                <w:b/>
                <w:color w:val="3366FF"/>
              </w:rPr>
            </w:pPr>
            <w:r w:rsidRPr="00BE5FAF">
              <w:rPr>
                <w:b/>
              </w:rPr>
              <w:t>(95% CI)</w:t>
            </w:r>
          </w:p>
        </w:tc>
      </w:tr>
      <w:tr w:rsidR="00A3651E" w:rsidRPr="00BE5FAF" w:rsidTr="0073160E">
        <w:tc>
          <w:tcPr>
            <w:tcW w:w="3681" w:type="dxa"/>
          </w:tcPr>
          <w:p w:rsidR="00A3651E" w:rsidRPr="00BE5FAF" w:rsidRDefault="00A3651E" w:rsidP="00D8518A">
            <w:pPr>
              <w:pStyle w:val="TableText0"/>
              <w:spacing w:before="0" w:after="0"/>
            </w:pPr>
            <w:r w:rsidRPr="00BE5FAF">
              <w:t>Modified ISTH major bleeding</w:t>
            </w:r>
          </w:p>
        </w:tc>
        <w:tc>
          <w:tcPr>
            <w:tcW w:w="2268" w:type="dxa"/>
            <w:vAlign w:val="center"/>
          </w:tcPr>
          <w:p w:rsidR="00A3651E" w:rsidRPr="00BE5FAF" w:rsidRDefault="00A3651E" w:rsidP="00D8518A">
            <w:pPr>
              <w:pStyle w:val="TableText0"/>
              <w:spacing w:before="0" w:after="0"/>
              <w:jc w:val="center"/>
              <w:rPr>
                <w:szCs w:val="20"/>
              </w:rPr>
            </w:pPr>
            <w:r w:rsidRPr="00BE5FAF">
              <w:rPr>
                <w:szCs w:val="20"/>
                <w:lang w:eastAsia="en-AU"/>
              </w:rPr>
              <w:t>263 (2.9)</w:t>
            </w:r>
          </w:p>
        </w:tc>
        <w:tc>
          <w:tcPr>
            <w:tcW w:w="1559" w:type="dxa"/>
            <w:vAlign w:val="center"/>
          </w:tcPr>
          <w:p w:rsidR="00A3651E" w:rsidRPr="00BE5FAF" w:rsidRDefault="00A3651E" w:rsidP="00D8518A">
            <w:pPr>
              <w:pStyle w:val="TableText0"/>
              <w:spacing w:before="0" w:after="0"/>
              <w:jc w:val="center"/>
              <w:rPr>
                <w:szCs w:val="20"/>
              </w:rPr>
            </w:pPr>
            <w:r w:rsidRPr="00BE5FAF">
              <w:rPr>
                <w:szCs w:val="20"/>
              </w:rPr>
              <w:t>144 (1.6)</w:t>
            </w:r>
          </w:p>
        </w:tc>
        <w:tc>
          <w:tcPr>
            <w:tcW w:w="1509" w:type="dxa"/>
            <w:vAlign w:val="center"/>
          </w:tcPr>
          <w:p w:rsidR="00A3651E" w:rsidRPr="00BE5FAF" w:rsidRDefault="00A3651E" w:rsidP="00D8518A">
            <w:pPr>
              <w:pStyle w:val="TableText0"/>
              <w:spacing w:before="0" w:after="0"/>
              <w:jc w:val="center"/>
              <w:rPr>
                <w:b/>
                <w:szCs w:val="20"/>
              </w:rPr>
            </w:pPr>
            <w:r w:rsidRPr="00BE5FAF">
              <w:rPr>
                <w:b/>
                <w:szCs w:val="20"/>
              </w:rPr>
              <w:t>1.84 (1.50, 2.26)</w:t>
            </w:r>
          </w:p>
        </w:tc>
      </w:tr>
      <w:tr w:rsidR="00A3651E" w:rsidRPr="00BE5FAF" w:rsidTr="0073160E">
        <w:tc>
          <w:tcPr>
            <w:tcW w:w="3681" w:type="dxa"/>
          </w:tcPr>
          <w:p w:rsidR="00A3651E" w:rsidRPr="00BE5FAF" w:rsidRDefault="00A3651E" w:rsidP="00D8518A">
            <w:pPr>
              <w:pStyle w:val="TableText0"/>
              <w:spacing w:before="0" w:after="0"/>
            </w:pPr>
            <w:r w:rsidRPr="00BE5FAF">
              <w:t>Fatal bleeding</w:t>
            </w:r>
          </w:p>
        </w:tc>
        <w:tc>
          <w:tcPr>
            <w:tcW w:w="2268" w:type="dxa"/>
            <w:vAlign w:val="center"/>
          </w:tcPr>
          <w:p w:rsidR="00A3651E" w:rsidRPr="00BE5FAF" w:rsidRDefault="00A3651E" w:rsidP="00D8518A">
            <w:pPr>
              <w:pStyle w:val="TableText0"/>
              <w:spacing w:before="0" w:after="0"/>
              <w:jc w:val="center"/>
              <w:rPr>
                <w:szCs w:val="20"/>
              </w:rPr>
            </w:pPr>
            <w:r w:rsidRPr="00BE5FAF">
              <w:rPr>
                <w:szCs w:val="20"/>
              </w:rPr>
              <w:t>12 (0.1)</w:t>
            </w:r>
          </w:p>
        </w:tc>
        <w:tc>
          <w:tcPr>
            <w:tcW w:w="1559" w:type="dxa"/>
            <w:vAlign w:val="center"/>
          </w:tcPr>
          <w:p w:rsidR="00A3651E" w:rsidRPr="00BE5FAF" w:rsidRDefault="00A3651E" w:rsidP="00D8518A">
            <w:pPr>
              <w:pStyle w:val="TableText0"/>
              <w:spacing w:before="0" w:after="0"/>
              <w:jc w:val="center"/>
              <w:rPr>
                <w:szCs w:val="20"/>
              </w:rPr>
            </w:pPr>
            <w:r w:rsidRPr="00BE5FAF">
              <w:rPr>
                <w:szCs w:val="20"/>
              </w:rPr>
              <w:t>8 (&lt;0.1)</w:t>
            </w:r>
          </w:p>
        </w:tc>
        <w:tc>
          <w:tcPr>
            <w:tcW w:w="1509" w:type="dxa"/>
            <w:vAlign w:val="center"/>
          </w:tcPr>
          <w:p w:rsidR="00A3651E" w:rsidRPr="00BE5FAF" w:rsidRDefault="00A3651E" w:rsidP="00D8518A">
            <w:pPr>
              <w:pStyle w:val="TableText0"/>
              <w:spacing w:before="0" w:after="0"/>
              <w:jc w:val="center"/>
              <w:rPr>
                <w:szCs w:val="20"/>
              </w:rPr>
            </w:pPr>
            <w:r w:rsidRPr="00BE5FAF">
              <w:rPr>
                <w:szCs w:val="20"/>
              </w:rPr>
              <w:t>1.51 (0.62, 3.69)</w:t>
            </w:r>
          </w:p>
        </w:tc>
      </w:tr>
      <w:tr w:rsidR="00A3651E" w:rsidRPr="00BE5FAF" w:rsidTr="0073160E">
        <w:tc>
          <w:tcPr>
            <w:tcW w:w="3681" w:type="dxa"/>
          </w:tcPr>
          <w:p w:rsidR="00A3651E" w:rsidRPr="00BE5FAF" w:rsidRDefault="00A3651E" w:rsidP="00D8518A">
            <w:pPr>
              <w:pStyle w:val="TableText0"/>
              <w:spacing w:before="0" w:after="0"/>
            </w:pPr>
            <w:r w:rsidRPr="00BE5FAF">
              <w:t>Critical organ bleeding (non-fatal)</w:t>
            </w:r>
          </w:p>
        </w:tc>
        <w:tc>
          <w:tcPr>
            <w:tcW w:w="2268" w:type="dxa"/>
            <w:vAlign w:val="center"/>
          </w:tcPr>
          <w:p w:rsidR="00A3651E" w:rsidRPr="00BE5FAF" w:rsidRDefault="00A3651E" w:rsidP="00D8518A">
            <w:pPr>
              <w:pStyle w:val="TableText0"/>
              <w:spacing w:before="0" w:after="0"/>
              <w:jc w:val="center"/>
              <w:rPr>
                <w:szCs w:val="20"/>
              </w:rPr>
            </w:pPr>
            <w:r w:rsidRPr="00BE5FAF">
              <w:rPr>
                <w:szCs w:val="20"/>
              </w:rPr>
              <w:t>58 (0.6)</w:t>
            </w:r>
          </w:p>
        </w:tc>
        <w:tc>
          <w:tcPr>
            <w:tcW w:w="1559" w:type="dxa"/>
            <w:vAlign w:val="center"/>
          </w:tcPr>
          <w:p w:rsidR="00A3651E" w:rsidRPr="00BE5FAF" w:rsidRDefault="00A3651E" w:rsidP="00D8518A">
            <w:pPr>
              <w:pStyle w:val="TableText0"/>
              <w:spacing w:before="0" w:after="0"/>
              <w:jc w:val="center"/>
              <w:rPr>
                <w:szCs w:val="20"/>
              </w:rPr>
            </w:pPr>
            <w:r w:rsidRPr="00BE5FAF">
              <w:rPr>
                <w:szCs w:val="20"/>
              </w:rPr>
              <w:t>43 (0.5)</w:t>
            </w:r>
          </w:p>
        </w:tc>
        <w:tc>
          <w:tcPr>
            <w:tcW w:w="1509" w:type="dxa"/>
            <w:vAlign w:val="center"/>
          </w:tcPr>
          <w:p w:rsidR="00A3651E" w:rsidRPr="00BE5FAF" w:rsidRDefault="00A3651E" w:rsidP="00D8518A">
            <w:pPr>
              <w:pStyle w:val="TableText0"/>
              <w:spacing w:before="0" w:after="0"/>
              <w:jc w:val="center"/>
              <w:rPr>
                <w:szCs w:val="20"/>
              </w:rPr>
            </w:pPr>
            <w:r w:rsidRPr="00BE5FAF">
              <w:rPr>
                <w:szCs w:val="20"/>
              </w:rPr>
              <w:t>1.36 (0.91, 2.01)</w:t>
            </w:r>
          </w:p>
        </w:tc>
      </w:tr>
      <w:tr w:rsidR="00A3651E" w:rsidRPr="00BE5FAF" w:rsidTr="0073160E">
        <w:tc>
          <w:tcPr>
            <w:tcW w:w="3681" w:type="dxa"/>
          </w:tcPr>
          <w:p w:rsidR="00A3651E" w:rsidRPr="00BE5FAF" w:rsidRDefault="00A3651E" w:rsidP="00D8518A">
            <w:pPr>
              <w:pStyle w:val="TableText0"/>
              <w:spacing w:before="0" w:after="0"/>
            </w:pPr>
            <w:r w:rsidRPr="00BE5FAF">
              <w:t>Requiring re-operation (non-fatal and non-critical organ)</w:t>
            </w:r>
          </w:p>
        </w:tc>
        <w:tc>
          <w:tcPr>
            <w:tcW w:w="2268" w:type="dxa"/>
            <w:vAlign w:val="center"/>
          </w:tcPr>
          <w:p w:rsidR="00A3651E" w:rsidRPr="00BE5FAF" w:rsidRDefault="00A3651E" w:rsidP="00D8518A">
            <w:pPr>
              <w:pStyle w:val="TableText0"/>
              <w:spacing w:before="0" w:after="0"/>
              <w:jc w:val="center"/>
              <w:rPr>
                <w:szCs w:val="20"/>
              </w:rPr>
            </w:pPr>
            <w:r w:rsidRPr="00BE5FAF">
              <w:rPr>
                <w:szCs w:val="20"/>
                <w:lang w:eastAsia="en-AU"/>
              </w:rPr>
              <w:t>7 (&lt;0.1)</w:t>
            </w:r>
          </w:p>
        </w:tc>
        <w:tc>
          <w:tcPr>
            <w:tcW w:w="1559" w:type="dxa"/>
            <w:vAlign w:val="center"/>
          </w:tcPr>
          <w:p w:rsidR="00A3651E" w:rsidRPr="00BE5FAF" w:rsidRDefault="00A3651E" w:rsidP="00D8518A">
            <w:pPr>
              <w:pStyle w:val="TableText0"/>
              <w:spacing w:before="0" w:after="0"/>
              <w:jc w:val="center"/>
              <w:rPr>
                <w:szCs w:val="20"/>
              </w:rPr>
            </w:pPr>
            <w:r w:rsidRPr="00BE5FAF">
              <w:rPr>
                <w:szCs w:val="20"/>
                <w:lang w:eastAsia="en-AU"/>
              </w:rPr>
              <w:t>6 (&lt;0.1)</w:t>
            </w:r>
          </w:p>
        </w:tc>
        <w:tc>
          <w:tcPr>
            <w:tcW w:w="1509" w:type="dxa"/>
            <w:vAlign w:val="center"/>
          </w:tcPr>
          <w:p w:rsidR="00A3651E" w:rsidRPr="00BE5FAF" w:rsidRDefault="00A3651E" w:rsidP="00D8518A">
            <w:pPr>
              <w:pStyle w:val="TableText0"/>
              <w:spacing w:before="0" w:after="0"/>
              <w:jc w:val="center"/>
              <w:rPr>
                <w:szCs w:val="20"/>
              </w:rPr>
            </w:pPr>
            <w:r w:rsidRPr="00BE5FAF">
              <w:rPr>
                <w:szCs w:val="20"/>
                <w:lang w:eastAsia="en-AU"/>
              </w:rPr>
              <w:t>1.17 (0.39, 3.48)</w:t>
            </w:r>
          </w:p>
        </w:tc>
      </w:tr>
      <w:tr w:rsidR="00A3651E" w:rsidRPr="00BE5FAF" w:rsidTr="0073160E">
        <w:tc>
          <w:tcPr>
            <w:tcW w:w="3681" w:type="dxa"/>
          </w:tcPr>
          <w:p w:rsidR="00A3651E" w:rsidRPr="00BE5FAF" w:rsidRDefault="00A3651E" w:rsidP="00D8518A">
            <w:pPr>
              <w:pStyle w:val="TableText0"/>
              <w:spacing w:before="0" w:after="0"/>
            </w:pPr>
            <w:r w:rsidRPr="00BE5FAF">
              <w:t>Hospitalisation (non-fatal, non-critical organ, not leading to re-operation)</w:t>
            </w:r>
          </w:p>
        </w:tc>
        <w:tc>
          <w:tcPr>
            <w:tcW w:w="2268" w:type="dxa"/>
            <w:vAlign w:val="center"/>
          </w:tcPr>
          <w:p w:rsidR="00A3651E" w:rsidRPr="00BE5FAF" w:rsidRDefault="00A3651E" w:rsidP="00D8518A">
            <w:pPr>
              <w:pStyle w:val="TableText0"/>
              <w:spacing w:before="0" w:after="0"/>
              <w:jc w:val="center"/>
              <w:rPr>
                <w:szCs w:val="20"/>
              </w:rPr>
            </w:pPr>
            <w:r w:rsidRPr="00BE5FAF">
              <w:rPr>
                <w:szCs w:val="20"/>
                <w:lang w:eastAsia="en-AU"/>
              </w:rPr>
              <w:t>188 (2.1)</w:t>
            </w:r>
          </w:p>
        </w:tc>
        <w:tc>
          <w:tcPr>
            <w:tcW w:w="1559" w:type="dxa"/>
            <w:vAlign w:val="center"/>
          </w:tcPr>
          <w:p w:rsidR="00A3651E" w:rsidRPr="00BE5FAF" w:rsidRDefault="00A3651E" w:rsidP="00D8518A">
            <w:pPr>
              <w:pStyle w:val="TableText0"/>
              <w:spacing w:before="0" w:after="0"/>
              <w:jc w:val="center"/>
              <w:rPr>
                <w:szCs w:val="20"/>
              </w:rPr>
            </w:pPr>
            <w:r w:rsidRPr="00BE5FAF">
              <w:rPr>
                <w:szCs w:val="20"/>
                <w:lang w:eastAsia="en-AU"/>
              </w:rPr>
              <w:t>91 (1.0)</w:t>
            </w:r>
          </w:p>
        </w:tc>
        <w:tc>
          <w:tcPr>
            <w:tcW w:w="1509" w:type="dxa"/>
            <w:vAlign w:val="center"/>
          </w:tcPr>
          <w:p w:rsidR="00A3651E" w:rsidRPr="00BE5FAF" w:rsidRDefault="00A3651E" w:rsidP="00D8518A">
            <w:pPr>
              <w:pStyle w:val="TableText0"/>
              <w:spacing w:before="0" w:after="0"/>
              <w:jc w:val="center"/>
              <w:rPr>
                <w:b/>
                <w:szCs w:val="20"/>
              </w:rPr>
            </w:pPr>
            <w:r w:rsidRPr="00BE5FAF">
              <w:rPr>
                <w:b/>
                <w:szCs w:val="20"/>
                <w:lang w:eastAsia="en-AU"/>
              </w:rPr>
              <w:t>2.08 (1.62, 2.67)</w:t>
            </w:r>
          </w:p>
        </w:tc>
      </w:tr>
      <w:tr w:rsidR="00A3651E" w:rsidRPr="00BE5FAF" w:rsidTr="0073160E">
        <w:tc>
          <w:tcPr>
            <w:tcW w:w="3681" w:type="dxa"/>
          </w:tcPr>
          <w:p w:rsidR="00A3651E" w:rsidRPr="00BE5FAF" w:rsidRDefault="00A3651E" w:rsidP="00D8518A">
            <w:pPr>
              <w:pStyle w:val="TableText0"/>
              <w:spacing w:before="0" w:after="0"/>
            </w:pPr>
            <w:r w:rsidRPr="00BE5FAF">
              <w:t>Hospitalisation where admission date &lt; discharge date</w:t>
            </w:r>
          </w:p>
        </w:tc>
        <w:tc>
          <w:tcPr>
            <w:tcW w:w="2268" w:type="dxa"/>
            <w:vAlign w:val="center"/>
          </w:tcPr>
          <w:p w:rsidR="00A3651E" w:rsidRPr="00BE5FAF" w:rsidRDefault="00A3651E" w:rsidP="00D8518A">
            <w:pPr>
              <w:pStyle w:val="TableText0"/>
              <w:spacing w:before="0" w:after="0"/>
              <w:jc w:val="center"/>
              <w:rPr>
                <w:szCs w:val="20"/>
              </w:rPr>
            </w:pPr>
            <w:r w:rsidRPr="00BE5FAF">
              <w:rPr>
                <w:szCs w:val="20"/>
                <w:lang w:eastAsia="en-AU"/>
              </w:rPr>
              <w:t>155 (1.7)</w:t>
            </w:r>
          </w:p>
        </w:tc>
        <w:tc>
          <w:tcPr>
            <w:tcW w:w="1559" w:type="dxa"/>
            <w:vAlign w:val="center"/>
          </w:tcPr>
          <w:p w:rsidR="00A3651E" w:rsidRPr="00BE5FAF" w:rsidRDefault="00A3651E" w:rsidP="00D8518A">
            <w:pPr>
              <w:pStyle w:val="TableText0"/>
              <w:spacing w:before="0" w:after="0"/>
              <w:jc w:val="center"/>
              <w:rPr>
                <w:szCs w:val="20"/>
              </w:rPr>
            </w:pPr>
            <w:r w:rsidRPr="00BE5FAF">
              <w:rPr>
                <w:szCs w:val="20"/>
                <w:lang w:eastAsia="en-AU"/>
              </w:rPr>
              <w:t>74 (0.8)</w:t>
            </w:r>
          </w:p>
        </w:tc>
        <w:tc>
          <w:tcPr>
            <w:tcW w:w="1509" w:type="dxa"/>
            <w:vAlign w:val="center"/>
          </w:tcPr>
          <w:p w:rsidR="00A3651E" w:rsidRPr="00BE5FAF" w:rsidRDefault="00A3651E" w:rsidP="00D8518A">
            <w:pPr>
              <w:pStyle w:val="TableText0"/>
              <w:spacing w:before="0" w:after="0"/>
              <w:jc w:val="center"/>
              <w:rPr>
                <w:b/>
                <w:szCs w:val="20"/>
              </w:rPr>
            </w:pPr>
            <w:r w:rsidRPr="00BE5FAF">
              <w:rPr>
                <w:b/>
                <w:szCs w:val="20"/>
                <w:lang w:eastAsia="en-AU"/>
              </w:rPr>
              <w:t>2.11 (1.60, 2.78)</w:t>
            </w:r>
          </w:p>
        </w:tc>
      </w:tr>
      <w:tr w:rsidR="00A3651E" w:rsidRPr="00BE5FAF" w:rsidTr="0073160E">
        <w:tc>
          <w:tcPr>
            <w:tcW w:w="3681" w:type="dxa"/>
          </w:tcPr>
          <w:p w:rsidR="00A3651E" w:rsidRPr="00BE5FAF" w:rsidRDefault="00A3651E" w:rsidP="00D8518A">
            <w:pPr>
              <w:pStyle w:val="TableText0"/>
              <w:spacing w:before="0" w:after="0"/>
            </w:pPr>
            <w:r w:rsidRPr="00BE5FAF">
              <w:t>Hospitalisation where admission date = discharge date</w:t>
            </w:r>
          </w:p>
        </w:tc>
        <w:tc>
          <w:tcPr>
            <w:tcW w:w="2268" w:type="dxa"/>
            <w:vAlign w:val="center"/>
          </w:tcPr>
          <w:p w:rsidR="00A3651E" w:rsidRPr="00BE5FAF" w:rsidRDefault="00A3651E" w:rsidP="00D8518A">
            <w:pPr>
              <w:pStyle w:val="TableText0"/>
              <w:spacing w:before="0" w:after="0"/>
              <w:jc w:val="center"/>
              <w:rPr>
                <w:szCs w:val="20"/>
              </w:rPr>
            </w:pPr>
            <w:r w:rsidRPr="00BE5FAF">
              <w:rPr>
                <w:szCs w:val="20"/>
                <w:lang w:eastAsia="en-AU"/>
              </w:rPr>
              <w:t>33 (0.4)</w:t>
            </w:r>
          </w:p>
        </w:tc>
        <w:tc>
          <w:tcPr>
            <w:tcW w:w="1559" w:type="dxa"/>
            <w:vAlign w:val="center"/>
          </w:tcPr>
          <w:p w:rsidR="00A3651E" w:rsidRPr="00BE5FAF" w:rsidRDefault="00A3651E" w:rsidP="00D8518A">
            <w:pPr>
              <w:pStyle w:val="TableText0"/>
              <w:spacing w:before="0" w:after="0"/>
              <w:jc w:val="center"/>
              <w:rPr>
                <w:szCs w:val="20"/>
              </w:rPr>
            </w:pPr>
            <w:r w:rsidRPr="00BE5FAF">
              <w:rPr>
                <w:szCs w:val="20"/>
                <w:lang w:eastAsia="en-AU"/>
              </w:rPr>
              <w:t>19 (0.2)</w:t>
            </w:r>
          </w:p>
        </w:tc>
        <w:tc>
          <w:tcPr>
            <w:tcW w:w="1509" w:type="dxa"/>
            <w:vAlign w:val="center"/>
          </w:tcPr>
          <w:p w:rsidR="00A3651E" w:rsidRPr="00BE5FAF" w:rsidRDefault="00A3651E" w:rsidP="00D8518A">
            <w:pPr>
              <w:pStyle w:val="TableText0"/>
              <w:spacing w:before="0" w:after="0"/>
              <w:jc w:val="center"/>
              <w:rPr>
                <w:szCs w:val="20"/>
              </w:rPr>
            </w:pPr>
            <w:r w:rsidRPr="00BE5FAF">
              <w:rPr>
                <w:szCs w:val="20"/>
                <w:lang w:eastAsia="en-AU"/>
              </w:rPr>
              <w:t>1.74 (0.99, 3.07)</w:t>
            </w:r>
          </w:p>
        </w:tc>
      </w:tr>
    </w:tbl>
    <w:p w:rsidR="00A3651E" w:rsidRPr="00BE5FAF" w:rsidRDefault="00A3651E" w:rsidP="00D8518A">
      <w:pPr>
        <w:pStyle w:val="TableFooter"/>
        <w:widowControl/>
      </w:pPr>
      <w:r w:rsidRPr="00BE5FAF">
        <w:t>Source: Table 10-21, pp.266-267 of the COMPASS clinical study report</w:t>
      </w:r>
    </w:p>
    <w:p w:rsidR="008611F7" w:rsidRPr="00BE5FAF" w:rsidRDefault="008611F7" w:rsidP="00D8518A">
      <w:pPr>
        <w:pStyle w:val="TableFooter"/>
        <w:widowControl/>
      </w:pPr>
      <w:r w:rsidRPr="00BE5FAF">
        <w:t>Abbreviations: ISTH, International Society on Thrombosis and Haemostasis</w:t>
      </w:r>
    </w:p>
    <w:p w:rsidR="00A3651E" w:rsidRPr="00BE5FAF" w:rsidRDefault="00A3651E" w:rsidP="003008B5">
      <w:pPr>
        <w:widowControl/>
        <w:spacing w:before="120" w:after="120"/>
        <w:rPr>
          <w:color w:val="3366FF"/>
        </w:rPr>
      </w:pPr>
    </w:p>
    <w:p w:rsidR="00A3651E" w:rsidRPr="00BE5FAF" w:rsidRDefault="00A3651E" w:rsidP="003008B5">
      <w:pPr>
        <w:pStyle w:val="ListParagraph"/>
        <w:widowControl/>
        <w:numPr>
          <w:ilvl w:val="1"/>
          <w:numId w:val="2"/>
        </w:numPr>
        <w:spacing w:before="120" w:after="120"/>
      </w:pPr>
      <w:r w:rsidRPr="00BE5FAF">
        <w:t xml:space="preserve">The </w:t>
      </w:r>
      <w:proofErr w:type="spellStart"/>
      <w:r w:rsidRPr="00BE5FAF">
        <w:t>rivaroxaban</w:t>
      </w:r>
      <w:proofErr w:type="spellEnd"/>
      <w:r w:rsidRPr="00BE5FAF">
        <w:t xml:space="preserve"> in combination with aspirin group had a higher incidence of major bleeding overall compared with the aspirin monotherapy group. The hazard ratio was statistically significant for modified ISTH major bleeding, primarily driven by bleeds requiring hospitalisation (non-fatal, non-critical organ, not leading to re-operation, and where </w:t>
      </w:r>
      <w:r w:rsidR="008A04A5" w:rsidRPr="00BE5FAF">
        <w:t xml:space="preserve">patients required an overnight stay or </w:t>
      </w:r>
      <w:r w:rsidRPr="00BE5FAF">
        <w:t>greater). Fatal bleeding events were most frequently due to intracranial bleeding events and</w:t>
      </w:r>
      <w:r w:rsidR="00DE00B6">
        <w:t>,</w:t>
      </w:r>
      <w:r w:rsidRPr="00BE5FAF">
        <w:t xml:space="preserve"> of these</w:t>
      </w:r>
      <w:r w:rsidR="003D45C2" w:rsidRPr="00BE5FAF">
        <w:t>,</w:t>
      </w:r>
      <w:r w:rsidRPr="00BE5FAF">
        <w:t xml:space="preserve"> primarily haemorrhagic stroke.</w:t>
      </w:r>
    </w:p>
    <w:p w:rsidR="000137E2" w:rsidRDefault="00A3651E" w:rsidP="003008B5">
      <w:pPr>
        <w:pStyle w:val="ListParagraph"/>
        <w:widowControl/>
        <w:numPr>
          <w:ilvl w:val="1"/>
          <w:numId w:val="2"/>
        </w:numPr>
        <w:spacing w:before="120" w:after="120"/>
      </w:pPr>
      <w:r w:rsidRPr="00BE5FAF">
        <w:lastRenderedPageBreak/>
        <w:t>The COMPASS trial included a pre</w:t>
      </w:r>
      <w:r w:rsidR="00B02313" w:rsidRPr="00BE5FAF">
        <w:t>-</w:t>
      </w:r>
      <w:r w:rsidRPr="00BE5FAF">
        <w:t xml:space="preserve">specified endpoint of net clinical benefit, which included time to first occurrence of safety and efficacy events considered </w:t>
      </w:r>
      <w:proofErr w:type="gramStart"/>
      <w:r w:rsidRPr="00BE5FAF">
        <w:t>to be significant</w:t>
      </w:r>
      <w:proofErr w:type="gramEnd"/>
      <w:r w:rsidRPr="00BE5FAF">
        <w:t xml:space="preserve">. Net clinical benefit included both the composite primary efficacy outcome (stroke, myocardial infarction, cardiovascular death) and fatal and symptomatic critical organ bleeding events (two components of the primary safety outcome). The submission claimed that including only fatal and symptomatic critical organ bleeding events was justified because they cause irreversible harm, and therefore the endpoint compares efficacy and safety events of similar severity. </w:t>
      </w:r>
      <w:r w:rsidR="00DE00B6">
        <w:t xml:space="preserve">The </w:t>
      </w:r>
      <w:r w:rsidR="000137E2">
        <w:t xml:space="preserve">PBAC considered that the </w:t>
      </w:r>
      <w:r w:rsidR="00DE00B6">
        <w:t xml:space="preserve">clinical utility of this net clinical benefit is not established. </w:t>
      </w:r>
    </w:p>
    <w:p w:rsidR="00A3651E" w:rsidRPr="00BE5FAF" w:rsidRDefault="00A3651E" w:rsidP="003008B5">
      <w:pPr>
        <w:pStyle w:val="ListParagraph"/>
        <w:widowControl/>
        <w:numPr>
          <w:ilvl w:val="1"/>
          <w:numId w:val="2"/>
        </w:numPr>
        <w:spacing w:before="120" w:after="120"/>
      </w:pPr>
      <w:r w:rsidRPr="00BE5FAF">
        <w:t xml:space="preserve">The results for the net clinical benefit outcome, as well as the results for the primary efficacy and safety outcomes for comparison, are summarised in Table </w:t>
      </w:r>
      <w:r w:rsidR="008A04A5" w:rsidRPr="00BE5FAF">
        <w:t>8</w:t>
      </w:r>
      <w:r w:rsidRPr="00BE5FAF">
        <w:t>.</w:t>
      </w:r>
    </w:p>
    <w:p w:rsidR="00A3651E" w:rsidRPr="00BE5FAF" w:rsidRDefault="00A3651E" w:rsidP="00D8518A">
      <w:pPr>
        <w:pStyle w:val="TableHeading0"/>
        <w:spacing w:after="0"/>
      </w:pPr>
      <w:r w:rsidRPr="00BE5FAF">
        <w:t xml:space="preserve">Table </w:t>
      </w:r>
      <w:r w:rsidR="008A04A5" w:rsidRPr="00BE5FAF">
        <w:t>8</w:t>
      </w:r>
      <w:r w:rsidRPr="00BE5FAF">
        <w:t>: Net clinical benefit and components in the COMPASS trial (ITT)</w:t>
      </w:r>
    </w:p>
    <w:tbl>
      <w:tblPr>
        <w:tblStyle w:val="TableGrid"/>
        <w:tblW w:w="0" w:type="auto"/>
        <w:tblLook w:val="04A0" w:firstRow="1" w:lastRow="0" w:firstColumn="1" w:lastColumn="0" w:noHBand="0" w:noVBand="1"/>
        <w:tblCaption w:val="Table 8: Net clinical benefit and components in the COMPASS trial (ITT)"/>
      </w:tblPr>
      <w:tblGrid>
        <w:gridCol w:w="2253"/>
        <w:gridCol w:w="2266"/>
        <w:gridCol w:w="2250"/>
        <w:gridCol w:w="2248"/>
      </w:tblGrid>
      <w:tr w:rsidR="00A3651E" w:rsidRPr="00BE5FAF" w:rsidTr="00EA4B90">
        <w:trPr>
          <w:tblHeader/>
        </w:trPr>
        <w:tc>
          <w:tcPr>
            <w:tcW w:w="2310" w:type="dxa"/>
          </w:tcPr>
          <w:p w:rsidR="00A3651E" w:rsidRPr="00BE5FAF" w:rsidRDefault="00A3651E" w:rsidP="00D8518A">
            <w:pPr>
              <w:pStyle w:val="TableText0"/>
              <w:spacing w:before="0" w:after="0"/>
            </w:pPr>
          </w:p>
        </w:tc>
        <w:tc>
          <w:tcPr>
            <w:tcW w:w="2311" w:type="dxa"/>
            <w:vAlign w:val="center"/>
          </w:tcPr>
          <w:p w:rsidR="00A3651E" w:rsidRPr="00BE5FAF" w:rsidRDefault="00A3651E" w:rsidP="00D8518A">
            <w:pPr>
              <w:pStyle w:val="TableText0"/>
              <w:spacing w:before="0" w:after="0"/>
              <w:jc w:val="center"/>
              <w:rPr>
                <w:b/>
              </w:rPr>
            </w:pPr>
            <w:proofErr w:type="spellStart"/>
            <w:r w:rsidRPr="00BE5FAF">
              <w:rPr>
                <w:b/>
              </w:rPr>
              <w:t>Rivaroxaban</w:t>
            </w:r>
            <w:proofErr w:type="spellEnd"/>
            <w:r w:rsidRPr="00BE5FAF">
              <w:rPr>
                <w:b/>
              </w:rPr>
              <w:t xml:space="preserve"> 2.5 mg + aspirin 100 mg, n (%)</w:t>
            </w:r>
          </w:p>
          <w:p w:rsidR="00A3651E" w:rsidRPr="00BE5FAF" w:rsidRDefault="00A3651E" w:rsidP="00D8518A">
            <w:pPr>
              <w:pStyle w:val="TableText0"/>
              <w:spacing w:before="0" w:after="0"/>
              <w:jc w:val="center"/>
              <w:rPr>
                <w:b/>
              </w:rPr>
            </w:pPr>
            <w:r w:rsidRPr="00BE5FAF">
              <w:rPr>
                <w:b/>
              </w:rPr>
              <w:t>N=9152</w:t>
            </w:r>
          </w:p>
        </w:tc>
        <w:tc>
          <w:tcPr>
            <w:tcW w:w="2311" w:type="dxa"/>
            <w:vAlign w:val="center"/>
          </w:tcPr>
          <w:p w:rsidR="00A3651E" w:rsidRPr="00BE5FAF" w:rsidRDefault="00A3651E" w:rsidP="00D8518A">
            <w:pPr>
              <w:pStyle w:val="TableText0"/>
              <w:spacing w:before="0" w:after="0"/>
              <w:jc w:val="center"/>
              <w:rPr>
                <w:b/>
              </w:rPr>
            </w:pPr>
            <w:r w:rsidRPr="00BE5FAF">
              <w:rPr>
                <w:b/>
              </w:rPr>
              <w:t>Aspirin 100 mg, n (%)</w:t>
            </w:r>
          </w:p>
          <w:p w:rsidR="00A3651E" w:rsidRPr="00BE5FAF" w:rsidRDefault="00A3651E" w:rsidP="00D8518A">
            <w:pPr>
              <w:pStyle w:val="TableText0"/>
              <w:spacing w:before="0" w:after="0"/>
              <w:jc w:val="center"/>
              <w:rPr>
                <w:b/>
              </w:rPr>
            </w:pPr>
            <w:r w:rsidRPr="00BE5FAF">
              <w:rPr>
                <w:b/>
              </w:rPr>
              <w:t>N=9126</w:t>
            </w:r>
          </w:p>
        </w:tc>
        <w:tc>
          <w:tcPr>
            <w:tcW w:w="2311" w:type="dxa"/>
            <w:vAlign w:val="center"/>
          </w:tcPr>
          <w:p w:rsidR="00A3651E" w:rsidRPr="00BE5FAF" w:rsidRDefault="00A3651E" w:rsidP="00D8518A">
            <w:pPr>
              <w:pStyle w:val="TableText0"/>
              <w:spacing w:before="0" w:after="0"/>
              <w:jc w:val="center"/>
              <w:rPr>
                <w:b/>
              </w:rPr>
            </w:pPr>
            <w:r w:rsidRPr="00BE5FAF">
              <w:rPr>
                <w:b/>
              </w:rPr>
              <w:t>Hazard ratio (95% CI)</w:t>
            </w:r>
          </w:p>
        </w:tc>
      </w:tr>
      <w:tr w:rsidR="00A3651E" w:rsidRPr="00BE5FAF" w:rsidTr="006956D5">
        <w:tc>
          <w:tcPr>
            <w:tcW w:w="2310"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pPr>
            <w:r w:rsidRPr="00BE5FAF">
              <w:t>Net clinical benefit</w:t>
            </w:r>
          </w:p>
        </w:tc>
        <w:tc>
          <w:tcPr>
            <w:tcW w:w="2311" w:type="dxa"/>
            <w:vAlign w:val="center"/>
          </w:tcPr>
          <w:p w:rsidR="00A3651E" w:rsidRPr="00BE5FAF" w:rsidRDefault="00A3651E" w:rsidP="00D8518A">
            <w:pPr>
              <w:pStyle w:val="TableText0"/>
              <w:spacing w:before="0" w:after="0"/>
              <w:jc w:val="center"/>
            </w:pPr>
            <w:r w:rsidRPr="00BE5FAF">
              <w:t>431 (4.7)</w:t>
            </w:r>
          </w:p>
        </w:tc>
        <w:tc>
          <w:tcPr>
            <w:tcW w:w="2311" w:type="dxa"/>
            <w:vAlign w:val="center"/>
          </w:tcPr>
          <w:p w:rsidR="00A3651E" w:rsidRPr="00BE5FAF" w:rsidRDefault="00A3651E" w:rsidP="00D8518A">
            <w:pPr>
              <w:pStyle w:val="TableText0"/>
              <w:spacing w:before="0" w:after="0"/>
              <w:jc w:val="center"/>
            </w:pPr>
            <w:r w:rsidRPr="00BE5FAF">
              <w:t>534 (5.9)</w:t>
            </w:r>
          </w:p>
        </w:tc>
        <w:tc>
          <w:tcPr>
            <w:tcW w:w="2311"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jc w:val="center"/>
              <w:rPr>
                <w:b/>
              </w:rPr>
            </w:pPr>
            <w:r w:rsidRPr="00BE5FAF">
              <w:rPr>
                <w:b/>
              </w:rPr>
              <w:t>0.80 (0.70, 0.91)</w:t>
            </w:r>
          </w:p>
        </w:tc>
      </w:tr>
      <w:tr w:rsidR="00A3651E" w:rsidRPr="00BE5FAF" w:rsidTr="006956D5">
        <w:tc>
          <w:tcPr>
            <w:tcW w:w="2310"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pPr>
            <w:r w:rsidRPr="00BE5FAF">
              <w:t>Primary efficacy outcome</w:t>
            </w:r>
          </w:p>
        </w:tc>
        <w:tc>
          <w:tcPr>
            <w:tcW w:w="2311" w:type="dxa"/>
            <w:vAlign w:val="center"/>
          </w:tcPr>
          <w:p w:rsidR="00A3651E" w:rsidRPr="00BE5FAF" w:rsidRDefault="00A3651E" w:rsidP="00D8518A">
            <w:pPr>
              <w:pStyle w:val="TableText0"/>
              <w:spacing w:before="0" w:after="0"/>
              <w:jc w:val="center"/>
            </w:pPr>
            <w:r w:rsidRPr="00BE5FAF">
              <w:t>379 (4.1)</w:t>
            </w:r>
          </w:p>
        </w:tc>
        <w:tc>
          <w:tcPr>
            <w:tcW w:w="2311" w:type="dxa"/>
            <w:vAlign w:val="center"/>
          </w:tcPr>
          <w:p w:rsidR="00A3651E" w:rsidRPr="00BE5FAF" w:rsidRDefault="00A3651E" w:rsidP="00D8518A">
            <w:pPr>
              <w:pStyle w:val="TableText0"/>
              <w:spacing w:before="0" w:after="0"/>
              <w:jc w:val="center"/>
            </w:pPr>
            <w:r w:rsidRPr="00BE5FAF">
              <w:t>496 (5.4)</w:t>
            </w:r>
          </w:p>
        </w:tc>
        <w:tc>
          <w:tcPr>
            <w:tcW w:w="2311"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jc w:val="center"/>
              <w:rPr>
                <w:b/>
              </w:rPr>
            </w:pPr>
            <w:r w:rsidRPr="00BE5FAF">
              <w:rPr>
                <w:b/>
              </w:rPr>
              <w:t>0.76 (0.66, 0.86)</w:t>
            </w:r>
          </w:p>
        </w:tc>
      </w:tr>
      <w:tr w:rsidR="00A3651E" w:rsidRPr="00BE5FAF" w:rsidTr="006956D5">
        <w:tc>
          <w:tcPr>
            <w:tcW w:w="2310"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rPr>
                <w:vertAlign w:val="superscript"/>
              </w:rPr>
            </w:pPr>
            <w:r w:rsidRPr="00BE5FAF">
              <w:t xml:space="preserve">Primary safety </w:t>
            </w:r>
            <w:proofErr w:type="spellStart"/>
            <w:r w:rsidRPr="00BE5FAF">
              <w:t>outcome</w:t>
            </w:r>
            <w:r w:rsidRPr="00BE5FAF">
              <w:rPr>
                <w:vertAlign w:val="superscript"/>
              </w:rPr>
              <w:t>a</w:t>
            </w:r>
            <w:proofErr w:type="spellEnd"/>
          </w:p>
        </w:tc>
        <w:tc>
          <w:tcPr>
            <w:tcW w:w="2311" w:type="dxa"/>
            <w:vAlign w:val="center"/>
          </w:tcPr>
          <w:p w:rsidR="00A3651E" w:rsidRPr="00BE5FAF" w:rsidRDefault="00A3651E" w:rsidP="00D8518A">
            <w:pPr>
              <w:pStyle w:val="TableText0"/>
              <w:spacing w:before="0" w:after="0"/>
              <w:jc w:val="center"/>
            </w:pPr>
            <w:r w:rsidRPr="00BE5FAF">
              <w:t>78 (0.9)</w:t>
            </w:r>
          </w:p>
        </w:tc>
        <w:tc>
          <w:tcPr>
            <w:tcW w:w="2311" w:type="dxa"/>
            <w:vAlign w:val="center"/>
          </w:tcPr>
          <w:p w:rsidR="00A3651E" w:rsidRPr="00BE5FAF" w:rsidRDefault="00A3651E" w:rsidP="00D8518A">
            <w:pPr>
              <w:pStyle w:val="TableText0"/>
              <w:spacing w:before="0" w:after="0"/>
              <w:jc w:val="center"/>
            </w:pPr>
            <w:r w:rsidRPr="00BE5FAF">
              <w:t>58 (0.6)</w:t>
            </w:r>
          </w:p>
        </w:tc>
        <w:tc>
          <w:tcPr>
            <w:tcW w:w="2311" w:type="dxa"/>
            <w:tcBorders>
              <w:top w:val="single" w:sz="4" w:space="0" w:color="auto"/>
              <w:left w:val="single" w:sz="4" w:space="0" w:color="auto"/>
              <w:bottom w:val="single" w:sz="4" w:space="0" w:color="auto"/>
              <w:right w:val="single" w:sz="4" w:space="0" w:color="auto"/>
            </w:tcBorders>
            <w:vAlign w:val="center"/>
          </w:tcPr>
          <w:p w:rsidR="00A3651E" w:rsidRPr="00BE5FAF" w:rsidRDefault="00A3651E" w:rsidP="00D8518A">
            <w:pPr>
              <w:pStyle w:val="TableText0"/>
              <w:spacing w:before="0" w:after="0"/>
              <w:jc w:val="center"/>
            </w:pPr>
            <w:r w:rsidRPr="00BE5FAF">
              <w:t>1.34 (0.95, 1.88)</w:t>
            </w:r>
          </w:p>
        </w:tc>
      </w:tr>
    </w:tbl>
    <w:p w:rsidR="00A3651E" w:rsidRPr="00BE5FAF" w:rsidRDefault="00A3651E" w:rsidP="00D8518A">
      <w:pPr>
        <w:pStyle w:val="TableFooter"/>
        <w:widowControl/>
      </w:pPr>
      <w:proofErr w:type="spellStart"/>
      <w:proofErr w:type="gramStart"/>
      <w:r w:rsidRPr="00BE5FAF">
        <w:rPr>
          <w:vertAlign w:val="superscript"/>
        </w:rPr>
        <w:t>a</w:t>
      </w:r>
      <w:proofErr w:type="spellEnd"/>
      <w:proofErr w:type="gramEnd"/>
      <w:r w:rsidRPr="00BE5FAF">
        <w:t xml:space="preserve"> Excluding bleedings leading to hospitalisation and bleedings into surgical site associated with re-operation</w:t>
      </w:r>
    </w:p>
    <w:p w:rsidR="00A3651E" w:rsidRPr="00BE5FAF" w:rsidRDefault="00A3651E" w:rsidP="00D8518A">
      <w:pPr>
        <w:pStyle w:val="TableFooter"/>
        <w:widowControl/>
      </w:pPr>
      <w:r w:rsidRPr="00BE5FAF">
        <w:t>Source: Table 2.5-24, p.133 of the submission</w:t>
      </w:r>
    </w:p>
    <w:p w:rsidR="00A3651E" w:rsidRPr="00BE5FAF" w:rsidRDefault="00A3651E" w:rsidP="003008B5">
      <w:pPr>
        <w:pStyle w:val="ListParagraph"/>
        <w:widowControl/>
        <w:numPr>
          <w:ilvl w:val="1"/>
          <w:numId w:val="2"/>
        </w:numPr>
        <w:spacing w:before="120" w:after="120"/>
      </w:pPr>
      <w:r w:rsidRPr="00BE5FAF">
        <w:t xml:space="preserve">Overall, treatment with </w:t>
      </w:r>
      <w:proofErr w:type="spellStart"/>
      <w:r w:rsidRPr="00BE5FAF">
        <w:t>rivaroxaban</w:t>
      </w:r>
      <w:proofErr w:type="spellEnd"/>
      <w:r w:rsidRPr="00BE5FAF">
        <w:t xml:space="preserve"> in combination with aspirin statistically significantly reduced the risk of the net clinical benefit outcome compared with aspirin alone. The </w:t>
      </w:r>
      <w:r w:rsidR="00984A1C" w:rsidRPr="00BE5FAF">
        <w:t>evaluation</w:t>
      </w:r>
      <w:r w:rsidR="00B812E1" w:rsidRPr="00BE5FAF">
        <w:t>,</w:t>
      </w:r>
      <w:r w:rsidR="00984A1C" w:rsidRPr="00BE5FAF">
        <w:t xml:space="preserve"> ESC </w:t>
      </w:r>
      <w:r w:rsidR="00B812E1" w:rsidRPr="00BE5FAF">
        <w:t xml:space="preserve">and PBAC </w:t>
      </w:r>
      <w:r w:rsidR="00984A1C" w:rsidRPr="00BE5FAF">
        <w:t xml:space="preserve">considered that the </w:t>
      </w:r>
      <w:r w:rsidRPr="00BE5FAF">
        <w:t xml:space="preserve">clinical relevance of this outcome is unclear; net clinical benefit outcome includes events of varying severity, and may underestimate safety by neglecting potential consequences of even minor bleeds. </w:t>
      </w:r>
      <w:r w:rsidR="00473DA5" w:rsidRPr="00BE5FAF">
        <w:t>I</w:t>
      </w:r>
      <w:r w:rsidRPr="00BE5FAF">
        <w:t xml:space="preserve">n clinical </w:t>
      </w:r>
      <w:r w:rsidR="00BE5FAF" w:rsidRPr="00BE5FAF">
        <w:t>practice,</w:t>
      </w:r>
      <w:r w:rsidRPr="00BE5FAF">
        <w:t xml:space="preserve"> </w:t>
      </w:r>
      <w:r w:rsidR="00A21C9D" w:rsidRPr="00BE5FAF">
        <w:t>a</w:t>
      </w:r>
      <w:r w:rsidRPr="00BE5FAF">
        <w:t xml:space="preserve"> range of cardiovascular and bleeding outcomes would need to </w:t>
      </w:r>
      <w:proofErr w:type="gramStart"/>
      <w:r w:rsidRPr="00BE5FAF">
        <w:t>be considered</w:t>
      </w:r>
      <w:proofErr w:type="gramEnd"/>
      <w:r w:rsidRPr="00BE5FAF">
        <w:t xml:space="preserve"> to determine whether benefits are likely to exceed risks for an individual patient</w:t>
      </w:r>
      <w:r w:rsidR="00A21C9D" w:rsidRPr="00BE5FAF">
        <w:t>,</w:t>
      </w:r>
      <w:r w:rsidR="00A203F6" w:rsidRPr="00BE5FAF">
        <w:t xml:space="preserve"> although the ESC recognised that there is no bleeding risk scoring system that has been validated in this clinical scenario. </w:t>
      </w:r>
    </w:p>
    <w:p w:rsidR="00A3651E" w:rsidRPr="00BE5FAF" w:rsidRDefault="00A3651E" w:rsidP="003008B5">
      <w:pPr>
        <w:pStyle w:val="Heading2"/>
        <w:widowControl/>
        <w:spacing w:before="120" w:after="120"/>
      </w:pPr>
      <w:bookmarkStart w:id="9" w:name="_Toc535943615"/>
      <w:r w:rsidRPr="00BE5FAF">
        <w:t>Benefits/harms</w:t>
      </w:r>
      <w:bookmarkEnd w:id="9"/>
    </w:p>
    <w:p w:rsidR="00A3651E" w:rsidRPr="00BE5FAF" w:rsidRDefault="00A3651E" w:rsidP="003008B5">
      <w:pPr>
        <w:pStyle w:val="ListParagraph"/>
        <w:widowControl/>
        <w:numPr>
          <w:ilvl w:val="1"/>
          <w:numId w:val="2"/>
        </w:numPr>
        <w:spacing w:before="120" w:after="120"/>
        <w:rPr>
          <w:rFonts w:cs="Calibri"/>
          <w:snapToGrid/>
          <w:szCs w:val="24"/>
          <w:lang w:eastAsia="en-AU"/>
        </w:rPr>
      </w:pPr>
      <w:r w:rsidRPr="00BE5FAF">
        <w:rPr>
          <w:rFonts w:cs="Calibri"/>
          <w:snapToGrid/>
          <w:szCs w:val="24"/>
          <w:lang w:eastAsia="en-AU"/>
        </w:rPr>
        <w:t xml:space="preserve">A summary of the comparative benefits and harms </w:t>
      </w:r>
      <w:proofErr w:type="gramStart"/>
      <w:r w:rsidRPr="00BE5FAF">
        <w:rPr>
          <w:rFonts w:cs="Calibri"/>
          <w:snapToGrid/>
          <w:szCs w:val="24"/>
          <w:lang w:eastAsia="en-AU"/>
        </w:rPr>
        <w:t xml:space="preserve">for </w:t>
      </w:r>
      <w:proofErr w:type="spellStart"/>
      <w:r w:rsidRPr="00BE5FAF">
        <w:rPr>
          <w:rFonts w:cs="Calibri"/>
          <w:snapToGrid/>
          <w:szCs w:val="24"/>
          <w:lang w:eastAsia="en-AU"/>
        </w:rPr>
        <w:t>rivaroxaban</w:t>
      </w:r>
      <w:proofErr w:type="spellEnd"/>
      <w:r w:rsidRPr="00BE5FAF">
        <w:rPr>
          <w:rFonts w:cs="Calibri"/>
          <w:snapToGrid/>
          <w:szCs w:val="24"/>
          <w:lang w:eastAsia="en-AU"/>
        </w:rPr>
        <w:t xml:space="preserve"> in combination with aspirin versus aspirin monotherapy</w:t>
      </w:r>
      <w:proofErr w:type="gramEnd"/>
      <w:r w:rsidRPr="00BE5FAF">
        <w:rPr>
          <w:rFonts w:cs="Calibri"/>
          <w:snapToGrid/>
          <w:szCs w:val="24"/>
          <w:lang w:eastAsia="en-AU"/>
        </w:rPr>
        <w:t xml:space="preserve"> is presented in the table below. </w:t>
      </w:r>
    </w:p>
    <w:p w:rsidR="00A3651E" w:rsidRPr="00BE5FAF" w:rsidRDefault="00A3651E" w:rsidP="00473DA5">
      <w:pPr>
        <w:keepNext/>
        <w:keepLines/>
        <w:widowControl/>
        <w:rPr>
          <w:rStyle w:val="CommentReference"/>
        </w:rPr>
      </w:pPr>
      <w:r w:rsidRPr="00BE5FAF">
        <w:rPr>
          <w:rStyle w:val="CommentReference"/>
        </w:rPr>
        <w:lastRenderedPageBreak/>
        <w:t xml:space="preserve">Table </w:t>
      </w:r>
      <w:r w:rsidR="003D0A8E" w:rsidRPr="00BE5FAF">
        <w:rPr>
          <w:rStyle w:val="CommentReference"/>
        </w:rPr>
        <w:t>9</w:t>
      </w:r>
      <w:r w:rsidRPr="00BE5FAF">
        <w:rPr>
          <w:rStyle w:val="CommentReference"/>
        </w:rPr>
        <w:t xml:space="preserve">: Summary of comparative benefits and harms for </w:t>
      </w:r>
      <w:proofErr w:type="spellStart"/>
      <w:r w:rsidRPr="00BE5FAF">
        <w:rPr>
          <w:rStyle w:val="CommentReference"/>
        </w:rPr>
        <w:t>rivaroxaban</w:t>
      </w:r>
      <w:proofErr w:type="spellEnd"/>
      <w:r w:rsidRPr="00BE5FAF">
        <w:rPr>
          <w:rStyle w:val="CommentReference"/>
        </w:rPr>
        <w:t xml:space="preserve"> and aspirin</w:t>
      </w:r>
    </w:p>
    <w:tbl>
      <w:tblPr>
        <w:tblW w:w="5031" w:type="pct"/>
        <w:tblInd w:w="-28" w:type="dxa"/>
        <w:tblLayout w:type="fixed"/>
        <w:tblCellMar>
          <w:left w:w="28" w:type="dxa"/>
          <w:right w:w="28" w:type="dxa"/>
        </w:tblCellMar>
        <w:tblLook w:val="04A0" w:firstRow="1" w:lastRow="0" w:firstColumn="1" w:lastColumn="0" w:noHBand="0" w:noVBand="1"/>
        <w:tblCaption w:val="Table 9: Summary of comparative benefits and harms for rivaroxaban and aspirin"/>
      </w:tblPr>
      <w:tblGrid>
        <w:gridCol w:w="1855"/>
        <w:gridCol w:w="11"/>
        <w:gridCol w:w="1276"/>
        <w:gridCol w:w="194"/>
        <w:gridCol w:w="1083"/>
        <w:gridCol w:w="553"/>
        <w:gridCol w:w="1009"/>
        <w:gridCol w:w="749"/>
        <w:gridCol w:w="524"/>
        <w:gridCol w:w="993"/>
        <w:gridCol w:w="826"/>
      </w:tblGrid>
      <w:tr w:rsidR="00A3651E" w:rsidRPr="00BE5FAF" w:rsidTr="006956D5">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rsidR="00A3651E" w:rsidRPr="00BE5FAF" w:rsidRDefault="00A3651E" w:rsidP="00473DA5">
            <w:pPr>
              <w:keepNext/>
              <w:keepLines/>
              <w:widowControl/>
              <w:rPr>
                <w:rFonts w:ascii="Arial Narrow" w:hAnsi="Arial Narrow"/>
                <w:b/>
                <w:color w:val="000000"/>
                <w:sz w:val="20"/>
                <w:szCs w:val="18"/>
              </w:rPr>
            </w:pPr>
            <w:r w:rsidRPr="00BE5FAF">
              <w:rPr>
                <w:rFonts w:ascii="Arial Narrow" w:hAnsi="Arial Narrow"/>
                <w:b/>
                <w:color w:val="000000"/>
                <w:sz w:val="20"/>
                <w:szCs w:val="18"/>
              </w:rPr>
              <w:t>Composite primary outcome (myocardial infarction, stroke, or cardiovascular death): COMPASS trial</w:t>
            </w:r>
          </w:p>
        </w:tc>
      </w:tr>
      <w:tr w:rsidR="00A3651E" w:rsidRPr="00BE5FAF" w:rsidTr="008A04A5">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A3651E" w:rsidRPr="00BE5FAF" w:rsidRDefault="00A3651E" w:rsidP="00473DA5">
            <w:pPr>
              <w:keepNext/>
              <w:keepLines/>
              <w:widowControl/>
              <w:jc w:val="center"/>
              <w:rPr>
                <w:rFonts w:ascii="Arial Narrow" w:hAnsi="Arial Narrow"/>
                <w:color w:val="000000"/>
                <w:sz w:val="20"/>
                <w:szCs w:val="18"/>
              </w:rPr>
            </w:pPr>
          </w:p>
        </w:tc>
        <w:tc>
          <w:tcPr>
            <w:tcW w:w="816" w:type="pct"/>
            <w:gridSpan w:val="3"/>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proofErr w:type="spellStart"/>
            <w:r w:rsidRPr="00BE5FAF">
              <w:rPr>
                <w:rFonts w:ascii="Arial Narrow" w:hAnsi="Arial Narrow"/>
                <w:b/>
                <w:color w:val="000000"/>
                <w:sz w:val="20"/>
                <w:szCs w:val="18"/>
              </w:rPr>
              <w:t>Rivaroxaban</w:t>
            </w:r>
            <w:proofErr w:type="spellEnd"/>
            <w:r w:rsidRPr="00BE5FAF">
              <w:rPr>
                <w:rFonts w:ascii="Arial Narrow" w:hAnsi="Arial Narrow"/>
                <w:b/>
                <w:color w:val="000000"/>
                <w:sz w:val="20"/>
                <w:szCs w:val="18"/>
              </w:rPr>
              <w:t xml:space="preserve"> 2.5 mg + aspirin 100 mg, n=9152</w:t>
            </w:r>
          </w:p>
        </w:tc>
        <w:tc>
          <w:tcPr>
            <w:tcW w:w="902"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r w:rsidRPr="00BE5FAF">
              <w:rPr>
                <w:rFonts w:ascii="Arial Narrow" w:hAnsi="Arial Narrow"/>
                <w:b/>
                <w:color w:val="000000"/>
                <w:sz w:val="20"/>
                <w:szCs w:val="18"/>
              </w:rPr>
              <w:t>Aspirin 100 mg, n=9126</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r w:rsidRPr="00BE5FAF">
              <w:rPr>
                <w:rFonts w:ascii="Arial Narrow" w:hAnsi="Arial Narrow"/>
                <w:b/>
                <w:color w:val="000000"/>
                <w:sz w:val="20"/>
                <w:szCs w:val="18"/>
              </w:rPr>
              <w:t>Absolute mean difference (%)</w:t>
            </w:r>
          </w:p>
        </w:tc>
        <w:tc>
          <w:tcPr>
            <w:tcW w:w="1291" w:type="pct"/>
            <w:gridSpan w:val="3"/>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r w:rsidRPr="00BE5FAF">
              <w:rPr>
                <w:rFonts w:ascii="Arial Narrow" w:hAnsi="Arial Narrow"/>
                <w:b/>
                <w:color w:val="000000"/>
                <w:sz w:val="20"/>
                <w:szCs w:val="18"/>
              </w:rPr>
              <w:t>HR (95% CI)</w:t>
            </w:r>
          </w:p>
        </w:tc>
      </w:tr>
      <w:tr w:rsidR="00A3651E" w:rsidRPr="00BE5FAF" w:rsidTr="008A04A5">
        <w:tc>
          <w:tcPr>
            <w:tcW w:w="1022" w:type="pct"/>
            <w:tcBorders>
              <w:top w:val="single" w:sz="4" w:space="0" w:color="auto"/>
              <w:left w:val="single" w:sz="4" w:space="0" w:color="auto"/>
              <w:bottom w:val="single" w:sz="4" w:space="0" w:color="auto"/>
              <w:right w:val="single" w:sz="4" w:space="0" w:color="auto"/>
            </w:tcBorders>
            <w:shd w:val="clear" w:color="auto" w:fill="auto"/>
          </w:tcPr>
          <w:p w:rsidR="00A3651E" w:rsidRPr="00BE5FAF" w:rsidRDefault="00A3651E" w:rsidP="00473DA5">
            <w:pPr>
              <w:keepNext/>
              <w:keepLines/>
              <w:widowControl/>
              <w:jc w:val="left"/>
              <w:rPr>
                <w:rFonts w:ascii="Arial Narrow" w:hAnsi="Arial Narrow"/>
                <w:color w:val="000000"/>
                <w:sz w:val="20"/>
                <w:szCs w:val="20"/>
              </w:rPr>
            </w:pPr>
            <w:r w:rsidRPr="00BE5FAF">
              <w:rPr>
                <w:rFonts w:ascii="Arial Narrow" w:hAnsi="Arial Narrow"/>
                <w:sz w:val="20"/>
                <w:szCs w:val="20"/>
              </w:rPr>
              <w:t>Composite primary outcome</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sz w:val="20"/>
                <w:szCs w:val="20"/>
              </w:rPr>
            </w:pPr>
            <w:r w:rsidRPr="00BE5FAF">
              <w:rPr>
                <w:rFonts w:ascii="Arial Narrow" w:hAnsi="Arial Narrow"/>
                <w:sz w:val="20"/>
                <w:szCs w:val="20"/>
              </w:rPr>
              <w:t>379 (4.1)</w:t>
            </w:r>
          </w:p>
        </w:tc>
        <w:tc>
          <w:tcPr>
            <w:tcW w:w="902"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sz w:val="20"/>
                <w:szCs w:val="20"/>
              </w:rPr>
            </w:pPr>
            <w:r w:rsidRPr="00BE5FAF">
              <w:rPr>
                <w:rFonts w:ascii="Arial Narrow" w:hAnsi="Arial Narrow"/>
                <w:sz w:val="20"/>
                <w:szCs w:val="20"/>
              </w:rPr>
              <w:t>496 (5.4)</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rPr>
              <w:t>1.3</w:t>
            </w:r>
          </w:p>
        </w:tc>
        <w:tc>
          <w:tcPr>
            <w:tcW w:w="1291" w:type="pct"/>
            <w:gridSpan w:val="3"/>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b/>
                <w:sz w:val="20"/>
                <w:szCs w:val="20"/>
              </w:rPr>
              <w:t>0.76 (0.66, 0.86)</w:t>
            </w:r>
          </w:p>
        </w:tc>
      </w:tr>
      <w:tr w:rsidR="00A3651E" w:rsidRPr="00BE5FAF" w:rsidTr="008A04A5">
        <w:tc>
          <w:tcPr>
            <w:tcW w:w="1022" w:type="pct"/>
            <w:tcBorders>
              <w:top w:val="single" w:sz="4" w:space="0" w:color="auto"/>
              <w:left w:val="single" w:sz="4" w:space="0" w:color="auto"/>
              <w:bottom w:val="single" w:sz="4" w:space="0" w:color="auto"/>
              <w:right w:val="single" w:sz="4" w:space="0" w:color="auto"/>
            </w:tcBorders>
            <w:shd w:val="clear" w:color="auto" w:fill="auto"/>
          </w:tcPr>
          <w:p w:rsidR="00A3651E" w:rsidRPr="00BE5FAF" w:rsidRDefault="00A3651E" w:rsidP="00473DA5">
            <w:pPr>
              <w:keepNext/>
              <w:keepLines/>
              <w:widowControl/>
              <w:jc w:val="left"/>
              <w:rPr>
                <w:rFonts w:ascii="Arial Narrow" w:hAnsi="Arial Narrow"/>
                <w:color w:val="000000"/>
                <w:sz w:val="20"/>
                <w:szCs w:val="20"/>
              </w:rPr>
            </w:pPr>
            <w:r w:rsidRPr="00BE5FAF">
              <w:rPr>
                <w:rFonts w:ascii="Arial Narrow" w:hAnsi="Arial Narrow"/>
                <w:sz w:val="20"/>
                <w:szCs w:val="20"/>
              </w:rPr>
              <w:t>Myocardial infarction</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sz w:val="20"/>
                <w:szCs w:val="20"/>
              </w:rPr>
            </w:pPr>
            <w:r w:rsidRPr="00BE5FAF">
              <w:rPr>
                <w:rFonts w:ascii="Arial Narrow" w:hAnsi="Arial Narrow"/>
                <w:sz w:val="20"/>
                <w:szCs w:val="20"/>
              </w:rPr>
              <w:t>178 (1.9)</w:t>
            </w:r>
          </w:p>
        </w:tc>
        <w:tc>
          <w:tcPr>
            <w:tcW w:w="902"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sz w:val="20"/>
                <w:szCs w:val="20"/>
              </w:rPr>
            </w:pPr>
            <w:r w:rsidRPr="00BE5FAF">
              <w:rPr>
                <w:rFonts w:ascii="Arial Narrow" w:hAnsi="Arial Narrow"/>
                <w:sz w:val="20"/>
                <w:szCs w:val="20"/>
              </w:rPr>
              <w:t>205 (2.2)</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rPr>
              <w:t>0.3</w:t>
            </w:r>
          </w:p>
        </w:tc>
        <w:tc>
          <w:tcPr>
            <w:tcW w:w="1291" w:type="pct"/>
            <w:gridSpan w:val="3"/>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rPr>
              <w:t>0.86 (0.70, 1.05)</w:t>
            </w:r>
          </w:p>
        </w:tc>
      </w:tr>
      <w:tr w:rsidR="00A3651E" w:rsidRPr="00BE5FAF" w:rsidTr="008A04A5">
        <w:tc>
          <w:tcPr>
            <w:tcW w:w="1022" w:type="pct"/>
            <w:tcBorders>
              <w:top w:val="single" w:sz="4" w:space="0" w:color="auto"/>
              <w:left w:val="single" w:sz="4" w:space="0" w:color="auto"/>
              <w:bottom w:val="single" w:sz="4" w:space="0" w:color="auto"/>
              <w:right w:val="single" w:sz="4" w:space="0" w:color="auto"/>
            </w:tcBorders>
            <w:shd w:val="clear" w:color="auto" w:fill="auto"/>
          </w:tcPr>
          <w:p w:rsidR="00A3651E" w:rsidRPr="00BE5FAF" w:rsidRDefault="00A3651E" w:rsidP="00473DA5">
            <w:pPr>
              <w:keepNext/>
              <w:keepLines/>
              <w:widowControl/>
              <w:jc w:val="left"/>
              <w:rPr>
                <w:rFonts w:ascii="Arial Narrow" w:hAnsi="Arial Narrow"/>
                <w:color w:val="000000"/>
                <w:sz w:val="20"/>
                <w:szCs w:val="20"/>
              </w:rPr>
            </w:pPr>
            <w:r w:rsidRPr="00BE5FAF">
              <w:rPr>
                <w:rFonts w:ascii="Arial Narrow" w:hAnsi="Arial Narrow"/>
                <w:sz w:val="20"/>
                <w:szCs w:val="20"/>
              </w:rPr>
              <w:t>Stroke</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sz w:val="20"/>
                <w:szCs w:val="20"/>
              </w:rPr>
            </w:pPr>
            <w:r w:rsidRPr="00BE5FAF">
              <w:rPr>
                <w:rFonts w:ascii="Arial Narrow" w:hAnsi="Arial Narrow"/>
                <w:sz w:val="20"/>
                <w:szCs w:val="20"/>
              </w:rPr>
              <w:t>83 (0.9%)</w:t>
            </w:r>
          </w:p>
        </w:tc>
        <w:tc>
          <w:tcPr>
            <w:tcW w:w="902"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sz w:val="20"/>
                <w:szCs w:val="20"/>
              </w:rPr>
            </w:pPr>
            <w:r w:rsidRPr="00BE5FAF">
              <w:rPr>
                <w:rFonts w:ascii="Arial Narrow" w:hAnsi="Arial Narrow"/>
                <w:sz w:val="20"/>
                <w:szCs w:val="20"/>
              </w:rPr>
              <w:t>142 (1.6)</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rPr>
              <w:t>0.7</w:t>
            </w:r>
          </w:p>
        </w:tc>
        <w:tc>
          <w:tcPr>
            <w:tcW w:w="1291" w:type="pct"/>
            <w:gridSpan w:val="3"/>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b/>
                <w:sz w:val="20"/>
                <w:szCs w:val="20"/>
              </w:rPr>
              <w:t>0.58 (0.44, 0.76)</w:t>
            </w:r>
          </w:p>
        </w:tc>
      </w:tr>
      <w:tr w:rsidR="00A3651E" w:rsidRPr="00BE5FAF" w:rsidTr="008A04A5">
        <w:tc>
          <w:tcPr>
            <w:tcW w:w="1022" w:type="pct"/>
            <w:tcBorders>
              <w:top w:val="single" w:sz="4" w:space="0" w:color="auto"/>
              <w:left w:val="single" w:sz="4" w:space="0" w:color="auto"/>
              <w:bottom w:val="double" w:sz="4" w:space="0" w:color="auto"/>
              <w:right w:val="single" w:sz="4" w:space="0" w:color="auto"/>
            </w:tcBorders>
            <w:shd w:val="clear" w:color="auto" w:fill="auto"/>
          </w:tcPr>
          <w:p w:rsidR="00A3651E" w:rsidRPr="00BE5FAF" w:rsidRDefault="00A3651E" w:rsidP="00473DA5">
            <w:pPr>
              <w:keepNext/>
              <w:keepLines/>
              <w:widowControl/>
              <w:jc w:val="left"/>
              <w:rPr>
                <w:rFonts w:ascii="Arial Narrow" w:hAnsi="Arial Narrow"/>
                <w:color w:val="000000"/>
                <w:sz w:val="20"/>
                <w:szCs w:val="20"/>
              </w:rPr>
            </w:pPr>
            <w:r w:rsidRPr="00BE5FAF">
              <w:rPr>
                <w:rFonts w:ascii="Arial Narrow" w:hAnsi="Arial Narrow"/>
                <w:sz w:val="20"/>
                <w:szCs w:val="20"/>
              </w:rPr>
              <w:t>Cardiovascular death</w:t>
            </w:r>
          </w:p>
        </w:tc>
        <w:tc>
          <w:tcPr>
            <w:tcW w:w="816" w:type="pct"/>
            <w:gridSpan w:val="3"/>
            <w:tcBorders>
              <w:top w:val="single" w:sz="4" w:space="0" w:color="auto"/>
              <w:left w:val="single" w:sz="4" w:space="0" w:color="auto"/>
              <w:bottom w:val="doub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sz w:val="20"/>
                <w:szCs w:val="20"/>
              </w:rPr>
            </w:pPr>
            <w:r w:rsidRPr="00BE5FAF">
              <w:rPr>
                <w:rFonts w:ascii="Arial Narrow" w:hAnsi="Arial Narrow"/>
                <w:sz w:val="20"/>
                <w:szCs w:val="20"/>
              </w:rPr>
              <w:t>160 (1.7)</w:t>
            </w:r>
          </w:p>
        </w:tc>
        <w:tc>
          <w:tcPr>
            <w:tcW w:w="902" w:type="pct"/>
            <w:gridSpan w:val="2"/>
            <w:tcBorders>
              <w:top w:val="single" w:sz="4" w:space="0" w:color="auto"/>
              <w:left w:val="single" w:sz="4" w:space="0" w:color="auto"/>
              <w:bottom w:val="doub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sz w:val="20"/>
                <w:szCs w:val="20"/>
              </w:rPr>
            </w:pPr>
            <w:r w:rsidRPr="00BE5FAF">
              <w:rPr>
                <w:rFonts w:ascii="Arial Narrow" w:hAnsi="Arial Narrow"/>
                <w:sz w:val="20"/>
                <w:szCs w:val="20"/>
              </w:rPr>
              <w:t>203 (2.2)</w:t>
            </w:r>
          </w:p>
        </w:tc>
        <w:tc>
          <w:tcPr>
            <w:tcW w:w="969" w:type="pct"/>
            <w:gridSpan w:val="2"/>
            <w:tcBorders>
              <w:top w:val="single" w:sz="4" w:space="0" w:color="auto"/>
              <w:left w:val="single" w:sz="4" w:space="0" w:color="auto"/>
              <w:bottom w:val="doub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rPr>
              <w:t>0.5</w:t>
            </w:r>
          </w:p>
        </w:tc>
        <w:tc>
          <w:tcPr>
            <w:tcW w:w="1291" w:type="pct"/>
            <w:gridSpan w:val="3"/>
            <w:tcBorders>
              <w:top w:val="single" w:sz="4" w:space="0" w:color="auto"/>
              <w:left w:val="single" w:sz="4" w:space="0" w:color="auto"/>
              <w:bottom w:val="doub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b/>
                <w:sz w:val="20"/>
                <w:szCs w:val="20"/>
              </w:rPr>
              <w:t>0.78 (0.64, 0.96)</w:t>
            </w:r>
          </w:p>
        </w:tc>
      </w:tr>
      <w:tr w:rsidR="00A3651E" w:rsidRPr="00BE5FAF" w:rsidTr="006956D5">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rsidR="00A3651E" w:rsidRPr="00BE5FAF" w:rsidRDefault="00A3651E" w:rsidP="00473DA5">
            <w:pPr>
              <w:keepNext/>
              <w:keepLines/>
              <w:widowControl/>
              <w:rPr>
                <w:rFonts w:ascii="Arial Narrow" w:hAnsi="Arial Narrow"/>
                <w:b/>
                <w:color w:val="000000"/>
                <w:sz w:val="20"/>
                <w:szCs w:val="18"/>
              </w:rPr>
            </w:pPr>
            <w:r w:rsidRPr="00BE5FAF">
              <w:rPr>
                <w:rFonts w:ascii="Arial Narrow" w:hAnsi="Arial Narrow"/>
                <w:b/>
                <w:color w:val="000000"/>
                <w:sz w:val="20"/>
                <w:szCs w:val="18"/>
              </w:rPr>
              <w:t xml:space="preserve">Harms </w:t>
            </w:r>
          </w:p>
        </w:tc>
      </w:tr>
      <w:tr w:rsidR="008A04A5" w:rsidRPr="00BE5FAF" w:rsidTr="00FA7D99">
        <w:trPr>
          <w:trHeight w:val="70"/>
        </w:trPr>
        <w:tc>
          <w:tcPr>
            <w:tcW w:w="10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51E" w:rsidRPr="00BE5FAF" w:rsidRDefault="00A3651E" w:rsidP="00473DA5">
            <w:pPr>
              <w:keepNext/>
              <w:keepLines/>
              <w:widowControl/>
              <w:rPr>
                <w:rFonts w:ascii="Arial Narrow" w:hAnsi="Arial Narrow"/>
                <w:b/>
                <w:color w:val="000000"/>
                <w:sz w:val="20"/>
                <w:szCs w:val="18"/>
              </w:rPr>
            </w:pPr>
          </w:p>
        </w:tc>
        <w:tc>
          <w:tcPr>
            <w:tcW w:w="703" w:type="pct"/>
            <w:vMerge w:val="restar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proofErr w:type="spellStart"/>
            <w:r w:rsidRPr="00BE5FAF">
              <w:rPr>
                <w:rFonts w:ascii="Arial Narrow" w:hAnsi="Arial Narrow"/>
                <w:b/>
                <w:color w:val="000000"/>
                <w:sz w:val="20"/>
                <w:szCs w:val="18"/>
              </w:rPr>
              <w:t>Rivaroxaban</w:t>
            </w:r>
            <w:proofErr w:type="spellEnd"/>
            <w:r w:rsidRPr="00BE5FAF">
              <w:rPr>
                <w:rFonts w:ascii="Arial Narrow" w:hAnsi="Arial Narrow"/>
                <w:b/>
                <w:color w:val="000000"/>
                <w:sz w:val="20"/>
                <w:szCs w:val="18"/>
              </w:rPr>
              <w:t xml:space="preserve"> + aspirin</w:t>
            </w:r>
          </w:p>
          <w:p w:rsidR="00A3651E" w:rsidRPr="00BE5FAF" w:rsidRDefault="00A3651E" w:rsidP="00473DA5">
            <w:pPr>
              <w:keepNext/>
              <w:keepLines/>
              <w:widowControl/>
              <w:jc w:val="center"/>
              <w:rPr>
                <w:rFonts w:ascii="Arial Narrow" w:hAnsi="Arial Narrow"/>
                <w:b/>
                <w:color w:val="000000"/>
                <w:sz w:val="20"/>
                <w:szCs w:val="18"/>
              </w:rPr>
            </w:pPr>
            <w:r w:rsidRPr="00BE5FAF">
              <w:rPr>
                <w:rFonts w:ascii="Arial Narrow" w:hAnsi="Arial Narrow"/>
                <w:b/>
                <w:color w:val="000000"/>
                <w:sz w:val="20"/>
                <w:szCs w:val="18"/>
              </w:rPr>
              <w:t>n/N</w:t>
            </w:r>
          </w:p>
        </w:tc>
        <w:tc>
          <w:tcPr>
            <w:tcW w:w="704" w:type="pct"/>
            <w:gridSpan w:val="2"/>
            <w:vMerge w:val="restar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r w:rsidRPr="00BE5FAF">
              <w:rPr>
                <w:rFonts w:ascii="Arial Narrow" w:hAnsi="Arial Narrow"/>
                <w:b/>
                <w:color w:val="000000"/>
                <w:sz w:val="20"/>
                <w:szCs w:val="18"/>
              </w:rPr>
              <w:t>Aspirin</w:t>
            </w:r>
          </w:p>
          <w:p w:rsidR="00A3651E" w:rsidRPr="00BE5FAF" w:rsidRDefault="00A3651E" w:rsidP="00473DA5">
            <w:pPr>
              <w:keepNext/>
              <w:keepLines/>
              <w:widowControl/>
              <w:jc w:val="center"/>
              <w:rPr>
                <w:rFonts w:ascii="Arial Narrow" w:hAnsi="Arial Narrow"/>
                <w:b/>
                <w:color w:val="000000"/>
                <w:sz w:val="20"/>
                <w:szCs w:val="18"/>
              </w:rPr>
            </w:pPr>
            <w:r w:rsidRPr="00BE5FAF">
              <w:rPr>
                <w:rFonts w:ascii="Arial Narrow" w:hAnsi="Arial Narrow"/>
                <w:b/>
                <w:color w:val="000000"/>
                <w:sz w:val="20"/>
                <w:szCs w:val="18"/>
              </w:rPr>
              <w:t>n/N</w:t>
            </w:r>
          </w:p>
        </w:tc>
        <w:tc>
          <w:tcPr>
            <w:tcW w:w="861" w:type="pct"/>
            <w:gridSpan w:val="2"/>
            <w:vMerge w:val="restar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r w:rsidRPr="00BE5FAF">
              <w:rPr>
                <w:rFonts w:ascii="Arial Narrow" w:hAnsi="Arial Narrow"/>
                <w:b/>
                <w:color w:val="000000"/>
                <w:sz w:val="20"/>
                <w:szCs w:val="18"/>
              </w:rPr>
              <w:t>HR</w:t>
            </w:r>
          </w:p>
          <w:p w:rsidR="00A3651E" w:rsidRPr="00BE5FAF" w:rsidRDefault="00A3651E" w:rsidP="00473DA5">
            <w:pPr>
              <w:keepNext/>
              <w:keepLines/>
              <w:widowControl/>
              <w:jc w:val="center"/>
              <w:rPr>
                <w:rFonts w:ascii="Arial Narrow" w:hAnsi="Arial Narrow"/>
                <w:b/>
                <w:color w:val="000000"/>
                <w:sz w:val="20"/>
                <w:szCs w:val="18"/>
              </w:rPr>
            </w:pPr>
            <w:r w:rsidRPr="00BE5FAF">
              <w:rPr>
                <w:rFonts w:ascii="Arial Narrow" w:hAnsi="Arial Narrow"/>
                <w:b/>
                <w:color w:val="000000"/>
                <w:sz w:val="20"/>
                <w:szCs w:val="18"/>
              </w:rPr>
              <w:t>(95% CI)</w:t>
            </w:r>
          </w:p>
        </w:tc>
        <w:tc>
          <w:tcPr>
            <w:tcW w:w="1249" w:type="pct"/>
            <w:gridSpan w:val="3"/>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r w:rsidRPr="00BE5FAF">
              <w:rPr>
                <w:rFonts w:ascii="Arial Narrow" w:hAnsi="Arial Narrow"/>
                <w:b/>
                <w:color w:val="000000"/>
                <w:sz w:val="20"/>
                <w:szCs w:val="18"/>
              </w:rPr>
              <w:t xml:space="preserve">Event rate/100 patients* </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A3651E" w:rsidRPr="00BE5FAF" w:rsidRDefault="008A04A5" w:rsidP="00473DA5">
            <w:pPr>
              <w:keepNext/>
              <w:keepLines/>
              <w:widowControl/>
              <w:jc w:val="center"/>
              <w:rPr>
                <w:rFonts w:ascii="Arial Narrow" w:hAnsi="Arial Narrow"/>
                <w:b/>
                <w:color w:val="000000"/>
                <w:sz w:val="20"/>
                <w:szCs w:val="18"/>
              </w:rPr>
            </w:pPr>
            <w:r w:rsidRPr="00BE5FAF">
              <w:rPr>
                <w:rFonts w:ascii="Arial Narrow" w:hAnsi="Arial Narrow"/>
                <w:b/>
                <w:color w:val="000000"/>
                <w:sz w:val="20"/>
                <w:szCs w:val="18"/>
              </w:rPr>
              <w:t>RD</w:t>
            </w:r>
          </w:p>
        </w:tc>
      </w:tr>
      <w:tr w:rsidR="008A04A5" w:rsidRPr="00BE5FAF" w:rsidTr="00FA7D99">
        <w:trPr>
          <w:trHeight w:val="390"/>
        </w:trPr>
        <w:tc>
          <w:tcPr>
            <w:tcW w:w="102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3651E" w:rsidRPr="00BE5FAF" w:rsidRDefault="00A3651E" w:rsidP="00473DA5">
            <w:pPr>
              <w:keepNext/>
              <w:keepLines/>
              <w:widowControl/>
              <w:rPr>
                <w:rFonts w:ascii="Arial Narrow" w:hAnsi="Arial Narrow"/>
                <w:b/>
                <w:color w:val="000000"/>
                <w:sz w:val="20"/>
                <w:szCs w:val="18"/>
              </w:rPr>
            </w:pPr>
          </w:p>
        </w:tc>
        <w:tc>
          <w:tcPr>
            <w:tcW w:w="703" w:type="pct"/>
            <w:vMerge/>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p>
        </w:tc>
        <w:tc>
          <w:tcPr>
            <w:tcW w:w="704" w:type="pct"/>
            <w:gridSpan w:val="2"/>
            <w:vMerge/>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p>
        </w:tc>
        <w:tc>
          <w:tcPr>
            <w:tcW w:w="861" w:type="pct"/>
            <w:gridSpan w:val="2"/>
            <w:vMerge/>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p>
        </w:tc>
        <w:tc>
          <w:tcPr>
            <w:tcW w:w="702"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proofErr w:type="spellStart"/>
            <w:r w:rsidRPr="00BE5FAF">
              <w:rPr>
                <w:rFonts w:ascii="Arial Narrow" w:hAnsi="Arial Narrow"/>
                <w:b/>
                <w:color w:val="000000"/>
                <w:sz w:val="20"/>
                <w:szCs w:val="18"/>
              </w:rPr>
              <w:t>Rivaroxaban</w:t>
            </w:r>
            <w:proofErr w:type="spellEnd"/>
            <w:r w:rsidRPr="00BE5FAF">
              <w:rPr>
                <w:rFonts w:ascii="Arial Narrow" w:hAnsi="Arial Narrow"/>
                <w:b/>
                <w:color w:val="000000"/>
                <w:sz w:val="20"/>
                <w:szCs w:val="18"/>
              </w:rPr>
              <w:t xml:space="preserve"> + aspirin</w:t>
            </w:r>
          </w:p>
        </w:tc>
        <w:tc>
          <w:tcPr>
            <w:tcW w:w="547" w:type="pc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r w:rsidRPr="00BE5FAF">
              <w:rPr>
                <w:rFonts w:ascii="Arial Narrow" w:hAnsi="Arial Narrow"/>
                <w:b/>
                <w:color w:val="000000"/>
                <w:sz w:val="20"/>
                <w:szCs w:val="18"/>
              </w:rPr>
              <w:t>Aspirin</w:t>
            </w:r>
          </w:p>
        </w:tc>
        <w:tc>
          <w:tcPr>
            <w:tcW w:w="455" w:type="pct"/>
            <w:vMerge/>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b/>
                <w:color w:val="000000"/>
                <w:sz w:val="20"/>
                <w:szCs w:val="18"/>
              </w:rPr>
            </w:pPr>
          </w:p>
        </w:tc>
      </w:tr>
      <w:tr w:rsidR="008A04A5" w:rsidRPr="00BE5FAF" w:rsidTr="00FA7D99">
        <w:tc>
          <w:tcPr>
            <w:tcW w:w="1028" w:type="pct"/>
            <w:gridSpan w:val="2"/>
            <w:tcBorders>
              <w:top w:val="single" w:sz="4" w:space="0" w:color="auto"/>
              <w:left w:val="single" w:sz="4" w:space="0" w:color="auto"/>
              <w:bottom w:val="single" w:sz="4" w:space="0" w:color="auto"/>
              <w:right w:val="single" w:sz="4" w:space="0" w:color="auto"/>
            </w:tcBorders>
            <w:shd w:val="clear" w:color="auto" w:fill="auto"/>
          </w:tcPr>
          <w:p w:rsidR="00A3651E" w:rsidRPr="00BE5FAF" w:rsidRDefault="00A3651E" w:rsidP="00473DA5">
            <w:pPr>
              <w:keepNext/>
              <w:keepLines/>
              <w:widowControl/>
              <w:jc w:val="left"/>
              <w:rPr>
                <w:rFonts w:ascii="Arial Narrow" w:hAnsi="Arial Narrow"/>
                <w:color w:val="000000"/>
                <w:sz w:val="20"/>
                <w:szCs w:val="20"/>
              </w:rPr>
            </w:pPr>
            <w:r w:rsidRPr="00BE5FAF">
              <w:rPr>
                <w:rFonts w:ascii="Arial Narrow" w:hAnsi="Arial Narrow"/>
                <w:sz w:val="20"/>
                <w:szCs w:val="20"/>
              </w:rPr>
              <w:t>Modified ISTH major bleeding</w:t>
            </w:r>
          </w:p>
        </w:tc>
        <w:tc>
          <w:tcPr>
            <w:tcW w:w="703" w:type="pc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lang w:eastAsia="en-AU"/>
              </w:rPr>
              <w:t xml:space="preserve">263/9134 </w:t>
            </w:r>
          </w:p>
        </w:tc>
        <w:tc>
          <w:tcPr>
            <w:tcW w:w="704"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rPr>
              <w:t xml:space="preserve">144/9107 </w:t>
            </w:r>
          </w:p>
        </w:tc>
        <w:tc>
          <w:tcPr>
            <w:tcW w:w="861"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b/>
                <w:sz w:val="20"/>
                <w:szCs w:val="20"/>
              </w:rPr>
              <w:t>1.84 (1.50, 2.26)</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18"/>
              </w:rPr>
            </w:pPr>
            <w:r w:rsidRPr="00BE5FAF">
              <w:rPr>
                <w:rFonts w:ascii="Arial Narrow" w:hAnsi="Arial Narrow"/>
                <w:color w:val="000000"/>
                <w:sz w:val="20"/>
                <w:szCs w:val="18"/>
              </w:rPr>
              <w:t>2.9</w:t>
            </w:r>
          </w:p>
        </w:tc>
        <w:tc>
          <w:tcPr>
            <w:tcW w:w="547" w:type="pc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18"/>
              </w:rPr>
            </w:pPr>
            <w:r w:rsidRPr="00BE5FAF">
              <w:rPr>
                <w:rFonts w:ascii="Arial Narrow" w:hAnsi="Arial Narrow"/>
                <w:color w:val="000000"/>
                <w:sz w:val="20"/>
                <w:szCs w:val="18"/>
              </w:rPr>
              <w:t>1.6</w:t>
            </w:r>
          </w:p>
        </w:tc>
        <w:tc>
          <w:tcPr>
            <w:tcW w:w="455" w:type="pc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18"/>
              </w:rPr>
            </w:pPr>
            <w:r w:rsidRPr="00BE5FAF">
              <w:rPr>
                <w:rFonts w:ascii="Arial Narrow" w:hAnsi="Arial Narrow"/>
                <w:color w:val="000000"/>
                <w:sz w:val="20"/>
                <w:szCs w:val="18"/>
              </w:rPr>
              <w:t>1.3</w:t>
            </w:r>
          </w:p>
        </w:tc>
      </w:tr>
      <w:tr w:rsidR="008A04A5" w:rsidRPr="00BE5FAF" w:rsidTr="00FA7D99">
        <w:tc>
          <w:tcPr>
            <w:tcW w:w="1028" w:type="pct"/>
            <w:gridSpan w:val="2"/>
            <w:tcBorders>
              <w:top w:val="single" w:sz="4" w:space="0" w:color="auto"/>
              <w:left w:val="single" w:sz="4" w:space="0" w:color="auto"/>
              <w:bottom w:val="single" w:sz="4" w:space="0" w:color="auto"/>
              <w:right w:val="single" w:sz="4" w:space="0" w:color="auto"/>
            </w:tcBorders>
            <w:shd w:val="clear" w:color="auto" w:fill="auto"/>
          </w:tcPr>
          <w:p w:rsidR="00A3651E" w:rsidRPr="00BE5FAF" w:rsidRDefault="00A3651E" w:rsidP="00473DA5">
            <w:pPr>
              <w:keepNext/>
              <w:keepLines/>
              <w:widowControl/>
              <w:jc w:val="left"/>
              <w:rPr>
                <w:rFonts w:ascii="Arial Narrow" w:hAnsi="Arial Narrow"/>
                <w:color w:val="000000"/>
                <w:sz w:val="20"/>
                <w:szCs w:val="20"/>
              </w:rPr>
            </w:pPr>
            <w:r w:rsidRPr="00BE5FAF">
              <w:rPr>
                <w:rFonts w:ascii="Arial Narrow" w:hAnsi="Arial Narrow"/>
                <w:sz w:val="20"/>
                <w:szCs w:val="20"/>
              </w:rPr>
              <w:t>Fatal bleeding</w:t>
            </w:r>
          </w:p>
        </w:tc>
        <w:tc>
          <w:tcPr>
            <w:tcW w:w="703" w:type="pc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rPr>
              <w:t xml:space="preserve">12/9134 </w:t>
            </w:r>
          </w:p>
        </w:tc>
        <w:tc>
          <w:tcPr>
            <w:tcW w:w="704"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rPr>
              <w:t>8/9107</w:t>
            </w:r>
          </w:p>
        </w:tc>
        <w:tc>
          <w:tcPr>
            <w:tcW w:w="861"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rPr>
              <w:t>1.51 (0.62, 3.69)</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18"/>
              </w:rPr>
            </w:pPr>
            <w:r w:rsidRPr="00BE5FAF">
              <w:rPr>
                <w:rFonts w:ascii="Arial Narrow" w:hAnsi="Arial Narrow"/>
                <w:color w:val="000000"/>
                <w:sz w:val="20"/>
                <w:szCs w:val="18"/>
              </w:rPr>
              <w:t>0.1</w:t>
            </w:r>
          </w:p>
        </w:tc>
        <w:tc>
          <w:tcPr>
            <w:tcW w:w="547" w:type="pc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18"/>
              </w:rPr>
            </w:pPr>
            <w:r w:rsidRPr="00BE5FAF">
              <w:rPr>
                <w:rFonts w:ascii="Arial Narrow" w:hAnsi="Arial Narrow"/>
                <w:color w:val="000000"/>
                <w:sz w:val="20"/>
                <w:szCs w:val="18"/>
              </w:rPr>
              <w:t>&lt;0.1</w:t>
            </w:r>
          </w:p>
        </w:tc>
        <w:tc>
          <w:tcPr>
            <w:tcW w:w="455" w:type="pc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18"/>
              </w:rPr>
            </w:pPr>
            <w:r w:rsidRPr="00BE5FAF">
              <w:rPr>
                <w:rFonts w:ascii="Arial Narrow" w:hAnsi="Arial Narrow"/>
                <w:color w:val="000000"/>
                <w:sz w:val="20"/>
                <w:szCs w:val="18"/>
              </w:rPr>
              <w:t>NE</w:t>
            </w:r>
          </w:p>
        </w:tc>
      </w:tr>
      <w:tr w:rsidR="008A04A5" w:rsidRPr="00BE5FAF" w:rsidTr="00FA7D99">
        <w:tc>
          <w:tcPr>
            <w:tcW w:w="1028" w:type="pct"/>
            <w:gridSpan w:val="2"/>
            <w:tcBorders>
              <w:top w:val="single" w:sz="4" w:space="0" w:color="auto"/>
              <w:left w:val="single" w:sz="4" w:space="0" w:color="auto"/>
              <w:bottom w:val="single" w:sz="4" w:space="0" w:color="auto"/>
              <w:right w:val="single" w:sz="4" w:space="0" w:color="auto"/>
            </w:tcBorders>
            <w:shd w:val="clear" w:color="auto" w:fill="auto"/>
          </w:tcPr>
          <w:p w:rsidR="00A3651E" w:rsidRPr="00BE5FAF" w:rsidRDefault="00A3651E" w:rsidP="00473DA5">
            <w:pPr>
              <w:keepNext/>
              <w:keepLines/>
              <w:widowControl/>
              <w:jc w:val="left"/>
              <w:rPr>
                <w:rFonts w:ascii="Arial Narrow" w:hAnsi="Arial Narrow"/>
                <w:color w:val="000000"/>
                <w:sz w:val="20"/>
                <w:szCs w:val="20"/>
              </w:rPr>
            </w:pPr>
            <w:r w:rsidRPr="00BE5FAF">
              <w:rPr>
                <w:rFonts w:ascii="Arial Narrow" w:hAnsi="Arial Narrow"/>
                <w:sz w:val="20"/>
                <w:szCs w:val="20"/>
              </w:rPr>
              <w:t>Hospitalisation (non-fatal, non-critical organ, not leading to re-operation)</w:t>
            </w:r>
          </w:p>
        </w:tc>
        <w:tc>
          <w:tcPr>
            <w:tcW w:w="703" w:type="pc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lang w:eastAsia="en-AU"/>
              </w:rPr>
              <w:t>188/9134</w:t>
            </w:r>
          </w:p>
        </w:tc>
        <w:tc>
          <w:tcPr>
            <w:tcW w:w="704"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sz w:val="20"/>
                <w:szCs w:val="20"/>
                <w:lang w:eastAsia="en-AU"/>
              </w:rPr>
              <w:t>91/9107</w:t>
            </w:r>
          </w:p>
        </w:tc>
        <w:tc>
          <w:tcPr>
            <w:tcW w:w="861"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szCs w:val="20"/>
              </w:rPr>
            </w:pPr>
            <w:r w:rsidRPr="00BE5FAF">
              <w:rPr>
                <w:rFonts w:ascii="Arial Narrow" w:hAnsi="Arial Narrow"/>
                <w:b/>
                <w:sz w:val="20"/>
                <w:szCs w:val="20"/>
                <w:lang w:eastAsia="en-AU"/>
              </w:rPr>
              <w:t>2.08 (1.62, 2.67)</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rPr>
            </w:pPr>
            <w:r w:rsidRPr="00BE5FAF">
              <w:rPr>
                <w:rFonts w:ascii="Arial Narrow" w:hAnsi="Arial Narrow"/>
                <w:color w:val="000000"/>
                <w:sz w:val="20"/>
              </w:rPr>
              <w:t>2.1</w:t>
            </w:r>
          </w:p>
        </w:tc>
        <w:tc>
          <w:tcPr>
            <w:tcW w:w="547" w:type="pc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rPr>
            </w:pPr>
            <w:r w:rsidRPr="00BE5FAF">
              <w:rPr>
                <w:rFonts w:ascii="Arial Narrow" w:hAnsi="Arial Narrow"/>
                <w:color w:val="000000"/>
                <w:sz w:val="20"/>
              </w:rPr>
              <w:t>1.0</w:t>
            </w:r>
          </w:p>
        </w:tc>
        <w:tc>
          <w:tcPr>
            <w:tcW w:w="455" w:type="pct"/>
            <w:tcBorders>
              <w:top w:val="single" w:sz="4" w:space="0" w:color="auto"/>
              <w:left w:val="single" w:sz="4" w:space="0" w:color="auto"/>
              <w:bottom w:val="single" w:sz="4" w:space="0" w:color="auto"/>
              <w:right w:val="single" w:sz="4" w:space="0" w:color="auto"/>
            </w:tcBorders>
            <w:vAlign w:val="center"/>
          </w:tcPr>
          <w:p w:rsidR="00A3651E" w:rsidRPr="00BE5FAF" w:rsidRDefault="00A3651E" w:rsidP="00473DA5">
            <w:pPr>
              <w:keepNext/>
              <w:keepLines/>
              <w:widowControl/>
              <w:jc w:val="center"/>
              <w:rPr>
                <w:rFonts w:ascii="Arial Narrow" w:hAnsi="Arial Narrow"/>
                <w:color w:val="000000"/>
                <w:sz w:val="20"/>
              </w:rPr>
            </w:pPr>
            <w:r w:rsidRPr="00BE5FAF">
              <w:rPr>
                <w:rFonts w:ascii="Arial Narrow" w:hAnsi="Arial Narrow"/>
                <w:color w:val="000000"/>
                <w:sz w:val="20"/>
              </w:rPr>
              <w:t>1.1</w:t>
            </w:r>
          </w:p>
        </w:tc>
      </w:tr>
    </w:tbl>
    <w:p w:rsidR="00A3651E" w:rsidRPr="00BE5FAF" w:rsidRDefault="00A3651E" w:rsidP="00473DA5">
      <w:pPr>
        <w:pStyle w:val="TableFooter"/>
        <w:keepNext/>
        <w:keepLines/>
        <w:widowControl/>
      </w:pPr>
      <w:r w:rsidRPr="00BE5FAF">
        <w:t>Source: Table 2.5-1, p.107 of the submission; Table 9-2, p.124; Table 10-21, pp.266-267 of the COMPASS clinical study report</w:t>
      </w:r>
    </w:p>
    <w:p w:rsidR="00A3651E" w:rsidRPr="00BE5FAF" w:rsidRDefault="00A3651E" w:rsidP="00473DA5">
      <w:pPr>
        <w:pStyle w:val="TableFooter"/>
        <w:keepNext/>
        <w:keepLines/>
        <w:widowControl/>
      </w:pPr>
      <w:r w:rsidRPr="00BE5FAF">
        <w:t xml:space="preserve">Abbreviations: HR, hazard ratio; </w:t>
      </w:r>
      <w:r w:rsidR="008611F7" w:rsidRPr="00BE5FAF">
        <w:t xml:space="preserve">ISTH, International Society on Thrombosis and Haemostasis; </w:t>
      </w:r>
      <w:r w:rsidRPr="00BE5FAF">
        <w:t>NE, not estimable; RD, risk difference</w:t>
      </w:r>
    </w:p>
    <w:p w:rsidR="00A3651E" w:rsidRPr="00BE5FAF" w:rsidRDefault="00A3651E" w:rsidP="003008B5">
      <w:pPr>
        <w:pStyle w:val="ListParagraph"/>
        <w:widowControl/>
        <w:numPr>
          <w:ilvl w:val="1"/>
          <w:numId w:val="2"/>
        </w:numPr>
        <w:spacing w:before="120" w:after="120"/>
      </w:pPr>
      <w:r w:rsidRPr="00BE5FAF">
        <w:t>On the basis of the direct evidence presented in the submission, for every 1</w:t>
      </w:r>
      <w:r w:rsidR="00CF068C" w:rsidRPr="00BE5FAF">
        <w:t>,</w:t>
      </w:r>
      <w:r w:rsidRPr="00BE5FAF">
        <w:t>00</w:t>
      </w:r>
      <w:r w:rsidR="008A04A5" w:rsidRPr="00BE5FAF">
        <w:t>0</w:t>
      </w:r>
      <w:r w:rsidRPr="00BE5FAF">
        <w:t xml:space="preserve"> patients treated with </w:t>
      </w:r>
      <w:proofErr w:type="spellStart"/>
      <w:r w:rsidRPr="00BE5FAF">
        <w:t>rivaroxaban</w:t>
      </w:r>
      <w:proofErr w:type="spellEnd"/>
      <w:r w:rsidRPr="00BE5FAF">
        <w:t xml:space="preserve"> in combination with aspirin in comparison to aspirin alone and over a median duration of exposure of 23 months:</w:t>
      </w:r>
    </w:p>
    <w:p w:rsidR="00A3651E" w:rsidRPr="00BE5FAF" w:rsidRDefault="00A3651E" w:rsidP="003008B5">
      <w:pPr>
        <w:pStyle w:val="ListParagraph"/>
        <w:widowControl/>
        <w:numPr>
          <w:ilvl w:val="0"/>
          <w:numId w:val="1"/>
        </w:numPr>
        <w:spacing w:before="120" w:after="120"/>
        <w:ind w:left="993" w:hanging="284"/>
      </w:pPr>
      <w:r w:rsidRPr="00BE5FAF">
        <w:t>Approximately 1</w:t>
      </w:r>
      <w:r w:rsidR="008A04A5" w:rsidRPr="00BE5FAF">
        <w:t>3</w:t>
      </w:r>
      <w:r w:rsidRPr="00BE5FAF">
        <w:t xml:space="preserve"> additional patients would avoid a major adverse cardiovascular event (myocardial infarction, stroke, or cardiovascular death)</w:t>
      </w:r>
    </w:p>
    <w:p w:rsidR="00A3651E" w:rsidRPr="00BE5FAF" w:rsidRDefault="00A3651E" w:rsidP="003008B5">
      <w:pPr>
        <w:pStyle w:val="ListParagraph"/>
        <w:widowControl/>
        <w:numPr>
          <w:ilvl w:val="0"/>
          <w:numId w:val="1"/>
        </w:numPr>
        <w:spacing w:before="120" w:after="120"/>
        <w:ind w:left="993" w:hanging="284"/>
      </w:pPr>
      <w:r w:rsidRPr="00BE5FAF">
        <w:t>Approximately 1</w:t>
      </w:r>
      <w:r w:rsidR="008A04A5" w:rsidRPr="00BE5FAF">
        <w:t>3</w:t>
      </w:r>
      <w:r w:rsidRPr="00BE5FAF">
        <w:t xml:space="preserve"> additional patients would experience a major bleeding event</w:t>
      </w:r>
    </w:p>
    <w:p w:rsidR="00A3651E" w:rsidRPr="00BE5FAF" w:rsidRDefault="00A3651E" w:rsidP="003008B5">
      <w:pPr>
        <w:pStyle w:val="ListParagraph"/>
        <w:widowControl/>
        <w:numPr>
          <w:ilvl w:val="0"/>
          <w:numId w:val="1"/>
        </w:numPr>
        <w:spacing w:before="120" w:after="120"/>
        <w:ind w:left="993" w:hanging="284"/>
      </w:pPr>
      <w:r w:rsidRPr="00BE5FAF">
        <w:t>Approximately 1</w:t>
      </w:r>
      <w:r w:rsidR="004C7E66" w:rsidRPr="00BE5FAF">
        <w:t>1</w:t>
      </w:r>
      <w:r w:rsidRPr="00BE5FAF">
        <w:t xml:space="preserve"> additional patients would require hospitalisation to manage a bleeding event</w:t>
      </w:r>
    </w:p>
    <w:p w:rsidR="00CF068C" w:rsidRPr="00BE5FAF" w:rsidRDefault="00A3651E" w:rsidP="003008B5">
      <w:pPr>
        <w:pStyle w:val="ListParagraph"/>
        <w:widowControl/>
        <w:numPr>
          <w:ilvl w:val="1"/>
          <w:numId w:val="2"/>
        </w:numPr>
        <w:spacing w:before="120" w:after="120"/>
      </w:pPr>
      <w:r w:rsidRPr="00BE5FAF">
        <w:t xml:space="preserve">When </w:t>
      </w:r>
      <w:proofErr w:type="spellStart"/>
      <w:r w:rsidRPr="00BE5FAF">
        <w:t>rivaroxaban</w:t>
      </w:r>
      <w:proofErr w:type="spellEnd"/>
      <w:r w:rsidRPr="00BE5FAF">
        <w:t xml:space="preserve"> </w:t>
      </w:r>
      <w:r w:rsidR="004C7E66" w:rsidRPr="00BE5FAF">
        <w:t>plus</w:t>
      </w:r>
      <w:r w:rsidRPr="00BE5FAF">
        <w:t xml:space="preserve"> aspirin </w:t>
      </w:r>
      <w:proofErr w:type="gramStart"/>
      <w:r w:rsidRPr="00BE5FAF">
        <w:t>was compared</w:t>
      </w:r>
      <w:proofErr w:type="gramEnd"/>
      <w:r w:rsidRPr="00BE5FAF">
        <w:t xml:space="preserve"> to aspirin alone, the number needed to treat was 7</w:t>
      </w:r>
      <w:r w:rsidR="00C14A1B" w:rsidRPr="00BE5FAF">
        <w:t>7</w:t>
      </w:r>
      <w:r w:rsidRPr="00BE5FAF">
        <w:t xml:space="preserve">, indicating that </w:t>
      </w:r>
      <w:r w:rsidR="00BE5FAF" w:rsidRPr="00BE5FAF">
        <w:t>77</w:t>
      </w:r>
      <w:r w:rsidRPr="00BE5FAF">
        <w:t xml:space="preserve"> patients would need to be treated with </w:t>
      </w:r>
      <w:proofErr w:type="spellStart"/>
      <w:r w:rsidRPr="00BE5FAF">
        <w:t>rivaroxaban</w:t>
      </w:r>
      <w:proofErr w:type="spellEnd"/>
      <w:r w:rsidRPr="00BE5FAF">
        <w:t xml:space="preserve"> </w:t>
      </w:r>
      <w:r w:rsidR="004C7E66" w:rsidRPr="00BE5FAF">
        <w:t>plus</w:t>
      </w:r>
      <w:r w:rsidRPr="00BE5FAF">
        <w:t xml:space="preserve"> aspirin (rather than aspirin alone) for one additional patient to achieve benefit (major adverse cardiovascular event avoided) over a 23-month period. The number needed to harm was </w:t>
      </w:r>
      <w:r w:rsidR="00C14A1B" w:rsidRPr="00BE5FAF">
        <w:t>77</w:t>
      </w:r>
      <w:r w:rsidRPr="00BE5FAF">
        <w:t xml:space="preserve">, indicating that </w:t>
      </w:r>
      <w:r w:rsidR="00BE5FAF" w:rsidRPr="00BE5FAF">
        <w:t>77</w:t>
      </w:r>
      <w:r w:rsidR="00C14A1B" w:rsidRPr="00BE5FAF">
        <w:t xml:space="preserve"> </w:t>
      </w:r>
      <w:r w:rsidRPr="00BE5FAF">
        <w:t xml:space="preserve">patients would need to be treated with </w:t>
      </w:r>
      <w:proofErr w:type="spellStart"/>
      <w:r w:rsidRPr="00BE5FAF">
        <w:t>rivaroxaban</w:t>
      </w:r>
      <w:proofErr w:type="spellEnd"/>
      <w:r w:rsidRPr="00BE5FAF">
        <w:t xml:space="preserve"> + aspirin (rather than aspirin alone) for one additional patient to experience major bleeding over the 23-month period</w:t>
      </w:r>
      <w:r w:rsidR="00BE5FAF">
        <w:t xml:space="preserve">. </w:t>
      </w:r>
    </w:p>
    <w:p w:rsidR="00176A81" w:rsidRPr="00BE5FAF" w:rsidRDefault="00176A81" w:rsidP="003008B5">
      <w:pPr>
        <w:pStyle w:val="ListParagraph"/>
        <w:widowControl/>
        <w:numPr>
          <w:ilvl w:val="1"/>
          <w:numId w:val="2"/>
        </w:numPr>
        <w:spacing w:before="120" w:after="120"/>
      </w:pPr>
      <w:r w:rsidRPr="00BE5FAF">
        <w:t xml:space="preserve">In the subgroup of patients with CAD and PAD, the number needed to treat </w:t>
      </w:r>
      <w:r w:rsidR="00B957D6" w:rsidRPr="00BE5FAF">
        <w:t xml:space="preserve">to achieve benefit (major adverse cardiovascular event avoided) </w:t>
      </w:r>
      <w:r w:rsidRPr="00BE5FAF">
        <w:t xml:space="preserve">was 37 and the number need to treat to harm </w:t>
      </w:r>
      <w:r w:rsidR="00B957D6" w:rsidRPr="00BE5FAF">
        <w:t xml:space="preserve">(major bleeding) </w:t>
      </w:r>
      <w:r w:rsidRPr="00BE5FAF">
        <w:t>was 120</w:t>
      </w:r>
      <w:r w:rsidR="00725A08" w:rsidRPr="00BE5FAF">
        <w:t xml:space="preserve"> patients over the 23-month period</w:t>
      </w:r>
      <w:r w:rsidRPr="00BE5FAF">
        <w:t>. As a subgroup analysis, the ESC noted that these numbers were highly uncertain.</w:t>
      </w:r>
    </w:p>
    <w:p w:rsidR="00A3651E" w:rsidRPr="00BE5FAF" w:rsidRDefault="00CF068C" w:rsidP="003008B5">
      <w:pPr>
        <w:pStyle w:val="ListParagraph"/>
        <w:widowControl/>
        <w:numPr>
          <w:ilvl w:val="1"/>
          <w:numId w:val="2"/>
        </w:numPr>
        <w:spacing w:before="120" w:after="120"/>
      </w:pPr>
      <w:r w:rsidRPr="00BE5FAF">
        <w:t>T</w:t>
      </w:r>
      <w:r w:rsidR="005C3020" w:rsidRPr="00BE5FAF">
        <w:t xml:space="preserve">he </w:t>
      </w:r>
      <w:r w:rsidRPr="00BE5FAF">
        <w:t>PSCR claimed that</w:t>
      </w:r>
      <w:r w:rsidR="005C3020" w:rsidRPr="00BE5FAF">
        <w:t xml:space="preserve"> to fully assess risk-benefit, the cumulative incidence of </w:t>
      </w:r>
      <w:r w:rsidR="00AD2FD8" w:rsidRPr="00BE5FAF">
        <w:t xml:space="preserve">major adverse cardiovascular events </w:t>
      </w:r>
      <w:r w:rsidR="005C3020" w:rsidRPr="00BE5FAF">
        <w:t xml:space="preserve">should be compared to the cumulative incidence of bleeding events that have similar irreversible consequences, such as a fatal bleed or bleeding into a critical organ or area. </w:t>
      </w:r>
      <w:proofErr w:type="gramStart"/>
      <w:r w:rsidR="00F7799A" w:rsidRPr="00BE5FAF">
        <w:t xml:space="preserve">The pre-PBAC response stated that the “relative </w:t>
      </w:r>
      <w:r w:rsidR="00F7799A" w:rsidRPr="00BE5FAF">
        <w:lastRenderedPageBreak/>
        <w:t xml:space="preserve">major bleeding risk between the two treatment arms were not constant over time, in which bleeding risk was relatively high for </w:t>
      </w:r>
      <w:proofErr w:type="spellStart"/>
      <w:r w:rsidR="00F7799A" w:rsidRPr="00BE5FAF">
        <w:t>rivaroxaban</w:t>
      </w:r>
      <w:proofErr w:type="spellEnd"/>
      <w:r w:rsidR="00F7799A" w:rsidRPr="00BE5FAF">
        <w:t xml:space="preserve"> plus aspirin within the first year of treatment and subsequently equivalent relative to aspirin alone in the following years, whereas the benefit of major adverse cardiovascular event reduction was observed to be constant over time”.</w:t>
      </w:r>
      <w:proofErr w:type="gramEnd"/>
      <w:r w:rsidR="00F7799A" w:rsidRPr="00BE5FAF">
        <w:t xml:space="preserve"> </w:t>
      </w:r>
      <w:r w:rsidR="00BD1687" w:rsidRPr="00BE5FAF">
        <w:t xml:space="preserve">However, the PBAC considered that, with an extended duration of treatment in clinical practice, it was </w:t>
      </w:r>
      <w:r w:rsidR="00DE00B6">
        <w:t>likely that</w:t>
      </w:r>
      <w:r w:rsidR="00BD1687" w:rsidRPr="00BE5FAF">
        <w:t xml:space="preserve"> the risk of bleeding </w:t>
      </w:r>
      <w:r w:rsidR="00DE00B6">
        <w:t>would</w:t>
      </w:r>
      <w:r w:rsidR="00DE00B6" w:rsidRPr="00BE5FAF">
        <w:t xml:space="preserve"> </w:t>
      </w:r>
      <w:r w:rsidR="00BD1687" w:rsidRPr="00BE5FAF">
        <w:t>increase as a patient’s age increases and</w:t>
      </w:r>
      <w:r w:rsidR="00DE00B6">
        <w:t>/or</w:t>
      </w:r>
      <w:r w:rsidR="00BD1687" w:rsidRPr="00BE5FAF">
        <w:t xml:space="preserve"> their renal function declines.</w:t>
      </w:r>
    </w:p>
    <w:p w:rsidR="00A3651E" w:rsidRPr="00BE5FAF" w:rsidRDefault="00A3651E" w:rsidP="003008B5">
      <w:pPr>
        <w:pStyle w:val="Heading2"/>
        <w:widowControl/>
        <w:spacing w:before="120" w:after="120"/>
      </w:pPr>
      <w:bookmarkStart w:id="10" w:name="_Toc535943616"/>
      <w:r w:rsidRPr="00BE5FAF">
        <w:t>Clinical claim</w:t>
      </w:r>
      <w:bookmarkEnd w:id="10"/>
    </w:p>
    <w:p w:rsidR="00B60939" w:rsidRPr="00BE5FAF" w:rsidRDefault="00A3651E" w:rsidP="003008B5">
      <w:pPr>
        <w:pStyle w:val="ListParagraph"/>
        <w:widowControl/>
        <w:numPr>
          <w:ilvl w:val="1"/>
          <w:numId w:val="2"/>
        </w:numPr>
        <w:spacing w:before="120" w:after="120"/>
      </w:pPr>
      <w:r w:rsidRPr="00BE5FAF">
        <w:t xml:space="preserve">The submission described </w:t>
      </w:r>
      <w:proofErr w:type="spellStart"/>
      <w:r w:rsidRPr="00BE5FAF">
        <w:t>rivaroxaban</w:t>
      </w:r>
      <w:proofErr w:type="spellEnd"/>
      <w:r w:rsidRPr="00BE5FAF">
        <w:t xml:space="preserve"> in combination with aspirin as superior in terms of efficacy, and inferior in terms of safety, compared with aspirin monotherapy. </w:t>
      </w:r>
      <w:r w:rsidR="00FF3F6B" w:rsidRPr="00BE5FAF">
        <w:t xml:space="preserve">The ESC considered the clinical claim was </w:t>
      </w:r>
      <w:r w:rsidR="00BE5FAF" w:rsidRPr="00BE5FAF">
        <w:t>reasonable;</w:t>
      </w:r>
      <w:r w:rsidR="00FF3F6B" w:rsidRPr="00BE5FAF">
        <w:t xml:space="preserve"> however, it advised that the benefit seen in the trial </w:t>
      </w:r>
      <w:proofErr w:type="gramStart"/>
      <w:r w:rsidR="00FF3F6B" w:rsidRPr="00BE5FAF">
        <w:t>may</w:t>
      </w:r>
      <w:proofErr w:type="gramEnd"/>
      <w:r w:rsidR="00FF3F6B" w:rsidRPr="00BE5FAF">
        <w:t xml:space="preserve"> be overestimated. In terms of inferior </w:t>
      </w:r>
      <w:r w:rsidR="00BE5FAF" w:rsidRPr="00BE5FAF">
        <w:t>safety,</w:t>
      </w:r>
      <w:r w:rsidR="00FF3F6B" w:rsidRPr="00BE5FAF">
        <w:t xml:space="preserve"> the ESC </w:t>
      </w:r>
      <w:r w:rsidR="00725A08" w:rsidRPr="00BE5FAF">
        <w:t xml:space="preserve">considered the claim was </w:t>
      </w:r>
      <w:r w:rsidR="00BE5FAF" w:rsidRPr="00BE5FAF">
        <w:t>reasonable;</w:t>
      </w:r>
      <w:r w:rsidR="00B670F8" w:rsidRPr="00BE5FAF">
        <w:t xml:space="preserve"> however</w:t>
      </w:r>
      <w:r w:rsidR="00FF3F6B" w:rsidRPr="00BE5FAF">
        <w:t xml:space="preserve">, </w:t>
      </w:r>
      <w:r w:rsidR="00B670F8" w:rsidRPr="00BE5FAF">
        <w:t>it advised</w:t>
      </w:r>
      <w:r w:rsidR="000E292F" w:rsidRPr="00BE5FAF">
        <w:t xml:space="preserve"> that</w:t>
      </w:r>
      <w:r w:rsidR="00B670F8" w:rsidRPr="00BE5FAF">
        <w:t xml:space="preserve"> the risk of bleeding with </w:t>
      </w:r>
      <w:proofErr w:type="spellStart"/>
      <w:r w:rsidR="00B670F8" w:rsidRPr="00BE5FAF">
        <w:t>rivaroxaban</w:t>
      </w:r>
      <w:proofErr w:type="spellEnd"/>
      <w:r w:rsidR="00B670F8" w:rsidRPr="00BE5FAF">
        <w:t xml:space="preserve"> </w:t>
      </w:r>
      <w:proofErr w:type="gramStart"/>
      <w:r w:rsidR="00B670F8" w:rsidRPr="00BE5FAF">
        <w:t>may</w:t>
      </w:r>
      <w:proofErr w:type="gramEnd"/>
      <w:r w:rsidR="00B670F8" w:rsidRPr="00BE5FAF">
        <w:t xml:space="preserve"> be underestimated. </w:t>
      </w:r>
    </w:p>
    <w:p w:rsidR="00CF31C1" w:rsidRPr="00BE5FAF" w:rsidRDefault="00CF31C1" w:rsidP="003008B5">
      <w:pPr>
        <w:pStyle w:val="ListParagraph"/>
        <w:widowControl/>
        <w:numPr>
          <w:ilvl w:val="1"/>
          <w:numId w:val="2"/>
        </w:numPr>
        <w:spacing w:before="120" w:after="120"/>
      </w:pPr>
      <w:r w:rsidRPr="00BE5FAF">
        <w:t>While relative treatment effects were broadly consistent across most patient groups (with the exception of CABG), the absolute benefit of treatment varied substantially between subgroup populations due to differences in baseline risk</w:t>
      </w:r>
      <w:r w:rsidR="00EB4B91" w:rsidRPr="00BE5FAF">
        <w:t>. For the overall CAD and/or PAD population</w:t>
      </w:r>
      <w:r w:rsidR="00AA07AB" w:rsidRPr="00BE5FAF">
        <w:t>,</w:t>
      </w:r>
      <w:r w:rsidR="00EB4B91" w:rsidRPr="00BE5FAF">
        <w:t xml:space="preserve"> </w:t>
      </w:r>
      <w:r w:rsidR="00AA07AB" w:rsidRPr="00BE5FAF">
        <w:t xml:space="preserve">over the 23 month period, </w:t>
      </w:r>
      <w:r w:rsidR="00EB4B91" w:rsidRPr="00BE5FAF">
        <w:t xml:space="preserve">77 patients would need to be treated with </w:t>
      </w:r>
      <w:proofErr w:type="spellStart"/>
      <w:r w:rsidR="00EB4B91" w:rsidRPr="00BE5FAF">
        <w:t>rivaroxaban</w:t>
      </w:r>
      <w:proofErr w:type="spellEnd"/>
      <w:r w:rsidR="00EB4B91" w:rsidRPr="00BE5FAF">
        <w:t xml:space="preserve"> plus aspirin versus aspirin alone to avoid one </w:t>
      </w:r>
      <w:r w:rsidR="00C9312E" w:rsidRPr="00BE5FAF">
        <w:rPr>
          <w:rFonts w:asciiTheme="minorHAnsi" w:hAnsiTheme="minorHAnsi"/>
          <w:bCs/>
          <w:szCs w:val="24"/>
        </w:rPr>
        <w:t>major adverse cardiovascular event</w:t>
      </w:r>
      <w:r w:rsidR="00EB4B91" w:rsidRPr="00BE5FAF">
        <w:t xml:space="preserve"> and 77 patients would need to be treated for one additional patient to experience major bleeding. For the </w:t>
      </w:r>
      <w:r w:rsidR="00176AFC" w:rsidRPr="00BE5FAF">
        <w:t xml:space="preserve">population with </w:t>
      </w:r>
      <w:r w:rsidR="00EB4B91" w:rsidRPr="00BE5FAF">
        <w:t xml:space="preserve">CAD and PAD the </w:t>
      </w:r>
      <w:r w:rsidR="00C9312E" w:rsidRPr="00BE5FAF">
        <w:t xml:space="preserve">number needed to treat </w:t>
      </w:r>
      <w:r w:rsidR="00EB4B91" w:rsidRPr="00BE5FAF">
        <w:t xml:space="preserve">is 37 and the </w:t>
      </w:r>
      <w:r w:rsidR="00C9312E" w:rsidRPr="00BE5FAF">
        <w:t xml:space="preserve">number needed to harm </w:t>
      </w:r>
      <w:r w:rsidR="00EB4B91" w:rsidRPr="00BE5FAF">
        <w:t>is 120</w:t>
      </w:r>
      <w:r w:rsidR="00AA07AB" w:rsidRPr="00BE5FAF">
        <w:t xml:space="preserve"> patients over the </w:t>
      </w:r>
      <w:proofErr w:type="gramStart"/>
      <w:r w:rsidR="00AA07AB" w:rsidRPr="00BE5FAF">
        <w:t>23 month</w:t>
      </w:r>
      <w:proofErr w:type="gramEnd"/>
      <w:r w:rsidR="00AA07AB" w:rsidRPr="00BE5FAF">
        <w:t xml:space="preserve"> period</w:t>
      </w:r>
      <w:r w:rsidR="00EB4B91" w:rsidRPr="00BE5FAF">
        <w:t>.</w:t>
      </w:r>
      <w:r w:rsidRPr="00BE5FAF">
        <w:t xml:space="preserve"> </w:t>
      </w:r>
    </w:p>
    <w:p w:rsidR="00CF31C1" w:rsidRPr="00BE5FAF" w:rsidRDefault="00CF31C1" w:rsidP="003008B5">
      <w:pPr>
        <w:pStyle w:val="ListParagraph"/>
        <w:widowControl/>
        <w:numPr>
          <w:ilvl w:val="1"/>
          <w:numId w:val="2"/>
        </w:numPr>
        <w:spacing w:before="120" w:after="120"/>
      </w:pPr>
      <w:r w:rsidRPr="00BE5FAF">
        <w:t xml:space="preserve">Additionally it was unclear whether the baseline risk in the COMPASS trial population was similar to the target Australian population as comparisons in the submission identified a number of potential differences in cardiovascular/bleeding risk factors (e.g. history of prior stroke, MI, coronary revascularisation, diabetes). </w:t>
      </w:r>
      <w:r w:rsidR="00BE5FAF" w:rsidRPr="00BE5FAF">
        <w:t>Consequently,</w:t>
      </w:r>
      <w:r w:rsidRPr="00BE5FAF">
        <w:t xml:space="preserve"> it is unclear whether similar absolute treatment benefit </w:t>
      </w:r>
      <w:proofErr w:type="gramStart"/>
      <w:r w:rsidRPr="00BE5FAF">
        <w:t>would be observed</w:t>
      </w:r>
      <w:proofErr w:type="gramEnd"/>
      <w:r w:rsidRPr="00BE5FAF">
        <w:t xml:space="preserve"> in the Australian population.</w:t>
      </w:r>
    </w:p>
    <w:p w:rsidR="00CF31C1" w:rsidRPr="00BE5FAF" w:rsidRDefault="004B6186" w:rsidP="003008B5">
      <w:pPr>
        <w:pStyle w:val="ListParagraph"/>
        <w:widowControl/>
        <w:numPr>
          <w:ilvl w:val="1"/>
          <w:numId w:val="2"/>
        </w:numPr>
        <w:spacing w:before="120" w:after="120"/>
      </w:pPr>
      <w:r w:rsidRPr="00BE5FAF">
        <w:t>S</w:t>
      </w:r>
      <w:r w:rsidR="00CF31C1" w:rsidRPr="00BE5FAF">
        <w:t xml:space="preserve">ubgroup analyses suggest that the benefits and harms of </w:t>
      </w:r>
      <w:proofErr w:type="spellStart"/>
      <w:r w:rsidR="00CF31C1" w:rsidRPr="00BE5FAF">
        <w:t>rivaroxaban</w:t>
      </w:r>
      <w:proofErr w:type="spellEnd"/>
      <w:r w:rsidR="00CF31C1" w:rsidRPr="00BE5FAF">
        <w:t xml:space="preserve"> in elderly patients </w:t>
      </w:r>
      <w:proofErr w:type="gramStart"/>
      <w:r w:rsidR="00CF31C1" w:rsidRPr="00BE5FAF">
        <w:t>are more finely balanced</w:t>
      </w:r>
      <w:proofErr w:type="gramEnd"/>
      <w:r w:rsidR="00CF31C1" w:rsidRPr="00BE5FAF">
        <w:t xml:space="preserve"> as</w:t>
      </w:r>
      <w:r w:rsidR="00393DAA" w:rsidRPr="00BE5FAF">
        <w:t>,</w:t>
      </w:r>
      <w:r w:rsidR="00CF31C1" w:rsidRPr="00BE5FAF">
        <w:t xml:space="preserve"> </w:t>
      </w:r>
      <w:r w:rsidRPr="00BE5FAF">
        <w:t xml:space="preserve">although event rates tend to be higher in the elderly, the decrease in </w:t>
      </w:r>
      <w:r w:rsidR="00CF31C1" w:rsidRPr="00BE5FAF">
        <w:t xml:space="preserve">risk of cardiovascular events </w:t>
      </w:r>
      <w:r w:rsidRPr="00BE5FAF">
        <w:t xml:space="preserve">with </w:t>
      </w:r>
      <w:proofErr w:type="spellStart"/>
      <w:r w:rsidRPr="00BE5FAF">
        <w:t>rivaroxaban</w:t>
      </w:r>
      <w:proofErr w:type="spellEnd"/>
      <w:r w:rsidRPr="00BE5FAF">
        <w:t xml:space="preserve"> and aspirin may be</w:t>
      </w:r>
      <w:r w:rsidR="00CF31C1" w:rsidRPr="00BE5FAF">
        <w:t xml:space="preserve"> offset by an increased risk of major bleeding</w:t>
      </w:r>
      <w:r w:rsidR="00BE5FAF">
        <w:t xml:space="preserve">. </w:t>
      </w:r>
      <w:r w:rsidR="00CF31C1" w:rsidRPr="00BE5FAF">
        <w:t xml:space="preserve">Therefore, the applicability of the study results to the elderly, who form a large proportion of cardiovascular patients in clinical practice, is unclear. </w:t>
      </w:r>
    </w:p>
    <w:p w:rsidR="00CF31C1" w:rsidRPr="00BE5FAF" w:rsidRDefault="00AD2FD8" w:rsidP="003008B5">
      <w:pPr>
        <w:pStyle w:val="ListParagraph"/>
        <w:widowControl/>
        <w:numPr>
          <w:ilvl w:val="1"/>
          <w:numId w:val="2"/>
        </w:numPr>
        <w:spacing w:before="120" w:after="120"/>
      </w:pPr>
      <w:proofErr w:type="gramStart"/>
      <w:r w:rsidRPr="00BE5FAF">
        <w:t xml:space="preserve">The evaluation </w:t>
      </w:r>
      <w:r w:rsidR="00A87FA2" w:rsidRPr="00BE5FAF">
        <w:t xml:space="preserve">and the ESC </w:t>
      </w:r>
      <w:r w:rsidRPr="00BE5FAF">
        <w:t>considered it was unclear w</w:t>
      </w:r>
      <w:r w:rsidR="00467E0C" w:rsidRPr="00BE5FAF">
        <w:t xml:space="preserve">hether the COMPASS trial results can be generalised to clinical practice as a number of study features </w:t>
      </w:r>
      <w:r w:rsidR="004363C6">
        <w:t>we</w:t>
      </w:r>
      <w:r w:rsidR="00467E0C" w:rsidRPr="00BE5FAF">
        <w:t xml:space="preserve">re likely to </w:t>
      </w:r>
      <w:r w:rsidR="004363C6">
        <w:t xml:space="preserve">have </w:t>
      </w:r>
      <w:r w:rsidR="00467E0C" w:rsidRPr="00BE5FAF">
        <w:t>overestimate</w:t>
      </w:r>
      <w:r w:rsidR="004363C6">
        <w:t xml:space="preserve">d </w:t>
      </w:r>
      <w:r w:rsidR="00467E0C" w:rsidRPr="00BE5FAF">
        <w:t>cardiovascular benefit (e.g. premature stopping of trial) and underestimate</w:t>
      </w:r>
      <w:r w:rsidR="004363C6">
        <w:t>d</w:t>
      </w:r>
      <w:r w:rsidR="00467E0C" w:rsidRPr="00BE5FAF">
        <w:t xml:space="preserve"> bleeding risk (e.g. patients at high risk of bleeding </w:t>
      </w:r>
      <w:r w:rsidR="00F52D7E">
        <w:t xml:space="preserve">were </w:t>
      </w:r>
      <w:r w:rsidR="00467E0C" w:rsidRPr="00BE5FAF">
        <w:t xml:space="preserve">excluded from </w:t>
      </w:r>
      <w:r w:rsidR="00F52D7E">
        <w:t xml:space="preserve">the </w:t>
      </w:r>
      <w:r w:rsidR="00467E0C" w:rsidRPr="00BE5FAF">
        <w:t xml:space="preserve">trial; </w:t>
      </w:r>
      <w:r w:rsidR="00845263">
        <w:t xml:space="preserve">and patients treated in clinical practice may be older and at a higher risk of bleeding than patients in the trial, where the mean </w:t>
      </w:r>
      <w:r w:rsidR="009C0A98" w:rsidRPr="009C0A98">
        <w:t>age was 68 years</w:t>
      </w:r>
      <w:r w:rsidR="009C0A98">
        <w:t>).</w:t>
      </w:r>
      <w:proofErr w:type="gramEnd"/>
      <w:r w:rsidR="00F323F9" w:rsidRPr="00BE5FAF">
        <w:t xml:space="preserve"> The </w:t>
      </w:r>
      <w:r w:rsidR="00845263">
        <w:t>PBAC</w:t>
      </w:r>
      <w:r w:rsidR="00F323F9" w:rsidRPr="00BE5FAF">
        <w:t xml:space="preserve"> noted </w:t>
      </w:r>
      <w:r w:rsidR="004363C6">
        <w:lastRenderedPageBreak/>
        <w:t xml:space="preserve">that </w:t>
      </w:r>
      <w:r w:rsidR="00F323F9" w:rsidRPr="00BE5FAF">
        <w:t xml:space="preserve">the COMPASS trial included a factorial randomisation to </w:t>
      </w:r>
      <w:r w:rsidRPr="00BE5FAF">
        <w:t>a</w:t>
      </w:r>
      <w:r w:rsidR="00F323F9" w:rsidRPr="00BE5FAF">
        <w:t xml:space="preserve"> PPI</w:t>
      </w:r>
      <w:r w:rsidR="00B95A31" w:rsidRPr="00BE5FAF">
        <w:t>,</w:t>
      </w:r>
      <w:r w:rsidR="00F323F9" w:rsidRPr="00BE5FAF">
        <w:t xml:space="preserve"> pantoprazole</w:t>
      </w:r>
      <w:r w:rsidR="00B95A31" w:rsidRPr="00BE5FAF">
        <w:t>,</w:t>
      </w:r>
      <w:r w:rsidR="00F323F9" w:rsidRPr="00BE5FAF">
        <w:t xml:space="preserve"> in patients without a pre-existing </w:t>
      </w:r>
      <w:r w:rsidR="005A58B3" w:rsidRPr="00BE5FAF">
        <w:t>indication</w:t>
      </w:r>
      <w:r w:rsidR="00F323F9" w:rsidRPr="00BE5FAF">
        <w:t xml:space="preserve"> for a PPI, which resulted in a higher number of patients using a PPI than would be seen in Australian clinical practice. </w:t>
      </w:r>
      <w:r w:rsidR="00845263">
        <w:t xml:space="preserve">The PBAC noted that the full results from the </w:t>
      </w:r>
      <w:r w:rsidR="00845263" w:rsidRPr="00845263">
        <w:t xml:space="preserve">pantoprazole/placebo arms of the COMPASS </w:t>
      </w:r>
      <w:r w:rsidR="00845263">
        <w:t xml:space="preserve">trial </w:t>
      </w:r>
      <w:proofErr w:type="gramStart"/>
      <w:r w:rsidR="00845263">
        <w:t>were not provided, and considered that it remained unclear whether the higher use of PPIs in the trial population would have</w:t>
      </w:r>
      <w:r w:rsidR="00A11969" w:rsidRPr="00BE5FAF">
        <w:t xml:space="preserve"> </w:t>
      </w:r>
      <w:r w:rsidR="00B95A31" w:rsidRPr="00BE5FAF">
        <w:t>underestimat</w:t>
      </w:r>
      <w:r w:rsidR="00A11969" w:rsidRPr="00BE5FAF">
        <w:t>ed</w:t>
      </w:r>
      <w:r w:rsidR="00B95A31" w:rsidRPr="00BE5FAF">
        <w:t xml:space="preserve"> the risk of bleeding in </w:t>
      </w:r>
      <w:r w:rsidR="00845263">
        <w:t>the PBS population</w:t>
      </w:r>
      <w:proofErr w:type="gramEnd"/>
      <w:r w:rsidR="00845263">
        <w:t>.</w:t>
      </w:r>
      <w:r w:rsidR="00C60132" w:rsidRPr="00BE5FAF">
        <w:t xml:space="preserve"> </w:t>
      </w:r>
    </w:p>
    <w:p w:rsidR="00D22A9C" w:rsidRPr="00BE5FAF" w:rsidRDefault="00D22A9C" w:rsidP="003008B5">
      <w:pPr>
        <w:pStyle w:val="ListParagraph"/>
        <w:widowControl/>
        <w:numPr>
          <w:ilvl w:val="1"/>
          <w:numId w:val="2"/>
        </w:numPr>
        <w:spacing w:before="120" w:after="120"/>
      </w:pPr>
      <w:r w:rsidRPr="00BE5FAF">
        <w:t xml:space="preserve">The ESC considered the optimal use of concomitant cardiovascular medications (e.g. statins, beta-blockers, ACE inhibitors or angiotensin II receptor blockers) is likely to affect the baseline risk of different populations and noted the COMPASS trial did not require that patients be on optimal medical therapy. Whilst this may be considered to reflect the situation that exists in the population that </w:t>
      </w:r>
      <w:proofErr w:type="spellStart"/>
      <w:r w:rsidRPr="00BE5FAF">
        <w:t>rivaroxaban</w:t>
      </w:r>
      <w:proofErr w:type="spellEnd"/>
      <w:r w:rsidRPr="00BE5FAF">
        <w:t xml:space="preserve"> will be used in, it is uncertain how baseline differences in the use of concomitant cardiovascular medications will affect the incremental benefit (and risk) of </w:t>
      </w:r>
      <w:proofErr w:type="spellStart"/>
      <w:r w:rsidRPr="00BE5FAF">
        <w:t>rivaroxaban</w:t>
      </w:r>
      <w:proofErr w:type="spellEnd"/>
      <w:r w:rsidRPr="00BE5FAF">
        <w:t>. While the baseline use of these medications in COMPASS appeared to be relatively high, nevertheless the magnitude of additional benefit in addition to ideal medical management of cardiovascular risk is unknown.</w:t>
      </w:r>
    </w:p>
    <w:p w:rsidR="00426779" w:rsidRPr="00BE5FAF" w:rsidRDefault="00426779" w:rsidP="003008B5">
      <w:pPr>
        <w:pStyle w:val="ListParagraph"/>
        <w:widowControl/>
        <w:numPr>
          <w:ilvl w:val="1"/>
          <w:numId w:val="2"/>
        </w:numPr>
        <w:spacing w:before="120" w:after="120"/>
        <w:rPr>
          <w:rFonts w:asciiTheme="minorHAnsi" w:hAnsiTheme="minorHAnsi"/>
          <w:szCs w:val="20"/>
        </w:rPr>
      </w:pPr>
      <w:r w:rsidRPr="00BE5FAF">
        <w:rPr>
          <w:rFonts w:asciiTheme="minorHAnsi" w:hAnsiTheme="minorHAnsi"/>
          <w:szCs w:val="20"/>
        </w:rPr>
        <w:t xml:space="preserve">The PBAC considered that the claim of superior comparative effectiveness </w:t>
      </w:r>
      <w:r w:rsidR="00B04F1C" w:rsidRPr="00BE5FAF">
        <w:rPr>
          <w:rFonts w:asciiTheme="minorHAnsi" w:hAnsiTheme="minorHAnsi"/>
          <w:szCs w:val="20"/>
        </w:rPr>
        <w:t xml:space="preserve">of </w:t>
      </w:r>
      <w:proofErr w:type="spellStart"/>
      <w:r w:rsidR="00B04F1C" w:rsidRPr="00BE5FAF">
        <w:rPr>
          <w:rFonts w:asciiTheme="minorHAnsi" w:hAnsiTheme="minorHAnsi"/>
          <w:szCs w:val="20"/>
        </w:rPr>
        <w:t>rivaroxaban</w:t>
      </w:r>
      <w:proofErr w:type="spellEnd"/>
      <w:r w:rsidR="00B04F1C" w:rsidRPr="00BE5FAF">
        <w:rPr>
          <w:rFonts w:asciiTheme="minorHAnsi" w:hAnsiTheme="minorHAnsi"/>
          <w:szCs w:val="20"/>
        </w:rPr>
        <w:t xml:space="preserve"> in combination with aspirin </w:t>
      </w:r>
      <w:r w:rsidR="00895EDB" w:rsidRPr="00BE5FAF">
        <w:rPr>
          <w:rFonts w:asciiTheme="minorHAnsi" w:hAnsiTheme="minorHAnsi"/>
          <w:szCs w:val="20"/>
        </w:rPr>
        <w:t>versus</w:t>
      </w:r>
      <w:r w:rsidR="00633DB1" w:rsidRPr="00BE5FAF">
        <w:rPr>
          <w:rFonts w:asciiTheme="minorHAnsi" w:hAnsiTheme="minorHAnsi"/>
          <w:szCs w:val="20"/>
        </w:rPr>
        <w:t xml:space="preserve"> aspirin alone</w:t>
      </w:r>
      <w:r w:rsidR="00B04F1C" w:rsidRPr="00BE5FAF">
        <w:rPr>
          <w:rFonts w:asciiTheme="minorHAnsi" w:hAnsiTheme="minorHAnsi"/>
          <w:szCs w:val="20"/>
        </w:rPr>
        <w:t xml:space="preserve"> was reasonable. However, the PBAC </w:t>
      </w:r>
      <w:r w:rsidR="00895EDB" w:rsidRPr="00BE5FAF">
        <w:rPr>
          <w:rFonts w:asciiTheme="minorHAnsi" w:hAnsiTheme="minorHAnsi"/>
          <w:szCs w:val="20"/>
        </w:rPr>
        <w:t xml:space="preserve">considered that the magnitude of the benefit was uncertain. </w:t>
      </w:r>
    </w:p>
    <w:p w:rsidR="00426779" w:rsidRPr="00BE5FAF" w:rsidRDefault="008E28A4" w:rsidP="003008B5">
      <w:pPr>
        <w:pStyle w:val="ListParagraph"/>
        <w:numPr>
          <w:ilvl w:val="1"/>
          <w:numId w:val="2"/>
        </w:numPr>
        <w:spacing w:before="120" w:after="120"/>
      </w:pPr>
      <w:r w:rsidRPr="00BE5FAF">
        <w:rPr>
          <w:rFonts w:asciiTheme="minorHAnsi" w:hAnsiTheme="minorHAnsi"/>
          <w:szCs w:val="20"/>
        </w:rPr>
        <w:t xml:space="preserve">The PBAC considered that the claim of inferior comparative safety of </w:t>
      </w:r>
      <w:proofErr w:type="spellStart"/>
      <w:r w:rsidRPr="00BE5FAF">
        <w:rPr>
          <w:rFonts w:asciiTheme="minorHAnsi" w:hAnsiTheme="minorHAnsi"/>
          <w:szCs w:val="20"/>
        </w:rPr>
        <w:t>rivaroxaban</w:t>
      </w:r>
      <w:proofErr w:type="spellEnd"/>
      <w:r w:rsidRPr="00BE5FAF">
        <w:rPr>
          <w:rFonts w:asciiTheme="minorHAnsi" w:hAnsiTheme="minorHAnsi"/>
          <w:szCs w:val="20"/>
        </w:rPr>
        <w:t xml:space="preserve"> in combination versus aspirin alone was reasonable. However, the PBAC considered that the magnitude of the risk of bleeding was uncertain, noting that the risk </w:t>
      </w:r>
      <w:r w:rsidR="00195DB8" w:rsidRPr="00BE5FAF">
        <w:rPr>
          <w:rFonts w:asciiTheme="minorHAnsi" w:hAnsiTheme="minorHAnsi"/>
          <w:szCs w:val="20"/>
        </w:rPr>
        <w:t xml:space="preserve">was likely to </w:t>
      </w:r>
      <w:r w:rsidRPr="00BE5FAF">
        <w:rPr>
          <w:rFonts w:asciiTheme="minorHAnsi" w:hAnsiTheme="minorHAnsi"/>
          <w:szCs w:val="20"/>
        </w:rPr>
        <w:t>v</w:t>
      </w:r>
      <w:r w:rsidR="00633DB1" w:rsidRPr="00BE5FAF">
        <w:rPr>
          <w:rFonts w:asciiTheme="minorHAnsi" w:hAnsiTheme="minorHAnsi"/>
          <w:szCs w:val="20"/>
        </w:rPr>
        <w:t>ar</w:t>
      </w:r>
      <w:r w:rsidR="00195DB8" w:rsidRPr="00BE5FAF">
        <w:rPr>
          <w:rFonts w:asciiTheme="minorHAnsi" w:hAnsiTheme="minorHAnsi"/>
          <w:szCs w:val="20"/>
        </w:rPr>
        <w:t>y</w:t>
      </w:r>
      <w:r w:rsidR="00633DB1" w:rsidRPr="00BE5FAF">
        <w:rPr>
          <w:rFonts w:asciiTheme="minorHAnsi" w:hAnsiTheme="minorHAnsi"/>
          <w:szCs w:val="20"/>
        </w:rPr>
        <w:t xml:space="preserve"> depending on age, </w:t>
      </w:r>
      <w:r w:rsidR="00195DB8" w:rsidRPr="00BE5FAF">
        <w:rPr>
          <w:rFonts w:asciiTheme="minorHAnsi" w:hAnsiTheme="minorHAnsi"/>
          <w:szCs w:val="20"/>
        </w:rPr>
        <w:t xml:space="preserve">renal function, </w:t>
      </w:r>
      <w:r w:rsidR="00633DB1" w:rsidRPr="00BE5FAF">
        <w:rPr>
          <w:rFonts w:asciiTheme="minorHAnsi" w:hAnsiTheme="minorHAnsi"/>
          <w:szCs w:val="20"/>
        </w:rPr>
        <w:t xml:space="preserve">baseline risk and co-morbidities. </w:t>
      </w:r>
    </w:p>
    <w:p w:rsidR="00B60939" w:rsidRPr="00BE5FAF" w:rsidRDefault="00B60939" w:rsidP="003008B5">
      <w:pPr>
        <w:pStyle w:val="Heading2"/>
        <w:widowControl/>
        <w:spacing w:before="120" w:after="120"/>
      </w:pPr>
      <w:bookmarkStart w:id="11" w:name="_Toc535943617"/>
      <w:r w:rsidRPr="00BE5FAF">
        <w:t>Economic analysis</w:t>
      </w:r>
      <w:bookmarkEnd w:id="11"/>
      <w:r w:rsidR="00491B3A" w:rsidRPr="00BE5FAF">
        <w:t xml:space="preserve"> </w:t>
      </w:r>
    </w:p>
    <w:p w:rsidR="00C94377" w:rsidRPr="00BE5FAF" w:rsidRDefault="00C94377" w:rsidP="003008B5">
      <w:pPr>
        <w:pStyle w:val="ListParagraph"/>
        <w:widowControl/>
        <w:numPr>
          <w:ilvl w:val="1"/>
          <w:numId w:val="2"/>
        </w:numPr>
        <w:spacing w:before="120" w:after="120"/>
      </w:pPr>
      <w:r w:rsidRPr="00BE5FAF">
        <w:t xml:space="preserve">The submission presented a stepped economic evaluation of the additive effects of using </w:t>
      </w:r>
      <w:proofErr w:type="spellStart"/>
      <w:r w:rsidRPr="00BE5FAF">
        <w:t>rivaroxaban</w:t>
      </w:r>
      <w:proofErr w:type="spellEnd"/>
      <w:r w:rsidRPr="00BE5FAF">
        <w:t xml:space="preserve"> with aspirin compared to aspirin alone for the prevention of cardiovascular events in patients with CAD and/or PAD. The economic evaluation was based on a direct randomised trial (COMPASS)</w:t>
      </w:r>
      <w:r w:rsidR="00892B20" w:rsidRPr="00BE5FAF">
        <w:t xml:space="preserve"> using the overall trial population (CAD and/or PAD) and a </w:t>
      </w:r>
      <w:r w:rsidR="00BE5FAF" w:rsidRPr="00BE5FAF">
        <w:t>high-risk</w:t>
      </w:r>
      <w:r w:rsidR="00892B20" w:rsidRPr="00BE5FAF">
        <w:t xml:space="preserve"> subgroup (CAD and PAD)</w:t>
      </w:r>
      <w:r w:rsidRPr="00BE5FAF">
        <w:t xml:space="preserve"> with additional modelled data.</w:t>
      </w:r>
    </w:p>
    <w:p w:rsidR="00C94377" w:rsidRPr="00BE5FAF" w:rsidRDefault="00C94377" w:rsidP="005207A7">
      <w:pPr>
        <w:pStyle w:val="TableHeading0"/>
        <w:spacing w:after="0"/>
      </w:pPr>
      <w:r w:rsidRPr="00BE5FAF">
        <w:lastRenderedPageBreak/>
        <w:t xml:space="preserve">Table </w:t>
      </w:r>
      <w:r w:rsidR="006956D5" w:rsidRPr="00BE5FAF">
        <w:t>1</w:t>
      </w:r>
      <w:r w:rsidR="003D0A8E" w:rsidRPr="00BE5FAF">
        <w:t>0</w:t>
      </w:r>
      <w:r w:rsidRPr="00BE5FAF">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0: Key components of the economic evaluation"/>
      </w:tblPr>
      <w:tblGrid>
        <w:gridCol w:w="1555"/>
        <w:gridCol w:w="7462"/>
      </w:tblGrid>
      <w:tr w:rsidR="00C94377" w:rsidRPr="00BE5FAF" w:rsidTr="00FA7D99">
        <w:tc>
          <w:tcPr>
            <w:tcW w:w="862" w:type="pct"/>
            <w:shd w:val="clear" w:color="auto" w:fill="auto"/>
          </w:tcPr>
          <w:p w:rsidR="00C94377" w:rsidRPr="00BE5FAF" w:rsidRDefault="00C94377" w:rsidP="005207A7">
            <w:pPr>
              <w:pStyle w:val="TableText0"/>
              <w:spacing w:before="0" w:after="0"/>
              <w:rPr>
                <w:b/>
              </w:rPr>
            </w:pPr>
            <w:r w:rsidRPr="00BE5FAF">
              <w:rPr>
                <w:b/>
              </w:rPr>
              <w:t xml:space="preserve">Component </w:t>
            </w:r>
          </w:p>
        </w:tc>
        <w:tc>
          <w:tcPr>
            <w:tcW w:w="4138" w:type="pct"/>
            <w:shd w:val="clear" w:color="auto" w:fill="auto"/>
          </w:tcPr>
          <w:p w:rsidR="00C94377" w:rsidRPr="00BE5FAF" w:rsidRDefault="00C94377" w:rsidP="005207A7">
            <w:pPr>
              <w:pStyle w:val="TableText0"/>
              <w:spacing w:before="0" w:after="0"/>
              <w:rPr>
                <w:b/>
              </w:rPr>
            </w:pPr>
            <w:r w:rsidRPr="00BE5FAF">
              <w:rPr>
                <w:b/>
              </w:rPr>
              <w:t>Description</w:t>
            </w:r>
          </w:p>
        </w:tc>
      </w:tr>
      <w:tr w:rsidR="00C94377" w:rsidRPr="00BE5FAF" w:rsidTr="00FA7D99">
        <w:tc>
          <w:tcPr>
            <w:tcW w:w="862" w:type="pct"/>
            <w:shd w:val="clear" w:color="auto" w:fill="auto"/>
            <w:vAlign w:val="center"/>
          </w:tcPr>
          <w:p w:rsidR="00C94377" w:rsidRPr="00BE5FAF" w:rsidRDefault="00C94377" w:rsidP="005207A7">
            <w:pPr>
              <w:pStyle w:val="TableText0"/>
              <w:spacing w:before="0" w:after="0"/>
            </w:pPr>
            <w:r w:rsidRPr="00BE5FAF">
              <w:t xml:space="preserve">Type of analysis </w:t>
            </w:r>
          </w:p>
        </w:tc>
        <w:tc>
          <w:tcPr>
            <w:tcW w:w="4138" w:type="pct"/>
            <w:shd w:val="clear" w:color="auto" w:fill="auto"/>
            <w:vAlign w:val="center"/>
          </w:tcPr>
          <w:p w:rsidR="00C94377" w:rsidRPr="00BE5FAF" w:rsidRDefault="00C94377" w:rsidP="005207A7">
            <w:pPr>
              <w:pStyle w:val="TableText0"/>
              <w:spacing w:before="0" w:after="0"/>
              <w:rPr>
                <w:rFonts w:ascii="Times" w:eastAsia="Times New Roman" w:hAnsi="Times" w:cs="Times New Roman"/>
                <w:szCs w:val="20"/>
              </w:rPr>
            </w:pPr>
            <w:r w:rsidRPr="00BE5FAF">
              <w:t>Cost-effectiveness analysis/cost-utility analysis</w:t>
            </w:r>
          </w:p>
        </w:tc>
      </w:tr>
      <w:tr w:rsidR="00C94377" w:rsidRPr="00BE5FAF" w:rsidTr="00FA7D99">
        <w:tc>
          <w:tcPr>
            <w:tcW w:w="862" w:type="pct"/>
            <w:shd w:val="clear" w:color="auto" w:fill="auto"/>
            <w:vAlign w:val="center"/>
          </w:tcPr>
          <w:p w:rsidR="00C94377" w:rsidRPr="00BE5FAF" w:rsidRDefault="00C94377" w:rsidP="005207A7">
            <w:pPr>
              <w:pStyle w:val="TableText0"/>
              <w:spacing w:before="0" w:after="0"/>
              <w:rPr>
                <w:rFonts w:ascii="Times" w:eastAsia="Times New Roman" w:hAnsi="Times" w:cs="Times New Roman"/>
                <w:szCs w:val="20"/>
              </w:rPr>
            </w:pPr>
            <w:r w:rsidRPr="00BE5FAF">
              <w:t>Outcomes</w:t>
            </w:r>
          </w:p>
        </w:tc>
        <w:tc>
          <w:tcPr>
            <w:tcW w:w="4138" w:type="pct"/>
            <w:shd w:val="clear" w:color="auto" w:fill="auto"/>
            <w:vAlign w:val="center"/>
          </w:tcPr>
          <w:p w:rsidR="00C94377" w:rsidRPr="00BE5FAF" w:rsidRDefault="00C94377" w:rsidP="005207A7">
            <w:pPr>
              <w:pStyle w:val="TableText0"/>
              <w:spacing w:before="0" w:after="0"/>
            </w:pPr>
            <w:r w:rsidRPr="00BE5FAF">
              <w:t>Major cardiovascular event avoided; life years; quality adjusted life years</w:t>
            </w:r>
          </w:p>
        </w:tc>
      </w:tr>
      <w:tr w:rsidR="00C94377" w:rsidRPr="00BE5FAF" w:rsidTr="00FA7D99">
        <w:tc>
          <w:tcPr>
            <w:tcW w:w="862" w:type="pct"/>
            <w:shd w:val="clear" w:color="auto" w:fill="auto"/>
            <w:vAlign w:val="center"/>
          </w:tcPr>
          <w:p w:rsidR="00C94377" w:rsidRPr="00BE5FAF" w:rsidRDefault="00C94377" w:rsidP="005207A7">
            <w:pPr>
              <w:pStyle w:val="TableText0"/>
              <w:spacing w:before="0" w:after="0"/>
              <w:rPr>
                <w:rFonts w:ascii="Times" w:eastAsia="Times New Roman" w:hAnsi="Times" w:cs="Times New Roman"/>
                <w:szCs w:val="20"/>
              </w:rPr>
            </w:pPr>
            <w:r w:rsidRPr="00BE5FAF">
              <w:t>Time horizon</w:t>
            </w:r>
          </w:p>
        </w:tc>
        <w:tc>
          <w:tcPr>
            <w:tcW w:w="4138" w:type="pct"/>
            <w:shd w:val="clear" w:color="auto" w:fill="auto"/>
            <w:vAlign w:val="center"/>
          </w:tcPr>
          <w:p w:rsidR="00C94377" w:rsidRPr="00BE5FAF" w:rsidRDefault="00C94377" w:rsidP="005207A7">
            <w:pPr>
              <w:pStyle w:val="TableText0"/>
              <w:spacing w:before="0" w:after="0"/>
              <w:rPr>
                <w:rFonts w:ascii="Times" w:eastAsia="Times New Roman" w:hAnsi="Times" w:cs="Times New Roman"/>
                <w:szCs w:val="20"/>
              </w:rPr>
            </w:pPr>
            <w:r w:rsidRPr="00BE5FAF">
              <w:t>30 years (lifetime)</w:t>
            </w:r>
          </w:p>
        </w:tc>
      </w:tr>
      <w:tr w:rsidR="00C94377" w:rsidRPr="00BE5FAF" w:rsidTr="00FA7D99">
        <w:tc>
          <w:tcPr>
            <w:tcW w:w="862" w:type="pct"/>
            <w:shd w:val="clear" w:color="auto" w:fill="auto"/>
            <w:vAlign w:val="center"/>
          </w:tcPr>
          <w:p w:rsidR="00C94377" w:rsidRPr="00BE5FAF" w:rsidRDefault="00C94377" w:rsidP="005207A7">
            <w:pPr>
              <w:pStyle w:val="TableText0"/>
              <w:spacing w:before="0" w:after="0"/>
              <w:rPr>
                <w:rFonts w:ascii="Times" w:eastAsia="Times New Roman" w:hAnsi="Times" w:cs="Times New Roman"/>
                <w:szCs w:val="20"/>
              </w:rPr>
            </w:pPr>
            <w:r w:rsidRPr="00BE5FAF">
              <w:t>Methods used to generate results</w:t>
            </w:r>
          </w:p>
        </w:tc>
        <w:tc>
          <w:tcPr>
            <w:tcW w:w="4138" w:type="pct"/>
            <w:shd w:val="clear" w:color="auto" w:fill="auto"/>
            <w:vAlign w:val="center"/>
          </w:tcPr>
          <w:p w:rsidR="00C94377" w:rsidRPr="00BE5FAF" w:rsidRDefault="00C94377" w:rsidP="005207A7">
            <w:pPr>
              <w:pStyle w:val="TableText0"/>
              <w:spacing w:before="0" w:after="0"/>
              <w:rPr>
                <w:rFonts w:ascii="Times" w:eastAsia="Times New Roman" w:hAnsi="Times" w:cs="Times New Roman"/>
                <w:szCs w:val="20"/>
              </w:rPr>
            </w:pPr>
            <w:r w:rsidRPr="00BE5FAF">
              <w:t>Markov cohort model with tunnel states (with half-cycle correction)</w:t>
            </w:r>
          </w:p>
        </w:tc>
      </w:tr>
      <w:tr w:rsidR="00C94377" w:rsidRPr="00BE5FAF" w:rsidTr="00FA7D99">
        <w:tc>
          <w:tcPr>
            <w:tcW w:w="862" w:type="pct"/>
            <w:shd w:val="clear" w:color="auto" w:fill="auto"/>
            <w:vAlign w:val="center"/>
          </w:tcPr>
          <w:p w:rsidR="00C94377" w:rsidRPr="00BE5FAF" w:rsidRDefault="00C94377" w:rsidP="005207A7">
            <w:pPr>
              <w:pStyle w:val="TableText0"/>
              <w:spacing w:before="0" w:after="0"/>
            </w:pPr>
            <w:r w:rsidRPr="00BE5FAF">
              <w:t>Treatments</w:t>
            </w:r>
          </w:p>
        </w:tc>
        <w:tc>
          <w:tcPr>
            <w:tcW w:w="4138" w:type="pct"/>
            <w:shd w:val="clear" w:color="auto" w:fill="auto"/>
            <w:vAlign w:val="center"/>
          </w:tcPr>
          <w:p w:rsidR="00C94377" w:rsidRPr="00BE5FAF" w:rsidRDefault="00C94377" w:rsidP="005207A7">
            <w:pPr>
              <w:pStyle w:val="TableText0"/>
              <w:spacing w:before="0" w:after="0"/>
            </w:pPr>
            <w:r w:rsidRPr="00BE5FAF">
              <w:t xml:space="preserve">Low dose </w:t>
            </w:r>
            <w:proofErr w:type="spellStart"/>
            <w:r w:rsidRPr="00BE5FAF">
              <w:t>rivaroxaban</w:t>
            </w:r>
            <w:proofErr w:type="spellEnd"/>
            <w:r w:rsidRPr="00BE5FAF">
              <w:t xml:space="preserve"> with aspirin; aspirin alone</w:t>
            </w:r>
          </w:p>
        </w:tc>
      </w:tr>
      <w:tr w:rsidR="00C94377" w:rsidRPr="00BE5FAF" w:rsidTr="00FA7D99">
        <w:tc>
          <w:tcPr>
            <w:tcW w:w="862" w:type="pct"/>
            <w:shd w:val="clear" w:color="auto" w:fill="auto"/>
            <w:vAlign w:val="center"/>
          </w:tcPr>
          <w:p w:rsidR="00C94377" w:rsidRPr="00BE5FAF" w:rsidRDefault="00C94377" w:rsidP="005207A7">
            <w:pPr>
              <w:pStyle w:val="TableText0"/>
              <w:spacing w:before="0" w:after="0"/>
              <w:rPr>
                <w:rFonts w:ascii="Times" w:eastAsia="Times New Roman" w:hAnsi="Times" w:cs="Times New Roman"/>
                <w:szCs w:val="20"/>
              </w:rPr>
            </w:pPr>
            <w:r w:rsidRPr="00BE5FAF">
              <w:t>Health states</w:t>
            </w:r>
          </w:p>
        </w:tc>
        <w:tc>
          <w:tcPr>
            <w:tcW w:w="4138" w:type="pct"/>
            <w:shd w:val="clear" w:color="auto" w:fill="auto"/>
            <w:vAlign w:val="center"/>
          </w:tcPr>
          <w:p w:rsidR="00C94377" w:rsidRPr="00BE5FAF" w:rsidRDefault="00C94377" w:rsidP="005207A7">
            <w:pPr>
              <w:pStyle w:val="TableText0"/>
              <w:spacing w:before="0" w:after="0"/>
            </w:pPr>
            <w:proofErr w:type="gramStart"/>
            <w:r w:rsidRPr="00BE5FAF">
              <w:t>Baseline health state, 3 single event health states (myocardial infarction, ischaemic stroke, intracranial haemorrhage), 9 double event states (MI + MI, MI + IS, MI + ICH, IS + IS, IS+MI, IS + ICH, ICH+ICH, ICH+MI, ICH+IS) and 9 death event states (MI death, IS death, bleeding death, heart failure death, CV procedure death, sudden cardiac death, other CV death, any CV death, all non-CV death).</w:t>
            </w:r>
            <w:proofErr w:type="gramEnd"/>
            <w:r w:rsidRPr="00BE5FAF">
              <w:t xml:space="preserve"> The non-fatal event health states also include tunnels to differentiate between acute and chronic phases.</w:t>
            </w:r>
          </w:p>
        </w:tc>
      </w:tr>
      <w:tr w:rsidR="00C94377" w:rsidRPr="00BE5FAF" w:rsidTr="00FA7D99">
        <w:tc>
          <w:tcPr>
            <w:tcW w:w="862" w:type="pct"/>
            <w:shd w:val="clear" w:color="auto" w:fill="auto"/>
            <w:vAlign w:val="center"/>
          </w:tcPr>
          <w:p w:rsidR="00C94377" w:rsidRPr="00BE5FAF" w:rsidRDefault="00C94377" w:rsidP="005207A7">
            <w:pPr>
              <w:pStyle w:val="TableText0"/>
              <w:spacing w:before="0" w:after="0"/>
              <w:rPr>
                <w:rFonts w:ascii="Times" w:eastAsia="Times New Roman" w:hAnsi="Times" w:cs="Times New Roman"/>
                <w:szCs w:val="20"/>
              </w:rPr>
            </w:pPr>
            <w:r w:rsidRPr="00BE5FAF">
              <w:t>Cycle length</w:t>
            </w:r>
          </w:p>
        </w:tc>
        <w:tc>
          <w:tcPr>
            <w:tcW w:w="4138" w:type="pct"/>
            <w:shd w:val="clear" w:color="auto" w:fill="auto"/>
            <w:vAlign w:val="center"/>
          </w:tcPr>
          <w:p w:rsidR="00C94377" w:rsidRPr="00BE5FAF" w:rsidRDefault="00C94377" w:rsidP="005207A7">
            <w:pPr>
              <w:pStyle w:val="TableText0"/>
              <w:spacing w:before="0" w:after="0"/>
            </w:pPr>
            <w:r w:rsidRPr="00BE5FAF">
              <w:t>3 month</w:t>
            </w:r>
          </w:p>
        </w:tc>
      </w:tr>
      <w:tr w:rsidR="00C94377" w:rsidRPr="00BE5FAF" w:rsidTr="00FA7D99">
        <w:tc>
          <w:tcPr>
            <w:tcW w:w="862" w:type="pct"/>
            <w:shd w:val="clear" w:color="auto" w:fill="auto"/>
            <w:vAlign w:val="center"/>
          </w:tcPr>
          <w:p w:rsidR="00C94377" w:rsidRPr="00BE5FAF" w:rsidRDefault="00C94377" w:rsidP="005207A7">
            <w:pPr>
              <w:pStyle w:val="TableText0"/>
              <w:spacing w:before="0" w:after="0"/>
            </w:pPr>
            <w:r w:rsidRPr="00BE5FAF">
              <w:t xml:space="preserve">Transition probability </w:t>
            </w:r>
          </w:p>
        </w:tc>
        <w:tc>
          <w:tcPr>
            <w:tcW w:w="4138" w:type="pct"/>
            <w:shd w:val="clear" w:color="auto" w:fill="auto"/>
            <w:vAlign w:val="center"/>
          </w:tcPr>
          <w:p w:rsidR="00C94377" w:rsidRPr="00BE5FAF" w:rsidRDefault="00C94377" w:rsidP="005207A7">
            <w:pPr>
              <w:pStyle w:val="TableText0"/>
              <w:spacing w:before="0" w:after="0"/>
            </w:pPr>
            <w:r w:rsidRPr="00BE5FAF">
              <w:rPr>
                <w:szCs w:val="20"/>
              </w:rPr>
              <w:t xml:space="preserve">Transition probabilities for fatal/non-fatal cardiovascular events and other vascular events (acute limb </w:t>
            </w:r>
            <w:proofErr w:type="spellStart"/>
            <w:r w:rsidRPr="00BE5FAF">
              <w:rPr>
                <w:szCs w:val="20"/>
              </w:rPr>
              <w:t>isch</w:t>
            </w:r>
            <w:r w:rsidR="00D264DB" w:rsidRPr="00BE5FAF">
              <w:rPr>
                <w:szCs w:val="20"/>
              </w:rPr>
              <w:t>a</w:t>
            </w:r>
            <w:r w:rsidRPr="00BE5FAF">
              <w:rPr>
                <w:szCs w:val="20"/>
              </w:rPr>
              <w:t>emia</w:t>
            </w:r>
            <w:proofErr w:type="spellEnd"/>
            <w:r w:rsidRPr="00BE5FAF">
              <w:rPr>
                <w:szCs w:val="20"/>
              </w:rPr>
              <w:t xml:space="preserve">, major amputation, minor amputation, major </w:t>
            </w:r>
            <w:proofErr w:type="spellStart"/>
            <w:r w:rsidRPr="00BE5FAF">
              <w:rPr>
                <w:szCs w:val="20"/>
              </w:rPr>
              <w:t>extracranial</w:t>
            </w:r>
            <w:proofErr w:type="spellEnd"/>
            <w:r w:rsidRPr="00BE5FAF">
              <w:rPr>
                <w:szCs w:val="20"/>
              </w:rPr>
              <w:t xml:space="preserve"> bleeds, </w:t>
            </w:r>
            <w:proofErr w:type="gramStart"/>
            <w:r w:rsidRPr="00BE5FAF">
              <w:rPr>
                <w:szCs w:val="20"/>
              </w:rPr>
              <w:t>venous</w:t>
            </w:r>
            <w:proofErr w:type="gramEnd"/>
            <w:r w:rsidRPr="00BE5FAF">
              <w:rPr>
                <w:szCs w:val="20"/>
              </w:rPr>
              <w:t xml:space="preserve"> thromboembolism) were derived from post hoc analysis of individual patient data from the COMPASS trial. Event probabilities </w:t>
            </w:r>
            <w:proofErr w:type="gramStart"/>
            <w:r w:rsidRPr="00BE5FAF">
              <w:rPr>
                <w:szCs w:val="20"/>
              </w:rPr>
              <w:t>were adjusted</w:t>
            </w:r>
            <w:proofErr w:type="gramEnd"/>
            <w:r w:rsidRPr="00BE5FAF">
              <w:rPr>
                <w:szCs w:val="20"/>
              </w:rPr>
              <w:t xml:space="preserve"> over time using a cardiovascular risk multiplier and a cardiovascular death multiplier based on the REACH study.</w:t>
            </w:r>
            <w:r w:rsidRPr="00BE5FAF">
              <w:t xml:space="preserve"> </w:t>
            </w:r>
            <w:r w:rsidRPr="00BE5FAF">
              <w:rPr>
                <w:szCs w:val="20"/>
              </w:rPr>
              <w:t xml:space="preserve">Non-cardiovascular death probabilities </w:t>
            </w:r>
            <w:proofErr w:type="gramStart"/>
            <w:r w:rsidRPr="00BE5FAF">
              <w:rPr>
                <w:szCs w:val="20"/>
              </w:rPr>
              <w:t>were based</w:t>
            </w:r>
            <w:proofErr w:type="gramEnd"/>
            <w:r w:rsidRPr="00BE5FAF">
              <w:rPr>
                <w:szCs w:val="20"/>
              </w:rPr>
              <w:t xml:space="preserve"> on Australian life tables.</w:t>
            </w:r>
            <w:r w:rsidRPr="00BE5FAF">
              <w:t xml:space="preserve"> </w:t>
            </w:r>
            <w:r w:rsidRPr="00BE5FAF">
              <w:rPr>
                <w:szCs w:val="20"/>
              </w:rPr>
              <w:t xml:space="preserve">Treatment effect estimates </w:t>
            </w:r>
            <w:proofErr w:type="gramStart"/>
            <w:r w:rsidRPr="00BE5FAF">
              <w:rPr>
                <w:szCs w:val="20"/>
              </w:rPr>
              <w:t>were derived</w:t>
            </w:r>
            <w:proofErr w:type="gramEnd"/>
            <w:r w:rsidRPr="00BE5FAF">
              <w:rPr>
                <w:szCs w:val="20"/>
              </w:rPr>
              <w:t xml:space="preserve"> from the COMPASS trial. </w:t>
            </w:r>
          </w:p>
        </w:tc>
      </w:tr>
      <w:tr w:rsidR="00C94377" w:rsidRPr="00BE5FAF" w:rsidTr="00FA7D99">
        <w:tc>
          <w:tcPr>
            <w:tcW w:w="862" w:type="pct"/>
            <w:shd w:val="clear" w:color="auto" w:fill="auto"/>
            <w:vAlign w:val="center"/>
          </w:tcPr>
          <w:p w:rsidR="00C94377" w:rsidRPr="00BE5FAF" w:rsidRDefault="00C94377" w:rsidP="005207A7">
            <w:pPr>
              <w:pStyle w:val="TableText0"/>
              <w:spacing w:before="0" w:after="0"/>
            </w:pPr>
            <w:r w:rsidRPr="00BE5FAF">
              <w:t>Discount rate</w:t>
            </w:r>
          </w:p>
        </w:tc>
        <w:tc>
          <w:tcPr>
            <w:tcW w:w="4138" w:type="pct"/>
            <w:shd w:val="clear" w:color="auto" w:fill="auto"/>
            <w:vAlign w:val="center"/>
          </w:tcPr>
          <w:p w:rsidR="00C94377" w:rsidRPr="00BE5FAF" w:rsidRDefault="00C94377" w:rsidP="005207A7">
            <w:pPr>
              <w:pStyle w:val="TableText0"/>
              <w:spacing w:before="0" w:after="0"/>
            </w:pPr>
            <w:r w:rsidRPr="00BE5FAF">
              <w:t>5% for costs and outcomes</w:t>
            </w:r>
          </w:p>
        </w:tc>
      </w:tr>
      <w:tr w:rsidR="00C94377" w:rsidRPr="00BE5FAF" w:rsidTr="00FA7D99">
        <w:tc>
          <w:tcPr>
            <w:tcW w:w="862" w:type="pct"/>
            <w:shd w:val="clear" w:color="auto" w:fill="auto"/>
            <w:vAlign w:val="center"/>
          </w:tcPr>
          <w:p w:rsidR="00C94377" w:rsidRPr="00BE5FAF" w:rsidRDefault="00C94377" w:rsidP="005207A7">
            <w:pPr>
              <w:pStyle w:val="TableText0"/>
              <w:spacing w:before="0" w:after="0"/>
              <w:rPr>
                <w:rFonts w:ascii="Times" w:eastAsia="Times New Roman" w:hAnsi="Times" w:cs="Times New Roman"/>
                <w:szCs w:val="20"/>
              </w:rPr>
            </w:pPr>
            <w:r w:rsidRPr="00BE5FAF">
              <w:t>Software package</w:t>
            </w:r>
          </w:p>
        </w:tc>
        <w:tc>
          <w:tcPr>
            <w:tcW w:w="4138" w:type="pct"/>
            <w:shd w:val="clear" w:color="auto" w:fill="auto"/>
            <w:vAlign w:val="center"/>
          </w:tcPr>
          <w:p w:rsidR="00C94377" w:rsidRPr="00BE5FAF" w:rsidRDefault="00C94377" w:rsidP="005207A7">
            <w:pPr>
              <w:pStyle w:val="TableText0"/>
              <w:spacing w:before="0" w:after="0"/>
            </w:pPr>
            <w:r w:rsidRPr="00BE5FAF">
              <w:t>Microsoft Excel 2016</w:t>
            </w:r>
          </w:p>
        </w:tc>
      </w:tr>
    </w:tbl>
    <w:p w:rsidR="00C94377" w:rsidRPr="00BE5FAF" w:rsidRDefault="00C94377" w:rsidP="00D8518A">
      <w:pPr>
        <w:pStyle w:val="TableFooter"/>
        <w:widowControl/>
      </w:pPr>
      <w:r w:rsidRPr="00BE5FAF">
        <w:t>Source: Table 3.1-1 (p 190) of the submission</w:t>
      </w:r>
    </w:p>
    <w:p w:rsidR="00C94377" w:rsidRPr="00BE5FAF" w:rsidRDefault="0050103C" w:rsidP="00D8518A">
      <w:pPr>
        <w:pStyle w:val="TableFooter"/>
        <w:widowControl/>
      </w:pPr>
      <w:r w:rsidRPr="00BE5FAF">
        <w:t>Abbreviations</w:t>
      </w:r>
      <w:r w:rsidR="00C94377" w:rsidRPr="00BE5FAF">
        <w:t>: CV, cardiovascular; ICH, intracranial haemorrhage; IS, ischaemic stroke; MI, myocardial infarction</w:t>
      </w:r>
    </w:p>
    <w:p w:rsidR="00A276FE" w:rsidRPr="00BE5FAF" w:rsidRDefault="00A905CA" w:rsidP="003008B5">
      <w:pPr>
        <w:pStyle w:val="ListParagraph"/>
        <w:widowControl/>
        <w:numPr>
          <w:ilvl w:val="1"/>
          <w:numId w:val="2"/>
        </w:numPr>
        <w:spacing w:before="120" w:after="120"/>
      </w:pPr>
      <w:r w:rsidRPr="00BE5FAF">
        <w:t xml:space="preserve">The model structure </w:t>
      </w:r>
      <w:proofErr w:type="gramStart"/>
      <w:r w:rsidRPr="00BE5FAF">
        <w:t>is shown</w:t>
      </w:r>
      <w:proofErr w:type="gramEnd"/>
      <w:r w:rsidRPr="00BE5FAF">
        <w:t xml:space="preserve"> in Figure 2 below. </w:t>
      </w:r>
      <w:r w:rsidR="00C94377" w:rsidRPr="00BE5FAF">
        <w:t xml:space="preserve">Patients enter the model in the baseline health state. In each quarterly cycle, patients can have no event or experience up to two non-fatal cardiovascular events (myocardial infarction, ischaemic stroke, </w:t>
      </w:r>
      <w:r w:rsidR="00BE5FAF" w:rsidRPr="00BE5FAF">
        <w:t>and intracranial</w:t>
      </w:r>
      <w:r w:rsidR="00C94377" w:rsidRPr="00BE5FAF">
        <w:t xml:space="preserve"> haemorrhage), cardiovascular death (including various sub-categories), bleeding death or non-cardiovascular death. Patients experiencing multiple cardiovascular events accrue the cost and utility of the most severe event (ischaemic stroke &gt; intracranial haemorrhage &gt; myocardial infarction &gt; baseline health state). The modelled health states limit the number of non-fatal cardiovascular events to a maximum of two per patient</w:t>
      </w:r>
      <w:r w:rsidR="00D23DC3" w:rsidRPr="00BE5FAF">
        <w:t xml:space="preserve">, which the ESC considered </w:t>
      </w:r>
      <w:proofErr w:type="gramStart"/>
      <w:r w:rsidR="00D23DC3" w:rsidRPr="00BE5FAF">
        <w:t>may</w:t>
      </w:r>
      <w:proofErr w:type="gramEnd"/>
      <w:r w:rsidR="00D23DC3" w:rsidRPr="00BE5FAF">
        <w:t xml:space="preserve"> not be reasonable</w:t>
      </w:r>
      <w:r w:rsidR="00C94377" w:rsidRPr="00BE5FAF">
        <w:t xml:space="preserve">. The model utilises tunnel states for non-fatal cardiovascular events in order to adjust transition probabilities, costs and utilities over time (acute phase &lt; 3 months, chronic phase &gt; 3 months). Additionally, during any cycle of the model patients can also experience other vascular events (acute limb </w:t>
      </w:r>
      <w:proofErr w:type="spellStart"/>
      <w:r w:rsidR="00C94377" w:rsidRPr="00BE5FAF">
        <w:t>isch</w:t>
      </w:r>
      <w:r w:rsidR="00D264DB" w:rsidRPr="00BE5FAF">
        <w:t>a</w:t>
      </w:r>
      <w:r w:rsidR="00C94377" w:rsidRPr="00BE5FAF">
        <w:t>emia</w:t>
      </w:r>
      <w:proofErr w:type="spellEnd"/>
      <w:r w:rsidR="00C94377" w:rsidRPr="00BE5FAF">
        <w:t xml:space="preserve">, minor amputation, major amputation, acute major bleed, </w:t>
      </w:r>
      <w:r w:rsidR="00BE5FAF" w:rsidRPr="00BE5FAF">
        <w:t>and acute</w:t>
      </w:r>
      <w:r w:rsidR="00C94377" w:rsidRPr="00BE5FAF">
        <w:t xml:space="preserve"> venous thromboembolism)</w:t>
      </w:r>
      <w:r w:rsidR="00B30C7A" w:rsidRPr="00BE5FAF">
        <w:t xml:space="preserve">. The model structure allowed patients in the </w:t>
      </w:r>
      <w:proofErr w:type="spellStart"/>
      <w:r w:rsidR="00B30C7A" w:rsidRPr="00BE5FAF">
        <w:t>rivaroxaban</w:t>
      </w:r>
      <w:proofErr w:type="spellEnd"/>
      <w:r w:rsidR="00B30C7A" w:rsidRPr="00BE5FAF">
        <w:t xml:space="preserve"> with aspirin treatment arm to discontinue </w:t>
      </w:r>
      <w:proofErr w:type="spellStart"/>
      <w:r w:rsidR="00B30C7A" w:rsidRPr="00BE5FAF">
        <w:t>rivaroxaban</w:t>
      </w:r>
      <w:proofErr w:type="spellEnd"/>
      <w:r w:rsidR="00B30C7A" w:rsidRPr="00BE5FAF">
        <w:t xml:space="preserve"> treatment and continue with aspirin alone. </w:t>
      </w:r>
    </w:p>
    <w:p w:rsidR="00A276FE" w:rsidRPr="00BE5FAF" w:rsidRDefault="00A276FE" w:rsidP="005207A7">
      <w:pPr>
        <w:keepNext/>
        <w:widowControl/>
        <w:rPr>
          <w:rFonts w:ascii="Arial Narrow" w:hAnsi="Arial Narrow"/>
          <w:b/>
          <w:sz w:val="20"/>
          <w:szCs w:val="20"/>
        </w:rPr>
      </w:pPr>
      <w:r w:rsidRPr="00BE5FAF">
        <w:rPr>
          <w:rFonts w:ascii="Arial Narrow" w:hAnsi="Arial Narrow"/>
          <w:b/>
          <w:sz w:val="20"/>
          <w:szCs w:val="20"/>
        </w:rPr>
        <w:lastRenderedPageBreak/>
        <w:t>Figure 2: Markov model structure</w:t>
      </w:r>
    </w:p>
    <w:p w:rsidR="00A276FE" w:rsidRPr="00BE5FAF" w:rsidRDefault="00A276FE" w:rsidP="006E1493">
      <w:pPr>
        <w:pStyle w:val="ListParagraph"/>
        <w:keepNext/>
        <w:widowControl/>
        <w:ind w:left="0"/>
      </w:pPr>
      <w:r w:rsidRPr="00BE5FAF">
        <w:rPr>
          <w:noProof/>
          <w:lang w:eastAsia="en-AU"/>
        </w:rPr>
        <w:drawing>
          <wp:inline distT="0" distB="0" distL="0" distR="0" wp14:anchorId="7212C11D" wp14:editId="5D42C19F">
            <wp:extent cx="4328795" cy="1884045"/>
            <wp:effectExtent l="0" t="0" r="0" b="1905"/>
            <wp:docPr id="3" name="Picture 3" title="Figure 2: Markov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8795" cy="1884045"/>
                    </a:xfrm>
                    <a:prstGeom prst="rect">
                      <a:avLst/>
                    </a:prstGeom>
                    <a:noFill/>
                  </pic:spPr>
                </pic:pic>
              </a:graphicData>
            </a:graphic>
          </wp:inline>
        </w:drawing>
      </w:r>
    </w:p>
    <w:p w:rsidR="00B30C7A" w:rsidRPr="00BE5FAF" w:rsidRDefault="00A276FE" w:rsidP="005207A7">
      <w:pPr>
        <w:keepNext/>
        <w:widowControl/>
        <w:rPr>
          <w:rFonts w:ascii="Arial Narrow" w:hAnsi="Arial Narrow"/>
          <w:sz w:val="18"/>
          <w:szCs w:val="18"/>
        </w:rPr>
      </w:pPr>
      <w:r w:rsidRPr="00BE5FAF">
        <w:rPr>
          <w:rFonts w:ascii="Arial Narrow" w:hAnsi="Arial Narrow"/>
          <w:sz w:val="18"/>
          <w:szCs w:val="18"/>
        </w:rPr>
        <w:t>Source: Page 184 of the submission</w:t>
      </w:r>
    </w:p>
    <w:p w:rsidR="00A276FE" w:rsidRPr="00BE5FAF" w:rsidRDefault="00A276FE" w:rsidP="005207A7">
      <w:pPr>
        <w:keepNext/>
        <w:widowControl/>
        <w:rPr>
          <w:rFonts w:ascii="Arial Narrow" w:hAnsi="Arial Narrow"/>
          <w:sz w:val="18"/>
          <w:szCs w:val="18"/>
        </w:rPr>
      </w:pPr>
      <w:r w:rsidRPr="00BE5FAF">
        <w:rPr>
          <w:rFonts w:ascii="Arial Narrow" w:hAnsi="Arial Narrow"/>
          <w:sz w:val="18"/>
          <w:szCs w:val="18"/>
        </w:rPr>
        <w:t>Abbreviations: ICH, intracranial haemorrhage; IS, ischaemic stroke; MI, myocardial infarction</w:t>
      </w:r>
    </w:p>
    <w:p w:rsidR="00892B20" w:rsidRPr="00BE5FAF" w:rsidRDefault="00DE1EDB" w:rsidP="003008B5">
      <w:pPr>
        <w:pStyle w:val="ListParagraph"/>
        <w:widowControl/>
        <w:numPr>
          <w:ilvl w:val="1"/>
          <w:numId w:val="2"/>
        </w:numPr>
        <w:spacing w:before="120" w:after="120"/>
      </w:pPr>
      <w:r w:rsidRPr="00BE5FAF">
        <w:t>The ESC considered that a</w:t>
      </w:r>
      <w:r w:rsidR="00892B20" w:rsidRPr="00BE5FAF">
        <w:t xml:space="preserve"> microsimulation approach </w:t>
      </w:r>
      <w:proofErr w:type="gramStart"/>
      <w:r w:rsidRPr="00BE5FAF">
        <w:t>may</w:t>
      </w:r>
      <w:proofErr w:type="gramEnd"/>
      <w:r w:rsidRPr="00BE5FAF">
        <w:t xml:space="preserve"> have been more appropriate as it </w:t>
      </w:r>
      <w:r w:rsidR="00892B20" w:rsidRPr="00BE5FAF">
        <w:t>would have a greater ability to track events over time (which would assist the validation of estimates) particularly given the need to model time dependent events that have an effect on future events.</w:t>
      </w:r>
      <w:r w:rsidR="008D1B58" w:rsidRPr="00BE5FAF">
        <w:t xml:space="preserve"> The ESC </w:t>
      </w:r>
      <w:r w:rsidRPr="00BE5FAF">
        <w:t xml:space="preserve">further considered </w:t>
      </w:r>
      <w:r w:rsidR="008D1B58" w:rsidRPr="00BE5FAF">
        <w:t>that a microsimulation</w:t>
      </w:r>
      <w:r w:rsidR="004A61A8" w:rsidRPr="00BE5FAF">
        <w:t xml:space="preserve"> approach</w:t>
      </w:r>
      <w:r w:rsidR="008D1B58" w:rsidRPr="00BE5FAF">
        <w:t xml:space="preserve"> </w:t>
      </w:r>
      <w:proofErr w:type="gramStart"/>
      <w:r w:rsidR="008D1B58" w:rsidRPr="00BE5FAF">
        <w:t>may</w:t>
      </w:r>
      <w:proofErr w:type="gramEnd"/>
      <w:r w:rsidR="008D1B58" w:rsidRPr="00BE5FAF">
        <w:t xml:space="preserve"> </w:t>
      </w:r>
      <w:r w:rsidR="002A0F68" w:rsidRPr="00BE5FAF">
        <w:t>be appropriate given the baseline heterogeneity of the patient population</w:t>
      </w:r>
      <w:r w:rsidR="00BE5FAF">
        <w:t xml:space="preserve">. </w:t>
      </w:r>
      <w:r w:rsidR="008D1B58" w:rsidRPr="00BE5FAF">
        <w:t xml:space="preserve"> </w:t>
      </w:r>
    </w:p>
    <w:p w:rsidR="00CA3BE2" w:rsidRPr="00BE5FAF" w:rsidRDefault="009954E4" w:rsidP="003008B5">
      <w:pPr>
        <w:pStyle w:val="ListParagraph"/>
        <w:widowControl/>
        <w:numPr>
          <w:ilvl w:val="1"/>
          <w:numId w:val="2"/>
        </w:numPr>
        <w:spacing w:before="120" w:after="120"/>
      </w:pPr>
      <w:r w:rsidRPr="00BE5FAF">
        <w:t xml:space="preserve">The modelled use of </w:t>
      </w:r>
      <w:proofErr w:type="spellStart"/>
      <w:r w:rsidRPr="00BE5FAF">
        <w:t>rivaroxaban</w:t>
      </w:r>
      <w:proofErr w:type="spellEnd"/>
      <w:r w:rsidRPr="00BE5FAF">
        <w:t xml:space="preserve"> in patients with acute coronary syndromes is not consistent with the requested restriction (and the submission has not provided any clinical data to support this indication). </w:t>
      </w:r>
      <w:r w:rsidR="00892B20" w:rsidRPr="00BE5FAF">
        <w:t xml:space="preserve">The circumstances of use for both treatment arms of the model </w:t>
      </w:r>
      <w:proofErr w:type="gramStart"/>
      <w:r w:rsidR="00892B20" w:rsidRPr="00BE5FAF">
        <w:t>were based</w:t>
      </w:r>
      <w:proofErr w:type="gramEnd"/>
      <w:r w:rsidR="00892B20" w:rsidRPr="00BE5FAF">
        <w:t xml:space="preserve"> on the assumption that all patients would remain fully adherent </w:t>
      </w:r>
      <w:r w:rsidR="00C356E8" w:rsidRPr="00BE5FAF">
        <w:t xml:space="preserve">and persistent </w:t>
      </w:r>
      <w:r w:rsidR="00892B20" w:rsidRPr="00BE5FAF">
        <w:t>to therapy, and there would be no treatment interruptions (</w:t>
      </w:r>
      <w:r w:rsidR="0050103C" w:rsidRPr="00BE5FAF">
        <w:t>i.e.</w:t>
      </w:r>
      <w:r w:rsidR="00892B20" w:rsidRPr="00BE5FAF">
        <w:t xml:space="preserve"> due to acute coronary syndrome</w:t>
      </w:r>
      <w:r w:rsidR="00176AFC" w:rsidRPr="00BE5FAF">
        <w:t>s</w:t>
      </w:r>
      <w:r w:rsidR="00E47F1E" w:rsidRPr="00BE5FAF">
        <w:t xml:space="preserve"> or bleeding events</w:t>
      </w:r>
      <w:r w:rsidR="00892B20" w:rsidRPr="00BE5FAF">
        <w:t xml:space="preserve">). </w:t>
      </w:r>
      <w:r w:rsidR="00D23DC3" w:rsidRPr="00BE5FAF">
        <w:t xml:space="preserve">The ESC considered these assumptions were not </w:t>
      </w:r>
      <w:proofErr w:type="gramStart"/>
      <w:r w:rsidR="00D23DC3" w:rsidRPr="00BE5FAF">
        <w:t>reasonable</w:t>
      </w:r>
      <w:proofErr w:type="gramEnd"/>
      <w:r w:rsidR="00D23DC3" w:rsidRPr="00BE5FAF">
        <w:t xml:space="preserve"> as p</w:t>
      </w:r>
      <w:r w:rsidR="00892B20" w:rsidRPr="00BE5FAF">
        <w:t xml:space="preserve">atients are unlikely to be fully </w:t>
      </w:r>
      <w:r w:rsidR="00C6582C" w:rsidRPr="00BE5FAF">
        <w:t xml:space="preserve">adherent and persistent </w:t>
      </w:r>
      <w:r w:rsidR="00892B20" w:rsidRPr="00BE5FAF">
        <w:t>to therapy</w:t>
      </w:r>
      <w:r w:rsidR="00030422" w:rsidRPr="00BE5FAF">
        <w:t>, with no treatment interruptions,</w:t>
      </w:r>
      <w:r w:rsidR="00892B20" w:rsidRPr="00BE5FAF">
        <w:t xml:space="preserve"> in clinical practice. </w:t>
      </w:r>
      <w:r w:rsidR="00030422" w:rsidRPr="00BE5FAF">
        <w:t xml:space="preserve">The ESC considered that this was </w:t>
      </w:r>
      <w:r w:rsidR="00B26F7E" w:rsidRPr="00BE5FAF">
        <w:t xml:space="preserve">in </w:t>
      </w:r>
      <w:r w:rsidR="00030422" w:rsidRPr="00BE5FAF">
        <w:t xml:space="preserve">particular an issue in the context of the </w:t>
      </w:r>
      <w:r w:rsidR="00BE5FAF" w:rsidRPr="00BE5FAF">
        <w:t>30-year</w:t>
      </w:r>
      <w:r w:rsidR="00030422" w:rsidRPr="00BE5FAF">
        <w:t xml:space="preserve"> time horizon and with the assumption of a constant treatment effect. </w:t>
      </w:r>
      <w:r w:rsidR="00CA3BE2" w:rsidRPr="00BE5FAF">
        <w:t>The ESC noted that, while the submission presented sensitivity analyses to attempt to account for these issues, these analyses were not reliable</w:t>
      </w:r>
      <w:r w:rsidR="00EC65D5" w:rsidRPr="00BE5FAF">
        <w:t xml:space="preserve"> because</w:t>
      </w:r>
      <w:r w:rsidR="00CA3BE2" w:rsidRPr="00BE5FAF">
        <w:t xml:space="preserve">: </w:t>
      </w:r>
    </w:p>
    <w:p w:rsidR="00CF287E" w:rsidRPr="00BE5FAF" w:rsidRDefault="00CF287E" w:rsidP="003008B5">
      <w:pPr>
        <w:pStyle w:val="ListParagraph"/>
        <w:widowControl/>
        <w:numPr>
          <w:ilvl w:val="0"/>
          <w:numId w:val="12"/>
        </w:numPr>
        <w:spacing w:before="120" w:after="120"/>
      </w:pPr>
      <w:r w:rsidRPr="00BE5FAF">
        <w:t xml:space="preserve">The sensitivity analyses of persistence </w:t>
      </w:r>
      <w:r w:rsidR="00EC65D5" w:rsidRPr="00BE5FAF">
        <w:t xml:space="preserve">were </w:t>
      </w:r>
      <w:r w:rsidRPr="00BE5FAF">
        <w:t>based on discontinuation rate</w:t>
      </w:r>
      <w:r w:rsidR="00EA19CD" w:rsidRPr="00BE5FAF">
        <w:t>s</w:t>
      </w:r>
      <w:r w:rsidRPr="00BE5FAF">
        <w:t xml:space="preserve"> from the COMPASS trial</w:t>
      </w:r>
      <w:r w:rsidR="00EC65D5" w:rsidRPr="00BE5FAF">
        <w:t xml:space="preserve">, which the </w:t>
      </w:r>
      <w:r w:rsidR="00CA3BE2" w:rsidRPr="00BE5FAF">
        <w:t xml:space="preserve">ESC considered </w:t>
      </w:r>
      <w:r w:rsidR="002150EA">
        <w:t>would underestimate</w:t>
      </w:r>
      <w:r w:rsidR="002F252E" w:rsidRPr="00BE5FAF">
        <w:t xml:space="preserve"> </w:t>
      </w:r>
      <w:proofErr w:type="gramStart"/>
      <w:r w:rsidR="002F252E" w:rsidRPr="00BE5FAF">
        <w:t>those in</w:t>
      </w:r>
      <w:r w:rsidRPr="00BE5FAF">
        <w:t xml:space="preserve"> clinical practice</w:t>
      </w:r>
      <w:proofErr w:type="gramEnd"/>
      <w:r w:rsidRPr="00BE5FAF">
        <w:t xml:space="preserve">, particularly given that the COMPASS trial included a run-in period that excluded patients with poor compliance. </w:t>
      </w:r>
    </w:p>
    <w:p w:rsidR="00EC65D5" w:rsidRPr="00BE5FAF" w:rsidRDefault="00EC65D5" w:rsidP="003008B5">
      <w:pPr>
        <w:pStyle w:val="ListParagraph"/>
        <w:widowControl/>
        <w:numPr>
          <w:ilvl w:val="0"/>
          <w:numId w:val="12"/>
        </w:numPr>
        <w:spacing w:before="120" w:after="120"/>
      </w:pPr>
      <w:r w:rsidRPr="00BE5FAF">
        <w:t>In t</w:t>
      </w:r>
      <w:r w:rsidR="00CF287E" w:rsidRPr="00BE5FAF">
        <w:t xml:space="preserve">he </w:t>
      </w:r>
      <w:r w:rsidRPr="00BE5FAF">
        <w:t xml:space="preserve">sensitivity analyses of treatment interruptions, only drug costs were changed; however the evaluation and the ESC considered that treatment interruptions should also affect efficacy and safety estimates. </w:t>
      </w:r>
      <w:r w:rsidR="000F634B" w:rsidRPr="00BE5FAF">
        <w:t xml:space="preserve">The </w:t>
      </w:r>
      <w:proofErr w:type="gramStart"/>
      <w:r w:rsidR="000F634B" w:rsidRPr="00BE5FAF">
        <w:t xml:space="preserve">PSCR </w:t>
      </w:r>
      <w:r w:rsidR="000F634B" w:rsidRPr="00BE5FAF">
        <w:rPr>
          <w:i/>
        </w:rPr>
        <w:t xml:space="preserve"> </w:t>
      </w:r>
      <w:r w:rsidR="000F634B" w:rsidRPr="00BE5FAF">
        <w:t>argued</w:t>
      </w:r>
      <w:proofErr w:type="gramEnd"/>
      <w:r w:rsidR="000F634B" w:rsidRPr="00BE5FAF">
        <w:t xml:space="preserve"> the impact on efficacy and safety would be captured in the observed outcomes from the trial. </w:t>
      </w:r>
      <w:r w:rsidRPr="00BE5FAF">
        <w:t xml:space="preserve">However, the ESC considered that it was unclear whether the treatment interruptions during the COMPASS trial would reflect clinical practice in the longer-term (particularly as most of the impact of treatment interruptions in the model occurred during the extrapolated period, rather than the trial period). </w:t>
      </w:r>
      <w:r w:rsidRPr="00BE5FAF">
        <w:lastRenderedPageBreak/>
        <w:t>The appropriate modelling of treatment interruptions may potentially have a major impact on the cost effectiveness estimates given the highest risk of a subsequent cardiovascular event is within one year of a prior event.</w:t>
      </w:r>
      <w:r w:rsidR="009E76B0" w:rsidRPr="00BE5FAF">
        <w:t xml:space="preserve"> Further, the sensitivity analysis did not include all relevant causes of treatment interruptions (e.g. it did not include unstable angina, ischaemic stoke and revascularisation procedures). </w:t>
      </w:r>
    </w:p>
    <w:p w:rsidR="00C94377" w:rsidRPr="00BE5FAF" w:rsidRDefault="00C94377" w:rsidP="003008B5">
      <w:pPr>
        <w:pStyle w:val="ListParagraph"/>
        <w:widowControl/>
        <w:numPr>
          <w:ilvl w:val="1"/>
          <w:numId w:val="2"/>
        </w:numPr>
        <w:spacing w:before="120" w:after="120"/>
      </w:pPr>
      <w:r w:rsidRPr="00BE5FAF">
        <w:t>Key drivers of the economic model are summarised in the table below</w:t>
      </w:r>
      <w:r w:rsidR="006956D5" w:rsidRPr="00BE5FAF">
        <w:t>.</w:t>
      </w:r>
    </w:p>
    <w:p w:rsidR="00C94377" w:rsidRPr="00BE5FAF" w:rsidRDefault="00C94377" w:rsidP="00C12655">
      <w:pPr>
        <w:keepNext/>
        <w:keepLines/>
        <w:widowControl/>
        <w:rPr>
          <w:rStyle w:val="CommentReference"/>
        </w:rPr>
      </w:pPr>
      <w:r w:rsidRPr="00BE5FAF">
        <w:rPr>
          <w:rStyle w:val="CommentReference"/>
        </w:rPr>
        <w:t xml:space="preserve">Table </w:t>
      </w:r>
      <w:r w:rsidR="006956D5" w:rsidRPr="00BE5FAF">
        <w:rPr>
          <w:rStyle w:val="CommentReference"/>
        </w:rPr>
        <w:t>1</w:t>
      </w:r>
      <w:r w:rsidR="003D0A8E" w:rsidRPr="00BE5FAF">
        <w:rPr>
          <w:rStyle w:val="CommentReference"/>
        </w:rPr>
        <w:t>1</w:t>
      </w:r>
      <w:r w:rsidRPr="00BE5FAF">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Key drivers of the model"/>
      </w:tblPr>
      <w:tblGrid>
        <w:gridCol w:w="1295"/>
        <w:gridCol w:w="6474"/>
        <w:gridCol w:w="1248"/>
      </w:tblGrid>
      <w:tr w:rsidR="00C94377" w:rsidRPr="00BE5FAF" w:rsidTr="00C94377">
        <w:trPr>
          <w:tblHeader/>
        </w:trPr>
        <w:tc>
          <w:tcPr>
            <w:tcW w:w="718" w:type="pct"/>
            <w:shd w:val="clear" w:color="auto" w:fill="auto"/>
            <w:vAlign w:val="center"/>
          </w:tcPr>
          <w:p w:rsidR="00C94377" w:rsidRPr="00BE5FAF" w:rsidRDefault="00C94377" w:rsidP="00C12655">
            <w:pPr>
              <w:pStyle w:val="Tabletext"/>
              <w:keepNext/>
              <w:keepLines/>
              <w:rPr>
                <w:b/>
              </w:rPr>
            </w:pPr>
            <w:r w:rsidRPr="00BE5FAF">
              <w:rPr>
                <w:b/>
              </w:rPr>
              <w:t>Description</w:t>
            </w:r>
          </w:p>
        </w:tc>
        <w:tc>
          <w:tcPr>
            <w:tcW w:w="3590" w:type="pct"/>
            <w:shd w:val="clear" w:color="auto" w:fill="auto"/>
            <w:vAlign w:val="center"/>
          </w:tcPr>
          <w:p w:rsidR="00C94377" w:rsidRPr="00BE5FAF" w:rsidRDefault="00C94377" w:rsidP="00C12655">
            <w:pPr>
              <w:pStyle w:val="Tabletext"/>
              <w:keepNext/>
              <w:keepLines/>
              <w:jc w:val="center"/>
              <w:rPr>
                <w:b/>
              </w:rPr>
            </w:pPr>
            <w:r w:rsidRPr="00BE5FAF">
              <w:rPr>
                <w:b/>
              </w:rPr>
              <w:t>Method/Value</w:t>
            </w:r>
          </w:p>
        </w:tc>
        <w:tc>
          <w:tcPr>
            <w:tcW w:w="693" w:type="pct"/>
            <w:shd w:val="clear" w:color="auto" w:fill="auto"/>
            <w:vAlign w:val="center"/>
          </w:tcPr>
          <w:p w:rsidR="00C94377" w:rsidRPr="00BE5FAF" w:rsidRDefault="00C94377" w:rsidP="00C12655">
            <w:pPr>
              <w:pStyle w:val="Tabletext"/>
              <w:keepNext/>
              <w:keepLines/>
              <w:jc w:val="center"/>
              <w:rPr>
                <w:b/>
              </w:rPr>
            </w:pPr>
            <w:r w:rsidRPr="00BE5FAF">
              <w:rPr>
                <w:b/>
              </w:rPr>
              <w:t>Impact</w:t>
            </w:r>
          </w:p>
        </w:tc>
      </w:tr>
      <w:tr w:rsidR="00C94377" w:rsidRPr="00BE5FAF" w:rsidTr="00C94377">
        <w:tc>
          <w:tcPr>
            <w:tcW w:w="718" w:type="pct"/>
            <w:shd w:val="clear" w:color="auto" w:fill="auto"/>
            <w:vAlign w:val="center"/>
          </w:tcPr>
          <w:p w:rsidR="00C94377" w:rsidRPr="00BE5FAF" w:rsidRDefault="00C94377" w:rsidP="00C12655">
            <w:pPr>
              <w:pStyle w:val="Tabletext"/>
              <w:keepNext/>
              <w:keepLines/>
            </w:pPr>
            <w:r w:rsidRPr="00BE5FAF">
              <w:t>Transition probabilities</w:t>
            </w:r>
          </w:p>
        </w:tc>
        <w:tc>
          <w:tcPr>
            <w:tcW w:w="3590" w:type="pct"/>
            <w:shd w:val="clear" w:color="auto" w:fill="auto"/>
            <w:vAlign w:val="center"/>
          </w:tcPr>
          <w:p w:rsidR="00C94377" w:rsidRPr="00BE5FAF" w:rsidRDefault="00C94377" w:rsidP="00C12655">
            <w:pPr>
              <w:pStyle w:val="Tabletext"/>
              <w:keepNext/>
              <w:keepLines/>
            </w:pPr>
            <w:r w:rsidRPr="00BE5FAF">
              <w:t xml:space="preserve">Transition probabilities for fatal/non-fatal cardiovascular events, fatal/non-fatal bleeding events and other vascular events </w:t>
            </w:r>
            <w:proofErr w:type="gramStart"/>
            <w:r w:rsidRPr="00BE5FAF">
              <w:t>were based</w:t>
            </w:r>
            <w:proofErr w:type="gramEnd"/>
            <w:r w:rsidRPr="00BE5FAF">
              <w:t xml:space="preserve"> on a post-hoc analysis of individual patient data from the COMPASS trial. Cardiovascular event probabilities </w:t>
            </w:r>
            <w:proofErr w:type="gramStart"/>
            <w:r w:rsidRPr="00BE5FAF">
              <w:t>were adjusted</w:t>
            </w:r>
            <w:proofErr w:type="gramEnd"/>
            <w:r w:rsidRPr="00BE5FAF">
              <w:t xml:space="preserve"> over time with a cardiovascular risk multiplier and a cardiovascular death multiplier derived from the REACH study.</w:t>
            </w:r>
            <w:r w:rsidR="00F06454" w:rsidRPr="00BE5FAF">
              <w:t xml:space="preserve"> </w:t>
            </w:r>
            <w:r w:rsidR="00B957D6" w:rsidRPr="00BE5FAF">
              <w:t>The ESC noted the REACH study</w:t>
            </w:r>
            <w:r w:rsidR="00C71E89" w:rsidRPr="00BE5FAF">
              <w:t xml:space="preserve">, on which this </w:t>
            </w:r>
            <w:r w:rsidR="00491F3B" w:rsidRPr="00BE5FAF">
              <w:t xml:space="preserve">adjustment </w:t>
            </w:r>
            <w:proofErr w:type="gramStart"/>
            <w:r w:rsidR="00491F3B" w:rsidRPr="00BE5FAF">
              <w:t>was</w:t>
            </w:r>
            <w:r w:rsidR="00C71E89" w:rsidRPr="00BE5FAF">
              <w:t xml:space="preserve"> based</w:t>
            </w:r>
            <w:proofErr w:type="gramEnd"/>
            <w:r w:rsidR="00C71E89" w:rsidRPr="00BE5FAF">
              <w:t>,</w:t>
            </w:r>
            <w:r w:rsidR="00B957D6" w:rsidRPr="00BE5FAF">
              <w:t xml:space="preserve"> </w:t>
            </w:r>
            <w:r w:rsidR="00C71E89" w:rsidRPr="00BE5FAF">
              <w:t xml:space="preserve">included participants from 44 countries, </w:t>
            </w:r>
            <w:r w:rsidR="005207A7" w:rsidRPr="00BE5FAF">
              <w:t>and thus</w:t>
            </w:r>
            <w:r w:rsidR="00C71E89" w:rsidRPr="00BE5FAF">
              <w:t xml:space="preserve"> the applicability to the relevant Australian population was uncertain.</w:t>
            </w:r>
            <w:r w:rsidR="00B957D6" w:rsidRPr="00BE5FAF">
              <w:t xml:space="preserve"> </w:t>
            </w:r>
            <w:r w:rsidR="00F06454" w:rsidRPr="00BE5FAF">
              <w:t>The ESC considered the risk multiplier added considerable additional uncertainty.</w:t>
            </w:r>
            <w:r w:rsidRPr="00BE5FAF">
              <w:t xml:space="preserve"> Non-cardiovascular death probabilities </w:t>
            </w:r>
            <w:proofErr w:type="gramStart"/>
            <w:r w:rsidRPr="00BE5FAF">
              <w:t>were based</w:t>
            </w:r>
            <w:proofErr w:type="gramEnd"/>
            <w:r w:rsidRPr="00BE5FAF">
              <w:t xml:space="preserve"> on Australian life tables.</w:t>
            </w:r>
          </w:p>
          <w:p w:rsidR="00C94377" w:rsidRPr="00BE5FAF" w:rsidRDefault="00C94377" w:rsidP="00C12655">
            <w:pPr>
              <w:pStyle w:val="Tabletext"/>
              <w:keepNext/>
              <w:keepLines/>
            </w:pPr>
          </w:p>
          <w:p w:rsidR="00C94377" w:rsidRPr="00BE5FAF" w:rsidRDefault="00C94377" w:rsidP="00C12655">
            <w:pPr>
              <w:pStyle w:val="Tabletext"/>
              <w:keepNext/>
              <w:keepLines/>
            </w:pPr>
            <w:r w:rsidRPr="00BE5FAF">
              <w:t>The clinical data informing the transition probabilities were sparse given the relatively low frequency of events in the COMPASS trial and the large number of health states in the economic model.</w:t>
            </w:r>
          </w:p>
          <w:p w:rsidR="00C94377" w:rsidRPr="00BE5FAF" w:rsidRDefault="00C94377" w:rsidP="00C12655">
            <w:pPr>
              <w:pStyle w:val="Tabletext"/>
              <w:keepNext/>
              <w:keepLines/>
            </w:pPr>
          </w:p>
          <w:p w:rsidR="00C94377" w:rsidRPr="00BE5FAF" w:rsidRDefault="00C94377" w:rsidP="00C12655">
            <w:pPr>
              <w:pStyle w:val="Tabletext"/>
              <w:keepNext/>
              <w:keepLines/>
            </w:pPr>
            <w:r w:rsidRPr="00BE5FAF">
              <w:t xml:space="preserve">Due to the lack of data, there </w:t>
            </w:r>
            <w:r w:rsidR="0050103C" w:rsidRPr="00BE5FAF">
              <w:t>were</w:t>
            </w:r>
            <w:r w:rsidRPr="00BE5FAF">
              <w:t xml:space="preserve"> a substantial number of null transitions in the model, which restricted patient transitions in an implausible manner (</w:t>
            </w:r>
            <w:proofErr w:type="gramStart"/>
            <w:r w:rsidRPr="00BE5FAF">
              <w:t>e.g.</w:t>
            </w:r>
            <w:proofErr w:type="gramEnd"/>
            <w:r w:rsidRPr="00BE5FAF">
              <w:t xml:space="preserve"> patients with two cardiovascular events could not die of cardiovascular causes, with the exception of the acute double MI state). Conversely, data sparseness also affected non-zero transition probabilities as most subsequent transitions were based on a limited number of observations with the event of interest only occurring in a very small number of patients (in most cases based on the experience of a single patient) and therefore cannot be reliably differentiated from random chance.</w:t>
            </w:r>
          </w:p>
          <w:p w:rsidR="00C94377" w:rsidRPr="00BE5FAF" w:rsidRDefault="00C94377" w:rsidP="00C12655">
            <w:pPr>
              <w:pStyle w:val="Tabletext"/>
              <w:keepNext/>
              <w:keepLines/>
            </w:pPr>
          </w:p>
          <w:p w:rsidR="00C94377" w:rsidRPr="00BE5FAF" w:rsidRDefault="00C94377" w:rsidP="00C12655">
            <w:pPr>
              <w:pStyle w:val="Tabletext"/>
              <w:keepNext/>
              <w:keepLines/>
            </w:pPr>
            <w:r w:rsidRPr="00BE5FAF">
              <w:t>The problems associated with data sparseness were further exacerbated for the CAD and PAD subgroup (18% of overall population) given the smaller number of patients included in this dataset.</w:t>
            </w:r>
          </w:p>
          <w:p w:rsidR="0019136A" w:rsidRPr="00BE5FAF" w:rsidRDefault="0019136A" w:rsidP="00C12655">
            <w:pPr>
              <w:pStyle w:val="Tabletext"/>
              <w:keepNext/>
              <w:keepLines/>
            </w:pPr>
          </w:p>
          <w:p w:rsidR="00C94377" w:rsidRPr="00BE5FAF" w:rsidRDefault="00E57FD4" w:rsidP="00C12655">
            <w:pPr>
              <w:keepNext/>
              <w:keepLines/>
              <w:rPr>
                <w:i/>
              </w:rPr>
            </w:pPr>
            <w:r w:rsidRPr="00BE5FAF">
              <w:rPr>
                <w:rFonts w:ascii="Arial Narrow" w:hAnsi="Arial Narrow" w:cs="Times New Roman"/>
                <w:snapToGrid/>
                <w:sz w:val="20"/>
              </w:rPr>
              <w:t>T</w:t>
            </w:r>
            <w:r w:rsidR="0019136A" w:rsidRPr="00BE5FAF">
              <w:rPr>
                <w:rFonts w:ascii="Arial Narrow" w:hAnsi="Arial Narrow" w:cs="Times New Roman"/>
                <w:snapToGrid/>
                <w:sz w:val="20"/>
              </w:rPr>
              <w:t>he submission presented a sensitivity analysis replacing null transitions with transition probabilities from the event-free state. During the evaluation, additional sensitivity analyses were conducted replacing non-zero transitions with transition probabilities from the event-free state and replacing all subsequent event transitions (null and non-zero) with transition probabilities from the event-free state. Overall, the analyses indicate that the economic model was sensitive to different approaches to handling data sparseness.</w:t>
            </w:r>
          </w:p>
        </w:tc>
        <w:tc>
          <w:tcPr>
            <w:tcW w:w="693" w:type="pct"/>
            <w:shd w:val="clear" w:color="auto" w:fill="auto"/>
            <w:vAlign w:val="center"/>
          </w:tcPr>
          <w:p w:rsidR="00C94377" w:rsidRPr="00BE5FAF" w:rsidRDefault="00C94377" w:rsidP="00C12655">
            <w:pPr>
              <w:pStyle w:val="Tabletext"/>
              <w:keepNext/>
              <w:keepLines/>
              <w:jc w:val="center"/>
            </w:pPr>
            <w:r w:rsidRPr="00BE5FAF">
              <w:t>High, direction unclear</w:t>
            </w:r>
          </w:p>
        </w:tc>
      </w:tr>
      <w:tr w:rsidR="00EF4AB5" w:rsidRPr="00BE5FAF" w:rsidTr="00C94377">
        <w:tc>
          <w:tcPr>
            <w:tcW w:w="718" w:type="pct"/>
            <w:shd w:val="clear" w:color="auto" w:fill="auto"/>
            <w:vAlign w:val="center"/>
          </w:tcPr>
          <w:p w:rsidR="00EF4AB5" w:rsidRPr="00BE5FAF" w:rsidRDefault="00EF4AB5" w:rsidP="005207A7">
            <w:pPr>
              <w:pStyle w:val="Tabletext"/>
              <w:keepLines/>
            </w:pPr>
            <w:r w:rsidRPr="00BE5FAF">
              <w:t>Extrapolation</w:t>
            </w:r>
          </w:p>
        </w:tc>
        <w:tc>
          <w:tcPr>
            <w:tcW w:w="3590" w:type="pct"/>
            <w:shd w:val="clear" w:color="auto" w:fill="auto"/>
            <w:vAlign w:val="center"/>
          </w:tcPr>
          <w:p w:rsidR="00EF4AB5" w:rsidRPr="00BE5FAF" w:rsidRDefault="002B31CD" w:rsidP="005207A7">
            <w:pPr>
              <w:pStyle w:val="Tabletext"/>
              <w:keepLines/>
            </w:pPr>
            <w:r w:rsidRPr="00BE5FAF">
              <w:t xml:space="preserve">Up to </w:t>
            </w:r>
            <w:r w:rsidR="003D0F08" w:rsidRPr="00BE5FAF">
              <w:t>4 years of trial data (</w:t>
            </w:r>
            <w:r w:rsidR="000F634B" w:rsidRPr="00BE5FAF">
              <w:t xml:space="preserve">but with a </w:t>
            </w:r>
            <w:r w:rsidR="003D0F08" w:rsidRPr="00BE5FAF">
              <w:t xml:space="preserve">median follow-up </w:t>
            </w:r>
            <w:r w:rsidRPr="00BE5FAF">
              <w:t>of</w:t>
            </w:r>
            <w:r w:rsidR="003D0F08" w:rsidRPr="00BE5FAF">
              <w:t xml:space="preserve"> </w:t>
            </w:r>
            <w:r w:rsidR="000F634B" w:rsidRPr="00BE5FAF">
              <w:t xml:space="preserve">only </w:t>
            </w:r>
            <w:r w:rsidR="00E57FD4" w:rsidRPr="00BE5FAF">
              <w:t xml:space="preserve">23 months) </w:t>
            </w:r>
            <w:proofErr w:type="gramStart"/>
            <w:r w:rsidRPr="00BE5FAF">
              <w:t>were extrapolated</w:t>
            </w:r>
            <w:proofErr w:type="gramEnd"/>
            <w:r w:rsidRPr="00BE5FAF">
              <w:t xml:space="preserve"> </w:t>
            </w:r>
            <w:r w:rsidR="00E57FD4" w:rsidRPr="00BE5FAF">
              <w:t>to 30 years</w:t>
            </w:r>
            <w:r w:rsidRPr="00BE5FAF">
              <w:t>, assuming proportional hazards and with risk multipliers applied for cardiovascular risk and cardiovascular death.</w:t>
            </w:r>
          </w:p>
        </w:tc>
        <w:tc>
          <w:tcPr>
            <w:tcW w:w="693" w:type="pct"/>
            <w:shd w:val="clear" w:color="auto" w:fill="auto"/>
            <w:vAlign w:val="center"/>
          </w:tcPr>
          <w:p w:rsidR="00EF4AB5" w:rsidRPr="00BE5FAF" w:rsidRDefault="009E76B0" w:rsidP="005207A7">
            <w:pPr>
              <w:pStyle w:val="Tabletext"/>
              <w:keepLines/>
              <w:jc w:val="center"/>
            </w:pPr>
            <w:r w:rsidRPr="00BE5FAF">
              <w:t xml:space="preserve">Large impact, likely favours </w:t>
            </w:r>
            <w:proofErr w:type="spellStart"/>
            <w:r w:rsidRPr="00BE5FAF">
              <w:t>rivaroxaban</w:t>
            </w:r>
            <w:proofErr w:type="spellEnd"/>
          </w:p>
        </w:tc>
      </w:tr>
      <w:tr w:rsidR="00EC65D5" w:rsidRPr="00BE5FAF" w:rsidTr="00C94377">
        <w:tc>
          <w:tcPr>
            <w:tcW w:w="718" w:type="pct"/>
            <w:shd w:val="clear" w:color="auto" w:fill="auto"/>
            <w:vAlign w:val="center"/>
          </w:tcPr>
          <w:p w:rsidR="00EC65D5" w:rsidRPr="00BE5FAF" w:rsidRDefault="00EC65D5" w:rsidP="005207A7">
            <w:pPr>
              <w:pStyle w:val="Tabletext"/>
              <w:keepLines/>
            </w:pPr>
            <w:r w:rsidRPr="00BE5FAF">
              <w:t>Adherence, persistence and treatment inte</w:t>
            </w:r>
            <w:r w:rsidR="009E76B0" w:rsidRPr="00BE5FAF">
              <w:t>r</w:t>
            </w:r>
            <w:r w:rsidRPr="00BE5FAF">
              <w:t>ruptions</w:t>
            </w:r>
          </w:p>
        </w:tc>
        <w:tc>
          <w:tcPr>
            <w:tcW w:w="3590" w:type="pct"/>
            <w:shd w:val="clear" w:color="auto" w:fill="auto"/>
            <w:vAlign w:val="center"/>
          </w:tcPr>
          <w:p w:rsidR="00EC65D5" w:rsidRPr="00BE5FAF" w:rsidRDefault="009E76B0" w:rsidP="005207A7">
            <w:pPr>
              <w:pStyle w:val="Tabletext"/>
              <w:keepLines/>
            </w:pPr>
            <w:r w:rsidRPr="00BE5FAF">
              <w:t>Base case assumes full adherence and persistent until death, with no treatment interruptions. The sensitivity analyses did not adequately test these assumptions.</w:t>
            </w:r>
          </w:p>
        </w:tc>
        <w:tc>
          <w:tcPr>
            <w:tcW w:w="693" w:type="pct"/>
            <w:shd w:val="clear" w:color="auto" w:fill="auto"/>
            <w:vAlign w:val="center"/>
          </w:tcPr>
          <w:p w:rsidR="00EC65D5" w:rsidRPr="00BE5FAF" w:rsidRDefault="009E76B0" w:rsidP="005207A7">
            <w:pPr>
              <w:pStyle w:val="Tabletext"/>
              <w:keepLines/>
              <w:jc w:val="center"/>
            </w:pPr>
            <w:r w:rsidRPr="00BE5FAF">
              <w:t xml:space="preserve">Unknown impact (potentially large), favours </w:t>
            </w:r>
            <w:proofErr w:type="spellStart"/>
            <w:r w:rsidRPr="00BE5FAF">
              <w:t>rivaroxaban</w:t>
            </w:r>
            <w:proofErr w:type="spellEnd"/>
            <w:r w:rsidRPr="00BE5FAF">
              <w:t xml:space="preserve"> </w:t>
            </w:r>
          </w:p>
        </w:tc>
      </w:tr>
    </w:tbl>
    <w:p w:rsidR="00C94377" w:rsidRPr="00BE5FAF" w:rsidRDefault="00C94377" w:rsidP="00A03E73">
      <w:pPr>
        <w:pStyle w:val="TableFooter"/>
        <w:keepNext/>
        <w:keepLines/>
        <w:widowControl/>
      </w:pPr>
      <w:r w:rsidRPr="00BE5FAF">
        <w:t>Source: Constructed during the evaluation</w:t>
      </w:r>
    </w:p>
    <w:p w:rsidR="00573EF8" w:rsidRPr="00BE5FAF" w:rsidRDefault="00573EF8" w:rsidP="003008B5">
      <w:pPr>
        <w:pStyle w:val="ListParagraph"/>
        <w:numPr>
          <w:ilvl w:val="1"/>
          <w:numId w:val="2"/>
        </w:numPr>
        <w:spacing w:before="120" w:after="120"/>
      </w:pPr>
      <w:r w:rsidRPr="00BE5FAF">
        <w:t xml:space="preserve">A key issue with the model was the sparse clinical data informing </w:t>
      </w:r>
      <w:r w:rsidR="007B20E3" w:rsidRPr="00BE5FAF">
        <w:t xml:space="preserve">many of the </w:t>
      </w:r>
      <w:r w:rsidRPr="00BE5FAF">
        <w:lastRenderedPageBreak/>
        <w:t>transition probabilities which resulted in implausible null transitions for some subsequent events and highly uncertain non-zero transitions for other subsequent events</w:t>
      </w:r>
      <w:r w:rsidR="00377709" w:rsidRPr="00BE5FAF">
        <w:t xml:space="preserve"> (as outlined in the table above)</w:t>
      </w:r>
      <w:r w:rsidRPr="00BE5FAF">
        <w:t xml:space="preserve">. The PSCR </w:t>
      </w:r>
      <w:r w:rsidR="007B20E3" w:rsidRPr="00BE5FAF">
        <w:t xml:space="preserve">acknowledged that few subsequent cardiovascular events </w:t>
      </w:r>
      <w:proofErr w:type="gramStart"/>
      <w:r w:rsidR="007B20E3" w:rsidRPr="00BE5FAF">
        <w:t xml:space="preserve">were observed in the trial, but </w:t>
      </w:r>
      <w:r w:rsidRPr="00BE5FAF">
        <w:t>stated that the COMPASS trial is the largest cardiovascular disease trial to date</w:t>
      </w:r>
      <w:proofErr w:type="gramEnd"/>
      <w:r w:rsidRPr="00BE5FAF">
        <w:t>.</w:t>
      </w:r>
      <w:r w:rsidR="005644E3" w:rsidRPr="00BE5FAF">
        <w:t xml:space="preserve"> </w:t>
      </w:r>
      <w:r w:rsidR="002150EA">
        <w:t xml:space="preserve">The ESC </w:t>
      </w:r>
      <w:r w:rsidR="00F52D7E">
        <w:t xml:space="preserve">and PBAC </w:t>
      </w:r>
      <w:r w:rsidR="002150EA">
        <w:t>noted that the premature discontinuation of the trial meant that a longer modelled extrapolation was required.</w:t>
      </w:r>
    </w:p>
    <w:p w:rsidR="00D23DC3" w:rsidRPr="00BE5FAF" w:rsidRDefault="003D0F08" w:rsidP="003008B5">
      <w:pPr>
        <w:pStyle w:val="ListParagraph"/>
        <w:widowControl/>
        <w:numPr>
          <w:ilvl w:val="1"/>
          <w:numId w:val="2"/>
        </w:numPr>
        <w:spacing w:before="120" w:after="120"/>
      </w:pPr>
      <w:r w:rsidRPr="00BE5FAF">
        <w:t xml:space="preserve">The </w:t>
      </w:r>
      <w:r w:rsidR="005D19DC" w:rsidRPr="00BE5FAF">
        <w:t xml:space="preserve">submission applied the </w:t>
      </w:r>
      <w:proofErr w:type="spellStart"/>
      <w:r w:rsidR="005D19DC" w:rsidRPr="00BE5FAF">
        <w:t>rivaroxaban</w:t>
      </w:r>
      <w:proofErr w:type="spellEnd"/>
      <w:r w:rsidR="005D19DC" w:rsidRPr="00BE5FAF">
        <w:t xml:space="preserve"> </w:t>
      </w:r>
      <w:r w:rsidR="005644E3" w:rsidRPr="00BE5FAF">
        <w:t xml:space="preserve">with aspirin </w:t>
      </w:r>
      <w:r w:rsidR="005D19DC" w:rsidRPr="00BE5FAF">
        <w:t xml:space="preserve">hazard ratios to the underlying risk in the aspirin alone arm to derive transition probabilities for the </w:t>
      </w:r>
      <w:proofErr w:type="spellStart"/>
      <w:r w:rsidR="005D19DC" w:rsidRPr="00BE5FAF">
        <w:t>rivaroxaban</w:t>
      </w:r>
      <w:proofErr w:type="spellEnd"/>
      <w:r w:rsidR="005D19DC" w:rsidRPr="00BE5FAF">
        <w:t xml:space="preserve"> with aspirin treatment arm. The submission supported this approach by noting that additional analyses </w:t>
      </w:r>
      <w:r w:rsidR="00335FDD" w:rsidRPr="00BE5FAF">
        <w:t xml:space="preserve">reported </w:t>
      </w:r>
      <w:r w:rsidR="005D19DC" w:rsidRPr="00BE5FAF">
        <w:t xml:space="preserve">in the COMPASS trial report (log-log plot, scaled </w:t>
      </w:r>
      <w:proofErr w:type="spellStart"/>
      <w:r w:rsidR="005D19DC" w:rsidRPr="00BE5FAF">
        <w:t>Schoenfeld</w:t>
      </w:r>
      <w:proofErr w:type="spellEnd"/>
      <w:r w:rsidR="005D19DC" w:rsidRPr="00BE5FAF">
        <w:t xml:space="preserve"> residuals and Cox models assessing a treatment by time interaction) did not demonstrate any violation of the proportional hazards assumption. Treatment effects </w:t>
      </w:r>
      <w:proofErr w:type="gramStart"/>
      <w:r w:rsidR="005D19DC" w:rsidRPr="00BE5FAF">
        <w:t>were assumed</w:t>
      </w:r>
      <w:proofErr w:type="gramEnd"/>
      <w:r w:rsidR="005D19DC" w:rsidRPr="00BE5FAF">
        <w:t xml:space="preserve"> to remain constant while patients remained persistent with therapy. </w:t>
      </w:r>
      <w:r w:rsidR="00377709" w:rsidRPr="00BE5FAF">
        <w:t xml:space="preserve">The ESC </w:t>
      </w:r>
      <w:r w:rsidR="00A32829" w:rsidRPr="00BE5FAF">
        <w:t xml:space="preserve">noted that the extrapolation to 30 years </w:t>
      </w:r>
      <w:proofErr w:type="gramStart"/>
      <w:r w:rsidR="00A32829" w:rsidRPr="00BE5FAF">
        <w:t>was based</w:t>
      </w:r>
      <w:proofErr w:type="gramEnd"/>
      <w:r w:rsidR="00A32829" w:rsidRPr="00BE5FAF">
        <w:t xml:space="preserve"> on a median follow-up of 23 months</w:t>
      </w:r>
      <w:r w:rsidR="005740D8" w:rsidRPr="00BE5FAF">
        <w:t xml:space="preserve"> in the trial</w:t>
      </w:r>
      <w:r w:rsidR="00A32829" w:rsidRPr="00BE5FAF">
        <w:t xml:space="preserve">, </w:t>
      </w:r>
      <w:r w:rsidR="005644E3" w:rsidRPr="00BE5FAF">
        <w:t>which</w:t>
      </w:r>
      <w:r w:rsidR="00A32829" w:rsidRPr="00BE5FAF">
        <w:t xml:space="preserve"> introduced </w:t>
      </w:r>
      <w:r w:rsidRPr="00BE5FAF">
        <w:t xml:space="preserve">substantial uncertainty </w:t>
      </w:r>
      <w:r w:rsidR="00030422" w:rsidRPr="00BE5FAF">
        <w:t xml:space="preserve">given </w:t>
      </w:r>
      <w:r w:rsidR="00FB381B" w:rsidRPr="00BE5FAF">
        <w:t xml:space="preserve">the </w:t>
      </w:r>
      <w:r w:rsidR="00362543" w:rsidRPr="00BE5FAF">
        <w:t>sparse data informing many of the transition probabilities. The ESC</w:t>
      </w:r>
      <w:r w:rsidR="008D601A" w:rsidRPr="00BE5FAF">
        <w:t xml:space="preserve"> and PBAC</w:t>
      </w:r>
      <w:r w:rsidR="00362543" w:rsidRPr="00BE5FAF">
        <w:t xml:space="preserve"> considered that, in light of these limitations, a more conservative approach to extrapolation would be required. </w:t>
      </w:r>
    </w:p>
    <w:p w:rsidR="00B0165C" w:rsidRPr="00BE5FAF" w:rsidRDefault="003D0F08" w:rsidP="003008B5">
      <w:pPr>
        <w:pStyle w:val="ListParagraph"/>
        <w:widowControl/>
        <w:numPr>
          <w:ilvl w:val="1"/>
          <w:numId w:val="2"/>
        </w:numPr>
        <w:spacing w:before="120" w:after="120"/>
      </w:pPr>
      <w:r w:rsidRPr="00BE5FAF">
        <w:t>From Year 5 onwards, the submission increased the baseline risk in the model to reflect increased cardiovascular risk due to age</w:t>
      </w:r>
      <w:r w:rsidR="00106564" w:rsidRPr="00BE5FAF">
        <w:t xml:space="preserve"> (based on data from the REACH registry, the economic evaluation assumed a cardiovascular risk multiplier of 1.03 per year and a cardiovascular death multiplier of 1.05 per year. </w:t>
      </w:r>
      <w:r w:rsidR="00C71E89" w:rsidRPr="00BE5FAF">
        <w:t xml:space="preserve">The ESC noted this the REACH registry, on which these </w:t>
      </w:r>
      <w:r w:rsidR="00335FDD" w:rsidRPr="00BE5FAF">
        <w:t>multipliers were</w:t>
      </w:r>
      <w:r w:rsidR="00C71E89" w:rsidRPr="00BE5FAF">
        <w:t xml:space="preserve"> based, included participants from 44 countries, and the applicability to the relevant Australian population was uncertain).</w:t>
      </w:r>
      <w:r w:rsidR="005644E3" w:rsidRPr="00BE5FAF">
        <w:t xml:space="preserve"> </w:t>
      </w:r>
      <w:r w:rsidR="00C71E89" w:rsidRPr="00BE5FAF">
        <w:t>W</w:t>
      </w:r>
      <w:r w:rsidR="005644E3" w:rsidRPr="00BE5FAF">
        <w:t>hile the treatment effect remained constant over the duration of the model</w:t>
      </w:r>
      <w:r w:rsidR="00C443F7" w:rsidRPr="00BE5FAF">
        <w:t xml:space="preserve">, the baseline risk increased and thus the absolute </w:t>
      </w:r>
      <w:r w:rsidR="00484152" w:rsidRPr="00BE5FAF">
        <w:t>reduction in events with</w:t>
      </w:r>
      <w:r w:rsidR="00C443F7" w:rsidRPr="00BE5FAF">
        <w:t xml:space="preserve"> </w:t>
      </w:r>
      <w:proofErr w:type="spellStart"/>
      <w:r w:rsidR="00C443F7" w:rsidRPr="00BE5FAF">
        <w:t>rivaroxaban</w:t>
      </w:r>
      <w:proofErr w:type="spellEnd"/>
      <w:r w:rsidR="00C443F7" w:rsidRPr="00BE5FAF">
        <w:t xml:space="preserve"> increased.</w:t>
      </w:r>
      <w:r w:rsidR="00DB1F84" w:rsidRPr="00BE5FAF">
        <w:t xml:space="preserve"> The ESC considered th</w:t>
      </w:r>
      <w:r w:rsidR="00C71E89" w:rsidRPr="00BE5FAF">
        <w:t xml:space="preserve">at the magnitude of </w:t>
      </w:r>
      <w:r w:rsidR="00335FDD" w:rsidRPr="00BE5FAF">
        <w:t xml:space="preserve">the </w:t>
      </w:r>
      <w:r w:rsidR="00C71E89" w:rsidRPr="00BE5FAF">
        <w:t xml:space="preserve">absolute risk reduction was uncertain, and the approach </w:t>
      </w:r>
      <w:r w:rsidR="00DB1F84" w:rsidRPr="00BE5FAF">
        <w:t xml:space="preserve">may </w:t>
      </w:r>
      <w:r w:rsidR="00C71E89" w:rsidRPr="00BE5FAF">
        <w:t xml:space="preserve">have </w:t>
      </w:r>
      <w:r w:rsidR="00DB1F84" w:rsidRPr="00BE5FAF">
        <w:t>overestimate</w:t>
      </w:r>
      <w:r w:rsidR="00C71E89" w:rsidRPr="00BE5FAF">
        <w:t>d</w:t>
      </w:r>
      <w:r w:rsidR="00DB1F84" w:rsidRPr="00BE5FAF">
        <w:t xml:space="preserve"> the number of events avoided during the extrapolation period.</w:t>
      </w:r>
      <w:r w:rsidR="005644E3" w:rsidRPr="00BE5FAF">
        <w:t xml:space="preserve"> </w:t>
      </w:r>
      <w:r w:rsidR="00B0165C" w:rsidRPr="00BE5FAF">
        <w:t>The ESC considered that other issues with the risk multipliers included:</w:t>
      </w:r>
    </w:p>
    <w:p w:rsidR="00B0165C" w:rsidRPr="00BE5FAF" w:rsidRDefault="00106564" w:rsidP="003008B5">
      <w:pPr>
        <w:pStyle w:val="ListParagraph"/>
        <w:widowControl/>
        <w:numPr>
          <w:ilvl w:val="0"/>
          <w:numId w:val="12"/>
        </w:numPr>
        <w:spacing w:before="120" w:after="120"/>
        <w:ind w:left="1077" w:hanging="357"/>
        <w:contextualSpacing/>
      </w:pPr>
      <w:proofErr w:type="gramStart"/>
      <w:r w:rsidRPr="00BE5FAF">
        <w:t>the</w:t>
      </w:r>
      <w:proofErr w:type="gramEnd"/>
      <w:r w:rsidRPr="00BE5FAF">
        <w:t xml:space="preserve"> application of risk multipliers from the REACH study to trial-based transition probabilities further exacerbated the problems associated with sparse data. </w:t>
      </w:r>
    </w:p>
    <w:p w:rsidR="00B0165C" w:rsidRPr="00BE5FAF" w:rsidRDefault="00B0165C" w:rsidP="003008B5">
      <w:pPr>
        <w:pStyle w:val="ListParagraph"/>
        <w:widowControl/>
        <w:numPr>
          <w:ilvl w:val="0"/>
          <w:numId w:val="12"/>
        </w:numPr>
        <w:spacing w:before="120" w:after="120"/>
        <w:ind w:left="1077" w:hanging="357"/>
        <w:contextualSpacing/>
      </w:pPr>
      <w:proofErr w:type="gramStart"/>
      <w:r w:rsidRPr="00BE5FAF">
        <w:t>the</w:t>
      </w:r>
      <w:proofErr w:type="gramEnd"/>
      <w:r w:rsidRPr="00BE5FAF">
        <w:t xml:space="preserve"> model did not apply risk multipliers for the increased risk of bleeding </w:t>
      </w:r>
      <w:r w:rsidR="00C71E89" w:rsidRPr="00BE5FAF">
        <w:t>in older patients</w:t>
      </w:r>
      <w:r w:rsidRPr="00BE5FAF">
        <w:t xml:space="preserve">, which may not have been appropriate. </w:t>
      </w:r>
    </w:p>
    <w:p w:rsidR="00106564" w:rsidRPr="00BE5FAF" w:rsidRDefault="00106564" w:rsidP="003008B5">
      <w:pPr>
        <w:pStyle w:val="ListParagraph"/>
        <w:widowControl/>
        <w:numPr>
          <w:ilvl w:val="0"/>
          <w:numId w:val="12"/>
        </w:numPr>
        <w:spacing w:before="120" w:after="120"/>
        <w:ind w:left="1077" w:hanging="357"/>
      </w:pPr>
      <w:proofErr w:type="gramStart"/>
      <w:r w:rsidRPr="00BE5FAF">
        <w:t>the</w:t>
      </w:r>
      <w:proofErr w:type="gramEnd"/>
      <w:r w:rsidRPr="00BE5FAF">
        <w:t xml:space="preserve"> submission incorrectly applied the multiplier for any event (fatal and non-fatal) to the transition probabilities for non-fatal events.</w:t>
      </w:r>
    </w:p>
    <w:p w:rsidR="00D23DC3" w:rsidRPr="00BE5FAF" w:rsidRDefault="00106564" w:rsidP="003008B5">
      <w:pPr>
        <w:pStyle w:val="ListParagraph"/>
        <w:widowControl/>
        <w:numPr>
          <w:ilvl w:val="1"/>
          <w:numId w:val="2"/>
        </w:numPr>
        <w:spacing w:before="120" w:after="120"/>
      </w:pPr>
      <w:proofErr w:type="gramStart"/>
      <w:r w:rsidRPr="00BE5FAF">
        <w:t>The ESC considered that many of the clinical issues flow</w:t>
      </w:r>
      <w:r w:rsidR="004C0406" w:rsidRPr="00BE5FAF">
        <w:t>ed-</w:t>
      </w:r>
      <w:r w:rsidRPr="00BE5FAF">
        <w:t xml:space="preserve">on </w:t>
      </w:r>
      <w:r w:rsidR="004C0406" w:rsidRPr="00BE5FAF">
        <w:t>to uncertainties with</w:t>
      </w:r>
      <w:r w:rsidRPr="00BE5FAF">
        <w:t xml:space="preserve"> the economic evaluation including: </w:t>
      </w:r>
      <w:r w:rsidR="00345566" w:rsidRPr="00BE5FAF">
        <w:t xml:space="preserve">the COMPASS trial results may </w:t>
      </w:r>
      <w:r w:rsidR="002E3DD0" w:rsidRPr="00BE5FAF">
        <w:t xml:space="preserve">potentially </w:t>
      </w:r>
      <w:r w:rsidR="004D4B04" w:rsidRPr="00BE5FAF">
        <w:t xml:space="preserve">have </w:t>
      </w:r>
      <w:r w:rsidR="00345566" w:rsidRPr="00BE5FAF">
        <w:t>overestimate</w:t>
      </w:r>
      <w:r w:rsidR="004D4B04" w:rsidRPr="00BE5FAF">
        <w:t>d</w:t>
      </w:r>
      <w:r w:rsidR="00345566" w:rsidRPr="00BE5FAF">
        <w:t xml:space="preserve"> </w:t>
      </w:r>
      <w:r w:rsidR="004D4B04" w:rsidRPr="00BE5FAF">
        <w:t xml:space="preserve">the </w:t>
      </w:r>
      <w:r w:rsidR="00345566" w:rsidRPr="00BE5FAF">
        <w:t>cardiovascular benefit and underestimate</w:t>
      </w:r>
      <w:r w:rsidR="004D4B04" w:rsidRPr="00BE5FAF">
        <w:t>d</w:t>
      </w:r>
      <w:r w:rsidR="00345566" w:rsidRPr="00BE5FAF">
        <w:t xml:space="preserve"> </w:t>
      </w:r>
      <w:r w:rsidR="004D4B04" w:rsidRPr="00BE5FAF">
        <w:t xml:space="preserve">the </w:t>
      </w:r>
      <w:r w:rsidR="00345566" w:rsidRPr="00BE5FAF">
        <w:t>bleed</w:t>
      </w:r>
      <w:r w:rsidR="002E3DD0" w:rsidRPr="00BE5FAF">
        <w:t>ing</w:t>
      </w:r>
      <w:r w:rsidR="00345566" w:rsidRPr="00BE5FAF">
        <w:t xml:space="preserve"> risk; </w:t>
      </w:r>
      <w:r w:rsidR="004C0406" w:rsidRPr="00BE5FAF">
        <w:t xml:space="preserve">whether the baseline cardiovascular and bleeding risks in the trial population would be similar to the target Australian population; </w:t>
      </w:r>
      <w:r w:rsidR="00E47F1E" w:rsidRPr="00BE5FAF">
        <w:t xml:space="preserve">the </w:t>
      </w:r>
      <w:r w:rsidR="00D23DC3" w:rsidRPr="00BE5FAF">
        <w:t xml:space="preserve">heterogeneous </w:t>
      </w:r>
      <w:r w:rsidR="00C6582C" w:rsidRPr="00BE5FAF">
        <w:t xml:space="preserve">population with </w:t>
      </w:r>
      <w:r w:rsidR="00C6582C" w:rsidRPr="00BE5FAF">
        <w:lastRenderedPageBreak/>
        <w:t xml:space="preserve">different </w:t>
      </w:r>
      <w:r w:rsidR="00D23DC3" w:rsidRPr="00BE5FAF">
        <w:t>risks and benefits</w:t>
      </w:r>
      <w:r w:rsidR="004C0406" w:rsidRPr="00BE5FAF">
        <w:t>;</w:t>
      </w:r>
      <w:r w:rsidR="00E47F1E" w:rsidRPr="00BE5FAF">
        <w:t xml:space="preserve"> </w:t>
      </w:r>
      <w:r w:rsidR="004C0406" w:rsidRPr="00BE5FAF">
        <w:t xml:space="preserve">and that </w:t>
      </w:r>
      <w:r w:rsidR="002E3DD0" w:rsidRPr="00BE5FAF">
        <w:t>dual anti-platelet therapy</w:t>
      </w:r>
      <w:r w:rsidR="00E47F1E" w:rsidRPr="00BE5FAF">
        <w:t xml:space="preserve"> is a relevant comparator in a group of patients (and would be associated with </w:t>
      </w:r>
      <w:r w:rsidR="00D23DC3" w:rsidRPr="00BE5FAF">
        <w:t>differ</w:t>
      </w:r>
      <w:r w:rsidR="00E47F1E" w:rsidRPr="00BE5FAF">
        <w:t>e</w:t>
      </w:r>
      <w:r w:rsidR="00D23DC3" w:rsidRPr="00BE5FAF">
        <w:t>nt efficacy and cost</w:t>
      </w:r>
      <w:r w:rsidR="00E47F1E" w:rsidRPr="00BE5FAF">
        <w:t>s compared with aspirin alone).</w:t>
      </w:r>
      <w:proofErr w:type="gramEnd"/>
      <w:r w:rsidR="00E47F1E" w:rsidRPr="00BE5FAF">
        <w:t xml:space="preserve"> </w:t>
      </w:r>
    </w:p>
    <w:p w:rsidR="00CF287E" w:rsidRPr="00BE5FAF" w:rsidRDefault="004C0406" w:rsidP="003008B5">
      <w:pPr>
        <w:pStyle w:val="ListParagraph"/>
        <w:widowControl/>
        <w:numPr>
          <w:ilvl w:val="1"/>
          <w:numId w:val="2"/>
        </w:numPr>
        <w:spacing w:before="120" w:after="120"/>
      </w:pPr>
      <w:r w:rsidRPr="00BE5FAF">
        <w:t>T</w:t>
      </w:r>
      <w:r w:rsidR="005D19DC" w:rsidRPr="00BE5FAF">
        <w:t xml:space="preserve">he ESC considered that the model likely double-counted some amputation events due to separately modelling acute limb </w:t>
      </w:r>
      <w:proofErr w:type="spellStart"/>
      <w:r w:rsidR="005D19DC" w:rsidRPr="00BE5FAF">
        <w:t>ischaemia</w:t>
      </w:r>
      <w:proofErr w:type="spellEnd"/>
      <w:r w:rsidR="005D19DC" w:rsidRPr="00BE5FAF">
        <w:t xml:space="preserve"> and amputation (i.e. these were not factored as being mutually exclusive), which would favour </w:t>
      </w:r>
      <w:proofErr w:type="spellStart"/>
      <w:r w:rsidRPr="00BE5FAF">
        <w:t>rivaroxaban</w:t>
      </w:r>
      <w:proofErr w:type="spellEnd"/>
      <w:r w:rsidRPr="00BE5FAF">
        <w:t>.</w:t>
      </w:r>
    </w:p>
    <w:p w:rsidR="00D23DC3" w:rsidRPr="00BE5FAF" w:rsidRDefault="00E47F1E" w:rsidP="003008B5">
      <w:pPr>
        <w:pStyle w:val="ListParagraph"/>
        <w:widowControl/>
        <w:numPr>
          <w:ilvl w:val="1"/>
          <w:numId w:val="2"/>
        </w:numPr>
        <w:spacing w:before="120" w:after="120"/>
      </w:pPr>
      <w:proofErr w:type="gramStart"/>
      <w:r w:rsidRPr="00BE5FAF">
        <w:t xml:space="preserve">The ESC noted the utility values </w:t>
      </w:r>
      <w:r w:rsidR="005D19DC" w:rsidRPr="00BE5FAF">
        <w:t xml:space="preserve">had a limited impact on the economic analysis within the current structure of the model, but noted that the commentary had raised several issues with </w:t>
      </w:r>
      <w:r w:rsidR="004C0406" w:rsidRPr="00BE5FAF">
        <w:t xml:space="preserve">the utilities </w:t>
      </w:r>
      <w:r w:rsidR="005D19DC" w:rsidRPr="00BE5FAF">
        <w:t xml:space="preserve">(e.g. the limited number of EQ-5D assessments to inform the utility estimates for some events, uncertainties with data handling, </w:t>
      </w:r>
      <w:r w:rsidR="00DC7F18" w:rsidRPr="00BE5FAF">
        <w:t xml:space="preserve">potential </w:t>
      </w:r>
      <w:r w:rsidR="005D19DC" w:rsidRPr="00BE5FAF">
        <w:t>overestimat</w:t>
      </w:r>
      <w:r w:rsidR="00DC7F18" w:rsidRPr="00BE5FAF">
        <w:t>ion of</w:t>
      </w:r>
      <w:r w:rsidR="005D19DC" w:rsidRPr="00BE5FAF">
        <w:t xml:space="preserve"> chronic disutility values for cardiovascular events</w:t>
      </w:r>
      <w:r w:rsidR="00DC7F18" w:rsidRPr="00BE5FAF">
        <w:t>).</w:t>
      </w:r>
      <w:proofErr w:type="gramEnd"/>
    </w:p>
    <w:p w:rsidR="00C94377" w:rsidRPr="00BE5FAF" w:rsidRDefault="00C94377" w:rsidP="003008B5">
      <w:pPr>
        <w:pStyle w:val="ListParagraph"/>
        <w:widowControl/>
        <w:numPr>
          <w:ilvl w:val="1"/>
          <w:numId w:val="2"/>
        </w:numPr>
        <w:spacing w:before="120" w:after="120"/>
      </w:pPr>
      <w:r w:rsidRPr="00BE5FAF">
        <w:t xml:space="preserve">The results of the stepped economic evaluation </w:t>
      </w:r>
      <w:proofErr w:type="gramStart"/>
      <w:r w:rsidRPr="00BE5FAF">
        <w:t>are summarised</w:t>
      </w:r>
      <w:proofErr w:type="gramEnd"/>
      <w:r w:rsidRPr="00BE5FAF">
        <w:t xml:space="preserve"> below.</w:t>
      </w:r>
    </w:p>
    <w:p w:rsidR="00C94377" w:rsidRPr="00BE5FAF" w:rsidRDefault="00C94377" w:rsidP="00A03E73">
      <w:pPr>
        <w:pStyle w:val="TableHeading0"/>
        <w:keepLines/>
        <w:spacing w:after="0"/>
      </w:pPr>
      <w:r w:rsidRPr="00BE5FAF">
        <w:t xml:space="preserve">Table </w:t>
      </w:r>
      <w:r w:rsidR="006956D5" w:rsidRPr="00BE5FAF">
        <w:t>1</w:t>
      </w:r>
      <w:r w:rsidR="003D0A8E" w:rsidRPr="00BE5FAF">
        <w:t>2</w:t>
      </w:r>
      <w:r w:rsidRPr="00BE5FAF">
        <w:t xml:space="preserve">: Stepped economic evaluation of </w:t>
      </w:r>
      <w:proofErr w:type="spellStart"/>
      <w:r w:rsidRPr="00BE5FAF">
        <w:t>rivaroxaban</w:t>
      </w:r>
      <w:proofErr w:type="spellEnd"/>
      <w:r w:rsidRPr="00BE5FAF">
        <w:t xml:space="preserve"> with aspirin compared to aspirin alone </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Stepped economic evaluation of rivaroxaban with aspirin compared to aspirin alone "/>
      </w:tblPr>
      <w:tblGrid>
        <w:gridCol w:w="4696"/>
        <w:gridCol w:w="2155"/>
        <w:gridCol w:w="2157"/>
      </w:tblGrid>
      <w:tr w:rsidR="00C94377" w:rsidRPr="00BE5FAF" w:rsidTr="00C94377">
        <w:trPr>
          <w:trHeight w:val="469"/>
        </w:trPr>
        <w:tc>
          <w:tcPr>
            <w:tcW w:w="2607" w:type="pct"/>
            <w:vAlign w:val="center"/>
          </w:tcPr>
          <w:p w:rsidR="00C94377" w:rsidRPr="00BE5FAF" w:rsidRDefault="00C94377" w:rsidP="00A03E73">
            <w:pPr>
              <w:pStyle w:val="TableText0"/>
              <w:keepLines/>
              <w:spacing w:before="0" w:after="0"/>
              <w:jc w:val="center"/>
              <w:rPr>
                <w:b/>
              </w:rPr>
            </w:pPr>
            <w:r w:rsidRPr="00BE5FAF">
              <w:rPr>
                <w:b/>
              </w:rPr>
              <w:t>Analysis step</w:t>
            </w:r>
          </w:p>
        </w:tc>
        <w:tc>
          <w:tcPr>
            <w:tcW w:w="1196" w:type="pct"/>
            <w:vAlign w:val="center"/>
          </w:tcPr>
          <w:p w:rsidR="00C94377" w:rsidRPr="00BE5FAF" w:rsidRDefault="00C94377" w:rsidP="00A03E73">
            <w:pPr>
              <w:pStyle w:val="TableText0"/>
              <w:keepLines/>
              <w:spacing w:before="0" w:after="0"/>
              <w:jc w:val="center"/>
              <w:rPr>
                <w:b/>
              </w:rPr>
            </w:pPr>
            <w:r w:rsidRPr="00BE5FAF">
              <w:rPr>
                <w:b/>
              </w:rPr>
              <w:t xml:space="preserve">CAD and/or PAD </w:t>
            </w:r>
          </w:p>
          <w:p w:rsidR="00C94377" w:rsidRPr="00BE5FAF" w:rsidRDefault="00C94377" w:rsidP="00A03E73">
            <w:pPr>
              <w:pStyle w:val="TableText0"/>
              <w:keepLines/>
              <w:spacing w:before="0" w:after="0"/>
              <w:jc w:val="center"/>
              <w:rPr>
                <w:b/>
              </w:rPr>
            </w:pPr>
            <w:r w:rsidRPr="00BE5FAF">
              <w:rPr>
                <w:b/>
              </w:rPr>
              <w:t>population</w:t>
            </w:r>
          </w:p>
        </w:tc>
        <w:tc>
          <w:tcPr>
            <w:tcW w:w="1197" w:type="pct"/>
          </w:tcPr>
          <w:p w:rsidR="00C94377" w:rsidRPr="00BE5FAF" w:rsidRDefault="00C94377" w:rsidP="00A03E73">
            <w:pPr>
              <w:pStyle w:val="TableText0"/>
              <w:keepLines/>
              <w:spacing w:before="0" w:after="0"/>
              <w:jc w:val="center"/>
              <w:rPr>
                <w:b/>
              </w:rPr>
            </w:pPr>
            <w:r w:rsidRPr="00BE5FAF">
              <w:rPr>
                <w:b/>
              </w:rPr>
              <w:t xml:space="preserve">CAD and PAD </w:t>
            </w:r>
          </w:p>
          <w:p w:rsidR="00C94377" w:rsidRPr="00BE5FAF" w:rsidRDefault="00C94377" w:rsidP="00A03E73">
            <w:pPr>
              <w:pStyle w:val="TableText0"/>
              <w:keepLines/>
              <w:spacing w:before="0" w:after="0"/>
              <w:jc w:val="center"/>
              <w:rPr>
                <w:b/>
              </w:rPr>
            </w:pPr>
            <w:r w:rsidRPr="00BE5FAF">
              <w:rPr>
                <w:b/>
              </w:rPr>
              <w:t>subgroup population</w:t>
            </w:r>
          </w:p>
        </w:tc>
      </w:tr>
      <w:tr w:rsidR="00C94377" w:rsidRPr="00BE5FAF" w:rsidTr="00C94377">
        <w:tc>
          <w:tcPr>
            <w:tcW w:w="5000" w:type="pct"/>
            <w:gridSpan w:val="3"/>
          </w:tcPr>
          <w:p w:rsidR="00C94377" w:rsidRPr="00BE5FAF" w:rsidRDefault="00C94377" w:rsidP="00A03E73">
            <w:pPr>
              <w:pStyle w:val="TableText0"/>
              <w:keepLines/>
              <w:spacing w:before="0" w:after="0"/>
              <w:jc w:val="both"/>
              <w:rPr>
                <w:b/>
              </w:rPr>
            </w:pPr>
            <w:r w:rsidRPr="00BE5FAF">
              <w:rPr>
                <w:b/>
              </w:rPr>
              <w:t xml:space="preserve">Step 1: Trial based efficacy/safety; 4 year </w:t>
            </w:r>
            <w:proofErr w:type="spellStart"/>
            <w:r w:rsidRPr="00BE5FAF">
              <w:rPr>
                <w:b/>
              </w:rPr>
              <w:t>horizon</w:t>
            </w:r>
            <w:r w:rsidR="0060592E" w:rsidRPr="00BE5FAF">
              <w:rPr>
                <w:b/>
                <w:vertAlign w:val="superscript"/>
              </w:rPr>
              <w:t>a</w:t>
            </w:r>
            <w:proofErr w:type="spellEnd"/>
            <w:r w:rsidRPr="00BE5FAF">
              <w:rPr>
                <w:b/>
              </w:rPr>
              <w:t>; drug costs only</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costs</w:t>
            </w:r>
          </w:p>
        </w:tc>
        <w:tc>
          <w:tcPr>
            <w:tcW w:w="1196" w:type="pct"/>
            <w:vAlign w:val="center"/>
          </w:tcPr>
          <w:p w:rsidR="00C94377" w:rsidRPr="00BE5FAF" w:rsidRDefault="00C94377" w:rsidP="00A03E73">
            <w:pPr>
              <w:pStyle w:val="TableText0"/>
              <w:keepLines/>
              <w:spacing w:before="0" w:after="0"/>
              <w:jc w:val="center"/>
            </w:pPr>
            <w:r w:rsidRPr="00BE5FAF">
              <w:t>$</w:t>
            </w:r>
            <w:r w:rsidR="00517BCE">
              <w:rPr>
                <w:noProof/>
                <w:color w:val="000000"/>
                <w:highlight w:val="black"/>
              </w:rPr>
              <w:t>''''''''''''''</w:t>
            </w:r>
          </w:p>
        </w:tc>
        <w:tc>
          <w:tcPr>
            <w:tcW w:w="1197" w:type="pct"/>
            <w:vAlign w:val="center"/>
          </w:tcPr>
          <w:p w:rsidR="00C94377" w:rsidRPr="00BE5FAF" w:rsidRDefault="00C94377" w:rsidP="00A03E73">
            <w:pPr>
              <w:pStyle w:val="TableText0"/>
              <w:keepLines/>
              <w:spacing w:before="0" w:after="0"/>
              <w:jc w:val="center"/>
            </w:pPr>
            <w:r w:rsidRPr="00BE5FAF">
              <w:t>$</w:t>
            </w:r>
            <w:r w:rsidR="00517BCE">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difference in patients with MI, IS, ICH or CV death</w:t>
            </w:r>
          </w:p>
        </w:tc>
        <w:tc>
          <w:tcPr>
            <w:tcW w:w="1196"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rPr>
                <w:b/>
              </w:rPr>
              <w:t>Incremental cost per event avoided</w:t>
            </w:r>
          </w:p>
        </w:tc>
        <w:tc>
          <w:tcPr>
            <w:tcW w:w="1196"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r w:rsidR="00C94377" w:rsidRPr="00BE5FAF" w:rsidTr="00C94377">
        <w:tc>
          <w:tcPr>
            <w:tcW w:w="5000" w:type="pct"/>
            <w:gridSpan w:val="3"/>
          </w:tcPr>
          <w:p w:rsidR="00C94377" w:rsidRPr="00EE46BA" w:rsidRDefault="00C94377" w:rsidP="00A03E73">
            <w:pPr>
              <w:pStyle w:val="TableText0"/>
              <w:keepLines/>
              <w:spacing w:before="0" w:after="0"/>
              <w:jc w:val="both"/>
              <w:rPr>
                <w:b/>
              </w:rPr>
            </w:pPr>
            <w:r w:rsidRPr="00EE46BA">
              <w:rPr>
                <w:b/>
              </w:rPr>
              <w:t>Step 1a: Trial based efficacy/safety; 4 year horizon; drug costs only</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costs</w:t>
            </w:r>
          </w:p>
        </w:tc>
        <w:tc>
          <w:tcPr>
            <w:tcW w:w="1196"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difference in LYs</w:t>
            </w:r>
          </w:p>
        </w:tc>
        <w:tc>
          <w:tcPr>
            <w:tcW w:w="1196" w:type="pct"/>
            <w:vAlign w:val="center"/>
          </w:tcPr>
          <w:p w:rsidR="00C94377" w:rsidRPr="00517BCE" w:rsidRDefault="00517BCE" w:rsidP="00A03E73">
            <w:pPr>
              <w:pStyle w:val="TableText0"/>
              <w:keepLines/>
              <w:spacing w:before="0" w:after="0"/>
              <w:jc w:val="center"/>
              <w:rPr>
                <w:highlight w:val="black"/>
              </w:rPr>
            </w:pPr>
            <w:r>
              <w:rPr>
                <w:noProof/>
                <w:color w:val="000000"/>
                <w:highlight w:val="black"/>
              </w:rPr>
              <w:t>''''''''''''''</w:t>
            </w:r>
          </w:p>
        </w:tc>
        <w:tc>
          <w:tcPr>
            <w:tcW w:w="1197" w:type="pct"/>
            <w:vAlign w:val="center"/>
          </w:tcPr>
          <w:p w:rsidR="00C94377" w:rsidRPr="00517BCE" w:rsidRDefault="00517BCE" w:rsidP="00A03E73">
            <w:pPr>
              <w:pStyle w:val="TableText0"/>
              <w:keepLines/>
              <w:spacing w:before="0" w:after="0"/>
              <w:jc w:val="center"/>
              <w:rPr>
                <w:highlight w:val="black"/>
              </w:rPr>
            </w:pPr>
            <w:r>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rPr>
                <w:b/>
              </w:rPr>
              <w:t>Incremental cost LY gained</w:t>
            </w:r>
          </w:p>
        </w:tc>
        <w:tc>
          <w:tcPr>
            <w:tcW w:w="1196" w:type="pct"/>
            <w:vAlign w:val="bottom"/>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r w:rsidR="00C94377" w:rsidRPr="00BE5FAF" w:rsidTr="00C94377">
        <w:tc>
          <w:tcPr>
            <w:tcW w:w="5000" w:type="pct"/>
            <w:gridSpan w:val="3"/>
          </w:tcPr>
          <w:p w:rsidR="00C94377" w:rsidRPr="00EE46BA" w:rsidRDefault="00C94377" w:rsidP="00A03E73">
            <w:pPr>
              <w:pStyle w:val="TableText0"/>
              <w:keepLines/>
              <w:spacing w:before="0" w:after="0"/>
              <w:jc w:val="both"/>
              <w:rPr>
                <w:b/>
              </w:rPr>
            </w:pPr>
            <w:r w:rsidRPr="00EE46BA">
              <w:rPr>
                <w:b/>
              </w:rPr>
              <w:t>Step 2: Model based efficacy/safety including general population mortality; 30 year horizon; drug costs only</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costs</w:t>
            </w:r>
          </w:p>
        </w:tc>
        <w:tc>
          <w:tcPr>
            <w:tcW w:w="1196"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difference in LYs</w:t>
            </w:r>
          </w:p>
        </w:tc>
        <w:tc>
          <w:tcPr>
            <w:tcW w:w="1196" w:type="pct"/>
            <w:vAlign w:val="center"/>
          </w:tcPr>
          <w:p w:rsidR="00C94377" w:rsidRPr="00517BCE" w:rsidRDefault="00517BCE" w:rsidP="00A03E73">
            <w:pPr>
              <w:pStyle w:val="TableText0"/>
              <w:keepLines/>
              <w:spacing w:before="0" w:after="0"/>
              <w:jc w:val="center"/>
              <w:rPr>
                <w:highlight w:val="black"/>
              </w:rPr>
            </w:pPr>
            <w:r>
              <w:rPr>
                <w:noProof/>
                <w:color w:val="000000"/>
                <w:highlight w:val="black"/>
              </w:rPr>
              <w:t>''''''''''''''</w:t>
            </w:r>
          </w:p>
        </w:tc>
        <w:tc>
          <w:tcPr>
            <w:tcW w:w="1197" w:type="pct"/>
            <w:vAlign w:val="center"/>
          </w:tcPr>
          <w:p w:rsidR="00C94377" w:rsidRPr="00517BCE" w:rsidRDefault="00517BCE" w:rsidP="00A03E73">
            <w:pPr>
              <w:pStyle w:val="TableText0"/>
              <w:keepLines/>
              <w:spacing w:before="0" w:after="0"/>
              <w:jc w:val="center"/>
              <w:rPr>
                <w:highlight w:val="black"/>
              </w:rPr>
            </w:pPr>
            <w:r>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rPr>
                <w:b/>
              </w:rPr>
              <w:t>Incremental cost LY gained</w:t>
            </w:r>
          </w:p>
        </w:tc>
        <w:tc>
          <w:tcPr>
            <w:tcW w:w="1196"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r w:rsidR="00C94377" w:rsidRPr="00BE5FAF" w:rsidTr="00C94377">
        <w:tc>
          <w:tcPr>
            <w:tcW w:w="5000" w:type="pct"/>
            <w:gridSpan w:val="3"/>
          </w:tcPr>
          <w:p w:rsidR="00C94377" w:rsidRPr="00EE46BA" w:rsidRDefault="00C94377" w:rsidP="00000952">
            <w:pPr>
              <w:pStyle w:val="TableText0"/>
              <w:keepLines/>
              <w:spacing w:before="0" w:after="0"/>
              <w:jc w:val="both"/>
              <w:rPr>
                <w:b/>
              </w:rPr>
            </w:pPr>
            <w:r w:rsidRPr="00EE46BA">
              <w:rPr>
                <w:b/>
              </w:rPr>
              <w:t>Step 3: Model based efficacy/safety including cardiovascular risk multiplier, cardiovascular death multiplier and general population mortality; 30 year horizon; drug costs only</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costs</w:t>
            </w:r>
          </w:p>
        </w:tc>
        <w:tc>
          <w:tcPr>
            <w:tcW w:w="1196"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difference in LYs</w:t>
            </w:r>
          </w:p>
        </w:tc>
        <w:tc>
          <w:tcPr>
            <w:tcW w:w="1196" w:type="pct"/>
            <w:vAlign w:val="center"/>
          </w:tcPr>
          <w:p w:rsidR="00C94377" w:rsidRPr="00517BCE" w:rsidRDefault="00517BCE" w:rsidP="00A03E73">
            <w:pPr>
              <w:pStyle w:val="TableText0"/>
              <w:keepLines/>
              <w:spacing w:before="0" w:after="0"/>
              <w:jc w:val="center"/>
              <w:rPr>
                <w:highlight w:val="black"/>
              </w:rPr>
            </w:pPr>
            <w:r>
              <w:rPr>
                <w:noProof/>
                <w:color w:val="000000"/>
                <w:highlight w:val="black"/>
              </w:rPr>
              <w:t>'''''''''''''''</w:t>
            </w:r>
          </w:p>
        </w:tc>
        <w:tc>
          <w:tcPr>
            <w:tcW w:w="1197" w:type="pct"/>
            <w:vAlign w:val="center"/>
          </w:tcPr>
          <w:p w:rsidR="00C94377" w:rsidRPr="00517BCE" w:rsidRDefault="00517BCE" w:rsidP="00A03E73">
            <w:pPr>
              <w:pStyle w:val="TableText0"/>
              <w:keepLines/>
              <w:spacing w:before="0" w:after="0"/>
              <w:jc w:val="center"/>
              <w:rPr>
                <w:highlight w:val="black"/>
              </w:rPr>
            </w:pPr>
            <w:r>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rPr>
                <w:b/>
              </w:rPr>
              <w:t>Incremental cost LY gained</w:t>
            </w:r>
          </w:p>
        </w:tc>
        <w:tc>
          <w:tcPr>
            <w:tcW w:w="1196"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r w:rsidR="00C94377" w:rsidRPr="00BE5FAF" w:rsidTr="00C94377">
        <w:tc>
          <w:tcPr>
            <w:tcW w:w="5000" w:type="pct"/>
            <w:gridSpan w:val="3"/>
          </w:tcPr>
          <w:p w:rsidR="00C94377" w:rsidRPr="00EE46BA" w:rsidRDefault="00C94377" w:rsidP="00000952">
            <w:pPr>
              <w:pStyle w:val="TableText0"/>
              <w:keepLines/>
              <w:spacing w:before="0" w:after="0"/>
              <w:jc w:val="both"/>
              <w:rPr>
                <w:b/>
              </w:rPr>
            </w:pPr>
            <w:r w:rsidRPr="00EE46BA">
              <w:rPr>
                <w:b/>
              </w:rPr>
              <w:t xml:space="preserve">Step 4: </w:t>
            </w:r>
            <w:r w:rsidR="00000952" w:rsidRPr="00EE46BA">
              <w:rPr>
                <w:b/>
              </w:rPr>
              <w:t>As above plus</w:t>
            </w:r>
            <w:r w:rsidRPr="00EE46BA">
              <w:rPr>
                <w:b/>
              </w:rPr>
              <w:t xml:space="preserve"> acute event costs, disease management costs, death costs</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costs</w:t>
            </w:r>
          </w:p>
        </w:tc>
        <w:tc>
          <w:tcPr>
            <w:tcW w:w="1196"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difference in LYs</w:t>
            </w:r>
          </w:p>
        </w:tc>
        <w:tc>
          <w:tcPr>
            <w:tcW w:w="1196" w:type="pct"/>
            <w:vAlign w:val="center"/>
          </w:tcPr>
          <w:p w:rsidR="00C94377" w:rsidRPr="00517BCE" w:rsidRDefault="00517BCE" w:rsidP="00A03E73">
            <w:pPr>
              <w:pStyle w:val="TableText0"/>
              <w:keepLines/>
              <w:spacing w:before="0" w:after="0"/>
              <w:jc w:val="center"/>
              <w:rPr>
                <w:highlight w:val="black"/>
              </w:rPr>
            </w:pPr>
            <w:r>
              <w:rPr>
                <w:noProof/>
                <w:color w:val="000000"/>
                <w:highlight w:val="black"/>
              </w:rPr>
              <w:t>'''''''''''''</w:t>
            </w:r>
          </w:p>
        </w:tc>
        <w:tc>
          <w:tcPr>
            <w:tcW w:w="1197" w:type="pct"/>
            <w:vAlign w:val="center"/>
          </w:tcPr>
          <w:p w:rsidR="00C94377" w:rsidRPr="00517BCE" w:rsidRDefault="00517BCE" w:rsidP="00A03E73">
            <w:pPr>
              <w:pStyle w:val="TableText0"/>
              <w:keepLines/>
              <w:spacing w:before="0" w:after="0"/>
              <w:jc w:val="center"/>
              <w:rPr>
                <w:highlight w:val="black"/>
              </w:rPr>
            </w:pPr>
            <w:r>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rPr>
                <w:b/>
              </w:rPr>
              <w:t>Incremental cost LY gained</w:t>
            </w:r>
          </w:p>
        </w:tc>
        <w:tc>
          <w:tcPr>
            <w:tcW w:w="1196"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r w:rsidR="00C94377" w:rsidRPr="00BE5FAF" w:rsidTr="00C94377">
        <w:tc>
          <w:tcPr>
            <w:tcW w:w="5000" w:type="pct"/>
            <w:gridSpan w:val="3"/>
          </w:tcPr>
          <w:p w:rsidR="00C94377" w:rsidRPr="00EE46BA" w:rsidRDefault="00C94377" w:rsidP="00AE06E5">
            <w:pPr>
              <w:pStyle w:val="TableText0"/>
              <w:keepLines/>
              <w:spacing w:before="0" w:after="0"/>
              <w:jc w:val="both"/>
              <w:rPr>
                <w:b/>
              </w:rPr>
            </w:pPr>
            <w:r w:rsidRPr="00EE46BA">
              <w:rPr>
                <w:b/>
              </w:rPr>
              <w:t xml:space="preserve">Step 5: </w:t>
            </w:r>
            <w:r w:rsidR="00AE06E5" w:rsidRPr="00EE46BA">
              <w:rPr>
                <w:b/>
              </w:rPr>
              <w:t xml:space="preserve">As above plus </w:t>
            </w:r>
            <w:r w:rsidRPr="00EE46BA">
              <w:rPr>
                <w:b/>
              </w:rPr>
              <w:t>cardiovascular health state utility values, vascular event disutility values</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costs</w:t>
            </w:r>
          </w:p>
        </w:tc>
        <w:tc>
          <w:tcPr>
            <w:tcW w:w="1196"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t>Incremental difference in QALYs</w:t>
            </w:r>
          </w:p>
        </w:tc>
        <w:tc>
          <w:tcPr>
            <w:tcW w:w="1196" w:type="pct"/>
            <w:vAlign w:val="center"/>
          </w:tcPr>
          <w:p w:rsidR="00C94377" w:rsidRPr="00517BCE" w:rsidRDefault="00517BCE" w:rsidP="00A03E73">
            <w:pPr>
              <w:pStyle w:val="TableText0"/>
              <w:keepLines/>
              <w:spacing w:before="0" w:after="0"/>
              <w:jc w:val="center"/>
              <w:rPr>
                <w:highlight w:val="black"/>
              </w:rPr>
            </w:pPr>
            <w:r>
              <w:rPr>
                <w:noProof/>
                <w:color w:val="000000"/>
                <w:highlight w:val="black"/>
              </w:rPr>
              <w:t>''''''''''''''</w:t>
            </w:r>
          </w:p>
        </w:tc>
        <w:tc>
          <w:tcPr>
            <w:tcW w:w="1197" w:type="pct"/>
            <w:vAlign w:val="center"/>
          </w:tcPr>
          <w:p w:rsidR="00C94377" w:rsidRPr="00517BCE" w:rsidRDefault="00517BCE" w:rsidP="00A03E73">
            <w:pPr>
              <w:pStyle w:val="TableText0"/>
              <w:keepLines/>
              <w:spacing w:before="0" w:after="0"/>
              <w:jc w:val="center"/>
              <w:rPr>
                <w:highlight w:val="black"/>
              </w:rPr>
            </w:pPr>
            <w:r>
              <w:rPr>
                <w:noProof/>
                <w:color w:val="000000"/>
                <w:highlight w:val="black"/>
              </w:rPr>
              <w:t>'''''''''''''</w:t>
            </w:r>
          </w:p>
        </w:tc>
      </w:tr>
      <w:tr w:rsidR="00C94377" w:rsidRPr="00BE5FAF" w:rsidTr="00C94377">
        <w:tc>
          <w:tcPr>
            <w:tcW w:w="2607" w:type="pct"/>
          </w:tcPr>
          <w:p w:rsidR="00C94377" w:rsidRPr="00BE5FAF" w:rsidRDefault="00C94377" w:rsidP="00A03E73">
            <w:pPr>
              <w:pStyle w:val="TableText0"/>
              <w:keepLines/>
              <w:spacing w:before="0" w:after="0"/>
            </w:pPr>
            <w:r w:rsidRPr="00BE5FAF">
              <w:rPr>
                <w:b/>
              </w:rPr>
              <w:t>Incremental cost per QALY gained</w:t>
            </w:r>
          </w:p>
        </w:tc>
        <w:tc>
          <w:tcPr>
            <w:tcW w:w="1196"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c>
          <w:tcPr>
            <w:tcW w:w="1197" w:type="pct"/>
            <w:vAlign w:val="center"/>
          </w:tcPr>
          <w:p w:rsidR="00C94377" w:rsidRPr="00EE46BA" w:rsidRDefault="00C94377" w:rsidP="00A03E73">
            <w:pPr>
              <w:pStyle w:val="TableText0"/>
              <w:keepLines/>
              <w:spacing w:before="0" w:after="0"/>
              <w:jc w:val="center"/>
            </w:pPr>
            <w:r w:rsidRPr="00EE46BA">
              <w:t>$</w:t>
            </w:r>
            <w:r w:rsidR="00517BCE">
              <w:rPr>
                <w:noProof/>
                <w:color w:val="000000"/>
                <w:highlight w:val="black"/>
              </w:rPr>
              <w:t>'''''''''''''''</w:t>
            </w:r>
          </w:p>
        </w:tc>
      </w:tr>
    </w:tbl>
    <w:p w:rsidR="00C94377" w:rsidRPr="00BE5FAF" w:rsidRDefault="00C94377" w:rsidP="00A03E73">
      <w:pPr>
        <w:pStyle w:val="TableFooter"/>
        <w:keepNext/>
        <w:keepLines/>
        <w:widowControl/>
      </w:pPr>
      <w:r w:rsidRPr="00BE5FAF">
        <w:t>Source: Table 3.8-1 (p 264) of the submission</w:t>
      </w:r>
    </w:p>
    <w:p w:rsidR="00C94377" w:rsidRPr="00BE5FAF" w:rsidRDefault="00C94377" w:rsidP="00A03E73">
      <w:pPr>
        <w:pStyle w:val="TableFooter"/>
        <w:keepNext/>
        <w:keepLines/>
        <w:widowControl/>
      </w:pPr>
      <w:r w:rsidRPr="00BE5FAF">
        <w:t>Abbreviations: ICH, intracranial haemorrhage; IS, ischaemic stroke; LY, life years; MI, myocardial infarction; QALYs, quality-adjusted life years</w:t>
      </w:r>
    </w:p>
    <w:p w:rsidR="00C94377" w:rsidRPr="00BE5FAF" w:rsidRDefault="00C94377" w:rsidP="00A03E73">
      <w:pPr>
        <w:pStyle w:val="TableFooter"/>
        <w:keepNext/>
        <w:keepLines/>
        <w:widowControl/>
      </w:pPr>
      <w:r w:rsidRPr="00BE5FAF">
        <w:t xml:space="preserve">Note: The step order </w:t>
      </w:r>
      <w:proofErr w:type="gramStart"/>
      <w:r w:rsidRPr="00BE5FAF">
        <w:t>was rearranged</w:t>
      </w:r>
      <w:proofErr w:type="gramEnd"/>
      <w:r w:rsidRPr="00BE5FAF">
        <w:t xml:space="preserve"> during the evaluation with additional steps added to explore the impact of risk multipliers and patient survival. </w:t>
      </w:r>
    </w:p>
    <w:p w:rsidR="0060592E" w:rsidRPr="00BE5FAF" w:rsidRDefault="0060592E" w:rsidP="00A03E73">
      <w:pPr>
        <w:pStyle w:val="TableFooter"/>
        <w:keepNext/>
        <w:keepLines/>
        <w:widowControl/>
      </w:pPr>
      <w:proofErr w:type="spellStart"/>
      <w:r w:rsidRPr="00BE5FAF">
        <w:rPr>
          <w:vertAlign w:val="superscript"/>
        </w:rPr>
        <w:t>a</w:t>
      </w:r>
      <w:proofErr w:type="spellEnd"/>
      <w:r w:rsidRPr="00BE5FAF">
        <w:t xml:space="preserve"> The submission assumed that the 30 month transition probabilities from the COMPASS trial could be used to inform trial-based estimates up to four years.</w:t>
      </w:r>
    </w:p>
    <w:p w:rsidR="00C94377" w:rsidRPr="00BE5FAF" w:rsidRDefault="00C94377" w:rsidP="00D8518A">
      <w:pPr>
        <w:widowControl/>
      </w:pPr>
    </w:p>
    <w:p w:rsidR="008172D5" w:rsidRPr="00BE5FAF" w:rsidRDefault="008172D5" w:rsidP="003008B5">
      <w:pPr>
        <w:pStyle w:val="ListParagraph"/>
        <w:widowControl/>
        <w:numPr>
          <w:ilvl w:val="1"/>
          <w:numId w:val="2"/>
        </w:numPr>
        <w:spacing w:before="120" w:after="120"/>
      </w:pPr>
      <w:r w:rsidRPr="00BE5FAF">
        <w:lastRenderedPageBreak/>
        <w:t xml:space="preserve">Based on the economic model, treatment with </w:t>
      </w:r>
      <w:proofErr w:type="spellStart"/>
      <w:r w:rsidRPr="00BE5FAF">
        <w:t>rivaroxaban</w:t>
      </w:r>
      <w:proofErr w:type="spellEnd"/>
      <w:r w:rsidRPr="00BE5FAF">
        <w:t xml:space="preserve"> and aspirin was associated with a cost per QALY gained of $</w:t>
      </w:r>
      <w:r w:rsidR="002F5823">
        <w:t>15,000/QALY to 45,000/QALY</w:t>
      </w:r>
      <w:r w:rsidRPr="00BE5FAF">
        <w:t xml:space="preserve"> compared to aspirin alone for the treatment of stable CAD and/or PAD. For the treatment of the subgroup of patients with stable CAD and PAD, the cost per QALY gained was $</w:t>
      </w:r>
      <w:r w:rsidR="004E0C25">
        <w:t>15,000 to $45,000</w:t>
      </w:r>
      <w:r w:rsidRPr="00BE5FAF">
        <w:t>.</w:t>
      </w:r>
      <w:r w:rsidR="00362543" w:rsidRPr="00BE5FAF">
        <w:t xml:space="preserve"> </w:t>
      </w:r>
      <w:r w:rsidRPr="00BE5FAF">
        <w:t xml:space="preserve">The submission did not present an economic analysis comparing </w:t>
      </w:r>
      <w:proofErr w:type="spellStart"/>
      <w:r w:rsidRPr="00BE5FAF">
        <w:t>rivaroxaban</w:t>
      </w:r>
      <w:proofErr w:type="spellEnd"/>
      <w:r w:rsidRPr="00BE5FAF">
        <w:t xml:space="preserve"> with aspirin compared to aspirin alone in a PAD only or CAD only population. </w:t>
      </w:r>
    </w:p>
    <w:p w:rsidR="00362543" w:rsidRPr="00BE5FAF" w:rsidRDefault="00362543" w:rsidP="003008B5">
      <w:pPr>
        <w:pStyle w:val="ListParagraph"/>
        <w:widowControl/>
        <w:numPr>
          <w:ilvl w:val="1"/>
          <w:numId w:val="2"/>
        </w:numPr>
        <w:spacing w:before="120" w:after="120"/>
        <w:contextualSpacing/>
      </w:pPr>
      <w:proofErr w:type="gramStart"/>
      <w:r w:rsidRPr="00BE5FAF">
        <w:t xml:space="preserve">The ESC considered </w:t>
      </w:r>
      <w:r w:rsidR="00484152" w:rsidRPr="00BE5FAF">
        <w:t>that the</w:t>
      </w:r>
      <w:r w:rsidR="00DB1F84" w:rsidRPr="00BE5FAF">
        <w:t xml:space="preserve">se results should be interpreted with caution as the </w:t>
      </w:r>
      <w:r w:rsidR="00484152" w:rsidRPr="00BE5FAF">
        <w:t>economic evaluation</w:t>
      </w:r>
      <w:r w:rsidR="003A4B4D" w:rsidRPr="00BE5FAF">
        <w:t xml:space="preserve"> may not be sufficiently reliable to inform decision making given</w:t>
      </w:r>
      <w:r w:rsidR="00DB1F84" w:rsidRPr="00BE5FAF">
        <w:t>:</w:t>
      </w:r>
      <w:r w:rsidR="00484152" w:rsidRPr="00BE5FAF">
        <w:t xml:space="preserve"> </w:t>
      </w:r>
      <w:r w:rsidR="00465B9A" w:rsidRPr="00BE5FAF">
        <w:t>the trial results may have overestimated the cardiovascular benefit and underestimated the</w:t>
      </w:r>
      <w:r w:rsidR="00C32CEF" w:rsidRPr="00BE5FAF">
        <w:t xml:space="preserve"> risk of</w:t>
      </w:r>
      <w:r w:rsidR="00465B9A" w:rsidRPr="00BE5FAF">
        <w:t xml:space="preserve"> bleed</w:t>
      </w:r>
      <w:r w:rsidR="00C32CEF" w:rsidRPr="00BE5FAF">
        <w:t>ing</w:t>
      </w:r>
      <w:r w:rsidR="00465B9A" w:rsidRPr="00BE5FAF">
        <w:t xml:space="preserve">; nearly all of the benefits occurred during extrapolated part of the model, and hence the results of the economic evaluation are inherently uncertain; </w:t>
      </w:r>
      <w:r w:rsidR="00B0165C" w:rsidRPr="00BE5FAF">
        <w:t xml:space="preserve">the extrapolation approach was unlikely to be conservative; </w:t>
      </w:r>
      <w:r w:rsidR="00484152" w:rsidRPr="00BE5FAF">
        <w:t>there were sparse clinical data informing transition probabilities</w:t>
      </w:r>
      <w:r w:rsidR="00DB1F84" w:rsidRPr="00BE5FAF">
        <w:t>;</w:t>
      </w:r>
      <w:r w:rsidR="00484152" w:rsidRPr="00BE5FAF">
        <w:t xml:space="preserve"> </w:t>
      </w:r>
      <w:r w:rsidR="00B0165C" w:rsidRPr="00BE5FAF">
        <w:t xml:space="preserve">and </w:t>
      </w:r>
      <w:r w:rsidR="00484152" w:rsidRPr="00BE5FAF">
        <w:t>the assumption that patients would remain fully adherent and persistent to therapy with no treatment interruptions was not reasonable</w:t>
      </w:r>
      <w:r w:rsidRPr="00BE5FAF">
        <w:rPr>
          <w:rFonts w:asciiTheme="minorHAnsi" w:hAnsiTheme="minorHAnsi"/>
        </w:rPr>
        <w:t>.</w:t>
      </w:r>
      <w:proofErr w:type="gramEnd"/>
    </w:p>
    <w:p w:rsidR="00362543" w:rsidRPr="00BE5FAF" w:rsidRDefault="00362543" w:rsidP="003008B5">
      <w:pPr>
        <w:pStyle w:val="ListParagraph"/>
        <w:widowControl/>
        <w:spacing w:before="120" w:after="120"/>
        <w:contextualSpacing/>
      </w:pPr>
    </w:p>
    <w:p w:rsidR="00C94377" w:rsidRPr="00BE5FAF" w:rsidRDefault="00C94377" w:rsidP="003008B5">
      <w:pPr>
        <w:pStyle w:val="ListParagraph"/>
        <w:widowControl/>
        <w:numPr>
          <w:ilvl w:val="1"/>
          <w:numId w:val="2"/>
        </w:numPr>
        <w:spacing w:before="120" w:after="120"/>
      </w:pPr>
      <w:r w:rsidRPr="00BE5FAF">
        <w:t>The extrapolation of treatment benefits beyond the clinical trial data had the largest impact on the stepped economic evaluation</w:t>
      </w:r>
      <w:r w:rsidR="0060592E" w:rsidRPr="00BE5FAF">
        <w:t xml:space="preserve"> (80-90% of the incremental difference occurred during the modelled period beyond 30 months)</w:t>
      </w:r>
      <w:r w:rsidR="008172D5" w:rsidRPr="00BE5FAF">
        <w:t xml:space="preserve">. The incremental difference in life years gained increased from 0.02 years in the trial-based analysis to </w:t>
      </w:r>
      <w:r w:rsidR="00517BCE">
        <w:rPr>
          <w:noProof/>
          <w:color w:val="000000"/>
          <w:highlight w:val="black"/>
        </w:rPr>
        <w:t>''''''''</w:t>
      </w:r>
      <w:r w:rsidR="008172D5" w:rsidRPr="008076DA">
        <w:t xml:space="preserve"> years</w:t>
      </w:r>
      <w:r w:rsidR="008172D5" w:rsidRPr="00BE5FAF">
        <w:t xml:space="preserve"> in the modelled analysis</w:t>
      </w:r>
      <w:r w:rsidR="00DE1EDB" w:rsidRPr="00BE5FAF">
        <w:t xml:space="preserve"> (</w:t>
      </w:r>
      <w:r w:rsidR="00DE1EDB" w:rsidRPr="008076DA">
        <w:t xml:space="preserve">or </w:t>
      </w:r>
      <w:r w:rsidR="00517BCE">
        <w:rPr>
          <w:noProof/>
          <w:color w:val="000000"/>
          <w:highlight w:val="black"/>
        </w:rPr>
        <w:t>''''''''</w:t>
      </w:r>
      <w:r w:rsidR="00DE1EDB" w:rsidRPr="008076DA">
        <w:t xml:space="preserve"> years</w:t>
      </w:r>
      <w:r w:rsidR="00DE1EDB" w:rsidRPr="00BE5FAF">
        <w:t xml:space="preserve"> undiscounted</w:t>
      </w:r>
      <w:r w:rsidR="00362543" w:rsidRPr="00BE5FAF">
        <w:t xml:space="preserve"> life years gained</w:t>
      </w:r>
      <w:r w:rsidR="00DE1EDB" w:rsidRPr="00BE5FAF">
        <w:t xml:space="preserve">) in the </w:t>
      </w:r>
      <w:r w:rsidR="008172D5" w:rsidRPr="00BE5FAF">
        <w:t xml:space="preserve">CAD and/or PAD population. </w:t>
      </w:r>
      <w:r w:rsidR="00DE1EDB" w:rsidRPr="00BE5FAF">
        <w:t xml:space="preserve">The impact of the extrapolation </w:t>
      </w:r>
      <w:proofErr w:type="gramStart"/>
      <w:r w:rsidR="00DE1EDB" w:rsidRPr="00BE5FAF">
        <w:t xml:space="preserve">is </w:t>
      </w:r>
      <w:r w:rsidR="001B60F4" w:rsidRPr="00BE5FAF">
        <w:t>further demonstrated</w:t>
      </w:r>
      <w:proofErr w:type="gramEnd"/>
      <w:r w:rsidR="001B60F4" w:rsidRPr="00BE5FAF">
        <w:t xml:space="preserve"> in the figure below</w:t>
      </w:r>
      <w:r w:rsidR="00DE1EDB" w:rsidRPr="00BE5FAF">
        <w:t>.</w:t>
      </w:r>
      <w:r w:rsidR="00D23DC3" w:rsidRPr="00BE5FAF">
        <w:t xml:space="preserve"> </w:t>
      </w:r>
      <w:r w:rsidR="001B60F4" w:rsidRPr="00BE5FAF">
        <w:t xml:space="preserve">The Markov trace shows that </w:t>
      </w:r>
      <w:proofErr w:type="spellStart"/>
      <w:r w:rsidR="001B60F4" w:rsidRPr="00BE5FAF">
        <w:t>rivaroxaban</w:t>
      </w:r>
      <w:proofErr w:type="spellEnd"/>
      <w:r w:rsidR="001B60F4" w:rsidRPr="00BE5FAF">
        <w:t xml:space="preserve"> with aspirin was associated with substantial reductions in ischaemic stroke and cardiovascular death compared with aspirin alone.</w:t>
      </w:r>
    </w:p>
    <w:p w:rsidR="00DC7F18" w:rsidRPr="00BE5FAF" w:rsidRDefault="00DC7F18" w:rsidP="00DC7F18">
      <w:pPr>
        <w:pStyle w:val="TableHeading0"/>
      </w:pPr>
      <w:r w:rsidRPr="00BE5FAF">
        <w:t xml:space="preserve">Figure </w:t>
      </w:r>
      <w:r w:rsidR="004D4B04" w:rsidRPr="00BE5FAF">
        <w:t>3</w:t>
      </w:r>
      <w:r w:rsidRPr="00BE5FAF">
        <w:t>: Markov traces of the cumulative incidence of cardiovascular events</w:t>
      </w:r>
    </w:p>
    <w:p w:rsidR="00DC7F18" w:rsidRPr="00BE5FAF" w:rsidRDefault="00DC7F18" w:rsidP="00DC7F18">
      <w:pPr>
        <w:widowControl/>
        <w:rPr>
          <w:color w:val="3366FF"/>
        </w:rPr>
      </w:pPr>
      <w:r w:rsidRPr="00BE5FAF">
        <w:rPr>
          <w:noProof/>
          <w:color w:val="3366FF"/>
          <w:lang w:eastAsia="en-AU"/>
        </w:rPr>
        <w:drawing>
          <wp:inline distT="0" distB="0" distL="0" distR="0" wp14:anchorId="0800E609" wp14:editId="4B5EB679">
            <wp:extent cx="4471930" cy="2921000"/>
            <wp:effectExtent l="0" t="0" r="5080" b="0"/>
            <wp:docPr id="1" name="Picture 1" title="Figure 3: Markov traces of the cumulative incidence of cardiovascular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2589" cy="2921430"/>
                    </a:xfrm>
                    <a:prstGeom prst="rect">
                      <a:avLst/>
                    </a:prstGeom>
                    <a:noFill/>
                  </pic:spPr>
                </pic:pic>
              </a:graphicData>
            </a:graphic>
          </wp:inline>
        </w:drawing>
      </w:r>
    </w:p>
    <w:p w:rsidR="00DC7F18" w:rsidRPr="00BE5FAF" w:rsidRDefault="00DC7F18" w:rsidP="00DC7F18">
      <w:pPr>
        <w:pStyle w:val="TableFooter"/>
        <w:widowControl/>
      </w:pPr>
      <w:r w:rsidRPr="00BE5FAF">
        <w:t xml:space="preserve">Source: </w:t>
      </w:r>
      <w:proofErr w:type="spellStart"/>
      <w:r w:rsidRPr="00BE5FAF">
        <w:t>Xarelto</w:t>
      </w:r>
      <w:proofErr w:type="spellEnd"/>
      <w:r w:rsidRPr="00BE5FAF">
        <w:t xml:space="preserve"> (</w:t>
      </w:r>
      <w:proofErr w:type="spellStart"/>
      <w:r w:rsidRPr="00BE5FAF">
        <w:t>rivaroxaban</w:t>
      </w:r>
      <w:proofErr w:type="spellEnd"/>
      <w:r w:rsidRPr="00BE5FAF">
        <w:t>) CAD PAD Excel spreadsheet</w:t>
      </w:r>
    </w:p>
    <w:p w:rsidR="00DC7F18" w:rsidRPr="00BE5FAF" w:rsidRDefault="00DC7F18" w:rsidP="00DC7F18">
      <w:pPr>
        <w:pStyle w:val="TableFooter"/>
        <w:widowControl/>
      </w:pPr>
      <w:r w:rsidRPr="00BE5FAF">
        <w:t>Abbreviations: CV, cardiovascular; ICH, intracranial haemorrhage; IS, ischaemic stroke; MI, myocardial infarction</w:t>
      </w:r>
    </w:p>
    <w:p w:rsidR="00DE1EDB" w:rsidRPr="00BE5FAF" w:rsidRDefault="00DE1EDB" w:rsidP="00DE1EDB">
      <w:pPr>
        <w:pStyle w:val="ListParagraph"/>
        <w:widowControl/>
      </w:pPr>
    </w:p>
    <w:p w:rsidR="00C94377" w:rsidRPr="00BE5FAF" w:rsidRDefault="00C94377" w:rsidP="0016156C">
      <w:pPr>
        <w:pStyle w:val="ListParagraph"/>
        <w:widowControl/>
        <w:numPr>
          <w:ilvl w:val="1"/>
          <w:numId w:val="2"/>
        </w:numPr>
      </w:pPr>
      <w:r w:rsidRPr="00BE5FAF">
        <w:t xml:space="preserve">The results of key sensitivity analyses </w:t>
      </w:r>
      <w:r w:rsidR="00BC2706" w:rsidRPr="00BE5FAF">
        <w:t xml:space="preserve">(presented in the submission or conducted during the evaluation) </w:t>
      </w:r>
      <w:proofErr w:type="gramStart"/>
      <w:r w:rsidRPr="00BE5FAF">
        <w:t>are summarised</w:t>
      </w:r>
      <w:proofErr w:type="gramEnd"/>
      <w:r w:rsidRPr="00BE5FAF">
        <w:t xml:space="preserve"> below.</w:t>
      </w:r>
    </w:p>
    <w:p w:rsidR="00C94377" w:rsidRPr="00BE5FAF" w:rsidRDefault="00C94377" w:rsidP="00DE1EDB">
      <w:pPr>
        <w:pStyle w:val="TableHeading0"/>
        <w:keepLines/>
        <w:spacing w:after="0"/>
        <w:rPr>
          <w:rStyle w:val="CommentReference"/>
          <w:b/>
        </w:rPr>
      </w:pPr>
      <w:r w:rsidRPr="00BE5FAF">
        <w:rPr>
          <w:rStyle w:val="CommentReference"/>
          <w:b/>
        </w:rPr>
        <w:t xml:space="preserve">Table </w:t>
      </w:r>
      <w:r w:rsidR="006956D5" w:rsidRPr="00BE5FAF">
        <w:rPr>
          <w:rStyle w:val="CommentReference"/>
          <w:b/>
        </w:rPr>
        <w:t>1</w:t>
      </w:r>
      <w:r w:rsidR="003D0A8E" w:rsidRPr="00BE5FAF">
        <w:rPr>
          <w:rStyle w:val="CommentReference"/>
          <w:b/>
        </w:rPr>
        <w:t>3</w:t>
      </w:r>
      <w:r w:rsidRPr="00BE5FAF">
        <w:rPr>
          <w:rStyle w:val="CommentReference"/>
          <w:b/>
        </w:rPr>
        <w:t>:  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Results of key sensitivity analyses"/>
      </w:tblPr>
      <w:tblGrid>
        <w:gridCol w:w="4858"/>
        <w:gridCol w:w="2079"/>
        <w:gridCol w:w="2080"/>
      </w:tblGrid>
      <w:tr w:rsidR="00C94377" w:rsidRPr="00BE5FAF" w:rsidTr="006956D5">
        <w:trPr>
          <w:tblHeader/>
        </w:trPr>
        <w:tc>
          <w:tcPr>
            <w:tcW w:w="4970" w:type="dxa"/>
            <w:vMerge w:val="restart"/>
            <w:vAlign w:val="center"/>
          </w:tcPr>
          <w:p w:rsidR="00C94377" w:rsidRPr="00BE5FAF" w:rsidRDefault="00C94377" w:rsidP="00DE1EDB">
            <w:pPr>
              <w:pStyle w:val="Tabletext"/>
              <w:keepNext/>
              <w:keepLines/>
              <w:tabs>
                <w:tab w:val="left" w:pos="142"/>
              </w:tabs>
              <w:rPr>
                <w:b/>
              </w:rPr>
            </w:pPr>
            <w:r w:rsidRPr="00BE5FAF">
              <w:rPr>
                <w:b/>
              </w:rPr>
              <w:t>Analyses</w:t>
            </w:r>
          </w:p>
        </w:tc>
        <w:tc>
          <w:tcPr>
            <w:tcW w:w="4225" w:type="dxa"/>
            <w:gridSpan w:val="2"/>
          </w:tcPr>
          <w:p w:rsidR="00C94377" w:rsidRPr="00BE5FAF" w:rsidRDefault="00C94377" w:rsidP="00DE1EDB">
            <w:pPr>
              <w:pStyle w:val="TableText0"/>
              <w:keepLines/>
              <w:spacing w:before="0" w:after="0"/>
              <w:jc w:val="center"/>
              <w:rPr>
                <w:b/>
              </w:rPr>
            </w:pPr>
            <w:r w:rsidRPr="00BE5FAF">
              <w:rPr>
                <w:b/>
              </w:rPr>
              <w:t>Incremental cost per QALY gained</w:t>
            </w:r>
          </w:p>
        </w:tc>
      </w:tr>
      <w:tr w:rsidR="00C94377" w:rsidRPr="00BE5FAF" w:rsidTr="006956D5">
        <w:trPr>
          <w:tblHeader/>
        </w:trPr>
        <w:tc>
          <w:tcPr>
            <w:tcW w:w="4970" w:type="dxa"/>
            <w:vMerge/>
            <w:vAlign w:val="center"/>
          </w:tcPr>
          <w:p w:rsidR="00C94377" w:rsidRPr="00BE5FAF" w:rsidRDefault="00C94377" w:rsidP="00DE1EDB">
            <w:pPr>
              <w:pStyle w:val="Tabletext"/>
              <w:keepNext/>
              <w:keepLines/>
              <w:tabs>
                <w:tab w:val="left" w:pos="142"/>
              </w:tabs>
              <w:rPr>
                <w:b/>
              </w:rPr>
            </w:pPr>
          </w:p>
        </w:tc>
        <w:tc>
          <w:tcPr>
            <w:tcW w:w="2112" w:type="dxa"/>
          </w:tcPr>
          <w:p w:rsidR="00C94377" w:rsidRPr="00BE5FAF" w:rsidRDefault="00C94377" w:rsidP="00DE1EDB">
            <w:pPr>
              <w:pStyle w:val="TableText0"/>
              <w:keepLines/>
              <w:spacing w:before="0" w:after="0"/>
              <w:jc w:val="center"/>
              <w:rPr>
                <w:b/>
              </w:rPr>
            </w:pPr>
            <w:r w:rsidRPr="00BE5FAF">
              <w:rPr>
                <w:b/>
              </w:rPr>
              <w:t xml:space="preserve">CAD and/or PAD </w:t>
            </w:r>
          </w:p>
          <w:p w:rsidR="00C94377" w:rsidRPr="00BE5FAF" w:rsidRDefault="00C94377" w:rsidP="00DE1EDB">
            <w:pPr>
              <w:pStyle w:val="Tabletext"/>
              <w:keepNext/>
              <w:keepLines/>
              <w:jc w:val="center"/>
              <w:rPr>
                <w:b/>
              </w:rPr>
            </w:pPr>
            <w:r w:rsidRPr="00BE5FAF">
              <w:rPr>
                <w:b/>
              </w:rPr>
              <w:t>population</w:t>
            </w:r>
          </w:p>
        </w:tc>
        <w:tc>
          <w:tcPr>
            <w:tcW w:w="2113" w:type="dxa"/>
          </w:tcPr>
          <w:p w:rsidR="00C94377" w:rsidRPr="00BE5FAF" w:rsidRDefault="00C94377" w:rsidP="00DE1EDB">
            <w:pPr>
              <w:pStyle w:val="TableText0"/>
              <w:keepLines/>
              <w:spacing w:before="0" w:after="0"/>
              <w:jc w:val="center"/>
              <w:rPr>
                <w:b/>
              </w:rPr>
            </w:pPr>
            <w:r w:rsidRPr="00BE5FAF">
              <w:rPr>
                <w:b/>
              </w:rPr>
              <w:t xml:space="preserve">CAD and PAD </w:t>
            </w:r>
          </w:p>
          <w:p w:rsidR="00C94377" w:rsidRPr="00BE5FAF" w:rsidRDefault="00C94377" w:rsidP="00DE1EDB">
            <w:pPr>
              <w:pStyle w:val="Tabletext"/>
              <w:keepNext/>
              <w:keepLines/>
              <w:jc w:val="center"/>
              <w:rPr>
                <w:b/>
              </w:rPr>
            </w:pPr>
            <w:r w:rsidRPr="00BE5FAF">
              <w:rPr>
                <w:b/>
              </w:rPr>
              <w:t>subgroup population</w:t>
            </w:r>
          </w:p>
        </w:tc>
      </w:tr>
      <w:tr w:rsidR="00C94377" w:rsidRPr="00BE5FAF" w:rsidTr="006956D5">
        <w:tc>
          <w:tcPr>
            <w:tcW w:w="4970" w:type="dxa"/>
          </w:tcPr>
          <w:p w:rsidR="00C94377" w:rsidRPr="00BE5FAF" w:rsidRDefault="00C94377" w:rsidP="00DE1EDB">
            <w:pPr>
              <w:pStyle w:val="Tabletext"/>
              <w:keepNext/>
              <w:keepLines/>
              <w:tabs>
                <w:tab w:val="left" w:pos="142"/>
              </w:tabs>
              <w:rPr>
                <w:b/>
              </w:rPr>
            </w:pPr>
            <w:r w:rsidRPr="00BE5FAF">
              <w:rPr>
                <w:b/>
              </w:rPr>
              <w:t>Base case</w:t>
            </w:r>
          </w:p>
        </w:tc>
        <w:tc>
          <w:tcPr>
            <w:tcW w:w="2112" w:type="dxa"/>
          </w:tcPr>
          <w:p w:rsidR="00C94377" w:rsidRPr="00BE5FAF" w:rsidRDefault="00C94377" w:rsidP="00DE1EDB">
            <w:pPr>
              <w:pStyle w:val="Tabletext"/>
              <w:keepNext/>
              <w:keepLines/>
              <w:jc w:val="center"/>
              <w:rPr>
                <w:b/>
              </w:rP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9195" w:type="dxa"/>
            <w:gridSpan w:val="3"/>
          </w:tcPr>
          <w:p w:rsidR="00C94377" w:rsidRPr="00BE5FAF" w:rsidRDefault="00C94377" w:rsidP="00DE1EDB">
            <w:pPr>
              <w:pStyle w:val="Tabletext"/>
              <w:keepNext/>
              <w:keepLines/>
              <w:rPr>
                <w:b/>
              </w:rPr>
            </w:pPr>
            <w:r w:rsidRPr="00BE5FAF">
              <w:rPr>
                <w:b/>
              </w:rPr>
              <w:t>Time horizon (base case: 30 years)</w:t>
            </w:r>
          </w:p>
        </w:tc>
      </w:tr>
      <w:tr w:rsidR="00C94377" w:rsidRPr="00BE5FAF" w:rsidTr="006956D5">
        <w:tc>
          <w:tcPr>
            <w:tcW w:w="4970" w:type="dxa"/>
          </w:tcPr>
          <w:p w:rsidR="00C94377" w:rsidRPr="00BE5FAF" w:rsidRDefault="00C94377" w:rsidP="00DE1EDB">
            <w:pPr>
              <w:pStyle w:val="Tabletext"/>
              <w:keepNext/>
              <w:keepLines/>
              <w:tabs>
                <w:tab w:val="left" w:pos="142"/>
              </w:tabs>
            </w:pPr>
            <w:r w:rsidRPr="00BE5FAF">
              <w:t>5 years</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pPr>
            <w:r w:rsidRPr="00BE5FAF">
              <w:t>10 years</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pPr>
            <w:r w:rsidRPr="00BE5FAF">
              <w:t>20 years</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9195" w:type="dxa"/>
            <w:gridSpan w:val="3"/>
          </w:tcPr>
          <w:p w:rsidR="00C94377" w:rsidRPr="00BE5FAF" w:rsidRDefault="00C94377" w:rsidP="00DE1EDB">
            <w:pPr>
              <w:pStyle w:val="Tabletext"/>
              <w:keepNext/>
              <w:keepLines/>
              <w:tabs>
                <w:tab w:val="left" w:pos="142"/>
              </w:tabs>
              <w:rPr>
                <w:b/>
              </w:rPr>
            </w:pPr>
            <w:r w:rsidRPr="00BE5FAF">
              <w:rPr>
                <w:b/>
              </w:rPr>
              <w:t>Transition probabilities (base case: individual patient data from COMPASS trial; cardiovascular risk and cardiovascular death multipliers based on the REACH study)</w:t>
            </w:r>
          </w:p>
        </w:tc>
      </w:tr>
      <w:tr w:rsidR="00C94377" w:rsidRPr="00BE5FAF" w:rsidTr="006956D5">
        <w:tc>
          <w:tcPr>
            <w:tcW w:w="4970" w:type="dxa"/>
          </w:tcPr>
          <w:p w:rsidR="00C94377" w:rsidRPr="00BE5FAF" w:rsidRDefault="00C94377" w:rsidP="00DE1EDB">
            <w:pPr>
              <w:pStyle w:val="Tabletext"/>
              <w:keepNext/>
              <w:keepLines/>
              <w:tabs>
                <w:tab w:val="left" w:pos="142"/>
              </w:tabs>
            </w:pPr>
            <w:r w:rsidRPr="00BE5FAF">
              <w:t>Replace subsequent zero transition probabilities with event-free transitions and using any CV death from the acute double MI transition to inform the any CV death transition in all double event states</w:t>
            </w:r>
          </w:p>
        </w:tc>
        <w:tc>
          <w:tcPr>
            <w:tcW w:w="2112"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pPr>
            <w:r w:rsidRPr="00BE5FAF">
              <w:t>Replace subsequent zero transition probabilities with event-free transitions and using the sum of all CV death transitions from the event-free state to inform the any CV death transition in all double event states</w:t>
            </w:r>
          </w:p>
        </w:tc>
        <w:tc>
          <w:tcPr>
            <w:tcW w:w="2112"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pPr>
            <w:r w:rsidRPr="00BE5FAF">
              <w:t>Replace subsequent non-zero transition probabilities with event-free transitions (no imputation for zero transition probabilities)</w:t>
            </w:r>
          </w:p>
        </w:tc>
        <w:tc>
          <w:tcPr>
            <w:tcW w:w="2112"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pPr>
            <w:r w:rsidRPr="00BE5FAF">
              <w:t>Replace all subsequent transition probabilities with event-free transitions</w:t>
            </w:r>
          </w:p>
        </w:tc>
        <w:tc>
          <w:tcPr>
            <w:tcW w:w="2112"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pPr>
            <w:r w:rsidRPr="00BE5FAF">
              <w:t>Remove cardiovascular risk and cardiovascular death multipliers</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9195" w:type="dxa"/>
            <w:gridSpan w:val="3"/>
          </w:tcPr>
          <w:p w:rsidR="00C94377" w:rsidRPr="00BE5FAF" w:rsidRDefault="00C94377" w:rsidP="00DE1EDB">
            <w:pPr>
              <w:pStyle w:val="Tabletext"/>
              <w:keepNext/>
              <w:keepLines/>
              <w:rPr>
                <w:b/>
              </w:rPr>
            </w:pPr>
            <w:r w:rsidRPr="00BE5FAF">
              <w:rPr>
                <w:b/>
              </w:rPr>
              <w:t>Treatment effects (base case: point estimate difference from COMPASS trial)</w:t>
            </w:r>
          </w:p>
        </w:tc>
      </w:tr>
      <w:tr w:rsidR="00C94377" w:rsidRPr="00BE5FAF" w:rsidTr="006956D5">
        <w:tc>
          <w:tcPr>
            <w:tcW w:w="4970" w:type="dxa"/>
          </w:tcPr>
          <w:p w:rsidR="00C94377" w:rsidRPr="00BE5FAF" w:rsidRDefault="00C94377" w:rsidP="00DE1EDB">
            <w:pPr>
              <w:pStyle w:val="Tabletext"/>
              <w:keepNext/>
              <w:keepLines/>
              <w:ind w:left="33"/>
            </w:pPr>
            <w:r w:rsidRPr="00BE5FAF">
              <w:t xml:space="preserve">Only include statistically significant differences (non-fatal IS, CV death, acute limb </w:t>
            </w:r>
            <w:proofErr w:type="spellStart"/>
            <w:r w:rsidRPr="00BE5FAF">
              <w:t>isch</w:t>
            </w:r>
            <w:r w:rsidR="00D264DB" w:rsidRPr="00BE5FAF">
              <w:t>a</w:t>
            </w:r>
            <w:r w:rsidRPr="00BE5FAF">
              <w:t>emia</w:t>
            </w:r>
            <w:proofErr w:type="spellEnd"/>
            <w:r w:rsidRPr="00BE5FAF">
              <w:t xml:space="preserve"> and major bleeds)</w:t>
            </w:r>
          </w:p>
        </w:tc>
        <w:tc>
          <w:tcPr>
            <w:tcW w:w="2112"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ind w:left="142" w:hanging="108"/>
            </w:pPr>
            <w:r w:rsidRPr="00BE5FAF">
              <w:t>Upper 95% CI for CV death</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ind w:left="142" w:hanging="108"/>
            </w:pPr>
            <w:r w:rsidRPr="00BE5FAF">
              <w:t>Lower 95% CI for CV death</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ind w:left="142" w:hanging="108"/>
            </w:pPr>
            <w:r w:rsidRPr="00BE5FAF">
              <w:t>Upper 95% CI for non-fatal cardiovascular events (MI, IS, ICH)</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ind w:left="142" w:hanging="108"/>
            </w:pPr>
            <w:r w:rsidRPr="00BE5FAF">
              <w:t>Lower 95% CI for non-fatal cardiovascular events (MI, IS, ICH)</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ind w:left="142" w:hanging="108"/>
            </w:pPr>
            <w:r w:rsidRPr="00BE5FAF">
              <w:t>Upper 95% CI for major bleeding events</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ind w:left="142" w:hanging="108"/>
            </w:pPr>
            <w:r w:rsidRPr="00BE5FAF">
              <w:t>Lower 95% CI for major bleeding events</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ind w:left="142" w:hanging="108"/>
            </w:pPr>
            <w:r w:rsidRPr="00BE5FAF">
              <w:t>Upper 95% CI for other vascular events</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142"/>
              </w:tabs>
              <w:ind w:left="142" w:hanging="108"/>
            </w:pPr>
            <w:r w:rsidRPr="00BE5FAF">
              <w:t>Lower 95% CI for other vascular events</w:t>
            </w:r>
          </w:p>
        </w:tc>
        <w:tc>
          <w:tcPr>
            <w:tcW w:w="2112" w:type="dxa"/>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9195" w:type="dxa"/>
            <w:gridSpan w:val="3"/>
          </w:tcPr>
          <w:p w:rsidR="00C94377" w:rsidRPr="00BE5FAF" w:rsidRDefault="00C94377" w:rsidP="00DE1EDB">
            <w:pPr>
              <w:pStyle w:val="Tabletext"/>
              <w:keepNext/>
              <w:keepLines/>
              <w:rPr>
                <w:b/>
              </w:rPr>
            </w:pPr>
            <w:r w:rsidRPr="00BE5FAF">
              <w:rPr>
                <w:b/>
              </w:rPr>
              <w:t xml:space="preserve">Drug costs (base case: </w:t>
            </w:r>
            <w:proofErr w:type="spellStart"/>
            <w:r w:rsidRPr="00BE5FAF">
              <w:rPr>
                <w:b/>
              </w:rPr>
              <w:t>rivaroxaban</w:t>
            </w:r>
            <w:proofErr w:type="spellEnd"/>
            <w:r w:rsidRPr="00BE5FAF">
              <w:rPr>
                <w:b/>
              </w:rPr>
              <w:t xml:space="preserve"> drug costs based on proposed DPMQ, aspirin costs not includes)</w:t>
            </w:r>
          </w:p>
        </w:tc>
      </w:tr>
      <w:tr w:rsidR="00C94377" w:rsidRPr="00BE5FAF" w:rsidTr="006956D5">
        <w:tc>
          <w:tcPr>
            <w:tcW w:w="4970" w:type="dxa"/>
          </w:tcPr>
          <w:p w:rsidR="00C94377" w:rsidRPr="00BE5FAF" w:rsidRDefault="00C94377" w:rsidP="00DE1EDB">
            <w:pPr>
              <w:pStyle w:val="Tabletext"/>
              <w:keepNext/>
              <w:keepLines/>
              <w:tabs>
                <w:tab w:val="left" w:pos="33"/>
              </w:tabs>
              <w:ind w:left="33"/>
            </w:pPr>
            <w:proofErr w:type="spellStart"/>
            <w:r w:rsidRPr="00BE5FAF">
              <w:t>Rivaroxaban</w:t>
            </w:r>
            <w:proofErr w:type="spellEnd"/>
            <w:r w:rsidRPr="00BE5FAF">
              <w:t xml:space="preserve"> drug costs after 10% statutory price reduction</w:t>
            </w:r>
          </w:p>
        </w:tc>
        <w:tc>
          <w:tcPr>
            <w:tcW w:w="2112"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r>
      <w:tr w:rsidR="00C94377" w:rsidRPr="00BE5FAF" w:rsidTr="006956D5">
        <w:tc>
          <w:tcPr>
            <w:tcW w:w="4970" w:type="dxa"/>
          </w:tcPr>
          <w:p w:rsidR="00C94377" w:rsidRPr="00BE5FAF" w:rsidRDefault="00C94377" w:rsidP="00DE1EDB">
            <w:pPr>
              <w:pStyle w:val="Tabletext"/>
              <w:keepNext/>
              <w:keepLines/>
              <w:tabs>
                <w:tab w:val="left" w:pos="33"/>
              </w:tabs>
              <w:ind w:left="33"/>
            </w:pPr>
            <w:proofErr w:type="spellStart"/>
            <w:r w:rsidRPr="00BE5FAF">
              <w:t>Rivaroxaban</w:t>
            </w:r>
            <w:proofErr w:type="spellEnd"/>
            <w:r w:rsidRPr="00BE5FAF">
              <w:t xml:space="preserve"> drug costs after 10% statutory price reduction and </w:t>
            </w:r>
            <w:r w:rsidR="00517BCE">
              <w:rPr>
                <w:noProof/>
                <w:color w:val="000000"/>
                <w:highlight w:val="black"/>
              </w:rPr>
              <w:t>''''''''''</w:t>
            </w:r>
            <w:r w:rsidRPr="00BE5FAF">
              <w:t>% rebate (RSA)</w:t>
            </w:r>
          </w:p>
        </w:tc>
        <w:tc>
          <w:tcPr>
            <w:tcW w:w="2112"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c>
          <w:tcPr>
            <w:tcW w:w="2113" w:type="dxa"/>
            <w:vAlign w:val="center"/>
          </w:tcPr>
          <w:p w:rsidR="00C94377" w:rsidRPr="00BE5FAF" w:rsidRDefault="00C94377" w:rsidP="00DE1EDB">
            <w:pPr>
              <w:pStyle w:val="Tabletext"/>
              <w:keepNext/>
              <w:keepLines/>
              <w:jc w:val="center"/>
            </w:pPr>
            <w:r w:rsidRPr="00BE5FAF">
              <w:t>$</w:t>
            </w:r>
            <w:r w:rsidR="00517BCE">
              <w:rPr>
                <w:noProof/>
                <w:color w:val="000000"/>
                <w:highlight w:val="black"/>
              </w:rPr>
              <w:t>''''''''''''''''</w:t>
            </w:r>
          </w:p>
        </w:tc>
      </w:tr>
    </w:tbl>
    <w:p w:rsidR="00C94377" w:rsidRPr="00BE5FAF" w:rsidRDefault="00C94377" w:rsidP="00DE1EDB">
      <w:pPr>
        <w:pStyle w:val="TableFooter"/>
        <w:keepNext/>
        <w:keepLines/>
        <w:widowControl/>
      </w:pPr>
      <w:r w:rsidRPr="00BE5FAF">
        <w:t>Source: Table 3.9-1 (p 267) of the submission</w:t>
      </w:r>
    </w:p>
    <w:p w:rsidR="00C94377" w:rsidRPr="00BE5FAF" w:rsidRDefault="00C94377" w:rsidP="00DE1EDB">
      <w:pPr>
        <w:pStyle w:val="TableFooter"/>
        <w:keepNext/>
        <w:keepLines/>
        <w:widowControl/>
      </w:pPr>
      <w:r w:rsidRPr="00BE5FAF">
        <w:t>Abbreviations: ACS, acute coronary syndrome; CV, cardiovascular; ICER, incremental cost effectiveness ratio; ICH, intracranial haemorrhage; IS, ischaemic stroke; MI, myocardial infarction; QALY, quality-adjusted life year; RSA, risk sharing arrangement</w:t>
      </w:r>
    </w:p>
    <w:p w:rsidR="00542B97" w:rsidRPr="00542B97" w:rsidRDefault="00542B97" w:rsidP="003008B5">
      <w:pPr>
        <w:widowControl/>
        <w:spacing w:before="120" w:after="120"/>
        <w:contextualSpacing/>
        <w:rPr>
          <w:i/>
        </w:rPr>
      </w:pPr>
      <w:r>
        <w:rPr>
          <w:i/>
        </w:rPr>
        <w:t xml:space="preserve">The redacted table shows ICERs in the range of less than $15,000/QALY to $200,000/QALY. </w:t>
      </w:r>
    </w:p>
    <w:p w:rsidR="00C94377" w:rsidRPr="00BE5FAF" w:rsidRDefault="00C94377" w:rsidP="003008B5">
      <w:pPr>
        <w:pStyle w:val="ListParagraph"/>
        <w:widowControl/>
        <w:numPr>
          <w:ilvl w:val="1"/>
          <w:numId w:val="2"/>
        </w:numPr>
        <w:spacing w:before="120" w:after="120"/>
        <w:contextualSpacing/>
      </w:pPr>
      <w:r w:rsidRPr="00BE5FAF">
        <w:t xml:space="preserve">The results of the sensitivity analyses indicated that the model was most sensitive to time horizon, transition probabilities (approaches to handling sparse data; use of risk multipliers), treatment effects (particularly CV death) and </w:t>
      </w:r>
      <w:proofErr w:type="spellStart"/>
      <w:r w:rsidRPr="00BE5FAF">
        <w:t>rivaroxaban</w:t>
      </w:r>
      <w:proofErr w:type="spellEnd"/>
      <w:r w:rsidRPr="00BE5FAF">
        <w:t xml:space="preserve"> drug costs. The </w:t>
      </w:r>
      <w:r w:rsidRPr="00BE5FAF">
        <w:lastRenderedPageBreak/>
        <w:t xml:space="preserve">structure of the economic model did not allow sensitivity analyses to adequately assess the impact of </w:t>
      </w:r>
      <w:r w:rsidR="00DB1F84" w:rsidRPr="00BE5FAF">
        <w:t xml:space="preserve">the sparse data, the potentially optimistic extrapolation, </w:t>
      </w:r>
      <w:r w:rsidRPr="00BE5FAF">
        <w:t>treatment interruptions (e.g. due to recent ACS event) or changes to baseline risk due to differences in cardiovascular risk factors.</w:t>
      </w:r>
    </w:p>
    <w:p w:rsidR="00C25D9C" w:rsidRPr="00BE5FAF" w:rsidRDefault="00C25D9C" w:rsidP="003008B5">
      <w:pPr>
        <w:pStyle w:val="Heading2"/>
        <w:widowControl/>
        <w:spacing w:before="120" w:after="120"/>
      </w:pPr>
      <w:bookmarkStart w:id="12" w:name="_Toc535943618"/>
      <w:r w:rsidRPr="00BE5FAF">
        <w:t>Drug cost/patient/year</w:t>
      </w:r>
      <w:bookmarkEnd w:id="12"/>
    </w:p>
    <w:p w:rsidR="00B60939" w:rsidRPr="00BE5FAF" w:rsidRDefault="00CD0B16" w:rsidP="003008B5">
      <w:pPr>
        <w:pStyle w:val="ListParagraph"/>
        <w:keepNext/>
        <w:widowControl/>
        <w:numPr>
          <w:ilvl w:val="1"/>
          <w:numId w:val="2"/>
        </w:numPr>
        <w:spacing w:before="120" w:after="120"/>
      </w:pPr>
      <w:r w:rsidRPr="00BE5FAF">
        <w:t xml:space="preserve">The estimated drug cost for </w:t>
      </w:r>
      <w:proofErr w:type="spellStart"/>
      <w:r w:rsidRPr="00BE5FAF">
        <w:t>rivaroxaban</w:t>
      </w:r>
      <w:proofErr w:type="spellEnd"/>
      <w:r w:rsidRPr="00BE5FAF">
        <w:t xml:space="preserve"> per patient per year was $</w:t>
      </w:r>
      <w:r w:rsidR="00517BCE">
        <w:rPr>
          <w:noProof/>
          <w:color w:val="000000"/>
          <w:highlight w:val="black"/>
        </w:rPr>
        <w:t>''''''''''</w:t>
      </w:r>
      <w:r w:rsidRPr="00BE5FAF">
        <w:t xml:space="preserve"> (based on 12.17 scripts using the proposed DPMQ $</w:t>
      </w:r>
      <w:r w:rsidR="00517BCE">
        <w:rPr>
          <w:noProof/>
          <w:color w:val="000000"/>
          <w:highlight w:val="black"/>
        </w:rPr>
        <w:t>''''''''''''</w:t>
      </w:r>
      <w:r w:rsidRPr="00BE5FAF">
        <w:t xml:space="preserve"> for 30 days treatment). The submission assumed that the drug cost for aspirin was negligible and did not include this cost in the economic model or financial implications</w:t>
      </w:r>
      <w:r w:rsidR="00C71E89" w:rsidRPr="00BE5FAF">
        <w:rPr>
          <w:i/>
        </w:rPr>
        <w:t xml:space="preserve">, </w:t>
      </w:r>
      <w:r w:rsidR="00C71E89" w:rsidRPr="00BE5FAF">
        <w:t>which th</w:t>
      </w:r>
      <w:r w:rsidR="00C32CEF" w:rsidRPr="00BE5FAF">
        <w:t xml:space="preserve">e ESC </w:t>
      </w:r>
      <w:r w:rsidR="00963C11">
        <w:t>considered was</w:t>
      </w:r>
      <w:r w:rsidR="00C32CEF" w:rsidRPr="00BE5FAF">
        <w:t xml:space="preserve"> reasonable.</w:t>
      </w:r>
    </w:p>
    <w:p w:rsidR="00B60939" w:rsidRPr="00BE5FAF" w:rsidRDefault="00B60939" w:rsidP="003008B5">
      <w:pPr>
        <w:pStyle w:val="Heading2"/>
        <w:widowControl/>
        <w:spacing w:before="120" w:after="120"/>
      </w:pPr>
      <w:bookmarkStart w:id="13" w:name="_Toc535943619"/>
      <w:r w:rsidRPr="00BE5FAF">
        <w:t>Estimated PBS usage &amp; financial implications</w:t>
      </w:r>
      <w:bookmarkEnd w:id="13"/>
    </w:p>
    <w:p w:rsidR="0016156C" w:rsidRPr="00BE5FAF" w:rsidRDefault="0016156C" w:rsidP="003008B5">
      <w:pPr>
        <w:pStyle w:val="ListParagraph"/>
        <w:widowControl/>
        <w:numPr>
          <w:ilvl w:val="1"/>
          <w:numId w:val="2"/>
        </w:numPr>
        <w:spacing w:before="120" w:after="120"/>
      </w:pPr>
      <w:bookmarkStart w:id="14" w:name="_Toc535943620"/>
      <w:r w:rsidRPr="00BE5FAF">
        <w:t xml:space="preserve">This submission </w:t>
      </w:r>
      <w:proofErr w:type="gramStart"/>
      <w:r w:rsidR="00CA3BCD" w:rsidRPr="00BE5FAF">
        <w:t>was</w:t>
      </w:r>
      <w:r w:rsidRPr="00BE5FAF">
        <w:t xml:space="preserve"> considered</w:t>
      </w:r>
      <w:proofErr w:type="gramEnd"/>
      <w:r w:rsidRPr="00BE5FAF">
        <w:t xml:space="preserve"> by DUSC. </w:t>
      </w:r>
    </w:p>
    <w:p w:rsidR="0016156C" w:rsidRPr="00BE5FAF" w:rsidRDefault="0016156C" w:rsidP="003008B5">
      <w:pPr>
        <w:pStyle w:val="ListParagraph"/>
        <w:widowControl/>
        <w:numPr>
          <w:ilvl w:val="1"/>
          <w:numId w:val="2"/>
        </w:numPr>
        <w:spacing w:before="120" w:after="120"/>
      </w:pPr>
      <w:r w:rsidRPr="00BE5FAF">
        <w:t xml:space="preserve">The submission used an epidemiological approach to estimate the utilisation and financial impacts associated with the PBS listing of low dose </w:t>
      </w:r>
      <w:proofErr w:type="spellStart"/>
      <w:r w:rsidRPr="00BE5FAF">
        <w:t>rivaroxaban</w:t>
      </w:r>
      <w:proofErr w:type="spellEnd"/>
      <w:r w:rsidRPr="00BE5FAF">
        <w:t xml:space="preserve"> for stable CAD and/or PAD. The total eligible CAD and/or PAD population in June 2010 </w:t>
      </w:r>
      <w:proofErr w:type="gramStart"/>
      <w:r w:rsidRPr="00BE5FAF">
        <w:t>was estimated</w:t>
      </w:r>
      <w:proofErr w:type="gramEnd"/>
      <w:r w:rsidRPr="00BE5FAF">
        <w:t xml:space="preserve"> based on an analysis of Western Australian linked health data.</w:t>
      </w:r>
    </w:p>
    <w:p w:rsidR="0016156C" w:rsidRPr="00BE5FAF" w:rsidRDefault="0016156C" w:rsidP="003008B5">
      <w:pPr>
        <w:pStyle w:val="ListParagraph"/>
        <w:widowControl/>
        <w:numPr>
          <w:ilvl w:val="1"/>
          <w:numId w:val="2"/>
        </w:numPr>
        <w:spacing w:before="120" w:after="120"/>
      </w:pPr>
      <w:r w:rsidRPr="00BE5FAF">
        <w:t xml:space="preserve">The table below presents the total utilisation and cost to the PBS of listing low dose </w:t>
      </w:r>
      <w:proofErr w:type="spellStart"/>
      <w:r w:rsidRPr="00BE5FAF">
        <w:t>rivaroxaban</w:t>
      </w:r>
      <w:proofErr w:type="spellEnd"/>
      <w:r w:rsidRPr="00BE5FAF">
        <w:t xml:space="preserve"> for CAD and /or PAD patients.</w:t>
      </w:r>
    </w:p>
    <w:p w:rsidR="0016156C" w:rsidRPr="00BE5FAF" w:rsidRDefault="0016156C" w:rsidP="00E9612D">
      <w:pPr>
        <w:keepNext/>
        <w:keepLines/>
        <w:widowControl/>
        <w:rPr>
          <w:rFonts w:ascii="Arial Narrow" w:hAnsi="Arial Narrow"/>
          <w:b/>
          <w:bCs/>
          <w:sz w:val="20"/>
          <w:szCs w:val="20"/>
        </w:rPr>
      </w:pPr>
      <w:r w:rsidRPr="00BE5FAF">
        <w:rPr>
          <w:rFonts w:ascii="Arial Narrow" w:eastAsia="Calibri" w:hAnsi="Arial Narrow"/>
          <w:b/>
          <w:sz w:val="20"/>
        </w:rPr>
        <w:lastRenderedPageBreak/>
        <w:t>Table 14</w:t>
      </w:r>
      <w:r w:rsidRPr="00BE5FAF">
        <w:rPr>
          <w:rFonts w:ascii="Arial Narrow" w:hAnsi="Arial Narrow"/>
          <w:b/>
          <w:bCs/>
          <w:sz w:val="20"/>
          <w:szCs w:val="20"/>
        </w:rPr>
        <w:t xml:space="preserve">: Total utilisation and cost to PBS of listing </w:t>
      </w:r>
      <w:proofErr w:type="spellStart"/>
      <w:r w:rsidRPr="00BE5FAF">
        <w:rPr>
          <w:rFonts w:ascii="Arial Narrow" w:hAnsi="Arial Narrow"/>
          <w:b/>
          <w:bCs/>
          <w:sz w:val="20"/>
          <w:szCs w:val="20"/>
        </w:rPr>
        <w:t>rivaroxaban</w:t>
      </w:r>
      <w:proofErr w:type="spellEnd"/>
      <w:r w:rsidR="00210137" w:rsidRPr="00BE5FAF">
        <w:rPr>
          <w:rFonts w:ascii="Arial Narrow" w:hAnsi="Arial Narrow"/>
          <w:b/>
          <w:bCs/>
          <w:sz w:val="20"/>
          <w:szCs w:val="20"/>
        </w:rPr>
        <w:t xml:space="preserve"> (CAD and/or PAD population)</w:t>
      </w:r>
    </w:p>
    <w:tbl>
      <w:tblPr>
        <w:tblW w:w="0" w:type="auto"/>
        <w:tblCellMar>
          <w:left w:w="0" w:type="dxa"/>
          <w:right w:w="0" w:type="dxa"/>
        </w:tblCellMar>
        <w:tblLook w:val="04A0" w:firstRow="1" w:lastRow="0" w:firstColumn="1" w:lastColumn="0" w:noHBand="0" w:noVBand="1"/>
        <w:tblCaption w:val="Table 14: Total utilisation and cost to PBS of listing rivaroxaban (CAD and/or PAD population)"/>
      </w:tblPr>
      <w:tblGrid>
        <w:gridCol w:w="2111"/>
        <w:gridCol w:w="1148"/>
        <w:gridCol w:w="1148"/>
        <w:gridCol w:w="1148"/>
        <w:gridCol w:w="1154"/>
        <w:gridCol w:w="1154"/>
        <w:gridCol w:w="1154"/>
      </w:tblGrid>
      <w:tr w:rsidR="0016156C" w:rsidRPr="00BE5FAF" w:rsidTr="00CA3BCD">
        <w:trPr>
          <w:tblHeader/>
        </w:trPr>
        <w:tc>
          <w:tcPr>
            <w:tcW w:w="2122" w:type="dxa"/>
            <w:tcBorders>
              <w:top w:val="single" w:sz="4" w:space="0" w:color="auto"/>
              <w:left w:val="single" w:sz="4" w:space="0" w:color="auto"/>
              <w:bottom w:val="single" w:sz="8" w:space="0" w:color="auto"/>
              <w:right w:val="single" w:sz="8" w:space="0" w:color="auto"/>
            </w:tcBorders>
            <w:tcMar>
              <w:top w:w="0" w:type="dxa"/>
              <w:left w:w="28" w:type="dxa"/>
              <w:bottom w:w="0" w:type="dxa"/>
              <w:right w:w="28" w:type="dxa"/>
            </w:tcMar>
            <w:vAlign w:val="center"/>
          </w:tcPr>
          <w:p w:rsidR="0016156C" w:rsidRPr="00BE5FAF" w:rsidRDefault="0016156C" w:rsidP="00E9612D">
            <w:pPr>
              <w:keepNext/>
              <w:keepLines/>
              <w:widowControl/>
              <w:spacing w:line="252" w:lineRule="auto"/>
              <w:rPr>
                <w:rFonts w:ascii="Arial Narrow" w:hAnsi="Arial Narrow"/>
                <w:sz w:val="20"/>
                <w:szCs w:val="20"/>
              </w:rPr>
            </w:pPr>
          </w:p>
        </w:tc>
        <w:tc>
          <w:tcPr>
            <w:tcW w:w="114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b/>
                <w:bCs/>
                <w:sz w:val="20"/>
                <w:szCs w:val="20"/>
              </w:rPr>
            </w:pPr>
            <w:r w:rsidRPr="00BE5FAF">
              <w:rPr>
                <w:rFonts w:ascii="Arial Narrow" w:hAnsi="Arial Narrow"/>
                <w:b/>
                <w:bCs/>
                <w:sz w:val="20"/>
                <w:szCs w:val="20"/>
              </w:rPr>
              <w:t>Year 1</w:t>
            </w:r>
          </w:p>
        </w:tc>
        <w:tc>
          <w:tcPr>
            <w:tcW w:w="114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b/>
                <w:bCs/>
                <w:sz w:val="20"/>
                <w:szCs w:val="20"/>
              </w:rPr>
            </w:pPr>
            <w:r w:rsidRPr="00BE5FAF">
              <w:rPr>
                <w:rFonts w:ascii="Arial Narrow" w:hAnsi="Arial Narrow"/>
                <w:b/>
                <w:bCs/>
                <w:sz w:val="20"/>
                <w:szCs w:val="20"/>
              </w:rPr>
              <w:t>Year 2</w:t>
            </w:r>
          </w:p>
        </w:tc>
        <w:tc>
          <w:tcPr>
            <w:tcW w:w="114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b/>
                <w:bCs/>
                <w:sz w:val="20"/>
                <w:szCs w:val="20"/>
              </w:rPr>
            </w:pPr>
            <w:r w:rsidRPr="00BE5FAF">
              <w:rPr>
                <w:rFonts w:ascii="Arial Narrow" w:hAnsi="Arial Narrow"/>
                <w:b/>
                <w:bCs/>
                <w:sz w:val="20"/>
                <w:szCs w:val="20"/>
              </w:rPr>
              <w:t>Year 3</w:t>
            </w:r>
          </w:p>
        </w:tc>
        <w:tc>
          <w:tcPr>
            <w:tcW w:w="114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b/>
                <w:bCs/>
                <w:sz w:val="20"/>
                <w:szCs w:val="20"/>
              </w:rPr>
            </w:pPr>
            <w:r w:rsidRPr="00BE5FAF">
              <w:rPr>
                <w:rFonts w:ascii="Arial Narrow" w:hAnsi="Arial Narrow"/>
                <w:b/>
                <w:bCs/>
                <w:sz w:val="20"/>
                <w:szCs w:val="20"/>
              </w:rPr>
              <w:t>Year 4</w:t>
            </w:r>
          </w:p>
        </w:tc>
        <w:tc>
          <w:tcPr>
            <w:tcW w:w="114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b/>
                <w:bCs/>
                <w:sz w:val="20"/>
                <w:szCs w:val="20"/>
              </w:rPr>
            </w:pPr>
            <w:r w:rsidRPr="00BE5FAF">
              <w:rPr>
                <w:rFonts w:ascii="Arial Narrow" w:hAnsi="Arial Narrow"/>
                <w:b/>
                <w:bCs/>
                <w:sz w:val="20"/>
                <w:szCs w:val="20"/>
              </w:rPr>
              <w:t>Year 5</w:t>
            </w:r>
          </w:p>
        </w:tc>
        <w:tc>
          <w:tcPr>
            <w:tcW w:w="1149" w:type="dxa"/>
            <w:tcBorders>
              <w:top w:val="single" w:sz="4" w:space="0" w:color="auto"/>
              <w:left w:val="nil"/>
              <w:bottom w:val="single" w:sz="8"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jc w:val="center"/>
              <w:rPr>
                <w:rFonts w:ascii="Arial Narrow" w:hAnsi="Arial Narrow"/>
                <w:b/>
                <w:bCs/>
                <w:sz w:val="20"/>
                <w:szCs w:val="20"/>
              </w:rPr>
            </w:pPr>
            <w:r w:rsidRPr="00BE5FAF">
              <w:rPr>
                <w:rFonts w:ascii="Arial Narrow" w:hAnsi="Arial Narrow"/>
                <w:b/>
                <w:bCs/>
                <w:sz w:val="20"/>
                <w:szCs w:val="20"/>
              </w:rPr>
              <w:t>Year 6</w:t>
            </w:r>
          </w:p>
        </w:tc>
      </w:tr>
      <w:tr w:rsidR="0016156C" w:rsidRPr="00BE5FAF" w:rsidTr="00CA3BCD">
        <w:tc>
          <w:tcPr>
            <w:tcW w:w="0" w:type="auto"/>
            <w:gridSpan w:val="7"/>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rPr>
                <w:rFonts w:ascii="Arial Narrow" w:hAnsi="Arial Narrow"/>
                <w:b/>
                <w:bCs/>
                <w:color w:val="000000"/>
                <w:sz w:val="20"/>
                <w:szCs w:val="20"/>
              </w:rPr>
            </w:pPr>
            <w:r w:rsidRPr="00BE5FAF">
              <w:rPr>
                <w:rFonts w:ascii="Arial Narrow" w:hAnsi="Arial Narrow"/>
                <w:b/>
                <w:bCs/>
                <w:color w:val="000000"/>
                <w:sz w:val="20"/>
                <w:szCs w:val="20"/>
              </w:rPr>
              <w:t>Eligible population</w:t>
            </w:r>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rPr>
                <w:rFonts w:ascii="Arial Narrow" w:hAnsi="Arial Narrow"/>
                <w:sz w:val="20"/>
                <w:szCs w:val="20"/>
              </w:rPr>
            </w:pPr>
            <w:r w:rsidRPr="00BE5FAF">
              <w:rPr>
                <w:rFonts w:ascii="Arial Narrow" w:hAnsi="Arial Narrow"/>
                <w:sz w:val="20"/>
                <w:szCs w:val="20"/>
              </w:rPr>
              <w:t>Australian population</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rPr>
                <w:rFonts w:ascii="Arial Narrow" w:hAnsi="Arial Narrow"/>
                <w:sz w:val="20"/>
                <w:szCs w:val="20"/>
              </w:rPr>
            </w:pPr>
            <w:r w:rsidRPr="00BE5FAF">
              <w:rPr>
                <w:rFonts w:ascii="Arial Narrow" w:hAnsi="Arial Narrow"/>
                <w:sz w:val="20"/>
                <w:szCs w:val="20"/>
              </w:rPr>
              <w:t>Prevalence rate</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517BCE" w:rsidP="00E9612D">
            <w:pPr>
              <w:keepNext/>
              <w:keepLines/>
              <w:widowControl/>
              <w:spacing w:line="252" w:lineRule="auto"/>
              <w:jc w:val="center"/>
              <w:rPr>
                <w:rFonts w:ascii="Arial Narrow" w:hAnsi="Arial Narrow"/>
                <w:color w:val="000000"/>
                <w:sz w:val="20"/>
                <w:szCs w:val="20"/>
              </w:rPr>
            </w:pPr>
            <w:r>
              <w:rPr>
                <w:rFonts w:ascii="Arial Narrow" w:hAnsi="Arial Narrow"/>
                <w:noProof/>
                <w:color w:val="000000"/>
                <w:sz w:val="20"/>
                <w:szCs w:val="20"/>
                <w:highlight w:val="black"/>
              </w:rPr>
              <w:t>''''''''''</w:t>
            </w:r>
            <w:r w:rsidR="0016156C" w:rsidRPr="00BE5FAF">
              <w:rPr>
                <w:rFonts w:ascii="Arial Narrow" w:hAnsi="Arial Narrow"/>
                <w:sz w:val="20"/>
                <w:szCs w:val="20"/>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517BCE" w:rsidP="00E9612D">
            <w:pPr>
              <w:keepNext/>
              <w:keepLines/>
              <w:widowControl/>
              <w:spacing w:line="252" w:lineRule="auto"/>
              <w:jc w:val="center"/>
              <w:rPr>
                <w:rFonts w:ascii="Arial Narrow" w:hAnsi="Arial Narrow"/>
                <w:color w:val="000000"/>
                <w:sz w:val="20"/>
                <w:szCs w:val="20"/>
              </w:rPr>
            </w:pPr>
            <w:r>
              <w:rPr>
                <w:rFonts w:ascii="Arial Narrow" w:hAnsi="Arial Narrow"/>
                <w:noProof/>
                <w:color w:val="000000"/>
                <w:sz w:val="20"/>
                <w:szCs w:val="20"/>
                <w:highlight w:val="black"/>
              </w:rPr>
              <w:t>''''''''''</w:t>
            </w:r>
            <w:r w:rsidR="0016156C" w:rsidRPr="00BE5FAF">
              <w:rPr>
                <w:rFonts w:ascii="Arial Narrow" w:hAnsi="Arial Narrow"/>
                <w:sz w:val="20"/>
                <w:szCs w:val="20"/>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517BCE" w:rsidP="00E9612D">
            <w:pPr>
              <w:keepNext/>
              <w:keepLines/>
              <w:widowControl/>
              <w:spacing w:line="252" w:lineRule="auto"/>
              <w:jc w:val="center"/>
              <w:rPr>
                <w:rFonts w:ascii="Arial Narrow" w:hAnsi="Arial Narrow"/>
                <w:color w:val="000000"/>
                <w:sz w:val="20"/>
                <w:szCs w:val="20"/>
              </w:rPr>
            </w:pPr>
            <w:r>
              <w:rPr>
                <w:rFonts w:ascii="Arial Narrow" w:hAnsi="Arial Narrow"/>
                <w:noProof/>
                <w:color w:val="000000"/>
                <w:sz w:val="20"/>
                <w:szCs w:val="20"/>
                <w:highlight w:val="black"/>
              </w:rPr>
              <w:t>'''''''''''</w:t>
            </w:r>
            <w:r w:rsidR="0016156C" w:rsidRPr="00BE5FAF">
              <w:rPr>
                <w:rFonts w:ascii="Arial Narrow" w:hAnsi="Arial Narrow"/>
                <w:sz w:val="20"/>
                <w:szCs w:val="20"/>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517BCE" w:rsidP="00E9612D">
            <w:pPr>
              <w:keepNext/>
              <w:keepLines/>
              <w:widowControl/>
              <w:spacing w:line="252" w:lineRule="auto"/>
              <w:jc w:val="center"/>
              <w:rPr>
                <w:rFonts w:ascii="Arial Narrow" w:hAnsi="Arial Narrow"/>
                <w:color w:val="000000"/>
                <w:sz w:val="20"/>
                <w:szCs w:val="20"/>
              </w:rPr>
            </w:pPr>
            <w:r>
              <w:rPr>
                <w:rFonts w:ascii="Arial Narrow" w:hAnsi="Arial Narrow"/>
                <w:noProof/>
                <w:color w:val="000000"/>
                <w:sz w:val="20"/>
                <w:szCs w:val="20"/>
                <w:highlight w:val="black"/>
              </w:rPr>
              <w:t>'''''''''''</w:t>
            </w:r>
            <w:r w:rsidR="0016156C" w:rsidRPr="00BE5FAF">
              <w:rPr>
                <w:rFonts w:ascii="Arial Narrow" w:hAnsi="Arial Narrow"/>
                <w:sz w:val="20"/>
                <w:szCs w:val="20"/>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517BCE" w:rsidP="00E9612D">
            <w:pPr>
              <w:keepNext/>
              <w:keepLines/>
              <w:widowControl/>
              <w:spacing w:line="252" w:lineRule="auto"/>
              <w:jc w:val="center"/>
              <w:rPr>
                <w:rFonts w:ascii="Arial Narrow" w:hAnsi="Arial Narrow"/>
                <w:color w:val="000000"/>
                <w:sz w:val="20"/>
                <w:szCs w:val="20"/>
              </w:rPr>
            </w:pPr>
            <w:r>
              <w:rPr>
                <w:rFonts w:ascii="Arial Narrow" w:hAnsi="Arial Narrow"/>
                <w:noProof/>
                <w:color w:val="000000"/>
                <w:sz w:val="20"/>
                <w:szCs w:val="20"/>
                <w:highlight w:val="black"/>
              </w:rPr>
              <w:t>''''''''''</w:t>
            </w:r>
            <w:r w:rsidR="0016156C" w:rsidRPr="00BE5FAF">
              <w:rPr>
                <w:rFonts w:ascii="Arial Narrow" w:hAnsi="Arial Narrow"/>
                <w:sz w:val="20"/>
                <w:szCs w:val="20"/>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517BCE" w:rsidP="00E9612D">
            <w:pPr>
              <w:keepNext/>
              <w:keepLines/>
              <w:widowControl/>
              <w:spacing w:line="252" w:lineRule="auto"/>
              <w:jc w:val="center"/>
              <w:rPr>
                <w:rFonts w:ascii="Arial Narrow" w:hAnsi="Arial Narrow"/>
                <w:color w:val="000000"/>
                <w:sz w:val="20"/>
                <w:szCs w:val="20"/>
              </w:rPr>
            </w:pPr>
            <w:r>
              <w:rPr>
                <w:rFonts w:ascii="Arial Narrow" w:hAnsi="Arial Narrow"/>
                <w:noProof/>
                <w:color w:val="000000"/>
                <w:sz w:val="20"/>
                <w:szCs w:val="20"/>
                <w:highlight w:val="black"/>
              </w:rPr>
              <w:t>'''''''''''</w:t>
            </w:r>
            <w:r w:rsidR="0016156C" w:rsidRPr="00BE5FAF">
              <w:rPr>
                <w:rFonts w:ascii="Arial Narrow" w:hAnsi="Arial Narrow"/>
                <w:sz w:val="20"/>
                <w:szCs w:val="20"/>
              </w:rPr>
              <w:t>%</w:t>
            </w:r>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rPr>
                <w:rFonts w:ascii="Arial Narrow" w:hAnsi="Arial Narrow"/>
                <w:sz w:val="20"/>
                <w:szCs w:val="20"/>
              </w:rPr>
            </w:pPr>
            <w:r w:rsidRPr="00BE5FAF">
              <w:rPr>
                <w:rFonts w:ascii="Arial Narrow" w:hAnsi="Arial Narrow"/>
                <w:sz w:val="20"/>
                <w:szCs w:val="20"/>
              </w:rPr>
              <w:t xml:space="preserve">Total prevalent patients </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rPr>
                <w:rFonts w:ascii="Arial Narrow" w:hAnsi="Arial Narrow"/>
                <w:sz w:val="20"/>
                <w:szCs w:val="20"/>
                <w:vertAlign w:val="superscript"/>
              </w:rPr>
            </w:pPr>
            <w:r w:rsidRPr="00BE5FAF">
              <w:rPr>
                <w:rFonts w:ascii="Arial Narrow" w:hAnsi="Arial Narrow"/>
                <w:sz w:val="20"/>
                <w:szCs w:val="20"/>
              </w:rPr>
              <w:t>Total CAD only (</w:t>
            </w:r>
            <w:proofErr w:type="gramStart"/>
            <w:r w:rsidR="00517BCE">
              <w:rPr>
                <w:rFonts w:ascii="Arial Narrow" w:hAnsi="Arial Narrow"/>
                <w:noProof/>
                <w:color w:val="000000"/>
                <w:sz w:val="20"/>
                <w:szCs w:val="20"/>
                <w:highlight w:val="black"/>
              </w:rPr>
              <w:t>''''''</w:t>
            </w:r>
            <w:r w:rsidRPr="00BE5FAF">
              <w:rPr>
                <w:rFonts w:ascii="Arial Narrow" w:hAnsi="Arial Narrow"/>
                <w:sz w:val="20"/>
                <w:szCs w:val="20"/>
              </w:rPr>
              <w:t>%</w:t>
            </w:r>
            <w:proofErr w:type="gramEnd"/>
            <w:r w:rsidRPr="00BE5FAF">
              <w:rPr>
                <w:rFonts w:ascii="Arial Narrow" w:hAnsi="Arial Narrow"/>
                <w:sz w:val="20"/>
                <w:szCs w:val="20"/>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rPr>
                <w:rFonts w:ascii="Arial Narrow" w:hAnsi="Arial Narrow"/>
                <w:sz w:val="20"/>
                <w:szCs w:val="20"/>
              </w:rPr>
            </w:pPr>
            <w:r w:rsidRPr="00BE5FAF">
              <w:rPr>
                <w:rFonts w:ascii="Arial Narrow" w:hAnsi="Arial Narrow"/>
                <w:sz w:val="20"/>
                <w:szCs w:val="20"/>
              </w:rPr>
              <w:t>Total PAD only (</w:t>
            </w:r>
            <w:r w:rsidR="00517BCE">
              <w:rPr>
                <w:rFonts w:ascii="Arial Narrow" w:hAnsi="Arial Narrow"/>
                <w:noProof/>
                <w:color w:val="000000"/>
                <w:sz w:val="20"/>
                <w:szCs w:val="20"/>
                <w:highlight w:val="black"/>
              </w:rPr>
              <w:t>'''''''</w:t>
            </w:r>
            <w:r w:rsidRPr="00BE5FAF">
              <w:rPr>
                <w:rFonts w:ascii="Arial Narrow" w:hAnsi="Arial Narrow"/>
                <w:sz w:val="20"/>
                <w:szCs w:val="20"/>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rPr>
                <w:rFonts w:ascii="Arial Narrow" w:hAnsi="Arial Narrow"/>
                <w:sz w:val="20"/>
                <w:szCs w:val="20"/>
              </w:rPr>
            </w:pPr>
            <w:r w:rsidRPr="00BE5FAF">
              <w:rPr>
                <w:rFonts w:ascii="Arial Narrow" w:hAnsi="Arial Narrow"/>
                <w:sz w:val="20"/>
                <w:szCs w:val="20"/>
              </w:rPr>
              <w:t>Total CAD and PAD (</w:t>
            </w:r>
            <w:r w:rsidR="00517BCE">
              <w:rPr>
                <w:rFonts w:ascii="Arial Narrow" w:hAnsi="Arial Narrow"/>
                <w:noProof/>
                <w:color w:val="000000"/>
                <w:sz w:val="20"/>
                <w:szCs w:val="20"/>
                <w:highlight w:val="black"/>
              </w:rPr>
              <w:t>'''''</w:t>
            </w:r>
            <w:r w:rsidRPr="00BE5FAF">
              <w:rPr>
                <w:rFonts w:ascii="Arial Narrow" w:hAnsi="Arial Narrow"/>
                <w:sz w:val="20"/>
                <w:szCs w:val="20"/>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rPr>
                <w:rFonts w:ascii="Arial Narrow" w:hAnsi="Arial Narrow"/>
                <w:sz w:val="20"/>
                <w:szCs w:val="20"/>
                <w:vertAlign w:val="superscript"/>
              </w:rPr>
            </w:pPr>
            <w:r w:rsidRPr="00BE5FAF">
              <w:rPr>
                <w:rFonts w:ascii="Arial Narrow" w:hAnsi="Arial Narrow"/>
                <w:sz w:val="20"/>
                <w:szCs w:val="20"/>
              </w:rPr>
              <w:t xml:space="preserve">Total treated </w:t>
            </w:r>
            <w:proofErr w:type="spellStart"/>
            <w:r w:rsidRPr="00BE5FAF">
              <w:rPr>
                <w:rFonts w:ascii="Arial Narrow" w:hAnsi="Arial Narrow"/>
                <w:sz w:val="20"/>
                <w:szCs w:val="20"/>
              </w:rPr>
              <w:t>patients</w:t>
            </w:r>
            <w:r w:rsidRPr="00BE5FAF">
              <w:rPr>
                <w:rFonts w:ascii="Arial Narrow" w:hAnsi="Arial Narrow"/>
                <w:sz w:val="20"/>
                <w:szCs w:val="20"/>
                <w:vertAlign w:val="superscript"/>
              </w:rPr>
              <w:t>a,b</w:t>
            </w:r>
            <w:proofErr w:type="spellEnd"/>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vertAlign w:val="superscript"/>
              </w:rPr>
            </w:pPr>
            <w:r>
              <w:rPr>
                <w:rFonts w:ascii="Arial Narrow" w:hAnsi="Arial Narrow"/>
                <w:noProof/>
                <w:color w:val="000000"/>
                <w:sz w:val="20"/>
                <w:szCs w:val="20"/>
                <w:highlight w:val="black"/>
              </w:rPr>
              <w:t xml:space="preserve">'''''''''''''''' </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156C" w:rsidRPr="00517BCE" w:rsidRDefault="00517BCE" w:rsidP="00E9612D">
            <w:pPr>
              <w:keepNext/>
              <w:keepLines/>
              <w:widowControl/>
              <w:spacing w:line="252" w:lineRule="auto"/>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rPr>
                <w:rFonts w:ascii="Arial Narrow" w:hAnsi="Arial Narrow"/>
                <w:sz w:val="20"/>
                <w:szCs w:val="20"/>
              </w:rPr>
            </w:pPr>
            <w:r w:rsidRPr="00BE5FAF">
              <w:rPr>
                <w:rFonts w:ascii="Arial Narrow" w:hAnsi="Arial Narrow"/>
                <w:sz w:val="20"/>
                <w:szCs w:val="20"/>
              </w:rPr>
              <w:t>Total scripts (</w:t>
            </w:r>
            <w:r w:rsidR="00517BCE">
              <w:rPr>
                <w:rFonts w:ascii="Arial Narrow" w:hAnsi="Arial Narrow"/>
                <w:noProof/>
                <w:color w:val="000000"/>
                <w:sz w:val="20"/>
                <w:szCs w:val="20"/>
                <w:highlight w:val="black"/>
              </w:rPr>
              <w:t>''''''''''''''</w:t>
            </w:r>
            <w:r w:rsidRPr="00BE5FAF">
              <w:rPr>
                <w:rFonts w:ascii="Arial Narrow" w:hAnsi="Arial Narrow"/>
                <w:sz w:val="20"/>
                <w:szCs w:val="20"/>
              </w:rPr>
              <w:t xml:space="preserve">year based on compliance of </w:t>
            </w:r>
            <w:r w:rsidR="00517BCE">
              <w:rPr>
                <w:rFonts w:ascii="Arial Narrow" w:hAnsi="Arial Narrow"/>
                <w:noProof/>
                <w:color w:val="000000"/>
                <w:sz w:val="20"/>
                <w:szCs w:val="20"/>
                <w:highlight w:val="black"/>
              </w:rPr>
              <w:t>'''''''</w:t>
            </w:r>
            <w:r w:rsidRPr="00BE5FAF">
              <w:rPr>
                <w:rFonts w:ascii="Arial Narrow" w:hAnsi="Arial Narrow"/>
                <w:sz w:val="20"/>
                <w:szCs w:val="20"/>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517BCE" w:rsidRDefault="00517BCE" w:rsidP="00E9612D">
            <w:pPr>
              <w:keepNext/>
              <w:keepLines/>
              <w:widowControl/>
              <w:spacing w:line="252" w:lineRule="auto"/>
              <w:jc w:val="center"/>
              <w:rPr>
                <w:rStyle w:val="CommentReference"/>
                <w:szCs w:val="20"/>
                <w:highlight w:val="black"/>
              </w:rPr>
            </w:pPr>
            <w:r>
              <w:rPr>
                <w:rFonts w:ascii="Arial Narrow" w:hAnsi="Arial Narrow"/>
                <w:noProof/>
                <w:color w:val="000000"/>
                <w:sz w:val="20"/>
                <w:szCs w:val="20"/>
                <w:highlight w:val="black"/>
              </w:rPr>
              <w:t>'''''''''''''''''''''''''</w:t>
            </w:r>
          </w:p>
        </w:tc>
      </w:tr>
      <w:tr w:rsidR="0016156C" w:rsidRPr="00BE5FAF" w:rsidTr="00CA3BCD">
        <w:tc>
          <w:tcPr>
            <w:tcW w:w="0" w:type="auto"/>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rPr>
                <w:b/>
                <w:bCs/>
                <w:color w:val="000000"/>
              </w:rPr>
            </w:pPr>
            <w:r w:rsidRPr="00BE5FAF">
              <w:rPr>
                <w:rFonts w:ascii="Arial Narrow" w:hAnsi="Arial Narrow"/>
                <w:b/>
                <w:bCs/>
                <w:color w:val="000000"/>
                <w:sz w:val="20"/>
                <w:szCs w:val="20"/>
              </w:rPr>
              <w:t xml:space="preserve">Estimated total cost of </w:t>
            </w:r>
            <w:proofErr w:type="spellStart"/>
            <w:r w:rsidRPr="00BE5FAF">
              <w:rPr>
                <w:rFonts w:ascii="Arial Narrow" w:hAnsi="Arial Narrow"/>
                <w:b/>
                <w:bCs/>
                <w:color w:val="000000"/>
                <w:sz w:val="20"/>
                <w:szCs w:val="20"/>
              </w:rPr>
              <w:t>rivaroxaban</w:t>
            </w:r>
            <w:proofErr w:type="spellEnd"/>
            <w:r w:rsidRPr="00BE5FAF">
              <w:rPr>
                <w:rFonts w:ascii="Arial Narrow" w:hAnsi="Arial Narrow"/>
                <w:b/>
                <w:bCs/>
                <w:color w:val="000000"/>
                <w:sz w:val="20"/>
                <w:szCs w:val="20"/>
              </w:rPr>
              <w:t xml:space="preserve"> (DPMQ $</w:t>
            </w:r>
            <w:r w:rsidR="00517BCE">
              <w:rPr>
                <w:rFonts w:ascii="Arial Narrow" w:hAnsi="Arial Narrow"/>
                <w:b/>
                <w:bCs/>
                <w:noProof/>
                <w:color w:val="000000"/>
                <w:sz w:val="20"/>
                <w:szCs w:val="20"/>
                <w:highlight w:val="black"/>
              </w:rPr>
              <w:t>''''''''''''</w:t>
            </w:r>
            <w:r w:rsidRPr="00BE5FAF">
              <w:rPr>
                <w:rFonts w:ascii="Arial Narrow" w:hAnsi="Arial Narrow"/>
                <w:b/>
                <w:bCs/>
                <w:color w:val="000000"/>
                <w:sz w:val="20"/>
                <w:szCs w:val="20"/>
              </w:rPr>
              <w:t>)</w:t>
            </w:r>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rPr>
                <w:rFonts w:ascii="Arial Narrow" w:hAnsi="Arial Narrow"/>
                <w:sz w:val="20"/>
                <w:szCs w:val="20"/>
              </w:rPr>
            </w:pPr>
            <w:r w:rsidRPr="00BE5FAF">
              <w:rPr>
                <w:rFonts w:ascii="Arial Narrow" w:hAnsi="Arial Narrow"/>
                <w:sz w:val="20"/>
                <w:szCs w:val="20"/>
              </w:rPr>
              <w:t>Total cost to PBS</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rPr>
                <w:rFonts w:ascii="Arial Narrow" w:hAnsi="Arial Narrow"/>
                <w:sz w:val="20"/>
                <w:szCs w:val="20"/>
              </w:rPr>
            </w:pPr>
            <w:r w:rsidRPr="00BE5FAF">
              <w:rPr>
                <w:rFonts w:ascii="Arial Narrow" w:hAnsi="Arial Narrow"/>
                <w:sz w:val="20"/>
                <w:szCs w:val="20"/>
              </w:rPr>
              <w:t xml:space="preserve">Total </w:t>
            </w:r>
            <w:proofErr w:type="spellStart"/>
            <w:r w:rsidRPr="00BE5FAF">
              <w:rPr>
                <w:rFonts w:ascii="Arial Narrow" w:hAnsi="Arial Narrow"/>
                <w:sz w:val="20"/>
                <w:szCs w:val="20"/>
              </w:rPr>
              <w:t>copayments</w:t>
            </w:r>
            <w:proofErr w:type="spellEnd"/>
            <w:r w:rsidRPr="00BE5FAF">
              <w:rPr>
                <w:rFonts w:ascii="Arial Narrow" w:hAnsi="Arial Narrow"/>
                <w:sz w:val="20"/>
                <w:szCs w:val="20"/>
              </w:rPr>
              <w:t xml:space="preserve"> ($4.95 per script)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rPr>
                <w:rFonts w:ascii="Arial Narrow" w:hAnsi="Arial Narrow"/>
                <w:sz w:val="20"/>
                <w:szCs w:val="20"/>
                <w:vertAlign w:val="superscript"/>
              </w:rPr>
            </w:pPr>
            <w:r w:rsidRPr="00BE5FAF">
              <w:rPr>
                <w:rFonts w:ascii="Arial Narrow" w:hAnsi="Arial Narrow"/>
                <w:sz w:val="20"/>
                <w:szCs w:val="20"/>
              </w:rPr>
              <w:t xml:space="preserve">Total cost to PBS less </w:t>
            </w:r>
            <w:proofErr w:type="spellStart"/>
            <w:r w:rsidRPr="00BE5FAF">
              <w:rPr>
                <w:rFonts w:ascii="Arial Narrow" w:hAnsi="Arial Narrow"/>
                <w:sz w:val="20"/>
                <w:szCs w:val="20"/>
              </w:rPr>
              <w:t>copayments</w:t>
            </w:r>
            <w:proofErr w:type="spellEnd"/>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i/>
                <w:iCs/>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i/>
                <w:iCs/>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i/>
                <w:iCs/>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i/>
                <w:iCs/>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i/>
                <w:iCs/>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jc w:val="center"/>
              <w:rPr>
                <w:rFonts w:ascii="Arial Narrow" w:hAnsi="Arial Narrow"/>
                <w:i/>
                <w:iCs/>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r>
      <w:tr w:rsidR="0016156C" w:rsidRPr="00BE5FAF" w:rsidTr="00CA3BCD">
        <w:tc>
          <w:tcPr>
            <w:tcW w:w="0" w:type="auto"/>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rPr>
                <w:rFonts w:ascii="Arial Narrow" w:hAnsi="Arial Narrow"/>
                <w:b/>
                <w:bCs/>
                <w:color w:val="000000"/>
                <w:sz w:val="20"/>
                <w:szCs w:val="20"/>
                <w:vertAlign w:val="superscript"/>
              </w:rPr>
            </w:pPr>
            <w:r w:rsidRPr="00BE5FAF">
              <w:rPr>
                <w:rFonts w:ascii="Arial Narrow" w:hAnsi="Arial Narrow"/>
                <w:b/>
                <w:bCs/>
                <w:color w:val="000000"/>
                <w:sz w:val="20"/>
                <w:szCs w:val="20"/>
              </w:rPr>
              <w:t xml:space="preserve">Estimated total cost of </w:t>
            </w:r>
            <w:proofErr w:type="spellStart"/>
            <w:r w:rsidRPr="00BE5FAF">
              <w:rPr>
                <w:rFonts w:ascii="Arial Narrow" w:hAnsi="Arial Narrow"/>
                <w:b/>
                <w:bCs/>
                <w:color w:val="000000"/>
                <w:sz w:val="20"/>
                <w:szCs w:val="20"/>
              </w:rPr>
              <w:t>rivaroxaban</w:t>
            </w:r>
            <w:proofErr w:type="spellEnd"/>
            <w:r w:rsidRPr="00BE5FAF">
              <w:rPr>
                <w:rFonts w:ascii="Arial Narrow" w:hAnsi="Arial Narrow"/>
                <w:b/>
                <w:bCs/>
                <w:color w:val="000000"/>
                <w:sz w:val="20"/>
                <w:szCs w:val="20"/>
              </w:rPr>
              <w:t xml:space="preserve"> inclusive of </w:t>
            </w:r>
            <w:r w:rsidR="00517BCE">
              <w:rPr>
                <w:rFonts w:ascii="Arial Narrow" w:hAnsi="Arial Narrow"/>
                <w:b/>
                <w:bCs/>
                <w:noProof/>
                <w:color w:val="000000"/>
                <w:sz w:val="20"/>
                <w:szCs w:val="20"/>
                <w:highlight w:val="black"/>
              </w:rPr>
              <w:t>'''''''''</w:t>
            </w:r>
            <w:r w:rsidRPr="00BE5FAF">
              <w:rPr>
                <w:rFonts w:ascii="Arial Narrow" w:hAnsi="Arial Narrow"/>
                <w:b/>
                <w:bCs/>
                <w:color w:val="000000"/>
                <w:sz w:val="20"/>
                <w:szCs w:val="20"/>
              </w:rPr>
              <w:t xml:space="preserve">% </w:t>
            </w:r>
            <w:proofErr w:type="spellStart"/>
            <w:r w:rsidRPr="00BE5FAF">
              <w:rPr>
                <w:rFonts w:ascii="Arial Narrow" w:hAnsi="Arial Narrow"/>
                <w:b/>
                <w:bCs/>
                <w:color w:val="000000"/>
                <w:sz w:val="20"/>
                <w:szCs w:val="20"/>
              </w:rPr>
              <w:t>rebate</w:t>
            </w:r>
            <w:r w:rsidRPr="00BE5FAF">
              <w:rPr>
                <w:rFonts w:ascii="Arial Narrow" w:hAnsi="Arial Narrow"/>
                <w:b/>
                <w:bCs/>
                <w:color w:val="000000"/>
                <w:sz w:val="20"/>
                <w:szCs w:val="20"/>
                <w:vertAlign w:val="superscript"/>
              </w:rPr>
              <w:t>c</w:t>
            </w:r>
            <w:proofErr w:type="spellEnd"/>
          </w:p>
        </w:tc>
      </w:tr>
      <w:tr w:rsidR="0016156C" w:rsidRPr="00BE5FAF" w:rsidTr="00CA3BCD">
        <w:tc>
          <w:tcPr>
            <w:tcW w:w="21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156C" w:rsidRPr="00BE5FAF" w:rsidRDefault="0016156C" w:rsidP="00E9612D">
            <w:pPr>
              <w:keepNext/>
              <w:keepLines/>
              <w:widowControl/>
              <w:spacing w:line="252" w:lineRule="auto"/>
              <w:rPr>
                <w:rFonts w:ascii="Arial Narrow" w:hAnsi="Arial Narrow"/>
                <w:sz w:val="20"/>
                <w:szCs w:val="20"/>
              </w:rPr>
            </w:pPr>
            <w:r w:rsidRPr="00BE5FAF">
              <w:rPr>
                <w:rFonts w:ascii="Arial Narrow" w:hAnsi="Arial Narrow"/>
                <w:sz w:val="20"/>
                <w:szCs w:val="20"/>
              </w:rPr>
              <w:t>Total cost to PBS</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11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6156C" w:rsidRPr="00BE5FAF" w:rsidRDefault="0016156C" w:rsidP="00E9612D">
            <w:pPr>
              <w:keepNext/>
              <w:keepLines/>
              <w:widowControl/>
              <w:spacing w:line="252" w:lineRule="auto"/>
              <w:jc w:val="center"/>
              <w:rPr>
                <w:rFonts w:ascii="Arial Narrow" w:hAnsi="Arial Narrow"/>
                <w:color w:val="000000"/>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r>
    </w:tbl>
    <w:p w:rsidR="0016156C" w:rsidRPr="00BE5FAF" w:rsidRDefault="0016156C" w:rsidP="00E9612D">
      <w:pPr>
        <w:keepNext/>
        <w:keepLines/>
        <w:widowControl/>
        <w:rPr>
          <w:rFonts w:ascii="Arial Narrow" w:hAnsi="Arial Narrow" w:cs="Calibri"/>
          <w:sz w:val="18"/>
          <w:szCs w:val="18"/>
        </w:rPr>
      </w:pPr>
      <w:r w:rsidRPr="00BE5FAF">
        <w:rPr>
          <w:rFonts w:ascii="Arial Narrow" w:hAnsi="Arial Narrow"/>
          <w:sz w:val="18"/>
          <w:szCs w:val="18"/>
        </w:rPr>
        <w:t xml:space="preserve">Source: Table 4.1-5, p.280; Table 4.1-6, p.280; Table 4.1-7, p.281; Table 4.2-1, p.283 of the submission; </w:t>
      </w:r>
      <w:proofErr w:type="spellStart"/>
      <w:r w:rsidRPr="00BE5FAF">
        <w:rPr>
          <w:rFonts w:ascii="Arial Narrow" w:hAnsi="Arial Narrow"/>
          <w:sz w:val="18"/>
          <w:szCs w:val="18"/>
        </w:rPr>
        <w:t>Xarelto</w:t>
      </w:r>
      <w:proofErr w:type="spellEnd"/>
      <w:r w:rsidRPr="00BE5FAF">
        <w:rPr>
          <w:rFonts w:ascii="Arial Narrow" w:hAnsi="Arial Narrow"/>
          <w:sz w:val="18"/>
          <w:szCs w:val="18"/>
        </w:rPr>
        <w:t xml:space="preserve"> (</w:t>
      </w:r>
      <w:proofErr w:type="spellStart"/>
      <w:r w:rsidRPr="00BE5FAF">
        <w:rPr>
          <w:rFonts w:ascii="Arial Narrow" w:hAnsi="Arial Narrow"/>
          <w:sz w:val="18"/>
          <w:szCs w:val="18"/>
        </w:rPr>
        <w:t>rivaroxaban</w:t>
      </w:r>
      <w:proofErr w:type="spellEnd"/>
      <w:r w:rsidRPr="00BE5FAF">
        <w:rPr>
          <w:rFonts w:ascii="Arial Narrow" w:hAnsi="Arial Narrow"/>
          <w:sz w:val="18"/>
          <w:szCs w:val="18"/>
        </w:rPr>
        <w:t>) CAD PAD Predicted Use Excel spreadsheet.</w:t>
      </w:r>
    </w:p>
    <w:p w:rsidR="0016156C" w:rsidRPr="00BE5FAF" w:rsidRDefault="0016156C" w:rsidP="00E9612D">
      <w:pPr>
        <w:keepNext/>
        <w:keepLines/>
        <w:widowControl/>
        <w:rPr>
          <w:rFonts w:ascii="Arial Narrow" w:hAnsi="Arial Narrow"/>
          <w:sz w:val="18"/>
          <w:szCs w:val="18"/>
        </w:rPr>
      </w:pPr>
      <w:r w:rsidRPr="00BE5FAF">
        <w:rPr>
          <w:rFonts w:ascii="Arial Narrow" w:hAnsi="Arial Narrow"/>
          <w:sz w:val="18"/>
          <w:szCs w:val="18"/>
        </w:rPr>
        <w:t>Abbreviations: CAD, coronary artery disease; DPMQ, dispensed price for maximum quantity.</w:t>
      </w:r>
    </w:p>
    <w:p w:rsidR="0016156C" w:rsidRPr="00BE5FAF" w:rsidRDefault="0016156C" w:rsidP="00E9612D">
      <w:pPr>
        <w:keepNext/>
        <w:keepLines/>
        <w:widowControl/>
        <w:rPr>
          <w:rFonts w:ascii="Arial Narrow" w:hAnsi="Arial Narrow"/>
          <w:sz w:val="18"/>
          <w:szCs w:val="18"/>
        </w:rPr>
      </w:pPr>
      <w:proofErr w:type="gramStart"/>
      <w:r w:rsidRPr="00BE5FAF">
        <w:rPr>
          <w:rFonts w:ascii="Arial Narrow" w:hAnsi="Arial Narrow"/>
          <w:sz w:val="18"/>
          <w:szCs w:val="18"/>
          <w:vertAlign w:val="superscript"/>
        </w:rPr>
        <w:t>a</w:t>
      </w:r>
      <w:proofErr w:type="gramEnd"/>
      <w:r w:rsidRPr="00BE5FAF">
        <w:rPr>
          <w:rFonts w:ascii="Arial Narrow" w:hAnsi="Arial Narrow"/>
          <w:sz w:val="18"/>
          <w:szCs w:val="18"/>
        </w:rPr>
        <w:t xml:space="preserve"> Based on an uptake rate of </w:t>
      </w:r>
      <w:r w:rsidR="00517BCE">
        <w:rPr>
          <w:rFonts w:ascii="Arial Narrow" w:hAnsi="Arial Narrow"/>
          <w:noProof/>
          <w:color w:val="000000"/>
          <w:sz w:val="18"/>
          <w:szCs w:val="18"/>
          <w:highlight w:val="black"/>
        </w:rPr>
        <w:t>''''''</w:t>
      </w:r>
      <w:r w:rsidRPr="006A47DD">
        <w:rPr>
          <w:rFonts w:ascii="Arial Narrow" w:hAnsi="Arial Narrow"/>
          <w:sz w:val="18"/>
          <w:szCs w:val="18"/>
        </w:rPr>
        <w:t>%</w:t>
      </w:r>
      <w:r w:rsidRPr="00BE5FAF">
        <w:rPr>
          <w:rFonts w:ascii="Arial Narrow" w:hAnsi="Arial Narrow"/>
          <w:sz w:val="18"/>
          <w:szCs w:val="18"/>
        </w:rPr>
        <w:t xml:space="preserve"> in Year 1 </w:t>
      </w:r>
      <w:r w:rsidRPr="006A47DD">
        <w:rPr>
          <w:rFonts w:ascii="Arial Narrow" w:hAnsi="Arial Narrow"/>
          <w:sz w:val="18"/>
          <w:szCs w:val="18"/>
        </w:rPr>
        <w:t xml:space="preserve">to </w:t>
      </w:r>
      <w:r w:rsidR="00517BCE">
        <w:rPr>
          <w:rFonts w:ascii="Arial Narrow" w:hAnsi="Arial Narrow"/>
          <w:noProof/>
          <w:color w:val="000000"/>
          <w:sz w:val="18"/>
          <w:szCs w:val="18"/>
          <w:highlight w:val="black"/>
        </w:rPr>
        <w:t>'''''''</w:t>
      </w:r>
      <w:r w:rsidRPr="006A47DD">
        <w:rPr>
          <w:rFonts w:ascii="Arial Narrow" w:hAnsi="Arial Narrow"/>
          <w:sz w:val="18"/>
          <w:szCs w:val="18"/>
        </w:rPr>
        <w:t xml:space="preserve">% in Year 6 for CAD only and PAD only patients and an uptake rate of </w:t>
      </w:r>
      <w:r w:rsidR="00517BCE">
        <w:rPr>
          <w:rFonts w:ascii="Arial Narrow" w:hAnsi="Arial Narrow"/>
          <w:noProof/>
          <w:color w:val="000000"/>
          <w:sz w:val="18"/>
          <w:szCs w:val="18"/>
          <w:highlight w:val="black"/>
        </w:rPr>
        <w:t>'''''''</w:t>
      </w:r>
      <w:r w:rsidRPr="006A47DD">
        <w:rPr>
          <w:rFonts w:ascii="Arial Narrow" w:hAnsi="Arial Narrow"/>
          <w:sz w:val="18"/>
          <w:szCs w:val="18"/>
        </w:rPr>
        <w:t>% in</w:t>
      </w:r>
      <w:r w:rsidRPr="00BE5FAF">
        <w:rPr>
          <w:rFonts w:ascii="Arial Narrow" w:hAnsi="Arial Narrow"/>
          <w:sz w:val="18"/>
          <w:szCs w:val="18"/>
        </w:rPr>
        <w:t xml:space="preserve"> Year 1 to </w:t>
      </w:r>
      <w:r w:rsidR="00517BCE">
        <w:rPr>
          <w:rFonts w:ascii="Arial Narrow" w:hAnsi="Arial Narrow"/>
          <w:noProof/>
          <w:color w:val="000000"/>
          <w:sz w:val="18"/>
          <w:szCs w:val="18"/>
          <w:highlight w:val="black"/>
        </w:rPr>
        <w:t>''''''</w:t>
      </w:r>
      <w:r w:rsidRPr="006A47DD">
        <w:rPr>
          <w:rFonts w:ascii="Arial Narrow" w:hAnsi="Arial Narrow"/>
          <w:sz w:val="18"/>
          <w:szCs w:val="18"/>
        </w:rPr>
        <w:t>% in</w:t>
      </w:r>
      <w:r w:rsidRPr="00BE5FAF">
        <w:rPr>
          <w:rFonts w:ascii="Arial Narrow" w:hAnsi="Arial Narrow"/>
          <w:sz w:val="18"/>
          <w:szCs w:val="18"/>
        </w:rPr>
        <w:t xml:space="preserve"> Year 6 for CAD and PAD patients </w:t>
      </w:r>
    </w:p>
    <w:p w:rsidR="0016156C" w:rsidRPr="00BE5FAF" w:rsidRDefault="0016156C" w:rsidP="00E9612D">
      <w:pPr>
        <w:keepNext/>
        <w:keepLines/>
        <w:widowControl/>
        <w:rPr>
          <w:rFonts w:ascii="Arial Narrow" w:hAnsi="Arial Narrow"/>
          <w:sz w:val="18"/>
          <w:szCs w:val="18"/>
        </w:rPr>
      </w:pPr>
      <w:proofErr w:type="gramStart"/>
      <w:r w:rsidRPr="00BE5FAF">
        <w:rPr>
          <w:rFonts w:ascii="Arial Narrow" w:hAnsi="Arial Narrow"/>
          <w:sz w:val="18"/>
          <w:szCs w:val="18"/>
          <w:vertAlign w:val="superscript"/>
        </w:rPr>
        <w:t>b</w:t>
      </w:r>
      <w:proofErr w:type="gramEnd"/>
      <w:r w:rsidRPr="00BE5FAF">
        <w:rPr>
          <w:rFonts w:ascii="Arial Narrow" w:hAnsi="Arial Narrow"/>
          <w:sz w:val="18"/>
          <w:szCs w:val="18"/>
        </w:rPr>
        <w:t xml:space="preserve"> Includes additional 10,000 grandfathered patients (Year 1 only).</w:t>
      </w:r>
    </w:p>
    <w:p w:rsidR="0016156C" w:rsidRPr="00BE5FAF" w:rsidRDefault="0016156C" w:rsidP="00E9612D">
      <w:pPr>
        <w:keepNext/>
        <w:keepLines/>
        <w:widowControl/>
        <w:rPr>
          <w:rFonts w:ascii="Arial Narrow" w:hAnsi="Arial Narrow"/>
          <w:sz w:val="18"/>
          <w:szCs w:val="18"/>
        </w:rPr>
      </w:pPr>
      <w:proofErr w:type="gramStart"/>
      <w:r w:rsidRPr="00BE5FAF">
        <w:rPr>
          <w:rFonts w:ascii="Arial Narrow" w:hAnsi="Arial Narrow"/>
          <w:sz w:val="18"/>
          <w:szCs w:val="18"/>
          <w:vertAlign w:val="superscript"/>
        </w:rPr>
        <w:t>c</w:t>
      </w:r>
      <w:proofErr w:type="gramEnd"/>
      <w:r w:rsidRPr="00BE5FAF">
        <w:rPr>
          <w:rFonts w:ascii="Arial Narrow" w:hAnsi="Arial Narrow"/>
          <w:sz w:val="18"/>
          <w:szCs w:val="18"/>
        </w:rPr>
        <w:t xml:space="preserve"> Based on proposed RSA with </w:t>
      </w:r>
      <w:r w:rsidR="00517BCE">
        <w:rPr>
          <w:rFonts w:ascii="Arial Narrow" w:hAnsi="Arial Narrow"/>
          <w:noProof/>
          <w:color w:val="000000"/>
          <w:sz w:val="18"/>
          <w:szCs w:val="18"/>
          <w:highlight w:val="black"/>
        </w:rPr>
        <w:t>'''''''''''</w:t>
      </w:r>
      <w:r w:rsidRPr="00BE5FAF">
        <w:rPr>
          <w:rFonts w:ascii="Arial Narrow" w:hAnsi="Arial Narrow"/>
          <w:sz w:val="18"/>
          <w:szCs w:val="18"/>
        </w:rPr>
        <w:t>% rebate applied to patients with CAD only and PAD only.</w:t>
      </w:r>
    </w:p>
    <w:p w:rsidR="0016156C" w:rsidRPr="00BE5FAF" w:rsidRDefault="0016156C" w:rsidP="003008B5">
      <w:pPr>
        <w:pStyle w:val="ListParagraph"/>
        <w:widowControl/>
        <w:numPr>
          <w:ilvl w:val="1"/>
          <w:numId w:val="2"/>
        </w:numPr>
        <w:spacing w:before="120" w:after="120"/>
      </w:pPr>
      <w:proofErr w:type="gramStart"/>
      <w:r w:rsidRPr="00BE5FAF">
        <w:t>Based on the proposed DPMQ of $</w:t>
      </w:r>
      <w:r w:rsidR="00517BCE">
        <w:rPr>
          <w:noProof/>
          <w:color w:val="000000"/>
          <w:highlight w:val="black"/>
        </w:rPr>
        <w:t>'''''''''''</w:t>
      </w:r>
      <w:r w:rsidRPr="00BE5FAF">
        <w:t xml:space="preserve">, the total cost </w:t>
      </w:r>
      <w:r w:rsidR="007D01A1" w:rsidRPr="00BE5FAF">
        <w:t xml:space="preserve">to the PBS/RPBS </w:t>
      </w:r>
      <w:r w:rsidRPr="00BE5FAF">
        <w:t xml:space="preserve">of listing </w:t>
      </w:r>
      <w:proofErr w:type="spellStart"/>
      <w:r w:rsidRPr="00BE5FAF">
        <w:t>rivaroxaban</w:t>
      </w:r>
      <w:proofErr w:type="spellEnd"/>
      <w:r w:rsidRPr="00BE5FAF">
        <w:t xml:space="preserve"> (less patient </w:t>
      </w:r>
      <w:proofErr w:type="spellStart"/>
      <w:r w:rsidRPr="00BE5FAF">
        <w:t>copayments</w:t>
      </w:r>
      <w:proofErr w:type="spellEnd"/>
      <w:r w:rsidRPr="00BE5FAF">
        <w:t>) for patients with CAD and/or PAD was estimated to be $</w:t>
      </w:r>
      <w:r w:rsidR="004E0C25">
        <w:t>30 to $60</w:t>
      </w:r>
      <w:r w:rsidRPr="00BE5FAF">
        <w:t xml:space="preserve"> million in Year 1 of listing, increasing to</w:t>
      </w:r>
      <w:r w:rsidR="004E0C25">
        <w:t xml:space="preserve"> more than</w:t>
      </w:r>
      <w:r w:rsidRPr="00BE5FAF">
        <w:t xml:space="preserve"> $</w:t>
      </w:r>
      <w:r w:rsidR="004E0C25">
        <w:t>100</w:t>
      </w:r>
      <w:r w:rsidRPr="00BE5FAF">
        <w:t xml:space="preserve"> million in Year 6, a total of</w:t>
      </w:r>
      <w:r w:rsidR="004E0C25">
        <w:t xml:space="preserve"> more than</w:t>
      </w:r>
      <w:r w:rsidRPr="00BE5FAF">
        <w:t xml:space="preserve"> $</w:t>
      </w:r>
      <w:r w:rsidR="004E0C25">
        <w:t xml:space="preserve">100 </w:t>
      </w:r>
      <w:r w:rsidRPr="00BE5FAF">
        <w:t>million in the first 6 years of listing.</w:t>
      </w:r>
      <w:proofErr w:type="gramEnd"/>
      <w:r w:rsidRPr="00BE5FAF">
        <w:t xml:space="preserve"> The estimated cost over the first 6 years of listing including the proposed RSA rebate of </w:t>
      </w:r>
      <w:proofErr w:type="gramStart"/>
      <w:r w:rsidR="00517BCE">
        <w:rPr>
          <w:noProof/>
          <w:color w:val="000000"/>
          <w:highlight w:val="black"/>
        </w:rPr>
        <w:t>''''''''</w:t>
      </w:r>
      <w:r w:rsidRPr="00BE5FAF">
        <w:t>%</w:t>
      </w:r>
      <w:proofErr w:type="gramEnd"/>
      <w:r w:rsidRPr="00BE5FAF">
        <w:t xml:space="preserve"> (applied post </w:t>
      </w:r>
      <w:proofErr w:type="spellStart"/>
      <w:r w:rsidRPr="00BE5FAF">
        <w:t>copayment</w:t>
      </w:r>
      <w:proofErr w:type="spellEnd"/>
      <w:r w:rsidRPr="00BE5FAF">
        <w:t xml:space="preserve"> to estimated patients with CAD only or PAD only) was</w:t>
      </w:r>
      <w:r w:rsidR="004E0C25">
        <w:t xml:space="preserve"> more than</w:t>
      </w:r>
      <w:r w:rsidRPr="00BE5FAF">
        <w:t xml:space="preserve"> $</w:t>
      </w:r>
      <w:r w:rsidR="004E0C25">
        <w:t>100</w:t>
      </w:r>
      <w:r w:rsidRPr="00BE5FAF">
        <w:t xml:space="preserve"> million. </w:t>
      </w:r>
    </w:p>
    <w:p w:rsidR="00E8048C" w:rsidRPr="00BE5FAF" w:rsidRDefault="00E8048C" w:rsidP="003008B5">
      <w:pPr>
        <w:pStyle w:val="ListParagraph"/>
        <w:widowControl/>
        <w:numPr>
          <w:ilvl w:val="1"/>
          <w:numId w:val="2"/>
        </w:numPr>
        <w:spacing w:before="120" w:after="120"/>
      </w:pPr>
      <w:r w:rsidRPr="00BE5FAF">
        <w:t xml:space="preserve">The PBAC noted that, if only </w:t>
      </w:r>
      <w:r w:rsidR="00210137" w:rsidRPr="00BE5FAF">
        <w:t>patients with</w:t>
      </w:r>
      <w:r w:rsidR="003C241B" w:rsidRPr="00BE5FAF">
        <w:t xml:space="preserve"> both</w:t>
      </w:r>
      <w:r w:rsidR="00210137" w:rsidRPr="00BE5FAF">
        <w:t xml:space="preserve"> </w:t>
      </w:r>
      <w:r w:rsidRPr="00BE5FAF">
        <w:t>CAD and PAD were included, the estimated cost to the PBS/RPBS would be $</w:t>
      </w:r>
      <w:r w:rsidR="006A47DD">
        <w:t>30 to $60</w:t>
      </w:r>
      <w:r w:rsidRPr="00BE5FAF">
        <w:t xml:space="preserve"> million in Year </w:t>
      </w:r>
      <w:r w:rsidR="00BE5FAF" w:rsidRPr="00BE5FAF">
        <w:t>6</w:t>
      </w:r>
      <w:r w:rsidRPr="00BE5FAF">
        <w:t xml:space="preserve"> and a total of </w:t>
      </w:r>
      <w:r w:rsidR="006E635D">
        <w:t xml:space="preserve">more than </w:t>
      </w:r>
      <w:r w:rsidRPr="00BE5FAF">
        <w:t>$</w:t>
      </w:r>
      <w:r w:rsidR="006E635D">
        <w:t>100</w:t>
      </w:r>
      <w:r w:rsidRPr="00BE5FAF">
        <w:t xml:space="preserve"> million in the first 6 years of listing.</w:t>
      </w:r>
    </w:p>
    <w:p w:rsidR="0016156C" w:rsidRPr="00BE5FAF" w:rsidRDefault="0016156C" w:rsidP="003008B5">
      <w:pPr>
        <w:pStyle w:val="ListParagraph"/>
        <w:widowControl/>
        <w:numPr>
          <w:ilvl w:val="1"/>
          <w:numId w:val="2"/>
        </w:numPr>
        <w:spacing w:before="120" w:after="120"/>
      </w:pPr>
      <w:r w:rsidRPr="00BE5FAF">
        <w:t>Sensitivity analyses indicated that the financial estimates were most sensitive to changes in the prevalence of CAD and/or PAD, compliance rates, and uptake rates.</w:t>
      </w:r>
    </w:p>
    <w:p w:rsidR="009251D7" w:rsidRPr="00BE5FAF" w:rsidRDefault="009251D7" w:rsidP="003008B5">
      <w:pPr>
        <w:pStyle w:val="ListParagraph"/>
        <w:widowControl/>
        <w:numPr>
          <w:ilvl w:val="1"/>
          <w:numId w:val="2"/>
        </w:numPr>
        <w:spacing w:before="120" w:after="120"/>
      </w:pPr>
      <w:r w:rsidRPr="00BE5FAF">
        <w:t>DUSC considered that the main issues with the financial estimates were:</w:t>
      </w:r>
    </w:p>
    <w:p w:rsidR="0016156C" w:rsidRPr="00BE5FAF" w:rsidRDefault="0016156C" w:rsidP="003008B5">
      <w:pPr>
        <w:pStyle w:val="ListParagraph"/>
        <w:widowControl/>
        <w:numPr>
          <w:ilvl w:val="0"/>
          <w:numId w:val="4"/>
        </w:numPr>
        <w:spacing w:before="120" w:after="120"/>
        <w:ind w:left="1077" w:hanging="357"/>
        <w:rPr>
          <w:rFonts w:asciiTheme="minorHAnsi" w:hAnsiTheme="minorHAnsi"/>
          <w:b/>
          <w:szCs w:val="24"/>
        </w:rPr>
      </w:pPr>
      <w:r w:rsidRPr="00BE5FAF">
        <w:t xml:space="preserve">The Western Australian linked health data relied on hospital admission records for case identification, which </w:t>
      </w:r>
      <w:r w:rsidR="009251D7" w:rsidRPr="00BE5FAF">
        <w:t xml:space="preserve">DUSC considered </w:t>
      </w:r>
      <w:proofErr w:type="gramStart"/>
      <w:r w:rsidR="009251D7" w:rsidRPr="00BE5FAF">
        <w:t>may</w:t>
      </w:r>
      <w:proofErr w:type="gramEnd"/>
      <w:r w:rsidR="009251D7" w:rsidRPr="00BE5FAF">
        <w:t xml:space="preserve"> </w:t>
      </w:r>
      <w:r w:rsidRPr="00BE5FAF">
        <w:t>underestimate eligible patients.</w:t>
      </w:r>
    </w:p>
    <w:p w:rsidR="0016156C" w:rsidRPr="00BE5FAF" w:rsidRDefault="0016156C" w:rsidP="003008B5">
      <w:pPr>
        <w:pStyle w:val="ListParagraph"/>
        <w:widowControl/>
        <w:numPr>
          <w:ilvl w:val="0"/>
          <w:numId w:val="4"/>
        </w:numPr>
        <w:spacing w:before="120" w:after="120"/>
        <w:ind w:left="1077" w:hanging="357"/>
        <w:rPr>
          <w:rFonts w:asciiTheme="minorHAnsi" w:hAnsiTheme="minorHAnsi"/>
          <w:b/>
          <w:szCs w:val="24"/>
        </w:rPr>
      </w:pPr>
      <w:r w:rsidRPr="00BE5FAF">
        <w:t xml:space="preserve">The Western Australian linked data analysis prevalence estimates </w:t>
      </w:r>
      <w:proofErr w:type="gramStart"/>
      <w:r w:rsidRPr="00BE5FAF">
        <w:t>were based</w:t>
      </w:r>
      <w:proofErr w:type="gramEnd"/>
      <w:r w:rsidRPr="00BE5FAF">
        <w:t xml:space="preserve"> on a 10-year lookback period. </w:t>
      </w:r>
      <w:r w:rsidRPr="00BE5FAF">
        <w:rPr>
          <w:rFonts w:asciiTheme="minorHAnsi" w:hAnsiTheme="minorHAnsi" w:cstheme="minorHAnsi"/>
          <w:szCs w:val="24"/>
        </w:rPr>
        <w:t>DUSC discussed the change in the management of CAD over the last 10 years and questioned the applicability of the W</w:t>
      </w:r>
      <w:r w:rsidR="002779E0" w:rsidRPr="00BE5FAF">
        <w:rPr>
          <w:rFonts w:asciiTheme="minorHAnsi" w:hAnsiTheme="minorHAnsi" w:cstheme="minorHAnsi"/>
          <w:szCs w:val="24"/>
        </w:rPr>
        <w:t xml:space="preserve">estern </w:t>
      </w:r>
      <w:r w:rsidRPr="00BE5FAF">
        <w:rPr>
          <w:rFonts w:asciiTheme="minorHAnsi" w:hAnsiTheme="minorHAnsi" w:cstheme="minorHAnsi"/>
          <w:szCs w:val="24"/>
        </w:rPr>
        <w:t>A</w:t>
      </w:r>
      <w:r w:rsidR="002779E0" w:rsidRPr="00BE5FAF">
        <w:rPr>
          <w:rFonts w:asciiTheme="minorHAnsi" w:hAnsiTheme="minorHAnsi" w:cstheme="minorHAnsi"/>
          <w:szCs w:val="24"/>
        </w:rPr>
        <w:t>ustralia</w:t>
      </w:r>
      <w:r w:rsidRPr="00BE5FAF">
        <w:rPr>
          <w:rFonts w:asciiTheme="minorHAnsi" w:hAnsiTheme="minorHAnsi" w:cstheme="minorHAnsi"/>
          <w:szCs w:val="24"/>
        </w:rPr>
        <w:t xml:space="preserve"> linked data to the current population</w:t>
      </w:r>
      <w:r w:rsidR="00BE5FAF">
        <w:rPr>
          <w:rFonts w:asciiTheme="minorHAnsi" w:hAnsiTheme="minorHAnsi" w:cstheme="minorHAnsi"/>
          <w:szCs w:val="24"/>
        </w:rPr>
        <w:t xml:space="preserve">. </w:t>
      </w:r>
    </w:p>
    <w:p w:rsidR="0016156C" w:rsidRPr="00BE5FAF" w:rsidRDefault="0016156C" w:rsidP="003008B5">
      <w:pPr>
        <w:pStyle w:val="ListParagraph"/>
        <w:widowControl/>
        <w:numPr>
          <w:ilvl w:val="0"/>
          <w:numId w:val="4"/>
        </w:numPr>
        <w:spacing w:before="120" w:after="120"/>
        <w:ind w:left="1077" w:hanging="357"/>
        <w:rPr>
          <w:rFonts w:asciiTheme="minorHAnsi" w:hAnsiTheme="minorHAnsi"/>
          <w:b/>
          <w:szCs w:val="24"/>
        </w:rPr>
      </w:pPr>
      <w:r w:rsidRPr="00BE5FAF">
        <w:rPr>
          <w:rFonts w:asciiTheme="minorHAnsi" w:hAnsiTheme="minorHAnsi" w:cstheme="minorHAnsi"/>
          <w:szCs w:val="24"/>
        </w:rPr>
        <w:lastRenderedPageBreak/>
        <w:t xml:space="preserve">The submission assumed that the prevalence rate in 2019 was the same as June 2010 (1.44%). </w:t>
      </w:r>
      <w:proofErr w:type="gramStart"/>
      <w:r w:rsidRPr="00BE5FAF">
        <w:rPr>
          <w:rFonts w:asciiTheme="minorHAnsi" w:hAnsiTheme="minorHAnsi" w:cstheme="minorHAnsi"/>
          <w:szCs w:val="24"/>
        </w:rPr>
        <w:t>DUSC considered this was not reasonable and may underestimate the eligible population.</w:t>
      </w:r>
      <w:proofErr w:type="gramEnd"/>
    </w:p>
    <w:p w:rsidR="0016156C" w:rsidRPr="00BE5FAF" w:rsidRDefault="0016156C" w:rsidP="003008B5">
      <w:pPr>
        <w:pStyle w:val="ListParagraph"/>
        <w:widowControl/>
        <w:numPr>
          <w:ilvl w:val="0"/>
          <w:numId w:val="4"/>
        </w:numPr>
        <w:spacing w:before="120" w:after="120"/>
        <w:ind w:left="1077" w:hanging="357"/>
        <w:rPr>
          <w:szCs w:val="24"/>
        </w:rPr>
      </w:pPr>
      <w:r w:rsidRPr="00BE5FAF">
        <w:t>The</w:t>
      </w:r>
      <w:r w:rsidRPr="00BE5FAF">
        <w:rPr>
          <w:szCs w:val="24"/>
        </w:rPr>
        <w:t xml:space="preserve"> submission did not adequately justify the assumed proportions of eligible patients with CAD </w:t>
      </w:r>
      <w:r w:rsidRPr="006A47DD">
        <w:rPr>
          <w:szCs w:val="24"/>
        </w:rPr>
        <w:t>only (</w:t>
      </w:r>
      <w:r w:rsidR="00517BCE">
        <w:rPr>
          <w:noProof/>
          <w:color w:val="000000"/>
          <w:szCs w:val="24"/>
          <w:highlight w:val="black"/>
        </w:rPr>
        <w:t>'''''</w:t>
      </w:r>
      <w:r w:rsidRPr="006A47DD">
        <w:rPr>
          <w:szCs w:val="24"/>
        </w:rPr>
        <w:t>%), PAD only (</w:t>
      </w:r>
      <w:r w:rsidR="00517BCE">
        <w:rPr>
          <w:noProof/>
          <w:color w:val="000000"/>
          <w:szCs w:val="24"/>
          <w:highlight w:val="black"/>
        </w:rPr>
        <w:t>'''''</w:t>
      </w:r>
      <w:r w:rsidRPr="006A47DD">
        <w:rPr>
          <w:szCs w:val="24"/>
        </w:rPr>
        <w:t>%) or CAD and PAD (</w:t>
      </w:r>
      <w:r w:rsidR="00517BCE">
        <w:rPr>
          <w:noProof/>
          <w:color w:val="000000"/>
          <w:szCs w:val="24"/>
          <w:highlight w:val="black"/>
        </w:rPr>
        <w:t>'''''</w:t>
      </w:r>
      <w:r w:rsidRPr="006A47DD">
        <w:rPr>
          <w:szCs w:val="24"/>
        </w:rPr>
        <w:t>%) given</w:t>
      </w:r>
      <w:r w:rsidRPr="00BE5FAF">
        <w:rPr>
          <w:szCs w:val="24"/>
        </w:rPr>
        <w:t xml:space="preserve"> the uncertainty regarding the prevalence of PAD (with or without CAD) which varied between data sources. The estimated proportion of patients with CAD and PAD is a key variable used to derive the Tier 1 rebate included in the proposed risk share arrangement. </w:t>
      </w:r>
    </w:p>
    <w:p w:rsidR="0016156C" w:rsidRPr="002150EA" w:rsidRDefault="0016156C" w:rsidP="003008B5">
      <w:pPr>
        <w:pStyle w:val="ListParagraph"/>
        <w:widowControl/>
        <w:numPr>
          <w:ilvl w:val="0"/>
          <w:numId w:val="4"/>
        </w:numPr>
        <w:spacing w:before="120" w:after="120"/>
        <w:ind w:left="993" w:hanging="284"/>
      </w:pPr>
      <w:r w:rsidRPr="00BE5FAF">
        <w:rPr>
          <w:szCs w:val="24"/>
        </w:rPr>
        <w:t xml:space="preserve">Uptake rates for patients with CAD only and PAD only may be underestimated and, given the large eligible population, any increase in uptake rates will result in large changes in the treated population. </w:t>
      </w:r>
      <w:r w:rsidR="00E8048C" w:rsidRPr="00BE5FAF">
        <w:rPr>
          <w:szCs w:val="24"/>
        </w:rPr>
        <w:t xml:space="preserve">DUSC further considered the uptake rates </w:t>
      </w:r>
      <w:proofErr w:type="gramStart"/>
      <w:r w:rsidR="00E8048C" w:rsidRPr="00BE5FAF">
        <w:rPr>
          <w:szCs w:val="24"/>
        </w:rPr>
        <w:t>may be influenced</w:t>
      </w:r>
      <w:proofErr w:type="gramEnd"/>
      <w:r w:rsidR="00E8048C" w:rsidRPr="00BE5FAF">
        <w:rPr>
          <w:szCs w:val="24"/>
        </w:rPr>
        <w:t xml:space="preserve"> by the uncertain benefit risk profile. DUSC acknowledged the assessment of bleeding risk in the target patient population is complex and </w:t>
      </w:r>
      <w:proofErr w:type="gramStart"/>
      <w:r w:rsidR="00E8048C" w:rsidRPr="00BE5FAF">
        <w:rPr>
          <w:szCs w:val="24"/>
        </w:rPr>
        <w:t>should be undertaken</w:t>
      </w:r>
      <w:proofErr w:type="gramEnd"/>
      <w:r w:rsidR="00E8048C" w:rsidRPr="00BE5FAF">
        <w:rPr>
          <w:szCs w:val="24"/>
        </w:rPr>
        <w:t xml:space="preserve"> on an individual patient basis by the treating clinician. DUSC noted the lack of long-term efficacy and safety data for the combination of aspirin and </w:t>
      </w:r>
      <w:proofErr w:type="spellStart"/>
      <w:r w:rsidR="00E8048C" w:rsidRPr="00BE5FAF">
        <w:rPr>
          <w:szCs w:val="24"/>
        </w:rPr>
        <w:t>rivaroxaban</w:t>
      </w:r>
      <w:proofErr w:type="spellEnd"/>
      <w:r w:rsidR="00E8048C" w:rsidRPr="00BE5FAF">
        <w:rPr>
          <w:szCs w:val="24"/>
        </w:rPr>
        <w:t xml:space="preserve"> and considered that this may influence the uptake of </w:t>
      </w:r>
      <w:proofErr w:type="spellStart"/>
      <w:r w:rsidR="00E8048C" w:rsidRPr="00BE5FAF">
        <w:rPr>
          <w:szCs w:val="24"/>
        </w:rPr>
        <w:t>rivaroxaban</w:t>
      </w:r>
      <w:proofErr w:type="spellEnd"/>
      <w:r w:rsidR="00E8048C" w:rsidRPr="00BE5FAF">
        <w:rPr>
          <w:szCs w:val="24"/>
        </w:rPr>
        <w:t xml:space="preserve"> in practice.</w:t>
      </w:r>
    </w:p>
    <w:p w:rsidR="002150EA" w:rsidRPr="00BE5FAF" w:rsidRDefault="002150EA" w:rsidP="003008B5">
      <w:pPr>
        <w:pStyle w:val="ListParagraph"/>
        <w:widowControl/>
        <w:numPr>
          <w:ilvl w:val="0"/>
          <w:numId w:val="4"/>
        </w:numPr>
        <w:spacing w:before="120" w:after="120"/>
        <w:ind w:left="993" w:hanging="284"/>
      </w:pPr>
      <w:r>
        <w:rPr>
          <w:szCs w:val="24"/>
        </w:rPr>
        <w:t xml:space="preserve">The PBAC also </w:t>
      </w:r>
      <w:r w:rsidR="00537030">
        <w:rPr>
          <w:szCs w:val="24"/>
        </w:rPr>
        <w:t>considered</w:t>
      </w:r>
      <w:r>
        <w:rPr>
          <w:szCs w:val="24"/>
        </w:rPr>
        <w:t xml:space="preserve"> that there was very considerable uncertainty in the eligible population and the uptake rates, noting that use of </w:t>
      </w:r>
      <w:proofErr w:type="spellStart"/>
      <w:r>
        <w:rPr>
          <w:szCs w:val="24"/>
        </w:rPr>
        <w:t>rivaroxaban</w:t>
      </w:r>
      <w:proofErr w:type="spellEnd"/>
      <w:r>
        <w:rPr>
          <w:szCs w:val="24"/>
        </w:rPr>
        <w:t xml:space="preserve"> in this patient population would represent a major change in clinical management algorithms and that uptake would likely initially be specialist</w:t>
      </w:r>
      <w:r w:rsidR="00537030">
        <w:rPr>
          <w:szCs w:val="24"/>
        </w:rPr>
        <w:t>-</w:t>
      </w:r>
      <w:r>
        <w:rPr>
          <w:szCs w:val="24"/>
        </w:rPr>
        <w:t>led. The PBAC also felt that the increased bleeding risk in these patients, especially those aged over 75</w:t>
      </w:r>
      <w:r w:rsidR="00537030">
        <w:rPr>
          <w:szCs w:val="24"/>
        </w:rPr>
        <w:t xml:space="preserve"> years</w:t>
      </w:r>
      <w:r>
        <w:rPr>
          <w:szCs w:val="24"/>
        </w:rPr>
        <w:t xml:space="preserve">, would affect uptake rates as even minor bleeding </w:t>
      </w:r>
      <w:r w:rsidR="00693280">
        <w:rPr>
          <w:szCs w:val="24"/>
        </w:rPr>
        <w:t>when chronic is likely to affect uptake and persistence.</w:t>
      </w:r>
    </w:p>
    <w:p w:rsidR="00576972" w:rsidRPr="00BE5FAF" w:rsidRDefault="00576972" w:rsidP="003008B5">
      <w:pPr>
        <w:pStyle w:val="Heading2"/>
        <w:widowControl/>
        <w:spacing w:before="120" w:after="120"/>
      </w:pPr>
      <w:r w:rsidRPr="00BE5FAF">
        <w:t>Quality Use of Medicines</w:t>
      </w:r>
      <w:bookmarkEnd w:id="14"/>
    </w:p>
    <w:p w:rsidR="006956D5" w:rsidRPr="00BE5FAF" w:rsidRDefault="006956D5" w:rsidP="003008B5">
      <w:pPr>
        <w:pStyle w:val="ListParagraph"/>
        <w:widowControl/>
        <w:numPr>
          <w:ilvl w:val="1"/>
          <w:numId w:val="2"/>
        </w:numPr>
        <w:spacing w:before="120" w:after="120"/>
      </w:pPr>
      <w:r w:rsidRPr="00BE5FAF">
        <w:t xml:space="preserve">The sponsor </w:t>
      </w:r>
      <w:r w:rsidR="00E55DC8" w:rsidRPr="00BE5FAF">
        <w:t>outlined a range of</w:t>
      </w:r>
      <w:r w:rsidRPr="00BE5FAF">
        <w:t xml:space="preserve"> activities to support the quality use of medicines</w:t>
      </w:r>
      <w:r w:rsidR="00E55DC8" w:rsidRPr="00BE5FAF">
        <w:t xml:space="preserve"> including</w:t>
      </w:r>
      <w:r w:rsidRPr="00BE5FAF">
        <w:t>:</w:t>
      </w:r>
    </w:p>
    <w:p w:rsidR="00693280" w:rsidRDefault="00693280" w:rsidP="003008B5">
      <w:pPr>
        <w:pStyle w:val="ListParagraph"/>
        <w:widowControl/>
        <w:numPr>
          <w:ilvl w:val="0"/>
          <w:numId w:val="4"/>
        </w:numPr>
        <w:spacing w:before="120" w:after="120"/>
        <w:ind w:left="1077" w:hanging="357"/>
      </w:pPr>
      <w:r>
        <w:t xml:space="preserve">The different doses and regimens for </w:t>
      </w:r>
      <w:proofErr w:type="spellStart"/>
      <w:r>
        <w:t>rivaroxaban</w:t>
      </w:r>
      <w:proofErr w:type="spellEnd"/>
      <w:r>
        <w:t xml:space="preserve"> in the management of </w:t>
      </w:r>
      <w:r w:rsidR="00537030">
        <w:t>atrial fibrillation</w:t>
      </w:r>
      <w:r>
        <w:t xml:space="preserve">, </w:t>
      </w:r>
      <w:r w:rsidR="00537030">
        <w:t xml:space="preserve">treatment of </w:t>
      </w:r>
      <w:r>
        <w:t>venous thromboembolic disease, long</w:t>
      </w:r>
      <w:r w:rsidR="00537030">
        <w:t>-</w:t>
      </w:r>
      <w:r>
        <w:t>term prevention of venous thromboembolism and prevention of recurrent cardiovascular events had considerable potential to cause confusion and erroneous prescribing.</w:t>
      </w:r>
    </w:p>
    <w:p w:rsidR="006956D5" w:rsidRPr="00BE5FAF" w:rsidRDefault="006956D5" w:rsidP="003008B5">
      <w:pPr>
        <w:pStyle w:val="ListParagraph"/>
        <w:widowControl/>
        <w:numPr>
          <w:ilvl w:val="0"/>
          <w:numId w:val="4"/>
        </w:numPr>
        <w:spacing w:before="120" w:after="120"/>
        <w:ind w:left="1077" w:hanging="357"/>
      </w:pPr>
      <w:r w:rsidRPr="00BE5FAF">
        <w:t xml:space="preserve">Optimised labelling and packaging to reduce dispensing and administration errors. Administration of </w:t>
      </w:r>
      <w:r w:rsidR="00693280">
        <w:t>inappropriate</w:t>
      </w:r>
      <w:r w:rsidRPr="00BE5FAF">
        <w:t xml:space="preserve"> doses of </w:t>
      </w:r>
      <w:proofErr w:type="spellStart"/>
      <w:r w:rsidRPr="00BE5FAF">
        <w:t>rivaroxaban</w:t>
      </w:r>
      <w:proofErr w:type="spellEnd"/>
      <w:r w:rsidRPr="00BE5FAF">
        <w:t xml:space="preserve"> may occur due to erroneous prescribing or administration of higher doses of </w:t>
      </w:r>
      <w:proofErr w:type="spellStart"/>
      <w:r w:rsidRPr="00BE5FAF">
        <w:t>rivaroxaban</w:t>
      </w:r>
      <w:proofErr w:type="spellEnd"/>
      <w:r w:rsidR="002560C1" w:rsidRPr="00BE5FAF">
        <w:t xml:space="preserve"> (given</w:t>
      </w:r>
      <w:r w:rsidR="002560C1" w:rsidRPr="00BE5FAF">
        <w:rPr>
          <w:i/>
        </w:rPr>
        <w:t xml:space="preserve"> </w:t>
      </w:r>
      <w:r w:rsidR="002560C1" w:rsidRPr="00BE5FAF">
        <w:t>the dose and frequency differ to other indications)</w:t>
      </w:r>
      <w:r w:rsidRPr="00BE5FAF">
        <w:t xml:space="preserve">. There may be potential for use of </w:t>
      </w:r>
      <w:proofErr w:type="spellStart"/>
      <w:r w:rsidRPr="00BE5FAF">
        <w:t>rivaroxaban</w:t>
      </w:r>
      <w:proofErr w:type="spellEnd"/>
      <w:r w:rsidRPr="00BE5FAF">
        <w:t xml:space="preserve"> without aspirin (i.e. low-dose </w:t>
      </w:r>
      <w:proofErr w:type="spellStart"/>
      <w:r w:rsidRPr="00BE5FAF">
        <w:t>rivaroxaban</w:t>
      </w:r>
      <w:proofErr w:type="spellEnd"/>
      <w:r w:rsidRPr="00BE5FAF">
        <w:t xml:space="preserve"> monotherapy) resulting in suboptimal disease management</w:t>
      </w:r>
      <w:r w:rsidR="00C32CEF" w:rsidRPr="00BE5FAF">
        <w:t>,</w:t>
      </w:r>
      <w:r w:rsidR="00C71E89" w:rsidRPr="00BE5FAF">
        <w:t xml:space="preserve"> </w:t>
      </w:r>
      <w:r w:rsidR="00C32CEF" w:rsidRPr="00BE5FAF">
        <w:t xml:space="preserve">or with other antiplatelet strategies such as </w:t>
      </w:r>
      <w:proofErr w:type="spellStart"/>
      <w:r w:rsidR="00C32CEF" w:rsidRPr="00BE5FAF">
        <w:t>clopidogrel</w:t>
      </w:r>
      <w:proofErr w:type="spellEnd"/>
      <w:r w:rsidR="00C32CEF" w:rsidRPr="00BE5FAF">
        <w:t>, for which there is no clinical trial data.</w:t>
      </w:r>
    </w:p>
    <w:p w:rsidR="006956D5" w:rsidRPr="00BE5FAF" w:rsidRDefault="006956D5" w:rsidP="003008B5">
      <w:pPr>
        <w:pStyle w:val="ListParagraph"/>
        <w:widowControl/>
        <w:numPr>
          <w:ilvl w:val="0"/>
          <w:numId w:val="4"/>
        </w:numPr>
        <w:spacing w:before="120" w:after="120"/>
        <w:ind w:left="1077" w:hanging="357"/>
      </w:pPr>
      <w:r w:rsidRPr="00BE5FAF">
        <w:lastRenderedPageBreak/>
        <w:t>Provision of a prescriber guide</w:t>
      </w:r>
      <w:r w:rsidR="00693280">
        <w:t xml:space="preserve"> clearly identifying the different doses and regimens of </w:t>
      </w:r>
      <w:proofErr w:type="spellStart"/>
      <w:r w:rsidR="00693280">
        <w:t>rivaroxaban</w:t>
      </w:r>
      <w:proofErr w:type="spellEnd"/>
      <w:r w:rsidR="00693280">
        <w:t xml:space="preserve"> in different antithrombotic indications</w:t>
      </w:r>
      <w:r w:rsidRPr="00BE5FAF">
        <w:t>.</w:t>
      </w:r>
    </w:p>
    <w:p w:rsidR="006956D5" w:rsidRPr="00BE5FAF" w:rsidRDefault="006956D5" w:rsidP="003008B5">
      <w:pPr>
        <w:pStyle w:val="ListParagraph"/>
        <w:widowControl/>
        <w:numPr>
          <w:ilvl w:val="0"/>
          <w:numId w:val="4"/>
        </w:numPr>
        <w:spacing w:before="120" w:after="120"/>
        <w:ind w:left="1077" w:hanging="357"/>
      </w:pPr>
      <w:r w:rsidRPr="00BE5FAF">
        <w:t xml:space="preserve">Provision of a patient alert card to increase awareness and understanding among patients about the potential bleeding risk during treatment. </w:t>
      </w:r>
    </w:p>
    <w:p w:rsidR="00E55DC8" w:rsidRPr="00BE5FAF" w:rsidRDefault="007B1A35" w:rsidP="003008B5">
      <w:pPr>
        <w:pStyle w:val="ListParagraph"/>
        <w:numPr>
          <w:ilvl w:val="1"/>
          <w:numId w:val="2"/>
        </w:numPr>
        <w:spacing w:before="120" w:after="120"/>
      </w:pPr>
      <w:r w:rsidRPr="00BE5FAF">
        <w:t xml:space="preserve">DUSC </w:t>
      </w:r>
      <w:r w:rsidR="008E6FCF" w:rsidRPr="00BE5FAF">
        <w:t xml:space="preserve">advised that the addition of </w:t>
      </w:r>
      <w:proofErr w:type="spellStart"/>
      <w:r w:rsidR="008E6FCF" w:rsidRPr="00BE5FAF">
        <w:t>rivaroxaban</w:t>
      </w:r>
      <w:proofErr w:type="spellEnd"/>
      <w:r w:rsidR="008E6FCF" w:rsidRPr="00BE5FAF">
        <w:t xml:space="preserve"> would present a paradigm shift in the treatment algorithm for CAD and advised </w:t>
      </w:r>
      <w:r w:rsidR="00E55DC8" w:rsidRPr="00BE5FAF">
        <w:t xml:space="preserve">that </w:t>
      </w:r>
      <w:r w:rsidR="008E6FCF" w:rsidRPr="00BE5FAF">
        <w:t>further education and changes to the current management guidelines w</w:t>
      </w:r>
      <w:r w:rsidR="00E55DC8" w:rsidRPr="00BE5FAF">
        <w:t>ould</w:t>
      </w:r>
      <w:r w:rsidR="008E6FCF" w:rsidRPr="00BE5FAF">
        <w:t xml:space="preserve"> be required. DUSC also highlighted </w:t>
      </w:r>
      <w:r w:rsidR="00E258BA" w:rsidRPr="00BE5FAF">
        <w:t>potential</w:t>
      </w:r>
      <w:r w:rsidR="008E6FCF" w:rsidRPr="00BE5FAF">
        <w:t xml:space="preserve"> medication compliance</w:t>
      </w:r>
      <w:r w:rsidR="00E258BA" w:rsidRPr="00BE5FAF">
        <w:t xml:space="preserve"> issues may arise </w:t>
      </w:r>
      <w:r w:rsidR="008E6FCF" w:rsidRPr="00BE5FAF">
        <w:t>due to twice daily dosing</w:t>
      </w:r>
      <w:r w:rsidR="00E258BA" w:rsidRPr="00BE5FAF">
        <w:t xml:space="preserve"> and complications of bleeding (bruising </w:t>
      </w:r>
      <w:proofErr w:type="spellStart"/>
      <w:r w:rsidR="00E258BA" w:rsidRPr="00BE5FAF">
        <w:t>etc</w:t>
      </w:r>
      <w:proofErr w:type="spellEnd"/>
      <w:r w:rsidR="00E258BA" w:rsidRPr="00BE5FAF">
        <w:t>).</w:t>
      </w:r>
      <w:r w:rsidR="00E55DC8" w:rsidRPr="00BE5FAF">
        <w:t xml:space="preserve"> DUSC also noted that</w:t>
      </w:r>
      <w:r w:rsidR="00210137" w:rsidRPr="00BE5FAF">
        <w:t>,</w:t>
      </w:r>
      <w:r w:rsidR="00E55DC8" w:rsidRPr="00BE5FAF">
        <w:t xml:space="preserve"> </w:t>
      </w:r>
      <w:r w:rsidR="00210137" w:rsidRPr="00BE5FAF">
        <w:t xml:space="preserve">if </w:t>
      </w:r>
      <w:proofErr w:type="spellStart"/>
      <w:r w:rsidR="00210137" w:rsidRPr="00BE5FAF">
        <w:t>rivaroxaban</w:t>
      </w:r>
      <w:proofErr w:type="spellEnd"/>
      <w:r w:rsidR="00210137" w:rsidRPr="00BE5FAF">
        <w:t xml:space="preserve"> </w:t>
      </w:r>
      <w:proofErr w:type="gramStart"/>
      <w:r w:rsidR="00210137" w:rsidRPr="00BE5FAF">
        <w:t>is given</w:t>
      </w:r>
      <w:proofErr w:type="gramEnd"/>
      <w:r w:rsidR="00210137" w:rsidRPr="00BE5FAF">
        <w:t xml:space="preserve"> with inhibitors of CYP3A4 or P-</w:t>
      </w:r>
      <w:proofErr w:type="spellStart"/>
      <w:r w:rsidR="00210137" w:rsidRPr="00BE5FAF">
        <w:t>gp</w:t>
      </w:r>
      <w:proofErr w:type="spellEnd"/>
      <w:r w:rsidR="00210137" w:rsidRPr="00BE5FAF">
        <w:t xml:space="preserve">, </w:t>
      </w:r>
      <w:r w:rsidR="00E55DC8" w:rsidRPr="00BE5FAF">
        <w:t xml:space="preserve">the </w:t>
      </w:r>
      <w:r w:rsidR="00210137" w:rsidRPr="00BE5FAF">
        <w:t xml:space="preserve">blood </w:t>
      </w:r>
      <w:r w:rsidR="00E55DC8" w:rsidRPr="00BE5FAF">
        <w:t xml:space="preserve">concentration of </w:t>
      </w:r>
      <w:proofErr w:type="spellStart"/>
      <w:r w:rsidR="00E55DC8" w:rsidRPr="00BE5FAF">
        <w:t>rivaroxaban</w:t>
      </w:r>
      <w:proofErr w:type="spellEnd"/>
      <w:r w:rsidR="00E55DC8" w:rsidRPr="00BE5FAF">
        <w:t xml:space="preserve"> and the risk of bleeding may increase. </w:t>
      </w:r>
    </w:p>
    <w:p w:rsidR="00576972" w:rsidRPr="00BE5FAF" w:rsidRDefault="00576972" w:rsidP="003008B5">
      <w:pPr>
        <w:pStyle w:val="Heading2"/>
        <w:widowControl/>
        <w:spacing w:before="120" w:after="120"/>
      </w:pPr>
      <w:bookmarkStart w:id="15" w:name="_Toc535943621"/>
      <w:r w:rsidRPr="00BE5FAF">
        <w:t>Financial Management – Risk Sharing Arrangements</w:t>
      </w:r>
      <w:bookmarkEnd w:id="15"/>
    </w:p>
    <w:p w:rsidR="006956D5" w:rsidRPr="00BE5FAF" w:rsidRDefault="006956D5" w:rsidP="003008B5">
      <w:pPr>
        <w:pStyle w:val="ListParagraph"/>
        <w:widowControl/>
        <w:numPr>
          <w:ilvl w:val="1"/>
          <w:numId w:val="2"/>
        </w:numPr>
        <w:spacing w:before="120" w:after="120"/>
        <w:rPr>
          <w:color w:val="000000" w:themeColor="text1"/>
        </w:rPr>
      </w:pPr>
      <w:r w:rsidRPr="00BE5FAF">
        <w:rPr>
          <w:color w:val="000000" w:themeColor="text1"/>
        </w:rPr>
        <w:t xml:space="preserve">The submission proposed a two-tier </w:t>
      </w:r>
      <w:r w:rsidR="00BE5FAF">
        <w:rPr>
          <w:color w:val="000000" w:themeColor="text1"/>
        </w:rPr>
        <w:t>R</w:t>
      </w:r>
      <w:r w:rsidR="00BE5FAF" w:rsidRPr="00BE5FAF">
        <w:rPr>
          <w:color w:val="000000" w:themeColor="text1"/>
        </w:rPr>
        <w:t>isk</w:t>
      </w:r>
      <w:r w:rsidR="00BE5FAF">
        <w:rPr>
          <w:color w:val="000000" w:themeColor="text1"/>
        </w:rPr>
        <w:t xml:space="preserve"> S</w:t>
      </w:r>
      <w:r w:rsidRPr="00BE5FAF">
        <w:rPr>
          <w:color w:val="000000" w:themeColor="text1"/>
        </w:rPr>
        <w:t xml:space="preserve">haring </w:t>
      </w:r>
      <w:r w:rsidR="00BE5FAF">
        <w:rPr>
          <w:color w:val="000000" w:themeColor="text1"/>
        </w:rPr>
        <w:t>A</w:t>
      </w:r>
      <w:r w:rsidR="00BE5FAF" w:rsidRPr="00BE5FAF">
        <w:rPr>
          <w:color w:val="000000" w:themeColor="text1"/>
        </w:rPr>
        <w:t xml:space="preserve">rrangement </w:t>
      </w:r>
      <w:r w:rsidR="00BE5FAF">
        <w:rPr>
          <w:color w:val="000000" w:themeColor="text1"/>
        </w:rPr>
        <w:t xml:space="preserve">(RSA) </w:t>
      </w:r>
      <w:r w:rsidRPr="00BE5FAF">
        <w:rPr>
          <w:color w:val="000000" w:themeColor="text1"/>
        </w:rPr>
        <w:t xml:space="preserve">to address uncertainty relating to the absolute uptake of </w:t>
      </w:r>
      <w:proofErr w:type="spellStart"/>
      <w:r w:rsidRPr="00BE5FAF">
        <w:rPr>
          <w:color w:val="000000" w:themeColor="text1"/>
        </w:rPr>
        <w:t>rivaroxaban</w:t>
      </w:r>
      <w:proofErr w:type="spellEnd"/>
      <w:r w:rsidRPr="00BE5FAF">
        <w:rPr>
          <w:color w:val="000000" w:themeColor="text1"/>
        </w:rPr>
        <w:t>, as well as the relative distribution between the sub-population at elevated risk (CAD and PAD) and broader eligible patient population.</w:t>
      </w:r>
    </w:p>
    <w:p w:rsidR="006956D5" w:rsidRPr="00BE5FAF" w:rsidRDefault="006956D5" w:rsidP="003008B5">
      <w:pPr>
        <w:pStyle w:val="Bulletpoints"/>
        <w:widowControl/>
        <w:numPr>
          <w:ilvl w:val="1"/>
          <w:numId w:val="2"/>
        </w:numPr>
        <w:spacing w:before="120" w:after="120"/>
        <w:rPr>
          <w:color w:val="000000" w:themeColor="text1"/>
        </w:rPr>
      </w:pPr>
      <w:r w:rsidRPr="00BE5FAF">
        <w:rPr>
          <w:color w:val="000000" w:themeColor="text1"/>
        </w:rPr>
        <w:t xml:space="preserve">The RSA consists of a </w:t>
      </w:r>
      <w:r w:rsidR="00517BCE">
        <w:rPr>
          <w:noProof/>
          <w:color w:val="000000"/>
          <w:highlight w:val="black"/>
        </w:rPr>
        <w:t>'''''''''</w:t>
      </w:r>
      <w:r w:rsidRPr="00BE5FAF">
        <w:rPr>
          <w:color w:val="000000" w:themeColor="text1"/>
        </w:rPr>
        <w:t xml:space="preserve">% rebate on Commonwealth expenditure above Tier 1 (based on the expected uptake of </w:t>
      </w:r>
      <w:proofErr w:type="spellStart"/>
      <w:r w:rsidRPr="00BE5FAF">
        <w:rPr>
          <w:color w:val="000000" w:themeColor="text1"/>
        </w:rPr>
        <w:t>rivaroxaban</w:t>
      </w:r>
      <w:proofErr w:type="spellEnd"/>
      <w:r w:rsidRPr="00BE5FAF">
        <w:rPr>
          <w:color w:val="000000" w:themeColor="text1"/>
        </w:rPr>
        <w:t xml:space="preserve"> in combination with aspirin in patients with CAD and PAD), and an </w:t>
      </w:r>
      <w:r w:rsidR="00517BCE">
        <w:rPr>
          <w:noProof/>
          <w:color w:val="000000"/>
          <w:highlight w:val="black"/>
        </w:rPr>
        <w:t>'''''''''''</w:t>
      </w:r>
      <w:r w:rsidRPr="00BE5FAF">
        <w:rPr>
          <w:color w:val="000000" w:themeColor="text1"/>
        </w:rPr>
        <w:t xml:space="preserve">% rebate on Commonwealth expenditure above Tier 2 (based on the expected uptake of </w:t>
      </w:r>
      <w:proofErr w:type="spellStart"/>
      <w:r w:rsidRPr="00BE5FAF">
        <w:rPr>
          <w:color w:val="000000" w:themeColor="text1"/>
        </w:rPr>
        <w:t>rivaroxaban</w:t>
      </w:r>
      <w:proofErr w:type="spellEnd"/>
      <w:r w:rsidRPr="00BE5FAF">
        <w:rPr>
          <w:color w:val="000000" w:themeColor="text1"/>
        </w:rPr>
        <w:t xml:space="preserve"> in combination with aspirin in the total CAD and/or PAD population).</w:t>
      </w:r>
      <w:r w:rsidR="005A35E7" w:rsidRPr="00BE5FAF">
        <w:rPr>
          <w:color w:val="000000" w:themeColor="text1"/>
        </w:rPr>
        <w:t xml:space="preserve"> The ESC, noting the </w:t>
      </w:r>
      <w:r w:rsidR="005A35E7" w:rsidRPr="00BE5FAF">
        <w:rPr>
          <w:rFonts w:asciiTheme="minorHAnsi" w:hAnsiTheme="minorHAnsi"/>
        </w:rPr>
        <w:t>difficulties in determining the number of patients with this condition</w:t>
      </w:r>
      <w:r w:rsidR="00C32CEF" w:rsidRPr="00BE5FAF">
        <w:rPr>
          <w:rFonts w:asciiTheme="minorHAnsi" w:hAnsiTheme="minorHAnsi"/>
        </w:rPr>
        <w:t xml:space="preserve"> and the uncertainties around uptake,</w:t>
      </w:r>
      <w:r w:rsidR="005A35E7" w:rsidRPr="00BE5FAF">
        <w:rPr>
          <w:color w:val="000000" w:themeColor="text1"/>
        </w:rPr>
        <w:t xml:space="preserve"> considered the financial estimates were high and very uncertain</w:t>
      </w:r>
      <w:r w:rsidR="00A03E73" w:rsidRPr="00BE5FAF">
        <w:rPr>
          <w:color w:val="000000" w:themeColor="text1"/>
        </w:rPr>
        <w:t>. W</w:t>
      </w:r>
      <w:r w:rsidR="005A35E7" w:rsidRPr="00BE5FAF">
        <w:rPr>
          <w:color w:val="000000" w:themeColor="text1"/>
        </w:rPr>
        <w:t>hilst the proposed RSA may mitigate some financial risk, the ESC considered this was</w:t>
      </w:r>
      <w:r w:rsidR="005A35E7" w:rsidRPr="00BE5FAF">
        <w:rPr>
          <w:rFonts w:asciiTheme="minorHAnsi" w:hAnsiTheme="minorHAnsi"/>
        </w:rPr>
        <w:t xml:space="preserve"> only </w:t>
      </w:r>
      <w:r w:rsidR="00BE5FAF">
        <w:rPr>
          <w:rFonts w:asciiTheme="minorHAnsi" w:hAnsiTheme="minorHAnsi"/>
        </w:rPr>
        <w:t xml:space="preserve">effective </w:t>
      </w:r>
      <w:r w:rsidR="005A35E7" w:rsidRPr="00BE5FAF">
        <w:rPr>
          <w:rFonts w:asciiTheme="minorHAnsi" w:hAnsiTheme="minorHAnsi"/>
        </w:rPr>
        <w:t xml:space="preserve">if the </w:t>
      </w:r>
      <w:r w:rsidR="00A03E73" w:rsidRPr="00BE5FAF">
        <w:rPr>
          <w:rFonts w:asciiTheme="minorHAnsi" w:hAnsiTheme="minorHAnsi"/>
        </w:rPr>
        <w:t>estimates of patient and script numbers</w:t>
      </w:r>
      <w:r w:rsidR="005A35E7" w:rsidRPr="00BE5FAF">
        <w:rPr>
          <w:rFonts w:asciiTheme="minorHAnsi" w:hAnsiTheme="minorHAnsi"/>
        </w:rPr>
        <w:t xml:space="preserve"> are re</w:t>
      </w:r>
      <w:r w:rsidR="00B02313" w:rsidRPr="00BE5FAF">
        <w:rPr>
          <w:rFonts w:asciiTheme="minorHAnsi" w:hAnsiTheme="minorHAnsi"/>
        </w:rPr>
        <w:t>liable</w:t>
      </w:r>
      <w:r w:rsidR="005A35E7" w:rsidRPr="00BE5FAF">
        <w:rPr>
          <w:rFonts w:asciiTheme="minorHAnsi" w:hAnsiTheme="minorHAnsi"/>
        </w:rPr>
        <w:t>.</w:t>
      </w:r>
    </w:p>
    <w:p w:rsidR="006956D5" w:rsidRPr="00BE5FAF" w:rsidRDefault="006956D5" w:rsidP="003008B5">
      <w:pPr>
        <w:pStyle w:val="ListParagraph"/>
        <w:widowControl/>
        <w:numPr>
          <w:ilvl w:val="1"/>
          <w:numId w:val="2"/>
        </w:numPr>
        <w:spacing w:before="120" w:after="120"/>
        <w:rPr>
          <w:color w:val="000000" w:themeColor="text1"/>
        </w:rPr>
      </w:pPr>
      <w:r w:rsidRPr="00BE5FAF">
        <w:t xml:space="preserve">The proposed Commonwealth expenditure caps presented in the submission incorporate the April 2020 </w:t>
      </w:r>
      <w:r w:rsidR="00393DAA" w:rsidRPr="00BE5FAF">
        <w:t xml:space="preserve">statutory </w:t>
      </w:r>
      <w:r w:rsidRPr="00BE5FAF">
        <w:t xml:space="preserve">anniversary price reduction. For consistency with the budget impact estimates presented </w:t>
      </w:r>
      <w:r w:rsidR="00210137" w:rsidRPr="00BE5FAF">
        <w:t>above</w:t>
      </w:r>
      <w:r w:rsidRPr="00BE5FAF">
        <w:t xml:space="preserve">, the expenditure thresholds </w:t>
      </w:r>
      <w:proofErr w:type="gramStart"/>
      <w:r w:rsidRPr="00BE5FAF">
        <w:t>were recalculated</w:t>
      </w:r>
      <w:proofErr w:type="gramEnd"/>
      <w:r w:rsidRPr="00BE5FAF">
        <w:t xml:space="preserve"> </w:t>
      </w:r>
      <w:r w:rsidR="00210137" w:rsidRPr="00BE5FAF">
        <w:t xml:space="preserve">during evaluation to </w:t>
      </w:r>
      <w:r w:rsidRPr="00BE5FAF">
        <w:t>exclud</w:t>
      </w:r>
      <w:r w:rsidR="00210137" w:rsidRPr="00BE5FAF">
        <w:t>e</w:t>
      </w:r>
      <w:r w:rsidRPr="00BE5FAF">
        <w:t xml:space="preserve"> the anniversary price reduction. </w:t>
      </w:r>
    </w:p>
    <w:p w:rsidR="006956D5" w:rsidRPr="00BE5FAF" w:rsidRDefault="003D0A8E" w:rsidP="003008B5">
      <w:pPr>
        <w:pStyle w:val="ListParagraph"/>
        <w:widowControl/>
        <w:numPr>
          <w:ilvl w:val="1"/>
          <w:numId w:val="2"/>
        </w:numPr>
        <w:spacing w:before="120" w:after="120"/>
      </w:pPr>
      <w:r w:rsidRPr="00BE5FAF">
        <w:t>The table below</w:t>
      </w:r>
      <w:r w:rsidR="006956D5" w:rsidRPr="00BE5FAF">
        <w:t xml:space="preserve"> presents the Commonwealth expenditure caps and associated rebates under the proposed RSA.</w:t>
      </w:r>
    </w:p>
    <w:p w:rsidR="006956D5" w:rsidRPr="00BE5FAF" w:rsidRDefault="00EC1777" w:rsidP="00155932">
      <w:pPr>
        <w:pStyle w:val="TableHeading0"/>
        <w:keepLines/>
        <w:spacing w:after="0"/>
      </w:pPr>
      <w:r>
        <w:lastRenderedPageBreak/>
        <w:t>Table 15</w:t>
      </w:r>
      <w:r w:rsidR="006956D5" w:rsidRPr="00BE5FAF">
        <w:t>: Commonwealth expenditure caps and associated rebates under the proposed 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Commonwealth expenditure caps and associated rebates under the proposed RSA"/>
      </w:tblPr>
      <w:tblGrid>
        <w:gridCol w:w="1290"/>
        <w:gridCol w:w="1220"/>
        <w:gridCol w:w="1220"/>
        <w:gridCol w:w="1314"/>
        <w:gridCol w:w="1314"/>
        <w:gridCol w:w="1314"/>
        <w:gridCol w:w="1345"/>
      </w:tblGrid>
      <w:tr w:rsidR="006956D5" w:rsidRPr="00BE5FAF" w:rsidTr="006956D5">
        <w:trPr>
          <w:trHeight w:val="54"/>
        </w:trPr>
        <w:tc>
          <w:tcPr>
            <w:tcW w:w="862" w:type="pct"/>
            <w:shd w:val="clear" w:color="auto" w:fill="auto"/>
            <w:noWrap/>
            <w:vAlign w:val="center"/>
            <w:hideMark/>
          </w:tcPr>
          <w:p w:rsidR="006956D5" w:rsidRPr="00BE5FAF" w:rsidRDefault="006956D5" w:rsidP="00155932">
            <w:pPr>
              <w:keepNext/>
              <w:keepLines/>
              <w:widowControl/>
              <w:jc w:val="center"/>
              <w:rPr>
                <w:rFonts w:ascii="Arial Narrow" w:hAnsi="Arial Narrow"/>
                <w:b/>
                <w:bCs/>
                <w:color w:val="000000"/>
                <w:sz w:val="20"/>
                <w:szCs w:val="20"/>
                <w:lang w:eastAsia="en-AU"/>
              </w:rPr>
            </w:pPr>
          </w:p>
        </w:tc>
        <w:tc>
          <w:tcPr>
            <w:tcW w:w="689" w:type="pct"/>
            <w:shd w:val="clear" w:color="auto" w:fill="auto"/>
            <w:noWrap/>
            <w:vAlign w:val="center"/>
            <w:hideMark/>
          </w:tcPr>
          <w:p w:rsidR="006956D5" w:rsidRPr="00BE5FAF" w:rsidRDefault="006956D5" w:rsidP="00155932">
            <w:pPr>
              <w:keepNext/>
              <w:keepLines/>
              <w:widowControl/>
              <w:jc w:val="center"/>
              <w:rPr>
                <w:rFonts w:ascii="Arial Narrow" w:hAnsi="Arial Narrow"/>
                <w:b/>
                <w:bCs/>
                <w:color w:val="000000"/>
                <w:sz w:val="20"/>
                <w:szCs w:val="20"/>
                <w:lang w:eastAsia="en-AU"/>
              </w:rPr>
            </w:pPr>
            <w:r w:rsidRPr="00BE5FAF">
              <w:rPr>
                <w:rFonts w:ascii="Arial Narrow" w:hAnsi="Arial Narrow"/>
                <w:b/>
                <w:bCs/>
                <w:color w:val="000000"/>
                <w:sz w:val="20"/>
                <w:szCs w:val="20"/>
                <w:lang w:eastAsia="en-AU"/>
              </w:rPr>
              <w:t>Year 1</w:t>
            </w:r>
          </w:p>
        </w:tc>
        <w:tc>
          <w:tcPr>
            <w:tcW w:w="690" w:type="pct"/>
            <w:shd w:val="clear" w:color="auto" w:fill="auto"/>
            <w:noWrap/>
            <w:vAlign w:val="center"/>
            <w:hideMark/>
          </w:tcPr>
          <w:p w:rsidR="006956D5" w:rsidRPr="00BE5FAF" w:rsidRDefault="006956D5" w:rsidP="00155932">
            <w:pPr>
              <w:keepNext/>
              <w:keepLines/>
              <w:widowControl/>
              <w:jc w:val="center"/>
              <w:rPr>
                <w:rFonts w:ascii="Arial Narrow" w:hAnsi="Arial Narrow"/>
                <w:b/>
                <w:bCs/>
                <w:color w:val="000000"/>
                <w:sz w:val="20"/>
                <w:szCs w:val="20"/>
                <w:lang w:eastAsia="en-AU"/>
              </w:rPr>
            </w:pPr>
            <w:r w:rsidRPr="00BE5FAF">
              <w:rPr>
                <w:rFonts w:ascii="Arial Narrow" w:hAnsi="Arial Narrow"/>
                <w:b/>
                <w:bCs/>
                <w:color w:val="000000"/>
                <w:sz w:val="20"/>
                <w:szCs w:val="20"/>
                <w:lang w:eastAsia="en-AU"/>
              </w:rPr>
              <w:t>Year 2</w:t>
            </w:r>
          </w:p>
        </w:tc>
        <w:tc>
          <w:tcPr>
            <w:tcW w:w="689" w:type="pct"/>
            <w:shd w:val="clear" w:color="auto" w:fill="auto"/>
            <w:noWrap/>
            <w:vAlign w:val="center"/>
            <w:hideMark/>
          </w:tcPr>
          <w:p w:rsidR="006956D5" w:rsidRPr="00BE5FAF" w:rsidRDefault="006956D5" w:rsidP="00155932">
            <w:pPr>
              <w:keepNext/>
              <w:keepLines/>
              <w:widowControl/>
              <w:jc w:val="center"/>
              <w:rPr>
                <w:rFonts w:ascii="Arial Narrow" w:hAnsi="Arial Narrow"/>
                <w:b/>
                <w:bCs/>
                <w:color w:val="000000"/>
                <w:sz w:val="20"/>
                <w:szCs w:val="20"/>
                <w:lang w:eastAsia="en-AU"/>
              </w:rPr>
            </w:pPr>
            <w:r w:rsidRPr="00BE5FAF">
              <w:rPr>
                <w:rFonts w:ascii="Arial Narrow" w:hAnsi="Arial Narrow"/>
                <w:b/>
                <w:bCs/>
                <w:color w:val="000000"/>
                <w:sz w:val="20"/>
                <w:szCs w:val="20"/>
                <w:lang w:eastAsia="en-AU"/>
              </w:rPr>
              <w:t>Year 3</w:t>
            </w:r>
          </w:p>
        </w:tc>
        <w:tc>
          <w:tcPr>
            <w:tcW w:w="690" w:type="pct"/>
            <w:shd w:val="clear" w:color="auto" w:fill="auto"/>
            <w:noWrap/>
            <w:vAlign w:val="center"/>
            <w:hideMark/>
          </w:tcPr>
          <w:p w:rsidR="006956D5" w:rsidRPr="00BE5FAF" w:rsidRDefault="006956D5" w:rsidP="00155932">
            <w:pPr>
              <w:keepNext/>
              <w:keepLines/>
              <w:widowControl/>
              <w:jc w:val="center"/>
              <w:rPr>
                <w:rFonts w:ascii="Arial Narrow" w:hAnsi="Arial Narrow"/>
                <w:b/>
                <w:bCs/>
                <w:color w:val="000000"/>
                <w:sz w:val="20"/>
                <w:szCs w:val="20"/>
                <w:lang w:eastAsia="en-AU"/>
              </w:rPr>
            </w:pPr>
            <w:r w:rsidRPr="00BE5FAF">
              <w:rPr>
                <w:rFonts w:ascii="Arial Narrow" w:hAnsi="Arial Narrow"/>
                <w:b/>
                <w:bCs/>
                <w:color w:val="000000"/>
                <w:sz w:val="20"/>
                <w:szCs w:val="20"/>
                <w:lang w:eastAsia="en-AU"/>
              </w:rPr>
              <w:t>Year 4</w:t>
            </w:r>
          </w:p>
        </w:tc>
        <w:tc>
          <w:tcPr>
            <w:tcW w:w="689" w:type="pct"/>
            <w:shd w:val="clear" w:color="auto" w:fill="auto"/>
            <w:noWrap/>
            <w:vAlign w:val="center"/>
            <w:hideMark/>
          </w:tcPr>
          <w:p w:rsidR="006956D5" w:rsidRPr="00BE5FAF" w:rsidRDefault="006956D5" w:rsidP="00155932">
            <w:pPr>
              <w:keepNext/>
              <w:keepLines/>
              <w:widowControl/>
              <w:jc w:val="center"/>
              <w:rPr>
                <w:rFonts w:ascii="Arial Narrow" w:hAnsi="Arial Narrow"/>
                <w:b/>
                <w:bCs/>
                <w:color w:val="000000"/>
                <w:sz w:val="20"/>
                <w:szCs w:val="20"/>
                <w:lang w:eastAsia="en-AU"/>
              </w:rPr>
            </w:pPr>
            <w:r w:rsidRPr="00BE5FAF">
              <w:rPr>
                <w:rFonts w:ascii="Arial Narrow" w:hAnsi="Arial Narrow"/>
                <w:b/>
                <w:bCs/>
                <w:color w:val="000000"/>
                <w:sz w:val="20"/>
                <w:szCs w:val="20"/>
                <w:lang w:eastAsia="en-AU"/>
              </w:rPr>
              <w:t>Year 5</w:t>
            </w:r>
          </w:p>
        </w:tc>
        <w:tc>
          <w:tcPr>
            <w:tcW w:w="691" w:type="pct"/>
            <w:vAlign w:val="center"/>
          </w:tcPr>
          <w:p w:rsidR="006956D5" w:rsidRPr="00BE5FAF" w:rsidRDefault="006956D5" w:rsidP="00155932">
            <w:pPr>
              <w:keepNext/>
              <w:keepLines/>
              <w:widowControl/>
              <w:jc w:val="center"/>
              <w:rPr>
                <w:rFonts w:ascii="Arial Narrow" w:hAnsi="Arial Narrow"/>
                <w:b/>
                <w:bCs/>
                <w:color w:val="000000"/>
                <w:sz w:val="20"/>
                <w:szCs w:val="20"/>
                <w:lang w:eastAsia="en-AU"/>
              </w:rPr>
            </w:pPr>
            <w:r w:rsidRPr="00BE5FAF">
              <w:rPr>
                <w:rFonts w:ascii="Arial Narrow" w:hAnsi="Arial Narrow"/>
                <w:b/>
                <w:bCs/>
                <w:color w:val="000000"/>
                <w:sz w:val="20"/>
                <w:szCs w:val="20"/>
                <w:lang w:eastAsia="en-AU"/>
              </w:rPr>
              <w:t>Year 6</w:t>
            </w:r>
          </w:p>
        </w:tc>
      </w:tr>
      <w:tr w:rsidR="006956D5" w:rsidRPr="00BE5FAF" w:rsidTr="006956D5">
        <w:trPr>
          <w:trHeight w:val="285"/>
        </w:trPr>
        <w:tc>
          <w:tcPr>
            <w:tcW w:w="5000" w:type="pct"/>
            <w:gridSpan w:val="7"/>
            <w:shd w:val="clear" w:color="auto" w:fill="auto"/>
            <w:noWrap/>
            <w:vAlign w:val="center"/>
          </w:tcPr>
          <w:p w:rsidR="006956D5" w:rsidRPr="00BE5FAF" w:rsidRDefault="006956D5" w:rsidP="00155932">
            <w:pPr>
              <w:keepNext/>
              <w:keepLines/>
              <w:widowControl/>
              <w:rPr>
                <w:rFonts w:ascii="Arial Narrow" w:hAnsi="Arial Narrow"/>
                <w:color w:val="000000"/>
                <w:sz w:val="20"/>
                <w:szCs w:val="20"/>
                <w:lang w:eastAsia="en-AU"/>
              </w:rPr>
            </w:pPr>
            <w:r w:rsidRPr="00BE5FAF">
              <w:rPr>
                <w:rFonts w:ascii="Arial Narrow" w:hAnsi="Arial Narrow"/>
                <w:b/>
                <w:color w:val="000000"/>
                <w:sz w:val="20"/>
                <w:szCs w:val="20"/>
                <w:lang w:eastAsia="en-AU"/>
              </w:rPr>
              <w:t>Proposed caps (inclusive of anniversary price reduction)</w:t>
            </w:r>
          </w:p>
        </w:tc>
      </w:tr>
      <w:tr w:rsidR="006956D5" w:rsidRPr="00BE5FAF" w:rsidTr="006956D5">
        <w:trPr>
          <w:trHeight w:val="285"/>
        </w:trPr>
        <w:tc>
          <w:tcPr>
            <w:tcW w:w="862" w:type="pct"/>
            <w:shd w:val="clear" w:color="auto" w:fill="auto"/>
            <w:noWrap/>
            <w:vAlign w:val="center"/>
            <w:hideMark/>
          </w:tcPr>
          <w:p w:rsidR="006956D5" w:rsidRPr="00BE5FAF" w:rsidRDefault="006956D5" w:rsidP="00155932">
            <w:pPr>
              <w:keepNext/>
              <w:keepLines/>
              <w:widowControl/>
              <w:rPr>
                <w:rFonts w:ascii="Arial Narrow" w:hAnsi="Arial Narrow"/>
                <w:bCs/>
                <w:color w:val="000000"/>
                <w:sz w:val="20"/>
                <w:szCs w:val="20"/>
                <w:lang w:eastAsia="en-AU"/>
              </w:rPr>
            </w:pPr>
            <w:r w:rsidRPr="00BE5FAF">
              <w:rPr>
                <w:rFonts w:ascii="Arial Narrow" w:hAnsi="Arial Narrow"/>
                <w:bCs/>
                <w:color w:val="000000"/>
                <w:sz w:val="20"/>
                <w:szCs w:val="20"/>
                <w:lang w:eastAsia="en-AU"/>
              </w:rPr>
              <w:t xml:space="preserve">Tier 1: </w:t>
            </w:r>
          </w:p>
          <w:p w:rsidR="006956D5" w:rsidRPr="00BE5FAF" w:rsidRDefault="00517BCE" w:rsidP="00155932">
            <w:pPr>
              <w:keepNext/>
              <w:keepLines/>
              <w:widowControl/>
              <w:rPr>
                <w:rFonts w:ascii="Arial Narrow" w:hAnsi="Arial Narrow"/>
                <w:bCs/>
                <w:color w:val="000000"/>
                <w:sz w:val="20"/>
                <w:szCs w:val="20"/>
                <w:lang w:eastAsia="en-AU"/>
              </w:rPr>
            </w:pPr>
            <w:r>
              <w:rPr>
                <w:rFonts w:ascii="Arial Narrow" w:hAnsi="Arial Narrow"/>
                <w:bCs/>
                <w:noProof/>
                <w:color w:val="000000"/>
                <w:sz w:val="20"/>
                <w:szCs w:val="20"/>
                <w:highlight w:val="black"/>
                <w:lang w:eastAsia="en-AU"/>
              </w:rPr>
              <w:t>''''''''''</w:t>
            </w:r>
            <w:r w:rsidR="006956D5" w:rsidRPr="00BE5FAF">
              <w:rPr>
                <w:rFonts w:ascii="Arial Narrow" w:hAnsi="Arial Narrow"/>
                <w:bCs/>
                <w:color w:val="000000"/>
                <w:sz w:val="20"/>
                <w:szCs w:val="20"/>
                <w:lang w:eastAsia="en-AU"/>
              </w:rPr>
              <w:t>% rebate</w:t>
            </w:r>
          </w:p>
        </w:tc>
        <w:tc>
          <w:tcPr>
            <w:tcW w:w="689" w:type="pct"/>
            <w:shd w:val="clear" w:color="auto" w:fill="auto"/>
            <w:vAlign w:val="center"/>
            <w:hideMark/>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color w:val="000000"/>
                <w:sz w:val="20"/>
                <w:szCs w:val="20"/>
                <w:lang w:eastAsia="en-AU"/>
              </w:rPr>
              <w:t>$</w:t>
            </w:r>
            <w:r w:rsidR="00517BCE">
              <w:rPr>
                <w:rFonts w:ascii="Arial Narrow" w:hAnsi="Arial Narrow"/>
                <w:noProof/>
                <w:color w:val="000000"/>
                <w:sz w:val="20"/>
                <w:szCs w:val="20"/>
                <w:highlight w:val="black"/>
                <w:lang w:eastAsia="en-AU"/>
              </w:rPr>
              <w:t>'''''''''''''''''''''''''''''</w:t>
            </w:r>
          </w:p>
        </w:tc>
        <w:tc>
          <w:tcPr>
            <w:tcW w:w="690" w:type="pct"/>
            <w:shd w:val="clear" w:color="auto" w:fill="auto"/>
            <w:vAlign w:val="center"/>
            <w:hideMark/>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color w:val="000000"/>
                <w:sz w:val="20"/>
                <w:szCs w:val="20"/>
                <w:lang w:eastAsia="en-AU"/>
              </w:rPr>
              <w:t>$</w:t>
            </w:r>
            <w:r w:rsidR="00517BCE">
              <w:rPr>
                <w:rFonts w:ascii="Arial Narrow" w:hAnsi="Arial Narrow"/>
                <w:noProof/>
                <w:color w:val="000000"/>
                <w:sz w:val="20"/>
                <w:szCs w:val="20"/>
                <w:highlight w:val="black"/>
                <w:lang w:eastAsia="en-AU"/>
              </w:rPr>
              <w:t>'''''''''''''''''''''''''</w:t>
            </w:r>
          </w:p>
        </w:tc>
        <w:tc>
          <w:tcPr>
            <w:tcW w:w="689" w:type="pct"/>
            <w:shd w:val="clear" w:color="auto" w:fill="auto"/>
            <w:vAlign w:val="center"/>
            <w:hideMark/>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color w:val="000000"/>
                <w:sz w:val="20"/>
                <w:szCs w:val="20"/>
                <w:lang w:eastAsia="en-AU"/>
              </w:rPr>
              <w:t>$</w:t>
            </w:r>
            <w:r w:rsidR="00517BCE">
              <w:rPr>
                <w:rFonts w:ascii="Arial Narrow" w:hAnsi="Arial Narrow"/>
                <w:noProof/>
                <w:color w:val="000000"/>
                <w:sz w:val="20"/>
                <w:szCs w:val="20"/>
                <w:highlight w:val="black"/>
                <w:lang w:eastAsia="en-AU"/>
              </w:rPr>
              <w:t>'''''''''''''''''''''''''''</w:t>
            </w:r>
          </w:p>
        </w:tc>
        <w:tc>
          <w:tcPr>
            <w:tcW w:w="690" w:type="pct"/>
            <w:shd w:val="clear" w:color="auto" w:fill="auto"/>
            <w:vAlign w:val="center"/>
            <w:hideMark/>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color w:val="000000"/>
                <w:sz w:val="20"/>
                <w:szCs w:val="20"/>
                <w:lang w:eastAsia="en-AU"/>
              </w:rPr>
              <w:t>$</w:t>
            </w:r>
            <w:r w:rsidR="00517BCE">
              <w:rPr>
                <w:rFonts w:ascii="Arial Narrow" w:hAnsi="Arial Narrow"/>
                <w:noProof/>
                <w:color w:val="000000"/>
                <w:sz w:val="20"/>
                <w:szCs w:val="20"/>
                <w:highlight w:val="black"/>
                <w:lang w:eastAsia="en-AU"/>
              </w:rPr>
              <w:t>''''''''''''''''''''''''</w:t>
            </w:r>
          </w:p>
        </w:tc>
        <w:tc>
          <w:tcPr>
            <w:tcW w:w="689" w:type="pct"/>
            <w:shd w:val="clear" w:color="auto" w:fill="auto"/>
            <w:vAlign w:val="center"/>
            <w:hideMark/>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color w:val="000000"/>
                <w:sz w:val="20"/>
                <w:szCs w:val="20"/>
                <w:lang w:eastAsia="en-AU"/>
              </w:rPr>
              <w:t>$</w:t>
            </w:r>
            <w:r w:rsidR="00517BCE">
              <w:rPr>
                <w:rFonts w:ascii="Arial Narrow" w:hAnsi="Arial Narrow"/>
                <w:noProof/>
                <w:color w:val="000000"/>
                <w:sz w:val="20"/>
                <w:szCs w:val="20"/>
                <w:highlight w:val="black"/>
                <w:lang w:eastAsia="en-AU"/>
              </w:rPr>
              <w:t>'''''''''''''''''''''''''''</w:t>
            </w:r>
          </w:p>
        </w:tc>
        <w:tc>
          <w:tcPr>
            <w:tcW w:w="691" w:type="pct"/>
            <w:vAlign w:val="center"/>
          </w:tcPr>
          <w:p w:rsidR="006956D5" w:rsidRPr="00BE5FAF" w:rsidRDefault="006956D5" w:rsidP="00155932">
            <w:pPr>
              <w:keepNext/>
              <w:keepLines/>
              <w:widowControl/>
              <w:jc w:val="center"/>
              <w:rPr>
                <w:rFonts w:ascii="Arial Narrow" w:hAnsi="Arial Narrow"/>
                <w:i/>
                <w:color w:val="000000"/>
                <w:sz w:val="20"/>
                <w:szCs w:val="20"/>
                <w:lang w:eastAsia="en-AU"/>
              </w:rPr>
            </w:pPr>
            <w:r w:rsidRPr="00BE5FAF">
              <w:rPr>
                <w:rFonts w:ascii="Arial Narrow" w:hAnsi="Arial Narrow"/>
                <w:i/>
                <w:color w:val="000000"/>
                <w:sz w:val="20"/>
                <w:szCs w:val="20"/>
                <w:lang w:eastAsia="en-AU"/>
              </w:rPr>
              <w:t>$</w:t>
            </w:r>
            <w:r w:rsidR="00517BCE">
              <w:rPr>
                <w:rFonts w:ascii="Arial Narrow" w:hAnsi="Arial Narrow"/>
                <w:i/>
                <w:noProof/>
                <w:color w:val="000000"/>
                <w:sz w:val="20"/>
                <w:szCs w:val="20"/>
                <w:highlight w:val="black"/>
                <w:lang w:eastAsia="en-AU"/>
              </w:rPr>
              <w:t>''''''''''''''''''''''''</w:t>
            </w:r>
          </w:p>
        </w:tc>
      </w:tr>
      <w:tr w:rsidR="006956D5" w:rsidRPr="00BE5FAF" w:rsidTr="006956D5">
        <w:trPr>
          <w:trHeight w:val="285"/>
        </w:trPr>
        <w:tc>
          <w:tcPr>
            <w:tcW w:w="862" w:type="pct"/>
            <w:shd w:val="clear" w:color="auto" w:fill="auto"/>
            <w:noWrap/>
            <w:vAlign w:val="center"/>
            <w:hideMark/>
          </w:tcPr>
          <w:p w:rsidR="006956D5" w:rsidRPr="00BE5FAF" w:rsidRDefault="006956D5" w:rsidP="00155932">
            <w:pPr>
              <w:keepNext/>
              <w:keepLines/>
              <w:widowControl/>
              <w:rPr>
                <w:rFonts w:ascii="Arial Narrow" w:hAnsi="Arial Narrow"/>
                <w:bCs/>
                <w:color w:val="000000"/>
                <w:sz w:val="20"/>
                <w:szCs w:val="20"/>
                <w:lang w:eastAsia="en-AU"/>
              </w:rPr>
            </w:pPr>
            <w:r w:rsidRPr="00BE5FAF">
              <w:rPr>
                <w:rFonts w:ascii="Arial Narrow" w:hAnsi="Arial Narrow"/>
                <w:bCs/>
                <w:color w:val="000000"/>
                <w:sz w:val="20"/>
                <w:szCs w:val="20"/>
                <w:lang w:eastAsia="en-AU"/>
              </w:rPr>
              <w:t xml:space="preserve">Tier 2: </w:t>
            </w:r>
          </w:p>
          <w:p w:rsidR="006956D5" w:rsidRPr="00BE5FAF" w:rsidRDefault="00517BCE" w:rsidP="00155932">
            <w:pPr>
              <w:keepNext/>
              <w:keepLines/>
              <w:widowControl/>
              <w:rPr>
                <w:rFonts w:ascii="Arial Narrow" w:hAnsi="Arial Narrow"/>
                <w:bCs/>
                <w:color w:val="000000"/>
                <w:sz w:val="20"/>
                <w:szCs w:val="20"/>
                <w:lang w:eastAsia="en-AU"/>
              </w:rPr>
            </w:pPr>
            <w:r>
              <w:rPr>
                <w:rFonts w:ascii="Arial Narrow" w:hAnsi="Arial Narrow"/>
                <w:bCs/>
                <w:noProof/>
                <w:color w:val="000000"/>
                <w:sz w:val="20"/>
                <w:szCs w:val="20"/>
                <w:highlight w:val="black"/>
                <w:lang w:eastAsia="en-AU"/>
              </w:rPr>
              <w:t>'''''''''''''</w:t>
            </w:r>
            <w:r w:rsidR="006956D5" w:rsidRPr="00BE5FAF">
              <w:rPr>
                <w:rFonts w:ascii="Arial Narrow" w:hAnsi="Arial Narrow"/>
                <w:bCs/>
                <w:color w:val="000000"/>
                <w:sz w:val="20"/>
                <w:szCs w:val="20"/>
                <w:lang w:eastAsia="en-AU"/>
              </w:rPr>
              <w:t>% rebate</w:t>
            </w:r>
          </w:p>
        </w:tc>
        <w:tc>
          <w:tcPr>
            <w:tcW w:w="689" w:type="pct"/>
            <w:shd w:val="clear" w:color="auto" w:fill="auto"/>
            <w:vAlign w:val="center"/>
            <w:hideMark/>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color w:val="000000"/>
                <w:sz w:val="20"/>
                <w:szCs w:val="20"/>
                <w:lang w:eastAsia="en-AU"/>
              </w:rPr>
              <w:t>$</w:t>
            </w:r>
            <w:r w:rsidR="00517BCE">
              <w:rPr>
                <w:rFonts w:ascii="Arial Narrow" w:hAnsi="Arial Narrow"/>
                <w:noProof/>
                <w:color w:val="000000"/>
                <w:sz w:val="20"/>
                <w:szCs w:val="20"/>
                <w:highlight w:val="black"/>
                <w:lang w:eastAsia="en-AU"/>
              </w:rPr>
              <w:t>''''''''''''''''''''''''''</w:t>
            </w:r>
          </w:p>
        </w:tc>
        <w:tc>
          <w:tcPr>
            <w:tcW w:w="690" w:type="pct"/>
            <w:shd w:val="clear" w:color="auto" w:fill="auto"/>
            <w:vAlign w:val="center"/>
            <w:hideMark/>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color w:val="000000"/>
                <w:sz w:val="20"/>
                <w:szCs w:val="20"/>
                <w:lang w:eastAsia="en-AU"/>
              </w:rPr>
              <w:t>$</w:t>
            </w:r>
            <w:r w:rsidR="00517BCE">
              <w:rPr>
                <w:rFonts w:ascii="Arial Narrow" w:hAnsi="Arial Narrow"/>
                <w:noProof/>
                <w:color w:val="000000"/>
                <w:sz w:val="20"/>
                <w:szCs w:val="20"/>
                <w:highlight w:val="black"/>
                <w:lang w:eastAsia="en-AU"/>
              </w:rPr>
              <w:t>'''''''''''''''''''''''''''</w:t>
            </w:r>
          </w:p>
        </w:tc>
        <w:tc>
          <w:tcPr>
            <w:tcW w:w="689" w:type="pct"/>
            <w:shd w:val="clear" w:color="auto" w:fill="auto"/>
            <w:vAlign w:val="center"/>
            <w:hideMark/>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color w:val="000000"/>
                <w:sz w:val="20"/>
                <w:szCs w:val="20"/>
                <w:lang w:eastAsia="en-AU"/>
              </w:rPr>
              <w:t>$</w:t>
            </w:r>
            <w:r w:rsidR="00517BCE">
              <w:rPr>
                <w:rFonts w:ascii="Arial Narrow" w:hAnsi="Arial Narrow"/>
                <w:noProof/>
                <w:color w:val="000000"/>
                <w:sz w:val="20"/>
                <w:szCs w:val="20"/>
                <w:highlight w:val="black"/>
                <w:lang w:eastAsia="en-AU"/>
              </w:rPr>
              <w:t>''''''''''''''''''''''''''''''''</w:t>
            </w:r>
          </w:p>
        </w:tc>
        <w:tc>
          <w:tcPr>
            <w:tcW w:w="690" w:type="pct"/>
            <w:shd w:val="clear" w:color="auto" w:fill="auto"/>
            <w:vAlign w:val="center"/>
            <w:hideMark/>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color w:val="000000"/>
                <w:sz w:val="20"/>
                <w:szCs w:val="20"/>
                <w:lang w:eastAsia="en-AU"/>
              </w:rPr>
              <w:t>$</w:t>
            </w:r>
            <w:r w:rsidR="00517BCE">
              <w:rPr>
                <w:rFonts w:ascii="Arial Narrow" w:hAnsi="Arial Narrow"/>
                <w:noProof/>
                <w:color w:val="000000"/>
                <w:sz w:val="20"/>
                <w:szCs w:val="20"/>
                <w:highlight w:val="black"/>
                <w:lang w:eastAsia="en-AU"/>
              </w:rPr>
              <w:t>'''''''''''''''''''''''''''</w:t>
            </w:r>
          </w:p>
        </w:tc>
        <w:tc>
          <w:tcPr>
            <w:tcW w:w="689" w:type="pct"/>
            <w:shd w:val="clear" w:color="auto" w:fill="auto"/>
            <w:vAlign w:val="center"/>
            <w:hideMark/>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color w:val="000000"/>
                <w:sz w:val="20"/>
                <w:szCs w:val="20"/>
                <w:lang w:eastAsia="en-AU"/>
              </w:rPr>
              <w:t>$</w:t>
            </w:r>
            <w:r w:rsidR="00517BCE">
              <w:rPr>
                <w:rFonts w:ascii="Arial Narrow" w:hAnsi="Arial Narrow"/>
                <w:noProof/>
                <w:color w:val="000000"/>
                <w:sz w:val="20"/>
                <w:szCs w:val="20"/>
                <w:highlight w:val="black"/>
                <w:lang w:eastAsia="en-AU"/>
              </w:rPr>
              <w:t>''''''''''''''''''''''''''''</w:t>
            </w:r>
          </w:p>
        </w:tc>
        <w:tc>
          <w:tcPr>
            <w:tcW w:w="691" w:type="pct"/>
            <w:vAlign w:val="center"/>
          </w:tcPr>
          <w:p w:rsidR="006956D5" w:rsidRPr="00BE5FAF" w:rsidRDefault="006956D5" w:rsidP="00155932">
            <w:pPr>
              <w:keepNext/>
              <w:keepLines/>
              <w:widowControl/>
              <w:jc w:val="center"/>
              <w:rPr>
                <w:rFonts w:ascii="Arial Narrow" w:hAnsi="Arial Narrow"/>
                <w:i/>
                <w:color w:val="000000"/>
                <w:sz w:val="20"/>
                <w:szCs w:val="20"/>
                <w:lang w:eastAsia="en-AU"/>
              </w:rPr>
            </w:pPr>
            <w:r w:rsidRPr="00BE5FAF">
              <w:rPr>
                <w:rFonts w:ascii="Arial Narrow" w:hAnsi="Arial Narrow"/>
                <w:i/>
                <w:color w:val="000000"/>
                <w:sz w:val="20"/>
                <w:szCs w:val="20"/>
                <w:lang w:eastAsia="en-AU"/>
              </w:rPr>
              <w:t>$</w:t>
            </w:r>
            <w:r w:rsidR="00517BCE">
              <w:rPr>
                <w:rFonts w:ascii="Arial Narrow" w:hAnsi="Arial Narrow"/>
                <w:i/>
                <w:noProof/>
                <w:color w:val="000000"/>
                <w:sz w:val="20"/>
                <w:szCs w:val="20"/>
                <w:highlight w:val="black"/>
                <w:lang w:eastAsia="en-AU"/>
              </w:rPr>
              <w:t>'''''''''''''''''''''''''''''''''</w:t>
            </w:r>
          </w:p>
        </w:tc>
      </w:tr>
      <w:tr w:rsidR="006956D5" w:rsidRPr="00BE5FAF" w:rsidTr="006956D5">
        <w:trPr>
          <w:trHeight w:val="285"/>
        </w:trPr>
        <w:tc>
          <w:tcPr>
            <w:tcW w:w="5000" w:type="pct"/>
            <w:gridSpan w:val="7"/>
            <w:shd w:val="clear" w:color="auto" w:fill="auto"/>
            <w:noWrap/>
            <w:vAlign w:val="center"/>
          </w:tcPr>
          <w:p w:rsidR="006956D5" w:rsidRPr="00BE5FAF" w:rsidRDefault="006956D5" w:rsidP="00155932">
            <w:pPr>
              <w:keepNext/>
              <w:keepLines/>
              <w:widowControl/>
              <w:rPr>
                <w:rFonts w:ascii="Arial Narrow" w:hAnsi="Arial Narrow"/>
                <w:b/>
                <w:color w:val="000000"/>
                <w:sz w:val="20"/>
                <w:szCs w:val="20"/>
                <w:lang w:eastAsia="en-AU"/>
              </w:rPr>
            </w:pPr>
            <w:r w:rsidRPr="00BE5FAF">
              <w:rPr>
                <w:rFonts w:ascii="Arial Narrow" w:hAnsi="Arial Narrow"/>
                <w:b/>
                <w:color w:val="000000"/>
                <w:sz w:val="20"/>
                <w:szCs w:val="20"/>
                <w:lang w:eastAsia="en-AU"/>
              </w:rPr>
              <w:t>Recalculated caps (excluding anniversary price reduction</w:t>
            </w:r>
            <w:r w:rsidR="00210137" w:rsidRPr="00BE5FAF">
              <w:rPr>
                <w:rFonts w:ascii="Arial Narrow" w:hAnsi="Arial Narrow"/>
                <w:b/>
                <w:color w:val="000000"/>
                <w:sz w:val="20"/>
                <w:szCs w:val="20"/>
                <w:lang w:eastAsia="en-AU"/>
              </w:rPr>
              <w:t>, calculated during evaluation</w:t>
            </w:r>
            <w:r w:rsidRPr="00BE5FAF">
              <w:rPr>
                <w:rFonts w:ascii="Arial Narrow" w:hAnsi="Arial Narrow"/>
                <w:b/>
                <w:color w:val="000000"/>
                <w:sz w:val="20"/>
                <w:szCs w:val="20"/>
                <w:lang w:eastAsia="en-AU"/>
              </w:rPr>
              <w:t>)</w:t>
            </w:r>
          </w:p>
        </w:tc>
      </w:tr>
      <w:tr w:rsidR="006956D5" w:rsidRPr="00BE5FAF" w:rsidTr="006956D5">
        <w:trPr>
          <w:trHeight w:val="285"/>
        </w:trPr>
        <w:tc>
          <w:tcPr>
            <w:tcW w:w="862" w:type="pct"/>
            <w:shd w:val="clear" w:color="auto" w:fill="auto"/>
            <w:noWrap/>
            <w:vAlign w:val="center"/>
          </w:tcPr>
          <w:p w:rsidR="006956D5" w:rsidRPr="00BE5FAF" w:rsidRDefault="006956D5" w:rsidP="00155932">
            <w:pPr>
              <w:keepNext/>
              <w:keepLines/>
              <w:widowControl/>
              <w:rPr>
                <w:rFonts w:ascii="Arial Narrow" w:hAnsi="Arial Narrow"/>
                <w:bCs/>
                <w:color w:val="000000"/>
                <w:sz w:val="20"/>
                <w:szCs w:val="20"/>
                <w:lang w:eastAsia="en-AU"/>
              </w:rPr>
            </w:pPr>
            <w:r w:rsidRPr="00BE5FAF">
              <w:rPr>
                <w:rFonts w:ascii="Arial Narrow" w:hAnsi="Arial Narrow"/>
                <w:bCs/>
                <w:color w:val="000000"/>
                <w:sz w:val="20"/>
                <w:szCs w:val="20"/>
                <w:lang w:eastAsia="en-AU"/>
              </w:rPr>
              <w:t xml:space="preserve">Tier 1: </w:t>
            </w:r>
          </w:p>
          <w:p w:rsidR="006956D5" w:rsidRPr="00BE5FAF" w:rsidRDefault="00517BCE" w:rsidP="00155932">
            <w:pPr>
              <w:keepNext/>
              <w:keepLines/>
              <w:widowControl/>
              <w:rPr>
                <w:rFonts w:ascii="Arial Narrow" w:hAnsi="Arial Narrow"/>
                <w:bCs/>
                <w:color w:val="000000"/>
                <w:sz w:val="20"/>
                <w:szCs w:val="20"/>
                <w:lang w:eastAsia="en-AU"/>
              </w:rPr>
            </w:pPr>
            <w:r>
              <w:rPr>
                <w:rFonts w:ascii="Arial Narrow" w:hAnsi="Arial Narrow"/>
                <w:bCs/>
                <w:noProof/>
                <w:color w:val="000000"/>
                <w:sz w:val="20"/>
                <w:szCs w:val="20"/>
                <w:highlight w:val="black"/>
                <w:lang w:eastAsia="en-AU"/>
              </w:rPr>
              <w:t>''''''''''</w:t>
            </w:r>
            <w:r w:rsidR="006956D5" w:rsidRPr="00BE5FAF">
              <w:rPr>
                <w:rFonts w:ascii="Arial Narrow" w:hAnsi="Arial Narrow"/>
                <w:bCs/>
                <w:color w:val="000000"/>
                <w:sz w:val="20"/>
                <w:szCs w:val="20"/>
                <w:lang w:eastAsia="en-AU"/>
              </w:rPr>
              <w:t>% rebate</w:t>
            </w:r>
          </w:p>
        </w:tc>
        <w:tc>
          <w:tcPr>
            <w:tcW w:w="689" w:type="pct"/>
            <w:shd w:val="clear" w:color="auto" w:fill="auto"/>
            <w:vAlign w:val="center"/>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690" w:type="pct"/>
            <w:shd w:val="clear" w:color="auto" w:fill="auto"/>
            <w:vAlign w:val="center"/>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689" w:type="pct"/>
            <w:shd w:val="clear" w:color="auto" w:fill="auto"/>
            <w:vAlign w:val="center"/>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690" w:type="pct"/>
            <w:shd w:val="clear" w:color="auto" w:fill="auto"/>
            <w:vAlign w:val="center"/>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689" w:type="pct"/>
            <w:shd w:val="clear" w:color="auto" w:fill="auto"/>
            <w:vAlign w:val="center"/>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691" w:type="pct"/>
            <w:vAlign w:val="center"/>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r>
      <w:tr w:rsidR="006956D5" w:rsidRPr="00BE5FAF" w:rsidTr="006956D5">
        <w:trPr>
          <w:trHeight w:val="285"/>
        </w:trPr>
        <w:tc>
          <w:tcPr>
            <w:tcW w:w="862" w:type="pct"/>
            <w:shd w:val="clear" w:color="auto" w:fill="auto"/>
            <w:noWrap/>
            <w:vAlign w:val="center"/>
          </w:tcPr>
          <w:p w:rsidR="006956D5" w:rsidRPr="00BE5FAF" w:rsidRDefault="006956D5" w:rsidP="00155932">
            <w:pPr>
              <w:keepNext/>
              <w:keepLines/>
              <w:widowControl/>
              <w:rPr>
                <w:rFonts w:ascii="Arial Narrow" w:hAnsi="Arial Narrow"/>
                <w:bCs/>
                <w:color w:val="000000"/>
                <w:sz w:val="20"/>
                <w:szCs w:val="20"/>
                <w:lang w:eastAsia="en-AU"/>
              </w:rPr>
            </w:pPr>
            <w:r w:rsidRPr="00BE5FAF">
              <w:rPr>
                <w:rFonts w:ascii="Arial Narrow" w:hAnsi="Arial Narrow"/>
                <w:bCs/>
                <w:color w:val="000000"/>
                <w:sz w:val="20"/>
                <w:szCs w:val="20"/>
                <w:lang w:eastAsia="en-AU"/>
              </w:rPr>
              <w:t xml:space="preserve">Tier 2: </w:t>
            </w:r>
          </w:p>
          <w:p w:rsidR="006956D5" w:rsidRPr="00BE5FAF" w:rsidRDefault="00517BCE" w:rsidP="00155932">
            <w:pPr>
              <w:keepNext/>
              <w:keepLines/>
              <w:widowControl/>
              <w:rPr>
                <w:rFonts w:ascii="Arial Narrow" w:hAnsi="Arial Narrow"/>
                <w:bCs/>
                <w:color w:val="000000"/>
                <w:sz w:val="20"/>
                <w:szCs w:val="20"/>
                <w:lang w:eastAsia="en-AU"/>
              </w:rPr>
            </w:pPr>
            <w:r>
              <w:rPr>
                <w:rFonts w:ascii="Arial Narrow" w:hAnsi="Arial Narrow"/>
                <w:bCs/>
                <w:noProof/>
                <w:color w:val="000000"/>
                <w:sz w:val="20"/>
                <w:szCs w:val="20"/>
                <w:highlight w:val="black"/>
                <w:lang w:eastAsia="en-AU"/>
              </w:rPr>
              <w:t>''''''''''''</w:t>
            </w:r>
            <w:r w:rsidR="006956D5" w:rsidRPr="00BE5FAF">
              <w:rPr>
                <w:rFonts w:ascii="Arial Narrow" w:hAnsi="Arial Narrow"/>
                <w:bCs/>
                <w:color w:val="000000"/>
                <w:sz w:val="20"/>
                <w:szCs w:val="20"/>
                <w:lang w:eastAsia="en-AU"/>
              </w:rPr>
              <w:t>% rebate</w:t>
            </w:r>
          </w:p>
        </w:tc>
        <w:tc>
          <w:tcPr>
            <w:tcW w:w="689" w:type="pct"/>
            <w:shd w:val="clear" w:color="auto" w:fill="auto"/>
            <w:vAlign w:val="center"/>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690" w:type="pct"/>
            <w:shd w:val="clear" w:color="auto" w:fill="auto"/>
            <w:vAlign w:val="center"/>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689" w:type="pct"/>
            <w:shd w:val="clear" w:color="auto" w:fill="auto"/>
            <w:vAlign w:val="center"/>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690" w:type="pct"/>
            <w:shd w:val="clear" w:color="auto" w:fill="auto"/>
            <w:vAlign w:val="center"/>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689" w:type="pct"/>
            <w:shd w:val="clear" w:color="auto" w:fill="auto"/>
            <w:vAlign w:val="center"/>
          </w:tcPr>
          <w:p w:rsidR="006956D5" w:rsidRPr="00BE5FAF" w:rsidRDefault="006956D5" w:rsidP="00155932">
            <w:pPr>
              <w:keepNext/>
              <w:keepLines/>
              <w:widowControl/>
              <w:jc w:val="center"/>
              <w:rPr>
                <w:rFonts w:ascii="Arial Narrow" w:hAnsi="Arial Narrow"/>
                <w:color w:val="000000"/>
                <w:sz w:val="20"/>
                <w:szCs w:val="20"/>
                <w:lang w:eastAsia="en-AU"/>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c>
          <w:tcPr>
            <w:tcW w:w="691" w:type="pct"/>
            <w:vAlign w:val="center"/>
          </w:tcPr>
          <w:p w:rsidR="006956D5" w:rsidRPr="00BE5FAF" w:rsidRDefault="006956D5" w:rsidP="00155932">
            <w:pPr>
              <w:keepNext/>
              <w:keepLines/>
              <w:widowControl/>
              <w:jc w:val="center"/>
              <w:rPr>
                <w:rFonts w:ascii="Arial Narrow" w:hAnsi="Arial Narrow"/>
                <w:sz w:val="20"/>
                <w:szCs w:val="20"/>
              </w:rPr>
            </w:pPr>
            <w:r w:rsidRPr="00BE5FAF">
              <w:rPr>
                <w:rFonts w:ascii="Arial Narrow" w:hAnsi="Arial Narrow"/>
                <w:sz w:val="20"/>
                <w:szCs w:val="20"/>
              </w:rPr>
              <w:t>$</w:t>
            </w:r>
            <w:r w:rsidR="00517BCE">
              <w:rPr>
                <w:rFonts w:ascii="Arial Narrow" w:hAnsi="Arial Narrow"/>
                <w:noProof/>
                <w:color w:val="000000"/>
                <w:sz w:val="20"/>
                <w:szCs w:val="20"/>
                <w:highlight w:val="black"/>
              </w:rPr>
              <w:t>''''''''''''''''''''''''''''''</w:t>
            </w:r>
          </w:p>
        </w:tc>
      </w:tr>
    </w:tbl>
    <w:p w:rsidR="006956D5" w:rsidRDefault="006956D5" w:rsidP="00155932">
      <w:pPr>
        <w:pStyle w:val="TableFootnotetext"/>
        <w:keepNext/>
        <w:keepLines/>
      </w:pPr>
      <w:r w:rsidRPr="00BE5FAF">
        <w:t>Source: Table 5.1-2, p.295 of the submission; ‘</w:t>
      </w:r>
      <w:proofErr w:type="spellStart"/>
      <w:r w:rsidRPr="00BE5FAF">
        <w:t>Xarelto</w:t>
      </w:r>
      <w:proofErr w:type="spellEnd"/>
      <w:r w:rsidRPr="00BE5FAF">
        <w:t xml:space="preserve"> (</w:t>
      </w:r>
      <w:proofErr w:type="spellStart"/>
      <w:r w:rsidRPr="00BE5FAF">
        <w:t>rivaroxaban</w:t>
      </w:r>
      <w:proofErr w:type="spellEnd"/>
      <w:r w:rsidRPr="00BE5FAF">
        <w:t>) CAD PAD Predicted Use’ Excel spreadsheet.</w:t>
      </w:r>
    </w:p>
    <w:p w:rsidR="001A3A02" w:rsidRPr="00BE5FAF" w:rsidRDefault="001A3A02" w:rsidP="00155932">
      <w:pPr>
        <w:pStyle w:val="TableFootnotetext"/>
        <w:keepNext/>
        <w:keepLines/>
      </w:pPr>
      <w:r w:rsidRPr="001A3A02">
        <w:t xml:space="preserve">Abbreviations: RSA, </w:t>
      </w:r>
      <w:proofErr w:type="gramStart"/>
      <w:r w:rsidRPr="001A3A02">
        <w:t>risk sharing</w:t>
      </w:r>
      <w:proofErr w:type="gramEnd"/>
      <w:r w:rsidRPr="001A3A02">
        <w:t xml:space="preserve"> arrangement</w:t>
      </w:r>
    </w:p>
    <w:p w:rsidR="00426779" w:rsidRPr="00BE5FAF" w:rsidRDefault="00602C83" w:rsidP="003008B5">
      <w:pPr>
        <w:spacing w:before="120" w:after="120"/>
        <w:contextualSpacing/>
        <w:rPr>
          <w:b/>
          <w:i/>
        </w:rPr>
      </w:pPr>
      <w:r w:rsidRPr="00BE5FAF">
        <w:rPr>
          <w:rFonts w:eastAsia="Calibri"/>
          <w:i/>
        </w:rPr>
        <w:t>For more detail on PBAC’s view, see section 7 PBAC outcome.</w:t>
      </w:r>
    </w:p>
    <w:p w:rsidR="00426779" w:rsidRPr="00BE5FAF" w:rsidRDefault="00426779" w:rsidP="003008B5">
      <w:pPr>
        <w:widowControl/>
        <w:numPr>
          <w:ilvl w:val="0"/>
          <w:numId w:val="2"/>
        </w:numPr>
        <w:spacing w:before="120" w:after="120"/>
        <w:jc w:val="left"/>
        <w:outlineLvl w:val="0"/>
        <w:rPr>
          <w:rFonts w:asciiTheme="minorHAnsi" w:hAnsiTheme="minorHAnsi"/>
          <w:b/>
          <w:bCs/>
          <w:sz w:val="32"/>
          <w:szCs w:val="24"/>
        </w:rPr>
      </w:pPr>
      <w:r w:rsidRPr="00BE5FAF">
        <w:rPr>
          <w:rFonts w:asciiTheme="minorHAnsi" w:hAnsiTheme="minorHAnsi"/>
          <w:b/>
          <w:bCs/>
          <w:sz w:val="32"/>
          <w:szCs w:val="24"/>
        </w:rPr>
        <w:t>PBAC Outcome</w:t>
      </w:r>
    </w:p>
    <w:p w:rsidR="006B7EE7" w:rsidRPr="00BE5FAF" w:rsidRDefault="006B7EE7" w:rsidP="003008B5">
      <w:pPr>
        <w:pStyle w:val="ListParagraph"/>
        <w:widowControl/>
        <w:numPr>
          <w:ilvl w:val="1"/>
          <w:numId w:val="2"/>
        </w:numPr>
        <w:spacing w:before="120" w:after="120"/>
        <w:rPr>
          <w:rFonts w:asciiTheme="minorHAnsi" w:hAnsiTheme="minorHAnsi"/>
          <w:bCs/>
          <w:szCs w:val="24"/>
        </w:rPr>
      </w:pPr>
      <w:r w:rsidRPr="00BE5FAF">
        <w:rPr>
          <w:rFonts w:asciiTheme="minorHAnsi" w:hAnsiTheme="minorHAnsi"/>
          <w:bCs/>
          <w:szCs w:val="24"/>
        </w:rPr>
        <w:t xml:space="preserve">The PBAC did not recommend the listing of </w:t>
      </w:r>
      <w:proofErr w:type="spellStart"/>
      <w:r w:rsidRPr="00BE5FAF">
        <w:rPr>
          <w:rFonts w:asciiTheme="minorHAnsi" w:hAnsiTheme="minorHAnsi"/>
          <w:bCs/>
          <w:szCs w:val="24"/>
        </w:rPr>
        <w:t>rivaroxaban</w:t>
      </w:r>
      <w:proofErr w:type="spellEnd"/>
      <w:r w:rsidRPr="00BE5FAF">
        <w:rPr>
          <w:rFonts w:asciiTheme="minorHAnsi" w:hAnsiTheme="minorHAnsi"/>
          <w:bCs/>
          <w:szCs w:val="24"/>
        </w:rPr>
        <w:t xml:space="preserve"> in combination with aspirin for the prevention of recurrent cardiovascular events in patients in the stable phase of coronary artery disease (CAD) or peripheral artery disease (PAD). The PBAC </w:t>
      </w:r>
      <w:r w:rsidR="009B27F4" w:rsidRPr="00BE5FAF">
        <w:rPr>
          <w:rFonts w:asciiTheme="minorHAnsi" w:hAnsiTheme="minorHAnsi"/>
          <w:bCs/>
          <w:szCs w:val="24"/>
        </w:rPr>
        <w:t xml:space="preserve">considered that the </w:t>
      </w:r>
      <w:r w:rsidR="0036406E" w:rsidRPr="00BE5FAF">
        <w:rPr>
          <w:rFonts w:asciiTheme="minorHAnsi" w:hAnsiTheme="minorHAnsi"/>
          <w:bCs/>
          <w:szCs w:val="24"/>
        </w:rPr>
        <w:t xml:space="preserve">patient population should be more highly targeted to </w:t>
      </w:r>
      <w:r w:rsidR="009178B1" w:rsidRPr="00BE5FAF">
        <w:rPr>
          <w:rFonts w:asciiTheme="minorHAnsi" w:hAnsiTheme="minorHAnsi"/>
          <w:bCs/>
          <w:szCs w:val="24"/>
        </w:rPr>
        <w:t xml:space="preserve">those </w:t>
      </w:r>
      <w:r w:rsidR="00195DB8" w:rsidRPr="00BE5FAF">
        <w:rPr>
          <w:rFonts w:asciiTheme="minorHAnsi" w:hAnsiTheme="minorHAnsi"/>
          <w:bCs/>
          <w:szCs w:val="24"/>
        </w:rPr>
        <w:t xml:space="preserve">patients </w:t>
      </w:r>
      <w:r w:rsidR="0036406E" w:rsidRPr="00BE5FAF">
        <w:rPr>
          <w:rFonts w:asciiTheme="minorHAnsi" w:hAnsiTheme="minorHAnsi"/>
          <w:bCs/>
          <w:szCs w:val="24"/>
        </w:rPr>
        <w:t xml:space="preserve">who are likely to achieve the most favourable risk-benefit profile given </w:t>
      </w:r>
      <w:r w:rsidR="00256912" w:rsidRPr="00BE5FAF">
        <w:rPr>
          <w:rFonts w:asciiTheme="minorHAnsi" w:hAnsiTheme="minorHAnsi"/>
          <w:bCs/>
          <w:szCs w:val="24"/>
        </w:rPr>
        <w:t xml:space="preserve">the </w:t>
      </w:r>
      <w:r w:rsidR="009178B1" w:rsidRPr="00BE5FAF">
        <w:rPr>
          <w:rFonts w:asciiTheme="minorHAnsi" w:hAnsiTheme="minorHAnsi"/>
          <w:bCs/>
          <w:szCs w:val="24"/>
        </w:rPr>
        <w:t>differing levels of absolute</w:t>
      </w:r>
      <w:r w:rsidR="00256912" w:rsidRPr="00BE5FAF">
        <w:rPr>
          <w:rFonts w:asciiTheme="minorHAnsi" w:hAnsiTheme="minorHAnsi"/>
          <w:bCs/>
          <w:szCs w:val="24"/>
        </w:rPr>
        <w:t xml:space="preserve"> incremental</w:t>
      </w:r>
      <w:r w:rsidR="009178B1" w:rsidRPr="00BE5FAF">
        <w:rPr>
          <w:rFonts w:asciiTheme="minorHAnsi" w:hAnsiTheme="minorHAnsi"/>
          <w:bCs/>
          <w:szCs w:val="24"/>
        </w:rPr>
        <w:t xml:space="preserve"> benefit between patient</w:t>
      </w:r>
      <w:r w:rsidR="00256912" w:rsidRPr="00BE5FAF">
        <w:rPr>
          <w:rFonts w:asciiTheme="minorHAnsi" w:hAnsiTheme="minorHAnsi"/>
          <w:bCs/>
          <w:szCs w:val="24"/>
        </w:rPr>
        <w:t xml:space="preserve">s </w:t>
      </w:r>
      <w:proofErr w:type="gramStart"/>
      <w:r w:rsidR="00D453DD" w:rsidRPr="00BE5FAF">
        <w:rPr>
          <w:rFonts w:asciiTheme="minorHAnsi" w:hAnsiTheme="minorHAnsi"/>
          <w:bCs/>
          <w:szCs w:val="24"/>
        </w:rPr>
        <w:t xml:space="preserve">groups </w:t>
      </w:r>
      <w:r w:rsidR="00327CDF">
        <w:rPr>
          <w:rFonts w:asciiTheme="minorHAnsi" w:hAnsiTheme="minorHAnsi"/>
          <w:bCs/>
          <w:szCs w:val="24"/>
        </w:rPr>
        <w:t>which</w:t>
      </w:r>
      <w:proofErr w:type="gramEnd"/>
      <w:r w:rsidR="00327CDF">
        <w:rPr>
          <w:rFonts w:asciiTheme="minorHAnsi" w:hAnsiTheme="minorHAnsi"/>
          <w:bCs/>
          <w:szCs w:val="24"/>
        </w:rPr>
        <w:t xml:space="preserve"> needs</w:t>
      </w:r>
      <w:r w:rsidR="00002CF5" w:rsidRPr="00BE5FAF">
        <w:rPr>
          <w:rFonts w:asciiTheme="minorHAnsi" w:hAnsiTheme="minorHAnsi"/>
          <w:bCs/>
          <w:szCs w:val="24"/>
        </w:rPr>
        <w:t xml:space="preserve"> to be balanced against</w:t>
      </w:r>
      <w:r w:rsidR="009178B1" w:rsidRPr="00BE5FAF">
        <w:rPr>
          <w:rFonts w:asciiTheme="minorHAnsi" w:hAnsiTheme="minorHAnsi"/>
          <w:bCs/>
          <w:szCs w:val="24"/>
        </w:rPr>
        <w:t xml:space="preserve"> the hig</w:t>
      </w:r>
      <w:r w:rsidR="00256912" w:rsidRPr="00BE5FAF">
        <w:rPr>
          <w:rFonts w:asciiTheme="minorHAnsi" w:hAnsiTheme="minorHAnsi"/>
          <w:bCs/>
          <w:szCs w:val="24"/>
        </w:rPr>
        <w:t>h bleeding risk in some patie</w:t>
      </w:r>
      <w:r w:rsidR="009178B1" w:rsidRPr="00BE5FAF">
        <w:rPr>
          <w:rFonts w:asciiTheme="minorHAnsi" w:hAnsiTheme="minorHAnsi"/>
          <w:bCs/>
          <w:szCs w:val="24"/>
        </w:rPr>
        <w:t>n</w:t>
      </w:r>
      <w:r w:rsidR="00256912" w:rsidRPr="00BE5FAF">
        <w:rPr>
          <w:rFonts w:asciiTheme="minorHAnsi" w:hAnsiTheme="minorHAnsi"/>
          <w:bCs/>
          <w:szCs w:val="24"/>
        </w:rPr>
        <w:t>t</w:t>
      </w:r>
      <w:r w:rsidR="009178B1" w:rsidRPr="00BE5FAF">
        <w:rPr>
          <w:rFonts w:asciiTheme="minorHAnsi" w:hAnsiTheme="minorHAnsi"/>
          <w:bCs/>
          <w:szCs w:val="24"/>
        </w:rPr>
        <w:t>s</w:t>
      </w:r>
      <w:r w:rsidR="009B27F4" w:rsidRPr="00BE5FAF">
        <w:rPr>
          <w:rFonts w:asciiTheme="minorHAnsi" w:hAnsiTheme="minorHAnsi"/>
          <w:bCs/>
          <w:szCs w:val="24"/>
        </w:rPr>
        <w:t xml:space="preserve">. </w:t>
      </w:r>
      <w:r w:rsidR="00AF3347" w:rsidRPr="00BE5FAF">
        <w:rPr>
          <w:rFonts w:asciiTheme="minorHAnsi" w:hAnsiTheme="minorHAnsi"/>
          <w:bCs/>
          <w:szCs w:val="24"/>
        </w:rPr>
        <w:t>T</w:t>
      </w:r>
      <w:r w:rsidR="00092281" w:rsidRPr="00BE5FAF">
        <w:rPr>
          <w:rFonts w:asciiTheme="minorHAnsi" w:hAnsiTheme="minorHAnsi"/>
          <w:bCs/>
          <w:szCs w:val="24"/>
        </w:rPr>
        <w:t xml:space="preserve">he PBAC </w:t>
      </w:r>
      <w:r w:rsidR="00AF3347" w:rsidRPr="00BE5FAF">
        <w:rPr>
          <w:rFonts w:asciiTheme="minorHAnsi" w:hAnsiTheme="minorHAnsi"/>
          <w:bCs/>
          <w:szCs w:val="24"/>
        </w:rPr>
        <w:t xml:space="preserve">considered </w:t>
      </w:r>
      <w:r w:rsidR="00092281" w:rsidRPr="00BE5FAF">
        <w:rPr>
          <w:rFonts w:asciiTheme="minorHAnsi" w:hAnsiTheme="minorHAnsi"/>
          <w:bCs/>
          <w:szCs w:val="24"/>
        </w:rPr>
        <w:t>that</w:t>
      </w:r>
      <w:r w:rsidR="00835F68" w:rsidRPr="00BE5FAF">
        <w:rPr>
          <w:rFonts w:asciiTheme="minorHAnsi" w:hAnsiTheme="minorHAnsi"/>
          <w:bCs/>
          <w:szCs w:val="24"/>
        </w:rPr>
        <w:t xml:space="preserve"> the incremental cost-effectiveness was </w:t>
      </w:r>
      <w:proofErr w:type="gramStart"/>
      <w:r w:rsidR="00AF3347" w:rsidRPr="00BE5FAF">
        <w:rPr>
          <w:rFonts w:asciiTheme="minorHAnsi" w:hAnsiTheme="minorHAnsi"/>
          <w:bCs/>
          <w:szCs w:val="24"/>
        </w:rPr>
        <w:t>uncertain</w:t>
      </w:r>
      <w:proofErr w:type="gramEnd"/>
      <w:r w:rsidR="00AF3347" w:rsidRPr="00BE5FAF">
        <w:rPr>
          <w:rFonts w:asciiTheme="minorHAnsi" w:hAnsiTheme="minorHAnsi"/>
          <w:bCs/>
          <w:szCs w:val="24"/>
        </w:rPr>
        <w:t xml:space="preserve"> as the economic model submitted </w:t>
      </w:r>
      <w:r w:rsidR="0036406E" w:rsidRPr="00BE5FAF">
        <w:rPr>
          <w:rFonts w:asciiTheme="minorHAnsi" w:hAnsiTheme="minorHAnsi"/>
          <w:bCs/>
          <w:szCs w:val="24"/>
        </w:rPr>
        <w:t>did</w:t>
      </w:r>
      <w:r w:rsidR="00AF3347" w:rsidRPr="00BE5FAF">
        <w:rPr>
          <w:rFonts w:asciiTheme="minorHAnsi" w:hAnsiTheme="minorHAnsi"/>
          <w:bCs/>
          <w:szCs w:val="24"/>
        </w:rPr>
        <w:t xml:space="preserve"> not </w:t>
      </w:r>
      <w:r w:rsidR="009178B1" w:rsidRPr="00BE5FAF">
        <w:rPr>
          <w:rFonts w:asciiTheme="minorHAnsi" w:hAnsiTheme="minorHAnsi"/>
          <w:bCs/>
          <w:szCs w:val="24"/>
        </w:rPr>
        <w:t>provide</w:t>
      </w:r>
      <w:r w:rsidR="0036406E" w:rsidRPr="00BE5FAF">
        <w:rPr>
          <w:rFonts w:asciiTheme="minorHAnsi" w:hAnsiTheme="minorHAnsi"/>
          <w:bCs/>
          <w:szCs w:val="24"/>
        </w:rPr>
        <w:t xml:space="preserve"> a </w:t>
      </w:r>
      <w:r w:rsidR="00AF3347" w:rsidRPr="00BE5FAF">
        <w:rPr>
          <w:rFonts w:asciiTheme="minorHAnsi" w:hAnsiTheme="minorHAnsi"/>
          <w:bCs/>
          <w:szCs w:val="24"/>
        </w:rPr>
        <w:t>reliable</w:t>
      </w:r>
      <w:r w:rsidR="0036406E" w:rsidRPr="00BE5FAF">
        <w:rPr>
          <w:rFonts w:asciiTheme="minorHAnsi" w:hAnsiTheme="minorHAnsi"/>
          <w:bCs/>
          <w:szCs w:val="24"/>
        </w:rPr>
        <w:t xml:space="preserve"> basis for decision-making</w:t>
      </w:r>
      <w:r w:rsidR="007C5956" w:rsidRPr="00BE5FAF">
        <w:rPr>
          <w:rFonts w:asciiTheme="minorHAnsi" w:hAnsiTheme="minorHAnsi"/>
          <w:bCs/>
          <w:szCs w:val="24"/>
        </w:rPr>
        <w:t>.</w:t>
      </w:r>
    </w:p>
    <w:p w:rsidR="00426779" w:rsidRPr="00BE5FAF" w:rsidRDefault="0024206D" w:rsidP="003008B5">
      <w:pPr>
        <w:widowControl/>
        <w:numPr>
          <w:ilvl w:val="1"/>
          <w:numId w:val="2"/>
        </w:numPr>
        <w:spacing w:before="120" w:after="120"/>
        <w:rPr>
          <w:rFonts w:asciiTheme="minorHAnsi" w:hAnsiTheme="minorHAnsi"/>
          <w:bCs/>
          <w:szCs w:val="24"/>
        </w:rPr>
      </w:pPr>
      <w:r w:rsidRPr="00BE5FAF">
        <w:rPr>
          <w:rFonts w:asciiTheme="minorHAnsi" w:hAnsiTheme="minorHAnsi"/>
          <w:bCs/>
          <w:szCs w:val="24"/>
        </w:rPr>
        <w:t xml:space="preserve">The PBAC </w:t>
      </w:r>
      <w:r w:rsidR="00944A45" w:rsidRPr="00BE5FAF">
        <w:rPr>
          <w:rFonts w:asciiTheme="minorHAnsi" w:hAnsiTheme="minorHAnsi"/>
          <w:bCs/>
          <w:szCs w:val="24"/>
        </w:rPr>
        <w:t>noted</w:t>
      </w:r>
      <w:r w:rsidR="00A63238" w:rsidRPr="00BE5FAF">
        <w:rPr>
          <w:rFonts w:asciiTheme="minorHAnsi" w:hAnsiTheme="minorHAnsi"/>
          <w:bCs/>
          <w:szCs w:val="24"/>
        </w:rPr>
        <w:t xml:space="preserve"> there </w:t>
      </w:r>
      <w:r w:rsidR="007C5956" w:rsidRPr="00BE5FAF">
        <w:rPr>
          <w:rFonts w:asciiTheme="minorHAnsi" w:hAnsiTheme="minorHAnsi"/>
          <w:bCs/>
          <w:szCs w:val="24"/>
        </w:rPr>
        <w:t>are</w:t>
      </w:r>
      <w:r w:rsidR="00A63238" w:rsidRPr="00BE5FAF">
        <w:rPr>
          <w:rFonts w:asciiTheme="minorHAnsi" w:hAnsiTheme="minorHAnsi"/>
          <w:bCs/>
          <w:szCs w:val="24"/>
        </w:rPr>
        <w:t xml:space="preserve"> a</w:t>
      </w:r>
      <w:r w:rsidR="002E6369" w:rsidRPr="00BE5FAF">
        <w:rPr>
          <w:rFonts w:asciiTheme="minorHAnsi" w:hAnsiTheme="minorHAnsi"/>
          <w:bCs/>
          <w:szCs w:val="24"/>
        </w:rPr>
        <w:t xml:space="preserve"> lack of treatment options for </w:t>
      </w:r>
      <w:r w:rsidR="00A63238" w:rsidRPr="00BE5FAF">
        <w:rPr>
          <w:rFonts w:asciiTheme="minorHAnsi" w:hAnsiTheme="minorHAnsi"/>
          <w:bCs/>
          <w:szCs w:val="24"/>
        </w:rPr>
        <w:t xml:space="preserve">patients with </w:t>
      </w:r>
      <w:r w:rsidR="002E6369" w:rsidRPr="00BE5FAF">
        <w:rPr>
          <w:rFonts w:asciiTheme="minorHAnsi" w:hAnsiTheme="minorHAnsi"/>
          <w:bCs/>
          <w:szCs w:val="24"/>
        </w:rPr>
        <w:t xml:space="preserve">PAD and </w:t>
      </w:r>
      <w:r w:rsidR="00944A45" w:rsidRPr="00BE5FAF">
        <w:rPr>
          <w:rFonts w:asciiTheme="minorHAnsi" w:hAnsiTheme="minorHAnsi"/>
          <w:bCs/>
          <w:szCs w:val="24"/>
        </w:rPr>
        <w:t xml:space="preserve">considered </w:t>
      </w:r>
      <w:r w:rsidR="00B24D3E" w:rsidRPr="00BE5FAF">
        <w:rPr>
          <w:rFonts w:asciiTheme="minorHAnsi" w:hAnsiTheme="minorHAnsi"/>
          <w:bCs/>
          <w:szCs w:val="24"/>
        </w:rPr>
        <w:t xml:space="preserve">there is a clinical need for </w:t>
      </w:r>
      <w:r w:rsidR="005F5651" w:rsidRPr="00BE5FAF">
        <w:rPr>
          <w:rFonts w:asciiTheme="minorHAnsi" w:hAnsiTheme="minorHAnsi"/>
          <w:bCs/>
          <w:szCs w:val="24"/>
        </w:rPr>
        <w:t xml:space="preserve">effective </w:t>
      </w:r>
      <w:r w:rsidR="00B24D3E" w:rsidRPr="00BE5FAF">
        <w:rPr>
          <w:rFonts w:asciiTheme="minorHAnsi" w:hAnsiTheme="minorHAnsi"/>
          <w:bCs/>
          <w:szCs w:val="24"/>
        </w:rPr>
        <w:t xml:space="preserve">treatments </w:t>
      </w:r>
      <w:r w:rsidR="005F5651" w:rsidRPr="00BE5FAF">
        <w:rPr>
          <w:rFonts w:asciiTheme="minorHAnsi" w:hAnsiTheme="minorHAnsi"/>
          <w:bCs/>
          <w:szCs w:val="24"/>
        </w:rPr>
        <w:t xml:space="preserve">in this patient group, particularly treatments </w:t>
      </w:r>
      <w:r w:rsidR="00B24D3E" w:rsidRPr="00BE5FAF">
        <w:rPr>
          <w:rFonts w:asciiTheme="minorHAnsi" w:hAnsiTheme="minorHAnsi"/>
          <w:bCs/>
          <w:szCs w:val="24"/>
        </w:rPr>
        <w:t xml:space="preserve">that reduce the </w:t>
      </w:r>
      <w:r w:rsidR="002E6369" w:rsidRPr="00BE5FAF">
        <w:rPr>
          <w:rFonts w:asciiTheme="minorHAnsi" w:hAnsiTheme="minorHAnsi"/>
          <w:bCs/>
          <w:szCs w:val="24"/>
        </w:rPr>
        <w:t>risk of amputation</w:t>
      </w:r>
      <w:r w:rsidR="005F5651" w:rsidRPr="00BE5FAF">
        <w:rPr>
          <w:rFonts w:asciiTheme="minorHAnsi" w:hAnsiTheme="minorHAnsi"/>
          <w:bCs/>
          <w:szCs w:val="24"/>
        </w:rPr>
        <w:t>.</w:t>
      </w:r>
      <w:r w:rsidR="00B24D3E" w:rsidRPr="00BE5FAF">
        <w:rPr>
          <w:rFonts w:asciiTheme="minorHAnsi" w:hAnsiTheme="minorHAnsi"/>
          <w:bCs/>
          <w:szCs w:val="24"/>
        </w:rPr>
        <w:t xml:space="preserve"> </w:t>
      </w:r>
    </w:p>
    <w:p w:rsidR="003D683C" w:rsidRPr="00BE5FAF" w:rsidRDefault="00B5015D" w:rsidP="003008B5">
      <w:pPr>
        <w:pStyle w:val="ListParagraph"/>
        <w:widowControl/>
        <w:numPr>
          <w:ilvl w:val="1"/>
          <w:numId w:val="2"/>
        </w:numPr>
        <w:spacing w:before="120" w:after="120"/>
        <w:rPr>
          <w:rFonts w:asciiTheme="minorHAnsi" w:hAnsiTheme="minorHAnsi"/>
          <w:bCs/>
          <w:szCs w:val="24"/>
        </w:rPr>
      </w:pPr>
      <w:r w:rsidRPr="00BE5FAF">
        <w:t xml:space="preserve">The </w:t>
      </w:r>
      <w:r w:rsidR="005B6F51" w:rsidRPr="00BE5FAF">
        <w:t xml:space="preserve">PBAC considered that the requested population – patients with CAD </w:t>
      </w:r>
      <w:r w:rsidR="00944A45" w:rsidRPr="00BE5FAF">
        <w:t>and/</w:t>
      </w:r>
      <w:r w:rsidR="005B6F51" w:rsidRPr="00BE5FAF">
        <w:t>or PAD – was a l</w:t>
      </w:r>
      <w:r w:rsidRPr="00BE5FAF">
        <w:t xml:space="preserve">arge and heterogeneous </w:t>
      </w:r>
      <w:r w:rsidR="0041390B" w:rsidRPr="00BE5FAF">
        <w:t>group</w:t>
      </w:r>
      <w:r w:rsidR="00EE7279" w:rsidRPr="00BE5FAF">
        <w:t>.</w:t>
      </w:r>
      <w:r w:rsidR="006763D2" w:rsidRPr="00BE5FAF">
        <w:t xml:space="preserve"> </w:t>
      </w:r>
      <w:r w:rsidR="00944A45" w:rsidRPr="00BE5FAF">
        <w:rPr>
          <w:rFonts w:asciiTheme="minorHAnsi" w:hAnsiTheme="minorHAnsi"/>
          <w:bCs/>
          <w:szCs w:val="24"/>
        </w:rPr>
        <w:t>The PBAC noted that the pre-PBAC response stated that narrowing the population to patients at heightened cardiovascular risk “would set an arbitrary threshold and result in a large sub-group of patients who have a significant capacity to benefit … being excluded from subsidised therapy”.</w:t>
      </w:r>
      <w:r w:rsidRPr="00BE5FAF">
        <w:t xml:space="preserve"> </w:t>
      </w:r>
      <w:r w:rsidR="00944A45" w:rsidRPr="00BE5FAF">
        <w:rPr>
          <w:rFonts w:asciiTheme="minorHAnsi" w:hAnsiTheme="minorHAnsi"/>
          <w:bCs/>
          <w:szCs w:val="24"/>
        </w:rPr>
        <w:t xml:space="preserve">However, </w:t>
      </w:r>
      <w:r w:rsidR="00685A7A" w:rsidRPr="00BE5FAF">
        <w:rPr>
          <w:rFonts w:asciiTheme="minorHAnsi" w:hAnsiTheme="minorHAnsi"/>
          <w:bCs/>
          <w:szCs w:val="24"/>
        </w:rPr>
        <w:t xml:space="preserve">the PBAC considered that the population with CAD and/or PAD includes patients at varying levels of cardiovascular risk who would likely achieve differing levels of absolute benefit with </w:t>
      </w:r>
      <w:proofErr w:type="spellStart"/>
      <w:r w:rsidR="00685A7A" w:rsidRPr="00BE5FAF">
        <w:rPr>
          <w:rFonts w:asciiTheme="minorHAnsi" w:hAnsiTheme="minorHAnsi"/>
          <w:bCs/>
          <w:szCs w:val="24"/>
        </w:rPr>
        <w:t>rivaroxaban</w:t>
      </w:r>
      <w:proofErr w:type="spellEnd"/>
      <w:r w:rsidR="00685A7A" w:rsidRPr="00BE5FAF">
        <w:rPr>
          <w:rFonts w:asciiTheme="minorHAnsi" w:hAnsiTheme="minorHAnsi"/>
          <w:bCs/>
          <w:szCs w:val="24"/>
        </w:rPr>
        <w:t xml:space="preserve">, and that the risk of bleeding is </w:t>
      </w:r>
      <w:proofErr w:type="gramStart"/>
      <w:r w:rsidR="00685A7A" w:rsidRPr="00BE5FAF">
        <w:rPr>
          <w:rFonts w:asciiTheme="minorHAnsi" w:hAnsiTheme="minorHAnsi"/>
          <w:bCs/>
          <w:szCs w:val="24"/>
        </w:rPr>
        <w:t>not insignificant</w:t>
      </w:r>
      <w:proofErr w:type="gramEnd"/>
      <w:r w:rsidR="00685A7A" w:rsidRPr="00BE5FAF">
        <w:rPr>
          <w:rFonts w:asciiTheme="minorHAnsi" w:hAnsiTheme="minorHAnsi"/>
          <w:bCs/>
          <w:szCs w:val="24"/>
        </w:rPr>
        <w:t xml:space="preserve"> particularly in some patient groups. For example, </w:t>
      </w:r>
      <w:r w:rsidR="00944A45" w:rsidRPr="00BE5FAF">
        <w:rPr>
          <w:rFonts w:asciiTheme="minorHAnsi" w:hAnsiTheme="minorHAnsi"/>
          <w:bCs/>
          <w:szCs w:val="24"/>
        </w:rPr>
        <w:t xml:space="preserve">the </w:t>
      </w:r>
      <w:r w:rsidR="003D683C" w:rsidRPr="00BE5FAF">
        <w:rPr>
          <w:rFonts w:asciiTheme="minorHAnsi" w:hAnsiTheme="minorHAnsi"/>
          <w:bCs/>
          <w:szCs w:val="24"/>
        </w:rPr>
        <w:t>PBAC noted that for the overall CAD and/or PAD population</w:t>
      </w:r>
      <w:r w:rsidR="00B96127" w:rsidRPr="00BE5FAF">
        <w:rPr>
          <w:rFonts w:asciiTheme="minorHAnsi" w:hAnsiTheme="minorHAnsi"/>
          <w:bCs/>
          <w:szCs w:val="24"/>
        </w:rPr>
        <w:t xml:space="preserve"> over a 23-month period</w:t>
      </w:r>
      <w:r w:rsidR="003D683C" w:rsidRPr="00BE5FAF">
        <w:rPr>
          <w:rFonts w:asciiTheme="minorHAnsi" w:hAnsiTheme="minorHAnsi"/>
          <w:bCs/>
          <w:szCs w:val="24"/>
        </w:rPr>
        <w:t xml:space="preserve">, 77 patients would need to </w:t>
      </w:r>
      <w:proofErr w:type="gramStart"/>
      <w:r w:rsidR="003D683C" w:rsidRPr="00BE5FAF">
        <w:rPr>
          <w:rFonts w:asciiTheme="minorHAnsi" w:hAnsiTheme="minorHAnsi"/>
          <w:bCs/>
          <w:szCs w:val="24"/>
        </w:rPr>
        <w:t>be treated</w:t>
      </w:r>
      <w:proofErr w:type="gramEnd"/>
      <w:r w:rsidR="003D683C" w:rsidRPr="00BE5FAF">
        <w:rPr>
          <w:rFonts w:asciiTheme="minorHAnsi" w:hAnsiTheme="minorHAnsi"/>
          <w:bCs/>
          <w:szCs w:val="24"/>
        </w:rPr>
        <w:t xml:space="preserve"> with </w:t>
      </w:r>
      <w:proofErr w:type="spellStart"/>
      <w:r w:rsidR="003D683C" w:rsidRPr="00BE5FAF">
        <w:rPr>
          <w:rFonts w:asciiTheme="minorHAnsi" w:hAnsiTheme="minorHAnsi"/>
          <w:bCs/>
          <w:szCs w:val="24"/>
        </w:rPr>
        <w:t>rivaroxaban</w:t>
      </w:r>
      <w:proofErr w:type="spellEnd"/>
      <w:r w:rsidR="003D683C" w:rsidRPr="00BE5FAF">
        <w:rPr>
          <w:rFonts w:asciiTheme="minorHAnsi" w:hAnsiTheme="minorHAnsi"/>
          <w:bCs/>
          <w:szCs w:val="24"/>
        </w:rPr>
        <w:t xml:space="preserve"> plus aspirin versus aspirin alone to avoid one </w:t>
      </w:r>
      <w:r w:rsidR="00C9312E" w:rsidRPr="00BE5FAF">
        <w:rPr>
          <w:rFonts w:asciiTheme="minorHAnsi" w:hAnsiTheme="minorHAnsi"/>
          <w:bCs/>
          <w:szCs w:val="24"/>
        </w:rPr>
        <w:t>major adverse cardiovascular event (i.e. stroke, myocardial infarction, cardiovascular death)</w:t>
      </w:r>
      <w:r w:rsidR="00D453DD">
        <w:rPr>
          <w:rFonts w:asciiTheme="minorHAnsi" w:hAnsiTheme="minorHAnsi"/>
          <w:bCs/>
          <w:szCs w:val="24"/>
        </w:rPr>
        <w:t xml:space="preserve">. In addition, </w:t>
      </w:r>
      <w:r w:rsidR="003D683C" w:rsidRPr="00BE5FAF">
        <w:rPr>
          <w:rFonts w:asciiTheme="minorHAnsi" w:hAnsiTheme="minorHAnsi"/>
          <w:bCs/>
          <w:szCs w:val="24"/>
        </w:rPr>
        <w:t xml:space="preserve">77 patients would need to </w:t>
      </w:r>
      <w:proofErr w:type="gramStart"/>
      <w:r w:rsidR="003D683C" w:rsidRPr="00BE5FAF">
        <w:rPr>
          <w:rFonts w:asciiTheme="minorHAnsi" w:hAnsiTheme="minorHAnsi"/>
          <w:bCs/>
          <w:szCs w:val="24"/>
        </w:rPr>
        <w:t>be treated</w:t>
      </w:r>
      <w:proofErr w:type="gramEnd"/>
      <w:r w:rsidR="003D683C" w:rsidRPr="00BE5FAF">
        <w:rPr>
          <w:rFonts w:asciiTheme="minorHAnsi" w:hAnsiTheme="minorHAnsi"/>
          <w:bCs/>
          <w:szCs w:val="24"/>
        </w:rPr>
        <w:t xml:space="preserve"> for one additional patient to experience major bleeding. For the population with both CAD and PAD, the overall risk-benefit profile was more favourable</w:t>
      </w:r>
      <w:r w:rsidR="008B4E3E" w:rsidRPr="00BE5FAF">
        <w:rPr>
          <w:rFonts w:asciiTheme="minorHAnsi" w:hAnsiTheme="minorHAnsi"/>
          <w:bCs/>
          <w:szCs w:val="24"/>
        </w:rPr>
        <w:t xml:space="preserve"> over the 23-month period</w:t>
      </w:r>
      <w:r w:rsidR="003D683C" w:rsidRPr="00BE5FAF">
        <w:rPr>
          <w:rFonts w:asciiTheme="minorHAnsi" w:hAnsiTheme="minorHAnsi"/>
          <w:bCs/>
          <w:szCs w:val="24"/>
        </w:rPr>
        <w:t xml:space="preserve">, with a </w:t>
      </w:r>
      <w:r w:rsidR="00C9312E" w:rsidRPr="00BE5FAF">
        <w:t xml:space="preserve">number needed to treat of 37 and the number needed to harm of 120. </w:t>
      </w:r>
    </w:p>
    <w:p w:rsidR="00522BF0" w:rsidRPr="00BE5FAF" w:rsidRDefault="00944A45" w:rsidP="003008B5">
      <w:pPr>
        <w:pStyle w:val="ListParagraph"/>
        <w:widowControl/>
        <w:numPr>
          <w:ilvl w:val="1"/>
          <w:numId w:val="2"/>
        </w:numPr>
        <w:spacing w:before="120" w:after="120"/>
        <w:rPr>
          <w:rFonts w:asciiTheme="minorHAnsi" w:hAnsiTheme="minorHAnsi"/>
          <w:bCs/>
          <w:szCs w:val="24"/>
        </w:rPr>
      </w:pPr>
      <w:r w:rsidRPr="00BE5FAF">
        <w:lastRenderedPageBreak/>
        <w:t>As such, the</w:t>
      </w:r>
      <w:r w:rsidR="00B24D3E" w:rsidRPr="00BE5FAF">
        <w:t xml:space="preserve"> PBAC considered that </w:t>
      </w:r>
      <w:proofErr w:type="spellStart"/>
      <w:r w:rsidR="005F5651" w:rsidRPr="00BE5FAF">
        <w:t>rivaroxaban</w:t>
      </w:r>
      <w:proofErr w:type="spellEnd"/>
      <w:r w:rsidR="00B24D3E" w:rsidRPr="00BE5FAF">
        <w:t xml:space="preserve"> </w:t>
      </w:r>
      <w:r w:rsidR="007C5956" w:rsidRPr="00BE5FAF">
        <w:t xml:space="preserve">should be restricted </w:t>
      </w:r>
      <w:r w:rsidR="00B24D3E" w:rsidRPr="00BE5FAF">
        <w:t xml:space="preserve">to </w:t>
      </w:r>
      <w:r w:rsidR="00495B77" w:rsidRPr="00BE5FAF">
        <w:t xml:space="preserve">a smaller </w:t>
      </w:r>
      <w:r w:rsidRPr="00BE5FAF">
        <w:t xml:space="preserve">patient </w:t>
      </w:r>
      <w:r w:rsidR="00495B77" w:rsidRPr="00BE5FAF">
        <w:t xml:space="preserve">group </w:t>
      </w:r>
      <w:r w:rsidR="00EE7279" w:rsidRPr="00BE5FAF">
        <w:t>with</w:t>
      </w:r>
      <w:r w:rsidR="007C5956" w:rsidRPr="00BE5FAF">
        <w:t xml:space="preserve"> the </w:t>
      </w:r>
      <w:r w:rsidR="00D460FE" w:rsidRPr="00BE5FAF">
        <w:t xml:space="preserve">most favourable </w:t>
      </w:r>
      <w:r w:rsidR="00B24D3E" w:rsidRPr="00BE5FAF">
        <w:t>risk</w:t>
      </w:r>
      <w:r w:rsidR="00D460FE" w:rsidRPr="00BE5FAF">
        <w:t>-benefit</w:t>
      </w:r>
      <w:r w:rsidR="00B24D3E" w:rsidRPr="00BE5FAF">
        <w:t xml:space="preserve"> profile given: </w:t>
      </w:r>
      <w:r w:rsidR="002A5DE2" w:rsidRPr="00BE5FAF">
        <w:t xml:space="preserve">the </w:t>
      </w:r>
      <w:r w:rsidR="00B24D3E" w:rsidRPr="00BE5FAF">
        <w:t>risk of bleeding</w:t>
      </w:r>
      <w:r w:rsidR="00C350D6">
        <w:t>;</w:t>
      </w:r>
      <w:r w:rsidR="00B24D3E" w:rsidRPr="00BE5FAF">
        <w:t xml:space="preserve"> </w:t>
      </w:r>
      <w:r w:rsidR="007C5956" w:rsidRPr="00BE5FAF">
        <w:t xml:space="preserve">the </w:t>
      </w:r>
      <w:r w:rsidR="00B24D3E" w:rsidRPr="00BE5FAF">
        <w:t xml:space="preserve">marginal efficacy and </w:t>
      </w:r>
      <w:r w:rsidR="005F5651" w:rsidRPr="00BE5FAF">
        <w:t xml:space="preserve">small </w:t>
      </w:r>
      <w:r w:rsidR="00CA5D7D" w:rsidRPr="00BE5FAF">
        <w:t>overall</w:t>
      </w:r>
      <w:r w:rsidR="00B24D3E" w:rsidRPr="00BE5FAF">
        <w:t xml:space="preserve"> benefit in some patient groups</w:t>
      </w:r>
      <w:r w:rsidR="00CA5D7D" w:rsidRPr="00BE5FAF">
        <w:t xml:space="preserve">, particularly when all bleeding events </w:t>
      </w:r>
      <w:proofErr w:type="gramStart"/>
      <w:r w:rsidR="00CA5D7D" w:rsidRPr="00BE5FAF">
        <w:t>are taken</w:t>
      </w:r>
      <w:proofErr w:type="gramEnd"/>
      <w:r w:rsidR="00CA5D7D" w:rsidRPr="00BE5FAF">
        <w:t xml:space="preserve"> into account</w:t>
      </w:r>
      <w:r w:rsidR="00C350D6">
        <w:t>; and</w:t>
      </w:r>
      <w:r w:rsidR="00C350D6" w:rsidRPr="00C350D6">
        <w:t xml:space="preserve"> </w:t>
      </w:r>
      <w:r w:rsidR="00C350D6" w:rsidRPr="00BE5FAF">
        <w:t>the high cost of treatment</w:t>
      </w:r>
      <w:r w:rsidR="00B24D3E" w:rsidRPr="00BE5FAF">
        <w:t xml:space="preserve">. </w:t>
      </w:r>
      <w:r w:rsidR="00522BF0" w:rsidRPr="00BE5FAF">
        <w:rPr>
          <w:rFonts w:asciiTheme="minorHAnsi" w:hAnsiTheme="minorHAnsi"/>
          <w:bCs/>
          <w:szCs w:val="24"/>
        </w:rPr>
        <w:t xml:space="preserve">The PBAC considered that </w:t>
      </w:r>
      <w:r w:rsidR="00730DED" w:rsidRPr="00BE5FAF">
        <w:rPr>
          <w:rFonts w:asciiTheme="minorHAnsi" w:hAnsiTheme="minorHAnsi"/>
          <w:bCs/>
          <w:szCs w:val="24"/>
        </w:rPr>
        <w:t>a population with a more favourable risk-benefit profile</w:t>
      </w:r>
      <w:r w:rsidR="00522BF0" w:rsidRPr="00BE5FAF">
        <w:rPr>
          <w:rFonts w:asciiTheme="minorHAnsi" w:hAnsiTheme="minorHAnsi"/>
          <w:bCs/>
          <w:szCs w:val="24"/>
        </w:rPr>
        <w:t xml:space="preserve"> </w:t>
      </w:r>
      <w:proofErr w:type="gramStart"/>
      <w:r w:rsidR="00522BF0" w:rsidRPr="00BE5FAF">
        <w:rPr>
          <w:rFonts w:asciiTheme="minorHAnsi" w:hAnsiTheme="minorHAnsi"/>
          <w:bCs/>
          <w:szCs w:val="24"/>
        </w:rPr>
        <w:t>may</w:t>
      </w:r>
      <w:proofErr w:type="gramEnd"/>
      <w:r w:rsidR="00522BF0" w:rsidRPr="00BE5FAF">
        <w:rPr>
          <w:rFonts w:asciiTheme="minorHAnsi" w:hAnsiTheme="minorHAnsi"/>
          <w:bCs/>
          <w:szCs w:val="24"/>
        </w:rPr>
        <w:t xml:space="preserve"> include patients with CAD</w:t>
      </w:r>
      <w:r w:rsidR="00C350D6">
        <w:rPr>
          <w:rFonts w:asciiTheme="minorHAnsi" w:hAnsiTheme="minorHAnsi"/>
          <w:bCs/>
          <w:szCs w:val="24"/>
        </w:rPr>
        <w:t xml:space="preserve"> and</w:t>
      </w:r>
      <w:r w:rsidR="00522BF0" w:rsidRPr="00BE5FAF">
        <w:rPr>
          <w:rFonts w:asciiTheme="minorHAnsi" w:hAnsiTheme="minorHAnsi"/>
          <w:bCs/>
          <w:szCs w:val="24"/>
        </w:rPr>
        <w:t xml:space="preserve"> PAD</w:t>
      </w:r>
      <w:r w:rsidR="00155932">
        <w:rPr>
          <w:rFonts w:asciiTheme="minorHAnsi" w:hAnsiTheme="minorHAnsi"/>
          <w:bCs/>
          <w:szCs w:val="24"/>
        </w:rPr>
        <w:t>,</w:t>
      </w:r>
      <w:r w:rsidR="00155932" w:rsidRPr="00155932">
        <w:t xml:space="preserve"> </w:t>
      </w:r>
      <w:r w:rsidR="00155932" w:rsidRPr="00155932">
        <w:rPr>
          <w:rFonts w:asciiTheme="minorHAnsi" w:hAnsiTheme="minorHAnsi"/>
          <w:bCs/>
          <w:szCs w:val="24"/>
        </w:rPr>
        <w:t>or patients with CAD or PAD who have other high risk factors such as diabetes or recurrent events</w:t>
      </w:r>
      <w:r w:rsidR="00155932">
        <w:rPr>
          <w:rFonts w:asciiTheme="minorHAnsi" w:hAnsiTheme="minorHAnsi"/>
          <w:bCs/>
          <w:szCs w:val="24"/>
        </w:rPr>
        <w:t>.</w:t>
      </w:r>
    </w:p>
    <w:p w:rsidR="002B1F68" w:rsidRPr="00BE5FAF" w:rsidRDefault="00685A7A" w:rsidP="003008B5">
      <w:pPr>
        <w:pStyle w:val="ListParagraph"/>
        <w:widowControl/>
        <w:numPr>
          <w:ilvl w:val="1"/>
          <w:numId w:val="2"/>
        </w:numPr>
        <w:spacing w:before="120" w:after="120"/>
        <w:rPr>
          <w:rFonts w:asciiTheme="minorHAnsi" w:hAnsiTheme="minorHAnsi"/>
          <w:bCs/>
          <w:szCs w:val="24"/>
        </w:rPr>
      </w:pPr>
      <w:r w:rsidRPr="00BE5FAF">
        <w:t>The PBAC considered that the restriction proposed in the submission was complex and open to interpretation</w:t>
      </w:r>
      <w:r w:rsidR="00730DED" w:rsidRPr="00BE5FAF">
        <w:t>.</w:t>
      </w:r>
      <w:r w:rsidRPr="00BE5FAF">
        <w:t xml:space="preserve"> </w:t>
      </w:r>
      <w:r w:rsidR="00522BF0" w:rsidRPr="00BE5FAF">
        <w:t>The</w:t>
      </w:r>
      <w:r w:rsidR="002B1F68" w:rsidRPr="00BE5FAF">
        <w:t xml:space="preserve"> PBAC advised that</w:t>
      </w:r>
      <w:r w:rsidR="002647B0" w:rsidRPr="00BE5FAF">
        <w:t xml:space="preserve"> </w:t>
      </w:r>
      <w:r w:rsidR="00730DED" w:rsidRPr="00BE5FAF">
        <w:t>a revised</w:t>
      </w:r>
      <w:r w:rsidR="002647B0" w:rsidRPr="00BE5FAF">
        <w:t xml:space="preserve"> </w:t>
      </w:r>
      <w:r w:rsidR="002B1F68" w:rsidRPr="00BE5FAF">
        <w:t xml:space="preserve">restriction </w:t>
      </w:r>
      <w:r w:rsidR="002647B0" w:rsidRPr="00BE5FAF">
        <w:t xml:space="preserve">would need </w:t>
      </w:r>
      <w:proofErr w:type="gramStart"/>
      <w:r w:rsidR="002647B0" w:rsidRPr="00BE5FAF">
        <w:t xml:space="preserve">to </w:t>
      </w:r>
      <w:r w:rsidR="00522BF0" w:rsidRPr="00BE5FAF">
        <w:t xml:space="preserve">clearly </w:t>
      </w:r>
      <w:r w:rsidR="008E28A4" w:rsidRPr="00BE5FAF">
        <w:t>identify</w:t>
      </w:r>
      <w:proofErr w:type="gramEnd"/>
      <w:r w:rsidR="008E28A4" w:rsidRPr="00BE5FAF">
        <w:t xml:space="preserve"> an appropriate high-risk</w:t>
      </w:r>
      <w:r w:rsidR="00522BF0" w:rsidRPr="00BE5FAF">
        <w:t xml:space="preserve"> population, while being</w:t>
      </w:r>
      <w:r w:rsidR="002B1F68" w:rsidRPr="00BE5FAF">
        <w:t xml:space="preserve"> </w:t>
      </w:r>
      <w:r w:rsidR="009D78D2" w:rsidRPr="00BE5FAF">
        <w:t>easy to interpret</w:t>
      </w:r>
      <w:r w:rsidR="002B1F68" w:rsidRPr="00BE5FAF">
        <w:t xml:space="preserve">. </w:t>
      </w:r>
      <w:r w:rsidR="006763D2" w:rsidRPr="00BE5FAF">
        <w:t xml:space="preserve">Even with such a restriction, </w:t>
      </w:r>
      <w:r w:rsidR="002A5DE2" w:rsidRPr="00BE5FAF">
        <w:t xml:space="preserve">the PBAC considered that </w:t>
      </w:r>
      <w:r w:rsidR="006763D2" w:rsidRPr="00BE5FAF">
        <w:t xml:space="preserve">there would be a high potential for </w:t>
      </w:r>
      <w:r w:rsidR="00327CDF">
        <w:t>use outside the restriction</w:t>
      </w:r>
      <w:r w:rsidR="006763D2" w:rsidRPr="00BE5FAF">
        <w:t xml:space="preserve"> and</w:t>
      </w:r>
      <w:r w:rsidR="00BE1D7D" w:rsidRPr="00BE5FAF">
        <w:t xml:space="preserve"> so</w:t>
      </w:r>
      <w:r w:rsidR="006763D2" w:rsidRPr="00BE5FAF">
        <w:t xml:space="preserve"> an RSA with a</w:t>
      </w:r>
      <w:r w:rsidR="009A650F" w:rsidRPr="00BE5FAF">
        <w:t xml:space="preserve"> 100% rebate over the</w:t>
      </w:r>
      <w:r w:rsidR="006763D2" w:rsidRPr="00BE5FAF">
        <w:t xml:space="preserve"> cap would be required. </w:t>
      </w:r>
    </w:p>
    <w:p w:rsidR="009D78D2" w:rsidRPr="00BE5FAF" w:rsidRDefault="009D78D2" w:rsidP="003008B5">
      <w:pPr>
        <w:widowControl/>
        <w:numPr>
          <w:ilvl w:val="1"/>
          <w:numId w:val="2"/>
        </w:numPr>
        <w:spacing w:before="120" w:after="120"/>
        <w:rPr>
          <w:rFonts w:asciiTheme="minorHAnsi" w:hAnsiTheme="minorHAnsi"/>
          <w:bCs/>
          <w:szCs w:val="24"/>
        </w:rPr>
      </w:pPr>
      <w:r w:rsidRPr="00BE5FAF">
        <w:rPr>
          <w:rFonts w:asciiTheme="minorHAnsi" w:hAnsiTheme="minorHAnsi"/>
          <w:bCs/>
          <w:szCs w:val="24"/>
        </w:rPr>
        <w:t>The PBAC accepted that whilst aspirin was an appropriate comparator, it agreed with the ESC that the</w:t>
      </w:r>
      <w:r w:rsidR="002A5DE2" w:rsidRPr="00BE5FAF">
        <w:rPr>
          <w:rFonts w:asciiTheme="minorHAnsi" w:hAnsiTheme="minorHAnsi"/>
          <w:bCs/>
          <w:szCs w:val="24"/>
        </w:rPr>
        <w:t xml:space="preserve">re is some </w:t>
      </w:r>
      <w:r w:rsidRPr="00BE5FAF">
        <w:rPr>
          <w:rFonts w:asciiTheme="minorHAnsi" w:hAnsiTheme="minorHAnsi"/>
          <w:bCs/>
          <w:szCs w:val="24"/>
        </w:rPr>
        <w:t>u</w:t>
      </w:r>
      <w:r w:rsidR="002A5DE2" w:rsidRPr="00BE5FAF">
        <w:rPr>
          <w:rFonts w:asciiTheme="minorHAnsi" w:hAnsiTheme="minorHAnsi"/>
          <w:bCs/>
          <w:szCs w:val="24"/>
        </w:rPr>
        <w:t>se</w:t>
      </w:r>
      <w:r w:rsidRPr="00BE5FAF">
        <w:rPr>
          <w:rFonts w:asciiTheme="minorHAnsi" w:hAnsiTheme="minorHAnsi"/>
          <w:bCs/>
          <w:szCs w:val="24"/>
        </w:rPr>
        <w:t xml:space="preserve"> of long-term (</w:t>
      </w:r>
      <w:r w:rsidR="00522F7B" w:rsidRPr="00BE5FAF">
        <w:rPr>
          <w:rFonts w:asciiTheme="minorHAnsi" w:hAnsiTheme="minorHAnsi"/>
          <w:bCs/>
          <w:szCs w:val="24"/>
        </w:rPr>
        <w:t>i.e.</w:t>
      </w:r>
      <w:r w:rsidRPr="00BE5FAF">
        <w:rPr>
          <w:rFonts w:asciiTheme="minorHAnsi" w:hAnsiTheme="minorHAnsi"/>
          <w:bCs/>
          <w:szCs w:val="24"/>
        </w:rPr>
        <w:t xml:space="preserve"> longer than 12 months) dual anti-platelet therapy following acute coronary syndromes and considered that </w:t>
      </w:r>
      <w:proofErr w:type="spellStart"/>
      <w:r w:rsidRPr="00BE5FAF">
        <w:rPr>
          <w:rFonts w:asciiTheme="minorHAnsi" w:hAnsiTheme="minorHAnsi"/>
          <w:bCs/>
          <w:szCs w:val="24"/>
        </w:rPr>
        <w:t>clopidogrel</w:t>
      </w:r>
      <w:proofErr w:type="spellEnd"/>
      <w:r w:rsidRPr="00BE5FAF">
        <w:rPr>
          <w:rFonts w:asciiTheme="minorHAnsi" w:hAnsiTheme="minorHAnsi"/>
          <w:bCs/>
          <w:szCs w:val="24"/>
        </w:rPr>
        <w:t xml:space="preserve"> may be a suitable comparator in a group of patients (e.g. those with </w:t>
      </w:r>
      <w:r w:rsidR="008C3146" w:rsidRPr="00BE5FAF">
        <w:rPr>
          <w:rFonts w:asciiTheme="minorHAnsi" w:hAnsiTheme="minorHAnsi"/>
          <w:bCs/>
          <w:szCs w:val="24"/>
        </w:rPr>
        <w:t xml:space="preserve">high cardiovascular risk but </w:t>
      </w:r>
      <w:r w:rsidRPr="00BE5FAF">
        <w:rPr>
          <w:rFonts w:asciiTheme="minorHAnsi" w:hAnsiTheme="minorHAnsi"/>
          <w:bCs/>
          <w:szCs w:val="24"/>
        </w:rPr>
        <w:t>low bleeding risk).</w:t>
      </w:r>
    </w:p>
    <w:p w:rsidR="00895EDB" w:rsidRPr="00BE5FAF" w:rsidRDefault="00730DED" w:rsidP="003008B5">
      <w:pPr>
        <w:pStyle w:val="ListParagraph"/>
        <w:widowControl/>
        <w:numPr>
          <w:ilvl w:val="1"/>
          <w:numId w:val="2"/>
        </w:numPr>
        <w:spacing w:before="120" w:after="120"/>
        <w:rPr>
          <w:rFonts w:asciiTheme="minorHAnsi" w:hAnsiTheme="minorHAnsi"/>
          <w:bCs/>
          <w:szCs w:val="24"/>
        </w:rPr>
      </w:pPr>
      <w:r w:rsidRPr="00BE5FAF">
        <w:rPr>
          <w:rFonts w:asciiTheme="minorHAnsi" w:hAnsiTheme="minorHAnsi"/>
          <w:bCs/>
          <w:szCs w:val="24"/>
        </w:rPr>
        <w:t xml:space="preserve">The PBAC noted that </w:t>
      </w:r>
      <w:r w:rsidR="00B16866" w:rsidRPr="00BE5FAF">
        <w:rPr>
          <w:rFonts w:asciiTheme="minorHAnsi" w:hAnsiTheme="minorHAnsi"/>
          <w:bCs/>
          <w:szCs w:val="24"/>
        </w:rPr>
        <w:t xml:space="preserve">the COMPASS trial found that </w:t>
      </w:r>
      <w:proofErr w:type="spellStart"/>
      <w:r w:rsidRPr="00BE5FAF">
        <w:rPr>
          <w:rFonts w:asciiTheme="minorHAnsi" w:hAnsiTheme="minorHAnsi"/>
          <w:bCs/>
          <w:szCs w:val="24"/>
        </w:rPr>
        <w:t>rivaroxaban</w:t>
      </w:r>
      <w:proofErr w:type="spellEnd"/>
      <w:r w:rsidRPr="00BE5FAF">
        <w:rPr>
          <w:rFonts w:asciiTheme="minorHAnsi" w:hAnsiTheme="minorHAnsi"/>
          <w:bCs/>
          <w:szCs w:val="24"/>
        </w:rPr>
        <w:t xml:space="preserve"> </w:t>
      </w:r>
      <w:r w:rsidR="00B16866" w:rsidRPr="00BE5FAF">
        <w:rPr>
          <w:rFonts w:asciiTheme="minorHAnsi" w:hAnsiTheme="minorHAnsi"/>
          <w:bCs/>
          <w:szCs w:val="24"/>
        </w:rPr>
        <w:t>plus</w:t>
      </w:r>
      <w:r w:rsidRPr="00BE5FAF">
        <w:rPr>
          <w:rFonts w:asciiTheme="minorHAnsi" w:hAnsiTheme="minorHAnsi"/>
          <w:bCs/>
          <w:szCs w:val="24"/>
        </w:rPr>
        <w:t xml:space="preserve"> aspirin was associated with a statistically significant reduction in the proportion of patients who experienced myocardial infarction, stroke, or cardiovascular death </w:t>
      </w:r>
      <w:r w:rsidR="00B16866" w:rsidRPr="00BE5FAF">
        <w:rPr>
          <w:rFonts w:asciiTheme="minorHAnsi" w:hAnsiTheme="minorHAnsi"/>
          <w:bCs/>
          <w:szCs w:val="24"/>
        </w:rPr>
        <w:t>(</w:t>
      </w:r>
      <w:r w:rsidRPr="00BE5FAF">
        <w:rPr>
          <w:rFonts w:asciiTheme="minorHAnsi" w:hAnsiTheme="minorHAnsi"/>
          <w:bCs/>
          <w:szCs w:val="24"/>
        </w:rPr>
        <w:t xml:space="preserve">the </w:t>
      </w:r>
      <w:r w:rsidR="00B16866" w:rsidRPr="00BE5FAF">
        <w:rPr>
          <w:rFonts w:asciiTheme="minorHAnsi" w:hAnsiTheme="minorHAnsi"/>
          <w:bCs/>
          <w:szCs w:val="24"/>
        </w:rPr>
        <w:t xml:space="preserve">primary </w:t>
      </w:r>
      <w:r w:rsidRPr="00BE5FAF">
        <w:rPr>
          <w:rFonts w:asciiTheme="minorHAnsi" w:hAnsiTheme="minorHAnsi"/>
          <w:bCs/>
          <w:szCs w:val="24"/>
        </w:rPr>
        <w:t>outcome</w:t>
      </w:r>
      <w:r w:rsidR="00B16866" w:rsidRPr="00BE5FAF">
        <w:rPr>
          <w:rFonts w:asciiTheme="minorHAnsi" w:hAnsiTheme="minorHAnsi"/>
          <w:bCs/>
          <w:szCs w:val="24"/>
        </w:rPr>
        <w:t>)</w:t>
      </w:r>
      <w:r w:rsidRPr="00BE5FAF">
        <w:rPr>
          <w:rFonts w:asciiTheme="minorHAnsi" w:hAnsiTheme="minorHAnsi"/>
          <w:bCs/>
          <w:szCs w:val="24"/>
        </w:rPr>
        <w:t xml:space="preserve"> compared with </w:t>
      </w:r>
      <w:r w:rsidR="00B16866" w:rsidRPr="00BE5FAF">
        <w:rPr>
          <w:rFonts w:asciiTheme="minorHAnsi" w:hAnsiTheme="minorHAnsi"/>
          <w:bCs/>
          <w:szCs w:val="24"/>
        </w:rPr>
        <w:t>a</w:t>
      </w:r>
      <w:r w:rsidRPr="00BE5FAF">
        <w:rPr>
          <w:rFonts w:asciiTheme="minorHAnsi" w:hAnsiTheme="minorHAnsi"/>
          <w:bCs/>
          <w:szCs w:val="24"/>
        </w:rPr>
        <w:t>spirin</w:t>
      </w:r>
      <w:r w:rsidR="00B16866" w:rsidRPr="00BE5FAF">
        <w:rPr>
          <w:rFonts w:asciiTheme="minorHAnsi" w:hAnsiTheme="minorHAnsi"/>
          <w:bCs/>
          <w:szCs w:val="24"/>
        </w:rPr>
        <w:t xml:space="preserve"> alone (HR: 0.76 (95% CI: 0.66, 0.86)</w:t>
      </w:r>
      <w:r w:rsidRPr="00BE5FAF">
        <w:rPr>
          <w:rFonts w:asciiTheme="minorHAnsi" w:hAnsiTheme="minorHAnsi"/>
          <w:bCs/>
          <w:szCs w:val="24"/>
        </w:rPr>
        <w:t xml:space="preserve">. </w:t>
      </w:r>
      <w:r w:rsidR="002647B0" w:rsidRPr="00BE5FAF">
        <w:rPr>
          <w:rFonts w:asciiTheme="minorHAnsi" w:hAnsiTheme="minorHAnsi"/>
          <w:bCs/>
          <w:szCs w:val="24"/>
        </w:rPr>
        <w:t xml:space="preserve">The PBAC accepted the clinical superiority of </w:t>
      </w:r>
      <w:proofErr w:type="spellStart"/>
      <w:r w:rsidR="002647B0" w:rsidRPr="00BE5FAF">
        <w:rPr>
          <w:rFonts w:asciiTheme="minorHAnsi" w:hAnsiTheme="minorHAnsi"/>
          <w:bCs/>
          <w:szCs w:val="24"/>
        </w:rPr>
        <w:t>rivaroxaban</w:t>
      </w:r>
      <w:proofErr w:type="spellEnd"/>
      <w:r w:rsidR="002647B0" w:rsidRPr="00BE5FAF">
        <w:rPr>
          <w:rFonts w:asciiTheme="minorHAnsi" w:hAnsiTheme="minorHAnsi"/>
          <w:bCs/>
          <w:szCs w:val="24"/>
        </w:rPr>
        <w:t xml:space="preserve"> in combination with aspirin compared </w:t>
      </w:r>
      <w:r w:rsidR="00AD0914" w:rsidRPr="00BE5FAF">
        <w:rPr>
          <w:rFonts w:asciiTheme="minorHAnsi" w:hAnsiTheme="minorHAnsi"/>
          <w:bCs/>
          <w:szCs w:val="24"/>
        </w:rPr>
        <w:t>with</w:t>
      </w:r>
      <w:r w:rsidR="002647B0" w:rsidRPr="00BE5FAF">
        <w:rPr>
          <w:rFonts w:asciiTheme="minorHAnsi" w:hAnsiTheme="minorHAnsi"/>
          <w:bCs/>
          <w:szCs w:val="24"/>
        </w:rPr>
        <w:t xml:space="preserve"> aspirin alone. </w:t>
      </w:r>
      <w:proofErr w:type="gramStart"/>
      <w:r w:rsidR="002647B0" w:rsidRPr="00BE5FAF">
        <w:rPr>
          <w:rFonts w:asciiTheme="minorHAnsi" w:hAnsiTheme="minorHAnsi"/>
          <w:bCs/>
          <w:szCs w:val="24"/>
        </w:rPr>
        <w:t xml:space="preserve">However, the PBAC considered that </w:t>
      </w:r>
      <w:r w:rsidR="009D78D2" w:rsidRPr="00BE5FAF">
        <w:rPr>
          <w:rFonts w:asciiTheme="minorHAnsi" w:hAnsiTheme="minorHAnsi"/>
          <w:bCs/>
          <w:szCs w:val="24"/>
        </w:rPr>
        <w:t xml:space="preserve">the </w:t>
      </w:r>
      <w:r w:rsidR="00AD0914" w:rsidRPr="00BE5FAF">
        <w:rPr>
          <w:rFonts w:asciiTheme="minorHAnsi" w:hAnsiTheme="minorHAnsi"/>
          <w:bCs/>
          <w:szCs w:val="24"/>
        </w:rPr>
        <w:t xml:space="preserve">magnitude of the clinical benefit </w:t>
      </w:r>
      <w:r w:rsidR="00654E10" w:rsidRPr="00BE5FAF">
        <w:rPr>
          <w:rFonts w:asciiTheme="minorHAnsi" w:hAnsiTheme="minorHAnsi"/>
          <w:bCs/>
          <w:szCs w:val="24"/>
        </w:rPr>
        <w:t xml:space="preserve">was likely </w:t>
      </w:r>
      <w:r w:rsidR="00DB5ABF" w:rsidRPr="00BE5FAF">
        <w:rPr>
          <w:rFonts w:asciiTheme="minorHAnsi" w:hAnsiTheme="minorHAnsi"/>
          <w:bCs/>
          <w:szCs w:val="24"/>
        </w:rPr>
        <w:t xml:space="preserve">to have been </w:t>
      </w:r>
      <w:r w:rsidR="00654E10" w:rsidRPr="00BE5FAF">
        <w:rPr>
          <w:rFonts w:asciiTheme="minorHAnsi" w:hAnsiTheme="minorHAnsi"/>
          <w:bCs/>
          <w:szCs w:val="24"/>
        </w:rPr>
        <w:t xml:space="preserve">overestimated </w:t>
      </w:r>
      <w:r w:rsidR="002A5DE2" w:rsidRPr="00BE5FAF">
        <w:rPr>
          <w:rFonts w:asciiTheme="minorHAnsi" w:hAnsiTheme="minorHAnsi"/>
          <w:bCs/>
          <w:szCs w:val="24"/>
        </w:rPr>
        <w:t>in the trial (</w:t>
      </w:r>
      <w:r w:rsidR="00654E10" w:rsidRPr="00BE5FAF">
        <w:rPr>
          <w:rFonts w:asciiTheme="minorHAnsi" w:hAnsiTheme="minorHAnsi"/>
          <w:bCs/>
          <w:szCs w:val="24"/>
        </w:rPr>
        <w:t>due to the premature stopping of the trial</w:t>
      </w:r>
      <w:r w:rsidR="002A5DE2" w:rsidRPr="00BE5FAF">
        <w:rPr>
          <w:rFonts w:asciiTheme="minorHAnsi" w:hAnsiTheme="minorHAnsi"/>
          <w:bCs/>
          <w:szCs w:val="24"/>
        </w:rPr>
        <w:t>) and</w:t>
      </w:r>
      <w:r w:rsidR="009D78D2" w:rsidRPr="00BE5FAF">
        <w:rPr>
          <w:rFonts w:asciiTheme="minorHAnsi" w:hAnsiTheme="minorHAnsi"/>
          <w:bCs/>
          <w:szCs w:val="24"/>
        </w:rPr>
        <w:t xml:space="preserve"> may not be </w:t>
      </w:r>
      <w:r w:rsidR="00B24D3E" w:rsidRPr="00BE5FAF">
        <w:rPr>
          <w:rFonts w:asciiTheme="minorHAnsi" w:hAnsiTheme="minorHAnsi"/>
          <w:bCs/>
          <w:szCs w:val="24"/>
        </w:rPr>
        <w:t>reflected in clinical practice</w:t>
      </w:r>
      <w:r w:rsidR="00DB5ABF" w:rsidRPr="00BE5FAF">
        <w:rPr>
          <w:rFonts w:asciiTheme="minorHAnsi" w:hAnsiTheme="minorHAnsi"/>
          <w:bCs/>
          <w:szCs w:val="24"/>
        </w:rPr>
        <w:t xml:space="preserve"> (due to potential differences </w:t>
      </w:r>
      <w:r w:rsidR="00E7722D" w:rsidRPr="00BE5FAF">
        <w:rPr>
          <w:rFonts w:asciiTheme="minorHAnsi" w:hAnsiTheme="minorHAnsi"/>
          <w:bCs/>
          <w:szCs w:val="24"/>
        </w:rPr>
        <w:t xml:space="preserve">between the trial population and likely PBS population </w:t>
      </w:r>
      <w:r w:rsidR="00DB5ABF" w:rsidRPr="00BE5FAF">
        <w:rPr>
          <w:rFonts w:asciiTheme="minorHAnsi" w:hAnsiTheme="minorHAnsi"/>
          <w:bCs/>
          <w:szCs w:val="24"/>
        </w:rPr>
        <w:t>in</w:t>
      </w:r>
      <w:r w:rsidR="00E7722D" w:rsidRPr="00BE5FAF">
        <w:rPr>
          <w:rFonts w:asciiTheme="minorHAnsi" w:hAnsiTheme="minorHAnsi"/>
          <w:bCs/>
          <w:szCs w:val="24"/>
        </w:rPr>
        <w:t xml:space="preserve"> terms of</w:t>
      </w:r>
      <w:r w:rsidR="009E07D7">
        <w:rPr>
          <w:rFonts w:asciiTheme="minorHAnsi" w:hAnsiTheme="minorHAnsi"/>
          <w:bCs/>
          <w:szCs w:val="24"/>
        </w:rPr>
        <w:t>:</w:t>
      </w:r>
      <w:r w:rsidR="00DB5ABF" w:rsidRPr="00BE5FAF">
        <w:rPr>
          <w:rFonts w:asciiTheme="minorHAnsi" w:hAnsiTheme="minorHAnsi"/>
          <w:bCs/>
          <w:szCs w:val="24"/>
        </w:rPr>
        <w:t xml:space="preserve"> baseline risk</w:t>
      </w:r>
      <w:r w:rsidR="009E07D7">
        <w:rPr>
          <w:rFonts w:asciiTheme="minorHAnsi" w:hAnsiTheme="minorHAnsi"/>
          <w:bCs/>
          <w:szCs w:val="24"/>
        </w:rPr>
        <w:t>;</w:t>
      </w:r>
      <w:r w:rsidR="00895EDB" w:rsidRPr="00BE5FAF">
        <w:rPr>
          <w:rFonts w:asciiTheme="minorHAnsi" w:hAnsiTheme="minorHAnsi"/>
          <w:bCs/>
          <w:szCs w:val="24"/>
        </w:rPr>
        <w:t xml:space="preserve"> use of concomitant cardiovascular medicines</w:t>
      </w:r>
      <w:r w:rsidR="009E07D7">
        <w:rPr>
          <w:rFonts w:asciiTheme="minorHAnsi" w:hAnsiTheme="minorHAnsi"/>
          <w:bCs/>
          <w:szCs w:val="24"/>
        </w:rPr>
        <w:t>;</w:t>
      </w:r>
      <w:r w:rsidR="00E7722D" w:rsidRPr="00BE5FAF">
        <w:rPr>
          <w:rFonts w:asciiTheme="minorHAnsi" w:hAnsiTheme="minorHAnsi"/>
          <w:bCs/>
          <w:szCs w:val="24"/>
        </w:rPr>
        <w:t xml:space="preserve"> and compliance to </w:t>
      </w:r>
      <w:proofErr w:type="spellStart"/>
      <w:r w:rsidR="00E7722D" w:rsidRPr="00BE5FAF">
        <w:rPr>
          <w:rFonts w:asciiTheme="minorHAnsi" w:hAnsiTheme="minorHAnsi"/>
          <w:bCs/>
          <w:szCs w:val="24"/>
        </w:rPr>
        <w:t>rivaroxaban</w:t>
      </w:r>
      <w:proofErr w:type="spellEnd"/>
      <w:r w:rsidR="00E7722D" w:rsidRPr="00BE5FAF">
        <w:rPr>
          <w:rFonts w:asciiTheme="minorHAnsi" w:hAnsiTheme="minorHAnsi"/>
          <w:bCs/>
          <w:szCs w:val="24"/>
        </w:rPr>
        <w:t xml:space="preserve"> plus aspirin</w:t>
      </w:r>
      <w:r w:rsidR="00DB5ABF" w:rsidRPr="00BE5FAF">
        <w:rPr>
          <w:rFonts w:asciiTheme="minorHAnsi" w:hAnsiTheme="minorHAnsi"/>
          <w:bCs/>
          <w:szCs w:val="24"/>
        </w:rPr>
        <w:t>)</w:t>
      </w:r>
      <w:r w:rsidR="00B24D3E" w:rsidRPr="00BE5FAF">
        <w:rPr>
          <w:rFonts w:asciiTheme="minorHAnsi" w:hAnsiTheme="minorHAnsi"/>
          <w:bCs/>
          <w:szCs w:val="24"/>
        </w:rPr>
        <w:t>.</w:t>
      </w:r>
      <w:proofErr w:type="gramEnd"/>
      <w:r w:rsidR="00DB5ABF" w:rsidRPr="00BE5FAF">
        <w:rPr>
          <w:rFonts w:asciiTheme="minorHAnsi" w:hAnsiTheme="minorHAnsi"/>
          <w:bCs/>
          <w:szCs w:val="24"/>
        </w:rPr>
        <w:t xml:space="preserve"> </w:t>
      </w:r>
      <w:r w:rsidR="00895EDB" w:rsidRPr="00BE5FAF">
        <w:rPr>
          <w:rFonts w:asciiTheme="minorHAnsi" w:hAnsiTheme="minorHAnsi"/>
          <w:bCs/>
          <w:szCs w:val="24"/>
        </w:rPr>
        <w:t xml:space="preserve">The PBAC also considered that the magnitude of </w:t>
      </w:r>
      <w:r w:rsidR="008E28A4" w:rsidRPr="00BE5FAF">
        <w:rPr>
          <w:rFonts w:asciiTheme="minorHAnsi" w:hAnsiTheme="minorHAnsi"/>
          <w:bCs/>
          <w:szCs w:val="24"/>
        </w:rPr>
        <w:t xml:space="preserve">incremental </w:t>
      </w:r>
      <w:r w:rsidR="00895EDB" w:rsidRPr="00BE5FAF">
        <w:rPr>
          <w:rFonts w:asciiTheme="minorHAnsi" w:hAnsiTheme="minorHAnsi"/>
          <w:bCs/>
          <w:szCs w:val="24"/>
        </w:rPr>
        <w:t xml:space="preserve">benefit in addition to ideal medical management of cardiovascular risk is unknown. </w:t>
      </w:r>
    </w:p>
    <w:p w:rsidR="00F847DC" w:rsidRPr="00BE5FAF" w:rsidRDefault="00DB5ABF" w:rsidP="003008B5">
      <w:pPr>
        <w:pStyle w:val="ListParagraph"/>
        <w:numPr>
          <w:ilvl w:val="1"/>
          <w:numId w:val="2"/>
        </w:numPr>
        <w:spacing w:before="120" w:after="120"/>
        <w:rPr>
          <w:rFonts w:asciiTheme="minorHAnsi" w:hAnsiTheme="minorHAnsi"/>
          <w:bCs/>
          <w:szCs w:val="24"/>
        </w:rPr>
      </w:pPr>
      <w:r w:rsidRPr="00BE5FAF">
        <w:rPr>
          <w:rFonts w:asciiTheme="minorHAnsi" w:hAnsiTheme="minorHAnsi"/>
          <w:bCs/>
          <w:szCs w:val="24"/>
        </w:rPr>
        <w:t>Further, the PBAC considered that the trial, which had a median follow-up of 23 months</w:t>
      </w:r>
      <w:r w:rsidR="008E28A4" w:rsidRPr="00BE5FAF">
        <w:rPr>
          <w:rFonts w:asciiTheme="minorHAnsi" w:hAnsiTheme="minorHAnsi"/>
          <w:bCs/>
          <w:szCs w:val="24"/>
        </w:rPr>
        <w:t>, was relatively short in the context of a long-term treatment</w:t>
      </w:r>
      <w:r w:rsidR="007C5956" w:rsidRPr="00BE5FAF">
        <w:rPr>
          <w:rFonts w:asciiTheme="minorHAnsi" w:hAnsiTheme="minorHAnsi"/>
          <w:bCs/>
          <w:szCs w:val="24"/>
        </w:rPr>
        <w:t>.</w:t>
      </w:r>
      <w:r w:rsidR="00895EDB" w:rsidRPr="00BE5FAF">
        <w:rPr>
          <w:rFonts w:asciiTheme="minorHAnsi" w:hAnsiTheme="minorHAnsi"/>
          <w:bCs/>
          <w:szCs w:val="24"/>
        </w:rPr>
        <w:t xml:space="preserve"> The PBAC</w:t>
      </w:r>
      <w:r w:rsidR="00F847DC" w:rsidRPr="00BE5FAF">
        <w:rPr>
          <w:rFonts w:asciiTheme="minorHAnsi" w:hAnsiTheme="minorHAnsi"/>
          <w:bCs/>
          <w:szCs w:val="24"/>
        </w:rPr>
        <w:t xml:space="preserve"> considered that </w:t>
      </w:r>
      <w:r w:rsidR="00522BF0" w:rsidRPr="00BE5FAF">
        <w:rPr>
          <w:rFonts w:asciiTheme="minorHAnsi" w:hAnsiTheme="minorHAnsi"/>
          <w:bCs/>
          <w:szCs w:val="24"/>
        </w:rPr>
        <w:t>it was unclear</w:t>
      </w:r>
      <w:r w:rsidR="00F847DC" w:rsidRPr="00BE5FAF">
        <w:rPr>
          <w:rFonts w:asciiTheme="minorHAnsi" w:hAnsiTheme="minorHAnsi"/>
          <w:bCs/>
          <w:szCs w:val="24"/>
        </w:rPr>
        <w:t xml:space="preserve"> whether the treatment effect </w:t>
      </w:r>
      <w:proofErr w:type="gramStart"/>
      <w:r w:rsidR="00522F7B" w:rsidRPr="00BE5FAF">
        <w:rPr>
          <w:rFonts w:asciiTheme="minorHAnsi" w:hAnsiTheme="minorHAnsi"/>
          <w:bCs/>
          <w:szCs w:val="24"/>
        </w:rPr>
        <w:t>would be maintained</w:t>
      </w:r>
      <w:proofErr w:type="gramEnd"/>
      <w:r w:rsidR="00F847DC" w:rsidRPr="00BE5FAF">
        <w:rPr>
          <w:rFonts w:asciiTheme="minorHAnsi" w:hAnsiTheme="minorHAnsi"/>
          <w:bCs/>
          <w:szCs w:val="24"/>
        </w:rPr>
        <w:t xml:space="preserve"> over time.</w:t>
      </w:r>
      <w:r w:rsidR="00BD1687" w:rsidRPr="00BE5FAF">
        <w:rPr>
          <w:rFonts w:asciiTheme="minorHAnsi" w:hAnsiTheme="minorHAnsi"/>
          <w:bCs/>
          <w:szCs w:val="24"/>
        </w:rPr>
        <w:t xml:space="preserve"> </w:t>
      </w:r>
    </w:p>
    <w:p w:rsidR="00CD3FBE" w:rsidRPr="00BE5FAF" w:rsidRDefault="00CD3FBE" w:rsidP="003008B5">
      <w:pPr>
        <w:pStyle w:val="ListParagraph"/>
        <w:widowControl/>
        <w:numPr>
          <w:ilvl w:val="1"/>
          <w:numId w:val="2"/>
        </w:numPr>
        <w:spacing w:before="120" w:after="120"/>
        <w:rPr>
          <w:rFonts w:asciiTheme="minorHAnsi" w:hAnsiTheme="minorHAnsi"/>
          <w:bCs/>
          <w:szCs w:val="24"/>
        </w:rPr>
      </w:pPr>
      <w:r w:rsidRPr="00BE5FAF">
        <w:rPr>
          <w:rFonts w:asciiTheme="minorHAnsi" w:hAnsiTheme="minorHAnsi"/>
          <w:bCs/>
          <w:szCs w:val="24"/>
        </w:rPr>
        <w:t xml:space="preserve">The PBAC considered the claim of </w:t>
      </w:r>
      <w:r w:rsidRPr="00BE5FAF">
        <w:t xml:space="preserve">inferior </w:t>
      </w:r>
      <w:r w:rsidR="00DD72BE" w:rsidRPr="00BE5FAF">
        <w:t xml:space="preserve">comparative </w:t>
      </w:r>
      <w:r w:rsidRPr="00BE5FAF">
        <w:t xml:space="preserve">safety of </w:t>
      </w:r>
      <w:proofErr w:type="spellStart"/>
      <w:r w:rsidRPr="00BE5FAF">
        <w:t>rivaroxaban</w:t>
      </w:r>
      <w:proofErr w:type="spellEnd"/>
      <w:r w:rsidRPr="00BE5FAF">
        <w:t xml:space="preserve"> in combination with aspirin compared with aspirin </w:t>
      </w:r>
      <w:r w:rsidR="00654E10" w:rsidRPr="00BE5FAF">
        <w:t xml:space="preserve">alone </w:t>
      </w:r>
      <w:r w:rsidR="00096209" w:rsidRPr="00BE5FAF">
        <w:t>was reasonable.</w:t>
      </w:r>
      <w:r w:rsidR="001362B4" w:rsidRPr="00BE5FAF">
        <w:t xml:space="preserve"> </w:t>
      </w:r>
      <w:r w:rsidR="00EB4EC1" w:rsidRPr="00BE5FAF">
        <w:t>T</w:t>
      </w:r>
      <w:r w:rsidR="00DD72BE" w:rsidRPr="00BE5FAF">
        <w:t>he PBAC</w:t>
      </w:r>
      <w:r w:rsidRPr="00BE5FAF">
        <w:t xml:space="preserve"> considered the risk of bleeding with</w:t>
      </w:r>
      <w:r w:rsidR="00BD189F" w:rsidRPr="00BE5FAF">
        <w:t xml:space="preserve"> </w:t>
      </w:r>
      <w:proofErr w:type="spellStart"/>
      <w:r w:rsidR="00BD189F" w:rsidRPr="00BE5FAF">
        <w:t>rivaroxaban</w:t>
      </w:r>
      <w:proofErr w:type="spellEnd"/>
      <w:r w:rsidR="00BD189F" w:rsidRPr="00BE5FAF">
        <w:t xml:space="preserve"> was </w:t>
      </w:r>
      <w:r w:rsidR="00B711DB" w:rsidRPr="00BE5FAF">
        <w:t xml:space="preserve">likely </w:t>
      </w:r>
      <w:r w:rsidR="00BD189F" w:rsidRPr="00BE5FAF">
        <w:t xml:space="preserve">underestimated </w:t>
      </w:r>
      <w:r w:rsidR="00096209" w:rsidRPr="00BE5FAF">
        <w:t xml:space="preserve">in the </w:t>
      </w:r>
      <w:r w:rsidR="00DD72BE" w:rsidRPr="00BE5FAF">
        <w:t>COMPASS trial because</w:t>
      </w:r>
      <w:r w:rsidR="009D78D2" w:rsidRPr="00BE5FAF">
        <w:t xml:space="preserve"> patients at high risk of bleeding were excluded</w:t>
      </w:r>
      <w:r w:rsidR="00B16866" w:rsidRPr="00BE5FAF">
        <w:t>,</w:t>
      </w:r>
      <w:r w:rsidR="009D78D2" w:rsidRPr="00BE5FAF">
        <w:t xml:space="preserve"> </w:t>
      </w:r>
      <w:r w:rsidR="004363C6" w:rsidRPr="004363C6">
        <w:t>and patients treated in clinical practice may be older and at a higher risk of bleeding than patients in the trial</w:t>
      </w:r>
      <w:r w:rsidR="00DD72BE" w:rsidRPr="00BE5FAF">
        <w:t>.</w:t>
      </w:r>
      <w:r w:rsidR="009D78D2" w:rsidRPr="00BE5FAF">
        <w:t xml:space="preserve"> </w:t>
      </w:r>
      <w:r w:rsidR="001002AE" w:rsidRPr="00BE5FAF">
        <w:t xml:space="preserve">In </w:t>
      </w:r>
      <w:r w:rsidR="00B46D0A" w:rsidRPr="00BE5FAF">
        <w:t>particular</w:t>
      </w:r>
      <w:r w:rsidR="009D78D2" w:rsidRPr="00BE5FAF">
        <w:t xml:space="preserve">, the PBAC </w:t>
      </w:r>
      <w:r w:rsidR="001002AE" w:rsidRPr="00BE5FAF">
        <w:t>noted that the mean age of patients in the COMPASS trial was 68 years, and c</w:t>
      </w:r>
      <w:r w:rsidR="009D78D2" w:rsidRPr="00BE5FAF">
        <w:t xml:space="preserve">onsidered that </w:t>
      </w:r>
      <w:r w:rsidR="00DD72BE" w:rsidRPr="00BE5FAF">
        <w:t xml:space="preserve">the safety </w:t>
      </w:r>
      <w:r w:rsidR="00BD1687" w:rsidRPr="00BE5FAF">
        <w:t xml:space="preserve">results may not be </w:t>
      </w:r>
      <w:r w:rsidR="00B46D0A" w:rsidRPr="00BE5FAF">
        <w:t xml:space="preserve">applicable to </w:t>
      </w:r>
      <w:r w:rsidR="00DE7E8F" w:rsidRPr="00BE5FAF">
        <w:t>elderly</w:t>
      </w:r>
      <w:r w:rsidR="00BD1687" w:rsidRPr="00BE5FAF">
        <w:t xml:space="preserve"> patients</w:t>
      </w:r>
      <w:r w:rsidR="00BD189F" w:rsidRPr="00BE5FAF">
        <w:t xml:space="preserve">, who </w:t>
      </w:r>
      <w:r w:rsidR="00096209" w:rsidRPr="00BE5FAF">
        <w:t>represent</w:t>
      </w:r>
      <w:r w:rsidR="00BD189F" w:rsidRPr="00BE5FAF">
        <w:t xml:space="preserve"> a large proportion of cardiovascular </w:t>
      </w:r>
      <w:r w:rsidR="00BD189F" w:rsidRPr="00BE5FAF">
        <w:lastRenderedPageBreak/>
        <w:t>patients in clinical practice</w:t>
      </w:r>
      <w:r w:rsidR="00DE7E8F" w:rsidRPr="00BE5FAF">
        <w:t xml:space="preserve">. </w:t>
      </w:r>
      <w:r w:rsidR="0042509C" w:rsidRPr="00BE5FAF">
        <w:t>The PBAC noted that the COMPASS trial excluded patients with poor renal function (</w:t>
      </w:r>
      <w:proofErr w:type="spellStart"/>
      <w:r w:rsidR="0042509C" w:rsidRPr="00BE5FAF">
        <w:t>eGFR</w:t>
      </w:r>
      <w:proofErr w:type="spellEnd"/>
      <w:r w:rsidR="0042509C" w:rsidRPr="00BE5FAF">
        <w:t xml:space="preserve"> &lt; 15 mL/min), and </w:t>
      </w:r>
      <w:r w:rsidR="00654E10" w:rsidRPr="00BE5FAF">
        <w:t>considered</w:t>
      </w:r>
      <w:r w:rsidR="0042509C" w:rsidRPr="00BE5FAF">
        <w:t xml:space="preserve"> </w:t>
      </w:r>
      <w:r w:rsidR="0012126E" w:rsidRPr="00BE5FAF">
        <w:t>it was likely that the</w:t>
      </w:r>
      <w:r w:rsidR="0042509C" w:rsidRPr="00BE5FAF">
        <w:t xml:space="preserve"> risk of bleeding </w:t>
      </w:r>
      <w:r w:rsidR="0012126E" w:rsidRPr="00BE5FAF">
        <w:t xml:space="preserve">would be higher </w:t>
      </w:r>
      <w:r w:rsidR="0042509C" w:rsidRPr="00BE5FAF">
        <w:t xml:space="preserve">in patients with deteriorating renal function. </w:t>
      </w:r>
      <w:r w:rsidR="00DD72BE" w:rsidRPr="00BE5FAF">
        <w:t>The PBAC considered that these s</w:t>
      </w:r>
      <w:r w:rsidR="002B1F68" w:rsidRPr="00BE5FAF">
        <w:t xml:space="preserve">afety concerns were </w:t>
      </w:r>
      <w:r w:rsidR="00DD72BE" w:rsidRPr="00BE5FAF">
        <w:t xml:space="preserve">a particular issue </w:t>
      </w:r>
      <w:r w:rsidR="002B1F68" w:rsidRPr="00BE5FAF">
        <w:t>in the context of the broad population</w:t>
      </w:r>
      <w:r w:rsidR="00DD72BE" w:rsidRPr="00BE5FAF">
        <w:t xml:space="preserve"> requested for </w:t>
      </w:r>
      <w:r w:rsidR="00BD1687" w:rsidRPr="00BE5FAF">
        <w:t>listing</w:t>
      </w:r>
      <w:r w:rsidR="00DD3D05" w:rsidRPr="00BE5FAF">
        <w:t>, and the chronic nature of the treatment</w:t>
      </w:r>
      <w:r w:rsidR="00BD1687" w:rsidRPr="00BE5FAF">
        <w:t>.</w:t>
      </w:r>
      <w:r w:rsidR="002B1F68" w:rsidRPr="00BE5FAF">
        <w:t xml:space="preserve"> </w:t>
      </w:r>
    </w:p>
    <w:p w:rsidR="00C9312E" w:rsidRPr="00BE5FAF" w:rsidRDefault="00D767C2" w:rsidP="003008B5">
      <w:pPr>
        <w:widowControl/>
        <w:numPr>
          <w:ilvl w:val="1"/>
          <w:numId w:val="2"/>
        </w:numPr>
        <w:spacing w:before="120" w:after="120"/>
        <w:rPr>
          <w:rFonts w:asciiTheme="minorHAnsi" w:hAnsiTheme="minorHAnsi"/>
          <w:bCs/>
          <w:szCs w:val="24"/>
        </w:rPr>
      </w:pPr>
      <w:r w:rsidRPr="00BE5FAF">
        <w:rPr>
          <w:rFonts w:asciiTheme="minorHAnsi" w:hAnsiTheme="minorHAnsi"/>
          <w:bCs/>
          <w:szCs w:val="24"/>
        </w:rPr>
        <w:t>T</w:t>
      </w:r>
      <w:r w:rsidR="004F2280" w:rsidRPr="00BE5FAF">
        <w:rPr>
          <w:rFonts w:asciiTheme="minorHAnsi" w:hAnsiTheme="minorHAnsi"/>
          <w:bCs/>
          <w:szCs w:val="24"/>
        </w:rPr>
        <w:t xml:space="preserve">he PBAC noted the </w:t>
      </w:r>
      <w:r w:rsidR="00D77DCE" w:rsidRPr="00BE5FAF">
        <w:rPr>
          <w:rFonts w:asciiTheme="minorHAnsi" w:hAnsiTheme="minorHAnsi"/>
          <w:bCs/>
          <w:szCs w:val="24"/>
        </w:rPr>
        <w:t>COMPASS trial included a pre-specified endpoint of net clinical benefit</w:t>
      </w:r>
      <w:r w:rsidR="00B812E1" w:rsidRPr="00BE5FAF">
        <w:rPr>
          <w:rFonts w:asciiTheme="minorHAnsi" w:hAnsiTheme="minorHAnsi"/>
          <w:bCs/>
          <w:szCs w:val="24"/>
        </w:rPr>
        <w:t>, which included both the composite primary efficacy outcome (stroke, myocardial infarction, cardiovascular death) and fatal and symptomatic critical organ bleeding events (two components of the primary safety outcome)</w:t>
      </w:r>
      <w:r w:rsidR="007A6D9C" w:rsidRPr="00BE5FAF">
        <w:rPr>
          <w:rFonts w:asciiTheme="minorHAnsi" w:hAnsiTheme="minorHAnsi"/>
          <w:bCs/>
          <w:szCs w:val="24"/>
        </w:rPr>
        <w:t xml:space="preserve">. </w:t>
      </w:r>
      <w:r w:rsidR="007A6D9C" w:rsidRPr="00BE5FAF">
        <w:t xml:space="preserve">The PBAC </w:t>
      </w:r>
      <w:r w:rsidR="00B812E1" w:rsidRPr="00BE5FAF">
        <w:t>considered that the clin</w:t>
      </w:r>
      <w:r w:rsidR="00DD3D05" w:rsidRPr="00BE5FAF">
        <w:t>ical relevance of this outcome wa</w:t>
      </w:r>
      <w:r w:rsidR="00B812E1" w:rsidRPr="00BE5FAF">
        <w:t xml:space="preserve">s unclear because it includes events of varying severity and may underestimate safety by neglecting potential consequences of other types of bleeds. </w:t>
      </w:r>
      <w:r w:rsidR="00C9312E" w:rsidRPr="00BE5FAF">
        <w:t xml:space="preserve">The PBAC considered that the comparison of </w:t>
      </w:r>
      <w:r w:rsidR="00730DED" w:rsidRPr="00BE5FAF">
        <w:t>risk-benefit</w:t>
      </w:r>
      <w:r w:rsidR="00C9312E" w:rsidRPr="00BE5FAF">
        <w:t xml:space="preserve"> outlined in Paragraph 7.3 </w:t>
      </w:r>
      <w:r w:rsidR="00730DED" w:rsidRPr="00BE5FAF">
        <w:t xml:space="preserve">(number needed to treat and number needed to harm) </w:t>
      </w:r>
      <w:r w:rsidR="00C9312E" w:rsidRPr="00BE5FAF">
        <w:t>w</w:t>
      </w:r>
      <w:r w:rsidR="00730DED" w:rsidRPr="00BE5FAF">
        <w:t>as</w:t>
      </w:r>
      <w:r w:rsidR="00C9312E" w:rsidRPr="00BE5FAF">
        <w:t xml:space="preserve"> more informative </w:t>
      </w:r>
      <w:r w:rsidR="00730DED" w:rsidRPr="00BE5FAF">
        <w:t xml:space="preserve">as </w:t>
      </w:r>
      <w:r w:rsidR="00C9312E" w:rsidRPr="00BE5FAF">
        <w:t>all types of major bleeding</w:t>
      </w:r>
      <w:r w:rsidR="00730DED" w:rsidRPr="00BE5FAF">
        <w:t xml:space="preserve"> were included</w:t>
      </w:r>
      <w:r w:rsidR="00C9312E" w:rsidRPr="00BE5FAF">
        <w:t xml:space="preserve">. </w:t>
      </w:r>
    </w:p>
    <w:p w:rsidR="00B24D3E" w:rsidRPr="00BE5FAF" w:rsidRDefault="00E258BA" w:rsidP="003008B5">
      <w:pPr>
        <w:widowControl/>
        <w:numPr>
          <w:ilvl w:val="1"/>
          <w:numId w:val="2"/>
        </w:numPr>
        <w:spacing w:before="120" w:after="120"/>
        <w:rPr>
          <w:rFonts w:asciiTheme="minorHAnsi" w:hAnsiTheme="minorHAnsi"/>
          <w:bCs/>
          <w:szCs w:val="24"/>
        </w:rPr>
      </w:pPr>
      <w:r w:rsidRPr="00BE5FAF">
        <w:rPr>
          <w:rFonts w:asciiTheme="minorHAnsi" w:hAnsiTheme="minorHAnsi"/>
          <w:bCs/>
          <w:szCs w:val="24"/>
        </w:rPr>
        <w:t>The PBAC considered that the</w:t>
      </w:r>
      <w:r w:rsidR="006D6280" w:rsidRPr="00BE5FAF">
        <w:rPr>
          <w:rFonts w:asciiTheme="minorHAnsi" w:hAnsiTheme="minorHAnsi"/>
          <w:bCs/>
          <w:szCs w:val="24"/>
        </w:rPr>
        <w:t xml:space="preserve"> economic</w:t>
      </w:r>
      <w:r w:rsidRPr="00BE5FAF">
        <w:rPr>
          <w:rFonts w:asciiTheme="minorHAnsi" w:hAnsiTheme="minorHAnsi"/>
          <w:bCs/>
          <w:szCs w:val="24"/>
        </w:rPr>
        <w:t xml:space="preserve"> model </w:t>
      </w:r>
      <w:r w:rsidR="006D6280" w:rsidRPr="00BE5FAF">
        <w:rPr>
          <w:rFonts w:asciiTheme="minorHAnsi" w:hAnsiTheme="minorHAnsi"/>
          <w:bCs/>
          <w:szCs w:val="24"/>
        </w:rPr>
        <w:t xml:space="preserve">submitted </w:t>
      </w:r>
      <w:r w:rsidRPr="00BE5FAF">
        <w:rPr>
          <w:rFonts w:asciiTheme="minorHAnsi" w:hAnsiTheme="minorHAnsi"/>
          <w:bCs/>
          <w:szCs w:val="24"/>
        </w:rPr>
        <w:t xml:space="preserve">did not provide a reliable </w:t>
      </w:r>
      <w:r w:rsidR="00B24D3E" w:rsidRPr="00BE5FAF">
        <w:rPr>
          <w:rFonts w:asciiTheme="minorHAnsi" w:hAnsiTheme="minorHAnsi"/>
          <w:bCs/>
          <w:szCs w:val="24"/>
        </w:rPr>
        <w:t xml:space="preserve">basis for estimating </w:t>
      </w:r>
      <w:r w:rsidRPr="00BE5FAF">
        <w:rPr>
          <w:rFonts w:asciiTheme="minorHAnsi" w:hAnsiTheme="minorHAnsi"/>
          <w:bCs/>
          <w:szCs w:val="24"/>
        </w:rPr>
        <w:t xml:space="preserve">the cost-effectiveness of </w:t>
      </w:r>
      <w:proofErr w:type="spellStart"/>
      <w:r w:rsidRPr="00BE5FAF">
        <w:rPr>
          <w:rFonts w:asciiTheme="minorHAnsi" w:hAnsiTheme="minorHAnsi"/>
          <w:bCs/>
          <w:szCs w:val="24"/>
        </w:rPr>
        <w:t>rivaroxaban</w:t>
      </w:r>
      <w:proofErr w:type="spellEnd"/>
      <w:r w:rsidRPr="00BE5FAF">
        <w:rPr>
          <w:rFonts w:asciiTheme="minorHAnsi" w:hAnsiTheme="minorHAnsi"/>
          <w:bCs/>
          <w:szCs w:val="24"/>
        </w:rPr>
        <w:t xml:space="preserve"> in combination with aspirin</w:t>
      </w:r>
      <w:r w:rsidR="00426779" w:rsidRPr="00BE5FAF">
        <w:rPr>
          <w:rFonts w:asciiTheme="minorHAnsi" w:hAnsiTheme="minorHAnsi"/>
          <w:bCs/>
          <w:szCs w:val="24"/>
        </w:rPr>
        <w:t>.</w:t>
      </w:r>
      <w:r w:rsidR="00B24D3E" w:rsidRPr="00BE5FAF">
        <w:rPr>
          <w:rFonts w:asciiTheme="minorHAnsi" w:hAnsiTheme="minorHAnsi"/>
          <w:bCs/>
          <w:szCs w:val="24"/>
        </w:rPr>
        <w:t xml:space="preserve"> The PBAC considered that </w:t>
      </w:r>
      <w:r w:rsidR="00654E10" w:rsidRPr="00BE5FAF">
        <w:rPr>
          <w:rFonts w:asciiTheme="minorHAnsi" w:hAnsiTheme="minorHAnsi"/>
          <w:bCs/>
          <w:szCs w:val="24"/>
        </w:rPr>
        <w:t>the model</w:t>
      </w:r>
      <w:r w:rsidR="00B24D3E" w:rsidRPr="00BE5FAF">
        <w:rPr>
          <w:rFonts w:asciiTheme="minorHAnsi" w:hAnsiTheme="minorHAnsi"/>
          <w:bCs/>
          <w:szCs w:val="24"/>
        </w:rPr>
        <w:t xml:space="preserve"> included a number of highly optimistic assumptions</w:t>
      </w:r>
      <w:r w:rsidR="00654E10" w:rsidRPr="00BE5FAF">
        <w:rPr>
          <w:rFonts w:asciiTheme="minorHAnsi" w:hAnsiTheme="minorHAnsi"/>
          <w:bCs/>
          <w:szCs w:val="24"/>
        </w:rPr>
        <w:t>, as outlined in Section 6</w:t>
      </w:r>
      <w:r w:rsidR="006D6280" w:rsidRPr="00BE5FAF">
        <w:rPr>
          <w:rFonts w:asciiTheme="minorHAnsi" w:hAnsiTheme="minorHAnsi"/>
          <w:bCs/>
          <w:szCs w:val="24"/>
        </w:rPr>
        <w:t xml:space="preserve"> ‘Economic </w:t>
      </w:r>
      <w:proofErr w:type="gramStart"/>
      <w:r w:rsidR="006D6280" w:rsidRPr="00BE5FAF">
        <w:rPr>
          <w:rFonts w:asciiTheme="minorHAnsi" w:hAnsiTheme="minorHAnsi"/>
          <w:bCs/>
          <w:szCs w:val="24"/>
        </w:rPr>
        <w:t>analysis’</w:t>
      </w:r>
      <w:proofErr w:type="gramEnd"/>
      <w:r w:rsidR="00654E10" w:rsidRPr="00BE5FAF">
        <w:rPr>
          <w:rFonts w:asciiTheme="minorHAnsi" w:hAnsiTheme="minorHAnsi"/>
          <w:bCs/>
          <w:szCs w:val="24"/>
        </w:rPr>
        <w:t>. I</w:t>
      </w:r>
      <w:r w:rsidR="00696C4C" w:rsidRPr="00BE5FAF">
        <w:rPr>
          <w:rFonts w:asciiTheme="minorHAnsi" w:hAnsiTheme="minorHAnsi"/>
          <w:bCs/>
          <w:szCs w:val="24"/>
        </w:rPr>
        <w:t>n particular</w:t>
      </w:r>
      <w:r w:rsidR="00574513" w:rsidRPr="00BE5FAF">
        <w:rPr>
          <w:rFonts w:asciiTheme="minorHAnsi" w:hAnsiTheme="minorHAnsi"/>
          <w:bCs/>
          <w:szCs w:val="24"/>
        </w:rPr>
        <w:t>, the PBAC</w:t>
      </w:r>
      <w:r w:rsidR="001D0A1F" w:rsidRPr="00BE5FAF">
        <w:rPr>
          <w:rFonts w:asciiTheme="minorHAnsi" w:hAnsiTheme="minorHAnsi"/>
          <w:bCs/>
          <w:szCs w:val="24"/>
        </w:rPr>
        <w:t xml:space="preserve"> noted that</w:t>
      </w:r>
      <w:r w:rsidR="00B24D3E" w:rsidRPr="00BE5FAF">
        <w:rPr>
          <w:rFonts w:asciiTheme="minorHAnsi" w:hAnsiTheme="minorHAnsi"/>
          <w:bCs/>
          <w:szCs w:val="24"/>
        </w:rPr>
        <w:t>:</w:t>
      </w:r>
    </w:p>
    <w:p w:rsidR="00654E10" w:rsidRPr="00BE5FAF" w:rsidRDefault="00574513" w:rsidP="003008B5">
      <w:pPr>
        <w:pStyle w:val="ListParagraph"/>
        <w:numPr>
          <w:ilvl w:val="0"/>
          <w:numId w:val="23"/>
        </w:numPr>
        <w:spacing w:before="120" w:after="120"/>
        <w:contextualSpacing/>
        <w:rPr>
          <w:rFonts w:asciiTheme="minorHAnsi" w:hAnsiTheme="minorHAnsi"/>
          <w:bCs/>
          <w:szCs w:val="24"/>
        </w:rPr>
      </w:pPr>
      <w:proofErr w:type="gramStart"/>
      <w:r w:rsidRPr="00BE5FAF">
        <w:rPr>
          <w:rFonts w:asciiTheme="minorHAnsi" w:hAnsiTheme="minorHAnsi"/>
          <w:bCs/>
          <w:szCs w:val="24"/>
        </w:rPr>
        <w:t>u</w:t>
      </w:r>
      <w:r w:rsidR="00654E10" w:rsidRPr="00BE5FAF">
        <w:rPr>
          <w:rFonts w:asciiTheme="minorHAnsi" w:hAnsiTheme="minorHAnsi"/>
          <w:bCs/>
          <w:szCs w:val="24"/>
        </w:rPr>
        <w:t>p</w:t>
      </w:r>
      <w:proofErr w:type="gramEnd"/>
      <w:r w:rsidR="00654E10" w:rsidRPr="00BE5FAF">
        <w:rPr>
          <w:rFonts w:asciiTheme="minorHAnsi" w:hAnsiTheme="minorHAnsi"/>
          <w:bCs/>
          <w:szCs w:val="24"/>
        </w:rPr>
        <w:t xml:space="preserve"> to 4 years of trial data (but with a median follow-up of only 23 months) were extrapolated to 30 years. Nearly all of the benefits occurred during the extrapolated part of the model</w:t>
      </w:r>
      <w:r w:rsidRPr="00BE5FAF">
        <w:rPr>
          <w:rFonts w:asciiTheme="minorHAnsi" w:hAnsiTheme="minorHAnsi"/>
          <w:bCs/>
          <w:szCs w:val="24"/>
        </w:rPr>
        <w:t xml:space="preserve">, </w:t>
      </w:r>
      <w:r w:rsidR="00C12655" w:rsidRPr="00BE5FAF">
        <w:rPr>
          <w:rFonts w:asciiTheme="minorHAnsi" w:hAnsiTheme="minorHAnsi"/>
          <w:bCs/>
          <w:szCs w:val="24"/>
        </w:rPr>
        <w:t>which the</w:t>
      </w:r>
      <w:r w:rsidRPr="00BE5FAF">
        <w:rPr>
          <w:rFonts w:asciiTheme="minorHAnsi" w:hAnsiTheme="minorHAnsi"/>
          <w:bCs/>
          <w:szCs w:val="24"/>
        </w:rPr>
        <w:t xml:space="preserve"> PBAC considered was </w:t>
      </w:r>
      <w:r w:rsidR="00C12655" w:rsidRPr="00BE5FAF">
        <w:rPr>
          <w:rFonts w:asciiTheme="minorHAnsi" w:hAnsiTheme="minorHAnsi"/>
          <w:bCs/>
          <w:szCs w:val="24"/>
        </w:rPr>
        <w:t xml:space="preserve">inherently </w:t>
      </w:r>
      <w:r w:rsidRPr="00BE5FAF">
        <w:rPr>
          <w:rFonts w:asciiTheme="minorHAnsi" w:hAnsiTheme="minorHAnsi"/>
          <w:bCs/>
          <w:szCs w:val="24"/>
        </w:rPr>
        <w:t xml:space="preserve">uncertain. </w:t>
      </w:r>
      <w:r w:rsidR="006D6280" w:rsidRPr="00BE5FAF">
        <w:rPr>
          <w:rFonts w:asciiTheme="minorHAnsi" w:hAnsiTheme="minorHAnsi"/>
          <w:bCs/>
          <w:szCs w:val="24"/>
        </w:rPr>
        <w:t xml:space="preserve">For example, the PBAC noted that the modelled survival curves continued to diverge over </w:t>
      </w:r>
      <w:r w:rsidR="00E9612D" w:rsidRPr="00BE5FAF">
        <w:rPr>
          <w:rFonts w:asciiTheme="minorHAnsi" w:hAnsiTheme="minorHAnsi"/>
          <w:bCs/>
          <w:szCs w:val="24"/>
        </w:rPr>
        <w:t xml:space="preserve">the </w:t>
      </w:r>
      <w:r w:rsidR="00D453DD" w:rsidRPr="00BE5FAF">
        <w:rPr>
          <w:rFonts w:asciiTheme="minorHAnsi" w:hAnsiTheme="minorHAnsi"/>
          <w:bCs/>
          <w:szCs w:val="24"/>
        </w:rPr>
        <w:t>30-year</w:t>
      </w:r>
      <w:r w:rsidR="00E9612D" w:rsidRPr="00BE5FAF">
        <w:rPr>
          <w:rFonts w:asciiTheme="minorHAnsi" w:hAnsiTheme="minorHAnsi"/>
          <w:bCs/>
          <w:szCs w:val="24"/>
        </w:rPr>
        <w:t xml:space="preserve"> time horizon </w:t>
      </w:r>
      <w:r w:rsidR="006D6280" w:rsidRPr="00BE5FAF">
        <w:rPr>
          <w:rFonts w:asciiTheme="minorHAnsi" w:hAnsiTheme="minorHAnsi"/>
          <w:bCs/>
          <w:szCs w:val="24"/>
        </w:rPr>
        <w:t>(</w:t>
      </w:r>
      <w:r w:rsidR="009A650F" w:rsidRPr="00BE5FAF">
        <w:rPr>
          <w:rFonts w:asciiTheme="minorHAnsi" w:hAnsiTheme="minorHAnsi"/>
          <w:bCs/>
          <w:szCs w:val="24"/>
        </w:rPr>
        <w:t>see</w:t>
      </w:r>
      <w:r w:rsidR="006D6280" w:rsidRPr="00BE5FAF">
        <w:rPr>
          <w:rFonts w:asciiTheme="minorHAnsi" w:hAnsiTheme="minorHAnsi"/>
          <w:bCs/>
          <w:szCs w:val="24"/>
        </w:rPr>
        <w:t xml:space="preserve"> Figure 3), while it was u</w:t>
      </w:r>
      <w:r w:rsidR="00F011D5" w:rsidRPr="00BE5FAF">
        <w:rPr>
          <w:rFonts w:asciiTheme="minorHAnsi" w:hAnsiTheme="minorHAnsi"/>
          <w:bCs/>
          <w:szCs w:val="24"/>
        </w:rPr>
        <w:t xml:space="preserve">nclear </w:t>
      </w:r>
      <w:r w:rsidR="006D6280" w:rsidRPr="00BE5FAF">
        <w:rPr>
          <w:rFonts w:asciiTheme="minorHAnsi" w:hAnsiTheme="minorHAnsi"/>
          <w:bCs/>
          <w:szCs w:val="24"/>
        </w:rPr>
        <w:t xml:space="preserve">from the clinical data </w:t>
      </w:r>
      <w:r w:rsidR="00F011D5" w:rsidRPr="00BE5FAF">
        <w:rPr>
          <w:rFonts w:asciiTheme="minorHAnsi" w:hAnsiTheme="minorHAnsi"/>
          <w:bCs/>
          <w:szCs w:val="24"/>
        </w:rPr>
        <w:t xml:space="preserve">whether </w:t>
      </w:r>
      <w:r w:rsidR="00BE1D7D" w:rsidRPr="00BE5FAF">
        <w:rPr>
          <w:rFonts w:asciiTheme="minorHAnsi" w:hAnsiTheme="minorHAnsi"/>
          <w:bCs/>
          <w:szCs w:val="24"/>
        </w:rPr>
        <w:t xml:space="preserve">the treatment effect </w:t>
      </w:r>
      <w:proofErr w:type="gramStart"/>
      <w:r w:rsidR="00BE1D7D" w:rsidRPr="00BE5FAF">
        <w:rPr>
          <w:rFonts w:asciiTheme="minorHAnsi" w:hAnsiTheme="minorHAnsi"/>
          <w:bCs/>
          <w:szCs w:val="24"/>
        </w:rPr>
        <w:t>would be maintained</w:t>
      </w:r>
      <w:proofErr w:type="gramEnd"/>
      <w:r w:rsidR="00BE1D7D" w:rsidRPr="00BE5FAF">
        <w:rPr>
          <w:rFonts w:asciiTheme="minorHAnsi" w:hAnsiTheme="minorHAnsi"/>
          <w:bCs/>
          <w:szCs w:val="24"/>
        </w:rPr>
        <w:t xml:space="preserve"> </w:t>
      </w:r>
      <w:r w:rsidR="00F011D5" w:rsidRPr="00BE5FAF">
        <w:rPr>
          <w:rFonts w:asciiTheme="minorHAnsi" w:hAnsiTheme="minorHAnsi"/>
          <w:bCs/>
          <w:szCs w:val="24"/>
        </w:rPr>
        <w:t>over time</w:t>
      </w:r>
      <w:r w:rsidR="006D6280" w:rsidRPr="00BE5FAF">
        <w:rPr>
          <w:rFonts w:asciiTheme="minorHAnsi" w:hAnsiTheme="minorHAnsi"/>
          <w:bCs/>
          <w:szCs w:val="24"/>
        </w:rPr>
        <w:t>.</w:t>
      </w:r>
      <w:r w:rsidR="00E9612D" w:rsidRPr="00BE5FAF">
        <w:rPr>
          <w:rFonts w:asciiTheme="minorHAnsi" w:hAnsiTheme="minorHAnsi"/>
          <w:bCs/>
          <w:szCs w:val="24"/>
        </w:rPr>
        <w:t xml:space="preserve"> Overall, the PBAC </w:t>
      </w:r>
      <w:r w:rsidR="00F011D5" w:rsidRPr="00BE5FAF">
        <w:t xml:space="preserve">considered </w:t>
      </w:r>
      <w:r w:rsidR="00E9612D" w:rsidRPr="00BE5FAF">
        <w:t xml:space="preserve">that </w:t>
      </w:r>
      <w:r w:rsidR="00F011D5" w:rsidRPr="00BE5FAF">
        <w:t xml:space="preserve">the assumption of a </w:t>
      </w:r>
      <w:r w:rsidR="00D453DD" w:rsidRPr="00BE5FAF">
        <w:t>30-year</w:t>
      </w:r>
      <w:r w:rsidR="00F011D5" w:rsidRPr="00BE5FAF">
        <w:t xml:space="preserve"> treatment effect was not reasonable.</w:t>
      </w:r>
    </w:p>
    <w:p w:rsidR="00574513" w:rsidRPr="00BE5FAF" w:rsidRDefault="00C12655" w:rsidP="003008B5">
      <w:pPr>
        <w:pStyle w:val="ListParagraph"/>
        <w:numPr>
          <w:ilvl w:val="0"/>
          <w:numId w:val="23"/>
        </w:numPr>
        <w:spacing w:before="120" w:after="120"/>
        <w:ind w:left="1077" w:hanging="357"/>
        <w:contextualSpacing/>
        <w:rPr>
          <w:rFonts w:asciiTheme="minorHAnsi" w:hAnsiTheme="minorHAnsi"/>
          <w:bCs/>
          <w:szCs w:val="24"/>
        </w:rPr>
      </w:pPr>
      <w:proofErr w:type="gramStart"/>
      <w:r w:rsidRPr="00BE5FAF">
        <w:rPr>
          <w:rFonts w:asciiTheme="minorHAnsi" w:hAnsiTheme="minorHAnsi"/>
          <w:bCs/>
          <w:szCs w:val="24"/>
        </w:rPr>
        <w:t>t</w:t>
      </w:r>
      <w:r w:rsidR="00574513" w:rsidRPr="00BE5FAF">
        <w:rPr>
          <w:rFonts w:asciiTheme="minorHAnsi" w:hAnsiTheme="minorHAnsi"/>
          <w:bCs/>
          <w:szCs w:val="24"/>
        </w:rPr>
        <w:t>he</w:t>
      </w:r>
      <w:proofErr w:type="gramEnd"/>
      <w:r w:rsidR="00574513" w:rsidRPr="00BE5FAF">
        <w:rPr>
          <w:rFonts w:asciiTheme="minorHAnsi" w:hAnsiTheme="minorHAnsi"/>
          <w:bCs/>
          <w:szCs w:val="24"/>
        </w:rPr>
        <w:t xml:space="preserve"> model assumed that all patients would remain fully adherent and persistent </w:t>
      </w:r>
      <w:r w:rsidR="00AA07AB" w:rsidRPr="00BE5FAF">
        <w:rPr>
          <w:rFonts w:asciiTheme="minorHAnsi" w:hAnsiTheme="minorHAnsi"/>
          <w:bCs/>
          <w:szCs w:val="24"/>
        </w:rPr>
        <w:t>while on</w:t>
      </w:r>
      <w:r w:rsidR="00574513" w:rsidRPr="00BE5FAF">
        <w:rPr>
          <w:rFonts w:asciiTheme="minorHAnsi" w:hAnsiTheme="minorHAnsi"/>
          <w:bCs/>
          <w:szCs w:val="24"/>
        </w:rPr>
        <w:t xml:space="preserve"> therapy, and there would be no treatment interruptions. The PBAC considered these assumptions were not reasonable, particularly in the context of a </w:t>
      </w:r>
      <w:r w:rsidR="00D453DD" w:rsidRPr="00BE5FAF">
        <w:rPr>
          <w:rFonts w:asciiTheme="minorHAnsi" w:hAnsiTheme="minorHAnsi"/>
          <w:bCs/>
          <w:szCs w:val="24"/>
        </w:rPr>
        <w:t>30-year</w:t>
      </w:r>
      <w:r w:rsidR="00574513" w:rsidRPr="00BE5FAF">
        <w:rPr>
          <w:rFonts w:asciiTheme="minorHAnsi" w:hAnsiTheme="minorHAnsi"/>
          <w:bCs/>
          <w:szCs w:val="24"/>
        </w:rPr>
        <w:t xml:space="preserve"> time horizon. </w:t>
      </w:r>
    </w:p>
    <w:p w:rsidR="00654E10" w:rsidRPr="00BE5FAF" w:rsidRDefault="00F011D5" w:rsidP="003008B5">
      <w:pPr>
        <w:pStyle w:val="ListParagraph"/>
        <w:numPr>
          <w:ilvl w:val="0"/>
          <w:numId w:val="23"/>
        </w:numPr>
        <w:spacing w:before="120" w:after="120"/>
        <w:ind w:left="1077" w:hanging="357"/>
        <w:contextualSpacing/>
        <w:rPr>
          <w:rFonts w:asciiTheme="minorHAnsi" w:hAnsiTheme="minorHAnsi"/>
          <w:bCs/>
          <w:szCs w:val="24"/>
        </w:rPr>
      </w:pPr>
      <w:proofErr w:type="gramStart"/>
      <w:r w:rsidRPr="00BE5FAF">
        <w:rPr>
          <w:rFonts w:asciiTheme="minorHAnsi" w:hAnsiTheme="minorHAnsi"/>
          <w:bCs/>
          <w:szCs w:val="24"/>
        </w:rPr>
        <w:t>t</w:t>
      </w:r>
      <w:r w:rsidR="00654E10" w:rsidRPr="00BE5FAF">
        <w:rPr>
          <w:rFonts w:asciiTheme="minorHAnsi" w:hAnsiTheme="minorHAnsi"/>
          <w:bCs/>
          <w:szCs w:val="24"/>
        </w:rPr>
        <w:t>here</w:t>
      </w:r>
      <w:proofErr w:type="gramEnd"/>
      <w:r w:rsidR="00654E10" w:rsidRPr="00BE5FAF">
        <w:rPr>
          <w:rFonts w:asciiTheme="minorHAnsi" w:hAnsiTheme="minorHAnsi"/>
          <w:bCs/>
          <w:szCs w:val="24"/>
        </w:rPr>
        <w:t xml:space="preserve"> were sparse clinical data informing transition probabilities which resulted in implausible null transitions for some subsequent events and highly uncertain non-zero transitions for other subsequent events. </w:t>
      </w:r>
    </w:p>
    <w:p w:rsidR="00191248" w:rsidRPr="00BE5FAF" w:rsidRDefault="00BC2706" w:rsidP="003008B5">
      <w:pPr>
        <w:widowControl/>
        <w:numPr>
          <w:ilvl w:val="1"/>
          <w:numId w:val="2"/>
        </w:numPr>
        <w:spacing w:before="120" w:after="120"/>
        <w:rPr>
          <w:rFonts w:asciiTheme="minorHAnsi" w:hAnsiTheme="minorHAnsi"/>
          <w:bCs/>
          <w:szCs w:val="24"/>
        </w:rPr>
      </w:pPr>
      <w:r w:rsidRPr="00BE5FAF">
        <w:rPr>
          <w:rFonts w:asciiTheme="minorHAnsi" w:hAnsiTheme="minorHAnsi"/>
          <w:bCs/>
          <w:szCs w:val="24"/>
        </w:rPr>
        <w:t xml:space="preserve">The </w:t>
      </w:r>
      <w:r w:rsidR="006F45CE" w:rsidRPr="00BE5FAF">
        <w:rPr>
          <w:rFonts w:asciiTheme="minorHAnsi" w:hAnsiTheme="minorHAnsi"/>
          <w:bCs/>
          <w:szCs w:val="24"/>
        </w:rPr>
        <w:t>PBAC considered the</w:t>
      </w:r>
      <w:r w:rsidR="001B1961" w:rsidRPr="00BE5FAF">
        <w:rPr>
          <w:rFonts w:asciiTheme="minorHAnsi" w:hAnsiTheme="minorHAnsi"/>
          <w:bCs/>
          <w:szCs w:val="24"/>
        </w:rPr>
        <w:t xml:space="preserve"> base case ICER presented in the submission</w:t>
      </w:r>
      <w:r w:rsidR="00E9612D" w:rsidRPr="00BE5FAF">
        <w:rPr>
          <w:rFonts w:asciiTheme="minorHAnsi" w:hAnsiTheme="minorHAnsi"/>
          <w:bCs/>
          <w:szCs w:val="24"/>
        </w:rPr>
        <w:t xml:space="preserve"> for the CAD and/or PAD population</w:t>
      </w:r>
      <w:r w:rsidRPr="00BE5FAF">
        <w:rPr>
          <w:rFonts w:asciiTheme="minorHAnsi" w:hAnsiTheme="minorHAnsi"/>
          <w:bCs/>
          <w:szCs w:val="24"/>
        </w:rPr>
        <w:t>,</w:t>
      </w:r>
      <w:r w:rsidR="001B1961" w:rsidRPr="00BE5FAF">
        <w:rPr>
          <w:rFonts w:asciiTheme="minorHAnsi" w:hAnsiTheme="minorHAnsi"/>
          <w:bCs/>
          <w:szCs w:val="24"/>
        </w:rPr>
        <w:t xml:space="preserve"> </w:t>
      </w:r>
      <w:r w:rsidRPr="00BE5FAF">
        <w:t>$</w:t>
      </w:r>
      <w:r w:rsidR="002F5823">
        <w:t>15,000 to $45,000</w:t>
      </w:r>
      <w:r w:rsidRPr="00BE5FAF">
        <w:t xml:space="preserve"> per QALY gained,</w:t>
      </w:r>
      <w:r w:rsidRPr="00BE5FAF">
        <w:rPr>
          <w:rFonts w:asciiTheme="minorHAnsi" w:hAnsiTheme="minorHAnsi"/>
          <w:bCs/>
          <w:szCs w:val="24"/>
        </w:rPr>
        <w:t xml:space="preserve"> </w:t>
      </w:r>
      <w:r w:rsidR="001B1961" w:rsidRPr="00BE5FAF">
        <w:rPr>
          <w:rFonts w:asciiTheme="minorHAnsi" w:hAnsiTheme="minorHAnsi"/>
          <w:bCs/>
          <w:szCs w:val="24"/>
        </w:rPr>
        <w:t xml:space="preserve">was </w:t>
      </w:r>
      <w:r w:rsidRPr="00BE5FAF">
        <w:rPr>
          <w:rFonts w:asciiTheme="minorHAnsi" w:hAnsiTheme="minorHAnsi"/>
          <w:bCs/>
          <w:szCs w:val="24"/>
        </w:rPr>
        <w:t>h</w:t>
      </w:r>
      <w:r w:rsidR="001B1961" w:rsidRPr="00BE5FAF">
        <w:t>igh</w:t>
      </w:r>
      <w:r w:rsidRPr="00BE5FAF">
        <w:t xml:space="preserve"> in the context of a secondary prevention </w:t>
      </w:r>
      <w:r w:rsidR="00210137" w:rsidRPr="00BE5FAF">
        <w:t xml:space="preserve">treatment </w:t>
      </w:r>
      <w:r w:rsidRPr="00BE5FAF">
        <w:t xml:space="preserve">with </w:t>
      </w:r>
      <w:r w:rsidR="00451F01" w:rsidRPr="00BE5FAF">
        <w:t>an</w:t>
      </w:r>
      <w:r w:rsidRPr="00BE5FAF">
        <w:t xml:space="preserve"> uncertain </w:t>
      </w:r>
      <w:r w:rsidR="00451F01" w:rsidRPr="00BE5FAF">
        <w:t>risk-</w:t>
      </w:r>
      <w:r w:rsidRPr="00BE5FAF">
        <w:t>benefit</w:t>
      </w:r>
      <w:r w:rsidR="00451F01" w:rsidRPr="00BE5FAF">
        <w:t xml:space="preserve"> </w:t>
      </w:r>
      <w:r w:rsidR="006D6280" w:rsidRPr="00BE5FAF">
        <w:t>profile</w:t>
      </w:r>
      <w:r w:rsidR="00DE4402" w:rsidRPr="00BE5FAF">
        <w:t>.</w:t>
      </w:r>
      <w:r w:rsidR="00191248" w:rsidRPr="00BE5FAF">
        <w:t xml:space="preserve"> </w:t>
      </w:r>
      <w:r w:rsidR="008D601A" w:rsidRPr="00BE5FAF">
        <w:t>The PBAC noted that the ICER reduced to $</w:t>
      </w:r>
      <w:r w:rsidR="002F5823">
        <w:t>15,000 to $45,000</w:t>
      </w:r>
      <w:r w:rsidR="008D601A" w:rsidRPr="00BE5FAF">
        <w:t xml:space="preserve"> per QALY gained when the subgroup of patients with both CAD and PAD </w:t>
      </w:r>
      <w:proofErr w:type="gramStart"/>
      <w:r w:rsidR="008D601A" w:rsidRPr="00BE5FAF">
        <w:t>was modelled</w:t>
      </w:r>
      <w:proofErr w:type="gramEnd"/>
      <w:r w:rsidR="00E9612D" w:rsidRPr="00BE5FAF">
        <w:t>,</w:t>
      </w:r>
      <w:r w:rsidR="006D6280" w:rsidRPr="00BE5FAF">
        <w:t xml:space="preserve"> but </w:t>
      </w:r>
      <w:r w:rsidR="00D453DD">
        <w:t xml:space="preserve">the Committee </w:t>
      </w:r>
      <w:r w:rsidR="006D6280" w:rsidRPr="00BE5FAF">
        <w:t>considered that this ICER was not reliable (as outlined above).</w:t>
      </w:r>
      <w:r w:rsidR="008D601A" w:rsidRPr="00BE5FAF">
        <w:t xml:space="preserve"> </w:t>
      </w:r>
    </w:p>
    <w:p w:rsidR="007D01A1" w:rsidRPr="00BE5FAF" w:rsidRDefault="002B1F68" w:rsidP="003008B5">
      <w:pPr>
        <w:pStyle w:val="ListParagraph"/>
        <w:numPr>
          <w:ilvl w:val="1"/>
          <w:numId w:val="2"/>
        </w:numPr>
        <w:spacing w:before="120" w:after="120"/>
        <w:rPr>
          <w:rFonts w:asciiTheme="minorHAnsi" w:hAnsiTheme="minorHAnsi"/>
          <w:bCs/>
          <w:szCs w:val="24"/>
        </w:rPr>
      </w:pPr>
      <w:r w:rsidRPr="00BE5FAF">
        <w:rPr>
          <w:rFonts w:asciiTheme="minorHAnsi" w:hAnsiTheme="minorHAnsi"/>
          <w:bCs/>
          <w:szCs w:val="24"/>
        </w:rPr>
        <w:t xml:space="preserve">The PBAC considered that the estimated </w:t>
      </w:r>
      <w:r w:rsidR="00F70EA9" w:rsidRPr="00BE5FAF">
        <w:rPr>
          <w:rFonts w:asciiTheme="minorHAnsi" w:hAnsiTheme="minorHAnsi"/>
          <w:bCs/>
          <w:szCs w:val="24"/>
        </w:rPr>
        <w:t xml:space="preserve">utilisation and </w:t>
      </w:r>
      <w:r w:rsidRPr="00BE5FAF">
        <w:rPr>
          <w:rFonts w:asciiTheme="minorHAnsi" w:hAnsiTheme="minorHAnsi"/>
          <w:bCs/>
          <w:szCs w:val="24"/>
        </w:rPr>
        <w:t>financial impact</w:t>
      </w:r>
      <w:r w:rsidR="00F70EA9" w:rsidRPr="00BE5FAF">
        <w:rPr>
          <w:rFonts w:asciiTheme="minorHAnsi" w:hAnsiTheme="minorHAnsi"/>
          <w:bCs/>
          <w:szCs w:val="24"/>
        </w:rPr>
        <w:t>s</w:t>
      </w:r>
      <w:r w:rsidRPr="00BE5FAF">
        <w:rPr>
          <w:rFonts w:asciiTheme="minorHAnsi" w:hAnsiTheme="minorHAnsi"/>
          <w:bCs/>
          <w:szCs w:val="24"/>
        </w:rPr>
        <w:t xml:space="preserve"> </w:t>
      </w:r>
      <w:r w:rsidR="007D01A1" w:rsidRPr="00BE5FAF">
        <w:rPr>
          <w:rFonts w:asciiTheme="minorHAnsi" w:hAnsiTheme="minorHAnsi"/>
          <w:bCs/>
          <w:szCs w:val="24"/>
        </w:rPr>
        <w:t xml:space="preserve">of listing </w:t>
      </w:r>
      <w:proofErr w:type="spellStart"/>
      <w:r w:rsidR="007D01A1" w:rsidRPr="00BE5FAF">
        <w:rPr>
          <w:rFonts w:asciiTheme="minorHAnsi" w:hAnsiTheme="minorHAnsi"/>
          <w:bCs/>
          <w:szCs w:val="24"/>
        </w:rPr>
        <w:t>rivaroxaban</w:t>
      </w:r>
      <w:proofErr w:type="spellEnd"/>
      <w:r w:rsidR="007D01A1" w:rsidRPr="00BE5FAF">
        <w:rPr>
          <w:rFonts w:asciiTheme="minorHAnsi" w:hAnsiTheme="minorHAnsi"/>
          <w:bCs/>
          <w:szCs w:val="24"/>
        </w:rPr>
        <w:t xml:space="preserve"> for patients with CAD and/or PAD </w:t>
      </w:r>
      <w:r w:rsidRPr="00BE5FAF">
        <w:rPr>
          <w:rFonts w:asciiTheme="minorHAnsi" w:hAnsiTheme="minorHAnsi"/>
          <w:bCs/>
          <w:szCs w:val="24"/>
        </w:rPr>
        <w:t>w</w:t>
      </w:r>
      <w:r w:rsidR="00F70EA9" w:rsidRPr="00BE5FAF">
        <w:rPr>
          <w:rFonts w:asciiTheme="minorHAnsi" w:hAnsiTheme="minorHAnsi"/>
          <w:bCs/>
          <w:szCs w:val="24"/>
        </w:rPr>
        <w:t>ere</w:t>
      </w:r>
      <w:r w:rsidRPr="00BE5FAF">
        <w:rPr>
          <w:rFonts w:asciiTheme="minorHAnsi" w:hAnsiTheme="minorHAnsi"/>
          <w:bCs/>
          <w:szCs w:val="24"/>
        </w:rPr>
        <w:t xml:space="preserve"> high</w:t>
      </w:r>
      <w:r w:rsidR="00F70EA9" w:rsidRPr="00BE5FAF">
        <w:rPr>
          <w:rFonts w:asciiTheme="minorHAnsi" w:hAnsiTheme="minorHAnsi"/>
          <w:bCs/>
          <w:szCs w:val="24"/>
        </w:rPr>
        <w:t xml:space="preserve">, with </w:t>
      </w:r>
      <w:r w:rsidR="006A47DD">
        <w:rPr>
          <w:rFonts w:asciiTheme="minorHAnsi" w:hAnsiTheme="minorHAnsi"/>
          <w:bCs/>
          <w:szCs w:val="24"/>
        </w:rPr>
        <w:t>100,000 to 200,000</w:t>
      </w:r>
      <w:r w:rsidR="00F70EA9" w:rsidRPr="00BE5FAF">
        <w:rPr>
          <w:rFonts w:asciiTheme="minorHAnsi" w:hAnsiTheme="minorHAnsi"/>
          <w:bCs/>
          <w:szCs w:val="24"/>
        </w:rPr>
        <w:t xml:space="preserve"> </w:t>
      </w:r>
      <w:r w:rsidR="00F70EA9" w:rsidRPr="00BE5FAF">
        <w:rPr>
          <w:rFonts w:asciiTheme="minorHAnsi" w:hAnsiTheme="minorHAnsi"/>
          <w:bCs/>
          <w:szCs w:val="24"/>
        </w:rPr>
        <w:lastRenderedPageBreak/>
        <w:t>patients estimated to be treated in Year 6</w:t>
      </w:r>
      <w:r w:rsidR="007D01A1" w:rsidRPr="00BE5FAF">
        <w:rPr>
          <w:rFonts w:asciiTheme="minorHAnsi" w:hAnsiTheme="minorHAnsi"/>
          <w:bCs/>
          <w:szCs w:val="24"/>
        </w:rPr>
        <w:t>, and a total cost to the PBS/RPBS of</w:t>
      </w:r>
      <w:r w:rsidR="004E0C25">
        <w:rPr>
          <w:rFonts w:asciiTheme="minorHAnsi" w:hAnsiTheme="minorHAnsi"/>
          <w:bCs/>
          <w:szCs w:val="24"/>
        </w:rPr>
        <w:t xml:space="preserve"> more than</w:t>
      </w:r>
      <w:r w:rsidRPr="00BE5FAF">
        <w:rPr>
          <w:rFonts w:asciiTheme="minorHAnsi" w:hAnsiTheme="minorHAnsi"/>
          <w:bCs/>
          <w:szCs w:val="24"/>
        </w:rPr>
        <w:t xml:space="preserve"> $</w:t>
      </w:r>
      <w:r w:rsidR="004E0C25">
        <w:rPr>
          <w:rFonts w:asciiTheme="minorHAnsi" w:hAnsiTheme="minorHAnsi"/>
          <w:bCs/>
          <w:szCs w:val="24"/>
        </w:rPr>
        <w:t>100</w:t>
      </w:r>
      <w:r w:rsidRPr="00BE5FAF">
        <w:rPr>
          <w:rFonts w:asciiTheme="minorHAnsi" w:hAnsiTheme="minorHAnsi"/>
          <w:bCs/>
          <w:szCs w:val="24"/>
        </w:rPr>
        <w:t xml:space="preserve"> million over </w:t>
      </w:r>
      <w:r w:rsidR="007D01A1" w:rsidRPr="00BE5FAF">
        <w:rPr>
          <w:rFonts w:asciiTheme="minorHAnsi" w:hAnsiTheme="minorHAnsi"/>
          <w:bCs/>
          <w:szCs w:val="24"/>
        </w:rPr>
        <w:t xml:space="preserve">the first </w:t>
      </w:r>
      <w:r w:rsidRPr="00BE5FAF">
        <w:rPr>
          <w:rFonts w:asciiTheme="minorHAnsi" w:hAnsiTheme="minorHAnsi"/>
          <w:bCs/>
          <w:szCs w:val="24"/>
        </w:rPr>
        <w:t>6 years</w:t>
      </w:r>
      <w:r w:rsidR="007D01A1" w:rsidRPr="00BE5FAF">
        <w:rPr>
          <w:rFonts w:asciiTheme="minorHAnsi" w:hAnsiTheme="minorHAnsi"/>
          <w:bCs/>
          <w:szCs w:val="24"/>
        </w:rPr>
        <w:t xml:space="preserve"> of listing (including the proposed RSA rebate). The PBAC noted that this estimate reduced considerably if use </w:t>
      </w:r>
      <w:proofErr w:type="gramStart"/>
      <w:r w:rsidR="007D01A1" w:rsidRPr="00BE5FAF">
        <w:rPr>
          <w:rFonts w:asciiTheme="minorHAnsi" w:hAnsiTheme="minorHAnsi"/>
          <w:bCs/>
          <w:szCs w:val="24"/>
        </w:rPr>
        <w:t>was confined</w:t>
      </w:r>
      <w:proofErr w:type="gramEnd"/>
      <w:r w:rsidR="007D01A1" w:rsidRPr="00BE5FAF">
        <w:rPr>
          <w:rFonts w:asciiTheme="minorHAnsi" w:hAnsiTheme="minorHAnsi"/>
          <w:bCs/>
          <w:szCs w:val="24"/>
        </w:rPr>
        <w:t xml:space="preserve"> to the group of patients with both CAD and PAD, which had an estimated cost of</w:t>
      </w:r>
      <w:r w:rsidR="004E0C25">
        <w:rPr>
          <w:rFonts w:asciiTheme="minorHAnsi" w:hAnsiTheme="minorHAnsi"/>
          <w:bCs/>
          <w:szCs w:val="24"/>
        </w:rPr>
        <w:t xml:space="preserve"> more than</w:t>
      </w:r>
      <w:r w:rsidR="007D01A1" w:rsidRPr="00BE5FAF">
        <w:rPr>
          <w:rFonts w:asciiTheme="minorHAnsi" w:hAnsiTheme="minorHAnsi"/>
          <w:bCs/>
          <w:szCs w:val="24"/>
        </w:rPr>
        <w:t xml:space="preserve"> $</w:t>
      </w:r>
      <w:r w:rsidR="004E0C25">
        <w:rPr>
          <w:rFonts w:asciiTheme="minorHAnsi" w:hAnsiTheme="minorHAnsi"/>
          <w:bCs/>
          <w:szCs w:val="24"/>
        </w:rPr>
        <w:t>100</w:t>
      </w:r>
      <w:r w:rsidR="007D01A1" w:rsidRPr="00BE5FAF">
        <w:rPr>
          <w:rFonts w:asciiTheme="minorHAnsi" w:hAnsiTheme="minorHAnsi"/>
          <w:bCs/>
          <w:szCs w:val="24"/>
        </w:rPr>
        <w:t xml:space="preserve"> million in the first 6 years of listing.</w:t>
      </w:r>
    </w:p>
    <w:p w:rsidR="002B1F68" w:rsidRPr="00BE5FAF" w:rsidRDefault="007D01A1" w:rsidP="003008B5">
      <w:pPr>
        <w:widowControl/>
        <w:numPr>
          <w:ilvl w:val="1"/>
          <w:numId w:val="2"/>
        </w:numPr>
        <w:spacing w:before="120" w:after="120"/>
        <w:rPr>
          <w:rFonts w:asciiTheme="minorHAnsi" w:hAnsiTheme="minorHAnsi"/>
          <w:bCs/>
          <w:szCs w:val="24"/>
        </w:rPr>
      </w:pPr>
      <w:r w:rsidRPr="00BE5FAF">
        <w:rPr>
          <w:rFonts w:asciiTheme="minorHAnsi" w:hAnsiTheme="minorHAnsi"/>
          <w:bCs/>
          <w:szCs w:val="24"/>
        </w:rPr>
        <w:t xml:space="preserve">The PBAC considered that the </w:t>
      </w:r>
      <w:r w:rsidR="00C30B68" w:rsidRPr="00BE5FAF">
        <w:rPr>
          <w:rFonts w:asciiTheme="minorHAnsi" w:hAnsiTheme="minorHAnsi"/>
          <w:bCs/>
          <w:szCs w:val="24"/>
        </w:rPr>
        <w:t xml:space="preserve">financial estimates were uncertain, but likely overestimated because the uptake rates were </w:t>
      </w:r>
      <w:r w:rsidR="008C3146">
        <w:rPr>
          <w:rFonts w:asciiTheme="minorHAnsi" w:hAnsiTheme="minorHAnsi"/>
          <w:bCs/>
          <w:szCs w:val="24"/>
        </w:rPr>
        <w:t xml:space="preserve">likely </w:t>
      </w:r>
      <w:r w:rsidR="00C30B68" w:rsidRPr="00BE5FAF">
        <w:rPr>
          <w:rFonts w:asciiTheme="minorHAnsi" w:hAnsiTheme="minorHAnsi"/>
          <w:bCs/>
          <w:szCs w:val="24"/>
        </w:rPr>
        <w:t>significantly overestimated. The PBAC considered that uptake was likely to be low</w:t>
      </w:r>
      <w:r w:rsidR="008C3146">
        <w:rPr>
          <w:rFonts w:asciiTheme="minorHAnsi" w:hAnsiTheme="minorHAnsi"/>
          <w:bCs/>
          <w:szCs w:val="24"/>
        </w:rPr>
        <w:t>er than estimated</w:t>
      </w:r>
      <w:r w:rsidR="00C30B68" w:rsidRPr="00BE5FAF">
        <w:rPr>
          <w:rFonts w:asciiTheme="minorHAnsi" w:hAnsiTheme="minorHAnsi"/>
          <w:bCs/>
          <w:szCs w:val="24"/>
        </w:rPr>
        <w:t xml:space="preserve"> in </w:t>
      </w:r>
      <w:r w:rsidR="008C3146">
        <w:rPr>
          <w:rFonts w:asciiTheme="minorHAnsi" w:hAnsiTheme="minorHAnsi"/>
          <w:bCs/>
          <w:szCs w:val="24"/>
        </w:rPr>
        <w:t xml:space="preserve">broad </w:t>
      </w:r>
      <w:r w:rsidR="00C30B68" w:rsidRPr="00BE5FAF">
        <w:rPr>
          <w:rFonts w:asciiTheme="minorHAnsi" w:hAnsiTheme="minorHAnsi"/>
          <w:bCs/>
          <w:szCs w:val="24"/>
        </w:rPr>
        <w:t xml:space="preserve">clinical practice due to </w:t>
      </w:r>
      <w:r w:rsidR="008C3146">
        <w:rPr>
          <w:rFonts w:asciiTheme="minorHAnsi" w:hAnsiTheme="minorHAnsi"/>
          <w:bCs/>
          <w:szCs w:val="24"/>
        </w:rPr>
        <w:t xml:space="preserve">concerns over </w:t>
      </w:r>
      <w:r w:rsidR="00C30B68" w:rsidRPr="00BE5FAF">
        <w:rPr>
          <w:rFonts w:asciiTheme="minorHAnsi" w:hAnsiTheme="minorHAnsi"/>
          <w:bCs/>
          <w:szCs w:val="24"/>
        </w:rPr>
        <w:t xml:space="preserve">the risk of bleeding, the marginal clinical benefit, and the complexity in determining an individual’s risk-benefit profile. Further, the PBAC considered that </w:t>
      </w:r>
      <w:r w:rsidR="00BE1D7D" w:rsidRPr="00BE5FAF">
        <w:rPr>
          <w:rFonts w:asciiTheme="minorHAnsi" w:hAnsiTheme="minorHAnsi"/>
          <w:bCs/>
          <w:szCs w:val="24"/>
        </w:rPr>
        <w:t xml:space="preserve">patients who experience bleeding or bruising </w:t>
      </w:r>
      <w:proofErr w:type="gramStart"/>
      <w:r w:rsidR="00C30B68" w:rsidRPr="00BE5FAF">
        <w:rPr>
          <w:rFonts w:asciiTheme="minorHAnsi" w:hAnsiTheme="minorHAnsi"/>
          <w:bCs/>
          <w:szCs w:val="24"/>
        </w:rPr>
        <w:t>may</w:t>
      </w:r>
      <w:proofErr w:type="gramEnd"/>
      <w:r w:rsidR="00C30B68" w:rsidRPr="00BE5FAF">
        <w:rPr>
          <w:rFonts w:asciiTheme="minorHAnsi" w:hAnsiTheme="minorHAnsi"/>
          <w:bCs/>
          <w:szCs w:val="24"/>
        </w:rPr>
        <w:t xml:space="preserve"> be </w:t>
      </w:r>
      <w:r w:rsidR="00BE1D7D" w:rsidRPr="00BE5FAF">
        <w:rPr>
          <w:rFonts w:asciiTheme="minorHAnsi" w:hAnsiTheme="minorHAnsi"/>
          <w:bCs/>
          <w:szCs w:val="24"/>
        </w:rPr>
        <w:t>reluctant</w:t>
      </w:r>
      <w:r w:rsidR="00C30B68" w:rsidRPr="00BE5FAF">
        <w:rPr>
          <w:rFonts w:asciiTheme="minorHAnsi" w:hAnsiTheme="minorHAnsi"/>
          <w:bCs/>
          <w:szCs w:val="24"/>
        </w:rPr>
        <w:t xml:space="preserve"> to remain on treatment long-term.</w:t>
      </w:r>
      <w:r w:rsidR="008C3146">
        <w:rPr>
          <w:rFonts w:asciiTheme="minorHAnsi" w:hAnsiTheme="minorHAnsi"/>
          <w:bCs/>
          <w:szCs w:val="24"/>
        </w:rPr>
        <w:t xml:space="preserve"> The PBAC felt that general practitioners were unlikely to </w:t>
      </w:r>
      <w:r w:rsidR="00155932">
        <w:rPr>
          <w:rFonts w:asciiTheme="minorHAnsi" w:hAnsiTheme="minorHAnsi"/>
          <w:bCs/>
          <w:szCs w:val="24"/>
        </w:rPr>
        <w:t xml:space="preserve">prescribe </w:t>
      </w:r>
      <w:proofErr w:type="spellStart"/>
      <w:r w:rsidR="008C3146">
        <w:rPr>
          <w:rFonts w:asciiTheme="minorHAnsi" w:hAnsiTheme="minorHAnsi"/>
          <w:bCs/>
          <w:szCs w:val="24"/>
        </w:rPr>
        <w:t>rivaroxaban</w:t>
      </w:r>
      <w:proofErr w:type="spellEnd"/>
      <w:r w:rsidR="008C3146">
        <w:rPr>
          <w:rFonts w:asciiTheme="minorHAnsi" w:hAnsiTheme="minorHAnsi"/>
          <w:bCs/>
          <w:szCs w:val="24"/>
        </w:rPr>
        <w:t xml:space="preserve"> in this population without considerable guidance from specialists.</w:t>
      </w:r>
    </w:p>
    <w:p w:rsidR="00AE2AC7" w:rsidRPr="00BE5FAF" w:rsidRDefault="00AE2AC7" w:rsidP="003008B5">
      <w:pPr>
        <w:widowControl/>
        <w:numPr>
          <w:ilvl w:val="1"/>
          <w:numId w:val="2"/>
        </w:numPr>
        <w:spacing w:before="120" w:after="120"/>
        <w:rPr>
          <w:rFonts w:asciiTheme="minorHAnsi" w:hAnsiTheme="minorHAnsi"/>
          <w:bCs/>
          <w:szCs w:val="24"/>
        </w:rPr>
      </w:pPr>
      <w:r w:rsidRPr="00BE5FAF">
        <w:rPr>
          <w:rFonts w:asciiTheme="minorHAnsi" w:hAnsiTheme="minorHAnsi"/>
          <w:bCs/>
          <w:szCs w:val="24"/>
        </w:rPr>
        <w:t>The PBAC noted that</w:t>
      </w:r>
      <w:r w:rsidR="00E73CB5">
        <w:rPr>
          <w:rFonts w:asciiTheme="minorHAnsi" w:hAnsiTheme="minorHAnsi"/>
          <w:bCs/>
          <w:szCs w:val="24"/>
        </w:rPr>
        <w:t xml:space="preserve"> </w:t>
      </w:r>
      <w:r w:rsidRPr="00BE5FAF">
        <w:rPr>
          <w:rFonts w:asciiTheme="minorHAnsi" w:hAnsiTheme="minorHAnsi"/>
          <w:bCs/>
          <w:szCs w:val="24"/>
        </w:rPr>
        <w:t>DUSC had identified issues with the prevalence rates used in the financial estimates. However, the PBAC considered that, while the prevalence was highly uncertain, there were unlikely to be better data available and considered the prevalence used in the submission was reasonable.</w:t>
      </w:r>
    </w:p>
    <w:p w:rsidR="00495B77" w:rsidRPr="00BE5FAF" w:rsidRDefault="00E55DC8" w:rsidP="003008B5">
      <w:pPr>
        <w:widowControl/>
        <w:numPr>
          <w:ilvl w:val="1"/>
          <w:numId w:val="2"/>
        </w:numPr>
        <w:spacing w:before="120" w:after="120"/>
        <w:rPr>
          <w:rFonts w:asciiTheme="minorHAnsi" w:hAnsiTheme="minorHAnsi"/>
          <w:bCs/>
          <w:szCs w:val="24"/>
        </w:rPr>
      </w:pPr>
      <w:r w:rsidRPr="00BE5FAF">
        <w:rPr>
          <w:rFonts w:asciiTheme="minorHAnsi" w:hAnsiTheme="minorHAnsi"/>
          <w:bCs/>
        </w:rPr>
        <w:t>The PBAC noted the quality use of medicines issues identified by</w:t>
      </w:r>
      <w:r w:rsidR="00E73CB5">
        <w:rPr>
          <w:rFonts w:asciiTheme="minorHAnsi" w:hAnsiTheme="minorHAnsi"/>
          <w:bCs/>
        </w:rPr>
        <w:t xml:space="preserve"> </w:t>
      </w:r>
      <w:r w:rsidRPr="00BE5FAF">
        <w:rPr>
          <w:rFonts w:asciiTheme="minorHAnsi" w:hAnsiTheme="minorHAnsi"/>
          <w:bCs/>
        </w:rPr>
        <w:t>DUSC, and considered that a comprehensive education campaign would be required</w:t>
      </w:r>
      <w:r w:rsidR="00574513" w:rsidRPr="00BE5FAF">
        <w:rPr>
          <w:rFonts w:asciiTheme="minorHAnsi" w:hAnsiTheme="minorHAnsi"/>
          <w:bCs/>
        </w:rPr>
        <w:t xml:space="preserve">, particularly for general practitioners. The PBAC considered that this would need to include guidance regarding </w:t>
      </w:r>
      <w:r w:rsidR="00E730A9" w:rsidRPr="00BE5FAF">
        <w:rPr>
          <w:rFonts w:asciiTheme="minorHAnsi" w:hAnsiTheme="minorHAnsi"/>
          <w:bCs/>
        </w:rPr>
        <w:t xml:space="preserve">selection of appropriate patients, </w:t>
      </w:r>
      <w:r w:rsidR="00574513" w:rsidRPr="00BE5FAF">
        <w:rPr>
          <w:rFonts w:asciiTheme="minorHAnsi" w:hAnsiTheme="minorHAnsi"/>
          <w:bCs/>
        </w:rPr>
        <w:t>dosing</w:t>
      </w:r>
      <w:r w:rsidR="00E730A9" w:rsidRPr="00BE5FAF">
        <w:rPr>
          <w:rFonts w:asciiTheme="minorHAnsi" w:hAnsiTheme="minorHAnsi"/>
          <w:bCs/>
        </w:rPr>
        <w:t>, and the need for concomitant aspirin</w:t>
      </w:r>
      <w:r w:rsidR="00C30B68" w:rsidRPr="00BE5FAF">
        <w:rPr>
          <w:rFonts w:asciiTheme="minorHAnsi" w:hAnsiTheme="minorHAnsi"/>
          <w:bCs/>
        </w:rPr>
        <w:t>.</w:t>
      </w:r>
      <w:r w:rsidR="00574513" w:rsidRPr="00BE5FAF">
        <w:rPr>
          <w:rFonts w:asciiTheme="minorHAnsi" w:hAnsiTheme="minorHAnsi"/>
          <w:bCs/>
        </w:rPr>
        <w:t xml:space="preserve"> </w:t>
      </w:r>
    </w:p>
    <w:p w:rsidR="002B1F68" w:rsidRPr="00BE5FAF" w:rsidRDefault="00A03C61" w:rsidP="003008B5">
      <w:pPr>
        <w:widowControl/>
        <w:numPr>
          <w:ilvl w:val="1"/>
          <w:numId w:val="2"/>
        </w:numPr>
        <w:spacing w:before="120" w:after="120"/>
        <w:rPr>
          <w:rFonts w:asciiTheme="minorHAnsi" w:hAnsiTheme="minorHAnsi"/>
          <w:bCs/>
          <w:szCs w:val="24"/>
        </w:rPr>
      </w:pPr>
      <w:r w:rsidRPr="00BE5FAF">
        <w:rPr>
          <w:rFonts w:asciiTheme="minorHAnsi" w:hAnsiTheme="minorHAnsi"/>
          <w:bCs/>
          <w:szCs w:val="24"/>
        </w:rPr>
        <w:t xml:space="preserve">The PBAC considered that </w:t>
      </w:r>
      <w:r w:rsidR="002B1F68" w:rsidRPr="00BE5FAF">
        <w:rPr>
          <w:rFonts w:asciiTheme="minorHAnsi" w:hAnsiTheme="minorHAnsi"/>
          <w:bCs/>
          <w:szCs w:val="24"/>
        </w:rPr>
        <w:t xml:space="preserve">any resubmission would need to be </w:t>
      </w:r>
      <w:r w:rsidRPr="00BE5FAF">
        <w:rPr>
          <w:rFonts w:asciiTheme="minorHAnsi" w:hAnsiTheme="minorHAnsi"/>
          <w:bCs/>
          <w:szCs w:val="24"/>
        </w:rPr>
        <w:t>a major submission</w:t>
      </w:r>
      <w:r w:rsidR="002B1F68" w:rsidRPr="00BE5FAF">
        <w:rPr>
          <w:rFonts w:asciiTheme="minorHAnsi" w:hAnsiTheme="minorHAnsi"/>
          <w:bCs/>
          <w:szCs w:val="24"/>
        </w:rPr>
        <w:t xml:space="preserve"> and would need to address the following issues:</w:t>
      </w:r>
    </w:p>
    <w:p w:rsidR="002B1F68" w:rsidRPr="00BE5FAF" w:rsidRDefault="00AE2AC7" w:rsidP="003008B5">
      <w:pPr>
        <w:pStyle w:val="ListParagraph"/>
        <w:numPr>
          <w:ilvl w:val="0"/>
          <w:numId w:val="23"/>
        </w:numPr>
        <w:spacing w:before="120" w:after="120"/>
        <w:contextualSpacing/>
        <w:rPr>
          <w:rFonts w:asciiTheme="minorHAnsi" w:hAnsiTheme="minorHAnsi"/>
          <w:bCs/>
          <w:szCs w:val="24"/>
        </w:rPr>
      </w:pPr>
      <w:r w:rsidRPr="00BE5FAF">
        <w:rPr>
          <w:rFonts w:asciiTheme="minorHAnsi" w:hAnsiTheme="minorHAnsi"/>
          <w:bCs/>
          <w:szCs w:val="24"/>
        </w:rPr>
        <w:t>t</w:t>
      </w:r>
      <w:r w:rsidR="002B1F68" w:rsidRPr="00BE5FAF">
        <w:rPr>
          <w:rFonts w:asciiTheme="minorHAnsi" w:hAnsiTheme="minorHAnsi"/>
          <w:bCs/>
          <w:szCs w:val="24"/>
        </w:rPr>
        <w:t xml:space="preserve">arget use to a </w:t>
      </w:r>
      <w:r w:rsidR="00DD3D05" w:rsidRPr="00BE5FAF">
        <w:rPr>
          <w:rFonts w:asciiTheme="minorHAnsi" w:hAnsiTheme="minorHAnsi"/>
          <w:bCs/>
          <w:szCs w:val="24"/>
        </w:rPr>
        <w:t>patient population with a higher cardiovascular risk and a more favourable overall risk-</w:t>
      </w:r>
      <w:r w:rsidR="00451F01" w:rsidRPr="00BE5FAF">
        <w:rPr>
          <w:rFonts w:asciiTheme="minorHAnsi" w:hAnsiTheme="minorHAnsi"/>
          <w:bCs/>
          <w:szCs w:val="24"/>
        </w:rPr>
        <w:t xml:space="preserve"> </w:t>
      </w:r>
      <w:r w:rsidR="00DD3D05" w:rsidRPr="00BE5FAF">
        <w:rPr>
          <w:rFonts w:asciiTheme="minorHAnsi" w:hAnsiTheme="minorHAnsi"/>
          <w:bCs/>
          <w:szCs w:val="24"/>
        </w:rPr>
        <w:t xml:space="preserve">benefit profile; </w:t>
      </w:r>
    </w:p>
    <w:p w:rsidR="008309F9" w:rsidRDefault="00AE2AC7" w:rsidP="003008B5">
      <w:pPr>
        <w:pStyle w:val="ListParagraph"/>
        <w:numPr>
          <w:ilvl w:val="0"/>
          <w:numId w:val="23"/>
        </w:numPr>
        <w:spacing w:before="120" w:after="120"/>
        <w:ind w:left="1077" w:hanging="357"/>
        <w:contextualSpacing/>
        <w:rPr>
          <w:rFonts w:asciiTheme="minorHAnsi" w:hAnsiTheme="minorHAnsi"/>
          <w:bCs/>
          <w:szCs w:val="24"/>
        </w:rPr>
      </w:pPr>
      <w:r w:rsidRPr="00BE5FAF">
        <w:rPr>
          <w:rFonts w:asciiTheme="minorHAnsi" w:hAnsiTheme="minorHAnsi"/>
          <w:bCs/>
          <w:szCs w:val="24"/>
        </w:rPr>
        <w:t>provide a</w:t>
      </w:r>
      <w:r w:rsidR="0061178A" w:rsidRPr="00BE5FAF">
        <w:rPr>
          <w:rFonts w:asciiTheme="minorHAnsi" w:hAnsiTheme="minorHAnsi"/>
          <w:bCs/>
          <w:szCs w:val="24"/>
        </w:rPr>
        <w:t>ny further data that may be available regarding the treatment effect o</w:t>
      </w:r>
      <w:r w:rsidR="008309F9" w:rsidRPr="00BE5FAF">
        <w:rPr>
          <w:rFonts w:asciiTheme="minorHAnsi" w:hAnsiTheme="minorHAnsi"/>
          <w:bCs/>
          <w:szCs w:val="24"/>
        </w:rPr>
        <w:t>ver time</w:t>
      </w:r>
      <w:r w:rsidRPr="00BE5FAF">
        <w:rPr>
          <w:rFonts w:asciiTheme="minorHAnsi" w:hAnsiTheme="minorHAnsi"/>
          <w:bCs/>
          <w:szCs w:val="24"/>
        </w:rPr>
        <w:t>;</w:t>
      </w:r>
    </w:p>
    <w:p w:rsidR="00C41A5D" w:rsidRPr="00BE5FAF" w:rsidRDefault="00C41A5D" w:rsidP="003008B5">
      <w:pPr>
        <w:pStyle w:val="ListParagraph"/>
        <w:numPr>
          <w:ilvl w:val="0"/>
          <w:numId w:val="23"/>
        </w:numPr>
        <w:spacing w:before="120" w:after="120"/>
        <w:ind w:left="1077" w:hanging="357"/>
        <w:contextualSpacing/>
        <w:rPr>
          <w:rFonts w:asciiTheme="minorHAnsi" w:hAnsiTheme="minorHAnsi"/>
          <w:bCs/>
          <w:szCs w:val="24"/>
        </w:rPr>
      </w:pPr>
      <w:r>
        <w:rPr>
          <w:rFonts w:asciiTheme="minorHAnsi" w:hAnsiTheme="minorHAnsi"/>
          <w:bCs/>
          <w:szCs w:val="24"/>
        </w:rPr>
        <w:t xml:space="preserve">provide further information </w:t>
      </w:r>
      <w:r w:rsidR="00C350D6">
        <w:rPr>
          <w:rFonts w:asciiTheme="minorHAnsi" w:hAnsiTheme="minorHAnsi"/>
          <w:bCs/>
          <w:szCs w:val="24"/>
        </w:rPr>
        <w:t>about the results of</w:t>
      </w:r>
      <w:r>
        <w:rPr>
          <w:rFonts w:asciiTheme="minorHAnsi" w:hAnsiTheme="minorHAnsi"/>
          <w:bCs/>
          <w:szCs w:val="24"/>
        </w:rPr>
        <w:t xml:space="preserve"> the PPI component of the </w:t>
      </w:r>
      <w:r w:rsidR="00C350D6">
        <w:rPr>
          <w:rFonts w:asciiTheme="minorHAnsi" w:hAnsiTheme="minorHAnsi"/>
          <w:bCs/>
          <w:szCs w:val="24"/>
        </w:rPr>
        <w:t>COMPASS trial;</w:t>
      </w:r>
      <w:r>
        <w:rPr>
          <w:rFonts w:asciiTheme="minorHAnsi" w:hAnsiTheme="minorHAnsi"/>
          <w:bCs/>
          <w:szCs w:val="24"/>
        </w:rPr>
        <w:t xml:space="preserve"> </w:t>
      </w:r>
    </w:p>
    <w:p w:rsidR="002B1F68" w:rsidRPr="00BE5FAF" w:rsidRDefault="00A03C61" w:rsidP="003008B5">
      <w:pPr>
        <w:pStyle w:val="ListParagraph"/>
        <w:numPr>
          <w:ilvl w:val="0"/>
          <w:numId w:val="23"/>
        </w:numPr>
        <w:spacing w:before="120" w:after="120"/>
        <w:contextualSpacing/>
        <w:rPr>
          <w:rFonts w:asciiTheme="minorHAnsi" w:hAnsiTheme="minorHAnsi"/>
          <w:bCs/>
          <w:szCs w:val="24"/>
        </w:rPr>
      </w:pPr>
      <w:proofErr w:type="gramStart"/>
      <w:r w:rsidRPr="00BE5FAF">
        <w:rPr>
          <w:rFonts w:asciiTheme="minorHAnsi" w:hAnsiTheme="minorHAnsi"/>
          <w:bCs/>
          <w:szCs w:val="24"/>
        </w:rPr>
        <w:t>update</w:t>
      </w:r>
      <w:proofErr w:type="gramEnd"/>
      <w:r w:rsidR="00AE2AC7" w:rsidRPr="00BE5FAF">
        <w:rPr>
          <w:rFonts w:asciiTheme="minorHAnsi" w:hAnsiTheme="minorHAnsi"/>
          <w:bCs/>
          <w:szCs w:val="24"/>
        </w:rPr>
        <w:t xml:space="preserve"> the</w:t>
      </w:r>
      <w:r w:rsidRPr="00BE5FAF">
        <w:rPr>
          <w:rFonts w:asciiTheme="minorHAnsi" w:hAnsiTheme="minorHAnsi"/>
          <w:bCs/>
          <w:szCs w:val="24"/>
        </w:rPr>
        <w:t xml:space="preserve"> economic model</w:t>
      </w:r>
      <w:r w:rsidR="00BC2706" w:rsidRPr="00BE5FAF">
        <w:rPr>
          <w:rFonts w:asciiTheme="minorHAnsi" w:hAnsiTheme="minorHAnsi"/>
          <w:bCs/>
          <w:szCs w:val="24"/>
        </w:rPr>
        <w:t xml:space="preserve"> to reflect the </w:t>
      </w:r>
      <w:r w:rsidR="00EB6538" w:rsidRPr="00BE5FAF">
        <w:rPr>
          <w:rFonts w:asciiTheme="minorHAnsi" w:hAnsiTheme="minorHAnsi"/>
          <w:bCs/>
          <w:szCs w:val="24"/>
        </w:rPr>
        <w:t xml:space="preserve">revised patient </w:t>
      </w:r>
      <w:r w:rsidR="00BC2706" w:rsidRPr="00BE5FAF">
        <w:rPr>
          <w:rFonts w:asciiTheme="minorHAnsi" w:hAnsiTheme="minorHAnsi"/>
          <w:bCs/>
          <w:szCs w:val="24"/>
        </w:rPr>
        <w:t xml:space="preserve">population and </w:t>
      </w:r>
      <w:r w:rsidR="00EB6538" w:rsidRPr="00BE5FAF">
        <w:rPr>
          <w:rFonts w:asciiTheme="minorHAnsi" w:hAnsiTheme="minorHAnsi"/>
          <w:bCs/>
          <w:szCs w:val="24"/>
        </w:rPr>
        <w:t xml:space="preserve">to </w:t>
      </w:r>
      <w:r w:rsidR="00BC2706" w:rsidRPr="00BE5FAF">
        <w:rPr>
          <w:rFonts w:asciiTheme="minorHAnsi" w:hAnsiTheme="minorHAnsi"/>
          <w:bCs/>
          <w:szCs w:val="24"/>
        </w:rPr>
        <w:t>address the issues outlined in Section 6</w:t>
      </w:r>
      <w:r w:rsidR="00EB6538" w:rsidRPr="00BE5FAF">
        <w:rPr>
          <w:rFonts w:asciiTheme="minorHAnsi" w:hAnsiTheme="minorHAnsi"/>
          <w:bCs/>
          <w:szCs w:val="24"/>
        </w:rPr>
        <w:t xml:space="preserve">. In particular, the PBAC considered that significantly more conservative assumptions </w:t>
      </w:r>
      <w:r w:rsidR="0061178A" w:rsidRPr="00BE5FAF">
        <w:rPr>
          <w:rFonts w:asciiTheme="minorHAnsi" w:hAnsiTheme="minorHAnsi"/>
          <w:bCs/>
          <w:szCs w:val="24"/>
        </w:rPr>
        <w:t xml:space="preserve">would be required around </w:t>
      </w:r>
      <w:r w:rsidR="00EB6538" w:rsidRPr="00BE5FAF">
        <w:rPr>
          <w:rFonts w:asciiTheme="minorHAnsi" w:hAnsiTheme="minorHAnsi"/>
          <w:bCs/>
          <w:szCs w:val="24"/>
        </w:rPr>
        <w:t xml:space="preserve">the extrapolation of treatment effect, </w:t>
      </w:r>
      <w:r w:rsidR="00C350D6">
        <w:rPr>
          <w:rFonts w:asciiTheme="minorHAnsi" w:hAnsiTheme="minorHAnsi"/>
          <w:bCs/>
          <w:szCs w:val="24"/>
        </w:rPr>
        <w:t xml:space="preserve">and around </w:t>
      </w:r>
      <w:r w:rsidR="0061178A" w:rsidRPr="00BE5FAF">
        <w:rPr>
          <w:rFonts w:asciiTheme="minorHAnsi" w:hAnsiTheme="minorHAnsi"/>
          <w:bCs/>
          <w:szCs w:val="24"/>
        </w:rPr>
        <w:t xml:space="preserve">treatment </w:t>
      </w:r>
      <w:r w:rsidR="00EB6538" w:rsidRPr="00BE5FAF">
        <w:rPr>
          <w:rFonts w:asciiTheme="minorHAnsi" w:hAnsiTheme="minorHAnsi"/>
          <w:bCs/>
          <w:szCs w:val="24"/>
        </w:rPr>
        <w:t xml:space="preserve">persistence, adherence and treatment interruptions </w:t>
      </w:r>
    </w:p>
    <w:p w:rsidR="002B1F68" w:rsidRPr="00BE5FAF" w:rsidRDefault="00AE2AC7" w:rsidP="003008B5">
      <w:pPr>
        <w:pStyle w:val="ListParagraph"/>
        <w:numPr>
          <w:ilvl w:val="0"/>
          <w:numId w:val="23"/>
        </w:numPr>
        <w:spacing w:before="120" w:after="120"/>
        <w:ind w:left="1077" w:hanging="357"/>
        <w:contextualSpacing/>
        <w:rPr>
          <w:rFonts w:asciiTheme="minorHAnsi" w:hAnsiTheme="minorHAnsi"/>
          <w:bCs/>
          <w:szCs w:val="24"/>
        </w:rPr>
      </w:pPr>
      <w:r w:rsidRPr="00BE5FAF">
        <w:rPr>
          <w:rFonts w:asciiTheme="minorHAnsi" w:hAnsiTheme="minorHAnsi"/>
          <w:bCs/>
          <w:szCs w:val="24"/>
        </w:rPr>
        <w:t>r</w:t>
      </w:r>
      <w:r w:rsidR="0061178A" w:rsidRPr="00BE5FAF">
        <w:rPr>
          <w:rFonts w:asciiTheme="minorHAnsi" w:hAnsiTheme="minorHAnsi"/>
          <w:bCs/>
          <w:szCs w:val="24"/>
        </w:rPr>
        <w:t>evise</w:t>
      </w:r>
      <w:r w:rsidRPr="00BE5FAF">
        <w:rPr>
          <w:rFonts w:asciiTheme="minorHAnsi" w:hAnsiTheme="minorHAnsi"/>
          <w:bCs/>
          <w:szCs w:val="24"/>
        </w:rPr>
        <w:t xml:space="preserve"> the</w:t>
      </w:r>
      <w:r w:rsidR="0061178A" w:rsidRPr="00BE5FAF">
        <w:rPr>
          <w:rFonts w:asciiTheme="minorHAnsi" w:hAnsiTheme="minorHAnsi"/>
          <w:bCs/>
          <w:szCs w:val="24"/>
        </w:rPr>
        <w:t xml:space="preserve"> financial estimates to reflect the revised patient population and assum</w:t>
      </w:r>
      <w:r w:rsidRPr="00BE5FAF">
        <w:rPr>
          <w:rFonts w:asciiTheme="minorHAnsi" w:hAnsiTheme="minorHAnsi"/>
          <w:bCs/>
          <w:szCs w:val="24"/>
        </w:rPr>
        <w:t>e</w:t>
      </w:r>
      <w:r w:rsidR="0061178A" w:rsidRPr="00BE5FAF">
        <w:rPr>
          <w:rFonts w:asciiTheme="minorHAnsi" w:hAnsiTheme="minorHAnsi"/>
          <w:bCs/>
          <w:szCs w:val="24"/>
        </w:rPr>
        <w:t xml:space="preserve"> a significantly lower uptake rate; and</w:t>
      </w:r>
    </w:p>
    <w:p w:rsidR="00A03C61" w:rsidRPr="00BE5FAF" w:rsidRDefault="00AE2AC7" w:rsidP="003008B5">
      <w:pPr>
        <w:pStyle w:val="ListParagraph"/>
        <w:numPr>
          <w:ilvl w:val="0"/>
          <w:numId w:val="23"/>
        </w:numPr>
        <w:spacing w:before="120" w:after="120"/>
        <w:ind w:left="1077" w:hanging="357"/>
        <w:contextualSpacing/>
        <w:rPr>
          <w:rFonts w:asciiTheme="minorHAnsi" w:hAnsiTheme="minorHAnsi"/>
          <w:bCs/>
          <w:szCs w:val="24"/>
        </w:rPr>
      </w:pPr>
      <w:proofErr w:type="gramStart"/>
      <w:r w:rsidRPr="00BE5FAF">
        <w:rPr>
          <w:rFonts w:asciiTheme="minorHAnsi" w:hAnsiTheme="minorHAnsi"/>
          <w:bCs/>
          <w:szCs w:val="24"/>
        </w:rPr>
        <w:t>propose</w:t>
      </w:r>
      <w:proofErr w:type="gramEnd"/>
      <w:r w:rsidRPr="00BE5FAF">
        <w:rPr>
          <w:rFonts w:asciiTheme="minorHAnsi" w:hAnsiTheme="minorHAnsi"/>
          <w:bCs/>
          <w:szCs w:val="24"/>
        </w:rPr>
        <w:t xml:space="preserve"> </w:t>
      </w:r>
      <w:r w:rsidR="00A03C61" w:rsidRPr="00BE5FAF">
        <w:rPr>
          <w:rFonts w:asciiTheme="minorHAnsi" w:hAnsiTheme="minorHAnsi"/>
          <w:bCs/>
          <w:szCs w:val="24"/>
        </w:rPr>
        <w:t>a</w:t>
      </w:r>
      <w:r w:rsidR="0061178A" w:rsidRPr="00BE5FAF">
        <w:rPr>
          <w:rFonts w:asciiTheme="minorHAnsi" w:hAnsiTheme="minorHAnsi"/>
          <w:bCs/>
          <w:szCs w:val="24"/>
        </w:rPr>
        <w:t>n</w:t>
      </w:r>
      <w:r w:rsidR="00A03C61" w:rsidRPr="00BE5FAF">
        <w:rPr>
          <w:rFonts w:asciiTheme="minorHAnsi" w:hAnsiTheme="minorHAnsi"/>
          <w:bCs/>
          <w:szCs w:val="24"/>
        </w:rPr>
        <w:t xml:space="preserve"> RSA wi</w:t>
      </w:r>
      <w:r w:rsidR="00661912" w:rsidRPr="00BE5FAF">
        <w:rPr>
          <w:rFonts w:asciiTheme="minorHAnsi" w:hAnsiTheme="minorHAnsi"/>
          <w:bCs/>
          <w:szCs w:val="24"/>
        </w:rPr>
        <w:t xml:space="preserve">th </w:t>
      </w:r>
      <w:r w:rsidR="00BE1D7D" w:rsidRPr="00BE5FAF">
        <w:rPr>
          <w:rFonts w:asciiTheme="minorHAnsi" w:hAnsiTheme="minorHAnsi"/>
          <w:bCs/>
          <w:szCs w:val="24"/>
        </w:rPr>
        <w:t xml:space="preserve">a 100% rebate over the cap </w:t>
      </w:r>
      <w:r w:rsidR="00C30B68" w:rsidRPr="00BE5FAF">
        <w:rPr>
          <w:rFonts w:asciiTheme="minorHAnsi" w:hAnsiTheme="minorHAnsi"/>
          <w:bCs/>
          <w:szCs w:val="24"/>
        </w:rPr>
        <w:t xml:space="preserve">to mitigate the uncertain patient population, the potential for </w:t>
      </w:r>
      <w:r w:rsidR="00350B7B">
        <w:rPr>
          <w:rFonts w:asciiTheme="minorHAnsi" w:hAnsiTheme="minorHAnsi"/>
          <w:bCs/>
          <w:szCs w:val="24"/>
        </w:rPr>
        <w:t xml:space="preserve">use outside the restriction </w:t>
      </w:r>
      <w:r w:rsidR="00C30B68" w:rsidRPr="00BE5FAF">
        <w:rPr>
          <w:rFonts w:asciiTheme="minorHAnsi" w:hAnsiTheme="minorHAnsi"/>
          <w:bCs/>
          <w:szCs w:val="24"/>
        </w:rPr>
        <w:t>and the high overall financial impact</w:t>
      </w:r>
      <w:r w:rsidR="00661912" w:rsidRPr="00BE5FAF">
        <w:rPr>
          <w:rFonts w:asciiTheme="minorHAnsi" w:hAnsiTheme="minorHAnsi"/>
          <w:bCs/>
          <w:szCs w:val="24"/>
        </w:rPr>
        <w:t>.</w:t>
      </w:r>
    </w:p>
    <w:p w:rsidR="00A03C61" w:rsidRPr="00BE5FAF" w:rsidRDefault="00A03C61" w:rsidP="003008B5">
      <w:pPr>
        <w:widowControl/>
        <w:numPr>
          <w:ilvl w:val="1"/>
          <w:numId w:val="2"/>
        </w:numPr>
        <w:spacing w:before="120" w:after="120"/>
        <w:rPr>
          <w:rFonts w:asciiTheme="minorHAnsi" w:hAnsiTheme="minorHAnsi"/>
          <w:bCs/>
          <w:szCs w:val="24"/>
        </w:rPr>
      </w:pPr>
      <w:r w:rsidRPr="00BE5FAF">
        <w:rPr>
          <w:rFonts w:asciiTheme="minorHAnsi" w:hAnsiTheme="minorHAnsi"/>
          <w:bCs/>
          <w:szCs w:val="24"/>
        </w:rPr>
        <w:lastRenderedPageBreak/>
        <w:t>The PBAC noted that this submission is eli</w:t>
      </w:r>
      <w:r w:rsidR="008E5002" w:rsidRPr="00BE5FAF">
        <w:rPr>
          <w:rFonts w:asciiTheme="minorHAnsi" w:hAnsiTheme="minorHAnsi"/>
          <w:bCs/>
          <w:szCs w:val="24"/>
        </w:rPr>
        <w:t>gible for an Independent Review</w:t>
      </w:r>
      <w:r w:rsidRPr="00BE5FAF">
        <w:rPr>
          <w:rFonts w:asciiTheme="minorHAnsi" w:hAnsiTheme="minorHAnsi"/>
          <w:bCs/>
          <w:szCs w:val="24"/>
        </w:rPr>
        <w:t>.</w:t>
      </w:r>
    </w:p>
    <w:p w:rsidR="00426779" w:rsidRPr="00BE5FAF" w:rsidRDefault="00426779" w:rsidP="003008B5">
      <w:pPr>
        <w:widowControl/>
        <w:spacing w:before="120" w:after="120"/>
        <w:rPr>
          <w:rFonts w:asciiTheme="minorHAnsi" w:hAnsiTheme="minorHAnsi"/>
          <w:b/>
          <w:bCs/>
          <w:szCs w:val="24"/>
        </w:rPr>
      </w:pPr>
      <w:r w:rsidRPr="00BE5FAF">
        <w:rPr>
          <w:rFonts w:asciiTheme="minorHAnsi" w:hAnsiTheme="minorHAnsi"/>
          <w:b/>
          <w:bCs/>
          <w:szCs w:val="24"/>
        </w:rPr>
        <w:t>Outcome:</w:t>
      </w:r>
    </w:p>
    <w:p w:rsidR="00426779" w:rsidRPr="00BE5FAF" w:rsidRDefault="00A03C61" w:rsidP="003008B5">
      <w:pPr>
        <w:widowControl/>
        <w:spacing w:before="120" w:after="120"/>
        <w:rPr>
          <w:rFonts w:asciiTheme="minorHAnsi" w:hAnsiTheme="minorHAnsi"/>
          <w:b/>
          <w:bCs/>
          <w:szCs w:val="24"/>
        </w:rPr>
      </w:pPr>
      <w:r w:rsidRPr="00BE5FAF">
        <w:rPr>
          <w:rFonts w:asciiTheme="minorHAnsi" w:hAnsiTheme="minorHAnsi"/>
          <w:bCs/>
          <w:szCs w:val="24"/>
        </w:rPr>
        <w:t xml:space="preserve">Rejected </w:t>
      </w:r>
    </w:p>
    <w:p w:rsidR="007E50D3" w:rsidRPr="007E50D3" w:rsidRDefault="007E50D3" w:rsidP="003008B5">
      <w:pPr>
        <w:widowControl/>
        <w:numPr>
          <w:ilvl w:val="0"/>
          <w:numId w:val="2"/>
        </w:numPr>
        <w:spacing w:before="120" w:after="120"/>
        <w:jc w:val="left"/>
        <w:outlineLvl w:val="0"/>
        <w:rPr>
          <w:rFonts w:asciiTheme="minorHAnsi" w:hAnsiTheme="minorHAnsi"/>
          <w:b/>
          <w:bCs/>
          <w:sz w:val="32"/>
          <w:szCs w:val="24"/>
        </w:rPr>
      </w:pPr>
      <w:r w:rsidRPr="007E50D3">
        <w:rPr>
          <w:rFonts w:asciiTheme="minorHAnsi" w:hAnsiTheme="minorHAnsi"/>
          <w:b/>
          <w:bCs/>
          <w:sz w:val="32"/>
          <w:szCs w:val="24"/>
        </w:rPr>
        <w:t>Context for Decision</w:t>
      </w:r>
    </w:p>
    <w:p w:rsidR="007E50D3" w:rsidRPr="007E50D3" w:rsidRDefault="007E50D3" w:rsidP="003008B5">
      <w:pPr>
        <w:widowControl/>
        <w:spacing w:before="120" w:after="120"/>
        <w:ind w:left="426"/>
        <w:rPr>
          <w:rFonts w:asciiTheme="minorHAnsi" w:eastAsiaTheme="minorHAnsi" w:hAnsiTheme="minorHAnsi"/>
          <w:snapToGrid/>
        </w:rPr>
      </w:pPr>
      <w:r w:rsidRPr="007E50D3">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E50D3" w:rsidRPr="007E50D3" w:rsidRDefault="007E50D3" w:rsidP="003008B5">
      <w:pPr>
        <w:widowControl/>
        <w:numPr>
          <w:ilvl w:val="0"/>
          <w:numId w:val="2"/>
        </w:numPr>
        <w:spacing w:before="120" w:after="120"/>
        <w:jc w:val="left"/>
        <w:outlineLvl w:val="0"/>
        <w:rPr>
          <w:rFonts w:asciiTheme="minorHAnsi" w:hAnsiTheme="minorHAnsi"/>
          <w:b/>
          <w:bCs/>
          <w:sz w:val="32"/>
          <w:szCs w:val="24"/>
        </w:rPr>
      </w:pPr>
      <w:r w:rsidRPr="007E50D3">
        <w:rPr>
          <w:rFonts w:asciiTheme="minorHAnsi" w:hAnsiTheme="minorHAnsi"/>
          <w:b/>
          <w:bCs/>
          <w:sz w:val="32"/>
          <w:szCs w:val="24"/>
        </w:rPr>
        <w:t>Sponsor’s Co</w:t>
      </w:r>
      <w:bookmarkStart w:id="16" w:name="_GoBack"/>
      <w:bookmarkEnd w:id="16"/>
      <w:r w:rsidRPr="007E50D3">
        <w:rPr>
          <w:rFonts w:asciiTheme="minorHAnsi" w:hAnsiTheme="minorHAnsi"/>
          <w:b/>
          <w:bCs/>
          <w:sz w:val="32"/>
          <w:szCs w:val="24"/>
        </w:rPr>
        <w:t>mment</w:t>
      </w:r>
    </w:p>
    <w:p w:rsidR="00B96127" w:rsidRPr="003008B5" w:rsidRDefault="00C261EF" w:rsidP="003008B5">
      <w:pPr>
        <w:widowControl/>
        <w:spacing w:before="120" w:after="120"/>
        <w:ind w:left="426"/>
        <w:rPr>
          <w:rFonts w:asciiTheme="minorHAnsi" w:eastAsiaTheme="minorHAnsi" w:hAnsiTheme="minorHAnsi"/>
          <w:snapToGrid/>
        </w:rPr>
      </w:pPr>
      <w:r w:rsidRPr="00C261EF">
        <w:rPr>
          <w:rFonts w:asciiTheme="minorHAnsi" w:eastAsiaTheme="minorHAnsi" w:hAnsiTheme="minorHAnsi"/>
          <w:snapToGrid/>
        </w:rPr>
        <w:t xml:space="preserve">Bayer will continue to work with the PBAC to seek a PBS listing of </w:t>
      </w:r>
      <w:proofErr w:type="spellStart"/>
      <w:r w:rsidRPr="00C261EF">
        <w:rPr>
          <w:rFonts w:asciiTheme="minorHAnsi" w:eastAsiaTheme="minorHAnsi" w:hAnsiTheme="minorHAnsi"/>
          <w:snapToGrid/>
        </w:rPr>
        <w:t>rivaroxaban</w:t>
      </w:r>
      <w:proofErr w:type="spellEnd"/>
      <w:r w:rsidRPr="00C261EF">
        <w:rPr>
          <w:rFonts w:asciiTheme="minorHAnsi" w:eastAsiaTheme="minorHAnsi" w:hAnsiTheme="minorHAnsi"/>
          <w:snapToGrid/>
        </w:rPr>
        <w:t xml:space="preserve"> 2.5mg</w:t>
      </w:r>
      <w:r w:rsidR="006A47DD" w:rsidRPr="00C261EF">
        <w:rPr>
          <w:rFonts w:asciiTheme="minorHAnsi" w:eastAsiaTheme="minorHAnsi" w:hAnsiTheme="minorHAnsi"/>
          <w:snapToGrid/>
        </w:rPr>
        <w:t> in</w:t>
      </w:r>
      <w:r w:rsidRPr="00C261EF">
        <w:rPr>
          <w:rFonts w:asciiTheme="minorHAnsi" w:eastAsiaTheme="minorHAnsi" w:hAnsiTheme="minorHAnsi"/>
          <w:snapToGrid/>
        </w:rPr>
        <w:t xml:space="preserve"> combination with aspirin for the prevention of recurrent cardiovascular events in patients in the stable phase of coronary artery disease (CAD) and/or peripheral artery disease (PAD).</w:t>
      </w:r>
    </w:p>
    <w:sectPr w:rsidR="00B96127" w:rsidRPr="003008B5" w:rsidSect="00E05FBF">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F0791" w16cid:durableId="20617A8B"/>
  <w16cid:commentId w16cid:paraId="478AE7B0" w16cid:durableId="205DADAA"/>
  <w16cid:commentId w16cid:paraId="5BB09BF4" w16cid:durableId="20617AF1"/>
  <w16cid:commentId w16cid:paraId="0F5D8B08" w16cid:durableId="205DAE12"/>
  <w16cid:commentId w16cid:paraId="48B5A790" w16cid:durableId="205DAE32"/>
  <w16cid:commentId w16cid:paraId="7B8704F4" w16cid:durableId="205DAE9D"/>
  <w16cid:commentId w16cid:paraId="0780DF2E" w16cid:durableId="20617D09"/>
  <w16cid:commentId w16cid:paraId="1B12C270" w16cid:durableId="205DB036"/>
  <w16cid:commentId w16cid:paraId="2320013F" w16cid:durableId="205DB275"/>
  <w16cid:commentId w16cid:paraId="0AF38E12" w16cid:durableId="205DB391"/>
  <w16cid:commentId w16cid:paraId="37B8E49F" w16cid:durableId="205DB3FE"/>
  <w16cid:commentId w16cid:paraId="60E2A230" w16cid:durableId="20617EB2"/>
  <w16cid:commentId w16cid:paraId="23B922EB" w16cid:durableId="205DF556"/>
  <w16cid:commentId w16cid:paraId="5DF4BDCF" w16cid:durableId="205DAA3F"/>
  <w16cid:commentId w16cid:paraId="47226690" w16cid:durableId="2061800F"/>
  <w16cid:commentId w16cid:paraId="4A2B12BA" w16cid:durableId="205DF9A1"/>
  <w16cid:commentId w16cid:paraId="73AF5ECB" w16cid:durableId="206181EE"/>
  <w16cid:commentId w16cid:paraId="0B161555" w16cid:durableId="205DFA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CE" w:rsidRDefault="00517BCE" w:rsidP="00124A51">
      <w:r>
        <w:separator/>
      </w:r>
    </w:p>
    <w:p w:rsidR="00517BCE" w:rsidRDefault="00517BCE"/>
  </w:endnote>
  <w:endnote w:type="continuationSeparator" w:id="0">
    <w:p w:rsidR="00517BCE" w:rsidRDefault="00517BCE" w:rsidP="00124A51">
      <w:r>
        <w:continuationSeparator/>
      </w:r>
    </w:p>
    <w:p w:rsidR="00517BCE" w:rsidRDefault="00517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CE" w:rsidRDefault="00517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678324"/>
      <w:docPartObj>
        <w:docPartGallery w:val="Page Numbers (Bottom of Page)"/>
        <w:docPartUnique/>
      </w:docPartObj>
    </w:sdtPr>
    <w:sdtEndPr>
      <w:rPr>
        <w:b/>
        <w:noProof/>
      </w:rPr>
    </w:sdtEndPr>
    <w:sdtContent>
      <w:p w:rsidR="00FD2852" w:rsidRPr="006E1493" w:rsidRDefault="00FD2852" w:rsidP="006E1493">
        <w:pPr>
          <w:pStyle w:val="Footer"/>
          <w:jc w:val="center"/>
          <w:rPr>
            <w:b/>
          </w:rPr>
        </w:pPr>
        <w:r w:rsidRPr="00DA453A">
          <w:rPr>
            <w:b/>
          </w:rPr>
          <w:fldChar w:fldCharType="begin"/>
        </w:r>
        <w:r w:rsidRPr="00DA453A">
          <w:rPr>
            <w:b/>
          </w:rPr>
          <w:instrText xml:space="preserve"> PAGE   \* MERGEFORMAT </w:instrText>
        </w:r>
        <w:r w:rsidRPr="00DA453A">
          <w:rPr>
            <w:b/>
          </w:rPr>
          <w:fldChar w:fldCharType="separate"/>
        </w:r>
        <w:r w:rsidR="003844D1">
          <w:rPr>
            <w:b/>
            <w:noProof/>
          </w:rPr>
          <w:t>32</w:t>
        </w:r>
        <w:r w:rsidRPr="00DA453A">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CE" w:rsidRDefault="00517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CE" w:rsidRDefault="00517BCE" w:rsidP="00124A51">
      <w:r>
        <w:separator/>
      </w:r>
    </w:p>
    <w:p w:rsidR="00517BCE" w:rsidRDefault="00517BCE"/>
  </w:footnote>
  <w:footnote w:type="continuationSeparator" w:id="0">
    <w:p w:rsidR="00517BCE" w:rsidRDefault="00517BCE" w:rsidP="00124A51">
      <w:r>
        <w:continuationSeparator/>
      </w:r>
    </w:p>
    <w:p w:rsidR="00517BCE" w:rsidRDefault="00517BCE"/>
  </w:footnote>
  <w:footnote w:id="1">
    <w:p w:rsidR="00FD2852" w:rsidRDefault="00FD2852" w:rsidP="000137E2">
      <w:pPr>
        <w:pStyle w:val="FootnoteText"/>
      </w:pPr>
      <w:r>
        <w:rPr>
          <w:rStyle w:val="FootnoteReference"/>
        </w:rPr>
        <w:footnoteRef/>
      </w:r>
      <w:proofErr w:type="gramStart"/>
      <w:r>
        <w:t>2016</w:t>
      </w:r>
      <w:proofErr w:type="gramEnd"/>
      <w:r>
        <w:t xml:space="preserve"> ACC/AHA Guideline Focused Update on Duration of Dual Antiplatelet Therapy in Patients with Coronary Artery Disease.</w:t>
      </w:r>
      <w:r w:rsidRPr="000137E2">
        <w:t xml:space="preserve"> </w:t>
      </w:r>
      <w:r>
        <w:t xml:space="preserve">A Report of the American College of Cardiology/American Heart Association Task Force on Clinical Practice Guidelines. JACC 2016. 68:10 (1082-115). </w:t>
      </w:r>
    </w:p>
    <w:p w:rsidR="00FD2852" w:rsidRDefault="00FD2852" w:rsidP="000137E2">
      <w:pPr>
        <w:pStyle w:val="FootnoteText"/>
      </w:pPr>
      <w:r w:rsidRPr="000137E2">
        <w:t>https://www.acc.org/~/media/Non-Clinical/Files-PDFs-Excel-MS-Word-etc/Tools%20and%20Practice%20Support/</w:t>
      </w:r>
      <w:r>
        <w:t xml:space="preserve"> </w:t>
      </w:r>
      <w:r w:rsidRPr="002F2BF5">
        <w:t>Quality%20Programs/Anticoag-10-14/DAPT/1%20Levine%202016%20DAPT%20Guidelines.pdf?la=en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CE" w:rsidRDefault="00517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2" w:rsidRPr="008D2B88" w:rsidRDefault="00FD2852" w:rsidP="007E50D3">
    <w:pPr>
      <w:widowControl/>
      <w:tabs>
        <w:tab w:val="center" w:pos="4513"/>
        <w:tab w:val="right" w:pos="9026"/>
      </w:tabs>
      <w:jc w:val="center"/>
      <w:rPr>
        <w:rFonts w:asciiTheme="minorHAnsi" w:eastAsiaTheme="minorHAnsi" w:hAnsiTheme="minorHAnsi" w:cstheme="minorHAnsi"/>
        <w:i/>
        <w:snapToGrid/>
        <w:color w:val="808080"/>
      </w:rPr>
    </w:pPr>
    <w:r w:rsidRPr="008D2B88">
      <w:rPr>
        <w:rFonts w:asciiTheme="minorHAnsi" w:eastAsiaTheme="minorHAnsi" w:hAnsiTheme="minorHAnsi" w:cstheme="minorHAnsi"/>
        <w:i/>
        <w:snapToGrid/>
        <w:color w:val="808080"/>
      </w:rPr>
      <w:t>Public Summary Document – March 2019 PBAC Meeting</w:t>
    </w:r>
  </w:p>
  <w:p w:rsidR="00FD2852" w:rsidRDefault="00FD285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CE" w:rsidRDefault="00517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2E1"/>
    <w:multiLevelType w:val="hybridMultilevel"/>
    <w:tmpl w:val="94609F0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B6EC1"/>
    <w:multiLevelType w:val="hybridMultilevel"/>
    <w:tmpl w:val="C8005C90"/>
    <w:lvl w:ilvl="0" w:tplc="04090001">
      <w:start w:val="1"/>
      <w:numFmt w:val="bullet"/>
      <w:lvlText w:val=""/>
      <w:lvlJc w:val="left"/>
      <w:pPr>
        <w:ind w:left="720" w:hanging="360"/>
      </w:pPr>
      <w:rPr>
        <w:rFonts w:ascii="Symbol" w:hAnsi="Symbol" w:hint="default"/>
      </w:rPr>
    </w:lvl>
    <w:lvl w:ilvl="1" w:tplc="05C49B72">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82F52"/>
    <w:multiLevelType w:val="hybridMultilevel"/>
    <w:tmpl w:val="528E9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ED2B96"/>
    <w:multiLevelType w:val="hybridMultilevel"/>
    <w:tmpl w:val="B3868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53A0B"/>
    <w:multiLevelType w:val="hybridMultilevel"/>
    <w:tmpl w:val="B06E163C"/>
    <w:lvl w:ilvl="0" w:tplc="570CD526">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162654B"/>
    <w:multiLevelType w:val="hybridMultilevel"/>
    <w:tmpl w:val="0B90E8C4"/>
    <w:lvl w:ilvl="0" w:tplc="142A0D2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B64CBF"/>
    <w:multiLevelType w:val="hybridMultilevel"/>
    <w:tmpl w:val="558ADFAA"/>
    <w:lvl w:ilvl="0" w:tplc="3B5C92DA">
      <w:start w:val="7"/>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765B79"/>
    <w:multiLevelType w:val="hybridMultilevel"/>
    <w:tmpl w:val="B53E83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4442297"/>
    <w:multiLevelType w:val="hybridMultilevel"/>
    <w:tmpl w:val="74263D7E"/>
    <w:lvl w:ilvl="0" w:tplc="6EF41792">
      <w:start w:val="1"/>
      <w:numFmt w:val="bullet"/>
      <w:pStyle w:val="Bulletpoi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B198E"/>
    <w:multiLevelType w:val="hybridMultilevel"/>
    <w:tmpl w:val="FF10A7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B762624"/>
    <w:multiLevelType w:val="multilevel"/>
    <w:tmpl w:val="FA4E4D74"/>
    <w:lvl w:ilvl="0">
      <w:start w:val="1"/>
      <w:numFmt w:val="decimal"/>
      <w:pStyle w:val="BasicNumbering"/>
      <w:lvlText w:val="%1."/>
      <w:lvlJc w:val="left"/>
      <w:pPr>
        <w:ind w:left="567" w:hanging="567"/>
      </w:pPr>
      <w:rPr>
        <w:rFonts w:hint="default"/>
      </w:rPr>
    </w:lvl>
    <w:lvl w:ilvl="1">
      <w:start w:val="1"/>
      <w:numFmt w:val="decimal"/>
      <w:lvlText w:val="%1.%2"/>
      <w:lvlJc w:val="left"/>
      <w:pPr>
        <w:ind w:left="567" w:hanging="567"/>
      </w:pPr>
      <w:rPr>
        <w:rFonts w:asciiTheme="majorHAnsi" w:hAnsiTheme="majorHAnsi" w:hint="default"/>
        <w:b/>
        <w:i w:val="0"/>
        <w:sz w:val="24"/>
      </w:rPr>
    </w:lvl>
    <w:lvl w:ilvl="2">
      <w:start w:val="1"/>
      <w:numFmt w:val="decimal"/>
      <w:lvlText w:val="%1.%2.%3"/>
      <w:lvlJc w:val="left"/>
      <w:pPr>
        <w:ind w:left="567" w:hanging="567"/>
      </w:pPr>
      <w:rPr>
        <w:rFonts w:hint="default"/>
        <w:b/>
        <w:i w:val="0"/>
        <w:sz w:val="24"/>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6"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8F2869"/>
    <w:multiLevelType w:val="hybridMultilevel"/>
    <w:tmpl w:val="F7563272"/>
    <w:lvl w:ilvl="0" w:tplc="F35CAC32">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054D00"/>
    <w:multiLevelType w:val="hybridMultilevel"/>
    <w:tmpl w:val="A8BA6154"/>
    <w:lvl w:ilvl="0" w:tplc="42A4208C">
      <w:start w:val="1"/>
      <w:numFmt w:val="decimal"/>
      <w:lvlText w:val="%1."/>
      <w:lvlJc w:val="left"/>
      <w:pPr>
        <w:ind w:left="720" w:hanging="360"/>
      </w:pPr>
      <w:rPr>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9A25F4"/>
    <w:multiLevelType w:val="multilevel"/>
    <w:tmpl w:val="2124B9A2"/>
    <w:styleLink w:val="SectionBii"/>
    <w:lvl w:ilvl="0">
      <w:start w:val="2"/>
      <w:numFmt w:val="upperLetter"/>
      <w:lvlText w:val="%1(ii)."/>
      <w:lvlJc w:val="left"/>
      <w:pPr>
        <w:ind w:left="1077" w:hanging="1077"/>
      </w:pPr>
      <w:rPr>
        <w:rFonts w:ascii="Arial" w:hAnsi="Arial" w:hint="default"/>
        <w:b/>
        <w:sz w:val="22"/>
      </w:rPr>
    </w:lvl>
    <w:lvl w:ilvl="1">
      <w:start w:val="1"/>
      <w:numFmt w:val="decimal"/>
      <w:lvlText w:val="%1(ii).%2."/>
      <w:lvlJc w:val="left"/>
      <w:pPr>
        <w:ind w:left="1474" w:hanging="1474"/>
      </w:pPr>
      <w:rPr>
        <w:rFonts w:ascii="Arial" w:hAnsi="Arial" w:hint="default"/>
        <w:b/>
        <w:sz w:val="22"/>
      </w:rPr>
    </w:lvl>
    <w:lvl w:ilvl="2">
      <w:start w:val="1"/>
      <w:numFmt w:val="decimal"/>
      <w:lvlText w:val="%1(ii).%2.%3."/>
      <w:lvlJc w:val="left"/>
      <w:pPr>
        <w:ind w:left="1871" w:hanging="1871"/>
      </w:pPr>
      <w:rPr>
        <w:rFonts w:ascii="Arial" w:hAnsi="Arial" w:hint="default"/>
        <w:b/>
        <w:sz w:val="22"/>
      </w:rPr>
    </w:lvl>
    <w:lvl w:ilvl="3">
      <w:start w:val="1"/>
      <w:numFmt w:val="decimal"/>
      <w:lvlText w:val="%1(ii).%2.%3.%4."/>
      <w:lvlJc w:val="left"/>
      <w:pPr>
        <w:ind w:left="2268" w:hanging="2268"/>
      </w:pPr>
      <w:rPr>
        <w:rFonts w:ascii="Arial" w:hAnsi="Arial" w:hint="default"/>
        <w:b/>
        <w:sz w:val="22"/>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1"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4D033C"/>
    <w:multiLevelType w:val="multilevel"/>
    <w:tmpl w:val="E2265CE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2"/>
  </w:num>
  <w:num w:numId="3">
    <w:abstractNumId w:val="12"/>
  </w:num>
  <w:num w:numId="4">
    <w:abstractNumId w:val="0"/>
  </w:num>
  <w:num w:numId="5">
    <w:abstractNumId w:val="9"/>
  </w:num>
  <w:num w:numId="6">
    <w:abstractNumId w:val="13"/>
  </w:num>
  <w:num w:numId="7">
    <w:abstractNumId w:val="21"/>
  </w:num>
  <w:num w:numId="8">
    <w:abstractNumId w:val="7"/>
  </w:num>
  <w:num w:numId="9">
    <w:abstractNumId w:val="18"/>
  </w:num>
  <w:num w:numId="10">
    <w:abstractNumId w:val="19"/>
  </w:num>
  <w:num w:numId="11">
    <w:abstractNumId w:val="15"/>
  </w:num>
  <w:num w:numId="12">
    <w:abstractNumId w:val="11"/>
  </w:num>
  <w:num w:numId="13">
    <w:abstractNumId w:val="20"/>
  </w:num>
  <w:num w:numId="14">
    <w:abstractNumId w:val="16"/>
  </w:num>
  <w:num w:numId="15">
    <w:abstractNumId w:val="17"/>
  </w:num>
  <w:num w:numId="16">
    <w:abstractNumId w:val="4"/>
  </w:num>
  <w:num w:numId="17">
    <w:abstractNumId w:val="1"/>
  </w:num>
  <w:num w:numId="18">
    <w:abstractNumId w:val="8"/>
  </w:num>
  <w:num w:numId="19">
    <w:abstractNumId w:val="3"/>
  </w:num>
  <w:num w:numId="20">
    <w:abstractNumId w:val="5"/>
  </w:num>
  <w:num w:numId="21">
    <w:abstractNumId w:val="10"/>
  </w:num>
  <w:num w:numId="22">
    <w:abstractNumId w:val="6"/>
  </w:num>
  <w:num w:numId="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59C"/>
    <w:rsid w:val="00000790"/>
    <w:rsid w:val="0000090A"/>
    <w:rsid w:val="00000952"/>
    <w:rsid w:val="0000110B"/>
    <w:rsid w:val="000017D4"/>
    <w:rsid w:val="00002CF5"/>
    <w:rsid w:val="00003499"/>
    <w:rsid w:val="000039B7"/>
    <w:rsid w:val="00004E36"/>
    <w:rsid w:val="00006009"/>
    <w:rsid w:val="000121D0"/>
    <w:rsid w:val="000124B1"/>
    <w:rsid w:val="00013247"/>
    <w:rsid w:val="000137E2"/>
    <w:rsid w:val="0001414A"/>
    <w:rsid w:val="00015886"/>
    <w:rsid w:val="000162EF"/>
    <w:rsid w:val="00020A5A"/>
    <w:rsid w:val="0002225F"/>
    <w:rsid w:val="00023763"/>
    <w:rsid w:val="00025360"/>
    <w:rsid w:val="00025F2F"/>
    <w:rsid w:val="00026C91"/>
    <w:rsid w:val="00030422"/>
    <w:rsid w:val="0003107A"/>
    <w:rsid w:val="00033863"/>
    <w:rsid w:val="00034FF5"/>
    <w:rsid w:val="00035DC0"/>
    <w:rsid w:val="00036829"/>
    <w:rsid w:val="00040895"/>
    <w:rsid w:val="00043C37"/>
    <w:rsid w:val="00044FB5"/>
    <w:rsid w:val="00045017"/>
    <w:rsid w:val="00045A2B"/>
    <w:rsid w:val="00045B08"/>
    <w:rsid w:val="000464E5"/>
    <w:rsid w:val="0004698F"/>
    <w:rsid w:val="00051102"/>
    <w:rsid w:val="000539D0"/>
    <w:rsid w:val="00054621"/>
    <w:rsid w:val="0005463E"/>
    <w:rsid w:val="000546D7"/>
    <w:rsid w:val="00061106"/>
    <w:rsid w:val="000659F2"/>
    <w:rsid w:val="0006625D"/>
    <w:rsid w:val="00066360"/>
    <w:rsid w:val="00071248"/>
    <w:rsid w:val="000720B9"/>
    <w:rsid w:val="000737F7"/>
    <w:rsid w:val="00074DE4"/>
    <w:rsid w:val="00075285"/>
    <w:rsid w:val="0007672F"/>
    <w:rsid w:val="00077150"/>
    <w:rsid w:val="000774F0"/>
    <w:rsid w:val="00080909"/>
    <w:rsid w:val="000812CA"/>
    <w:rsid w:val="0008258D"/>
    <w:rsid w:val="00082FFB"/>
    <w:rsid w:val="00083E99"/>
    <w:rsid w:val="000846E5"/>
    <w:rsid w:val="000856C5"/>
    <w:rsid w:val="00090C7E"/>
    <w:rsid w:val="00090E38"/>
    <w:rsid w:val="00092281"/>
    <w:rsid w:val="00092600"/>
    <w:rsid w:val="0009262B"/>
    <w:rsid w:val="00093310"/>
    <w:rsid w:val="0009445C"/>
    <w:rsid w:val="00094D06"/>
    <w:rsid w:val="00095BF2"/>
    <w:rsid w:val="00095FE5"/>
    <w:rsid w:val="00096209"/>
    <w:rsid w:val="00096284"/>
    <w:rsid w:val="000A7218"/>
    <w:rsid w:val="000A73BA"/>
    <w:rsid w:val="000A7D08"/>
    <w:rsid w:val="000B0670"/>
    <w:rsid w:val="000B0E75"/>
    <w:rsid w:val="000B11E1"/>
    <w:rsid w:val="000B39C2"/>
    <w:rsid w:val="000B5DF3"/>
    <w:rsid w:val="000B6CAC"/>
    <w:rsid w:val="000B7612"/>
    <w:rsid w:val="000B7AB4"/>
    <w:rsid w:val="000C0E48"/>
    <w:rsid w:val="000C3CE7"/>
    <w:rsid w:val="000C3DF9"/>
    <w:rsid w:val="000C6713"/>
    <w:rsid w:val="000C7D38"/>
    <w:rsid w:val="000D1BFC"/>
    <w:rsid w:val="000D2494"/>
    <w:rsid w:val="000D281A"/>
    <w:rsid w:val="000D2B2E"/>
    <w:rsid w:val="000D326A"/>
    <w:rsid w:val="000D51FB"/>
    <w:rsid w:val="000D6C3A"/>
    <w:rsid w:val="000D7BB6"/>
    <w:rsid w:val="000D7C75"/>
    <w:rsid w:val="000E1305"/>
    <w:rsid w:val="000E135D"/>
    <w:rsid w:val="000E1BBE"/>
    <w:rsid w:val="000E292F"/>
    <w:rsid w:val="000E4945"/>
    <w:rsid w:val="000E5911"/>
    <w:rsid w:val="000E5A26"/>
    <w:rsid w:val="000F00BA"/>
    <w:rsid w:val="000F316A"/>
    <w:rsid w:val="000F35A1"/>
    <w:rsid w:val="000F3C74"/>
    <w:rsid w:val="000F3DEC"/>
    <w:rsid w:val="000F45CB"/>
    <w:rsid w:val="000F4BB8"/>
    <w:rsid w:val="000F5EC0"/>
    <w:rsid w:val="000F634B"/>
    <w:rsid w:val="000F7127"/>
    <w:rsid w:val="000F7991"/>
    <w:rsid w:val="001002AE"/>
    <w:rsid w:val="00100F8A"/>
    <w:rsid w:val="00103517"/>
    <w:rsid w:val="00105590"/>
    <w:rsid w:val="00105AE2"/>
    <w:rsid w:val="00106564"/>
    <w:rsid w:val="001068C9"/>
    <w:rsid w:val="00106B80"/>
    <w:rsid w:val="0011032E"/>
    <w:rsid w:val="0011348B"/>
    <w:rsid w:val="001137C6"/>
    <w:rsid w:val="001155B9"/>
    <w:rsid w:val="00115938"/>
    <w:rsid w:val="00115982"/>
    <w:rsid w:val="00116C53"/>
    <w:rsid w:val="0011760F"/>
    <w:rsid w:val="0012126E"/>
    <w:rsid w:val="00121799"/>
    <w:rsid w:val="001222FC"/>
    <w:rsid w:val="001238B2"/>
    <w:rsid w:val="0012424F"/>
    <w:rsid w:val="00124688"/>
    <w:rsid w:val="00124A51"/>
    <w:rsid w:val="00126621"/>
    <w:rsid w:val="001301E9"/>
    <w:rsid w:val="00131D82"/>
    <w:rsid w:val="00132550"/>
    <w:rsid w:val="00133D36"/>
    <w:rsid w:val="001348B2"/>
    <w:rsid w:val="001362B4"/>
    <w:rsid w:val="00137645"/>
    <w:rsid w:val="00137EE2"/>
    <w:rsid w:val="00137FEA"/>
    <w:rsid w:val="0014015A"/>
    <w:rsid w:val="00140E99"/>
    <w:rsid w:val="001418C4"/>
    <w:rsid w:val="001422E9"/>
    <w:rsid w:val="001453DB"/>
    <w:rsid w:val="00145540"/>
    <w:rsid w:val="001456B0"/>
    <w:rsid w:val="00154C60"/>
    <w:rsid w:val="0015544D"/>
    <w:rsid w:val="00155932"/>
    <w:rsid w:val="00155B70"/>
    <w:rsid w:val="0015624B"/>
    <w:rsid w:val="0015630E"/>
    <w:rsid w:val="00156CA8"/>
    <w:rsid w:val="00157130"/>
    <w:rsid w:val="001576B1"/>
    <w:rsid w:val="00160A4C"/>
    <w:rsid w:val="0016156C"/>
    <w:rsid w:val="00162913"/>
    <w:rsid w:val="00163EFF"/>
    <w:rsid w:val="00165E5C"/>
    <w:rsid w:val="001661FB"/>
    <w:rsid w:val="00166B4E"/>
    <w:rsid w:val="00167995"/>
    <w:rsid w:val="00171B8C"/>
    <w:rsid w:val="001733D0"/>
    <w:rsid w:val="00173565"/>
    <w:rsid w:val="00173B07"/>
    <w:rsid w:val="00176A81"/>
    <w:rsid w:val="00176AFC"/>
    <w:rsid w:val="00177D99"/>
    <w:rsid w:val="0018118B"/>
    <w:rsid w:val="001813E3"/>
    <w:rsid w:val="001817E4"/>
    <w:rsid w:val="00181D9C"/>
    <w:rsid w:val="00182C26"/>
    <w:rsid w:val="00183D9E"/>
    <w:rsid w:val="001851B6"/>
    <w:rsid w:val="001851F3"/>
    <w:rsid w:val="00186088"/>
    <w:rsid w:val="00186D6F"/>
    <w:rsid w:val="0018752F"/>
    <w:rsid w:val="001878FE"/>
    <w:rsid w:val="00190AC0"/>
    <w:rsid w:val="00191248"/>
    <w:rsid w:val="0019136A"/>
    <w:rsid w:val="00192C35"/>
    <w:rsid w:val="0019378E"/>
    <w:rsid w:val="00193BA6"/>
    <w:rsid w:val="00194C1D"/>
    <w:rsid w:val="00195222"/>
    <w:rsid w:val="00195DB8"/>
    <w:rsid w:val="001960ED"/>
    <w:rsid w:val="001975D8"/>
    <w:rsid w:val="001A364B"/>
    <w:rsid w:val="001A3A02"/>
    <w:rsid w:val="001A43FA"/>
    <w:rsid w:val="001A59FB"/>
    <w:rsid w:val="001A6354"/>
    <w:rsid w:val="001A69C9"/>
    <w:rsid w:val="001A7AE8"/>
    <w:rsid w:val="001B0AA3"/>
    <w:rsid w:val="001B0E6C"/>
    <w:rsid w:val="001B1961"/>
    <w:rsid w:val="001B204E"/>
    <w:rsid w:val="001B3443"/>
    <w:rsid w:val="001B4D20"/>
    <w:rsid w:val="001B5351"/>
    <w:rsid w:val="001B54E0"/>
    <w:rsid w:val="001B5C1A"/>
    <w:rsid w:val="001B60F4"/>
    <w:rsid w:val="001B7EE2"/>
    <w:rsid w:val="001C2A9B"/>
    <w:rsid w:val="001C3AA8"/>
    <w:rsid w:val="001C4299"/>
    <w:rsid w:val="001C5F94"/>
    <w:rsid w:val="001C6E66"/>
    <w:rsid w:val="001C73F6"/>
    <w:rsid w:val="001C7B15"/>
    <w:rsid w:val="001D0A1F"/>
    <w:rsid w:val="001D2BA1"/>
    <w:rsid w:val="001D69FA"/>
    <w:rsid w:val="001D758F"/>
    <w:rsid w:val="001E238E"/>
    <w:rsid w:val="001E2483"/>
    <w:rsid w:val="001E2B1E"/>
    <w:rsid w:val="001E30D4"/>
    <w:rsid w:val="001E52EB"/>
    <w:rsid w:val="001E61D2"/>
    <w:rsid w:val="001E68EF"/>
    <w:rsid w:val="001E6908"/>
    <w:rsid w:val="001E740C"/>
    <w:rsid w:val="001F1235"/>
    <w:rsid w:val="001F1CB3"/>
    <w:rsid w:val="001F24EC"/>
    <w:rsid w:val="001F2D33"/>
    <w:rsid w:val="001F2E35"/>
    <w:rsid w:val="001F3302"/>
    <w:rsid w:val="001F38B5"/>
    <w:rsid w:val="001F6B33"/>
    <w:rsid w:val="001F72F2"/>
    <w:rsid w:val="001F7361"/>
    <w:rsid w:val="002011B0"/>
    <w:rsid w:val="00203181"/>
    <w:rsid w:val="00203783"/>
    <w:rsid w:val="0020385F"/>
    <w:rsid w:val="00207021"/>
    <w:rsid w:val="0020732F"/>
    <w:rsid w:val="00207D00"/>
    <w:rsid w:val="00210137"/>
    <w:rsid w:val="00210261"/>
    <w:rsid w:val="002105C1"/>
    <w:rsid w:val="00210F03"/>
    <w:rsid w:val="00211901"/>
    <w:rsid w:val="002130D6"/>
    <w:rsid w:val="00213B20"/>
    <w:rsid w:val="002150EA"/>
    <w:rsid w:val="00215691"/>
    <w:rsid w:val="002175AD"/>
    <w:rsid w:val="0022076E"/>
    <w:rsid w:val="00220808"/>
    <w:rsid w:val="0022101C"/>
    <w:rsid w:val="002213E7"/>
    <w:rsid w:val="00223B49"/>
    <w:rsid w:val="00224DD4"/>
    <w:rsid w:val="002253D9"/>
    <w:rsid w:val="00226175"/>
    <w:rsid w:val="00226332"/>
    <w:rsid w:val="0022696B"/>
    <w:rsid w:val="002309CC"/>
    <w:rsid w:val="0023209F"/>
    <w:rsid w:val="0023312C"/>
    <w:rsid w:val="0023629D"/>
    <w:rsid w:val="00237255"/>
    <w:rsid w:val="00241C73"/>
    <w:rsid w:val="0024206D"/>
    <w:rsid w:val="00242266"/>
    <w:rsid w:val="002424AF"/>
    <w:rsid w:val="002439DC"/>
    <w:rsid w:val="002442CF"/>
    <w:rsid w:val="00244DC8"/>
    <w:rsid w:val="002458BA"/>
    <w:rsid w:val="0024636C"/>
    <w:rsid w:val="00247925"/>
    <w:rsid w:val="00251109"/>
    <w:rsid w:val="00253078"/>
    <w:rsid w:val="00254CE1"/>
    <w:rsid w:val="00254DC1"/>
    <w:rsid w:val="00254DCF"/>
    <w:rsid w:val="0025534B"/>
    <w:rsid w:val="00255BB7"/>
    <w:rsid w:val="002560C1"/>
    <w:rsid w:val="00256912"/>
    <w:rsid w:val="00257541"/>
    <w:rsid w:val="0026070A"/>
    <w:rsid w:val="00262A1A"/>
    <w:rsid w:val="00262A87"/>
    <w:rsid w:val="00262AFF"/>
    <w:rsid w:val="00263126"/>
    <w:rsid w:val="00264656"/>
    <w:rsid w:val="002647B0"/>
    <w:rsid w:val="00264D26"/>
    <w:rsid w:val="002651EA"/>
    <w:rsid w:val="00267642"/>
    <w:rsid w:val="00267AEA"/>
    <w:rsid w:val="002700E6"/>
    <w:rsid w:val="0027294B"/>
    <w:rsid w:val="002730B8"/>
    <w:rsid w:val="00275BD8"/>
    <w:rsid w:val="00275C5A"/>
    <w:rsid w:val="00276FE6"/>
    <w:rsid w:val="002779E0"/>
    <w:rsid w:val="00281014"/>
    <w:rsid w:val="00281C99"/>
    <w:rsid w:val="002848DB"/>
    <w:rsid w:val="00287DCF"/>
    <w:rsid w:val="0029192D"/>
    <w:rsid w:val="002977A5"/>
    <w:rsid w:val="002A0DA2"/>
    <w:rsid w:val="002A0F68"/>
    <w:rsid w:val="002A12A4"/>
    <w:rsid w:val="002A14AB"/>
    <w:rsid w:val="002A16AA"/>
    <w:rsid w:val="002A1798"/>
    <w:rsid w:val="002A2F50"/>
    <w:rsid w:val="002A5DE2"/>
    <w:rsid w:val="002B09A4"/>
    <w:rsid w:val="002B1C1F"/>
    <w:rsid w:val="002B1F68"/>
    <w:rsid w:val="002B20EB"/>
    <w:rsid w:val="002B2C22"/>
    <w:rsid w:val="002B31CD"/>
    <w:rsid w:val="002B3BDC"/>
    <w:rsid w:val="002B432F"/>
    <w:rsid w:val="002B4B39"/>
    <w:rsid w:val="002B62B3"/>
    <w:rsid w:val="002B6754"/>
    <w:rsid w:val="002B6CCE"/>
    <w:rsid w:val="002B6CFF"/>
    <w:rsid w:val="002C086E"/>
    <w:rsid w:val="002C1F74"/>
    <w:rsid w:val="002C2510"/>
    <w:rsid w:val="002C2775"/>
    <w:rsid w:val="002C27C1"/>
    <w:rsid w:val="002C487F"/>
    <w:rsid w:val="002C5099"/>
    <w:rsid w:val="002C5889"/>
    <w:rsid w:val="002C5F1C"/>
    <w:rsid w:val="002C71CE"/>
    <w:rsid w:val="002D023A"/>
    <w:rsid w:val="002D2DEA"/>
    <w:rsid w:val="002D30D3"/>
    <w:rsid w:val="002D4DE3"/>
    <w:rsid w:val="002D577C"/>
    <w:rsid w:val="002D6396"/>
    <w:rsid w:val="002D7F62"/>
    <w:rsid w:val="002E05B5"/>
    <w:rsid w:val="002E128B"/>
    <w:rsid w:val="002E15B9"/>
    <w:rsid w:val="002E2158"/>
    <w:rsid w:val="002E3DD0"/>
    <w:rsid w:val="002E437E"/>
    <w:rsid w:val="002E6369"/>
    <w:rsid w:val="002E753E"/>
    <w:rsid w:val="002E7722"/>
    <w:rsid w:val="002F07BA"/>
    <w:rsid w:val="002F0DA9"/>
    <w:rsid w:val="002F252E"/>
    <w:rsid w:val="002F2BF5"/>
    <w:rsid w:val="002F55CE"/>
    <w:rsid w:val="002F5823"/>
    <w:rsid w:val="002F5A82"/>
    <w:rsid w:val="002F643C"/>
    <w:rsid w:val="002F71C0"/>
    <w:rsid w:val="002F7C69"/>
    <w:rsid w:val="003008B5"/>
    <w:rsid w:val="00301017"/>
    <w:rsid w:val="0030155F"/>
    <w:rsid w:val="00303722"/>
    <w:rsid w:val="0030587B"/>
    <w:rsid w:val="00306D75"/>
    <w:rsid w:val="00306D7D"/>
    <w:rsid w:val="00306D98"/>
    <w:rsid w:val="0030786C"/>
    <w:rsid w:val="00307EC7"/>
    <w:rsid w:val="0031031A"/>
    <w:rsid w:val="00310981"/>
    <w:rsid w:val="00312D3A"/>
    <w:rsid w:val="00313470"/>
    <w:rsid w:val="00313E5C"/>
    <w:rsid w:val="00315498"/>
    <w:rsid w:val="00315F93"/>
    <w:rsid w:val="003206BA"/>
    <w:rsid w:val="00322107"/>
    <w:rsid w:val="00322846"/>
    <w:rsid w:val="00323BED"/>
    <w:rsid w:val="00325710"/>
    <w:rsid w:val="00326DA7"/>
    <w:rsid w:val="00326E61"/>
    <w:rsid w:val="003270E4"/>
    <w:rsid w:val="00327CDF"/>
    <w:rsid w:val="00327E9F"/>
    <w:rsid w:val="00330C28"/>
    <w:rsid w:val="00330F5C"/>
    <w:rsid w:val="00335FDD"/>
    <w:rsid w:val="003366C9"/>
    <w:rsid w:val="00336E35"/>
    <w:rsid w:val="003371B0"/>
    <w:rsid w:val="00340DF1"/>
    <w:rsid w:val="00345566"/>
    <w:rsid w:val="00345AF8"/>
    <w:rsid w:val="003466CA"/>
    <w:rsid w:val="0035026D"/>
    <w:rsid w:val="00350B7B"/>
    <w:rsid w:val="00351045"/>
    <w:rsid w:val="003517F9"/>
    <w:rsid w:val="00351F92"/>
    <w:rsid w:val="003538A4"/>
    <w:rsid w:val="003554CF"/>
    <w:rsid w:val="00355CAD"/>
    <w:rsid w:val="0035620E"/>
    <w:rsid w:val="00360C58"/>
    <w:rsid w:val="003624C4"/>
    <w:rsid w:val="00362543"/>
    <w:rsid w:val="00363F48"/>
    <w:rsid w:val="0036406E"/>
    <w:rsid w:val="003654AC"/>
    <w:rsid w:val="003655A5"/>
    <w:rsid w:val="00366A2D"/>
    <w:rsid w:val="003710CF"/>
    <w:rsid w:val="0037358A"/>
    <w:rsid w:val="003750F6"/>
    <w:rsid w:val="003760FC"/>
    <w:rsid w:val="00377709"/>
    <w:rsid w:val="0038365C"/>
    <w:rsid w:val="0038369B"/>
    <w:rsid w:val="00383B78"/>
    <w:rsid w:val="003844D1"/>
    <w:rsid w:val="00385A9D"/>
    <w:rsid w:val="003902B1"/>
    <w:rsid w:val="00392E2F"/>
    <w:rsid w:val="00393DAA"/>
    <w:rsid w:val="0039436B"/>
    <w:rsid w:val="00395903"/>
    <w:rsid w:val="00396896"/>
    <w:rsid w:val="00396FD0"/>
    <w:rsid w:val="00397527"/>
    <w:rsid w:val="003A0BA0"/>
    <w:rsid w:val="003A0BE7"/>
    <w:rsid w:val="003A1A7A"/>
    <w:rsid w:val="003A2392"/>
    <w:rsid w:val="003A2831"/>
    <w:rsid w:val="003A37DC"/>
    <w:rsid w:val="003A3ED1"/>
    <w:rsid w:val="003A4B4D"/>
    <w:rsid w:val="003B4C42"/>
    <w:rsid w:val="003B5B61"/>
    <w:rsid w:val="003B5E3B"/>
    <w:rsid w:val="003B62D0"/>
    <w:rsid w:val="003B63D2"/>
    <w:rsid w:val="003B6A68"/>
    <w:rsid w:val="003C1172"/>
    <w:rsid w:val="003C1654"/>
    <w:rsid w:val="003C241B"/>
    <w:rsid w:val="003C297C"/>
    <w:rsid w:val="003C6F76"/>
    <w:rsid w:val="003C7198"/>
    <w:rsid w:val="003C7D19"/>
    <w:rsid w:val="003D0A8E"/>
    <w:rsid w:val="003D0F08"/>
    <w:rsid w:val="003D1162"/>
    <w:rsid w:val="003D1828"/>
    <w:rsid w:val="003D1DE4"/>
    <w:rsid w:val="003D2422"/>
    <w:rsid w:val="003D3544"/>
    <w:rsid w:val="003D39A1"/>
    <w:rsid w:val="003D3FBF"/>
    <w:rsid w:val="003D4110"/>
    <w:rsid w:val="003D45C2"/>
    <w:rsid w:val="003D4772"/>
    <w:rsid w:val="003D4A30"/>
    <w:rsid w:val="003D5AF3"/>
    <w:rsid w:val="003D6552"/>
    <w:rsid w:val="003D683C"/>
    <w:rsid w:val="003D79BB"/>
    <w:rsid w:val="003D7C98"/>
    <w:rsid w:val="003E0543"/>
    <w:rsid w:val="003E3D85"/>
    <w:rsid w:val="003E7180"/>
    <w:rsid w:val="003F22BE"/>
    <w:rsid w:val="003F2473"/>
    <w:rsid w:val="003F2D2E"/>
    <w:rsid w:val="003F2E19"/>
    <w:rsid w:val="003F4156"/>
    <w:rsid w:val="003F4E79"/>
    <w:rsid w:val="003F7663"/>
    <w:rsid w:val="00400B29"/>
    <w:rsid w:val="00401AA5"/>
    <w:rsid w:val="0040504B"/>
    <w:rsid w:val="00406043"/>
    <w:rsid w:val="00407FA5"/>
    <w:rsid w:val="00410188"/>
    <w:rsid w:val="00410708"/>
    <w:rsid w:val="00410EC7"/>
    <w:rsid w:val="00411B39"/>
    <w:rsid w:val="00412D89"/>
    <w:rsid w:val="0041390B"/>
    <w:rsid w:val="00413A1E"/>
    <w:rsid w:val="00414476"/>
    <w:rsid w:val="00414C2E"/>
    <w:rsid w:val="004151CF"/>
    <w:rsid w:val="00415F6F"/>
    <w:rsid w:val="00416364"/>
    <w:rsid w:val="00417D1E"/>
    <w:rsid w:val="00420AA6"/>
    <w:rsid w:val="00420B9F"/>
    <w:rsid w:val="00422260"/>
    <w:rsid w:val="00422987"/>
    <w:rsid w:val="0042413F"/>
    <w:rsid w:val="00424DBD"/>
    <w:rsid w:val="0042509C"/>
    <w:rsid w:val="00425230"/>
    <w:rsid w:val="00426779"/>
    <w:rsid w:val="00427946"/>
    <w:rsid w:val="00430988"/>
    <w:rsid w:val="004319F8"/>
    <w:rsid w:val="00431E55"/>
    <w:rsid w:val="004321F6"/>
    <w:rsid w:val="00432F3D"/>
    <w:rsid w:val="00433044"/>
    <w:rsid w:val="0043527E"/>
    <w:rsid w:val="00435A97"/>
    <w:rsid w:val="004363C6"/>
    <w:rsid w:val="004375B9"/>
    <w:rsid w:val="004379B9"/>
    <w:rsid w:val="00440726"/>
    <w:rsid w:val="004424F8"/>
    <w:rsid w:val="004428D0"/>
    <w:rsid w:val="00443780"/>
    <w:rsid w:val="00444326"/>
    <w:rsid w:val="004443A7"/>
    <w:rsid w:val="0044442C"/>
    <w:rsid w:val="0044525D"/>
    <w:rsid w:val="00445941"/>
    <w:rsid w:val="004464EB"/>
    <w:rsid w:val="00447D26"/>
    <w:rsid w:val="00451F01"/>
    <w:rsid w:val="004552ED"/>
    <w:rsid w:val="00455D45"/>
    <w:rsid w:val="00456197"/>
    <w:rsid w:val="004602C8"/>
    <w:rsid w:val="004605C9"/>
    <w:rsid w:val="00464595"/>
    <w:rsid w:val="00465B9A"/>
    <w:rsid w:val="00467E0C"/>
    <w:rsid w:val="00472A79"/>
    <w:rsid w:val="00473DA5"/>
    <w:rsid w:val="00473F19"/>
    <w:rsid w:val="00475E22"/>
    <w:rsid w:val="00477C91"/>
    <w:rsid w:val="0048088E"/>
    <w:rsid w:val="00482720"/>
    <w:rsid w:val="004835E7"/>
    <w:rsid w:val="00484152"/>
    <w:rsid w:val="004842DB"/>
    <w:rsid w:val="004844FB"/>
    <w:rsid w:val="004867E2"/>
    <w:rsid w:val="00491B3A"/>
    <w:rsid w:val="00491C0B"/>
    <w:rsid w:val="00491DA6"/>
    <w:rsid w:val="00491F3B"/>
    <w:rsid w:val="00491FDE"/>
    <w:rsid w:val="004923AD"/>
    <w:rsid w:val="00492CFD"/>
    <w:rsid w:val="00494DD5"/>
    <w:rsid w:val="00495B77"/>
    <w:rsid w:val="004962D2"/>
    <w:rsid w:val="00496A5B"/>
    <w:rsid w:val="004A0057"/>
    <w:rsid w:val="004A00B0"/>
    <w:rsid w:val="004A0DA1"/>
    <w:rsid w:val="004A3AC3"/>
    <w:rsid w:val="004A52E9"/>
    <w:rsid w:val="004A557C"/>
    <w:rsid w:val="004A61A8"/>
    <w:rsid w:val="004A6597"/>
    <w:rsid w:val="004A7064"/>
    <w:rsid w:val="004A7848"/>
    <w:rsid w:val="004A7F08"/>
    <w:rsid w:val="004B05B2"/>
    <w:rsid w:val="004B1219"/>
    <w:rsid w:val="004B126C"/>
    <w:rsid w:val="004B1CB4"/>
    <w:rsid w:val="004B2F18"/>
    <w:rsid w:val="004B3DDB"/>
    <w:rsid w:val="004B3EFF"/>
    <w:rsid w:val="004B44FD"/>
    <w:rsid w:val="004B5445"/>
    <w:rsid w:val="004B5876"/>
    <w:rsid w:val="004B5CFC"/>
    <w:rsid w:val="004B6186"/>
    <w:rsid w:val="004B6974"/>
    <w:rsid w:val="004B774D"/>
    <w:rsid w:val="004C0406"/>
    <w:rsid w:val="004C4AED"/>
    <w:rsid w:val="004C5228"/>
    <w:rsid w:val="004C7E66"/>
    <w:rsid w:val="004D0983"/>
    <w:rsid w:val="004D2C2D"/>
    <w:rsid w:val="004D4B04"/>
    <w:rsid w:val="004D572E"/>
    <w:rsid w:val="004D7227"/>
    <w:rsid w:val="004E0C25"/>
    <w:rsid w:val="004E0E7F"/>
    <w:rsid w:val="004E0EB8"/>
    <w:rsid w:val="004E1336"/>
    <w:rsid w:val="004E2ADC"/>
    <w:rsid w:val="004E3C36"/>
    <w:rsid w:val="004E43B2"/>
    <w:rsid w:val="004E471B"/>
    <w:rsid w:val="004E6CB9"/>
    <w:rsid w:val="004F021C"/>
    <w:rsid w:val="004F1D02"/>
    <w:rsid w:val="004F225C"/>
    <w:rsid w:val="004F2280"/>
    <w:rsid w:val="004F2679"/>
    <w:rsid w:val="004F2F21"/>
    <w:rsid w:val="004F4A2B"/>
    <w:rsid w:val="004F6750"/>
    <w:rsid w:val="004F6913"/>
    <w:rsid w:val="004F7865"/>
    <w:rsid w:val="005000B8"/>
    <w:rsid w:val="0050103C"/>
    <w:rsid w:val="0050219B"/>
    <w:rsid w:val="00503F17"/>
    <w:rsid w:val="00503F84"/>
    <w:rsid w:val="00504AF7"/>
    <w:rsid w:val="005052E5"/>
    <w:rsid w:val="005067CA"/>
    <w:rsid w:val="00506928"/>
    <w:rsid w:val="00506A27"/>
    <w:rsid w:val="005074BD"/>
    <w:rsid w:val="00511C90"/>
    <w:rsid w:val="005152B5"/>
    <w:rsid w:val="00517BCE"/>
    <w:rsid w:val="005207A7"/>
    <w:rsid w:val="00520BD9"/>
    <w:rsid w:val="00521319"/>
    <w:rsid w:val="00521436"/>
    <w:rsid w:val="00522BC8"/>
    <w:rsid w:val="00522BF0"/>
    <w:rsid w:val="00522F7B"/>
    <w:rsid w:val="00523C28"/>
    <w:rsid w:val="005245A1"/>
    <w:rsid w:val="0052506A"/>
    <w:rsid w:val="0052562A"/>
    <w:rsid w:val="00525C24"/>
    <w:rsid w:val="0052709B"/>
    <w:rsid w:val="00527388"/>
    <w:rsid w:val="00530EAB"/>
    <w:rsid w:val="0053537E"/>
    <w:rsid w:val="005367DC"/>
    <w:rsid w:val="00536F42"/>
    <w:rsid w:val="00537030"/>
    <w:rsid w:val="00537182"/>
    <w:rsid w:val="005400BA"/>
    <w:rsid w:val="00542743"/>
    <w:rsid w:val="00542B97"/>
    <w:rsid w:val="00542C2D"/>
    <w:rsid w:val="00546175"/>
    <w:rsid w:val="00546907"/>
    <w:rsid w:val="005518BF"/>
    <w:rsid w:val="00551985"/>
    <w:rsid w:val="00552BD3"/>
    <w:rsid w:val="00554BF4"/>
    <w:rsid w:val="00555109"/>
    <w:rsid w:val="00555971"/>
    <w:rsid w:val="00561C53"/>
    <w:rsid w:val="005626CE"/>
    <w:rsid w:val="005644E3"/>
    <w:rsid w:val="0056696F"/>
    <w:rsid w:val="00571C63"/>
    <w:rsid w:val="00572269"/>
    <w:rsid w:val="0057244A"/>
    <w:rsid w:val="00573EF8"/>
    <w:rsid w:val="005740D8"/>
    <w:rsid w:val="00574513"/>
    <w:rsid w:val="00575716"/>
    <w:rsid w:val="00575C89"/>
    <w:rsid w:val="00575D8D"/>
    <w:rsid w:val="005768D6"/>
    <w:rsid w:val="00576972"/>
    <w:rsid w:val="00576B37"/>
    <w:rsid w:val="00583699"/>
    <w:rsid w:val="00584423"/>
    <w:rsid w:val="005857AA"/>
    <w:rsid w:val="00585A6D"/>
    <w:rsid w:val="00585A91"/>
    <w:rsid w:val="00585CDD"/>
    <w:rsid w:val="005864AD"/>
    <w:rsid w:val="00586BD7"/>
    <w:rsid w:val="00587058"/>
    <w:rsid w:val="00590704"/>
    <w:rsid w:val="00590E03"/>
    <w:rsid w:val="00591957"/>
    <w:rsid w:val="005920D7"/>
    <w:rsid w:val="005948C9"/>
    <w:rsid w:val="005959EC"/>
    <w:rsid w:val="005963D1"/>
    <w:rsid w:val="00596F56"/>
    <w:rsid w:val="00597BF9"/>
    <w:rsid w:val="005A0B51"/>
    <w:rsid w:val="005A2CA1"/>
    <w:rsid w:val="005A35E7"/>
    <w:rsid w:val="005A373D"/>
    <w:rsid w:val="005A58B3"/>
    <w:rsid w:val="005B115D"/>
    <w:rsid w:val="005B46E5"/>
    <w:rsid w:val="005B5857"/>
    <w:rsid w:val="005B6F51"/>
    <w:rsid w:val="005B795B"/>
    <w:rsid w:val="005C1B83"/>
    <w:rsid w:val="005C2D55"/>
    <w:rsid w:val="005C3020"/>
    <w:rsid w:val="005C32B1"/>
    <w:rsid w:val="005C346B"/>
    <w:rsid w:val="005C3B31"/>
    <w:rsid w:val="005C4F35"/>
    <w:rsid w:val="005C6AE3"/>
    <w:rsid w:val="005D044D"/>
    <w:rsid w:val="005D0ABD"/>
    <w:rsid w:val="005D18AD"/>
    <w:rsid w:val="005D19DC"/>
    <w:rsid w:val="005D246E"/>
    <w:rsid w:val="005D26B4"/>
    <w:rsid w:val="005D2B69"/>
    <w:rsid w:val="005D3C83"/>
    <w:rsid w:val="005D4712"/>
    <w:rsid w:val="005D6815"/>
    <w:rsid w:val="005E0FAD"/>
    <w:rsid w:val="005E1583"/>
    <w:rsid w:val="005E51AF"/>
    <w:rsid w:val="005E5EE2"/>
    <w:rsid w:val="005E6CBC"/>
    <w:rsid w:val="005E73C0"/>
    <w:rsid w:val="005F0ACB"/>
    <w:rsid w:val="005F177A"/>
    <w:rsid w:val="005F2706"/>
    <w:rsid w:val="005F3EC2"/>
    <w:rsid w:val="005F473F"/>
    <w:rsid w:val="005F5651"/>
    <w:rsid w:val="005F6A8F"/>
    <w:rsid w:val="005F73C5"/>
    <w:rsid w:val="005F7919"/>
    <w:rsid w:val="00601434"/>
    <w:rsid w:val="00602C83"/>
    <w:rsid w:val="00603DB9"/>
    <w:rsid w:val="00604650"/>
    <w:rsid w:val="00605003"/>
    <w:rsid w:val="006058DD"/>
    <w:rsid w:val="0060592E"/>
    <w:rsid w:val="00606328"/>
    <w:rsid w:val="00606770"/>
    <w:rsid w:val="00606C1B"/>
    <w:rsid w:val="00606F74"/>
    <w:rsid w:val="00607669"/>
    <w:rsid w:val="00607AFD"/>
    <w:rsid w:val="00610594"/>
    <w:rsid w:val="0061178A"/>
    <w:rsid w:val="00612E5E"/>
    <w:rsid w:val="00612F97"/>
    <w:rsid w:val="0061345D"/>
    <w:rsid w:val="00616802"/>
    <w:rsid w:val="00617E12"/>
    <w:rsid w:val="00621477"/>
    <w:rsid w:val="00621FBE"/>
    <w:rsid w:val="0062328E"/>
    <w:rsid w:val="006251D1"/>
    <w:rsid w:val="00626666"/>
    <w:rsid w:val="0063023B"/>
    <w:rsid w:val="0063158F"/>
    <w:rsid w:val="00631D6B"/>
    <w:rsid w:val="006330A1"/>
    <w:rsid w:val="006336A9"/>
    <w:rsid w:val="00633C32"/>
    <w:rsid w:val="00633DB1"/>
    <w:rsid w:val="0063479F"/>
    <w:rsid w:val="00634A04"/>
    <w:rsid w:val="00634F1B"/>
    <w:rsid w:val="006353F0"/>
    <w:rsid w:val="006364A1"/>
    <w:rsid w:val="00637604"/>
    <w:rsid w:val="00637BFD"/>
    <w:rsid w:val="00641C4E"/>
    <w:rsid w:val="00642939"/>
    <w:rsid w:val="0064293D"/>
    <w:rsid w:val="006436D4"/>
    <w:rsid w:val="00644EC5"/>
    <w:rsid w:val="006471CC"/>
    <w:rsid w:val="00647935"/>
    <w:rsid w:val="0065079F"/>
    <w:rsid w:val="00652994"/>
    <w:rsid w:val="0065379F"/>
    <w:rsid w:val="00654CA9"/>
    <w:rsid w:val="00654E10"/>
    <w:rsid w:val="00654E14"/>
    <w:rsid w:val="006550AB"/>
    <w:rsid w:val="00661912"/>
    <w:rsid w:val="00661C6B"/>
    <w:rsid w:val="00674E42"/>
    <w:rsid w:val="006763D2"/>
    <w:rsid w:val="00681535"/>
    <w:rsid w:val="00682112"/>
    <w:rsid w:val="00683153"/>
    <w:rsid w:val="00684166"/>
    <w:rsid w:val="00685A7A"/>
    <w:rsid w:val="00686957"/>
    <w:rsid w:val="006872BA"/>
    <w:rsid w:val="00690AA9"/>
    <w:rsid w:val="00691648"/>
    <w:rsid w:val="006917D7"/>
    <w:rsid w:val="006918FA"/>
    <w:rsid w:val="00692275"/>
    <w:rsid w:val="00693280"/>
    <w:rsid w:val="00693F0B"/>
    <w:rsid w:val="00694F44"/>
    <w:rsid w:val="006956D5"/>
    <w:rsid w:val="00695F3A"/>
    <w:rsid w:val="00696AB2"/>
    <w:rsid w:val="00696C4C"/>
    <w:rsid w:val="006A47DD"/>
    <w:rsid w:val="006A5267"/>
    <w:rsid w:val="006A6031"/>
    <w:rsid w:val="006A7E5F"/>
    <w:rsid w:val="006B261B"/>
    <w:rsid w:val="006B2C90"/>
    <w:rsid w:val="006B6DD0"/>
    <w:rsid w:val="006B7EE7"/>
    <w:rsid w:val="006C2470"/>
    <w:rsid w:val="006C2A8E"/>
    <w:rsid w:val="006C4ED3"/>
    <w:rsid w:val="006C58EE"/>
    <w:rsid w:val="006D1B45"/>
    <w:rsid w:val="006D3C7D"/>
    <w:rsid w:val="006D5771"/>
    <w:rsid w:val="006D5D5F"/>
    <w:rsid w:val="006D6280"/>
    <w:rsid w:val="006D7613"/>
    <w:rsid w:val="006E0307"/>
    <w:rsid w:val="006E1493"/>
    <w:rsid w:val="006E1DFF"/>
    <w:rsid w:val="006E298C"/>
    <w:rsid w:val="006E33CD"/>
    <w:rsid w:val="006E34D0"/>
    <w:rsid w:val="006E3BFF"/>
    <w:rsid w:val="006E4D33"/>
    <w:rsid w:val="006E5704"/>
    <w:rsid w:val="006E635D"/>
    <w:rsid w:val="006F0CDD"/>
    <w:rsid w:val="006F1375"/>
    <w:rsid w:val="006F306C"/>
    <w:rsid w:val="006F395D"/>
    <w:rsid w:val="006F45CE"/>
    <w:rsid w:val="006F63A5"/>
    <w:rsid w:val="006F7732"/>
    <w:rsid w:val="006F7DE9"/>
    <w:rsid w:val="0070142B"/>
    <w:rsid w:val="0070276E"/>
    <w:rsid w:val="00702F8F"/>
    <w:rsid w:val="00703590"/>
    <w:rsid w:val="007041C3"/>
    <w:rsid w:val="00710E93"/>
    <w:rsid w:val="00711A36"/>
    <w:rsid w:val="00713B2E"/>
    <w:rsid w:val="0071480B"/>
    <w:rsid w:val="0071529C"/>
    <w:rsid w:val="007172AD"/>
    <w:rsid w:val="00717BA5"/>
    <w:rsid w:val="0072167D"/>
    <w:rsid w:val="007224BE"/>
    <w:rsid w:val="00722B1B"/>
    <w:rsid w:val="0072416F"/>
    <w:rsid w:val="00725A08"/>
    <w:rsid w:val="00727C94"/>
    <w:rsid w:val="00727CE6"/>
    <w:rsid w:val="00730DED"/>
    <w:rsid w:val="0073160E"/>
    <w:rsid w:val="007318BA"/>
    <w:rsid w:val="00731914"/>
    <w:rsid w:val="00731EAE"/>
    <w:rsid w:val="00735033"/>
    <w:rsid w:val="00735328"/>
    <w:rsid w:val="00735E74"/>
    <w:rsid w:val="0073685B"/>
    <w:rsid w:val="0073747F"/>
    <w:rsid w:val="00740726"/>
    <w:rsid w:val="00740D6E"/>
    <w:rsid w:val="00752142"/>
    <w:rsid w:val="007523F9"/>
    <w:rsid w:val="0075337C"/>
    <w:rsid w:val="00754DCD"/>
    <w:rsid w:val="007565B1"/>
    <w:rsid w:val="007573E8"/>
    <w:rsid w:val="00760C4E"/>
    <w:rsid w:val="0076151F"/>
    <w:rsid w:val="00763BAC"/>
    <w:rsid w:val="007642BB"/>
    <w:rsid w:val="00764460"/>
    <w:rsid w:val="00764C05"/>
    <w:rsid w:val="00765B1A"/>
    <w:rsid w:val="00766971"/>
    <w:rsid w:val="007726EB"/>
    <w:rsid w:val="00774BA5"/>
    <w:rsid w:val="00775A41"/>
    <w:rsid w:val="00776BDF"/>
    <w:rsid w:val="0078042D"/>
    <w:rsid w:val="0078267D"/>
    <w:rsid w:val="00784150"/>
    <w:rsid w:val="007843F2"/>
    <w:rsid w:val="0078746E"/>
    <w:rsid w:val="00790CFF"/>
    <w:rsid w:val="00791371"/>
    <w:rsid w:val="00791CD2"/>
    <w:rsid w:val="007928F2"/>
    <w:rsid w:val="00792FC5"/>
    <w:rsid w:val="00796010"/>
    <w:rsid w:val="00796277"/>
    <w:rsid w:val="00797A65"/>
    <w:rsid w:val="00797F6A"/>
    <w:rsid w:val="007A0A12"/>
    <w:rsid w:val="007A132D"/>
    <w:rsid w:val="007A5A7D"/>
    <w:rsid w:val="007A6605"/>
    <w:rsid w:val="007A6D9C"/>
    <w:rsid w:val="007B0D68"/>
    <w:rsid w:val="007B1A35"/>
    <w:rsid w:val="007B20E3"/>
    <w:rsid w:val="007B251D"/>
    <w:rsid w:val="007B4F58"/>
    <w:rsid w:val="007B528D"/>
    <w:rsid w:val="007B77D1"/>
    <w:rsid w:val="007C10B1"/>
    <w:rsid w:val="007C1CCD"/>
    <w:rsid w:val="007C1CD9"/>
    <w:rsid w:val="007C1DD4"/>
    <w:rsid w:val="007C2958"/>
    <w:rsid w:val="007C30A6"/>
    <w:rsid w:val="007C361D"/>
    <w:rsid w:val="007C4B84"/>
    <w:rsid w:val="007C5956"/>
    <w:rsid w:val="007C64E1"/>
    <w:rsid w:val="007C7AC8"/>
    <w:rsid w:val="007D004F"/>
    <w:rsid w:val="007D01A1"/>
    <w:rsid w:val="007D0B38"/>
    <w:rsid w:val="007D0E26"/>
    <w:rsid w:val="007D4230"/>
    <w:rsid w:val="007D5281"/>
    <w:rsid w:val="007D5440"/>
    <w:rsid w:val="007E19B1"/>
    <w:rsid w:val="007E22D2"/>
    <w:rsid w:val="007E270E"/>
    <w:rsid w:val="007E50D3"/>
    <w:rsid w:val="007E5323"/>
    <w:rsid w:val="007F1017"/>
    <w:rsid w:val="007F1FBC"/>
    <w:rsid w:val="007F2074"/>
    <w:rsid w:val="007F289A"/>
    <w:rsid w:val="007F2B07"/>
    <w:rsid w:val="007F4A3F"/>
    <w:rsid w:val="007F4A61"/>
    <w:rsid w:val="007F61C2"/>
    <w:rsid w:val="007F6B8B"/>
    <w:rsid w:val="007F76E1"/>
    <w:rsid w:val="007F77DD"/>
    <w:rsid w:val="00802E3F"/>
    <w:rsid w:val="008041ED"/>
    <w:rsid w:val="00805142"/>
    <w:rsid w:val="008057AB"/>
    <w:rsid w:val="0080682D"/>
    <w:rsid w:val="008076BA"/>
    <w:rsid w:val="008076DA"/>
    <w:rsid w:val="00807A8B"/>
    <w:rsid w:val="00811383"/>
    <w:rsid w:val="00812149"/>
    <w:rsid w:val="00812CAC"/>
    <w:rsid w:val="008166EF"/>
    <w:rsid w:val="008172D5"/>
    <w:rsid w:val="008214C5"/>
    <w:rsid w:val="00824263"/>
    <w:rsid w:val="00825751"/>
    <w:rsid w:val="00825CA9"/>
    <w:rsid w:val="008264EB"/>
    <w:rsid w:val="00827537"/>
    <w:rsid w:val="008309F9"/>
    <w:rsid w:val="00830A7E"/>
    <w:rsid w:val="00832EEE"/>
    <w:rsid w:val="00833B05"/>
    <w:rsid w:val="00833BAA"/>
    <w:rsid w:val="00833D20"/>
    <w:rsid w:val="00835F68"/>
    <w:rsid w:val="008362B4"/>
    <w:rsid w:val="008369F9"/>
    <w:rsid w:val="00836C0C"/>
    <w:rsid w:val="00840AE8"/>
    <w:rsid w:val="00840CA2"/>
    <w:rsid w:val="0084374F"/>
    <w:rsid w:val="00845263"/>
    <w:rsid w:val="00847B14"/>
    <w:rsid w:val="00847DF5"/>
    <w:rsid w:val="00847E21"/>
    <w:rsid w:val="00851BB5"/>
    <w:rsid w:val="00852399"/>
    <w:rsid w:val="0085309D"/>
    <w:rsid w:val="00856897"/>
    <w:rsid w:val="00856E9A"/>
    <w:rsid w:val="0086075D"/>
    <w:rsid w:val="008611F7"/>
    <w:rsid w:val="00862502"/>
    <w:rsid w:val="008660D4"/>
    <w:rsid w:val="0087075D"/>
    <w:rsid w:val="00871FA9"/>
    <w:rsid w:val="008728E9"/>
    <w:rsid w:val="00874178"/>
    <w:rsid w:val="00874D08"/>
    <w:rsid w:val="008753E2"/>
    <w:rsid w:val="00875950"/>
    <w:rsid w:val="00875D44"/>
    <w:rsid w:val="00882874"/>
    <w:rsid w:val="00883787"/>
    <w:rsid w:val="008851E1"/>
    <w:rsid w:val="0088590D"/>
    <w:rsid w:val="00886CD2"/>
    <w:rsid w:val="00892A36"/>
    <w:rsid w:val="00892B20"/>
    <w:rsid w:val="00893239"/>
    <w:rsid w:val="00893604"/>
    <w:rsid w:val="00894489"/>
    <w:rsid w:val="00895EDB"/>
    <w:rsid w:val="008963A5"/>
    <w:rsid w:val="008A04A5"/>
    <w:rsid w:val="008A2C6D"/>
    <w:rsid w:val="008A3363"/>
    <w:rsid w:val="008A3371"/>
    <w:rsid w:val="008A3C3E"/>
    <w:rsid w:val="008A485A"/>
    <w:rsid w:val="008A5969"/>
    <w:rsid w:val="008A79DE"/>
    <w:rsid w:val="008A7F27"/>
    <w:rsid w:val="008B1757"/>
    <w:rsid w:val="008B1C3C"/>
    <w:rsid w:val="008B2325"/>
    <w:rsid w:val="008B2633"/>
    <w:rsid w:val="008B2C0B"/>
    <w:rsid w:val="008B4E3E"/>
    <w:rsid w:val="008B57A7"/>
    <w:rsid w:val="008B7D7E"/>
    <w:rsid w:val="008C0AF3"/>
    <w:rsid w:val="008C12C6"/>
    <w:rsid w:val="008C12D9"/>
    <w:rsid w:val="008C1739"/>
    <w:rsid w:val="008C3146"/>
    <w:rsid w:val="008C32FD"/>
    <w:rsid w:val="008C7ECB"/>
    <w:rsid w:val="008D1B58"/>
    <w:rsid w:val="008D2B88"/>
    <w:rsid w:val="008D4755"/>
    <w:rsid w:val="008D4C3D"/>
    <w:rsid w:val="008D5795"/>
    <w:rsid w:val="008D58CE"/>
    <w:rsid w:val="008D601A"/>
    <w:rsid w:val="008D6D21"/>
    <w:rsid w:val="008E0D3C"/>
    <w:rsid w:val="008E1B9E"/>
    <w:rsid w:val="008E28A4"/>
    <w:rsid w:val="008E5002"/>
    <w:rsid w:val="008E54FE"/>
    <w:rsid w:val="008E55AB"/>
    <w:rsid w:val="008E6A91"/>
    <w:rsid w:val="008E6FCF"/>
    <w:rsid w:val="008F02E3"/>
    <w:rsid w:val="008F120A"/>
    <w:rsid w:val="008F181F"/>
    <w:rsid w:val="008F1BB9"/>
    <w:rsid w:val="008F27E0"/>
    <w:rsid w:val="008F468D"/>
    <w:rsid w:val="008F48EB"/>
    <w:rsid w:val="008F4D5D"/>
    <w:rsid w:val="008F4F0B"/>
    <w:rsid w:val="008F6CD8"/>
    <w:rsid w:val="00900833"/>
    <w:rsid w:val="00902494"/>
    <w:rsid w:val="009033CA"/>
    <w:rsid w:val="009046C4"/>
    <w:rsid w:val="0090488A"/>
    <w:rsid w:val="00904A8A"/>
    <w:rsid w:val="009056C3"/>
    <w:rsid w:val="00905FB9"/>
    <w:rsid w:val="009062A5"/>
    <w:rsid w:val="00907424"/>
    <w:rsid w:val="00911272"/>
    <w:rsid w:val="009113C8"/>
    <w:rsid w:val="009135D6"/>
    <w:rsid w:val="00913697"/>
    <w:rsid w:val="00914C77"/>
    <w:rsid w:val="00916D52"/>
    <w:rsid w:val="00917570"/>
    <w:rsid w:val="009178B1"/>
    <w:rsid w:val="00917ECA"/>
    <w:rsid w:val="0092369B"/>
    <w:rsid w:val="00924870"/>
    <w:rsid w:val="00924C9D"/>
    <w:rsid w:val="009251D7"/>
    <w:rsid w:val="00930EBB"/>
    <w:rsid w:val="00934C9C"/>
    <w:rsid w:val="00941386"/>
    <w:rsid w:val="00941C6F"/>
    <w:rsid w:val="00942014"/>
    <w:rsid w:val="0094267F"/>
    <w:rsid w:val="00944A45"/>
    <w:rsid w:val="00946BA8"/>
    <w:rsid w:val="009510A2"/>
    <w:rsid w:val="00953257"/>
    <w:rsid w:val="00956BF8"/>
    <w:rsid w:val="00962CB9"/>
    <w:rsid w:val="00963C11"/>
    <w:rsid w:val="00963D25"/>
    <w:rsid w:val="00964312"/>
    <w:rsid w:val="00965B8A"/>
    <w:rsid w:val="009675DB"/>
    <w:rsid w:val="00967B92"/>
    <w:rsid w:val="00970C72"/>
    <w:rsid w:val="009717AC"/>
    <w:rsid w:val="00976195"/>
    <w:rsid w:val="0098116C"/>
    <w:rsid w:val="00983849"/>
    <w:rsid w:val="00983E57"/>
    <w:rsid w:val="00984A1C"/>
    <w:rsid w:val="00985337"/>
    <w:rsid w:val="0098675D"/>
    <w:rsid w:val="00987825"/>
    <w:rsid w:val="00990F42"/>
    <w:rsid w:val="00993851"/>
    <w:rsid w:val="009954E4"/>
    <w:rsid w:val="00996B1A"/>
    <w:rsid w:val="009A650F"/>
    <w:rsid w:val="009A76D6"/>
    <w:rsid w:val="009A7F10"/>
    <w:rsid w:val="009B27F4"/>
    <w:rsid w:val="009B3E26"/>
    <w:rsid w:val="009B5102"/>
    <w:rsid w:val="009B546E"/>
    <w:rsid w:val="009B7044"/>
    <w:rsid w:val="009C0A98"/>
    <w:rsid w:val="009C2628"/>
    <w:rsid w:val="009C518C"/>
    <w:rsid w:val="009C6C48"/>
    <w:rsid w:val="009C6CEA"/>
    <w:rsid w:val="009C7B85"/>
    <w:rsid w:val="009C7BE1"/>
    <w:rsid w:val="009D3873"/>
    <w:rsid w:val="009D5B91"/>
    <w:rsid w:val="009D6BCA"/>
    <w:rsid w:val="009D78D2"/>
    <w:rsid w:val="009D792E"/>
    <w:rsid w:val="009E07D7"/>
    <w:rsid w:val="009E0DFE"/>
    <w:rsid w:val="009E16CD"/>
    <w:rsid w:val="009E4C07"/>
    <w:rsid w:val="009E5B6E"/>
    <w:rsid w:val="009E76B0"/>
    <w:rsid w:val="009F0958"/>
    <w:rsid w:val="009F13E9"/>
    <w:rsid w:val="009F2B7D"/>
    <w:rsid w:val="00A00B80"/>
    <w:rsid w:val="00A01184"/>
    <w:rsid w:val="00A03A21"/>
    <w:rsid w:val="00A03C61"/>
    <w:rsid w:val="00A03D43"/>
    <w:rsid w:val="00A03E73"/>
    <w:rsid w:val="00A04380"/>
    <w:rsid w:val="00A04429"/>
    <w:rsid w:val="00A04C1B"/>
    <w:rsid w:val="00A06F75"/>
    <w:rsid w:val="00A10213"/>
    <w:rsid w:val="00A11969"/>
    <w:rsid w:val="00A11CD0"/>
    <w:rsid w:val="00A127BA"/>
    <w:rsid w:val="00A129A1"/>
    <w:rsid w:val="00A13948"/>
    <w:rsid w:val="00A1555B"/>
    <w:rsid w:val="00A155C5"/>
    <w:rsid w:val="00A16AD8"/>
    <w:rsid w:val="00A203F6"/>
    <w:rsid w:val="00A21C9D"/>
    <w:rsid w:val="00A21CF3"/>
    <w:rsid w:val="00A24BD8"/>
    <w:rsid w:val="00A24C31"/>
    <w:rsid w:val="00A263C3"/>
    <w:rsid w:val="00A276FE"/>
    <w:rsid w:val="00A27AEC"/>
    <w:rsid w:val="00A320DB"/>
    <w:rsid w:val="00A32829"/>
    <w:rsid w:val="00A35D16"/>
    <w:rsid w:val="00A3651E"/>
    <w:rsid w:val="00A37BCD"/>
    <w:rsid w:val="00A41C08"/>
    <w:rsid w:val="00A42596"/>
    <w:rsid w:val="00A43C59"/>
    <w:rsid w:val="00A454A7"/>
    <w:rsid w:val="00A45D63"/>
    <w:rsid w:val="00A50ECD"/>
    <w:rsid w:val="00A518F3"/>
    <w:rsid w:val="00A52729"/>
    <w:rsid w:val="00A53675"/>
    <w:rsid w:val="00A54311"/>
    <w:rsid w:val="00A55597"/>
    <w:rsid w:val="00A560FB"/>
    <w:rsid w:val="00A564D7"/>
    <w:rsid w:val="00A56B6A"/>
    <w:rsid w:val="00A578DC"/>
    <w:rsid w:val="00A60678"/>
    <w:rsid w:val="00A63238"/>
    <w:rsid w:val="00A65EC4"/>
    <w:rsid w:val="00A66494"/>
    <w:rsid w:val="00A6725B"/>
    <w:rsid w:val="00A67BF4"/>
    <w:rsid w:val="00A70605"/>
    <w:rsid w:val="00A71AB6"/>
    <w:rsid w:val="00A71DA6"/>
    <w:rsid w:val="00A73134"/>
    <w:rsid w:val="00A7501B"/>
    <w:rsid w:val="00A777B2"/>
    <w:rsid w:val="00A8638B"/>
    <w:rsid w:val="00A86922"/>
    <w:rsid w:val="00A86E8B"/>
    <w:rsid w:val="00A87164"/>
    <w:rsid w:val="00A87FA2"/>
    <w:rsid w:val="00A905CA"/>
    <w:rsid w:val="00A90D39"/>
    <w:rsid w:val="00A90E0E"/>
    <w:rsid w:val="00A916AC"/>
    <w:rsid w:val="00A93072"/>
    <w:rsid w:val="00A93953"/>
    <w:rsid w:val="00A959D8"/>
    <w:rsid w:val="00AA07AB"/>
    <w:rsid w:val="00AA113D"/>
    <w:rsid w:val="00AA4E57"/>
    <w:rsid w:val="00AA6315"/>
    <w:rsid w:val="00AA6C7D"/>
    <w:rsid w:val="00AA7932"/>
    <w:rsid w:val="00AA7FD6"/>
    <w:rsid w:val="00AB027F"/>
    <w:rsid w:val="00AB042A"/>
    <w:rsid w:val="00AB2D34"/>
    <w:rsid w:val="00AB3172"/>
    <w:rsid w:val="00AB3430"/>
    <w:rsid w:val="00AB4162"/>
    <w:rsid w:val="00AB4AD1"/>
    <w:rsid w:val="00AB584B"/>
    <w:rsid w:val="00AB6A8C"/>
    <w:rsid w:val="00AB6D1E"/>
    <w:rsid w:val="00AB7CFA"/>
    <w:rsid w:val="00AB7ED2"/>
    <w:rsid w:val="00AC4F9B"/>
    <w:rsid w:val="00AC5B48"/>
    <w:rsid w:val="00AD0914"/>
    <w:rsid w:val="00AD1C60"/>
    <w:rsid w:val="00AD1DCD"/>
    <w:rsid w:val="00AD2FD8"/>
    <w:rsid w:val="00AD3314"/>
    <w:rsid w:val="00AD3757"/>
    <w:rsid w:val="00AD5809"/>
    <w:rsid w:val="00AD6502"/>
    <w:rsid w:val="00AD7937"/>
    <w:rsid w:val="00AE06E5"/>
    <w:rsid w:val="00AE2AC7"/>
    <w:rsid w:val="00AF1315"/>
    <w:rsid w:val="00AF1615"/>
    <w:rsid w:val="00AF19BF"/>
    <w:rsid w:val="00AF2DC3"/>
    <w:rsid w:val="00AF3347"/>
    <w:rsid w:val="00AF49CD"/>
    <w:rsid w:val="00B00948"/>
    <w:rsid w:val="00B014A7"/>
    <w:rsid w:val="00B0165C"/>
    <w:rsid w:val="00B020A5"/>
    <w:rsid w:val="00B02313"/>
    <w:rsid w:val="00B033E5"/>
    <w:rsid w:val="00B03A63"/>
    <w:rsid w:val="00B04F1C"/>
    <w:rsid w:val="00B050DD"/>
    <w:rsid w:val="00B055E9"/>
    <w:rsid w:val="00B057EA"/>
    <w:rsid w:val="00B10FD1"/>
    <w:rsid w:val="00B12148"/>
    <w:rsid w:val="00B124B1"/>
    <w:rsid w:val="00B14F63"/>
    <w:rsid w:val="00B1656D"/>
    <w:rsid w:val="00B16866"/>
    <w:rsid w:val="00B17F16"/>
    <w:rsid w:val="00B201A4"/>
    <w:rsid w:val="00B213A6"/>
    <w:rsid w:val="00B21B68"/>
    <w:rsid w:val="00B227EA"/>
    <w:rsid w:val="00B24D3E"/>
    <w:rsid w:val="00B24DF6"/>
    <w:rsid w:val="00B26F7E"/>
    <w:rsid w:val="00B300C4"/>
    <w:rsid w:val="00B30C7A"/>
    <w:rsid w:val="00B3440E"/>
    <w:rsid w:val="00B34FE2"/>
    <w:rsid w:val="00B357D8"/>
    <w:rsid w:val="00B35981"/>
    <w:rsid w:val="00B36232"/>
    <w:rsid w:val="00B36E8B"/>
    <w:rsid w:val="00B37069"/>
    <w:rsid w:val="00B37BFC"/>
    <w:rsid w:val="00B37E61"/>
    <w:rsid w:val="00B40358"/>
    <w:rsid w:val="00B404B6"/>
    <w:rsid w:val="00B40570"/>
    <w:rsid w:val="00B40650"/>
    <w:rsid w:val="00B40BBD"/>
    <w:rsid w:val="00B41614"/>
    <w:rsid w:val="00B42851"/>
    <w:rsid w:val="00B42F80"/>
    <w:rsid w:val="00B435CB"/>
    <w:rsid w:val="00B4511C"/>
    <w:rsid w:val="00B45693"/>
    <w:rsid w:val="00B45D37"/>
    <w:rsid w:val="00B4618A"/>
    <w:rsid w:val="00B46BB6"/>
    <w:rsid w:val="00B46D0A"/>
    <w:rsid w:val="00B5015D"/>
    <w:rsid w:val="00B50DB8"/>
    <w:rsid w:val="00B53654"/>
    <w:rsid w:val="00B53905"/>
    <w:rsid w:val="00B54B5B"/>
    <w:rsid w:val="00B5562E"/>
    <w:rsid w:val="00B55A10"/>
    <w:rsid w:val="00B567A2"/>
    <w:rsid w:val="00B568B4"/>
    <w:rsid w:val="00B57000"/>
    <w:rsid w:val="00B57B17"/>
    <w:rsid w:val="00B60939"/>
    <w:rsid w:val="00B60AFD"/>
    <w:rsid w:val="00B62715"/>
    <w:rsid w:val="00B670F8"/>
    <w:rsid w:val="00B706D7"/>
    <w:rsid w:val="00B711DB"/>
    <w:rsid w:val="00B72431"/>
    <w:rsid w:val="00B74693"/>
    <w:rsid w:val="00B74C86"/>
    <w:rsid w:val="00B75BCC"/>
    <w:rsid w:val="00B7653B"/>
    <w:rsid w:val="00B80974"/>
    <w:rsid w:val="00B812E1"/>
    <w:rsid w:val="00B818A4"/>
    <w:rsid w:val="00B81B21"/>
    <w:rsid w:val="00B81E05"/>
    <w:rsid w:val="00B84117"/>
    <w:rsid w:val="00B85AA2"/>
    <w:rsid w:val="00B8649C"/>
    <w:rsid w:val="00B87F0A"/>
    <w:rsid w:val="00B9074F"/>
    <w:rsid w:val="00B92D0B"/>
    <w:rsid w:val="00B92DF5"/>
    <w:rsid w:val="00B9433F"/>
    <w:rsid w:val="00B94945"/>
    <w:rsid w:val="00B94B2A"/>
    <w:rsid w:val="00B957D6"/>
    <w:rsid w:val="00B95A31"/>
    <w:rsid w:val="00B96127"/>
    <w:rsid w:val="00B96839"/>
    <w:rsid w:val="00B97311"/>
    <w:rsid w:val="00BA11DD"/>
    <w:rsid w:val="00BA254E"/>
    <w:rsid w:val="00BA322D"/>
    <w:rsid w:val="00BA643F"/>
    <w:rsid w:val="00BA64FD"/>
    <w:rsid w:val="00BB0BDD"/>
    <w:rsid w:val="00BB1E01"/>
    <w:rsid w:val="00BB2A73"/>
    <w:rsid w:val="00BB4ACC"/>
    <w:rsid w:val="00BB703E"/>
    <w:rsid w:val="00BB7141"/>
    <w:rsid w:val="00BB7405"/>
    <w:rsid w:val="00BC2706"/>
    <w:rsid w:val="00BC3631"/>
    <w:rsid w:val="00BC3910"/>
    <w:rsid w:val="00BC45CD"/>
    <w:rsid w:val="00BD0B05"/>
    <w:rsid w:val="00BD1687"/>
    <w:rsid w:val="00BD189F"/>
    <w:rsid w:val="00BD30CD"/>
    <w:rsid w:val="00BD42F2"/>
    <w:rsid w:val="00BD58EE"/>
    <w:rsid w:val="00BD68A3"/>
    <w:rsid w:val="00BD6938"/>
    <w:rsid w:val="00BD6CF3"/>
    <w:rsid w:val="00BD724C"/>
    <w:rsid w:val="00BE0306"/>
    <w:rsid w:val="00BE0D15"/>
    <w:rsid w:val="00BE1D7D"/>
    <w:rsid w:val="00BE2180"/>
    <w:rsid w:val="00BE21F2"/>
    <w:rsid w:val="00BE361E"/>
    <w:rsid w:val="00BE3A81"/>
    <w:rsid w:val="00BE4275"/>
    <w:rsid w:val="00BE503F"/>
    <w:rsid w:val="00BE555A"/>
    <w:rsid w:val="00BE5FAF"/>
    <w:rsid w:val="00BE6698"/>
    <w:rsid w:val="00BE7166"/>
    <w:rsid w:val="00BE75B2"/>
    <w:rsid w:val="00BE7A0F"/>
    <w:rsid w:val="00BF0F95"/>
    <w:rsid w:val="00BF136B"/>
    <w:rsid w:val="00BF2433"/>
    <w:rsid w:val="00BF61C9"/>
    <w:rsid w:val="00BF6C94"/>
    <w:rsid w:val="00BF73E1"/>
    <w:rsid w:val="00BF75A8"/>
    <w:rsid w:val="00C00424"/>
    <w:rsid w:val="00C0324D"/>
    <w:rsid w:val="00C03AE2"/>
    <w:rsid w:val="00C03EFD"/>
    <w:rsid w:val="00C07B66"/>
    <w:rsid w:val="00C12655"/>
    <w:rsid w:val="00C12C14"/>
    <w:rsid w:val="00C13FB1"/>
    <w:rsid w:val="00C14A1B"/>
    <w:rsid w:val="00C155B7"/>
    <w:rsid w:val="00C17B41"/>
    <w:rsid w:val="00C200AA"/>
    <w:rsid w:val="00C2215E"/>
    <w:rsid w:val="00C237ED"/>
    <w:rsid w:val="00C24632"/>
    <w:rsid w:val="00C25418"/>
    <w:rsid w:val="00C25D9C"/>
    <w:rsid w:val="00C261EF"/>
    <w:rsid w:val="00C2778B"/>
    <w:rsid w:val="00C30B68"/>
    <w:rsid w:val="00C31649"/>
    <w:rsid w:val="00C32897"/>
    <w:rsid w:val="00C32CEF"/>
    <w:rsid w:val="00C339AA"/>
    <w:rsid w:val="00C3429C"/>
    <w:rsid w:val="00C350D6"/>
    <w:rsid w:val="00C356E8"/>
    <w:rsid w:val="00C36520"/>
    <w:rsid w:val="00C40385"/>
    <w:rsid w:val="00C4153B"/>
    <w:rsid w:val="00C41A5D"/>
    <w:rsid w:val="00C424B4"/>
    <w:rsid w:val="00C428DA"/>
    <w:rsid w:val="00C42EA3"/>
    <w:rsid w:val="00C443F7"/>
    <w:rsid w:val="00C455FB"/>
    <w:rsid w:val="00C475AA"/>
    <w:rsid w:val="00C5094B"/>
    <w:rsid w:val="00C514AC"/>
    <w:rsid w:val="00C54D21"/>
    <w:rsid w:val="00C55933"/>
    <w:rsid w:val="00C56F45"/>
    <w:rsid w:val="00C570C4"/>
    <w:rsid w:val="00C57919"/>
    <w:rsid w:val="00C60132"/>
    <w:rsid w:val="00C64B9F"/>
    <w:rsid w:val="00C65576"/>
    <w:rsid w:val="00C6582C"/>
    <w:rsid w:val="00C66165"/>
    <w:rsid w:val="00C7027E"/>
    <w:rsid w:val="00C711D6"/>
    <w:rsid w:val="00C7151A"/>
    <w:rsid w:val="00C7151B"/>
    <w:rsid w:val="00C71E89"/>
    <w:rsid w:val="00C71F60"/>
    <w:rsid w:val="00C71F78"/>
    <w:rsid w:val="00C72241"/>
    <w:rsid w:val="00C750C8"/>
    <w:rsid w:val="00C7560F"/>
    <w:rsid w:val="00C76328"/>
    <w:rsid w:val="00C771AB"/>
    <w:rsid w:val="00C80A0E"/>
    <w:rsid w:val="00C80CD0"/>
    <w:rsid w:val="00C8213F"/>
    <w:rsid w:val="00C82D23"/>
    <w:rsid w:val="00C82D3D"/>
    <w:rsid w:val="00C83E42"/>
    <w:rsid w:val="00C844D9"/>
    <w:rsid w:val="00C84A6B"/>
    <w:rsid w:val="00C86949"/>
    <w:rsid w:val="00C87790"/>
    <w:rsid w:val="00C8797A"/>
    <w:rsid w:val="00C90043"/>
    <w:rsid w:val="00C900B8"/>
    <w:rsid w:val="00C90C71"/>
    <w:rsid w:val="00C91671"/>
    <w:rsid w:val="00C9312E"/>
    <w:rsid w:val="00C931CF"/>
    <w:rsid w:val="00C938CF"/>
    <w:rsid w:val="00C94377"/>
    <w:rsid w:val="00C9495B"/>
    <w:rsid w:val="00C94ADE"/>
    <w:rsid w:val="00C9624D"/>
    <w:rsid w:val="00C9698F"/>
    <w:rsid w:val="00C969DA"/>
    <w:rsid w:val="00CA1732"/>
    <w:rsid w:val="00CA2604"/>
    <w:rsid w:val="00CA2C77"/>
    <w:rsid w:val="00CA3678"/>
    <w:rsid w:val="00CA3BCD"/>
    <w:rsid w:val="00CA3BE2"/>
    <w:rsid w:val="00CA444F"/>
    <w:rsid w:val="00CA493D"/>
    <w:rsid w:val="00CA5245"/>
    <w:rsid w:val="00CA5D7D"/>
    <w:rsid w:val="00CA71F4"/>
    <w:rsid w:val="00CA7B09"/>
    <w:rsid w:val="00CA7D2C"/>
    <w:rsid w:val="00CB11BC"/>
    <w:rsid w:val="00CB18B0"/>
    <w:rsid w:val="00CB20B1"/>
    <w:rsid w:val="00CB29D5"/>
    <w:rsid w:val="00CB2C13"/>
    <w:rsid w:val="00CB2F2A"/>
    <w:rsid w:val="00CB4149"/>
    <w:rsid w:val="00CB5B1A"/>
    <w:rsid w:val="00CB6B22"/>
    <w:rsid w:val="00CB77D8"/>
    <w:rsid w:val="00CB7D8B"/>
    <w:rsid w:val="00CB7F5F"/>
    <w:rsid w:val="00CC1B39"/>
    <w:rsid w:val="00CC1E28"/>
    <w:rsid w:val="00CC23F6"/>
    <w:rsid w:val="00CC244E"/>
    <w:rsid w:val="00CC2957"/>
    <w:rsid w:val="00CC2AEC"/>
    <w:rsid w:val="00CC528F"/>
    <w:rsid w:val="00CC67C6"/>
    <w:rsid w:val="00CC7B8E"/>
    <w:rsid w:val="00CD0B16"/>
    <w:rsid w:val="00CD3FBE"/>
    <w:rsid w:val="00CD4EC8"/>
    <w:rsid w:val="00CD5EAF"/>
    <w:rsid w:val="00CD6ADC"/>
    <w:rsid w:val="00CD6C12"/>
    <w:rsid w:val="00CE30DD"/>
    <w:rsid w:val="00CE6274"/>
    <w:rsid w:val="00CF068C"/>
    <w:rsid w:val="00CF287E"/>
    <w:rsid w:val="00CF2B8D"/>
    <w:rsid w:val="00CF31C1"/>
    <w:rsid w:val="00CF4545"/>
    <w:rsid w:val="00CF456B"/>
    <w:rsid w:val="00CF5A22"/>
    <w:rsid w:val="00CF63D9"/>
    <w:rsid w:val="00CF6A40"/>
    <w:rsid w:val="00CF74F4"/>
    <w:rsid w:val="00D004B4"/>
    <w:rsid w:val="00D0262E"/>
    <w:rsid w:val="00D0330A"/>
    <w:rsid w:val="00D0529A"/>
    <w:rsid w:val="00D07064"/>
    <w:rsid w:val="00D110BD"/>
    <w:rsid w:val="00D11637"/>
    <w:rsid w:val="00D11C4D"/>
    <w:rsid w:val="00D13294"/>
    <w:rsid w:val="00D13675"/>
    <w:rsid w:val="00D141E1"/>
    <w:rsid w:val="00D15AA2"/>
    <w:rsid w:val="00D175C2"/>
    <w:rsid w:val="00D17D6C"/>
    <w:rsid w:val="00D17ECE"/>
    <w:rsid w:val="00D2015B"/>
    <w:rsid w:val="00D203DF"/>
    <w:rsid w:val="00D2115B"/>
    <w:rsid w:val="00D2216A"/>
    <w:rsid w:val="00D2287D"/>
    <w:rsid w:val="00D22A9C"/>
    <w:rsid w:val="00D23DC3"/>
    <w:rsid w:val="00D2468C"/>
    <w:rsid w:val="00D25223"/>
    <w:rsid w:val="00D25584"/>
    <w:rsid w:val="00D25E4A"/>
    <w:rsid w:val="00D264DB"/>
    <w:rsid w:val="00D272ED"/>
    <w:rsid w:val="00D2754D"/>
    <w:rsid w:val="00D27704"/>
    <w:rsid w:val="00D27B0B"/>
    <w:rsid w:val="00D27B27"/>
    <w:rsid w:val="00D31899"/>
    <w:rsid w:val="00D32C31"/>
    <w:rsid w:val="00D33BE9"/>
    <w:rsid w:val="00D357FF"/>
    <w:rsid w:val="00D36C1C"/>
    <w:rsid w:val="00D36C9D"/>
    <w:rsid w:val="00D372BC"/>
    <w:rsid w:val="00D37A18"/>
    <w:rsid w:val="00D40409"/>
    <w:rsid w:val="00D41EEA"/>
    <w:rsid w:val="00D424C7"/>
    <w:rsid w:val="00D425EC"/>
    <w:rsid w:val="00D433C0"/>
    <w:rsid w:val="00D43B2A"/>
    <w:rsid w:val="00D453DD"/>
    <w:rsid w:val="00D45C13"/>
    <w:rsid w:val="00D460FE"/>
    <w:rsid w:val="00D46878"/>
    <w:rsid w:val="00D469BF"/>
    <w:rsid w:val="00D46D27"/>
    <w:rsid w:val="00D47575"/>
    <w:rsid w:val="00D478CB"/>
    <w:rsid w:val="00D528EA"/>
    <w:rsid w:val="00D53D45"/>
    <w:rsid w:val="00D549E7"/>
    <w:rsid w:val="00D54D11"/>
    <w:rsid w:val="00D604D5"/>
    <w:rsid w:val="00D67109"/>
    <w:rsid w:val="00D70F16"/>
    <w:rsid w:val="00D73D5A"/>
    <w:rsid w:val="00D767C2"/>
    <w:rsid w:val="00D76A44"/>
    <w:rsid w:val="00D77DCE"/>
    <w:rsid w:val="00D815EF"/>
    <w:rsid w:val="00D823CA"/>
    <w:rsid w:val="00D826F9"/>
    <w:rsid w:val="00D835CF"/>
    <w:rsid w:val="00D84743"/>
    <w:rsid w:val="00D8518A"/>
    <w:rsid w:val="00D90345"/>
    <w:rsid w:val="00D90A82"/>
    <w:rsid w:val="00D914E2"/>
    <w:rsid w:val="00D91923"/>
    <w:rsid w:val="00D91E5B"/>
    <w:rsid w:val="00D93753"/>
    <w:rsid w:val="00D9450C"/>
    <w:rsid w:val="00D94BE6"/>
    <w:rsid w:val="00D95D26"/>
    <w:rsid w:val="00DA3167"/>
    <w:rsid w:val="00DA453A"/>
    <w:rsid w:val="00DA4DC3"/>
    <w:rsid w:val="00DA6C94"/>
    <w:rsid w:val="00DA77A5"/>
    <w:rsid w:val="00DB0E7D"/>
    <w:rsid w:val="00DB146C"/>
    <w:rsid w:val="00DB1476"/>
    <w:rsid w:val="00DB17DA"/>
    <w:rsid w:val="00DB1AB2"/>
    <w:rsid w:val="00DB1F84"/>
    <w:rsid w:val="00DB484F"/>
    <w:rsid w:val="00DB5ABF"/>
    <w:rsid w:val="00DB61F6"/>
    <w:rsid w:val="00DB6545"/>
    <w:rsid w:val="00DC04F6"/>
    <w:rsid w:val="00DC2620"/>
    <w:rsid w:val="00DC3C57"/>
    <w:rsid w:val="00DC5501"/>
    <w:rsid w:val="00DC7521"/>
    <w:rsid w:val="00DC7F18"/>
    <w:rsid w:val="00DD273C"/>
    <w:rsid w:val="00DD3C99"/>
    <w:rsid w:val="00DD3D05"/>
    <w:rsid w:val="00DD3F28"/>
    <w:rsid w:val="00DD4537"/>
    <w:rsid w:val="00DD49AE"/>
    <w:rsid w:val="00DD4E15"/>
    <w:rsid w:val="00DD72BE"/>
    <w:rsid w:val="00DD7F32"/>
    <w:rsid w:val="00DE0098"/>
    <w:rsid w:val="00DE00B6"/>
    <w:rsid w:val="00DE1382"/>
    <w:rsid w:val="00DE1AE8"/>
    <w:rsid w:val="00DE1EDB"/>
    <w:rsid w:val="00DE3138"/>
    <w:rsid w:val="00DE37F8"/>
    <w:rsid w:val="00DE39B0"/>
    <w:rsid w:val="00DE4402"/>
    <w:rsid w:val="00DE4769"/>
    <w:rsid w:val="00DE4FCB"/>
    <w:rsid w:val="00DE7832"/>
    <w:rsid w:val="00DE7E8F"/>
    <w:rsid w:val="00DF091F"/>
    <w:rsid w:val="00DF18FC"/>
    <w:rsid w:val="00DF2CF9"/>
    <w:rsid w:val="00DF5D2B"/>
    <w:rsid w:val="00DF6CD0"/>
    <w:rsid w:val="00DF7AAC"/>
    <w:rsid w:val="00E00E8E"/>
    <w:rsid w:val="00E017F9"/>
    <w:rsid w:val="00E01809"/>
    <w:rsid w:val="00E05630"/>
    <w:rsid w:val="00E05FBF"/>
    <w:rsid w:val="00E06DBB"/>
    <w:rsid w:val="00E07F01"/>
    <w:rsid w:val="00E10149"/>
    <w:rsid w:val="00E16372"/>
    <w:rsid w:val="00E164C1"/>
    <w:rsid w:val="00E179F8"/>
    <w:rsid w:val="00E17A10"/>
    <w:rsid w:val="00E20E4D"/>
    <w:rsid w:val="00E20ED6"/>
    <w:rsid w:val="00E21253"/>
    <w:rsid w:val="00E21358"/>
    <w:rsid w:val="00E2249B"/>
    <w:rsid w:val="00E22A0D"/>
    <w:rsid w:val="00E258BA"/>
    <w:rsid w:val="00E26946"/>
    <w:rsid w:val="00E26A27"/>
    <w:rsid w:val="00E2771E"/>
    <w:rsid w:val="00E30414"/>
    <w:rsid w:val="00E31F5D"/>
    <w:rsid w:val="00E32080"/>
    <w:rsid w:val="00E3419C"/>
    <w:rsid w:val="00E34948"/>
    <w:rsid w:val="00E356C0"/>
    <w:rsid w:val="00E37569"/>
    <w:rsid w:val="00E377CF"/>
    <w:rsid w:val="00E40024"/>
    <w:rsid w:val="00E40040"/>
    <w:rsid w:val="00E4111B"/>
    <w:rsid w:val="00E41E30"/>
    <w:rsid w:val="00E42B52"/>
    <w:rsid w:val="00E43D70"/>
    <w:rsid w:val="00E44770"/>
    <w:rsid w:val="00E45820"/>
    <w:rsid w:val="00E466F3"/>
    <w:rsid w:val="00E47730"/>
    <w:rsid w:val="00E47B2C"/>
    <w:rsid w:val="00E47F1E"/>
    <w:rsid w:val="00E50046"/>
    <w:rsid w:val="00E50EBD"/>
    <w:rsid w:val="00E510B5"/>
    <w:rsid w:val="00E51560"/>
    <w:rsid w:val="00E54347"/>
    <w:rsid w:val="00E5477D"/>
    <w:rsid w:val="00E55424"/>
    <w:rsid w:val="00E55BB5"/>
    <w:rsid w:val="00E55DC8"/>
    <w:rsid w:val="00E575A7"/>
    <w:rsid w:val="00E579CD"/>
    <w:rsid w:val="00E57FD4"/>
    <w:rsid w:val="00E613C9"/>
    <w:rsid w:val="00E61604"/>
    <w:rsid w:val="00E621B5"/>
    <w:rsid w:val="00E65E79"/>
    <w:rsid w:val="00E66BA2"/>
    <w:rsid w:val="00E66D20"/>
    <w:rsid w:val="00E67416"/>
    <w:rsid w:val="00E71633"/>
    <w:rsid w:val="00E718B6"/>
    <w:rsid w:val="00E71C26"/>
    <w:rsid w:val="00E723BA"/>
    <w:rsid w:val="00E72D04"/>
    <w:rsid w:val="00E730A9"/>
    <w:rsid w:val="00E73581"/>
    <w:rsid w:val="00E73CB5"/>
    <w:rsid w:val="00E74335"/>
    <w:rsid w:val="00E7722D"/>
    <w:rsid w:val="00E8048C"/>
    <w:rsid w:val="00E814D1"/>
    <w:rsid w:val="00E82303"/>
    <w:rsid w:val="00E832BA"/>
    <w:rsid w:val="00E833F7"/>
    <w:rsid w:val="00E83BDF"/>
    <w:rsid w:val="00E846F2"/>
    <w:rsid w:val="00E867D6"/>
    <w:rsid w:val="00E875F0"/>
    <w:rsid w:val="00E87A1D"/>
    <w:rsid w:val="00E87C5B"/>
    <w:rsid w:val="00E9113E"/>
    <w:rsid w:val="00E926A5"/>
    <w:rsid w:val="00E93782"/>
    <w:rsid w:val="00E93847"/>
    <w:rsid w:val="00E94C71"/>
    <w:rsid w:val="00E9553D"/>
    <w:rsid w:val="00E95A99"/>
    <w:rsid w:val="00E9612D"/>
    <w:rsid w:val="00E97758"/>
    <w:rsid w:val="00EA0F46"/>
    <w:rsid w:val="00EA17C3"/>
    <w:rsid w:val="00EA17F6"/>
    <w:rsid w:val="00EA19CD"/>
    <w:rsid w:val="00EA2CAA"/>
    <w:rsid w:val="00EA3864"/>
    <w:rsid w:val="00EA43B0"/>
    <w:rsid w:val="00EA4B90"/>
    <w:rsid w:val="00EA52A2"/>
    <w:rsid w:val="00EB15B6"/>
    <w:rsid w:val="00EB1CD6"/>
    <w:rsid w:val="00EB338B"/>
    <w:rsid w:val="00EB406E"/>
    <w:rsid w:val="00EB4400"/>
    <w:rsid w:val="00EB4916"/>
    <w:rsid w:val="00EB4B91"/>
    <w:rsid w:val="00EB4EC1"/>
    <w:rsid w:val="00EB5141"/>
    <w:rsid w:val="00EB615A"/>
    <w:rsid w:val="00EB6538"/>
    <w:rsid w:val="00EC00C9"/>
    <w:rsid w:val="00EC12E1"/>
    <w:rsid w:val="00EC1777"/>
    <w:rsid w:val="00EC2649"/>
    <w:rsid w:val="00EC40C7"/>
    <w:rsid w:val="00EC65D5"/>
    <w:rsid w:val="00EC6609"/>
    <w:rsid w:val="00ED27C1"/>
    <w:rsid w:val="00ED39E6"/>
    <w:rsid w:val="00ED3BCA"/>
    <w:rsid w:val="00ED57EA"/>
    <w:rsid w:val="00ED6703"/>
    <w:rsid w:val="00ED6FA8"/>
    <w:rsid w:val="00EE005B"/>
    <w:rsid w:val="00EE071F"/>
    <w:rsid w:val="00EE07D3"/>
    <w:rsid w:val="00EE1A3B"/>
    <w:rsid w:val="00EE2077"/>
    <w:rsid w:val="00EE2257"/>
    <w:rsid w:val="00EE22AF"/>
    <w:rsid w:val="00EE46BA"/>
    <w:rsid w:val="00EE4FCA"/>
    <w:rsid w:val="00EE6188"/>
    <w:rsid w:val="00EE6589"/>
    <w:rsid w:val="00EE7279"/>
    <w:rsid w:val="00EF0171"/>
    <w:rsid w:val="00EF1B25"/>
    <w:rsid w:val="00EF335C"/>
    <w:rsid w:val="00EF4747"/>
    <w:rsid w:val="00EF4AB5"/>
    <w:rsid w:val="00EF4BF8"/>
    <w:rsid w:val="00EF5136"/>
    <w:rsid w:val="00EF642C"/>
    <w:rsid w:val="00F011D5"/>
    <w:rsid w:val="00F02253"/>
    <w:rsid w:val="00F03C2E"/>
    <w:rsid w:val="00F04A66"/>
    <w:rsid w:val="00F0516C"/>
    <w:rsid w:val="00F06454"/>
    <w:rsid w:val="00F067A2"/>
    <w:rsid w:val="00F0730C"/>
    <w:rsid w:val="00F07DDB"/>
    <w:rsid w:val="00F1263A"/>
    <w:rsid w:val="00F14F0A"/>
    <w:rsid w:val="00F163AD"/>
    <w:rsid w:val="00F21C3A"/>
    <w:rsid w:val="00F22AD0"/>
    <w:rsid w:val="00F24837"/>
    <w:rsid w:val="00F253B8"/>
    <w:rsid w:val="00F256A4"/>
    <w:rsid w:val="00F2575F"/>
    <w:rsid w:val="00F25F64"/>
    <w:rsid w:val="00F27565"/>
    <w:rsid w:val="00F27D04"/>
    <w:rsid w:val="00F27EFD"/>
    <w:rsid w:val="00F310D4"/>
    <w:rsid w:val="00F31D5A"/>
    <w:rsid w:val="00F323F9"/>
    <w:rsid w:val="00F33DE9"/>
    <w:rsid w:val="00F3619A"/>
    <w:rsid w:val="00F36F72"/>
    <w:rsid w:val="00F37DF8"/>
    <w:rsid w:val="00F40AAA"/>
    <w:rsid w:val="00F40BA7"/>
    <w:rsid w:val="00F4388A"/>
    <w:rsid w:val="00F46CB6"/>
    <w:rsid w:val="00F47DE8"/>
    <w:rsid w:val="00F51D44"/>
    <w:rsid w:val="00F528D2"/>
    <w:rsid w:val="00F529AD"/>
    <w:rsid w:val="00F52AFC"/>
    <w:rsid w:val="00F52D7E"/>
    <w:rsid w:val="00F53167"/>
    <w:rsid w:val="00F53EF2"/>
    <w:rsid w:val="00F541C1"/>
    <w:rsid w:val="00F542C1"/>
    <w:rsid w:val="00F55E73"/>
    <w:rsid w:val="00F55EDA"/>
    <w:rsid w:val="00F56200"/>
    <w:rsid w:val="00F60092"/>
    <w:rsid w:val="00F62AE9"/>
    <w:rsid w:val="00F65D06"/>
    <w:rsid w:val="00F65F4B"/>
    <w:rsid w:val="00F67D6E"/>
    <w:rsid w:val="00F70C9D"/>
    <w:rsid w:val="00F70EA9"/>
    <w:rsid w:val="00F71475"/>
    <w:rsid w:val="00F71A3E"/>
    <w:rsid w:val="00F71C43"/>
    <w:rsid w:val="00F722B4"/>
    <w:rsid w:val="00F72E31"/>
    <w:rsid w:val="00F72F8E"/>
    <w:rsid w:val="00F7372D"/>
    <w:rsid w:val="00F74CD9"/>
    <w:rsid w:val="00F7799A"/>
    <w:rsid w:val="00F80A7B"/>
    <w:rsid w:val="00F80E5D"/>
    <w:rsid w:val="00F817FF"/>
    <w:rsid w:val="00F82FC0"/>
    <w:rsid w:val="00F83500"/>
    <w:rsid w:val="00F847DC"/>
    <w:rsid w:val="00F851CE"/>
    <w:rsid w:val="00F85BEF"/>
    <w:rsid w:val="00F90603"/>
    <w:rsid w:val="00F91219"/>
    <w:rsid w:val="00F9282B"/>
    <w:rsid w:val="00F93C96"/>
    <w:rsid w:val="00F94384"/>
    <w:rsid w:val="00F97A78"/>
    <w:rsid w:val="00FA0B20"/>
    <w:rsid w:val="00FA24E7"/>
    <w:rsid w:val="00FA3848"/>
    <w:rsid w:val="00FA7D99"/>
    <w:rsid w:val="00FB03AB"/>
    <w:rsid w:val="00FB0BD2"/>
    <w:rsid w:val="00FB1180"/>
    <w:rsid w:val="00FB2C15"/>
    <w:rsid w:val="00FB2FCB"/>
    <w:rsid w:val="00FB381B"/>
    <w:rsid w:val="00FB3E30"/>
    <w:rsid w:val="00FB5491"/>
    <w:rsid w:val="00FB57D5"/>
    <w:rsid w:val="00FB58B4"/>
    <w:rsid w:val="00FC048A"/>
    <w:rsid w:val="00FC1074"/>
    <w:rsid w:val="00FC147D"/>
    <w:rsid w:val="00FC1884"/>
    <w:rsid w:val="00FC205E"/>
    <w:rsid w:val="00FC371D"/>
    <w:rsid w:val="00FC3CC8"/>
    <w:rsid w:val="00FC4D5E"/>
    <w:rsid w:val="00FC5CB1"/>
    <w:rsid w:val="00FC5F0B"/>
    <w:rsid w:val="00FD2100"/>
    <w:rsid w:val="00FD22F9"/>
    <w:rsid w:val="00FD2852"/>
    <w:rsid w:val="00FD2C4E"/>
    <w:rsid w:val="00FD436C"/>
    <w:rsid w:val="00FD4442"/>
    <w:rsid w:val="00FD446D"/>
    <w:rsid w:val="00FD57D5"/>
    <w:rsid w:val="00FD6394"/>
    <w:rsid w:val="00FE0AAE"/>
    <w:rsid w:val="00FE0E6C"/>
    <w:rsid w:val="00FE127F"/>
    <w:rsid w:val="00FE133B"/>
    <w:rsid w:val="00FE19BD"/>
    <w:rsid w:val="00FE236D"/>
    <w:rsid w:val="00FE2FBA"/>
    <w:rsid w:val="00FE4EC5"/>
    <w:rsid w:val="00FE70C3"/>
    <w:rsid w:val="00FF290C"/>
    <w:rsid w:val="00FF3DCF"/>
    <w:rsid w:val="00FF3F6B"/>
    <w:rsid w:val="00FF492C"/>
    <w:rsid w:val="00FF4A21"/>
    <w:rsid w:val="00FF5AA3"/>
    <w:rsid w:val="00FF5AD8"/>
    <w:rsid w:val="00FF63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13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Body Text First Indent 2" w:semiHidden="1"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59"/>
    <w:lsdException w:name="Table Theme" w:semiHidden="1" w:unhideWhenUsed="1"/>
    <w:lsdException w:name="Placeholder Text" w:semiHidden="1" w:uiPriority="99"/>
    <w:lsdException w:name="No Spacing" w:uiPriority="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A35"/>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7"/>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Styl moj,Akapit z listą11,Table Legend"/>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Styl moj Char,Akapit z listą11 Char,Table Legend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uiPriority w:val="9"/>
    <w:rsid w:val="00124A51"/>
    <w:rPr>
      <w:b/>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NoSpacing">
    <w:name w:val="No Spacing"/>
    <w:uiPriority w:val="7"/>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uiPriority w:val="9"/>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B50DB8"/>
    <w:rPr>
      <w:lang w:eastAsia="en-US"/>
    </w:rPr>
  </w:style>
  <w:style w:type="paragraph" w:styleId="Subtitle">
    <w:name w:val="Subtitle"/>
    <w:basedOn w:val="Normal"/>
    <w:link w:val="SubtitleChar"/>
    <w:uiPriority w:val="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
    <w:rsid w:val="00B34FE2"/>
    <w:rPr>
      <w:rFonts w:ascii="Tahoma" w:hAnsi="Tahoma" w:cs="Tahoma"/>
      <w:snapToGrid w:val="0"/>
      <w:sz w:val="16"/>
      <w:szCs w:val="16"/>
      <w:lang w:eastAsia="en-US"/>
    </w:rPr>
  </w:style>
  <w:style w:type="paragraph" w:customStyle="1" w:styleId="TableText0">
    <w:name w:val="Table Text"/>
    <w:basedOn w:val="Normal"/>
    <w:link w:val="TableTextChar0"/>
    <w:uiPriority w:val="99"/>
    <w:qFormat/>
    <w:rsid w:val="00D91E5B"/>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link w:val="TableHeadingChar"/>
    <w:qFormat/>
    <w:rsid w:val="00D91E5B"/>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uiPriority w:val="99"/>
    <w:locked/>
    <w:rsid w:val="00D91E5B"/>
    <w:rPr>
      <w:rFonts w:ascii="Arial Narrow" w:eastAsiaTheme="minorHAnsi" w:hAnsi="Arial Narrow" w:cstheme="minorBidi"/>
      <w:szCs w:val="22"/>
      <w:lang w:eastAsia="en-US"/>
    </w:rPr>
  </w:style>
  <w:style w:type="paragraph" w:customStyle="1" w:styleId="V50Instructions">
    <w:name w:val="V5.0 Instructions"/>
    <w:basedOn w:val="Normal"/>
    <w:link w:val="V50InstructionsChar"/>
    <w:qFormat/>
    <w:rsid w:val="00E05FBF"/>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E05FBF"/>
    <w:rPr>
      <w:rFonts w:asciiTheme="minorHAnsi" w:eastAsiaTheme="minorHAnsi" w:hAnsiTheme="minorHAnsi" w:cstheme="minorBidi"/>
      <w:color w:val="4BACC6" w:themeColor="accent5"/>
      <w:sz w:val="24"/>
      <w:szCs w:val="22"/>
      <w:lang w:eastAsia="en-US"/>
    </w:rPr>
  </w:style>
  <w:style w:type="paragraph" w:customStyle="1" w:styleId="COMtbl-HEADLeftAligned">
    <w:name w:val="COMtbl-HEAD Left Aligned"/>
    <w:basedOn w:val="Normal"/>
    <w:qFormat/>
    <w:rsid w:val="00E05FBF"/>
    <w:pPr>
      <w:tabs>
        <w:tab w:val="left" w:pos="720"/>
      </w:tabs>
      <w:jc w:val="left"/>
    </w:pPr>
    <w:rPr>
      <w:rFonts w:ascii="Arial Narrow" w:hAnsi="Arial Narrow"/>
      <w:b/>
      <w:sz w:val="20"/>
      <w:szCs w:val="20"/>
    </w:rPr>
  </w:style>
  <w:style w:type="paragraph" w:customStyle="1" w:styleId="COMtbl-HEADCentred">
    <w:name w:val="COMtbl-HEAD Centred"/>
    <w:basedOn w:val="COMtbl-HEADLeftAligned"/>
    <w:qFormat/>
    <w:rsid w:val="00E05FBF"/>
    <w:pPr>
      <w:jc w:val="center"/>
    </w:pPr>
  </w:style>
  <w:style w:type="paragraph" w:customStyle="1" w:styleId="COMtbl-textLeftAligned">
    <w:name w:val="COMtbl-text Left Aligned"/>
    <w:basedOn w:val="COMtbl-HEADLeftAligned"/>
    <w:qFormat/>
    <w:rsid w:val="00E05FBF"/>
    <w:rPr>
      <w:b w:val="0"/>
    </w:rPr>
  </w:style>
  <w:style w:type="paragraph" w:customStyle="1" w:styleId="COMtbl-textCentred">
    <w:name w:val="COMtbl-text Centred"/>
    <w:basedOn w:val="COMtbl-HEADCentred"/>
    <w:qFormat/>
    <w:rsid w:val="00E05FBF"/>
    <w:rPr>
      <w:b w:val="0"/>
    </w:rPr>
  </w:style>
  <w:style w:type="character" w:customStyle="1" w:styleId="TableHeadingChar">
    <w:name w:val="Table Heading Char"/>
    <w:link w:val="TableHeading0"/>
    <w:rsid w:val="006956D5"/>
    <w:rPr>
      <w:rFonts w:ascii="Arial Narrow" w:eastAsiaTheme="minorHAnsi" w:hAnsi="Arial Narrow" w:cstheme="minorBidi"/>
      <w:b/>
      <w:szCs w:val="22"/>
      <w:lang w:eastAsia="en-US"/>
    </w:rPr>
  </w:style>
  <w:style w:type="paragraph" w:customStyle="1" w:styleId="TableFootnotetext">
    <w:name w:val="Table Footnote text"/>
    <w:basedOn w:val="Normal"/>
    <w:autoRedefine/>
    <w:unhideWhenUsed/>
    <w:qFormat/>
    <w:rsid w:val="003D0A8E"/>
    <w:pPr>
      <w:widowControl/>
      <w:contextualSpacing/>
      <w:jc w:val="left"/>
    </w:pPr>
    <w:rPr>
      <w:rFonts w:ascii="Arial Narrow" w:hAnsi="Arial Narrow" w:cstheme="minorHAnsi"/>
      <w:snapToGrid/>
      <w:sz w:val="18"/>
      <w:szCs w:val="18"/>
    </w:rPr>
  </w:style>
  <w:style w:type="paragraph" w:customStyle="1" w:styleId="V50Tablenote">
    <w:name w:val="V5.0 Tablenote"/>
    <w:basedOn w:val="Normal"/>
    <w:link w:val="V50TablenoteChar"/>
    <w:qFormat/>
    <w:rsid w:val="00612E5E"/>
    <w:pPr>
      <w:widowControl/>
      <w:spacing w:after="120"/>
      <w:contextualSpacing/>
    </w:pPr>
    <w:rPr>
      <w:rFonts w:asciiTheme="minorHAnsi" w:eastAsiaTheme="minorHAnsi" w:hAnsiTheme="minorHAnsi" w:cstheme="minorBidi"/>
      <w:snapToGrid/>
      <w:sz w:val="18"/>
      <w:szCs w:val="18"/>
      <w:lang w:val="en-US"/>
    </w:rPr>
  </w:style>
  <w:style w:type="character" w:customStyle="1" w:styleId="V50TablenoteChar">
    <w:name w:val="V5.0 Tablenote Char"/>
    <w:basedOn w:val="DefaultParagraphFont"/>
    <w:link w:val="V50Tablenote"/>
    <w:rsid w:val="00612E5E"/>
    <w:rPr>
      <w:rFonts w:asciiTheme="minorHAnsi" w:eastAsiaTheme="minorHAnsi" w:hAnsiTheme="minorHAnsi" w:cstheme="minorBidi"/>
      <w:sz w:val="18"/>
      <w:szCs w:val="18"/>
      <w:lang w:val="en-US" w:eastAsia="en-US"/>
    </w:rPr>
  </w:style>
  <w:style w:type="numbering" w:customStyle="1" w:styleId="Headings">
    <w:name w:val="Headings"/>
    <w:uiPriority w:val="99"/>
    <w:rsid w:val="00612E5E"/>
    <w:pPr>
      <w:numPr>
        <w:numId w:val="5"/>
      </w:numPr>
    </w:pPr>
  </w:style>
  <w:style w:type="character" w:customStyle="1" w:styleId="Heading1Char">
    <w:name w:val="Heading 1 Char"/>
    <w:basedOn w:val="DefaultParagraphFont"/>
    <w:link w:val="Heading1"/>
    <w:uiPriority w:val="1"/>
    <w:rsid w:val="0090488A"/>
    <w:rPr>
      <w:rFonts w:ascii="Calibri" w:hAnsi="Calibri" w:cs="Arial"/>
      <w:b/>
      <w:caps/>
      <w:snapToGrid w:val="0"/>
      <w:sz w:val="32"/>
      <w:szCs w:val="22"/>
      <w:lang w:eastAsia="en-US"/>
    </w:rPr>
  </w:style>
  <w:style w:type="character" w:customStyle="1" w:styleId="Heading3Char">
    <w:name w:val="Heading 3 Char"/>
    <w:basedOn w:val="DefaultParagraphFont"/>
    <w:link w:val="Heading3"/>
    <w:uiPriority w:val="1"/>
    <w:rsid w:val="0090488A"/>
    <w:rPr>
      <w:rFonts w:ascii="Calibri" w:hAnsi="Calibri" w:cs="Arial"/>
      <w:snapToGrid w:val="0"/>
      <w:sz w:val="24"/>
      <w:szCs w:val="22"/>
      <w:u w:val="single"/>
      <w:lang w:eastAsia="en-US"/>
    </w:rPr>
  </w:style>
  <w:style w:type="paragraph" w:customStyle="1" w:styleId="V50Heading2nonumbers">
    <w:name w:val="V5.0 Heading 2 no numbers"/>
    <w:basedOn w:val="Heading2"/>
    <w:qFormat/>
    <w:rsid w:val="0090488A"/>
    <w:pPr>
      <w:keepNext/>
      <w:keepLines/>
      <w:widowControl/>
      <w:ind w:left="578" w:hanging="578"/>
    </w:pPr>
    <w:rPr>
      <w:rFonts w:asciiTheme="minorHAnsi" w:eastAsiaTheme="majorEastAsia" w:hAnsiTheme="minorHAnsi" w:cstheme="majorBidi"/>
      <w:snapToGrid/>
      <w:szCs w:val="28"/>
    </w:rPr>
  </w:style>
  <w:style w:type="character" w:customStyle="1" w:styleId="Heading4Char">
    <w:name w:val="Heading 4 Char"/>
    <w:aliases w:val="Heading 1 - Body Char"/>
    <w:basedOn w:val="DefaultParagraphFont"/>
    <w:link w:val="Heading4"/>
    <w:uiPriority w:val="5"/>
    <w:rsid w:val="0090488A"/>
    <w:rPr>
      <w:rFonts w:ascii="Calibri" w:hAnsi="Calibri"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9"/>
    <w:rsid w:val="0090488A"/>
    <w:rPr>
      <w:rFonts w:ascii="Calibri" w:hAnsi="Calibri"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90488A"/>
    <w:rPr>
      <w:rFonts w:ascii="Calibri" w:hAnsi="Calibri" w:cs="Arial"/>
      <w:b/>
      <w:bCs/>
      <w:i/>
      <w:snapToGrid w:val="0"/>
      <w:sz w:val="24"/>
      <w:szCs w:val="22"/>
      <w:lang w:eastAsia="en-US"/>
    </w:rPr>
  </w:style>
  <w:style w:type="paragraph" w:customStyle="1" w:styleId="V50Heading1nonumbers">
    <w:name w:val="V5.0 Heading 1 no numbers"/>
    <w:basedOn w:val="Heading1"/>
    <w:qFormat/>
    <w:rsid w:val="0090488A"/>
    <w:pPr>
      <w:keepNext/>
      <w:keepLines/>
      <w:widowControl/>
      <w:ind w:left="0" w:firstLine="0"/>
    </w:pPr>
    <w:rPr>
      <w:rFonts w:asciiTheme="minorHAnsi" w:eastAsiaTheme="majorEastAsia" w:hAnsiTheme="minorHAnsi" w:cstheme="majorBidi"/>
      <w:caps w:val="0"/>
      <w:snapToGrid/>
      <w:szCs w:val="28"/>
    </w:rPr>
  </w:style>
  <w:style w:type="paragraph" w:customStyle="1" w:styleId="V50TableText">
    <w:name w:val="V5.0 TableText"/>
    <w:link w:val="V50TableTextChar"/>
    <w:qFormat/>
    <w:rsid w:val="0090488A"/>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90488A"/>
    <w:rPr>
      <w:b/>
      <w:color w:val="4BACC6" w:themeColor="accent5"/>
    </w:rPr>
  </w:style>
  <w:style w:type="paragraph" w:customStyle="1" w:styleId="V50InstructionsBullets">
    <w:name w:val="V5.0 Instructions Bullets"/>
    <w:basedOn w:val="V50Instructions"/>
    <w:qFormat/>
    <w:rsid w:val="0090488A"/>
    <w:pPr>
      <w:numPr>
        <w:numId w:val="6"/>
      </w:numPr>
      <w:spacing w:before="0" w:after="0"/>
      <w:ind w:left="714" w:hanging="357"/>
      <w:jc w:val="both"/>
    </w:pPr>
  </w:style>
  <w:style w:type="table" w:customStyle="1" w:styleId="TableGridLight1">
    <w:name w:val="Table Grid Light1"/>
    <w:basedOn w:val="TableNormal"/>
    <w:uiPriority w:val="40"/>
    <w:rsid w:val="0090488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90488A"/>
    <w:pPr>
      <w:widowControl/>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90488A"/>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90488A"/>
    <w:rPr>
      <w:vertAlign w:val="superscript"/>
    </w:rPr>
  </w:style>
  <w:style w:type="paragraph" w:customStyle="1" w:styleId="TableFigNoteLast">
    <w:name w:val="TableFigNote Last"/>
    <w:basedOn w:val="Normal"/>
    <w:qFormat/>
    <w:rsid w:val="0090488A"/>
    <w:pPr>
      <w:widowControl/>
      <w:spacing w:after="360"/>
    </w:pPr>
    <w:rPr>
      <w:rFonts w:asciiTheme="minorHAnsi" w:eastAsiaTheme="minorHAnsi" w:hAnsiTheme="minorHAnsi" w:cstheme="minorBidi"/>
      <w:snapToGrid/>
      <w:sz w:val="18"/>
    </w:rPr>
  </w:style>
  <w:style w:type="character" w:styleId="Emphasis">
    <w:name w:val="Emphasis"/>
    <w:basedOn w:val="DefaultParagraphFont"/>
    <w:uiPriority w:val="20"/>
    <w:qFormat/>
    <w:rsid w:val="0090488A"/>
    <w:rPr>
      <w:b w:val="0"/>
      <w:i/>
      <w:iCs/>
    </w:rPr>
  </w:style>
  <w:style w:type="character" w:customStyle="1" w:styleId="V50TableTextChar">
    <w:name w:val="V5.0 TableText Char"/>
    <w:basedOn w:val="DefaultParagraphFont"/>
    <w:link w:val="V50TableText"/>
    <w:rsid w:val="0090488A"/>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90488A"/>
    <w:pPr>
      <w:keepNext/>
    </w:pPr>
    <w:rPr>
      <w:b/>
    </w:rPr>
  </w:style>
  <w:style w:type="character" w:customStyle="1" w:styleId="V50TablenameChar">
    <w:name w:val="V5.0 Table name Char"/>
    <w:basedOn w:val="DefaultParagraphFont"/>
    <w:link w:val="V50Tablename"/>
    <w:rsid w:val="0090488A"/>
    <w:rPr>
      <w:rFonts w:asciiTheme="minorHAnsi" w:eastAsiaTheme="minorHAnsi" w:hAnsiTheme="minorHAnsi" w:cstheme="minorBidi"/>
      <w:b/>
      <w:szCs w:val="24"/>
      <w:lang w:val="en-US" w:eastAsia="en-US"/>
    </w:rPr>
  </w:style>
  <w:style w:type="paragraph" w:customStyle="1" w:styleId="TableNotes">
    <w:name w:val="TableNotes"/>
    <w:basedOn w:val="Normal"/>
    <w:qFormat/>
    <w:rsid w:val="0090488A"/>
    <w:pPr>
      <w:widowControl/>
      <w:spacing w:after="60"/>
    </w:pPr>
    <w:rPr>
      <w:rFonts w:asciiTheme="minorHAnsi" w:eastAsiaTheme="minorHAnsi" w:hAnsiTheme="minorHAnsi" w:cstheme="minorBidi"/>
      <w:snapToGrid/>
      <w:sz w:val="20"/>
    </w:rPr>
  </w:style>
  <w:style w:type="paragraph" w:customStyle="1" w:styleId="oldTablefooter">
    <w:name w:val="old Table footer"/>
    <w:basedOn w:val="Normal"/>
    <w:link w:val="oldTablefooterChar"/>
    <w:qFormat/>
    <w:rsid w:val="0090488A"/>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90488A"/>
    <w:rPr>
      <w:rFonts w:asciiTheme="minorHAnsi" w:eastAsiaTheme="minorHAnsi" w:hAnsiTheme="minorHAnsi" w:cs="Arial"/>
      <w:sz w:val="18"/>
      <w:szCs w:val="18"/>
      <w:lang w:val="en-US" w:eastAsia="en-US"/>
    </w:rPr>
  </w:style>
  <w:style w:type="paragraph" w:styleId="BodyText3">
    <w:name w:val="Body Text 3"/>
    <w:basedOn w:val="Normal"/>
    <w:link w:val="BodyText3Char"/>
    <w:uiPriority w:val="9"/>
    <w:rsid w:val="0090488A"/>
    <w:pPr>
      <w:spacing w:after="120"/>
    </w:pPr>
    <w:rPr>
      <w:rFonts w:ascii="Arial" w:hAnsi="Arial"/>
      <w:sz w:val="16"/>
      <w:szCs w:val="16"/>
    </w:rPr>
  </w:style>
  <w:style w:type="character" w:customStyle="1" w:styleId="BodyText3Char">
    <w:name w:val="Body Text 3 Char"/>
    <w:basedOn w:val="DefaultParagraphFont"/>
    <w:link w:val="BodyText3"/>
    <w:uiPriority w:val="9"/>
    <w:rsid w:val="0090488A"/>
    <w:rPr>
      <w:rFonts w:ascii="Arial" w:hAnsi="Arial" w:cs="Arial"/>
      <w:snapToGrid w:val="0"/>
      <w:sz w:val="16"/>
      <w:szCs w:val="16"/>
      <w:lang w:eastAsia="en-US"/>
    </w:rPr>
  </w:style>
  <w:style w:type="paragraph" w:styleId="BodyText2">
    <w:name w:val="Body Text 2"/>
    <w:basedOn w:val="Normal"/>
    <w:link w:val="BodyText2Char"/>
    <w:uiPriority w:val="9"/>
    <w:rsid w:val="0090488A"/>
    <w:pPr>
      <w:spacing w:after="120" w:line="480" w:lineRule="auto"/>
    </w:pPr>
    <w:rPr>
      <w:rFonts w:ascii="Arial" w:hAnsi="Arial"/>
      <w:sz w:val="22"/>
      <w:szCs w:val="20"/>
    </w:rPr>
  </w:style>
  <w:style w:type="character" w:customStyle="1" w:styleId="BodyText2Char">
    <w:name w:val="Body Text 2 Char"/>
    <w:basedOn w:val="DefaultParagraphFont"/>
    <w:link w:val="BodyText2"/>
    <w:uiPriority w:val="9"/>
    <w:rsid w:val="0090488A"/>
    <w:rPr>
      <w:rFonts w:ascii="Arial" w:hAnsi="Arial" w:cs="Arial"/>
      <w:snapToGrid w:val="0"/>
      <w:sz w:val="22"/>
      <w:lang w:eastAsia="en-US"/>
    </w:rPr>
  </w:style>
  <w:style w:type="paragraph" w:customStyle="1" w:styleId="TableText1">
    <w:name w:val="TableText"/>
    <w:basedOn w:val="Normal"/>
    <w:uiPriority w:val="9"/>
    <w:rsid w:val="0090488A"/>
    <w:pPr>
      <w:keepNext/>
      <w:widowControl/>
      <w:spacing w:before="40" w:after="40"/>
    </w:pPr>
    <w:rPr>
      <w:rFonts w:ascii="Arial Narrow" w:hAnsi="Arial Narrow" w:cs="Arial Narrow"/>
      <w:snapToGrid/>
      <w:sz w:val="20"/>
      <w:szCs w:val="20"/>
    </w:rPr>
  </w:style>
  <w:style w:type="paragraph" w:customStyle="1" w:styleId="Style1">
    <w:name w:val="Style1"/>
    <w:basedOn w:val="Normal"/>
    <w:rsid w:val="0090488A"/>
    <w:rPr>
      <w:rFonts w:ascii="Arial" w:hAnsi="Arial"/>
      <w:sz w:val="22"/>
      <w:szCs w:val="20"/>
    </w:rPr>
  </w:style>
  <w:style w:type="paragraph" w:customStyle="1" w:styleId="PBACheading10">
    <w:name w:val="PBAC heading 1"/>
    <w:qFormat/>
    <w:rsid w:val="0090488A"/>
    <w:pPr>
      <w:ind w:left="720" w:hanging="720"/>
    </w:pPr>
    <w:rPr>
      <w:rFonts w:ascii="Arial" w:hAnsi="Arial" w:cs="Arial"/>
      <w:snapToGrid w:val="0"/>
      <w:sz w:val="22"/>
      <w:szCs w:val="22"/>
      <w:lang w:eastAsia="en-US"/>
    </w:rPr>
  </w:style>
  <w:style w:type="paragraph" w:customStyle="1" w:styleId="BulletLast">
    <w:name w:val="Bullet Last"/>
    <w:basedOn w:val="Normal"/>
    <w:qFormat/>
    <w:rsid w:val="0090488A"/>
    <w:pPr>
      <w:widowControl/>
      <w:numPr>
        <w:numId w:val="7"/>
      </w:numPr>
      <w:spacing w:after="240"/>
      <w:ind w:left="357" w:hanging="357"/>
    </w:pPr>
    <w:rPr>
      <w:rFonts w:asciiTheme="minorHAnsi" w:eastAsiaTheme="minorHAnsi" w:hAnsiTheme="minorHAnsi" w:cstheme="minorBidi"/>
      <w:snapToGrid/>
      <w:sz w:val="22"/>
    </w:rPr>
  </w:style>
  <w:style w:type="paragraph" w:customStyle="1" w:styleId="TableFigNote">
    <w:name w:val="TableFigNote"/>
    <w:basedOn w:val="Normal"/>
    <w:qFormat/>
    <w:rsid w:val="0090488A"/>
    <w:pPr>
      <w:widowControl/>
    </w:pPr>
    <w:rPr>
      <w:rFonts w:asciiTheme="minorHAnsi" w:eastAsiaTheme="minorHAnsi" w:hAnsiTheme="minorHAnsi" w:cstheme="minorBidi"/>
      <w:snapToGrid/>
      <w:sz w:val="18"/>
    </w:rPr>
  </w:style>
  <w:style w:type="character" w:customStyle="1" w:styleId="StyleArial11pt">
    <w:name w:val="Style Arial 11 pt"/>
    <w:basedOn w:val="DefaultParagraphFont"/>
    <w:rsid w:val="0090488A"/>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0488A"/>
    <w:pPr>
      <w:widowControl/>
      <w:spacing w:line="240" w:lineRule="exact"/>
    </w:pPr>
    <w:rPr>
      <w:rFonts w:ascii="Verdana" w:eastAsia="MS Mincho" w:hAnsi="Verdana" w:cs="Verdana"/>
      <w:snapToGrid/>
      <w:sz w:val="20"/>
      <w:szCs w:val="20"/>
      <w:lang w:val="en-US"/>
    </w:rPr>
  </w:style>
  <w:style w:type="paragraph" w:customStyle="1" w:styleId="tabletext00">
    <w:name w:val="tabletext0"/>
    <w:basedOn w:val="Normal"/>
    <w:rsid w:val="0090488A"/>
    <w:pPr>
      <w:widowControl/>
      <w:spacing w:before="100" w:beforeAutospacing="1" w:after="100" w:afterAutospacing="1"/>
    </w:pPr>
    <w:rPr>
      <w:rFonts w:ascii="Times New Roman" w:hAnsi="Times New Roman" w:cs="Times New Roman"/>
      <w:snapToGrid/>
      <w:szCs w:val="24"/>
      <w:lang w:eastAsia="en-AU"/>
    </w:rPr>
  </w:style>
  <w:style w:type="paragraph" w:customStyle="1" w:styleId="ESnumberedpara">
    <w:name w:val="ES numbered para"/>
    <w:basedOn w:val="Normal"/>
    <w:qFormat/>
    <w:rsid w:val="0090488A"/>
    <w:pPr>
      <w:widowControl/>
      <w:spacing w:after="120"/>
      <w:ind w:left="720" w:hanging="720"/>
    </w:pPr>
    <w:rPr>
      <w:rFonts w:eastAsiaTheme="minorHAnsi" w:cstheme="minorBidi"/>
      <w:snapToGrid/>
    </w:rPr>
  </w:style>
  <w:style w:type="table" w:customStyle="1" w:styleId="Summarybox1">
    <w:name w:val="Summary box1"/>
    <w:basedOn w:val="TableNormal"/>
    <w:next w:val="TableGrid"/>
    <w:uiPriority w:val="59"/>
    <w:rsid w:val="0090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lack">
    <w:name w:val="body text black"/>
    <w:basedOn w:val="Normal"/>
    <w:unhideWhenUsed/>
    <w:qFormat/>
    <w:rsid w:val="0090488A"/>
    <w:pPr>
      <w:widowControl/>
      <w:spacing w:after="240"/>
    </w:pPr>
    <w:rPr>
      <w:rFonts w:cs="Times New Roman"/>
      <w:snapToGrid/>
      <w:sz w:val="22"/>
    </w:rPr>
  </w:style>
  <w:style w:type="table" w:customStyle="1" w:styleId="HTAtableplain1">
    <w:name w:val="HTAtableplain1"/>
    <w:basedOn w:val="TableNormal"/>
    <w:next w:val="TableGrid"/>
    <w:uiPriority w:val="59"/>
    <w:rsid w:val="0090488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grey">
    <w:name w:val="body text grey"/>
    <w:basedOn w:val="Normal"/>
    <w:unhideWhenUsed/>
    <w:qFormat/>
    <w:rsid w:val="0090488A"/>
    <w:pPr>
      <w:widowControl/>
      <w:spacing w:after="240"/>
    </w:pPr>
    <w:rPr>
      <w:rFonts w:cs="Times New Roman"/>
      <w:snapToGrid/>
      <w:color w:val="A6A6A6" w:themeColor="background1" w:themeShade="A6"/>
      <w:sz w:val="22"/>
    </w:rPr>
  </w:style>
  <w:style w:type="table" w:customStyle="1" w:styleId="TableGridbeth2">
    <w:name w:val="Table Gridbeth2"/>
    <w:basedOn w:val="TableNormal"/>
    <w:next w:val="TableGrid"/>
    <w:uiPriority w:val="59"/>
    <w:rsid w:val="0090488A"/>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11">
    <w:name w:val="Table Grid11"/>
    <w:basedOn w:val="TableNormal"/>
    <w:next w:val="TableGrid"/>
    <w:uiPriority w:val="39"/>
    <w:rsid w:val="0090488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1">
    <w:name w:val="Table Gridbeth11"/>
    <w:basedOn w:val="TableNormal"/>
    <w:next w:val="TableGrid"/>
    <w:uiPriority w:val="39"/>
    <w:rsid w:val="0090488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59"/>
    <w:rsid w:val="0090488A"/>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5">
    <w:name w:val="Table Gridbeth5"/>
    <w:basedOn w:val="TableNormal"/>
    <w:next w:val="TableGrid"/>
    <w:uiPriority w:val="59"/>
    <w:rsid w:val="0090488A"/>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BasicNumbering">
    <w:name w:val="Basic Numbering"/>
    <w:qFormat/>
    <w:rsid w:val="005A35E7"/>
    <w:pPr>
      <w:numPr>
        <w:numId w:val="11"/>
      </w:numPr>
      <w:spacing w:after="120" w:line="360" w:lineRule="auto"/>
      <w:ind w:left="1134"/>
      <w:jc w:val="both"/>
    </w:pPr>
    <w:rPr>
      <w:rFonts w:asciiTheme="majorHAnsi" w:eastAsiaTheme="majorEastAsia" w:hAnsiTheme="majorHAnsi" w:cstheme="majorBidi"/>
      <w:bCs/>
      <w:sz w:val="22"/>
      <w:szCs w:val="28"/>
      <w:lang w:val="en-US" w:eastAsia="en-US"/>
    </w:rPr>
  </w:style>
  <w:style w:type="numbering" w:customStyle="1" w:styleId="SectionBii">
    <w:name w:val="Section Bii"/>
    <w:uiPriority w:val="99"/>
    <w:rsid w:val="0082753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0915">
      <w:bodyDiv w:val="1"/>
      <w:marLeft w:val="0"/>
      <w:marRight w:val="0"/>
      <w:marTop w:val="0"/>
      <w:marBottom w:val="0"/>
      <w:divBdr>
        <w:top w:val="none" w:sz="0" w:space="0" w:color="auto"/>
        <w:left w:val="none" w:sz="0" w:space="0" w:color="auto"/>
        <w:bottom w:val="none" w:sz="0" w:space="0" w:color="auto"/>
        <w:right w:val="none" w:sz="0" w:space="0" w:color="auto"/>
      </w:divBdr>
      <w:divsChild>
        <w:div w:id="319164786">
          <w:marLeft w:val="0"/>
          <w:marRight w:val="0"/>
          <w:marTop w:val="0"/>
          <w:marBottom w:val="0"/>
          <w:divBdr>
            <w:top w:val="none" w:sz="0" w:space="0" w:color="auto"/>
            <w:left w:val="none" w:sz="0" w:space="0" w:color="auto"/>
            <w:bottom w:val="none" w:sz="0" w:space="0" w:color="auto"/>
            <w:right w:val="none" w:sz="0" w:space="0" w:color="auto"/>
          </w:divBdr>
        </w:div>
        <w:div w:id="811098536">
          <w:marLeft w:val="0"/>
          <w:marRight w:val="0"/>
          <w:marTop w:val="0"/>
          <w:marBottom w:val="0"/>
          <w:divBdr>
            <w:top w:val="none" w:sz="0" w:space="0" w:color="auto"/>
            <w:left w:val="none" w:sz="0" w:space="0" w:color="auto"/>
            <w:bottom w:val="none" w:sz="0" w:space="0" w:color="auto"/>
            <w:right w:val="none" w:sz="0" w:space="0" w:color="auto"/>
          </w:divBdr>
        </w:div>
        <w:div w:id="1012728323">
          <w:marLeft w:val="0"/>
          <w:marRight w:val="0"/>
          <w:marTop w:val="0"/>
          <w:marBottom w:val="0"/>
          <w:divBdr>
            <w:top w:val="none" w:sz="0" w:space="0" w:color="auto"/>
            <w:left w:val="none" w:sz="0" w:space="0" w:color="auto"/>
            <w:bottom w:val="none" w:sz="0" w:space="0" w:color="auto"/>
            <w:right w:val="none" w:sz="0" w:space="0" w:color="auto"/>
          </w:divBdr>
        </w:div>
      </w:divsChild>
    </w:div>
    <w:div w:id="214508624">
      <w:bodyDiv w:val="1"/>
      <w:marLeft w:val="0"/>
      <w:marRight w:val="0"/>
      <w:marTop w:val="0"/>
      <w:marBottom w:val="0"/>
      <w:divBdr>
        <w:top w:val="none" w:sz="0" w:space="0" w:color="auto"/>
        <w:left w:val="none" w:sz="0" w:space="0" w:color="auto"/>
        <w:bottom w:val="none" w:sz="0" w:space="0" w:color="auto"/>
        <w:right w:val="none" w:sz="0" w:space="0" w:color="auto"/>
      </w:divBdr>
    </w:div>
    <w:div w:id="376204742">
      <w:bodyDiv w:val="1"/>
      <w:marLeft w:val="0"/>
      <w:marRight w:val="0"/>
      <w:marTop w:val="0"/>
      <w:marBottom w:val="0"/>
      <w:divBdr>
        <w:top w:val="none" w:sz="0" w:space="0" w:color="auto"/>
        <w:left w:val="none" w:sz="0" w:space="0" w:color="auto"/>
        <w:bottom w:val="none" w:sz="0" w:space="0" w:color="auto"/>
        <w:right w:val="none" w:sz="0" w:space="0" w:color="auto"/>
      </w:divBdr>
    </w:div>
    <w:div w:id="407308389">
      <w:bodyDiv w:val="1"/>
      <w:marLeft w:val="0"/>
      <w:marRight w:val="0"/>
      <w:marTop w:val="0"/>
      <w:marBottom w:val="0"/>
      <w:divBdr>
        <w:top w:val="none" w:sz="0" w:space="0" w:color="auto"/>
        <w:left w:val="none" w:sz="0" w:space="0" w:color="auto"/>
        <w:bottom w:val="none" w:sz="0" w:space="0" w:color="auto"/>
        <w:right w:val="none" w:sz="0" w:space="0" w:color="auto"/>
      </w:divBdr>
    </w:div>
    <w:div w:id="444203088">
      <w:bodyDiv w:val="1"/>
      <w:marLeft w:val="0"/>
      <w:marRight w:val="0"/>
      <w:marTop w:val="0"/>
      <w:marBottom w:val="0"/>
      <w:divBdr>
        <w:top w:val="none" w:sz="0" w:space="0" w:color="auto"/>
        <w:left w:val="none" w:sz="0" w:space="0" w:color="auto"/>
        <w:bottom w:val="none" w:sz="0" w:space="0" w:color="auto"/>
        <w:right w:val="none" w:sz="0" w:space="0" w:color="auto"/>
      </w:divBdr>
    </w:div>
    <w:div w:id="516693878">
      <w:bodyDiv w:val="1"/>
      <w:marLeft w:val="0"/>
      <w:marRight w:val="0"/>
      <w:marTop w:val="0"/>
      <w:marBottom w:val="0"/>
      <w:divBdr>
        <w:top w:val="none" w:sz="0" w:space="0" w:color="auto"/>
        <w:left w:val="none" w:sz="0" w:space="0" w:color="auto"/>
        <w:bottom w:val="none" w:sz="0" w:space="0" w:color="auto"/>
        <w:right w:val="none" w:sz="0" w:space="0" w:color="auto"/>
      </w:divBdr>
    </w:div>
    <w:div w:id="833569693">
      <w:bodyDiv w:val="1"/>
      <w:marLeft w:val="0"/>
      <w:marRight w:val="0"/>
      <w:marTop w:val="0"/>
      <w:marBottom w:val="0"/>
      <w:divBdr>
        <w:top w:val="none" w:sz="0" w:space="0" w:color="auto"/>
        <w:left w:val="none" w:sz="0" w:space="0" w:color="auto"/>
        <w:bottom w:val="none" w:sz="0" w:space="0" w:color="auto"/>
        <w:right w:val="none" w:sz="0" w:space="0" w:color="auto"/>
      </w:divBdr>
    </w:div>
    <w:div w:id="951863880">
      <w:bodyDiv w:val="1"/>
      <w:marLeft w:val="0"/>
      <w:marRight w:val="0"/>
      <w:marTop w:val="0"/>
      <w:marBottom w:val="0"/>
      <w:divBdr>
        <w:top w:val="none" w:sz="0" w:space="0" w:color="auto"/>
        <w:left w:val="none" w:sz="0" w:space="0" w:color="auto"/>
        <w:bottom w:val="none" w:sz="0" w:space="0" w:color="auto"/>
        <w:right w:val="none" w:sz="0" w:space="0" w:color="auto"/>
      </w:divBdr>
    </w:div>
    <w:div w:id="957566367">
      <w:bodyDiv w:val="1"/>
      <w:marLeft w:val="0"/>
      <w:marRight w:val="0"/>
      <w:marTop w:val="0"/>
      <w:marBottom w:val="0"/>
      <w:divBdr>
        <w:top w:val="none" w:sz="0" w:space="0" w:color="auto"/>
        <w:left w:val="none" w:sz="0" w:space="0" w:color="auto"/>
        <w:bottom w:val="none" w:sz="0" w:space="0" w:color="auto"/>
        <w:right w:val="none" w:sz="0" w:space="0" w:color="auto"/>
      </w:divBdr>
    </w:div>
    <w:div w:id="963996398">
      <w:bodyDiv w:val="1"/>
      <w:marLeft w:val="0"/>
      <w:marRight w:val="0"/>
      <w:marTop w:val="0"/>
      <w:marBottom w:val="0"/>
      <w:divBdr>
        <w:top w:val="none" w:sz="0" w:space="0" w:color="auto"/>
        <w:left w:val="none" w:sz="0" w:space="0" w:color="auto"/>
        <w:bottom w:val="none" w:sz="0" w:space="0" w:color="auto"/>
        <w:right w:val="none" w:sz="0" w:space="0" w:color="auto"/>
      </w:divBdr>
    </w:div>
    <w:div w:id="1009210917">
      <w:bodyDiv w:val="1"/>
      <w:marLeft w:val="0"/>
      <w:marRight w:val="0"/>
      <w:marTop w:val="0"/>
      <w:marBottom w:val="0"/>
      <w:divBdr>
        <w:top w:val="none" w:sz="0" w:space="0" w:color="auto"/>
        <w:left w:val="none" w:sz="0" w:space="0" w:color="auto"/>
        <w:bottom w:val="none" w:sz="0" w:space="0" w:color="auto"/>
        <w:right w:val="none" w:sz="0" w:space="0" w:color="auto"/>
      </w:divBdr>
    </w:div>
    <w:div w:id="1069886451">
      <w:bodyDiv w:val="1"/>
      <w:marLeft w:val="0"/>
      <w:marRight w:val="0"/>
      <w:marTop w:val="0"/>
      <w:marBottom w:val="0"/>
      <w:divBdr>
        <w:top w:val="none" w:sz="0" w:space="0" w:color="auto"/>
        <w:left w:val="none" w:sz="0" w:space="0" w:color="auto"/>
        <w:bottom w:val="none" w:sz="0" w:space="0" w:color="auto"/>
        <w:right w:val="none" w:sz="0" w:space="0" w:color="auto"/>
      </w:divBdr>
    </w:div>
    <w:div w:id="1123422339">
      <w:bodyDiv w:val="1"/>
      <w:marLeft w:val="0"/>
      <w:marRight w:val="0"/>
      <w:marTop w:val="0"/>
      <w:marBottom w:val="0"/>
      <w:divBdr>
        <w:top w:val="none" w:sz="0" w:space="0" w:color="auto"/>
        <w:left w:val="none" w:sz="0" w:space="0" w:color="auto"/>
        <w:bottom w:val="none" w:sz="0" w:space="0" w:color="auto"/>
        <w:right w:val="none" w:sz="0" w:space="0" w:color="auto"/>
      </w:divBdr>
    </w:div>
    <w:div w:id="1218206879">
      <w:bodyDiv w:val="1"/>
      <w:marLeft w:val="0"/>
      <w:marRight w:val="0"/>
      <w:marTop w:val="0"/>
      <w:marBottom w:val="0"/>
      <w:divBdr>
        <w:top w:val="none" w:sz="0" w:space="0" w:color="auto"/>
        <w:left w:val="none" w:sz="0" w:space="0" w:color="auto"/>
        <w:bottom w:val="none" w:sz="0" w:space="0" w:color="auto"/>
        <w:right w:val="none" w:sz="0" w:space="0" w:color="auto"/>
      </w:divBdr>
      <w:divsChild>
        <w:div w:id="1022777432">
          <w:marLeft w:val="360"/>
          <w:marRight w:val="0"/>
          <w:marTop w:val="200"/>
          <w:marBottom w:val="0"/>
          <w:divBdr>
            <w:top w:val="none" w:sz="0" w:space="0" w:color="auto"/>
            <w:left w:val="none" w:sz="0" w:space="0" w:color="auto"/>
            <w:bottom w:val="none" w:sz="0" w:space="0" w:color="auto"/>
            <w:right w:val="none" w:sz="0" w:space="0" w:color="auto"/>
          </w:divBdr>
        </w:div>
        <w:div w:id="114107026">
          <w:marLeft w:val="1080"/>
          <w:marRight w:val="0"/>
          <w:marTop w:val="100"/>
          <w:marBottom w:val="0"/>
          <w:divBdr>
            <w:top w:val="none" w:sz="0" w:space="0" w:color="auto"/>
            <w:left w:val="none" w:sz="0" w:space="0" w:color="auto"/>
            <w:bottom w:val="none" w:sz="0" w:space="0" w:color="auto"/>
            <w:right w:val="none" w:sz="0" w:space="0" w:color="auto"/>
          </w:divBdr>
        </w:div>
        <w:div w:id="601105148">
          <w:marLeft w:val="1800"/>
          <w:marRight w:val="0"/>
          <w:marTop w:val="100"/>
          <w:marBottom w:val="0"/>
          <w:divBdr>
            <w:top w:val="none" w:sz="0" w:space="0" w:color="auto"/>
            <w:left w:val="none" w:sz="0" w:space="0" w:color="auto"/>
            <w:bottom w:val="none" w:sz="0" w:space="0" w:color="auto"/>
            <w:right w:val="none" w:sz="0" w:space="0" w:color="auto"/>
          </w:divBdr>
        </w:div>
        <w:div w:id="1100949014">
          <w:marLeft w:val="1800"/>
          <w:marRight w:val="0"/>
          <w:marTop w:val="100"/>
          <w:marBottom w:val="0"/>
          <w:divBdr>
            <w:top w:val="none" w:sz="0" w:space="0" w:color="auto"/>
            <w:left w:val="none" w:sz="0" w:space="0" w:color="auto"/>
            <w:bottom w:val="none" w:sz="0" w:space="0" w:color="auto"/>
            <w:right w:val="none" w:sz="0" w:space="0" w:color="auto"/>
          </w:divBdr>
        </w:div>
        <w:div w:id="26494756">
          <w:marLeft w:val="1800"/>
          <w:marRight w:val="0"/>
          <w:marTop w:val="100"/>
          <w:marBottom w:val="0"/>
          <w:divBdr>
            <w:top w:val="none" w:sz="0" w:space="0" w:color="auto"/>
            <w:left w:val="none" w:sz="0" w:space="0" w:color="auto"/>
            <w:bottom w:val="none" w:sz="0" w:space="0" w:color="auto"/>
            <w:right w:val="none" w:sz="0" w:space="0" w:color="auto"/>
          </w:divBdr>
        </w:div>
        <w:div w:id="734933191">
          <w:marLeft w:val="1080"/>
          <w:marRight w:val="0"/>
          <w:marTop w:val="100"/>
          <w:marBottom w:val="0"/>
          <w:divBdr>
            <w:top w:val="none" w:sz="0" w:space="0" w:color="auto"/>
            <w:left w:val="none" w:sz="0" w:space="0" w:color="auto"/>
            <w:bottom w:val="none" w:sz="0" w:space="0" w:color="auto"/>
            <w:right w:val="none" w:sz="0" w:space="0" w:color="auto"/>
          </w:divBdr>
        </w:div>
      </w:divsChild>
    </w:div>
    <w:div w:id="1449929968">
      <w:bodyDiv w:val="1"/>
      <w:marLeft w:val="0"/>
      <w:marRight w:val="0"/>
      <w:marTop w:val="0"/>
      <w:marBottom w:val="0"/>
      <w:divBdr>
        <w:top w:val="none" w:sz="0" w:space="0" w:color="auto"/>
        <w:left w:val="none" w:sz="0" w:space="0" w:color="auto"/>
        <w:bottom w:val="none" w:sz="0" w:space="0" w:color="auto"/>
        <w:right w:val="none" w:sz="0" w:space="0" w:color="auto"/>
      </w:divBdr>
    </w:div>
    <w:div w:id="1465005459">
      <w:bodyDiv w:val="1"/>
      <w:marLeft w:val="0"/>
      <w:marRight w:val="0"/>
      <w:marTop w:val="0"/>
      <w:marBottom w:val="0"/>
      <w:divBdr>
        <w:top w:val="none" w:sz="0" w:space="0" w:color="auto"/>
        <w:left w:val="none" w:sz="0" w:space="0" w:color="auto"/>
        <w:bottom w:val="none" w:sz="0" w:space="0" w:color="auto"/>
        <w:right w:val="none" w:sz="0" w:space="0" w:color="auto"/>
      </w:divBdr>
      <w:divsChild>
        <w:div w:id="1994523246">
          <w:marLeft w:val="547"/>
          <w:marRight w:val="0"/>
          <w:marTop w:val="125"/>
          <w:marBottom w:val="0"/>
          <w:divBdr>
            <w:top w:val="none" w:sz="0" w:space="0" w:color="auto"/>
            <w:left w:val="none" w:sz="0" w:space="0" w:color="auto"/>
            <w:bottom w:val="none" w:sz="0" w:space="0" w:color="auto"/>
            <w:right w:val="none" w:sz="0" w:space="0" w:color="auto"/>
          </w:divBdr>
        </w:div>
        <w:div w:id="1344475583">
          <w:marLeft w:val="547"/>
          <w:marRight w:val="0"/>
          <w:marTop w:val="125"/>
          <w:marBottom w:val="0"/>
          <w:divBdr>
            <w:top w:val="none" w:sz="0" w:space="0" w:color="auto"/>
            <w:left w:val="none" w:sz="0" w:space="0" w:color="auto"/>
            <w:bottom w:val="none" w:sz="0" w:space="0" w:color="auto"/>
            <w:right w:val="none" w:sz="0" w:space="0" w:color="auto"/>
          </w:divBdr>
        </w:div>
      </w:divsChild>
    </w:div>
    <w:div w:id="1733039742">
      <w:bodyDiv w:val="1"/>
      <w:marLeft w:val="0"/>
      <w:marRight w:val="0"/>
      <w:marTop w:val="0"/>
      <w:marBottom w:val="0"/>
      <w:divBdr>
        <w:top w:val="none" w:sz="0" w:space="0" w:color="auto"/>
        <w:left w:val="none" w:sz="0" w:space="0" w:color="auto"/>
        <w:bottom w:val="none" w:sz="0" w:space="0" w:color="auto"/>
        <w:right w:val="none" w:sz="0" w:space="0" w:color="auto"/>
      </w:divBdr>
      <w:divsChild>
        <w:div w:id="1990134861">
          <w:marLeft w:val="547"/>
          <w:marRight w:val="0"/>
          <w:marTop w:val="77"/>
          <w:marBottom w:val="0"/>
          <w:divBdr>
            <w:top w:val="none" w:sz="0" w:space="0" w:color="auto"/>
            <w:left w:val="none" w:sz="0" w:space="0" w:color="auto"/>
            <w:bottom w:val="none" w:sz="0" w:space="0" w:color="auto"/>
            <w:right w:val="none" w:sz="0" w:space="0" w:color="auto"/>
          </w:divBdr>
        </w:div>
      </w:divsChild>
    </w:div>
    <w:div w:id="19375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1D52-E90B-45CB-9EFA-573B1863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13005</Words>
  <Characters>76458</Characters>
  <Application>Microsoft Office Word</Application>
  <DocSecurity>0</DocSecurity>
  <Lines>637</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2019-06-24T03:04:00Z</dcterms:created>
  <dcterms:modified xsi:type="dcterms:W3CDTF">2019-07-05T05:01:00Z</dcterms:modified>
</cp:coreProperties>
</file>