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493" w:rsidRPr="00024895" w:rsidRDefault="00E24CC1" w:rsidP="006D6493">
      <w:pPr>
        <w:pStyle w:val="Title"/>
        <w:spacing w:before="120" w:after="160"/>
        <w:ind w:left="720" w:hanging="720"/>
        <w:rPr>
          <w:rFonts w:asciiTheme="minorHAnsi" w:hAnsiTheme="minorHAnsi"/>
          <w:sz w:val="36"/>
          <w:szCs w:val="36"/>
        </w:rPr>
      </w:pPr>
      <w:r w:rsidRPr="00024895">
        <w:rPr>
          <w:rFonts w:asciiTheme="minorHAnsi" w:hAnsiTheme="minorHAnsi"/>
          <w:sz w:val="36"/>
          <w:szCs w:val="36"/>
        </w:rPr>
        <w:t>14</w:t>
      </w:r>
      <w:r w:rsidR="006D6493" w:rsidRPr="00024895">
        <w:rPr>
          <w:rFonts w:asciiTheme="minorHAnsi" w:hAnsiTheme="minorHAnsi"/>
          <w:sz w:val="36"/>
          <w:szCs w:val="36"/>
        </w:rPr>
        <w:t>.</w:t>
      </w:r>
      <w:r w:rsidRPr="00024895">
        <w:rPr>
          <w:rFonts w:asciiTheme="minorHAnsi" w:hAnsiTheme="minorHAnsi"/>
          <w:sz w:val="36"/>
          <w:szCs w:val="36"/>
        </w:rPr>
        <w:t>03(b)</w:t>
      </w:r>
      <w:r w:rsidR="006D6493" w:rsidRPr="00024895">
        <w:rPr>
          <w:rFonts w:asciiTheme="minorHAnsi" w:hAnsiTheme="minorHAnsi"/>
          <w:sz w:val="36"/>
          <w:szCs w:val="36"/>
        </w:rPr>
        <w:tab/>
      </w:r>
      <w:r w:rsidR="007F3347" w:rsidRPr="00024895">
        <w:rPr>
          <w:rFonts w:asciiTheme="minorHAnsi" w:hAnsiTheme="minorHAnsi"/>
          <w:sz w:val="36"/>
          <w:szCs w:val="36"/>
        </w:rPr>
        <w:t>SEVELAMER</w:t>
      </w:r>
      <w:r w:rsidR="006D6493" w:rsidRPr="00024895">
        <w:rPr>
          <w:rFonts w:asciiTheme="minorHAnsi" w:hAnsiTheme="minorHAnsi"/>
          <w:sz w:val="36"/>
          <w:szCs w:val="36"/>
        </w:rPr>
        <w:t xml:space="preserve"> </w:t>
      </w:r>
      <w:r w:rsidR="006D6493" w:rsidRPr="00024895">
        <w:rPr>
          <w:rFonts w:asciiTheme="minorHAnsi" w:hAnsiTheme="minorHAnsi"/>
          <w:sz w:val="36"/>
          <w:szCs w:val="36"/>
        </w:rPr>
        <w:br/>
      </w:r>
      <w:r w:rsidR="007F3347" w:rsidRPr="00024895">
        <w:rPr>
          <w:rFonts w:asciiTheme="minorHAnsi" w:hAnsiTheme="minorHAnsi"/>
          <w:sz w:val="36"/>
          <w:szCs w:val="36"/>
        </w:rPr>
        <w:t xml:space="preserve">Tablet containing </w:t>
      </w:r>
      <w:proofErr w:type="spellStart"/>
      <w:r w:rsidR="007F3347" w:rsidRPr="00024895">
        <w:rPr>
          <w:rFonts w:asciiTheme="minorHAnsi" w:hAnsiTheme="minorHAnsi"/>
          <w:sz w:val="36"/>
          <w:szCs w:val="36"/>
        </w:rPr>
        <w:t>sevelamer</w:t>
      </w:r>
      <w:proofErr w:type="spellEnd"/>
      <w:r w:rsidR="007F3347" w:rsidRPr="00024895">
        <w:rPr>
          <w:rFonts w:asciiTheme="minorHAnsi" w:hAnsiTheme="minorHAnsi"/>
          <w:sz w:val="36"/>
          <w:szCs w:val="36"/>
        </w:rPr>
        <w:t xml:space="preserve"> </w:t>
      </w:r>
      <w:r w:rsidR="00DF4E5D" w:rsidRPr="00024895">
        <w:rPr>
          <w:rFonts w:asciiTheme="minorHAnsi" w:hAnsiTheme="minorHAnsi"/>
          <w:sz w:val="36"/>
          <w:szCs w:val="36"/>
        </w:rPr>
        <w:t>carbonate</w:t>
      </w:r>
      <w:r w:rsidR="007F3347" w:rsidRPr="00024895">
        <w:rPr>
          <w:rFonts w:asciiTheme="minorHAnsi" w:hAnsiTheme="minorHAnsi"/>
          <w:sz w:val="36"/>
          <w:szCs w:val="36"/>
        </w:rPr>
        <w:t xml:space="preserve"> 800 mg</w:t>
      </w:r>
      <w:r w:rsidR="006D6493" w:rsidRPr="00024895">
        <w:rPr>
          <w:rFonts w:asciiTheme="minorHAnsi" w:hAnsiTheme="minorHAnsi"/>
          <w:sz w:val="36"/>
          <w:szCs w:val="36"/>
        </w:rPr>
        <w:br/>
      </w:r>
      <w:proofErr w:type="spellStart"/>
      <w:r w:rsidR="007F3347" w:rsidRPr="00024895">
        <w:rPr>
          <w:rFonts w:asciiTheme="minorHAnsi" w:hAnsiTheme="minorHAnsi"/>
          <w:sz w:val="36"/>
          <w:szCs w:val="36"/>
        </w:rPr>
        <w:t>Sevelamer</w:t>
      </w:r>
      <w:proofErr w:type="spellEnd"/>
      <w:r w:rsidR="007F3347" w:rsidRPr="00024895">
        <w:rPr>
          <w:rFonts w:asciiTheme="minorHAnsi" w:hAnsiTheme="minorHAnsi"/>
          <w:sz w:val="36"/>
          <w:szCs w:val="36"/>
        </w:rPr>
        <w:t xml:space="preserve"> Dr Reddy's</w:t>
      </w:r>
      <w:r w:rsidR="006D6493" w:rsidRPr="00024895">
        <w:rPr>
          <w:rFonts w:asciiTheme="minorHAnsi" w:hAnsiTheme="minorHAnsi"/>
          <w:sz w:val="36"/>
          <w:szCs w:val="36"/>
          <w:vertAlign w:val="superscript"/>
        </w:rPr>
        <w:t>®</w:t>
      </w:r>
      <w:r w:rsidR="006D6493" w:rsidRPr="00024895">
        <w:rPr>
          <w:rFonts w:asciiTheme="minorHAnsi" w:hAnsiTheme="minorHAnsi"/>
          <w:sz w:val="36"/>
          <w:szCs w:val="36"/>
        </w:rPr>
        <w:t xml:space="preserve">, </w:t>
      </w:r>
      <w:r w:rsidR="0004675C" w:rsidRPr="00024895">
        <w:rPr>
          <w:rFonts w:asciiTheme="minorHAnsi" w:hAnsiTheme="minorHAnsi"/>
          <w:sz w:val="36"/>
          <w:szCs w:val="36"/>
        </w:rPr>
        <w:t>Dr Reddy's Laboratories (Australia) Pty Ltd</w:t>
      </w:r>
    </w:p>
    <w:p w:rsidR="008A50F1" w:rsidRPr="00024895" w:rsidRDefault="00CE10C4" w:rsidP="00EB0B63">
      <w:pPr>
        <w:pStyle w:val="PBACHeading1"/>
        <w:spacing w:before="240" w:after="120"/>
        <w:ind w:left="709" w:hanging="709"/>
        <w:rPr>
          <w:rFonts w:asciiTheme="minorHAnsi" w:hAnsiTheme="minorHAnsi"/>
          <w:sz w:val="32"/>
          <w:szCs w:val="32"/>
        </w:rPr>
      </w:pPr>
      <w:r w:rsidRPr="00024895">
        <w:rPr>
          <w:rFonts w:asciiTheme="minorHAnsi" w:hAnsiTheme="minorHAnsi"/>
          <w:sz w:val="32"/>
          <w:szCs w:val="32"/>
        </w:rPr>
        <w:t xml:space="preserve">Purpose of </w:t>
      </w:r>
      <w:r w:rsidR="0004240E" w:rsidRPr="00024895">
        <w:rPr>
          <w:rFonts w:asciiTheme="minorHAnsi" w:hAnsiTheme="minorHAnsi"/>
          <w:sz w:val="32"/>
          <w:szCs w:val="32"/>
        </w:rPr>
        <w:t>Application</w:t>
      </w:r>
    </w:p>
    <w:p w:rsidR="006A12A5" w:rsidRPr="00024895"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w:t>
      </w:r>
      <w:r w:rsidR="00E37F8F" w:rsidRPr="00024895">
        <w:rPr>
          <w:rFonts w:asciiTheme="minorHAnsi" w:eastAsiaTheme="minorHAnsi" w:hAnsiTheme="minorHAnsi" w:cstheme="minorBidi"/>
          <w:snapToGrid/>
          <w:sz w:val="24"/>
          <w:szCs w:val="22"/>
        </w:rPr>
        <w:t>minor submission</w:t>
      </w:r>
      <w:r w:rsidR="00FF2801" w:rsidRPr="00024895">
        <w:rPr>
          <w:rFonts w:asciiTheme="minorHAnsi" w:eastAsiaTheme="minorHAnsi" w:hAnsiTheme="minorHAnsi" w:cstheme="minorBidi"/>
          <w:snapToGrid/>
          <w:sz w:val="24"/>
          <w:szCs w:val="22"/>
        </w:rPr>
        <w:t xml:space="preserve"> </w:t>
      </w:r>
      <w:r w:rsidR="00800BC3" w:rsidRPr="00024895">
        <w:rPr>
          <w:rFonts w:asciiTheme="minorHAnsi" w:eastAsiaTheme="minorHAnsi" w:hAnsiTheme="minorHAnsi" w:cstheme="minorBidi"/>
          <w:snapToGrid/>
          <w:sz w:val="24"/>
          <w:szCs w:val="22"/>
        </w:rPr>
        <w:t xml:space="preserve">requested </w:t>
      </w:r>
      <w:r w:rsidR="004A3E48" w:rsidRPr="00024895">
        <w:rPr>
          <w:rFonts w:asciiTheme="minorHAnsi" w:eastAsiaTheme="minorHAnsi" w:hAnsiTheme="minorHAnsi" w:cstheme="minorBidi"/>
          <w:snapToGrid/>
          <w:sz w:val="24"/>
          <w:szCs w:val="22"/>
        </w:rPr>
        <w:t>a</w:t>
      </w:r>
      <w:r w:rsidR="00800BC3" w:rsidRPr="00024895">
        <w:rPr>
          <w:rFonts w:asciiTheme="minorHAnsi" w:eastAsiaTheme="minorHAnsi" w:hAnsiTheme="minorHAnsi" w:cstheme="minorBidi"/>
          <w:snapToGrid/>
          <w:sz w:val="24"/>
          <w:szCs w:val="22"/>
        </w:rPr>
        <w:t xml:space="preserve"> General Schedule </w:t>
      </w:r>
      <w:r w:rsidR="004A3E48" w:rsidRPr="00024895">
        <w:rPr>
          <w:rFonts w:asciiTheme="minorHAnsi" w:eastAsiaTheme="minorHAnsi" w:hAnsiTheme="minorHAnsi" w:cstheme="minorBidi"/>
          <w:snapToGrid/>
          <w:sz w:val="24"/>
          <w:szCs w:val="22"/>
        </w:rPr>
        <w:t xml:space="preserve">listing </w:t>
      </w:r>
      <w:r w:rsidR="00800BC3" w:rsidRPr="00024895">
        <w:rPr>
          <w:rFonts w:asciiTheme="minorHAnsi" w:eastAsiaTheme="minorHAnsi" w:hAnsiTheme="minorHAnsi" w:cstheme="minorBidi"/>
          <w:snapToGrid/>
          <w:sz w:val="24"/>
          <w:szCs w:val="22"/>
        </w:rPr>
        <w:t xml:space="preserve">and </w:t>
      </w:r>
      <w:r w:rsidR="004A3E48" w:rsidRPr="00024895">
        <w:rPr>
          <w:rFonts w:asciiTheme="minorHAnsi" w:eastAsiaTheme="minorHAnsi" w:hAnsiTheme="minorHAnsi" w:cstheme="minorBidi"/>
          <w:snapToGrid/>
          <w:sz w:val="24"/>
          <w:szCs w:val="22"/>
        </w:rPr>
        <w:t xml:space="preserve">a </w:t>
      </w:r>
      <w:r w:rsidR="00800BC3" w:rsidRPr="00024895">
        <w:rPr>
          <w:rFonts w:asciiTheme="minorHAnsi" w:eastAsiaTheme="minorHAnsi" w:hAnsiTheme="minorHAnsi" w:cstheme="minorBidi"/>
          <w:snapToGrid/>
          <w:sz w:val="24"/>
          <w:szCs w:val="22"/>
        </w:rPr>
        <w:t>Section 100 (Highly</w:t>
      </w:r>
      <w:r w:rsidR="007A40B9">
        <w:rPr>
          <w:rFonts w:asciiTheme="minorHAnsi" w:eastAsiaTheme="minorHAnsi" w:hAnsiTheme="minorHAnsi" w:cstheme="minorBidi"/>
          <w:snapToGrid/>
          <w:sz w:val="24"/>
          <w:szCs w:val="22"/>
        </w:rPr>
        <w:t xml:space="preserve"> Specialised Drugs) listing of </w:t>
      </w:r>
      <w:proofErr w:type="spellStart"/>
      <w:r w:rsidR="007A40B9">
        <w:rPr>
          <w:rFonts w:asciiTheme="minorHAnsi" w:eastAsiaTheme="minorHAnsi" w:hAnsiTheme="minorHAnsi" w:cstheme="minorBidi"/>
          <w:snapToGrid/>
          <w:sz w:val="24"/>
          <w:szCs w:val="22"/>
        </w:rPr>
        <w:t>S</w:t>
      </w:r>
      <w:r w:rsidR="00800BC3" w:rsidRPr="00024895">
        <w:rPr>
          <w:rFonts w:asciiTheme="minorHAnsi" w:eastAsiaTheme="minorHAnsi" w:hAnsiTheme="minorHAnsi" w:cstheme="minorBidi"/>
          <w:snapToGrid/>
          <w:sz w:val="24"/>
          <w:szCs w:val="22"/>
        </w:rPr>
        <w:t>evelamer</w:t>
      </w:r>
      <w:proofErr w:type="spellEnd"/>
      <w:r w:rsidR="00CB1C8F" w:rsidRPr="00024895">
        <w:rPr>
          <w:rFonts w:asciiTheme="minorHAnsi" w:eastAsiaTheme="minorHAnsi" w:hAnsiTheme="minorHAnsi" w:cstheme="minorBidi"/>
          <w:snapToGrid/>
          <w:sz w:val="24"/>
          <w:szCs w:val="22"/>
        </w:rPr>
        <w:t xml:space="preserve"> Dr Reddy’s (tablet containing </w:t>
      </w:r>
      <w:proofErr w:type="spellStart"/>
      <w:r w:rsidR="00CB1C8F" w:rsidRPr="00024895">
        <w:rPr>
          <w:rFonts w:asciiTheme="minorHAnsi" w:eastAsiaTheme="minorHAnsi" w:hAnsiTheme="minorHAnsi" w:cstheme="minorBidi"/>
          <w:snapToGrid/>
          <w:sz w:val="24"/>
          <w:szCs w:val="22"/>
        </w:rPr>
        <w:t>sevelamer</w:t>
      </w:r>
      <w:proofErr w:type="spellEnd"/>
      <w:r w:rsidR="00CB1C8F" w:rsidRPr="00024895">
        <w:rPr>
          <w:rFonts w:asciiTheme="minorHAnsi" w:eastAsiaTheme="minorHAnsi" w:hAnsiTheme="minorHAnsi" w:cstheme="minorBidi"/>
          <w:snapToGrid/>
          <w:sz w:val="24"/>
          <w:szCs w:val="22"/>
        </w:rPr>
        <w:t xml:space="preserve"> carbonate)</w:t>
      </w:r>
      <w:r w:rsidR="00800BC3" w:rsidRPr="00024895">
        <w:rPr>
          <w:rFonts w:asciiTheme="minorHAnsi" w:eastAsiaTheme="minorHAnsi" w:hAnsiTheme="minorHAnsi" w:cstheme="minorBidi"/>
          <w:snapToGrid/>
          <w:sz w:val="24"/>
          <w:szCs w:val="22"/>
        </w:rPr>
        <w:t xml:space="preserve">, </w:t>
      </w:r>
      <w:r w:rsidR="00BD2995" w:rsidRPr="00024895">
        <w:rPr>
          <w:rFonts w:asciiTheme="minorHAnsi" w:eastAsiaTheme="minorHAnsi" w:hAnsiTheme="minorHAnsi" w:cstheme="minorBidi"/>
          <w:snapToGrid/>
          <w:sz w:val="24"/>
          <w:szCs w:val="22"/>
        </w:rPr>
        <w:t xml:space="preserve">for the management of </w:t>
      </w:r>
      <w:proofErr w:type="spellStart"/>
      <w:r w:rsidR="00BD2995" w:rsidRPr="00024895">
        <w:rPr>
          <w:rFonts w:asciiTheme="minorHAnsi" w:eastAsiaTheme="minorHAnsi" w:hAnsiTheme="minorHAnsi" w:cstheme="minorBidi"/>
          <w:snapToGrid/>
          <w:sz w:val="24"/>
          <w:szCs w:val="22"/>
        </w:rPr>
        <w:t>hyp</w:t>
      </w:r>
      <w:r w:rsidR="00C646D7" w:rsidRPr="00024895">
        <w:rPr>
          <w:rFonts w:asciiTheme="minorHAnsi" w:eastAsiaTheme="minorHAnsi" w:hAnsiTheme="minorHAnsi" w:cstheme="minorBidi"/>
          <w:snapToGrid/>
          <w:sz w:val="24"/>
          <w:szCs w:val="22"/>
        </w:rPr>
        <w:t>er</w:t>
      </w:r>
      <w:r w:rsidR="00BD2995" w:rsidRPr="00024895">
        <w:rPr>
          <w:rFonts w:asciiTheme="minorHAnsi" w:eastAsiaTheme="minorHAnsi" w:hAnsiTheme="minorHAnsi" w:cstheme="minorBidi"/>
          <w:snapToGrid/>
          <w:sz w:val="24"/>
          <w:szCs w:val="22"/>
        </w:rPr>
        <w:t>phos</w:t>
      </w:r>
      <w:r w:rsidR="00C646D7" w:rsidRPr="00024895">
        <w:rPr>
          <w:rFonts w:asciiTheme="minorHAnsi" w:eastAsiaTheme="minorHAnsi" w:hAnsiTheme="minorHAnsi" w:cstheme="minorBidi"/>
          <w:snapToGrid/>
          <w:sz w:val="24"/>
          <w:szCs w:val="22"/>
        </w:rPr>
        <w:t>p</w:t>
      </w:r>
      <w:r w:rsidR="00BD2995" w:rsidRPr="00024895">
        <w:rPr>
          <w:rFonts w:asciiTheme="minorHAnsi" w:eastAsiaTheme="minorHAnsi" w:hAnsiTheme="minorHAnsi" w:cstheme="minorBidi"/>
          <w:snapToGrid/>
          <w:sz w:val="24"/>
          <w:szCs w:val="22"/>
        </w:rPr>
        <w:t>hataemia</w:t>
      </w:r>
      <w:proofErr w:type="spellEnd"/>
      <w:r w:rsidR="00BD2995" w:rsidRPr="00024895">
        <w:rPr>
          <w:rFonts w:asciiTheme="minorHAnsi" w:eastAsiaTheme="minorHAnsi" w:hAnsiTheme="minorHAnsi" w:cstheme="minorBidi"/>
          <w:snapToGrid/>
          <w:sz w:val="24"/>
          <w:szCs w:val="22"/>
        </w:rPr>
        <w:t xml:space="preserve"> in patients with chronic kidney disease </w:t>
      </w:r>
      <w:r w:rsidR="00E37F8F" w:rsidRPr="00024895">
        <w:rPr>
          <w:rFonts w:asciiTheme="minorHAnsi" w:eastAsiaTheme="minorHAnsi" w:hAnsiTheme="minorHAnsi" w:cstheme="minorBidi"/>
          <w:snapToGrid/>
          <w:sz w:val="24"/>
          <w:szCs w:val="22"/>
        </w:rPr>
        <w:t>that</w:t>
      </w:r>
      <w:r w:rsidR="00BD2995" w:rsidRPr="00024895">
        <w:rPr>
          <w:rFonts w:asciiTheme="minorHAnsi" w:eastAsiaTheme="minorHAnsi" w:hAnsiTheme="minorHAnsi" w:cstheme="minorBidi"/>
          <w:snapToGrid/>
          <w:sz w:val="24"/>
          <w:szCs w:val="22"/>
        </w:rPr>
        <w:t xml:space="preserve"> require dialysis.</w:t>
      </w:r>
    </w:p>
    <w:p w:rsidR="006A12A5" w:rsidRPr="00024895" w:rsidRDefault="006A12A5" w:rsidP="00EB0B63">
      <w:pPr>
        <w:pStyle w:val="PBACHeading1"/>
        <w:spacing w:before="240" w:after="120"/>
        <w:ind w:left="709" w:hanging="709"/>
        <w:rPr>
          <w:rFonts w:asciiTheme="minorHAnsi" w:hAnsiTheme="minorHAnsi"/>
          <w:sz w:val="32"/>
          <w:szCs w:val="32"/>
        </w:rPr>
      </w:pPr>
      <w:r w:rsidRPr="00024895">
        <w:rPr>
          <w:rFonts w:asciiTheme="minorHAnsi" w:hAnsiTheme="minorHAnsi"/>
          <w:sz w:val="32"/>
          <w:szCs w:val="32"/>
        </w:rPr>
        <w:t>Requested listing</w:t>
      </w:r>
    </w:p>
    <w:p w:rsidR="0067747D" w:rsidRPr="007A40B9" w:rsidRDefault="00EF44A0"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submission </w:t>
      </w:r>
      <w:r w:rsidR="00FF2801" w:rsidRPr="00024895">
        <w:rPr>
          <w:rFonts w:asciiTheme="minorHAnsi" w:eastAsiaTheme="minorHAnsi" w:hAnsiTheme="minorHAnsi" w:cstheme="minorBidi"/>
          <w:snapToGrid/>
          <w:sz w:val="24"/>
          <w:szCs w:val="22"/>
        </w:rPr>
        <w:t>requested</w:t>
      </w:r>
      <w:r w:rsidR="002F1727" w:rsidRPr="00024895">
        <w:rPr>
          <w:rFonts w:asciiTheme="minorHAnsi" w:eastAsiaTheme="minorHAnsi" w:hAnsiTheme="minorHAnsi" w:cstheme="minorBidi"/>
          <w:snapToGrid/>
          <w:sz w:val="24"/>
          <w:szCs w:val="22"/>
        </w:rPr>
        <w:t xml:space="preserve"> a </w:t>
      </w:r>
      <w:r w:rsidR="00DF4E5D" w:rsidRPr="00024895">
        <w:rPr>
          <w:rFonts w:asciiTheme="minorHAnsi" w:eastAsiaTheme="minorHAnsi" w:hAnsiTheme="minorHAnsi" w:cstheme="minorBidi"/>
          <w:snapToGrid/>
          <w:sz w:val="24"/>
          <w:szCs w:val="22"/>
        </w:rPr>
        <w:t>new</w:t>
      </w:r>
      <w:r w:rsidR="002F1727" w:rsidRPr="00024895">
        <w:rPr>
          <w:rFonts w:asciiTheme="minorHAnsi" w:eastAsiaTheme="minorHAnsi" w:hAnsiTheme="minorHAnsi" w:cstheme="minorBidi"/>
          <w:snapToGrid/>
          <w:sz w:val="24"/>
          <w:szCs w:val="22"/>
        </w:rPr>
        <w:t xml:space="preserve"> </w:t>
      </w:r>
      <w:r w:rsidR="004A3E48" w:rsidRPr="00024895">
        <w:rPr>
          <w:rFonts w:asciiTheme="minorHAnsi" w:eastAsiaTheme="minorHAnsi" w:hAnsiTheme="minorHAnsi" w:cstheme="minorBidi"/>
          <w:snapToGrid/>
          <w:sz w:val="24"/>
          <w:szCs w:val="22"/>
        </w:rPr>
        <w:t>listing for</w:t>
      </w:r>
      <w:r w:rsidR="002F1727" w:rsidRPr="00024895">
        <w:rPr>
          <w:rFonts w:asciiTheme="minorHAnsi" w:eastAsiaTheme="minorHAnsi" w:hAnsiTheme="minorHAnsi" w:cstheme="minorBidi"/>
          <w:snapToGrid/>
          <w:sz w:val="24"/>
          <w:szCs w:val="22"/>
        </w:rPr>
        <w:t xml:space="preserve"> </w:t>
      </w:r>
      <w:proofErr w:type="spellStart"/>
      <w:r w:rsidR="007A40B9">
        <w:rPr>
          <w:rFonts w:asciiTheme="minorHAnsi" w:eastAsiaTheme="minorHAnsi" w:hAnsiTheme="minorHAnsi" w:cstheme="minorBidi"/>
          <w:snapToGrid/>
          <w:sz w:val="24"/>
          <w:szCs w:val="22"/>
        </w:rPr>
        <w:t>S</w:t>
      </w:r>
      <w:r w:rsidR="002F1727" w:rsidRPr="00024895">
        <w:rPr>
          <w:rFonts w:asciiTheme="minorHAnsi" w:eastAsiaTheme="minorHAnsi" w:hAnsiTheme="minorHAnsi" w:cstheme="minorBidi"/>
          <w:snapToGrid/>
          <w:sz w:val="24"/>
          <w:szCs w:val="22"/>
        </w:rPr>
        <w:t>evelamer</w:t>
      </w:r>
      <w:proofErr w:type="spellEnd"/>
      <w:r w:rsidR="002F1727" w:rsidRPr="00024895">
        <w:rPr>
          <w:rFonts w:asciiTheme="minorHAnsi" w:eastAsiaTheme="minorHAnsi" w:hAnsiTheme="minorHAnsi" w:cstheme="minorBidi"/>
          <w:snapToGrid/>
          <w:sz w:val="24"/>
          <w:szCs w:val="22"/>
        </w:rPr>
        <w:t xml:space="preserve"> </w:t>
      </w:r>
      <w:r w:rsidR="005A3308" w:rsidRPr="00024895">
        <w:rPr>
          <w:rFonts w:asciiTheme="minorHAnsi" w:eastAsiaTheme="minorHAnsi" w:hAnsiTheme="minorHAnsi" w:cstheme="minorBidi"/>
          <w:snapToGrid/>
          <w:sz w:val="24"/>
          <w:szCs w:val="22"/>
        </w:rPr>
        <w:t>D</w:t>
      </w:r>
      <w:r w:rsidR="00CB244A" w:rsidRPr="00024895">
        <w:rPr>
          <w:rFonts w:asciiTheme="minorHAnsi" w:eastAsiaTheme="minorHAnsi" w:hAnsiTheme="minorHAnsi" w:cstheme="minorBidi"/>
          <w:snapToGrid/>
          <w:sz w:val="24"/>
          <w:szCs w:val="22"/>
        </w:rPr>
        <w:t>r</w:t>
      </w:r>
      <w:r w:rsidR="005A3308" w:rsidRPr="00024895">
        <w:rPr>
          <w:rFonts w:asciiTheme="minorHAnsi" w:eastAsiaTheme="minorHAnsi" w:hAnsiTheme="minorHAnsi" w:cstheme="minorBidi"/>
          <w:snapToGrid/>
          <w:sz w:val="24"/>
          <w:szCs w:val="22"/>
        </w:rPr>
        <w:t xml:space="preserve"> Reddy’s </w:t>
      </w:r>
      <w:r w:rsidR="002F1727" w:rsidRPr="00024895">
        <w:rPr>
          <w:rFonts w:asciiTheme="minorHAnsi" w:eastAsiaTheme="minorHAnsi" w:hAnsiTheme="minorHAnsi" w:cstheme="minorBidi"/>
          <w:snapToGrid/>
          <w:sz w:val="24"/>
          <w:szCs w:val="22"/>
        </w:rPr>
        <w:t>(</w:t>
      </w:r>
      <w:r w:rsidR="005A3308" w:rsidRPr="00024895">
        <w:rPr>
          <w:rFonts w:asciiTheme="minorHAnsi" w:eastAsiaTheme="minorHAnsi" w:hAnsiTheme="minorHAnsi" w:cstheme="minorBidi"/>
          <w:snapToGrid/>
          <w:sz w:val="24"/>
          <w:szCs w:val="22"/>
        </w:rPr>
        <w:t>tablet containing</w:t>
      </w:r>
      <w:r w:rsidR="002F1727" w:rsidRPr="00024895">
        <w:rPr>
          <w:rFonts w:asciiTheme="minorHAnsi" w:eastAsiaTheme="minorHAnsi" w:hAnsiTheme="minorHAnsi" w:cstheme="minorBidi"/>
          <w:snapToGrid/>
          <w:sz w:val="24"/>
          <w:szCs w:val="22"/>
        </w:rPr>
        <w:t xml:space="preserve"> </w:t>
      </w:r>
      <w:proofErr w:type="spellStart"/>
      <w:r w:rsidR="002F1727" w:rsidRPr="00024895">
        <w:rPr>
          <w:rFonts w:asciiTheme="minorHAnsi" w:eastAsiaTheme="minorHAnsi" w:hAnsiTheme="minorHAnsi" w:cstheme="minorBidi"/>
          <w:snapToGrid/>
          <w:sz w:val="24"/>
          <w:szCs w:val="22"/>
        </w:rPr>
        <w:t>sevelamer</w:t>
      </w:r>
      <w:proofErr w:type="spellEnd"/>
      <w:r w:rsidR="002F1727" w:rsidRPr="00024895">
        <w:rPr>
          <w:rFonts w:asciiTheme="minorHAnsi" w:eastAsiaTheme="minorHAnsi" w:hAnsiTheme="minorHAnsi" w:cstheme="minorBidi"/>
          <w:snapToGrid/>
          <w:sz w:val="24"/>
          <w:szCs w:val="22"/>
        </w:rPr>
        <w:t xml:space="preserve"> </w:t>
      </w:r>
      <w:r w:rsidR="00DF4E5D" w:rsidRPr="00024895">
        <w:rPr>
          <w:rFonts w:asciiTheme="minorHAnsi" w:eastAsiaTheme="minorHAnsi" w:hAnsiTheme="minorHAnsi" w:cstheme="minorBidi"/>
          <w:snapToGrid/>
          <w:sz w:val="24"/>
          <w:szCs w:val="22"/>
        </w:rPr>
        <w:t>carbonate</w:t>
      </w:r>
      <w:r w:rsidR="002F1727" w:rsidRPr="00024895">
        <w:rPr>
          <w:rFonts w:asciiTheme="minorHAnsi" w:eastAsiaTheme="minorHAnsi" w:hAnsiTheme="minorHAnsi" w:cstheme="minorBidi"/>
          <w:snapToGrid/>
          <w:sz w:val="24"/>
          <w:szCs w:val="22"/>
        </w:rPr>
        <w:t xml:space="preserve">), with the same indication and restriction as </w:t>
      </w:r>
      <w:proofErr w:type="spellStart"/>
      <w:r w:rsidR="002F1727" w:rsidRPr="00024895">
        <w:rPr>
          <w:rFonts w:asciiTheme="minorHAnsi" w:eastAsiaTheme="minorHAnsi" w:hAnsiTheme="minorHAnsi" w:cstheme="minorBidi"/>
          <w:snapToGrid/>
          <w:sz w:val="24"/>
          <w:szCs w:val="22"/>
        </w:rPr>
        <w:t>sevelamer</w:t>
      </w:r>
      <w:proofErr w:type="spellEnd"/>
      <w:r w:rsidR="002F1727" w:rsidRPr="00024895">
        <w:rPr>
          <w:rFonts w:asciiTheme="minorHAnsi" w:eastAsiaTheme="minorHAnsi" w:hAnsiTheme="minorHAnsi" w:cstheme="minorBidi"/>
          <w:snapToGrid/>
          <w:sz w:val="24"/>
          <w:szCs w:val="22"/>
        </w:rPr>
        <w:t xml:space="preserve"> hydrochloride 800 mg </w:t>
      </w:r>
      <w:r w:rsidR="0093202C" w:rsidRPr="00024895">
        <w:rPr>
          <w:rFonts w:asciiTheme="minorHAnsi" w:eastAsiaTheme="minorHAnsi" w:hAnsiTheme="minorHAnsi" w:cstheme="minorBidi"/>
          <w:snapToGrid/>
          <w:sz w:val="24"/>
          <w:szCs w:val="22"/>
        </w:rPr>
        <w:t>(</w:t>
      </w:r>
      <w:proofErr w:type="spellStart"/>
      <w:r w:rsidR="0093202C" w:rsidRPr="00024895">
        <w:rPr>
          <w:rFonts w:asciiTheme="minorHAnsi" w:eastAsiaTheme="minorHAnsi" w:hAnsiTheme="minorHAnsi" w:cstheme="minorBidi"/>
          <w:snapToGrid/>
          <w:sz w:val="24"/>
          <w:szCs w:val="22"/>
        </w:rPr>
        <w:t>Ren</w:t>
      </w:r>
      <w:r w:rsidR="006309F9" w:rsidRPr="00024895">
        <w:rPr>
          <w:rFonts w:asciiTheme="minorHAnsi" w:eastAsiaTheme="minorHAnsi" w:hAnsiTheme="minorHAnsi" w:cstheme="minorBidi"/>
          <w:snapToGrid/>
          <w:sz w:val="24"/>
          <w:szCs w:val="22"/>
        </w:rPr>
        <w:t>a</w:t>
      </w:r>
      <w:r w:rsidR="0093202C" w:rsidRPr="00024895">
        <w:rPr>
          <w:rFonts w:asciiTheme="minorHAnsi" w:eastAsiaTheme="minorHAnsi" w:hAnsiTheme="minorHAnsi" w:cstheme="minorBidi"/>
          <w:snapToGrid/>
          <w:sz w:val="24"/>
          <w:szCs w:val="22"/>
        </w:rPr>
        <w:t>g</w:t>
      </w:r>
      <w:r w:rsidR="0031477E" w:rsidRPr="00024895">
        <w:rPr>
          <w:rFonts w:asciiTheme="minorHAnsi" w:eastAsiaTheme="minorHAnsi" w:hAnsiTheme="minorHAnsi" w:cstheme="minorBidi"/>
          <w:snapToGrid/>
          <w:sz w:val="24"/>
          <w:szCs w:val="22"/>
        </w:rPr>
        <w:t>e</w:t>
      </w:r>
      <w:r w:rsidR="0093202C" w:rsidRPr="00024895">
        <w:rPr>
          <w:rFonts w:asciiTheme="minorHAnsi" w:eastAsiaTheme="minorHAnsi" w:hAnsiTheme="minorHAnsi" w:cstheme="minorBidi"/>
          <w:snapToGrid/>
          <w:sz w:val="24"/>
          <w:szCs w:val="22"/>
        </w:rPr>
        <w:t>l</w:t>
      </w:r>
      <w:proofErr w:type="spellEnd"/>
      <w:r w:rsidR="007A40B9">
        <w:rPr>
          <w:rFonts w:asciiTheme="minorHAnsi" w:eastAsiaTheme="minorHAnsi" w:hAnsiTheme="minorHAnsi" w:cstheme="minorHAnsi"/>
          <w:snapToGrid/>
          <w:sz w:val="24"/>
          <w:szCs w:val="22"/>
        </w:rPr>
        <w:t>®</w:t>
      </w:r>
      <w:r w:rsidR="0093202C" w:rsidRPr="00024895">
        <w:rPr>
          <w:rFonts w:asciiTheme="minorHAnsi" w:eastAsiaTheme="minorHAnsi" w:hAnsiTheme="minorHAnsi" w:cstheme="minorBidi"/>
          <w:snapToGrid/>
          <w:sz w:val="24"/>
          <w:szCs w:val="22"/>
        </w:rPr>
        <w:t xml:space="preserve">) </w:t>
      </w:r>
      <w:r w:rsidR="004A3E48" w:rsidRPr="00024895">
        <w:rPr>
          <w:rFonts w:asciiTheme="minorHAnsi" w:eastAsiaTheme="minorHAnsi" w:hAnsiTheme="minorHAnsi" w:cstheme="minorBidi"/>
          <w:snapToGrid/>
          <w:sz w:val="24"/>
          <w:szCs w:val="22"/>
        </w:rPr>
        <w:t xml:space="preserve">that </w:t>
      </w:r>
      <w:proofErr w:type="gramStart"/>
      <w:r w:rsidR="004A3E48" w:rsidRPr="00024895">
        <w:rPr>
          <w:rFonts w:asciiTheme="minorHAnsi" w:eastAsiaTheme="minorHAnsi" w:hAnsiTheme="minorHAnsi" w:cstheme="minorBidi"/>
          <w:snapToGrid/>
          <w:sz w:val="24"/>
          <w:szCs w:val="22"/>
        </w:rPr>
        <w:t xml:space="preserve">is </w:t>
      </w:r>
      <w:r w:rsidR="002F1727" w:rsidRPr="00024895">
        <w:rPr>
          <w:rFonts w:asciiTheme="minorHAnsi" w:eastAsiaTheme="minorHAnsi" w:hAnsiTheme="minorHAnsi" w:cstheme="minorBidi"/>
          <w:snapToGrid/>
          <w:sz w:val="24"/>
          <w:szCs w:val="22"/>
        </w:rPr>
        <w:t>current</w:t>
      </w:r>
      <w:r w:rsidR="004A3E48" w:rsidRPr="00024895">
        <w:rPr>
          <w:rFonts w:asciiTheme="minorHAnsi" w:eastAsiaTheme="minorHAnsi" w:hAnsiTheme="minorHAnsi" w:cstheme="minorBidi"/>
          <w:snapToGrid/>
          <w:sz w:val="24"/>
          <w:szCs w:val="22"/>
        </w:rPr>
        <w:t>ly</w:t>
      </w:r>
      <w:r w:rsidR="002F1727" w:rsidRPr="00024895">
        <w:rPr>
          <w:rFonts w:asciiTheme="minorHAnsi" w:eastAsiaTheme="minorHAnsi" w:hAnsiTheme="minorHAnsi" w:cstheme="minorBidi"/>
          <w:snapToGrid/>
          <w:sz w:val="24"/>
          <w:szCs w:val="22"/>
        </w:rPr>
        <w:t xml:space="preserve"> listed</w:t>
      </w:r>
      <w:proofErr w:type="gramEnd"/>
      <w:r w:rsidR="002F1727" w:rsidRPr="00024895">
        <w:rPr>
          <w:rFonts w:asciiTheme="minorHAnsi" w:eastAsiaTheme="minorHAnsi" w:hAnsiTheme="minorHAnsi" w:cstheme="minorBidi"/>
          <w:snapToGrid/>
          <w:sz w:val="24"/>
          <w:szCs w:val="22"/>
        </w:rPr>
        <w:t xml:space="preserve"> on the PBS.</w:t>
      </w:r>
    </w:p>
    <w:tbl>
      <w:tblPr>
        <w:tblW w:w="4915" w:type="pct"/>
        <w:tblLook w:val="0000" w:firstRow="0" w:lastRow="0" w:firstColumn="0" w:lastColumn="0" w:noHBand="0" w:noVBand="0"/>
      </w:tblPr>
      <w:tblGrid>
        <w:gridCol w:w="1893"/>
        <w:gridCol w:w="1331"/>
        <w:gridCol w:w="712"/>
        <w:gridCol w:w="861"/>
        <w:gridCol w:w="1583"/>
        <w:gridCol w:w="2484"/>
        <w:gridCol w:w="9"/>
      </w:tblGrid>
      <w:tr w:rsidR="0004675C" w:rsidRPr="00024895" w:rsidTr="00115B0F">
        <w:trPr>
          <w:cantSplit/>
          <w:trHeight w:val="465"/>
        </w:trPr>
        <w:tc>
          <w:tcPr>
            <w:tcW w:w="1817" w:type="pct"/>
            <w:gridSpan w:val="2"/>
            <w:tcBorders>
              <w:bottom w:val="single" w:sz="4" w:space="0" w:color="auto"/>
            </w:tcBorders>
          </w:tcPr>
          <w:p w:rsidR="00826F6D" w:rsidRPr="00024895"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Name, Restriction,</w:t>
            </w:r>
          </w:p>
          <w:p w:rsidR="00826F6D" w:rsidRPr="00024895"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Manner of administration and form</w:t>
            </w:r>
          </w:p>
        </w:tc>
        <w:tc>
          <w:tcPr>
            <w:tcW w:w="401" w:type="pct"/>
            <w:tcBorders>
              <w:bottom w:val="single" w:sz="4" w:space="0" w:color="auto"/>
            </w:tcBorders>
          </w:tcPr>
          <w:p w:rsidR="00826F6D" w:rsidRPr="00024895"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Max.</w:t>
            </w:r>
          </w:p>
          <w:p w:rsidR="00826F6D" w:rsidRPr="00024895" w:rsidRDefault="00826F6D" w:rsidP="00EB0B63">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Qty</w:t>
            </w:r>
            <w:proofErr w:type="spellEnd"/>
          </w:p>
        </w:tc>
        <w:tc>
          <w:tcPr>
            <w:tcW w:w="485" w:type="pct"/>
            <w:tcBorders>
              <w:bottom w:val="single" w:sz="4" w:space="0" w:color="auto"/>
            </w:tcBorders>
          </w:tcPr>
          <w:p w:rsidR="00826F6D" w:rsidRPr="00024895"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№.of</w:t>
            </w:r>
          </w:p>
          <w:p w:rsidR="00826F6D" w:rsidRPr="00024895" w:rsidRDefault="00826F6D" w:rsidP="00EB0B63">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Rpts</w:t>
            </w:r>
            <w:proofErr w:type="spellEnd"/>
          </w:p>
        </w:tc>
        <w:tc>
          <w:tcPr>
            <w:tcW w:w="892" w:type="pct"/>
            <w:tcBorders>
              <w:bottom w:val="single" w:sz="4" w:space="0" w:color="auto"/>
            </w:tcBorders>
          </w:tcPr>
          <w:p w:rsidR="00826F6D" w:rsidRPr="00024895"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 xml:space="preserve">Dispensed Price for Max. </w:t>
            </w:r>
            <w:proofErr w:type="spellStart"/>
            <w:r w:rsidRPr="00024895">
              <w:rPr>
                <w:rFonts w:ascii="Arial Narrow" w:hAnsi="Arial Narrow" w:cs="Arial"/>
                <w:b/>
                <w:sz w:val="20"/>
                <w:szCs w:val="20"/>
              </w:rPr>
              <w:t>Qty</w:t>
            </w:r>
            <w:proofErr w:type="spellEnd"/>
          </w:p>
        </w:tc>
        <w:tc>
          <w:tcPr>
            <w:tcW w:w="1404" w:type="pct"/>
            <w:gridSpan w:val="2"/>
            <w:tcBorders>
              <w:bottom w:val="single" w:sz="4" w:space="0" w:color="auto"/>
            </w:tcBorders>
          </w:tcPr>
          <w:p w:rsidR="00826F6D" w:rsidRPr="0089214F" w:rsidRDefault="00826F6D" w:rsidP="00EB0B63">
            <w:pPr>
              <w:keepNext/>
              <w:spacing w:before="40" w:after="40"/>
              <w:jc w:val="both"/>
              <w:rPr>
                <w:rFonts w:ascii="Arial Narrow" w:hAnsi="Arial Narrow" w:cs="Arial"/>
                <w:b/>
                <w:sz w:val="20"/>
                <w:szCs w:val="20"/>
              </w:rPr>
            </w:pPr>
            <w:r w:rsidRPr="00024895">
              <w:rPr>
                <w:rFonts w:ascii="Arial Narrow" w:hAnsi="Arial Narrow" w:cs="Arial"/>
                <w:b/>
                <w:sz w:val="20"/>
                <w:szCs w:val="20"/>
              </w:rPr>
              <w:t>Proprietary Name and Manufacturer</w:t>
            </w:r>
          </w:p>
        </w:tc>
      </w:tr>
      <w:tr w:rsidR="00145A57" w:rsidRPr="00024895" w:rsidTr="00115B0F">
        <w:trPr>
          <w:cantSplit/>
          <w:trHeight w:val="567"/>
        </w:trPr>
        <w:tc>
          <w:tcPr>
            <w:tcW w:w="1817" w:type="pct"/>
            <w:gridSpan w:val="2"/>
          </w:tcPr>
          <w:p w:rsidR="00145A57" w:rsidRPr="00024895" w:rsidRDefault="00145A57" w:rsidP="00EB0B63">
            <w:pPr>
              <w:keepNext/>
              <w:spacing w:before="40" w:after="40"/>
              <w:jc w:val="both"/>
              <w:rPr>
                <w:rFonts w:ascii="Arial Narrow" w:hAnsi="Arial Narrow" w:cs="Arial"/>
                <w:sz w:val="20"/>
                <w:szCs w:val="20"/>
              </w:rPr>
            </w:pPr>
            <w:r w:rsidRPr="00024895">
              <w:rPr>
                <w:rFonts w:ascii="Arial Narrow" w:hAnsi="Arial Narrow" w:cs="Arial"/>
                <w:smallCaps/>
                <w:sz w:val="20"/>
                <w:szCs w:val="20"/>
              </w:rPr>
              <w:t>SEVELAMER</w:t>
            </w:r>
          </w:p>
          <w:p w:rsidR="00145A57" w:rsidRPr="00024895" w:rsidRDefault="00145A57" w:rsidP="00DF4E5D">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carbonate, tablet 800, mg, 180  </w:t>
            </w:r>
          </w:p>
        </w:tc>
        <w:tc>
          <w:tcPr>
            <w:tcW w:w="401" w:type="pct"/>
          </w:tcPr>
          <w:p w:rsidR="00145A57" w:rsidRPr="00024895" w:rsidRDefault="00145A57" w:rsidP="00EB0B63">
            <w:pPr>
              <w:keepNext/>
              <w:spacing w:before="40" w:after="40"/>
              <w:jc w:val="both"/>
              <w:rPr>
                <w:rFonts w:ascii="Arial Narrow" w:hAnsi="Arial Narrow" w:cs="Arial"/>
                <w:sz w:val="20"/>
                <w:szCs w:val="20"/>
              </w:rPr>
            </w:pPr>
          </w:p>
          <w:p w:rsidR="00145A57" w:rsidRPr="00024895" w:rsidRDefault="00145A57" w:rsidP="00EB0B63">
            <w:pPr>
              <w:keepNext/>
              <w:spacing w:before="40" w:after="40"/>
              <w:jc w:val="both"/>
              <w:rPr>
                <w:rFonts w:ascii="Arial Narrow" w:hAnsi="Arial Narrow" w:cs="Arial"/>
                <w:sz w:val="20"/>
                <w:szCs w:val="20"/>
              </w:rPr>
            </w:pPr>
            <w:r w:rsidRPr="00024895">
              <w:rPr>
                <w:rFonts w:ascii="Arial Narrow" w:hAnsi="Arial Narrow" w:cs="Arial"/>
                <w:sz w:val="20"/>
                <w:szCs w:val="20"/>
              </w:rPr>
              <w:t>1</w:t>
            </w:r>
          </w:p>
        </w:tc>
        <w:tc>
          <w:tcPr>
            <w:tcW w:w="485" w:type="pct"/>
          </w:tcPr>
          <w:p w:rsidR="00145A57" w:rsidRPr="00024895" w:rsidRDefault="00145A57" w:rsidP="00EB0B63">
            <w:pPr>
              <w:keepNext/>
              <w:spacing w:before="40" w:after="40"/>
              <w:jc w:val="both"/>
              <w:rPr>
                <w:rFonts w:ascii="Arial Narrow" w:hAnsi="Arial Narrow" w:cs="Arial"/>
                <w:sz w:val="20"/>
                <w:szCs w:val="20"/>
              </w:rPr>
            </w:pPr>
          </w:p>
          <w:p w:rsidR="00145A57" w:rsidRPr="00024895" w:rsidRDefault="00145A57" w:rsidP="00EB0B63">
            <w:pPr>
              <w:keepNext/>
              <w:spacing w:before="40" w:after="40"/>
              <w:jc w:val="both"/>
              <w:rPr>
                <w:rFonts w:ascii="Arial Narrow" w:hAnsi="Arial Narrow" w:cs="Arial"/>
                <w:sz w:val="20"/>
                <w:szCs w:val="20"/>
              </w:rPr>
            </w:pPr>
            <w:r w:rsidRPr="00024895">
              <w:rPr>
                <w:rFonts w:ascii="Arial Narrow" w:hAnsi="Arial Narrow" w:cs="Arial"/>
                <w:sz w:val="20"/>
                <w:szCs w:val="20"/>
              </w:rPr>
              <w:t>5</w:t>
            </w:r>
          </w:p>
        </w:tc>
        <w:tc>
          <w:tcPr>
            <w:tcW w:w="892" w:type="pct"/>
          </w:tcPr>
          <w:p w:rsidR="00145A57" w:rsidRPr="00024895" w:rsidRDefault="00145A57" w:rsidP="00EB0B63">
            <w:pPr>
              <w:keepNext/>
              <w:spacing w:before="40" w:after="40"/>
              <w:jc w:val="both"/>
              <w:rPr>
                <w:rFonts w:ascii="Arial Narrow" w:hAnsi="Arial Narrow" w:cs="Arial"/>
                <w:sz w:val="20"/>
                <w:szCs w:val="20"/>
              </w:rPr>
            </w:pPr>
          </w:p>
          <w:p w:rsidR="00145A57" w:rsidRPr="00024895" w:rsidRDefault="00145A57" w:rsidP="00EB0B63">
            <w:pPr>
              <w:keepNext/>
              <w:spacing w:before="40" w:after="40"/>
              <w:jc w:val="both"/>
              <w:rPr>
                <w:rFonts w:ascii="Arial Narrow" w:hAnsi="Arial Narrow" w:cs="Arial"/>
                <w:sz w:val="20"/>
                <w:szCs w:val="20"/>
              </w:rPr>
            </w:pPr>
            <w:r w:rsidRPr="00024895">
              <w:rPr>
                <w:rFonts w:ascii="Arial Narrow" w:hAnsi="Arial Narrow" w:cs="Arial"/>
                <w:sz w:val="20"/>
                <w:szCs w:val="20"/>
              </w:rPr>
              <w:t>$229.98</w:t>
            </w:r>
          </w:p>
        </w:tc>
        <w:tc>
          <w:tcPr>
            <w:tcW w:w="1404" w:type="pct"/>
            <w:gridSpan w:val="2"/>
          </w:tcPr>
          <w:p w:rsidR="00145A57" w:rsidRPr="00024895" w:rsidRDefault="00145A57" w:rsidP="00EB0B63">
            <w:pPr>
              <w:keepNext/>
              <w:spacing w:before="40" w:after="40"/>
              <w:jc w:val="both"/>
              <w:rPr>
                <w:rFonts w:ascii="Arial Narrow" w:hAnsi="Arial Narrow" w:cs="Arial"/>
                <w:sz w:val="20"/>
                <w:szCs w:val="20"/>
              </w:rPr>
            </w:pPr>
          </w:p>
          <w:p w:rsidR="00145A57" w:rsidRPr="00024895" w:rsidRDefault="00145A57" w:rsidP="002F1727">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Dr Reddy’s</w:t>
            </w:r>
          </w:p>
          <w:p w:rsidR="00145A57" w:rsidRPr="00024895" w:rsidRDefault="00145A57" w:rsidP="00EB0B63">
            <w:pPr>
              <w:keepNext/>
              <w:spacing w:before="40" w:after="40"/>
              <w:jc w:val="both"/>
              <w:rPr>
                <w:rFonts w:ascii="Arial Narrow" w:hAnsi="Arial Narrow" w:cs="Arial"/>
                <w:sz w:val="20"/>
                <w:szCs w:val="20"/>
              </w:rPr>
            </w:pPr>
          </w:p>
          <w:p w:rsidR="00145A57" w:rsidRPr="00024895" w:rsidRDefault="00145A57" w:rsidP="002F1727">
            <w:pPr>
              <w:keepNext/>
              <w:spacing w:before="40" w:after="40"/>
              <w:jc w:val="both"/>
              <w:rPr>
                <w:rFonts w:ascii="Arial Narrow" w:hAnsi="Arial Narrow" w:cs="Arial"/>
                <w:sz w:val="20"/>
                <w:szCs w:val="20"/>
              </w:rPr>
            </w:pPr>
            <w:r w:rsidRPr="00024895">
              <w:rPr>
                <w:rFonts w:ascii="Arial Narrow" w:hAnsi="Arial Narrow" w:cs="Arial"/>
                <w:sz w:val="20"/>
                <w:szCs w:val="20"/>
              </w:rPr>
              <w:t>Dr Reddy’s Laboratories Australia Pty Ltd</w:t>
            </w:r>
          </w:p>
        </w:tc>
      </w:tr>
      <w:tr w:rsidR="00826F6D" w:rsidRPr="00024895" w:rsidTr="00115B0F">
        <w:trPr>
          <w:cantSplit/>
          <w:trHeight w:val="360"/>
        </w:trPr>
        <w:tc>
          <w:tcPr>
            <w:tcW w:w="5000" w:type="pct"/>
            <w:gridSpan w:val="7"/>
            <w:tcBorders>
              <w:bottom w:val="single" w:sz="4" w:space="0" w:color="auto"/>
            </w:tcBorders>
          </w:tcPr>
          <w:p w:rsidR="00826F6D" w:rsidRPr="00024895" w:rsidRDefault="00826F6D" w:rsidP="00EB0B63">
            <w:pPr>
              <w:spacing w:before="40" w:after="40"/>
              <w:jc w:val="both"/>
              <w:rPr>
                <w:rFonts w:ascii="Arial Narrow" w:hAnsi="Arial Narrow" w:cs="Arial"/>
                <w:sz w:val="20"/>
                <w:szCs w:val="20"/>
              </w:rPr>
            </w:pP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 xml:space="preserve">Category / </w:t>
            </w:r>
          </w:p>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Program</w:t>
            </w: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826F6D" w:rsidP="00AF0B74">
            <w:pPr>
              <w:spacing w:before="40" w:after="40"/>
              <w:rPr>
                <w:rFonts w:ascii="Arial Narrow" w:hAnsi="Arial Narrow" w:cs="Arial"/>
                <w:sz w:val="20"/>
                <w:szCs w:val="20"/>
              </w:rPr>
            </w:pPr>
            <w:r w:rsidRPr="00024895">
              <w:rPr>
                <w:rFonts w:ascii="Arial Narrow" w:hAnsi="Arial Narrow" w:cs="Arial"/>
                <w:sz w:val="20"/>
                <w:szCs w:val="20"/>
              </w:rPr>
              <w:t>GENERAL – General Schedule (Code GE)</w:t>
            </w:r>
          </w:p>
        </w:tc>
      </w:tr>
      <w:tr w:rsidR="0004675C" w:rsidRPr="00024895" w:rsidTr="00115B0F">
        <w:trPr>
          <w:gridAfter w:val="1"/>
          <w:wAfter w:w="5" w:type="pct"/>
          <w:cantSplit/>
          <w:trHeight w:val="492"/>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Prescriber type:</w:t>
            </w: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2F1727" w:rsidP="003F0629">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00826F6D" w:rsidRPr="00024895">
              <w:rPr>
                <w:rFonts w:ascii="Arial Narrow" w:hAnsi="Arial Narrow" w:cs="Arial"/>
                <w:sz w:val="20"/>
                <w:szCs w:val="20"/>
              </w:rPr>
              <w:t xml:space="preserve">Medical Practitioners  </w:t>
            </w:r>
            <w:r w:rsidR="003F0629" w:rsidRPr="0089214F">
              <w:rPr>
                <w:rFonts w:ascii="Arial Narrow" w:hAnsi="Arial Narrow" w:cs="Arial"/>
                <w:sz w:val="20"/>
                <w:szCs w:val="20"/>
              </w:rPr>
              <w:fldChar w:fldCharType="begin">
                <w:ffData>
                  <w:name w:val="Check3"/>
                  <w:enabled/>
                  <w:calcOnExit w:val="0"/>
                  <w:checkBox>
                    <w:sizeAuto/>
                    <w:default w:val="0"/>
                  </w:checkBox>
                </w:ffData>
              </w:fldChar>
            </w:r>
            <w:r w:rsidR="003F0629" w:rsidRPr="00024895">
              <w:rPr>
                <w:rFonts w:ascii="Arial Narrow" w:hAnsi="Arial Narrow" w:cs="Arial"/>
                <w:sz w:val="20"/>
                <w:szCs w:val="20"/>
              </w:rPr>
              <w:instrText xml:space="preserve"> </w:instrText>
            </w:r>
            <w:bookmarkStart w:id="0" w:name="Check3"/>
            <w:r w:rsidR="003F0629" w:rsidRPr="00024895">
              <w:rPr>
                <w:rFonts w:ascii="Arial Narrow" w:hAnsi="Arial Narrow" w:cs="Arial"/>
                <w:sz w:val="20"/>
                <w:szCs w:val="20"/>
              </w:rPr>
              <w:instrText xml:space="preserve">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003F0629" w:rsidRPr="0089214F">
              <w:rPr>
                <w:rFonts w:ascii="Arial Narrow" w:hAnsi="Arial Narrow" w:cs="Arial"/>
                <w:sz w:val="20"/>
                <w:szCs w:val="20"/>
              </w:rPr>
              <w:fldChar w:fldCharType="end"/>
            </w:r>
            <w:bookmarkEnd w:id="0"/>
            <w:r w:rsidR="00826F6D" w:rsidRPr="00024895">
              <w:rPr>
                <w:rFonts w:ascii="Arial Narrow" w:hAnsi="Arial Narrow" w:cs="Arial"/>
                <w:sz w:val="20"/>
                <w:szCs w:val="20"/>
              </w:rPr>
              <w:t xml:space="preserve">Nurse practitioners  </w:t>
            </w: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PBS Indication:</w:t>
            </w: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04675C" w:rsidP="00EB0B63">
            <w:pPr>
              <w:spacing w:before="40" w:after="40"/>
              <w:rPr>
                <w:rFonts w:ascii="Arial Narrow" w:hAnsi="Arial Narrow" w:cs="Arial"/>
                <w:sz w:val="20"/>
                <w:szCs w:val="20"/>
              </w:rPr>
            </w:pPr>
            <w:proofErr w:type="spellStart"/>
            <w:r w:rsidRPr="00024895">
              <w:rPr>
                <w:rFonts w:ascii="Arial Narrow" w:hAnsi="Arial Narrow" w:cs="Arial"/>
                <w:sz w:val="20"/>
                <w:szCs w:val="20"/>
              </w:rPr>
              <w:t>Hyperphosphataemia</w:t>
            </w:r>
            <w:proofErr w:type="spellEnd"/>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Treatment phase:</w:t>
            </w: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Maintenance following initiation and stabilisation</w:t>
            </w: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Restriction Level / Method:</w:t>
            </w:r>
          </w:p>
          <w:p w:rsidR="00826F6D" w:rsidRPr="00024895" w:rsidRDefault="00826F6D" w:rsidP="00EB0B63">
            <w:pPr>
              <w:spacing w:before="40" w:after="40"/>
              <w:rPr>
                <w:rFonts w:ascii="Arial Narrow" w:hAnsi="Arial Narrow" w:cs="Arial"/>
                <w:sz w:val="20"/>
                <w:szCs w:val="20"/>
              </w:rPr>
            </w:pP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0"/>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Authority Required - In Writing</w:t>
            </w:r>
          </w:p>
          <w:p w:rsidR="00826F6D" w:rsidRPr="00024895" w:rsidRDefault="00826F6D" w:rsidP="00EB0B63">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3"/>
                  <w:enabled/>
                  <w:calcOnExit w:val="0"/>
                  <w:checkBox>
                    <w:sizeAuto/>
                    <w:default w:val="0"/>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Authority Required - Telephone</w:t>
            </w:r>
          </w:p>
          <w:p w:rsidR="00826F6D" w:rsidRPr="00024895" w:rsidRDefault="0004675C" w:rsidP="00EB0B63">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5"/>
                  <w:enabled/>
                  <w:calcOnExit w:val="0"/>
                  <w:checkBox>
                    <w:sizeAuto/>
                    <w:default w:val="1"/>
                  </w:checkBox>
                </w:ffData>
              </w:fldChar>
            </w:r>
            <w:bookmarkStart w:id="1" w:name="Check5"/>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bookmarkEnd w:id="1"/>
            <w:r w:rsidR="00826F6D" w:rsidRPr="00024895">
              <w:rPr>
                <w:rFonts w:ascii="Arial Narrow" w:hAnsi="Arial Narrow" w:cs="Arial"/>
                <w:sz w:val="20"/>
                <w:szCs w:val="20"/>
              </w:rPr>
              <w:t>Streamlined</w:t>
            </w: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rPr>
                <w:rFonts w:ascii="Arial Narrow" w:hAnsi="Arial Narrow" w:cs="Arial"/>
                <w:b/>
                <w:sz w:val="20"/>
                <w:szCs w:val="20"/>
              </w:rPr>
            </w:pPr>
            <w:r w:rsidRPr="00024895">
              <w:rPr>
                <w:rFonts w:ascii="Arial Narrow" w:hAnsi="Arial Narrow" w:cs="Arial"/>
                <w:b/>
                <w:sz w:val="20"/>
                <w:szCs w:val="20"/>
              </w:rPr>
              <w:t>Treatment criteria:</w:t>
            </w:r>
          </w:p>
          <w:p w:rsidR="00826F6D" w:rsidRPr="00024895" w:rsidRDefault="00826F6D" w:rsidP="0004675C">
            <w:pPr>
              <w:spacing w:before="40" w:after="40"/>
              <w:rPr>
                <w:rFonts w:ascii="Arial Narrow" w:hAnsi="Arial Narrow" w:cs="Arial"/>
                <w:sz w:val="20"/>
                <w:szCs w:val="20"/>
              </w:rPr>
            </w:pP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Patient must be undergoing dialysis for chronic kidney disease.</w:t>
            </w: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lastRenderedPageBreak/>
              <w:t>Clinical criteria:</w:t>
            </w:r>
          </w:p>
          <w:p w:rsidR="00826F6D" w:rsidRPr="00024895" w:rsidRDefault="00826F6D" w:rsidP="00EB0B63">
            <w:pPr>
              <w:spacing w:before="40" w:after="40"/>
              <w:jc w:val="both"/>
              <w:rPr>
                <w:rFonts w:ascii="Arial Narrow" w:hAnsi="Arial Narrow" w:cs="Arial"/>
                <w:i/>
                <w:sz w:val="20"/>
                <w:szCs w:val="20"/>
              </w:rPr>
            </w:pPr>
          </w:p>
          <w:p w:rsidR="00826F6D" w:rsidRPr="00024895" w:rsidRDefault="00826F6D" w:rsidP="0004675C">
            <w:pPr>
              <w:spacing w:before="40" w:after="40"/>
              <w:jc w:val="both"/>
              <w:rPr>
                <w:rFonts w:ascii="Arial Narrow" w:hAnsi="Arial Narrow" w:cs="Arial"/>
                <w:sz w:val="20"/>
                <w:szCs w:val="20"/>
              </w:rPr>
            </w:pPr>
          </w:p>
        </w:tc>
        <w:tc>
          <w:tcPr>
            <w:tcW w:w="3928" w:type="pct"/>
            <w:gridSpan w:val="5"/>
            <w:tcBorders>
              <w:top w:val="single" w:sz="4" w:space="0" w:color="auto"/>
              <w:left w:val="single" w:sz="4" w:space="0" w:color="auto"/>
              <w:bottom w:val="single" w:sz="4" w:space="0" w:color="auto"/>
              <w:right w:val="single" w:sz="4" w:space="0" w:color="auto"/>
            </w:tcBorders>
          </w:tcPr>
          <w:p w:rsidR="00826F6D"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The condition must not be adequately controlled by calcium</w:t>
            </w:r>
          </w:p>
          <w:p w:rsidR="0004675C"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AND</w:t>
            </w:r>
          </w:p>
          <w:p w:rsidR="0004675C"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 xml:space="preserve">Patient must have a serum phosphate of greater than 1.6 </w:t>
            </w:r>
            <w:proofErr w:type="spellStart"/>
            <w:r w:rsidRPr="00024895">
              <w:rPr>
                <w:rFonts w:ascii="Arial Narrow" w:hAnsi="Arial Narrow" w:cs="Arial"/>
                <w:sz w:val="20"/>
                <w:szCs w:val="20"/>
              </w:rPr>
              <w:t>mmol</w:t>
            </w:r>
            <w:proofErr w:type="spellEnd"/>
            <w:r w:rsidRPr="00024895">
              <w:rPr>
                <w:rFonts w:ascii="Arial Narrow" w:hAnsi="Arial Narrow" w:cs="Arial"/>
                <w:sz w:val="20"/>
                <w:szCs w:val="20"/>
              </w:rPr>
              <w:t xml:space="preserve"> per L at the commencement of therapy; OR</w:t>
            </w:r>
          </w:p>
          <w:p w:rsidR="00826F6D"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The condition must be where a serum calcium times phosphate product is greater than 4 at the commencement of therapy,</w:t>
            </w:r>
          </w:p>
          <w:p w:rsidR="0004675C" w:rsidRPr="00024895" w:rsidRDefault="0004675C" w:rsidP="00EB0B63">
            <w:pPr>
              <w:spacing w:before="40" w:after="40"/>
              <w:rPr>
                <w:rFonts w:ascii="Arial Narrow" w:hAnsi="Arial Narrow" w:cs="Arial"/>
                <w:sz w:val="20"/>
                <w:szCs w:val="20"/>
              </w:rPr>
            </w:pPr>
            <w:r w:rsidRPr="00024895">
              <w:rPr>
                <w:rFonts w:ascii="Arial Narrow" w:hAnsi="Arial Narrow" w:cs="Arial"/>
                <w:sz w:val="20"/>
                <w:szCs w:val="20"/>
              </w:rPr>
              <w:t>AND</w:t>
            </w:r>
          </w:p>
          <w:p w:rsidR="00826F6D" w:rsidRPr="00024895" w:rsidRDefault="0004675C" w:rsidP="0004675C">
            <w:pPr>
              <w:spacing w:before="40" w:after="40"/>
              <w:rPr>
                <w:rFonts w:ascii="Arial Narrow" w:hAnsi="Arial Narrow" w:cs="Arial"/>
                <w:sz w:val="20"/>
                <w:szCs w:val="20"/>
              </w:rPr>
            </w:pPr>
            <w:r w:rsidRPr="00024895">
              <w:rPr>
                <w:rFonts w:ascii="Arial Narrow" w:hAnsi="Arial Narrow" w:cs="Arial"/>
                <w:sz w:val="20"/>
                <w:szCs w:val="20"/>
              </w:rPr>
              <w:t xml:space="preserve">The treatment must not be used in combination with any other non-calcium </w:t>
            </w:r>
            <w:proofErr w:type="gramStart"/>
            <w:r w:rsidRPr="00024895">
              <w:rPr>
                <w:rFonts w:ascii="Arial Narrow" w:hAnsi="Arial Narrow" w:cs="Arial"/>
                <w:sz w:val="20"/>
                <w:szCs w:val="20"/>
              </w:rPr>
              <w:t>phosphate binding</w:t>
            </w:r>
            <w:proofErr w:type="gramEnd"/>
            <w:r w:rsidRPr="00024895">
              <w:rPr>
                <w:rFonts w:ascii="Arial Narrow" w:hAnsi="Arial Narrow" w:cs="Arial"/>
                <w:sz w:val="20"/>
                <w:szCs w:val="20"/>
              </w:rPr>
              <w:t xml:space="preserve"> agents.</w:t>
            </w:r>
          </w:p>
        </w:tc>
      </w:tr>
      <w:tr w:rsidR="0004675C" w:rsidRPr="00024895" w:rsidTr="00115B0F">
        <w:trPr>
          <w:gridAfter w:val="1"/>
          <w:wAfter w:w="5" w:type="pct"/>
          <w:cantSplit/>
          <w:trHeight w:val="360"/>
        </w:trPr>
        <w:tc>
          <w:tcPr>
            <w:tcW w:w="1067" w:type="pct"/>
            <w:tcBorders>
              <w:top w:val="single" w:sz="4" w:space="0" w:color="auto"/>
              <w:left w:val="single" w:sz="4" w:space="0" w:color="auto"/>
              <w:bottom w:val="single" w:sz="4" w:space="0" w:color="auto"/>
              <w:right w:val="single" w:sz="4" w:space="0" w:color="auto"/>
            </w:tcBorders>
          </w:tcPr>
          <w:p w:rsidR="00826F6D" w:rsidRPr="00024895" w:rsidRDefault="00826F6D" w:rsidP="00EB0B63">
            <w:pPr>
              <w:spacing w:before="40" w:after="40"/>
              <w:jc w:val="both"/>
              <w:rPr>
                <w:rFonts w:ascii="Arial Narrow" w:hAnsi="Arial Narrow" w:cs="Arial"/>
                <w:b/>
                <w:sz w:val="20"/>
                <w:szCs w:val="20"/>
              </w:rPr>
            </w:pPr>
            <w:r w:rsidRPr="00024895">
              <w:rPr>
                <w:rFonts w:ascii="Arial Narrow" w:hAnsi="Arial Narrow" w:cs="Arial"/>
                <w:b/>
                <w:sz w:val="20"/>
                <w:szCs w:val="20"/>
              </w:rPr>
              <w:t>Administrative Advice</w:t>
            </w:r>
          </w:p>
          <w:p w:rsidR="00826F6D" w:rsidRPr="00024895" w:rsidRDefault="00826F6D" w:rsidP="00182295">
            <w:pPr>
              <w:spacing w:before="40" w:after="40"/>
              <w:jc w:val="both"/>
              <w:rPr>
                <w:rFonts w:ascii="Arial Narrow" w:hAnsi="Arial Narrow" w:cs="Arial"/>
                <w:i/>
                <w:sz w:val="20"/>
                <w:szCs w:val="20"/>
              </w:rPr>
            </w:pPr>
          </w:p>
        </w:tc>
        <w:tc>
          <w:tcPr>
            <w:tcW w:w="3928" w:type="pct"/>
            <w:gridSpan w:val="5"/>
            <w:tcBorders>
              <w:top w:val="single" w:sz="4" w:space="0" w:color="auto"/>
              <w:left w:val="single" w:sz="4" w:space="0" w:color="auto"/>
              <w:bottom w:val="single" w:sz="4" w:space="0" w:color="auto"/>
              <w:right w:val="single" w:sz="4" w:space="0" w:color="auto"/>
            </w:tcBorders>
          </w:tcPr>
          <w:p w:rsidR="0004675C" w:rsidRPr="00024895" w:rsidRDefault="0004675C" w:rsidP="0004675C">
            <w:pPr>
              <w:spacing w:before="40" w:after="40"/>
              <w:rPr>
                <w:rFonts w:ascii="Arial Narrow" w:hAnsi="Arial Narrow" w:cs="Arial"/>
                <w:sz w:val="20"/>
                <w:szCs w:val="20"/>
              </w:rPr>
            </w:pPr>
            <w:r w:rsidRPr="00024895">
              <w:rPr>
                <w:rFonts w:ascii="Arial Narrow" w:hAnsi="Arial Narrow" w:cs="Arial"/>
                <w:sz w:val="20"/>
                <w:szCs w:val="20"/>
              </w:rPr>
              <w:t xml:space="preserve">Shared Care Model: </w:t>
            </w:r>
          </w:p>
          <w:p w:rsidR="0004675C" w:rsidRPr="00024895" w:rsidRDefault="0004675C" w:rsidP="0004675C">
            <w:pPr>
              <w:spacing w:before="40" w:after="40"/>
              <w:rPr>
                <w:rFonts w:ascii="Arial Narrow" w:hAnsi="Arial Narrow" w:cs="Arial"/>
                <w:sz w:val="20"/>
                <w:szCs w:val="20"/>
              </w:rPr>
            </w:pPr>
          </w:p>
          <w:p w:rsidR="00826F6D" w:rsidRPr="00024895" w:rsidRDefault="0004675C" w:rsidP="0004675C">
            <w:pPr>
              <w:spacing w:before="40" w:after="40"/>
              <w:rPr>
                <w:rFonts w:ascii="Arial Narrow" w:hAnsi="Arial Narrow" w:cs="Arial"/>
                <w:sz w:val="20"/>
                <w:szCs w:val="20"/>
              </w:rPr>
            </w:pPr>
            <w:r w:rsidRPr="00024895">
              <w:rPr>
                <w:rFonts w:ascii="Arial Narrow" w:hAnsi="Arial Narrow" w:cs="Arial"/>
                <w:sz w:val="20"/>
                <w:szCs w:val="20"/>
              </w:rPr>
              <w:t xml:space="preserve">For prescribing by nurse practitioners where care of a patient </w:t>
            </w:r>
            <w:proofErr w:type="gramStart"/>
            <w:r w:rsidRPr="00024895">
              <w:rPr>
                <w:rFonts w:ascii="Arial Narrow" w:hAnsi="Arial Narrow" w:cs="Arial"/>
                <w:sz w:val="20"/>
                <w:szCs w:val="20"/>
              </w:rPr>
              <w:t>is shared</w:t>
            </w:r>
            <w:proofErr w:type="gramEnd"/>
            <w:r w:rsidRPr="00024895">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024895">
              <w:rPr>
                <w:rFonts w:ascii="Arial Narrow" w:hAnsi="Arial Narrow" w:cs="Arial"/>
                <w:sz w:val="20"/>
                <w:szCs w:val="20"/>
              </w:rPr>
              <w:t>can be found</w:t>
            </w:r>
            <w:proofErr w:type="gramEnd"/>
            <w:r w:rsidRPr="00024895">
              <w:rPr>
                <w:rFonts w:ascii="Arial Narrow" w:hAnsi="Arial Narrow" w:cs="Arial"/>
                <w:sz w:val="20"/>
                <w:szCs w:val="20"/>
              </w:rPr>
              <w:t xml:space="preserve"> in the Explanatory Notes for Nurse Practitioners.</w:t>
            </w:r>
          </w:p>
        </w:tc>
      </w:tr>
    </w:tbl>
    <w:p w:rsidR="00826F6D" w:rsidRPr="00024895" w:rsidRDefault="00826F6D" w:rsidP="002D4543">
      <w:pPr>
        <w:rPr>
          <w:szCs w:val="22"/>
        </w:rPr>
      </w:pPr>
    </w:p>
    <w:p w:rsidR="005D2B51" w:rsidRPr="00024895" w:rsidRDefault="005D2B51" w:rsidP="002D4543">
      <w:pPr>
        <w:rPr>
          <w:szCs w:val="22"/>
        </w:rPr>
      </w:pPr>
    </w:p>
    <w:tbl>
      <w:tblPr>
        <w:tblW w:w="4915" w:type="pct"/>
        <w:tblLook w:val="0000" w:firstRow="0" w:lastRow="0" w:firstColumn="0" w:lastColumn="0" w:noHBand="0" w:noVBand="0"/>
      </w:tblPr>
      <w:tblGrid>
        <w:gridCol w:w="3228"/>
        <w:gridCol w:w="713"/>
        <w:gridCol w:w="861"/>
        <w:gridCol w:w="1583"/>
        <w:gridCol w:w="2488"/>
      </w:tblGrid>
      <w:tr w:rsidR="00DF4E5D" w:rsidRPr="00024895" w:rsidTr="00145A57">
        <w:trPr>
          <w:cantSplit/>
          <w:trHeight w:val="465"/>
        </w:trPr>
        <w:tc>
          <w:tcPr>
            <w:tcW w:w="1819" w:type="pct"/>
            <w:tcBorders>
              <w:bottom w:val="single" w:sz="4" w:space="0" w:color="auto"/>
            </w:tcBorders>
          </w:tcPr>
          <w:p w:rsidR="00DF4E5D" w:rsidRPr="00024895"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Name, Restriction,</w:t>
            </w:r>
          </w:p>
          <w:p w:rsidR="00DF4E5D" w:rsidRPr="00024895"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Manner of administration and form</w:t>
            </w:r>
          </w:p>
        </w:tc>
        <w:tc>
          <w:tcPr>
            <w:tcW w:w="402" w:type="pct"/>
            <w:tcBorders>
              <w:bottom w:val="single" w:sz="4" w:space="0" w:color="auto"/>
            </w:tcBorders>
          </w:tcPr>
          <w:p w:rsidR="00DF4E5D" w:rsidRPr="00024895"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Max.</w:t>
            </w:r>
          </w:p>
          <w:p w:rsidR="00DF4E5D" w:rsidRPr="00024895" w:rsidRDefault="00DF4E5D" w:rsidP="005769FA">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Qty</w:t>
            </w:r>
            <w:proofErr w:type="spellEnd"/>
          </w:p>
        </w:tc>
        <w:tc>
          <w:tcPr>
            <w:tcW w:w="485" w:type="pct"/>
            <w:tcBorders>
              <w:bottom w:val="single" w:sz="4" w:space="0" w:color="auto"/>
            </w:tcBorders>
          </w:tcPr>
          <w:p w:rsidR="00DF4E5D" w:rsidRPr="00024895"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№.of</w:t>
            </w:r>
          </w:p>
          <w:p w:rsidR="00DF4E5D" w:rsidRPr="00024895" w:rsidRDefault="00DF4E5D" w:rsidP="005769FA">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Rpts</w:t>
            </w:r>
            <w:proofErr w:type="spellEnd"/>
          </w:p>
        </w:tc>
        <w:tc>
          <w:tcPr>
            <w:tcW w:w="892" w:type="pct"/>
            <w:tcBorders>
              <w:bottom w:val="single" w:sz="4" w:space="0" w:color="auto"/>
            </w:tcBorders>
          </w:tcPr>
          <w:p w:rsidR="00DF4E5D" w:rsidRPr="00024895"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 xml:space="preserve">Dispensed Price for Max. </w:t>
            </w:r>
            <w:proofErr w:type="spellStart"/>
            <w:r w:rsidRPr="00024895">
              <w:rPr>
                <w:rFonts w:ascii="Arial Narrow" w:hAnsi="Arial Narrow" w:cs="Arial"/>
                <w:b/>
                <w:sz w:val="20"/>
                <w:szCs w:val="20"/>
              </w:rPr>
              <w:t>Qty</w:t>
            </w:r>
            <w:proofErr w:type="spellEnd"/>
          </w:p>
        </w:tc>
        <w:tc>
          <w:tcPr>
            <w:tcW w:w="1402" w:type="pct"/>
            <w:tcBorders>
              <w:bottom w:val="single" w:sz="4" w:space="0" w:color="auto"/>
            </w:tcBorders>
          </w:tcPr>
          <w:p w:rsidR="00DF4E5D" w:rsidRPr="0089214F" w:rsidRDefault="00DF4E5D" w:rsidP="005769FA">
            <w:pPr>
              <w:keepNext/>
              <w:spacing w:before="40" w:after="40"/>
              <w:jc w:val="both"/>
              <w:rPr>
                <w:rFonts w:ascii="Arial Narrow" w:hAnsi="Arial Narrow" w:cs="Arial"/>
                <w:b/>
                <w:sz w:val="20"/>
                <w:szCs w:val="20"/>
              </w:rPr>
            </w:pPr>
            <w:r w:rsidRPr="00024895">
              <w:rPr>
                <w:rFonts w:ascii="Arial Narrow" w:hAnsi="Arial Narrow" w:cs="Arial"/>
                <w:b/>
                <w:sz w:val="20"/>
                <w:szCs w:val="20"/>
              </w:rPr>
              <w:t>Proprietary Name and Manufacturer</w:t>
            </w:r>
          </w:p>
        </w:tc>
      </w:tr>
      <w:tr w:rsidR="00F5400A" w:rsidRPr="00024895" w:rsidTr="00145A57">
        <w:trPr>
          <w:cantSplit/>
          <w:trHeight w:val="567"/>
        </w:trPr>
        <w:tc>
          <w:tcPr>
            <w:tcW w:w="1819" w:type="pct"/>
            <w:vMerge w:val="restart"/>
          </w:tcPr>
          <w:p w:rsidR="00F5400A" w:rsidRPr="00024895" w:rsidRDefault="00F5400A" w:rsidP="005769FA">
            <w:pPr>
              <w:keepNext/>
              <w:spacing w:before="40" w:after="40"/>
              <w:jc w:val="both"/>
              <w:rPr>
                <w:rFonts w:ascii="Arial Narrow" w:hAnsi="Arial Narrow" w:cs="Arial"/>
                <w:sz w:val="20"/>
                <w:szCs w:val="20"/>
              </w:rPr>
            </w:pPr>
            <w:r w:rsidRPr="00024895">
              <w:rPr>
                <w:rFonts w:ascii="Arial Narrow" w:hAnsi="Arial Narrow" w:cs="Arial"/>
                <w:smallCaps/>
                <w:sz w:val="20"/>
                <w:szCs w:val="20"/>
              </w:rPr>
              <w:t>SEVELAMER</w:t>
            </w:r>
          </w:p>
          <w:p w:rsidR="00F5400A" w:rsidRPr="00024895" w:rsidRDefault="00F5400A" w:rsidP="00DF4E5D">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carbonate, tablet 800, mg, 180  </w:t>
            </w:r>
          </w:p>
        </w:tc>
        <w:tc>
          <w:tcPr>
            <w:tcW w:w="402" w:type="pct"/>
          </w:tcPr>
          <w:p w:rsidR="00F5400A" w:rsidRPr="00024895" w:rsidRDefault="00F5400A" w:rsidP="005769FA">
            <w:pPr>
              <w:keepNext/>
              <w:spacing w:before="40" w:after="40"/>
              <w:jc w:val="both"/>
              <w:rPr>
                <w:rFonts w:ascii="Arial Narrow" w:hAnsi="Arial Narrow" w:cs="Arial"/>
                <w:sz w:val="20"/>
                <w:szCs w:val="20"/>
              </w:rPr>
            </w:pPr>
          </w:p>
          <w:p w:rsidR="00F5400A" w:rsidRPr="00024895" w:rsidRDefault="00F5400A" w:rsidP="005769FA">
            <w:pPr>
              <w:keepNext/>
              <w:spacing w:before="40" w:after="40"/>
              <w:jc w:val="both"/>
              <w:rPr>
                <w:rFonts w:ascii="Arial Narrow" w:hAnsi="Arial Narrow" w:cs="Arial"/>
                <w:sz w:val="20"/>
                <w:szCs w:val="20"/>
              </w:rPr>
            </w:pPr>
            <w:r w:rsidRPr="00024895">
              <w:rPr>
                <w:rFonts w:ascii="Arial Narrow" w:hAnsi="Arial Narrow" w:cs="Arial"/>
                <w:sz w:val="20"/>
                <w:szCs w:val="20"/>
              </w:rPr>
              <w:t>2</w:t>
            </w:r>
          </w:p>
        </w:tc>
        <w:tc>
          <w:tcPr>
            <w:tcW w:w="485" w:type="pct"/>
          </w:tcPr>
          <w:p w:rsidR="00F5400A" w:rsidRPr="00024895" w:rsidRDefault="00F5400A" w:rsidP="005769FA">
            <w:pPr>
              <w:keepNext/>
              <w:spacing w:before="40" w:after="40"/>
              <w:jc w:val="both"/>
              <w:rPr>
                <w:rFonts w:ascii="Arial Narrow" w:hAnsi="Arial Narrow" w:cs="Arial"/>
                <w:sz w:val="20"/>
                <w:szCs w:val="20"/>
              </w:rPr>
            </w:pPr>
          </w:p>
          <w:p w:rsidR="00F5400A" w:rsidRPr="00024895" w:rsidRDefault="00F5400A" w:rsidP="005769FA">
            <w:pPr>
              <w:keepNext/>
              <w:spacing w:before="40" w:after="40"/>
              <w:jc w:val="both"/>
              <w:rPr>
                <w:rFonts w:ascii="Arial Narrow" w:hAnsi="Arial Narrow" w:cs="Arial"/>
                <w:sz w:val="20"/>
                <w:szCs w:val="20"/>
              </w:rPr>
            </w:pPr>
            <w:r w:rsidRPr="00024895">
              <w:rPr>
                <w:rFonts w:ascii="Arial Narrow" w:hAnsi="Arial Narrow" w:cs="Arial"/>
                <w:sz w:val="20"/>
                <w:szCs w:val="20"/>
              </w:rPr>
              <w:t>5</w:t>
            </w:r>
          </w:p>
        </w:tc>
        <w:tc>
          <w:tcPr>
            <w:tcW w:w="892" w:type="pct"/>
          </w:tcPr>
          <w:p w:rsidR="00F5400A" w:rsidRPr="00024895" w:rsidRDefault="00F5400A" w:rsidP="005769FA">
            <w:pPr>
              <w:keepNext/>
              <w:spacing w:before="40" w:after="40"/>
              <w:jc w:val="both"/>
              <w:rPr>
                <w:rFonts w:ascii="Arial Narrow" w:hAnsi="Arial Narrow" w:cs="Arial"/>
                <w:sz w:val="20"/>
                <w:szCs w:val="20"/>
              </w:rPr>
            </w:pPr>
          </w:p>
          <w:p w:rsidR="00F5400A" w:rsidRPr="00024895" w:rsidRDefault="00F5400A" w:rsidP="00145A57">
            <w:pPr>
              <w:keepNext/>
              <w:spacing w:before="40" w:after="40"/>
              <w:jc w:val="both"/>
              <w:rPr>
                <w:rFonts w:ascii="Arial Narrow" w:hAnsi="Arial Narrow" w:cs="Arial"/>
                <w:sz w:val="20"/>
                <w:szCs w:val="20"/>
              </w:rPr>
            </w:pPr>
            <w:r w:rsidRPr="00024895">
              <w:rPr>
                <w:rFonts w:ascii="Arial Narrow" w:hAnsi="Arial Narrow" w:cs="Arial"/>
                <w:sz w:val="20"/>
                <w:szCs w:val="20"/>
              </w:rPr>
              <w:t>$530.10 (HSD Public)</w:t>
            </w:r>
          </w:p>
        </w:tc>
        <w:tc>
          <w:tcPr>
            <w:tcW w:w="1402" w:type="pct"/>
            <w:vMerge w:val="restart"/>
          </w:tcPr>
          <w:p w:rsidR="00F5400A" w:rsidRPr="00024895" w:rsidRDefault="00F5400A" w:rsidP="005769FA">
            <w:pPr>
              <w:keepNext/>
              <w:spacing w:before="40" w:after="40"/>
              <w:jc w:val="both"/>
              <w:rPr>
                <w:rFonts w:ascii="Arial Narrow" w:hAnsi="Arial Narrow" w:cs="Arial"/>
                <w:sz w:val="20"/>
                <w:szCs w:val="20"/>
              </w:rPr>
            </w:pPr>
          </w:p>
          <w:p w:rsidR="00F5400A" w:rsidRPr="00024895" w:rsidRDefault="00F5400A" w:rsidP="005769FA">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Dr Reddy’s</w:t>
            </w:r>
          </w:p>
          <w:p w:rsidR="00F5400A" w:rsidRPr="00024895" w:rsidRDefault="00F5400A" w:rsidP="005769FA">
            <w:pPr>
              <w:keepNext/>
              <w:spacing w:before="40" w:after="40"/>
              <w:jc w:val="both"/>
              <w:rPr>
                <w:rFonts w:ascii="Arial Narrow" w:hAnsi="Arial Narrow" w:cs="Arial"/>
                <w:sz w:val="20"/>
                <w:szCs w:val="20"/>
              </w:rPr>
            </w:pPr>
          </w:p>
          <w:p w:rsidR="00F5400A" w:rsidRPr="00024895" w:rsidRDefault="00F5400A" w:rsidP="005769FA">
            <w:pPr>
              <w:keepNext/>
              <w:spacing w:before="40" w:after="40"/>
              <w:jc w:val="both"/>
              <w:rPr>
                <w:rFonts w:ascii="Arial Narrow" w:hAnsi="Arial Narrow" w:cs="Arial"/>
                <w:sz w:val="20"/>
                <w:szCs w:val="20"/>
              </w:rPr>
            </w:pPr>
            <w:r w:rsidRPr="00024895">
              <w:rPr>
                <w:rFonts w:ascii="Arial Narrow" w:hAnsi="Arial Narrow" w:cs="Arial"/>
                <w:sz w:val="20"/>
                <w:szCs w:val="20"/>
              </w:rPr>
              <w:t>Dr Reddy’s Laboratories Australia Pty Ltd</w:t>
            </w:r>
          </w:p>
        </w:tc>
      </w:tr>
      <w:tr w:rsidR="00F5400A" w:rsidRPr="00024895" w:rsidTr="007A40B9">
        <w:trPr>
          <w:cantSplit/>
          <w:trHeight w:val="567"/>
        </w:trPr>
        <w:tc>
          <w:tcPr>
            <w:tcW w:w="1819" w:type="pct"/>
            <w:vMerge/>
            <w:tcBorders>
              <w:bottom w:val="single" w:sz="4" w:space="0" w:color="auto"/>
            </w:tcBorders>
          </w:tcPr>
          <w:p w:rsidR="00F5400A" w:rsidRPr="00024895" w:rsidRDefault="00F5400A" w:rsidP="00145A57">
            <w:pPr>
              <w:keepNext/>
              <w:spacing w:before="40" w:after="40"/>
              <w:jc w:val="both"/>
              <w:rPr>
                <w:rFonts w:ascii="Arial Narrow" w:hAnsi="Arial Narrow" w:cs="Arial"/>
                <w:smallCaps/>
                <w:sz w:val="20"/>
                <w:szCs w:val="20"/>
              </w:rPr>
            </w:pPr>
          </w:p>
        </w:tc>
        <w:tc>
          <w:tcPr>
            <w:tcW w:w="402" w:type="pct"/>
            <w:tcBorders>
              <w:bottom w:val="single" w:sz="4" w:space="0" w:color="auto"/>
            </w:tcBorders>
          </w:tcPr>
          <w:p w:rsidR="00F5400A" w:rsidRPr="00024895" w:rsidRDefault="00F5400A" w:rsidP="005769FA">
            <w:pPr>
              <w:keepNext/>
              <w:spacing w:before="40" w:after="40"/>
              <w:jc w:val="both"/>
              <w:rPr>
                <w:rFonts w:ascii="Arial Narrow" w:hAnsi="Arial Narrow" w:cs="Arial"/>
                <w:sz w:val="20"/>
                <w:szCs w:val="20"/>
              </w:rPr>
            </w:pPr>
          </w:p>
        </w:tc>
        <w:tc>
          <w:tcPr>
            <w:tcW w:w="485" w:type="pct"/>
            <w:tcBorders>
              <w:bottom w:val="single" w:sz="4" w:space="0" w:color="auto"/>
            </w:tcBorders>
          </w:tcPr>
          <w:p w:rsidR="00F5400A" w:rsidRPr="00024895" w:rsidRDefault="00F5400A" w:rsidP="005769FA">
            <w:pPr>
              <w:keepNext/>
              <w:spacing w:before="40" w:after="40"/>
              <w:jc w:val="both"/>
              <w:rPr>
                <w:rFonts w:ascii="Arial Narrow" w:hAnsi="Arial Narrow" w:cs="Arial"/>
                <w:sz w:val="20"/>
                <w:szCs w:val="20"/>
              </w:rPr>
            </w:pPr>
          </w:p>
        </w:tc>
        <w:tc>
          <w:tcPr>
            <w:tcW w:w="892" w:type="pct"/>
            <w:tcBorders>
              <w:bottom w:val="single" w:sz="4" w:space="0" w:color="auto"/>
            </w:tcBorders>
          </w:tcPr>
          <w:p w:rsidR="00F5400A" w:rsidRPr="00024895" w:rsidRDefault="00F5400A" w:rsidP="005769FA">
            <w:pPr>
              <w:keepNext/>
              <w:spacing w:before="40" w:after="40"/>
              <w:jc w:val="both"/>
              <w:rPr>
                <w:rFonts w:ascii="Arial Narrow" w:hAnsi="Arial Narrow" w:cs="Arial"/>
                <w:sz w:val="20"/>
                <w:szCs w:val="20"/>
              </w:rPr>
            </w:pPr>
            <w:r w:rsidRPr="00024895">
              <w:rPr>
                <w:rFonts w:ascii="Arial Narrow" w:hAnsi="Arial Narrow" w:cs="Arial"/>
                <w:sz w:val="20"/>
                <w:szCs w:val="20"/>
              </w:rPr>
              <w:t>$558.59 (HSD Private)</w:t>
            </w:r>
          </w:p>
        </w:tc>
        <w:tc>
          <w:tcPr>
            <w:tcW w:w="1402" w:type="pct"/>
            <w:vMerge/>
            <w:tcBorders>
              <w:bottom w:val="single" w:sz="4" w:space="0" w:color="auto"/>
            </w:tcBorders>
          </w:tcPr>
          <w:p w:rsidR="00F5400A" w:rsidRPr="00024895" w:rsidRDefault="00F5400A" w:rsidP="005769FA">
            <w:pPr>
              <w:keepNext/>
              <w:spacing w:before="40" w:after="40"/>
              <w:jc w:val="both"/>
              <w:rPr>
                <w:rFonts w:ascii="Arial Narrow" w:hAnsi="Arial Narrow" w:cs="Arial"/>
                <w:sz w:val="20"/>
                <w:szCs w:val="20"/>
              </w:rPr>
            </w:pPr>
          </w:p>
        </w:tc>
      </w:tr>
    </w:tbl>
    <w:p w:rsidR="00DF4E5D" w:rsidRPr="00024895" w:rsidRDefault="00DF4E5D" w:rsidP="002D4543">
      <w:pPr>
        <w:rPr>
          <w:szCs w:val="22"/>
        </w:rPr>
      </w:pPr>
    </w:p>
    <w:tbl>
      <w:tblPr>
        <w:tblW w:w="4915" w:type="pct"/>
        <w:tblLook w:val="0000" w:firstRow="0" w:lastRow="0" w:firstColumn="0" w:lastColumn="0" w:noHBand="0" w:noVBand="0"/>
      </w:tblPr>
      <w:tblGrid>
        <w:gridCol w:w="1895"/>
        <w:gridCol w:w="6968"/>
      </w:tblGrid>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 xml:space="preserve">Category / </w:t>
            </w:r>
          </w:p>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Program</w:t>
            </w: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Section 100 – Highly Specialised Drugs Program</w:t>
            </w:r>
          </w:p>
          <w:p w:rsidR="00DF4E5D" w:rsidRPr="00024895" w:rsidRDefault="00C2741B" w:rsidP="005769FA">
            <w:pPr>
              <w:spacing w:before="40" w:after="40"/>
              <w:rPr>
                <w:rFonts w:ascii="Arial Narrow" w:hAnsi="Arial Narrow" w:cs="Arial"/>
                <w:sz w:val="20"/>
                <w:szCs w:val="20"/>
              </w:rPr>
            </w:pPr>
            <w:r w:rsidRPr="00024895">
              <w:rPr>
                <w:rFonts w:ascii="Arial Narrow" w:hAnsi="Arial Narrow" w:cs="Arial"/>
                <w:sz w:val="20"/>
                <w:szCs w:val="20"/>
              </w:rPr>
              <w:t>(</w:t>
            </w:r>
            <w:r w:rsidR="00DF4E5D" w:rsidRPr="00024895">
              <w:rPr>
                <w:rFonts w:ascii="Arial Narrow" w:hAnsi="Arial Narrow" w:cs="Arial"/>
                <w:sz w:val="20"/>
                <w:szCs w:val="20"/>
              </w:rPr>
              <w:t>Public and Private Hospitals</w:t>
            </w:r>
            <w:r w:rsidRPr="00024895">
              <w:rPr>
                <w:rFonts w:ascii="Arial Narrow" w:hAnsi="Arial Narrow" w:cs="Arial"/>
                <w:sz w:val="20"/>
                <w:szCs w:val="20"/>
              </w:rPr>
              <w:t>)</w:t>
            </w:r>
          </w:p>
        </w:tc>
      </w:tr>
      <w:tr w:rsidR="00DF4E5D" w:rsidRPr="00024895" w:rsidTr="0075361C">
        <w:trPr>
          <w:cantSplit/>
          <w:trHeight w:val="492"/>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Prescriber type:</w:t>
            </w: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 xml:space="preserve">Medical Practitioners  </w:t>
            </w:r>
            <w:r w:rsidRPr="0089214F">
              <w:rPr>
                <w:rFonts w:ascii="Arial Narrow" w:hAnsi="Arial Narrow" w:cs="Arial"/>
                <w:sz w:val="20"/>
                <w:szCs w:val="20"/>
              </w:rPr>
              <w:fldChar w:fldCharType="begin">
                <w:ffData>
                  <w:name w:val="Check3"/>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 xml:space="preserve">Nurse practitioners  </w:t>
            </w:r>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PBS Indication:</w:t>
            </w: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proofErr w:type="spellStart"/>
            <w:r w:rsidRPr="00024895">
              <w:rPr>
                <w:rFonts w:ascii="Arial Narrow" w:hAnsi="Arial Narrow" w:cs="Arial"/>
                <w:sz w:val="20"/>
                <w:szCs w:val="20"/>
              </w:rPr>
              <w:t>Hyperphosphataemia</w:t>
            </w:r>
            <w:proofErr w:type="spellEnd"/>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Treatment phase:</w:t>
            </w: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Maintenance following initiation and stabilisation</w:t>
            </w:r>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Restriction Level / Method:</w:t>
            </w:r>
          </w:p>
          <w:p w:rsidR="00DF4E5D" w:rsidRPr="00024895" w:rsidRDefault="00DF4E5D" w:rsidP="005769FA">
            <w:pPr>
              <w:spacing w:before="40" w:after="40"/>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AF0B74" w:rsidP="005769FA">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00DF4E5D" w:rsidRPr="00024895">
              <w:rPr>
                <w:rFonts w:ascii="Arial Narrow" w:hAnsi="Arial Narrow" w:cs="Arial"/>
                <w:sz w:val="20"/>
                <w:szCs w:val="20"/>
              </w:rPr>
              <w:t>Authority Required – Telephone (Private Hospitals</w:t>
            </w:r>
            <w:r w:rsidR="00C2741B" w:rsidRPr="00024895">
              <w:rPr>
                <w:rFonts w:ascii="Arial Narrow" w:hAnsi="Arial Narrow" w:cs="Arial"/>
                <w:sz w:val="20"/>
                <w:szCs w:val="20"/>
              </w:rPr>
              <w:t>)</w:t>
            </w:r>
          </w:p>
          <w:p w:rsidR="00DF4E5D" w:rsidRPr="00024895" w:rsidRDefault="00DF4E5D" w:rsidP="005769FA">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5"/>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Streamlined (Public Hospitals)</w:t>
            </w:r>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b/>
                <w:sz w:val="20"/>
                <w:szCs w:val="20"/>
              </w:rPr>
            </w:pPr>
            <w:r w:rsidRPr="00024895">
              <w:rPr>
                <w:rFonts w:ascii="Arial Narrow" w:hAnsi="Arial Narrow" w:cs="Arial"/>
                <w:b/>
                <w:sz w:val="20"/>
                <w:szCs w:val="20"/>
              </w:rPr>
              <w:t>Treatment criteria:</w:t>
            </w:r>
          </w:p>
          <w:p w:rsidR="00DF4E5D" w:rsidRPr="00024895" w:rsidRDefault="00DF4E5D" w:rsidP="005769FA">
            <w:pPr>
              <w:spacing w:before="40" w:after="40"/>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Patient must be undergoing dialysis for chronic kidney disease.</w:t>
            </w:r>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t>Clinical criteria:</w:t>
            </w:r>
          </w:p>
          <w:p w:rsidR="00DF4E5D" w:rsidRPr="00024895" w:rsidRDefault="00DF4E5D" w:rsidP="005769FA">
            <w:pPr>
              <w:spacing w:before="40" w:after="40"/>
              <w:jc w:val="both"/>
              <w:rPr>
                <w:rFonts w:ascii="Arial Narrow" w:hAnsi="Arial Narrow" w:cs="Arial"/>
                <w:i/>
                <w:sz w:val="20"/>
                <w:szCs w:val="20"/>
              </w:rPr>
            </w:pPr>
          </w:p>
          <w:p w:rsidR="00DF4E5D" w:rsidRPr="00024895" w:rsidRDefault="00DF4E5D" w:rsidP="005769FA">
            <w:pPr>
              <w:spacing w:before="40" w:after="40"/>
              <w:jc w:val="both"/>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The condition must not be adequately controlled by calcium</w:t>
            </w: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AND</w:t>
            </w: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 xml:space="preserve">Patient must have a serum phosphate of greater than 1.6 </w:t>
            </w:r>
            <w:proofErr w:type="spellStart"/>
            <w:r w:rsidRPr="00024895">
              <w:rPr>
                <w:rFonts w:ascii="Arial Narrow" w:hAnsi="Arial Narrow" w:cs="Arial"/>
                <w:sz w:val="20"/>
                <w:szCs w:val="20"/>
              </w:rPr>
              <w:t>mmol</w:t>
            </w:r>
            <w:proofErr w:type="spellEnd"/>
            <w:r w:rsidRPr="00024895">
              <w:rPr>
                <w:rFonts w:ascii="Arial Narrow" w:hAnsi="Arial Narrow" w:cs="Arial"/>
                <w:sz w:val="20"/>
                <w:szCs w:val="20"/>
              </w:rPr>
              <w:t xml:space="preserve"> per L at the commencement of therapy; OR</w:t>
            </w: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The condition must be where a serum calcium times phosphate product is greater than 4 at the commencement of therapy,</w:t>
            </w: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AND</w:t>
            </w: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 xml:space="preserve">The treatment must not be used in combination with any other non-calcium </w:t>
            </w:r>
            <w:proofErr w:type="gramStart"/>
            <w:r w:rsidRPr="00024895">
              <w:rPr>
                <w:rFonts w:ascii="Arial Narrow" w:hAnsi="Arial Narrow" w:cs="Arial"/>
                <w:sz w:val="20"/>
                <w:szCs w:val="20"/>
              </w:rPr>
              <w:t>phosphate binding</w:t>
            </w:r>
            <w:proofErr w:type="gramEnd"/>
            <w:r w:rsidRPr="00024895">
              <w:rPr>
                <w:rFonts w:ascii="Arial Narrow" w:hAnsi="Arial Narrow" w:cs="Arial"/>
                <w:sz w:val="20"/>
                <w:szCs w:val="20"/>
              </w:rPr>
              <w:t xml:space="preserve"> agents.</w:t>
            </w:r>
          </w:p>
        </w:tc>
      </w:tr>
      <w:tr w:rsidR="00DF4E5D" w:rsidRPr="00024895" w:rsidTr="0075361C">
        <w:trPr>
          <w:cantSplit/>
          <w:trHeight w:val="360"/>
        </w:trPr>
        <w:tc>
          <w:tcPr>
            <w:tcW w:w="1069"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jc w:val="both"/>
              <w:rPr>
                <w:rFonts w:ascii="Arial Narrow" w:hAnsi="Arial Narrow" w:cs="Arial"/>
                <w:b/>
                <w:sz w:val="20"/>
                <w:szCs w:val="20"/>
              </w:rPr>
            </w:pPr>
            <w:r w:rsidRPr="00024895">
              <w:rPr>
                <w:rFonts w:ascii="Arial Narrow" w:hAnsi="Arial Narrow" w:cs="Arial"/>
                <w:b/>
                <w:sz w:val="20"/>
                <w:szCs w:val="20"/>
              </w:rPr>
              <w:lastRenderedPageBreak/>
              <w:t>Administrative Advice</w:t>
            </w:r>
          </w:p>
          <w:p w:rsidR="00DF4E5D" w:rsidRPr="00024895" w:rsidRDefault="00DF4E5D" w:rsidP="00182295">
            <w:pPr>
              <w:spacing w:before="40" w:after="40"/>
              <w:jc w:val="both"/>
              <w:rPr>
                <w:rFonts w:ascii="Arial Narrow" w:hAnsi="Arial Narrow" w:cs="Arial"/>
                <w:i/>
                <w:sz w:val="20"/>
                <w:szCs w:val="20"/>
              </w:rPr>
            </w:pPr>
          </w:p>
        </w:tc>
        <w:tc>
          <w:tcPr>
            <w:tcW w:w="3931" w:type="pct"/>
            <w:tcBorders>
              <w:top w:val="single" w:sz="4" w:space="0" w:color="auto"/>
              <w:left w:val="single" w:sz="4" w:space="0" w:color="auto"/>
              <w:bottom w:val="single" w:sz="4" w:space="0" w:color="auto"/>
              <w:right w:val="single" w:sz="4" w:space="0" w:color="auto"/>
            </w:tcBorders>
          </w:tcPr>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 xml:space="preserve">Shared Care Model: </w:t>
            </w:r>
          </w:p>
          <w:p w:rsidR="00DF4E5D" w:rsidRPr="00024895" w:rsidRDefault="00DF4E5D" w:rsidP="005769FA">
            <w:pPr>
              <w:spacing w:before="40" w:after="40"/>
              <w:rPr>
                <w:rFonts w:ascii="Arial Narrow" w:hAnsi="Arial Narrow" w:cs="Arial"/>
                <w:sz w:val="20"/>
                <w:szCs w:val="20"/>
              </w:rPr>
            </w:pPr>
          </w:p>
          <w:p w:rsidR="00DF4E5D" w:rsidRPr="00024895" w:rsidRDefault="00DF4E5D" w:rsidP="005769FA">
            <w:pPr>
              <w:spacing w:before="40" w:after="40"/>
              <w:rPr>
                <w:rFonts w:ascii="Arial Narrow" w:hAnsi="Arial Narrow" w:cs="Arial"/>
                <w:sz w:val="20"/>
                <w:szCs w:val="20"/>
              </w:rPr>
            </w:pPr>
            <w:r w:rsidRPr="00024895">
              <w:rPr>
                <w:rFonts w:ascii="Arial Narrow" w:hAnsi="Arial Narrow" w:cs="Arial"/>
                <w:sz w:val="20"/>
                <w:szCs w:val="20"/>
              </w:rPr>
              <w:t xml:space="preserve">For prescribing by nurse practitioners where care of a patient </w:t>
            </w:r>
            <w:proofErr w:type="gramStart"/>
            <w:r w:rsidRPr="00024895">
              <w:rPr>
                <w:rFonts w:ascii="Arial Narrow" w:hAnsi="Arial Narrow" w:cs="Arial"/>
                <w:sz w:val="20"/>
                <w:szCs w:val="20"/>
              </w:rPr>
              <w:t>is shared</w:t>
            </w:r>
            <w:proofErr w:type="gramEnd"/>
            <w:r w:rsidRPr="00024895">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024895">
              <w:rPr>
                <w:rFonts w:ascii="Arial Narrow" w:hAnsi="Arial Narrow" w:cs="Arial"/>
                <w:sz w:val="20"/>
                <w:szCs w:val="20"/>
              </w:rPr>
              <w:t>can be found</w:t>
            </w:r>
            <w:proofErr w:type="gramEnd"/>
            <w:r w:rsidRPr="00024895">
              <w:rPr>
                <w:rFonts w:ascii="Arial Narrow" w:hAnsi="Arial Narrow" w:cs="Arial"/>
                <w:sz w:val="20"/>
                <w:szCs w:val="20"/>
              </w:rPr>
              <w:t xml:space="preserve"> in the Explanatory Notes for Nurse Practitioners.</w:t>
            </w:r>
          </w:p>
        </w:tc>
      </w:tr>
    </w:tbl>
    <w:p w:rsidR="0075361C" w:rsidRPr="00024895" w:rsidRDefault="0075361C" w:rsidP="000E5444">
      <w:pPr>
        <w:pStyle w:val="ListParagraph"/>
        <w:spacing w:before="120" w:after="120"/>
        <w:ind w:left="709"/>
        <w:rPr>
          <w:rFonts w:asciiTheme="minorHAnsi" w:hAnsiTheme="minorHAnsi"/>
          <w:i/>
        </w:rPr>
      </w:pPr>
    </w:p>
    <w:p w:rsidR="0075361C" w:rsidRPr="00024895" w:rsidRDefault="0075361C" w:rsidP="000E5444">
      <w:pPr>
        <w:pStyle w:val="ListParagraph"/>
        <w:spacing w:before="120" w:after="120"/>
        <w:ind w:left="709"/>
        <w:rPr>
          <w:rFonts w:asciiTheme="minorHAnsi" w:hAnsiTheme="minorHAnsi"/>
          <w:i/>
        </w:rPr>
      </w:pPr>
      <w:r w:rsidRPr="00024895">
        <w:rPr>
          <w:rFonts w:asciiTheme="minorHAnsi" w:hAnsiTheme="minorHAnsi"/>
          <w:i/>
        </w:rPr>
        <w:t xml:space="preserve">For more detail on PBAC’s view, see section </w:t>
      </w:r>
      <w:r w:rsidR="00820DED" w:rsidRPr="00024895">
        <w:rPr>
          <w:rFonts w:asciiTheme="minorHAnsi" w:hAnsiTheme="minorHAnsi"/>
          <w:i/>
        </w:rPr>
        <w:t xml:space="preserve">6 </w:t>
      </w:r>
      <w:r w:rsidRPr="00024895">
        <w:rPr>
          <w:rFonts w:asciiTheme="minorHAnsi" w:hAnsiTheme="minorHAnsi"/>
          <w:i/>
        </w:rPr>
        <w:t>PBAC outcome.</w:t>
      </w:r>
    </w:p>
    <w:p w:rsidR="00C603D4" w:rsidRPr="00024895" w:rsidRDefault="00CE10C4" w:rsidP="000E5444">
      <w:pPr>
        <w:pStyle w:val="PBACHeading1"/>
        <w:spacing w:before="120" w:after="120"/>
        <w:ind w:left="709" w:hanging="709"/>
        <w:rPr>
          <w:rFonts w:asciiTheme="minorHAnsi" w:hAnsiTheme="minorHAnsi"/>
          <w:sz w:val="32"/>
          <w:szCs w:val="32"/>
        </w:rPr>
      </w:pPr>
      <w:r w:rsidRPr="00024895">
        <w:rPr>
          <w:rFonts w:asciiTheme="minorHAnsi" w:hAnsiTheme="minorHAnsi"/>
          <w:sz w:val="32"/>
          <w:szCs w:val="32"/>
        </w:rPr>
        <w:t>Background</w:t>
      </w:r>
    </w:p>
    <w:p w:rsidR="006B0D94" w:rsidRPr="00024895" w:rsidRDefault="00C1096D" w:rsidP="000E544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w:t>
      </w:r>
      <w:r w:rsidR="005A3308" w:rsidRPr="00024895">
        <w:rPr>
          <w:rFonts w:asciiTheme="minorHAnsi" w:eastAsiaTheme="minorHAnsi" w:hAnsiTheme="minorHAnsi" w:cstheme="minorBidi"/>
          <w:snapToGrid/>
          <w:sz w:val="24"/>
          <w:szCs w:val="22"/>
        </w:rPr>
        <w:t>Dr Reddy’s</w:t>
      </w:r>
      <w:r w:rsidR="008A5058" w:rsidRPr="00024895">
        <w:rPr>
          <w:rFonts w:asciiTheme="minorHAnsi" w:eastAsiaTheme="minorHAnsi" w:hAnsiTheme="minorHAnsi" w:cstheme="minorBidi"/>
          <w:snapToGrid/>
          <w:sz w:val="24"/>
          <w:szCs w:val="22"/>
        </w:rPr>
        <w:t xml:space="preserve"> </w:t>
      </w:r>
      <w:r w:rsidR="00F32066" w:rsidRPr="00024895">
        <w:rPr>
          <w:rFonts w:asciiTheme="minorHAnsi" w:eastAsiaTheme="minorHAnsi" w:hAnsiTheme="minorHAnsi" w:cstheme="minorBidi"/>
          <w:snapToGrid/>
          <w:sz w:val="24"/>
          <w:szCs w:val="22"/>
        </w:rPr>
        <w:t>(</w:t>
      </w:r>
      <w:proofErr w:type="spellStart"/>
      <w:r w:rsidR="00F32066" w:rsidRPr="00024895">
        <w:rPr>
          <w:rFonts w:asciiTheme="minorHAnsi" w:eastAsiaTheme="minorHAnsi" w:hAnsiTheme="minorHAnsi" w:cstheme="minorBidi"/>
          <w:snapToGrid/>
          <w:sz w:val="24"/>
          <w:szCs w:val="22"/>
        </w:rPr>
        <w:t>sevelamer</w:t>
      </w:r>
      <w:proofErr w:type="spellEnd"/>
      <w:r w:rsidR="00F32066" w:rsidRPr="00024895">
        <w:rPr>
          <w:rFonts w:asciiTheme="minorHAnsi" w:eastAsiaTheme="minorHAnsi" w:hAnsiTheme="minorHAnsi" w:cstheme="minorBidi"/>
          <w:snapToGrid/>
          <w:sz w:val="24"/>
          <w:szCs w:val="22"/>
        </w:rPr>
        <w:t xml:space="preserve"> carbonate 800 mg) </w:t>
      </w:r>
      <w:r w:rsidR="006C0191" w:rsidRPr="00024895">
        <w:rPr>
          <w:rFonts w:asciiTheme="minorHAnsi" w:eastAsiaTheme="minorHAnsi" w:hAnsiTheme="minorHAnsi" w:cstheme="minorBidi"/>
          <w:snapToGrid/>
          <w:sz w:val="24"/>
          <w:szCs w:val="22"/>
        </w:rPr>
        <w:t>ha</w:t>
      </w:r>
      <w:r w:rsidR="005A3308" w:rsidRPr="00024895">
        <w:rPr>
          <w:rFonts w:asciiTheme="minorHAnsi" w:eastAsiaTheme="minorHAnsi" w:hAnsiTheme="minorHAnsi" w:cstheme="minorBidi"/>
          <w:snapToGrid/>
          <w:sz w:val="24"/>
          <w:szCs w:val="22"/>
        </w:rPr>
        <w:t>s</w:t>
      </w:r>
      <w:r w:rsidR="006C0191" w:rsidRPr="00024895">
        <w:rPr>
          <w:rFonts w:asciiTheme="minorHAnsi" w:eastAsiaTheme="minorHAnsi" w:hAnsiTheme="minorHAnsi" w:cstheme="minorBidi"/>
          <w:snapToGrid/>
          <w:sz w:val="24"/>
          <w:szCs w:val="22"/>
        </w:rPr>
        <w:t xml:space="preserve"> </w:t>
      </w:r>
      <w:r w:rsidR="00476245" w:rsidRPr="00024895">
        <w:rPr>
          <w:rFonts w:asciiTheme="minorHAnsi" w:eastAsiaTheme="minorHAnsi" w:hAnsiTheme="minorHAnsi" w:cstheme="minorBidi"/>
          <w:snapToGrid/>
          <w:sz w:val="24"/>
          <w:szCs w:val="22"/>
        </w:rPr>
        <w:t>TGA registr</w:t>
      </w:r>
      <w:r w:rsidR="006C0191" w:rsidRPr="00024895">
        <w:rPr>
          <w:rFonts w:asciiTheme="minorHAnsi" w:eastAsiaTheme="minorHAnsi" w:hAnsiTheme="minorHAnsi" w:cstheme="minorBidi"/>
          <w:snapToGrid/>
          <w:sz w:val="24"/>
          <w:szCs w:val="22"/>
        </w:rPr>
        <w:t>ation</w:t>
      </w:r>
      <w:r w:rsidR="00476245" w:rsidRPr="00024895">
        <w:rPr>
          <w:rFonts w:asciiTheme="minorHAnsi" w:eastAsiaTheme="minorHAnsi" w:hAnsiTheme="minorHAnsi" w:cstheme="minorBidi"/>
          <w:snapToGrid/>
          <w:sz w:val="24"/>
          <w:szCs w:val="22"/>
        </w:rPr>
        <w:t xml:space="preserve"> for</w:t>
      </w:r>
      <w:r w:rsidR="00D37C88" w:rsidRPr="00024895">
        <w:rPr>
          <w:rFonts w:asciiTheme="minorHAnsi" w:eastAsiaTheme="minorHAnsi" w:hAnsiTheme="minorHAnsi" w:cstheme="minorBidi"/>
          <w:snapToGrid/>
          <w:sz w:val="24"/>
          <w:szCs w:val="22"/>
        </w:rPr>
        <w:t xml:space="preserve"> the management of </w:t>
      </w:r>
      <w:proofErr w:type="spellStart"/>
      <w:r w:rsidR="00D37C88" w:rsidRPr="00024895">
        <w:rPr>
          <w:rFonts w:asciiTheme="minorHAnsi" w:eastAsiaTheme="minorHAnsi" w:hAnsiTheme="minorHAnsi" w:cstheme="minorBidi"/>
          <w:snapToGrid/>
          <w:sz w:val="24"/>
          <w:szCs w:val="22"/>
        </w:rPr>
        <w:t>hyperphosphataemia</w:t>
      </w:r>
      <w:proofErr w:type="spellEnd"/>
      <w:r w:rsidR="00D37C88" w:rsidRPr="00024895">
        <w:rPr>
          <w:rFonts w:asciiTheme="minorHAnsi" w:eastAsiaTheme="minorHAnsi" w:hAnsiTheme="minorHAnsi" w:cstheme="minorBidi"/>
          <w:snapToGrid/>
          <w:sz w:val="24"/>
          <w:szCs w:val="22"/>
        </w:rPr>
        <w:t xml:space="preserve"> in adult patients with stage 4 and 5 chronic kidney disease</w:t>
      </w:r>
      <w:r w:rsidR="007A40B9">
        <w:rPr>
          <w:rFonts w:asciiTheme="minorHAnsi" w:eastAsiaTheme="minorHAnsi" w:hAnsiTheme="minorHAnsi" w:cstheme="minorBidi"/>
          <w:snapToGrid/>
          <w:sz w:val="24"/>
          <w:szCs w:val="22"/>
        </w:rPr>
        <w:t>.</w:t>
      </w:r>
    </w:p>
    <w:p w:rsidR="00F32066" w:rsidRPr="00024895" w:rsidRDefault="00D37C88" w:rsidP="000E544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024895">
        <w:rPr>
          <w:rFonts w:asciiTheme="minorHAnsi" w:eastAsiaTheme="minorHAnsi" w:hAnsiTheme="minorHAnsi" w:cstheme="minorBidi"/>
          <w:snapToGrid/>
          <w:sz w:val="24"/>
          <w:szCs w:val="22"/>
        </w:rPr>
        <w:t>Sev</w:t>
      </w:r>
      <w:r w:rsidR="006309F9" w:rsidRPr="00024895">
        <w:rPr>
          <w:rFonts w:asciiTheme="minorHAnsi" w:eastAsiaTheme="minorHAnsi" w:hAnsiTheme="minorHAnsi" w:cstheme="minorBidi"/>
          <w:snapToGrid/>
          <w:sz w:val="24"/>
          <w:szCs w:val="22"/>
        </w:rPr>
        <w:t>e</w:t>
      </w:r>
      <w:r w:rsidRPr="00024895">
        <w:rPr>
          <w:rFonts w:asciiTheme="minorHAnsi" w:eastAsiaTheme="minorHAnsi" w:hAnsiTheme="minorHAnsi" w:cstheme="minorBidi"/>
          <w:snapToGrid/>
          <w:sz w:val="24"/>
          <w:szCs w:val="22"/>
        </w:rPr>
        <w:t>lamer</w:t>
      </w:r>
      <w:proofErr w:type="spellEnd"/>
      <w:r w:rsidRPr="00024895">
        <w:rPr>
          <w:rFonts w:asciiTheme="minorHAnsi" w:eastAsiaTheme="minorHAnsi" w:hAnsiTheme="minorHAnsi" w:cstheme="minorBidi"/>
          <w:snapToGrid/>
          <w:sz w:val="24"/>
          <w:szCs w:val="22"/>
        </w:rPr>
        <w:t xml:space="preserve"> carbonate </w:t>
      </w:r>
      <w:r w:rsidR="009A3805" w:rsidRPr="00024895">
        <w:rPr>
          <w:rFonts w:asciiTheme="minorHAnsi" w:eastAsiaTheme="minorHAnsi" w:hAnsiTheme="minorHAnsi" w:cstheme="minorBidi"/>
          <w:snapToGrid/>
          <w:sz w:val="24"/>
          <w:szCs w:val="22"/>
        </w:rPr>
        <w:t xml:space="preserve">2.4g </w:t>
      </w:r>
      <w:r w:rsidRPr="00024895">
        <w:rPr>
          <w:rFonts w:asciiTheme="minorHAnsi" w:eastAsiaTheme="minorHAnsi" w:hAnsiTheme="minorHAnsi" w:cstheme="minorBidi"/>
          <w:snapToGrid/>
          <w:sz w:val="24"/>
          <w:szCs w:val="22"/>
        </w:rPr>
        <w:t xml:space="preserve">as </w:t>
      </w:r>
      <w:r w:rsidR="006C0191" w:rsidRPr="00024895">
        <w:rPr>
          <w:rFonts w:asciiTheme="minorHAnsi" w:eastAsiaTheme="minorHAnsi" w:hAnsiTheme="minorHAnsi" w:cstheme="minorBidi"/>
          <w:snapToGrid/>
          <w:sz w:val="24"/>
          <w:szCs w:val="22"/>
        </w:rPr>
        <w:t xml:space="preserve">a </w:t>
      </w:r>
      <w:r w:rsidRPr="00024895">
        <w:rPr>
          <w:rFonts w:asciiTheme="minorHAnsi" w:eastAsiaTheme="minorHAnsi" w:hAnsiTheme="minorHAnsi" w:cstheme="minorBidi"/>
          <w:snapToGrid/>
          <w:sz w:val="24"/>
          <w:szCs w:val="22"/>
        </w:rPr>
        <w:t xml:space="preserve">powder for suspension </w:t>
      </w:r>
      <w:r w:rsidR="005A3308" w:rsidRPr="00024895">
        <w:rPr>
          <w:rFonts w:asciiTheme="minorHAnsi" w:eastAsiaTheme="minorHAnsi" w:hAnsiTheme="minorHAnsi" w:cstheme="minorBidi"/>
          <w:snapToGrid/>
          <w:sz w:val="24"/>
          <w:szCs w:val="22"/>
        </w:rPr>
        <w:t>(</w:t>
      </w:r>
      <w:proofErr w:type="spellStart"/>
      <w:r w:rsidR="00F32066" w:rsidRPr="00024895">
        <w:rPr>
          <w:rFonts w:asciiTheme="minorHAnsi" w:eastAsiaTheme="minorHAnsi" w:hAnsiTheme="minorHAnsi" w:cstheme="minorBidi"/>
          <w:snapToGrid/>
          <w:sz w:val="24"/>
          <w:szCs w:val="22"/>
        </w:rPr>
        <w:t>Renvela</w:t>
      </w:r>
      <w:proofErr w:type="spellEnd"/>
      <w:r w:rsidR="007A40B9">
        <w:rPr>
          <w:rFonts w:asciiTheme="minorHAnsi" w:eastAsiaTheme="minorHAnsi" w:hAnsiTheme="minorHAnsi" w:cstheme="minorHAnsi"/>
          <w:snapToGrid/>
          <w:sz w:val="24"/>
          <w:szCs w:val="22"/>
        </w:rPr>
        <w:t>®</w:t>
      </w:r>
      <w:r w:rsidR="00F32066" w:rsidRPr="00024895">
        <w:rPr>
          <w:rFonts w:asciiTheme="minorHAnsi" w:eastAsiaTheme="minorHAnsi" w:hAnsiTheme="minorHAnsi" w:cstheme="minorBidi"/>
          <w:snapToGrid/>
          <w:sz w:val="24"/>
          <w:szCs w:val="22"/>
        </w:rPr>
        <w:t xml:space="preserve">) </w:t>
      </w:r>
      <w:r w:rsidR="005A3308" w:rsidRPr="00024895">
        <w:rPr>
          <w:rFonts w:asciiTheme="minorHAnsi" w:eastAsiaTheme="minorHAnsi" w:hAnsiTheme="minorHAnsi" w:cstheme="minorBidi"/>
          <w:snapToGrid/>
          <w:sz w:val="24"/>
          <w:szCs w:val="22"/>
        </w:rPr>
        <w:t xml:space="preserve">sponsored by Sanofi-Aventis </w:t>
      </w:r>
      <w:proofErr w:type="gramStart"/>
      <w:r w:rsidR="00024895">
        <w:rPr>
          <w:rFonts w:asciiTheme="minorHAnsi" w:eastAsiaTheme="minorHAnsi" w:hAnsiTheme="minorHAnsi" w:cstheme="minorBidi"/>
          <w:snapToGrid/>
          <w:sz w:val="24"/>
          <w:szCs w:val="22"/>
        </w:rPr>
        <w:t xml:space="preserve">was </w:t>
      </w:r>
      <w:r w:rsidRPr="00024895">
        <w:rPr>
          <w:rFonts w:asciiTheme="minorHAnsi" w:eastAsiaTheme="minorHAnsi" w:hAnsiTheme="minorHAnsi" w:cstheme="minorBidi"/>
          <w:snapToGrid/>
          <w:sz w:val="24"/>
          <w:szCs w:val="22"/>
        </w:rPr>
        <w:t>recommended</w:t>
      </w:r>
      <w:proofErr w:type="gramEnd"/>
      <w:r w:rsidRPr="00024895">
        <w:rPr>
          <w:rFonts w:asciiTheme="minorHAnsi" w:eastAsiaTheme="minorHAnsi" w:hAnsiTheme="minorHAnsi" w:cstheme="minorBidi"/>
          <w:snapToGrid/>
          <w:sz w:val="24"/>
          <w:szCs w:val="22"/>
        </w:rPr>
        <w:t xml:space="preserve"> by the PBAC for the same indication (PBAC November 2017).</w:t>
      </w:r>
      <w:r w:rsidR="00F32066" w:rsidRPr="00024895">
        <w:rPr>
          <w:rFonts w:asciiTheme="minorHAnsi" w:eastAsiaTheme="minorHAnsi" w:hAnsiTheme="minorHAnsi" w:cstheme="minorBidi"/>
          <w:snapToGrid/>
          <w:sz w:val="24"/>
          <w:szCs w:val="22"/>
        </w:rPr>
        <w:t xml:space="preserve"> </w:t>
      </w:r>
      <w:r w:rsidR="00024895">
        <w:rPr>
          <w:rFonts w:asciiTheme="minorHAnsi" w:eastAsiaTheme="minorHAnsi" w:hAnsiTheme="minorHAnsi" w:cstheme="minorBidi"/>
          <w:snapToGrid/>
          <w:sz w:val="24"/>
          <w:szCs w:val="22"/>
        </w:rPr>
        <w:t xml:space="preserve">To date, </w:t>
      </w:r>
      <w:r w:rsidR="00F32066" w:rsidRPr="00024895">
        <w:rPr>
          <w:rFonts w:asciiTheme="minorHAnsi" w:eastAsiaTheme="minorHAnsi" w:hAnsiTheme="minorHAnsi" w:cstheme="minorBidi"/>
          <w:snapToGrid/>
          <w:sz w:val="24"/>
          <w:szCs w:val="22"/>
        </w:rPr>
        <w:t xml:space="preserve">Sanofi has not proceeded </w:t>
      </w:r>
      <w:r w:rsidR="00024895">
        <w:rPr>
          <w:rFonts w:asciiTheme="minorHAnsi" w:eastAsiaTheme="minorHAnsi" w:hAnsiTheme="minorHAnsi" w:cstheme="minorBidi"/>
          <w:snapToGrid/>
          <w:sz w:val="24"/>
          <w:szCs w:val="22"/>
        </w:rPr>
        <w:t xml:space="preserve">with this </w:t>
      </w:r>
      <w:r w:rsidR="00F32066" w:rsidRPr="00024895">
        <w:rPr>
          <w:rFonts w:asciiTheme="minorHAnsi" w:eastAsiaTheme="minorHAnsi" w:hAnsiTheme="minorHAnsi" w:cstheme="minorBidi"/>
          <w:snapToGrid/>
          <w:sz w:val="24"/>
          <w:szCs w:val="22"/>
        </w:rPr>
        <w:t>listing on the PBS.</w:t>
      </w:r>
    </w:p>
    <w:p w:rsidR="008A5058" w:rsidRPr="00024895" w:rsidRDefault="008A5058" w:rsidP="000E544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is currently available on the PBS as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hydrochloride 800 mg tablets</w:t>
      </w:r>
      <w:r w:rsidR="00606174" w:rsidRPr="00024895">
        <w:rPr>
          <w:rFonts w:asciiTheme="minorHAnsi" w:eastAsiaTheme="minorHAnsi" w:hAnsiTheme="minorHAnsi" w:cstheme="minorBidi"/>
          <w:snapToGrid/>
          <w:sz w:val="24"/>
          <w:szCs w:val="22"/>
        </w:rPr>
        <w:t xml:space="preserve"> (</w:t>
      </w:r>
      <w:proofErr w:type="spellStart"/>
      <w:r w:rsidR="00606174" w:rsidRPr="00024895">
        <w:rPr>
          <w:rFonts w:asciiTheme="minorHAnsi" w:eastAsiaTheme="minorHAnsi" w:hAnsiTheme="minorHAnsi" w:cstheme="minorBidi"/>
          <w:snapToGrid/>
          <w:sz w:val="24"/>
          <w:szCs w:val="22"/>
        </w:rPr>
        <w:t>Renagel</w:t>
      </w:r>
      <w:proofErr w:type="spellEnd"/>
      <w:r w:rsidR="007A40B9">
        <w:rPr>
          <w:rFonts w:asciiTheme="minorHAnsi" w:eastAsiaTheme="minorHAnsi" w:hAnsiTheme="minorHAnsi" w:cstheme="minorHAnsi"/>
          <w:snapToGrid/>
          <w:sz w:val="24"/>
          <w:szCs w:val="22"/>
        </w:rPr>
        <w:t>®</w:t>
      </w:r>
      <w:r w:rsidR="00606174" w:rsidRPr="00024895">
        <w:rPr>
          <w:rFonts w:asciiTheme="minorHAnsi" w:eastAsiaTheme="minorHAnsi" w:hAnsiTheme="minorHAnsi" w:cstheme="minorBidi"/>
          <w:snapToGrid/>
          <w:sz w:val="24"/>
          <w:szCs w:val="22"/>
        </w:rPr>
        <w:t>)</w:t>
      </w:r>
      <w:r w:rsidRPr="00024895">
        <w:rPr>
          <w:rFonts w:asciiTheme="minorHAnsi" w:eastAsiaTheme="minorHAnsi" w:hAnsiTheme="minorHAnsi" w:cstheme="minorBidi"/>
          <w:snapToGrid/>
          <w:sz w:val="24"/>
          <w:szCs w:val="22"/>
        </w:rPr>
        <w:t xml:space="preserve"> for</w:t>
      </w:r>
      <w:r w:rsidR="00606174" w:rsidRPr="00024895">
        <w:rPr>
          <w:rFonts w:asciiTheme="minorHAnsi" w:eastAsiaTheme="minorHAnsi" w:hAnsiTheme="minorHAnsi" w:cstheme="minorBidi"/>
          <w:snapToGrid/>
          <w:sz w:val="24"/>
          <w:szCs w:val="22"/>
        </w:rPr>
        <w:t xml:space="preserve"> the management of</w:t>
      </w:r>
      <w:r w:rsidRPr="00024895">
        <w:rPr>
          <w:rFonts w:asciiTheme="minorHAnsi" w:eastAsiaTheme="minorHAnsi" w:hAnsiTheme="minorHAnsi" w:cstheme="minorBidi"/>
          <w:snapToGrid/>
          <w:sz w:val="24"/>
          <w:szCs w:val="22"/>
        </w:rPr>
        <w:t xml:space="preserve"> </w:t>
      </w:r>
      <w:proofErr w:type="spellStart"/>
      <w:r w:rsidRPr="00024895">
        <w:rPr>
          <w:rFonts w:asciiTheme="minorHAnsi" w:eastAsiaTheme="minorHAnsi" w:hAnsiTheme="minorHAnsi" w:cstheme="minorBidi"/>
          <w:snapToGrid/>
          <w:sz w:val="24"/>
          <w:szCs w:val="22"/>
        </w:rPr>
        <w:t>hyperphosphataemia</w:t>
      </w:r>
      <w:proofErr w:type="spellEnd"/>
      <w:r w:rsidRPr="00024895">
        <w:rPr>
          <w:rFonts w:asciiTheme="minorHAnsi" w:eastAsiaTheme="minorHAnsi" w:hAnsiTheme="minorHAnsi" w:cstheme="minorBidi"/>
          <w:snapToGrid/>
          <w:sz w:val="24"/>
          <w:szCs w:val="22"/>
        </w:rPr>
        <w:t xml:space="preserve"> in patients undergoing dialysis for chronic kidney disease. </w:t>
      </w:r>
    </w:p>
    <w:p w:rsidR="0075361C" w:rsidRPr="00024895" w:rsidRDefault="0075361C" w:rsidP="000E5444">
      <w:pPr>
        <w:pStyle w:val="ListParagraph"/>
        <w:spacing w:before="120" w:after="120"/>
        <w:ind w:left="709"/>
        <w:rPr>
          <w:rFonts w:asciiTheme="minorHAnsi" w:hAnsiTheme="minorHAnsi"/>
          <w:i/>
          <w:sz w:val="24"/>
          <w:szCs w:val="24"/>
        </w:rPr>
      </w:pPr>
      <w:r w:rsidRPr="00024895">
        <w:rPr>
          <w:rFonts w:asciiTheme="minorHAnsi" w:hAnsiTheme="minorHAnsi"/>
          <w:i/>
          <w:sz w:val="24"/>
          <w:szCs w:val="24"/>
        </w:rPr>
        <w:t xml:space="preserve">For more detail on PBAC’s view, see section </w:t>
      </w:r>
      <w:r w:rsidR="00B62AC3" w:rsidRPr="00024895">
        <w:rPr>
          <w:rFonts w:asciiTheme="minorHAnsi" w:hAnsiTheme="minorHAnsi"/>
          <w:i/>
          <w:sz w:val="24"/>
          <w:szCs w:val="24"/>
        </w:rPr>
        <w:t>6</w:t>
      </w:r>
      <w:r w:rsidR="005349F3" w:rsidRPr="00024895">
        <w:rPr>
          <w:rFonts w:asciiTheme="minorHAnsi" w:hAnsiTheme="minorHAnsi"/>
          <w:i/>
          <w:sz w:val="24"/>
          <w:szCs w:val="24"/>
        </w:rPr>
        <w:t xml:space="preserve"> </w:t>
      </w:r>
      <w:r w:rsidRPr="00024895">
        <w:rPr>
          <w:rFonts w:asciiTheme="minorHAnsi" w:hAnsiTheme="minorHAnsi"/>
          <w:i/>
          <w:sz w:val="24"/>
          <w:szCs w:val="24"/>
        </w:rPr>
        <w:t>PBAC outcome.</w:t>
      </w:r>
    </w:p>
    <w:p w:rsidR="000B558D" w:rsidRPr="00024895" w:rsidRDefault="008D7A41"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024895">
        <w:rPr>
          <w:rFonts w:asciiTheme="minorHAnsi" w:hAnsiTheme="minorHAnsi"/>
          <w:sz w:val="32"/>
          <w:szCs w:val="32"/>
        </w:rPr>
        <w:t>C</w:t>
      </w:r>
      <w:r w:rsidR="00D84934" w:rsidRPr="00024895">
        <w:rPr>
          <w:rFonts w:asciiTheme="minorHAnsi" w:hAnsiTheme="minorHAnsi"/>
          <w:sz w:val="32"/>
          <w:szCs w:val="32"/>
        </w:rPr>
        <w:t>onsideration of the evidence</w:t>
      </w:r>
    </w:p>
    <w:p w:rsidR="00D84934" w:rsidRPr="00024895" w:rsidRDefault="00D84934" w:rsidP="000E5444">
      <w:pPr>
        <w:pStyle w:val="Heading2"/>
        <w:keepLines/>
        <w:spacing w:before="120" w:after="120"/>
        <w:rPr>
          <w:rFonts w:asciiTheme="minorHAnsi" w:eastAsiaTheme="majorEastAsia" w:hAnsiTheme="minorHAnsi" w:cstheme="majorBidi"/>
          <w:sz w:val="28"/>
          <w:szCs w:val="28"/>
          <w:lang w:eastAsia="en-US"/>
        </w:rPr>
      </w:pPr>
      <w:r w:rsidRPr="00024895">
        <w:rPr>
          <w:rFonts w:asciiTheme="minorHAnsi" w:eastAsiaTheme="majorEastAsia" w:hAnsiTheme="minorHAnsi" w:cstheme="majorBidi"/>
          <w:sz w:val="28"/>
          <w:szCs w:val="28"/>
          <w:lang w:eastAsia="en-US"/>
        </w:rPr>
        <w:t>Clinical trials</w:t>
      </w:r>
    </w:p>
    <w:p w:rsidR="00DE65F3" w:rsidRPr="00024895" w:rsidRDefault="00DE65F3" w:rsidP="000E544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The TGA ha</w:t>
      </w:r>
      <w:r w:rsidR="00F32066" w:rsidRPr="00024895">
        <w:rPr>
          <w:rFonts w:asciiTheme="minorHAnsi" w:eastAsiaTheme="minorHAnsi" w:hAnsiTheme="minorHAnsi" w:cstheme="minorBidi"/>
          <w:snapToGrid/>
          <w:sz w:val="24"/>
          <w:szCs w:val="22"/>
        </w:rPr>
        <w:t>s</w:t>
      </w:r>
      <w:r w:rsidRPr="00024895">
        <w:rPr>
          <w:rFonts w:asciiTheme="minorHAnsi" w:eastAsiaTheme="minorHAnsi" w:hAnsiTheme="minorHAnsi" w:cstheme="minorBidi"/>
          <w:snapToGrid/>
          <w:sz w:val="24"/>
          <w:szCs w:val="22"/>
        </w:rPr>
        <w:t xml:space="preserve"> previously considered </w:t>
      </w:r>
      <w:proofErr w:type="spellStart"/>
      <w:r w:rsidRPr="00024895">
        <w:rPr>
          <w:rFonts w:asciiTheme="minorHAnsi" w:eastAsiaTheme="minorHAnsi" w:hAnsiTheme="minorHAnsi" w:cstheme="minorBidi"/>
          <w:snapToGrid/>
          <w:sz w:val="24"/>
          <w:szCs w:val="22"/>
        </w:rPr>
        <w:t>Renagel</w:t>
      </w:r>
      <w:proofErr w:type="spellEnd"/>
      <w:r w:rsidRPr="00024895">
        <w:rPr>
          <w:rFonts w:asciiTheme="minorHAnsi" w:eastAsiaTheme="minorHAnsi" w:hAnsiTheme="minorHAnsi" w:cstheme="minorBidi"/>
          <w:snapToGrid/>
          <w:sz w:val="24"/>
          <w:szCs w:val="22"/>
        </w:rPr>
        <w:t xml:space="preserve"> and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carbonate (</w:t>
      </w:r>
      <w:proofErr w:type="spellStart"/>
      <w:r w:rsidRPr="00024895">
        <w:rPr>
          <w:rFonts w:asciiTheme="minorHAnsi" w:eastAsiaTheme="minorHAnsi" w:hAnsiTheme="minorHAnsi" w:cstheme="minorBidi"/>
          <w:snapToGrid/>
          <w:sz w:val="24"/>
          <w:szCs w:val="22"/>
        </w:rPr>
        <w:t>Renvela</w:t>
      </w:r>
      <w:proofErr w:type="spellEnd"/>
      <w:r w:rsidRPr="00024895">
        <w:rPr>
          <w:rFonts w:asciiTheme="minorHAnsi" w:eastAsiaTheme="minorHAnsi" w:hAnsiTheme="minorHAnsi" w:cstheme="minorBidi"/>
          <w:snapToGrid/>
          <w:sz w:val="24"/>
          <w:szCs w:val="22"/>
        </w:rPr>
        <w:t>) salts to have</w:t>
      </w:r>
      <w:r w:rsidR="005B61E7" w:rsidRPr="00024895">
        <w:rPr>
          <w:rFonts w:asciiTheme="minorHAnsi" w:eastAsiaTheme="minorHAnsi" w:hAnsiTheme="minorHAnsi" w:cstheme="minorBidi"/>
          <w:snapToGrid/>
          <w:sz w:val="24"/>
          <w:szCs w:val="22"/>
        </w:rPr>
        <w:t xml:space="preserve"> a</w:t>
      </w:r>
      <w:r w:rsidRPr="00024895">
        <w:rPr>
          <w:rFonts w:asciiTheme="minorHAnsi" w:eastAsiaTheme="minorHAnsi" w:hAnsiTheme="minorHAnsi" w:cstheme="minorBidi"/>
          <w:snapToGrid/>
          <w:sz w:val="24"/>
          <w:szCs w:val="22"/>
        </w:rPr>
        <w:t xml:space="preserve"> favourable benefit risk profile in</w:t>
      </w:r>
      <w:r w:rsidR="005B61E7" w:rsidRPr="00024895">
        <w:rPr>
          <w:rFonts w:asciiTheme="minorHAnsi" w:eastAsiaTheme="minorHAnsi" w:hAnsiTheme="minorHAnsi" w:cstheme="minorBidi"/>
          <w:snapToGrid/>
          <w:sz w:val="24"/>
          <w:szCs w:val="22"/>
        </w:rPr>
        <w:t xml:space="preserve"> adult</w:t>
      </w:r>
      <w:r w:rsidRPr="00024895">
        <w:rPr>
          <w:rFonts w:asciiTheme="minorHAnsi" w:eastAsiaTheme="minorHAnsi" w:hAnsiTheme="minorHAnsi" w:cstheme="minorBidi"/>
          <w:snapToGrid/>
          <w:sz w:val="24"/>
          <w:szCs w:val="22"/>
        </w:rPr>
        <w:t xml:space="preserve"> patients with stage 4 and 5 chronic renal disease</w:t>
      </w:r>
      <w:r w:rsidR="00277735" w:rsidRPr="00024895">
        <w:rPr>
          <w:rFonts w:asciiTheme="minorHAnsi" w:eastAsiaTheme="minorHAnsi" w:hAnsiTheme="minorHAnsi" w:cstheme="minorBidi"/>
          <w:snapToGrid/>
          <w:sz w:val="24"/>
          <w:szCs w:val="22"/>
        </w:rPr>
        <w:t xml:space="preserve">. </w:t>
      </w:r>
      <w:r w:rsidR="00E4433F" w:rsidRPr="00024895">
        <w:rPr>
          <w:rFonts w:asciiTheme="minorHAnsi" w:eastAsiaTheme="minorHAnsi" w:hAnsiTheme="minorHAnsi" w:cstheme="minorBidi"/>
          <w:snapToGrid/>
          <w:sz w:val="24"/>
          <w:szCs w:val="22"/>
        </w:rPr>
        <w:t>T</w:t>
      </w:r>
      <w:r w:rsidR="00277735" w:rsidRPr="00024895">
        <w:rPr>
          <w:rFonts w:asciiTheme="minorHAnsi" w:eastAsiaTheme="minorHAnsi" w:hAnsiTheme="minorHAnsi" w:cstheme="minorBidi"/>
          <w:snapToGrid/>
          <w:sz w:val="24"/>
          <w:szCs w:val="22"/>
        </w:rPr>
        <w:t>he TGA</w:t>
      </w:r>
      <w:r w:rsidR="00E4433F" w:rsidRPr="00024895">
        <w:rPr>
          <w:rFonts w:asciiTheme="minorHAnsi" w:eastAsiaTheme="minorHAnsi" w:hAnsiTheme="minorHAnsi" w:cstheme="minorBidi"/>
          <w:snapToGrid/>
          <w:sz w:val="24"/>
          <w:szCs w:val="22"/>
        </w:rPr>
        <w:t xml:space="preserve"> based this conclusion on</w:t>
      </w:r>
      <w:r w:rsidR="005B61E7" w:rsidRPr="00024895">
        <w:rPr>
          <w:rFonts w:asciiTheme="minorHAnsi" w:eastAsiaTheme="minorHAnsi" w:hAnsiTheme="minorHAnsi" w:cstheme="minorBidi"/>
          <w:snapToGrid/>
          <w:sz w:val="24"/>
          <w:szCs w:val="22"/>
        </w:rPr>
        <w:t xml:space="preserve"> t</w:t>
      </w:r>
      <w:r w:rsidRPr="00024895">
        <w:rPr>
          <w:rFonts w:asciiTheme="minorHAnsi" w:eastAsiaTheme="minorHAnsi" w:hAnsiTheme="minorHAnsi" w:cstheme="minorBidi"/>
          <w:snapToGrid/>
          <w:sz w:val="24"/>
          <w:szCs w:val="22"/>
        </w:rPr>
        <w:t>herape</w:t>
      </w:r>
      <w:r w:rsidR="00277735" w:rsidRPr="00024895">
        <w:rPr>
          <w:rFonts w:asciiTheme="minorHAnsi" w:eastAsiaTheme="minorHAnsi" w:hAnsiTheme="minorHAnsi" w:cstheme="minorBidi"/>
          <w:snapToGrid/>
          <w:sz w:val="24"/>
          <w:szCs w:val="22"/>
        </w:rPr>
        <w:t>utic</w:t>
      </w:r>
      <w:r w:rsidR="005B61E7" w:rsidRPr="00024895">
        <w:rPr>
          <w:rFonts w:asciiTheme="minorHAnsi" w:eastAsiaTheme="minorHAnsi" w:hAnsiTheme="minorHAnsi" w:cstheme="minorBidi"/>
          <w:snapToGrid/>
          <w:sz w:val="24"/>
          <w:szCs w:val="22"/>
        </w:rPr>
        <w:t xml:space="preserve"> equivalence evidenced from </w:t>
      </w:r>
      <w:r w:rsidRPr="00024895">
        <w:rPr>
          <w:rFonts w:asciiTheme="minorHAnsi" w:eastAsiaTheme="minorHAnsi" w:hAnsiTheme="minorHAnsi" w:cstheme="minorBidi"/>
          <w:snapToGrid/>
          <w:sz w:val="24"/>
          <w:szCs w:val="22"/>
        </w:rPr>
        <w:t xml:space="preserve">extensive </w:t>
      </w:r>
      <w:r w:rsidR="00024895" w:rsidRPr="00024895">
        <w:rPr>
          <w:rFonts w:asciiTheme="minorHAnsi" w:eastAsiaTheme="minorHAnsi" w:hAnsiTheme="minorHAnsi" w:cstheme="minorBidi"/>
          <w:snapToGrid/>
          <w:sz w:val="24"/>
          <w:szCs w:val="22"/>
        </w:rPr>
        <w:t>worldwide</w:t>
      </w:r>
      <w:r w:rsidR="005B61E7" w:rsidRPr="00024895">
        <w:rPr>
          <w:rFonts w:asciiTheme="minorHAnsi" w:eastAsiaTheme="minorHAnsi" w:hAnsiTheme="minorHAnsi" w:cstheme="minorBidi"/>
          <w:snapToGrid/>
          <w:sz w:val="24"/>
          <w:szCs w:val="22"/>
        </w:rPr>
        <w:t xml:space="preserve"> </w:t>
      </w:r>
      <w:r w:rsidR="00024895" w:rsidRPr="00024895">
        <w:rPr>
          <w:rFonts w:asciiTheme="minorHAnsi" w:eastAsiaTheme="minorHAnsi" w:hAnsiTheme="minorHAnsi" w:cstheme="minorBidi"/>
          <w:snapToGrid/>
          <w:sz w:val="24"/>
          <w:szCs w:val="22"/>
        </w:rPr>
        <w:t>post marketing</w:t>
      </w:r>
      <w:r w:rsidR="005B61E7" w:rsidRPr="00024895">
        <w:rPr>
          <w:rFonts w:asciiTheme="minorHAnsi" w:eastAsiaTheme="minorHAnsi" w:hAnsiTheme="minorHAnsi" w:cstheme="minorBidi"/>
          <w:snapToGrid/>
          <w:sz w:val="24"/>
          <w:szCs w:val="22"/>
        </w:rPr>
        <w:t xml:space="preserve"> experience,</w:t>
      </w:r>
      <w:r w:rsidRPr="00024895">
        <w:rPr>
          <w:rFonts w:asciiTheme="minorHAnsi" w:eastAsiaTheme="minorHAnsi" w:hAnsiTheme="minorHAnsi" w:cstheme="minorBidi"/>
          <w:snapToGrid/>
          <w:sz w:val="24"/>
          <w:szCs w:val="22"/>
        </w:rPr>
        <w:t xml:space="preserve"> long </w:t>
      </w:r>
      <w:r w:rsidR="005B61E7" w:rsidRPr="00024895">
        <w:rPr>
          <w:rFonts w:asciiTheme="minorHAnsi" w:eastAsiaTheme="minorHAnsi" w:hAnsiTheme="minorHAnsi" w:cstheme="minorBidi"/>
          <w:snapToGrid/>
          <w:sz w:val="24"/>
          <w:szCs w:val="22"/>
        </w:rPr>
        <w:t>established use in clinical practice in Australia and safety profile based on estimated cumulative exposure of 1.9 million patient years for both the salts</w:t>
      </w:r>
      <w:r w:rsidR="00277735" w:rsidRPr="00024895">
        <w:rPr>
          <w:rStyle w:val="FootnoteReference"/>
          <w:rFonts w:asciiTheme="minorHAnsi" w:eastAsiaTheme="minorHAnsi" w:hAnsiTheme="minorHAnsi" w:cstheme="minorBidi"/>
          <w:snapToGrid/>
          <w:sz w:val="24"/>
          <w:szCs w:val="22"/>
        </w:rPr>
        <w:footnoteReference w:id="1"/>
      </w:r>
      <w:r w:rsidR="005B61E7" w:rsidRPr="00024895">
        <w:rPr>
          <w:rFonts w:asciiTheme="minorHAnsi" w:eastAsiaTheme="minorHAnsi" w:hAnsiTheme="minorHAnsi" w:cstheme="minorBidi"/>
          <w:snapToGrid/>
          <w:sz w:val="24"/>
          <w:szCs w:val="22"/>
        </w:rPr>
        <w:t>.</w:t>
      </w:r>
    </w:p>
    <w:p w:rsidR="0076420C" w:rsidRPr="007A40B9" w:rsidRDefault="00B50F84" w:rsidP="000E544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submission presented one in vitro equilibrium </w:t>
      </w:r>
      <w:r w:rsidR="00C34322" w:rsidRPr="00024895">
        <w:rPr>
          <w:rFonts w:asciiTheme="minorHAnsi" w:eastAsiaTheme="minorHAnsi" w:hAnsiTheme="minorHAnsi" w:cstheme="minorBidi"/>
          <w:snapToGrid/>
          <w:sz w:val="24"/>
          <w:szCs w:val="22"/>
        </w:rPr>
        <w:t xml:space="preserve">binding </w:t>
      </w:r>
      <w:r w:rsidRPr="00024895">
        <w:rPr>
          <w:rFonts w:asciiTheme="minorHAnsi" w:eastAsiaTheme="minorHAnsi" w:hAnsiTheme="minorHAnsi" w:cstheme="minorBidi"/>
          <w:snapToGrid/>
          <w:sz w:val="24"/>
          <w:szCs w:val="22"/>
        </w:rPr>
        <w:t xml:space="preserve">and kinetic study (VP15151) to demonstrate bioequivalence between 800 mg tablets of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Dr Reddy’s and </w:t>
      </w:r>
      <w:proofErr w:type="spellStart"/>
      <w:r w:rsidRPr="00024895">
        <w:rPr>
          <w:rFonts w:asciiTheme="minorHAnsi" w:eastAsiaTheme="minorHAnsi" w:hAnsiTheme="minorHAnsi" w:cstheme="minorBidi"/>
          <w:snapToGrid/>
          <w:sz w:val="24"/>
          <w:szCs w:val="22"/>
        </w:rPr>
        <w:t>Renvela</w:t>
      </w:r>
      <w:proofErr w:type="spellEnd"/>
      <w:r w:rsidRPr="00024895">
        <w:rPr>
          <w:rFonts w:asciiTheme="minorHAnsi" w:eastAsiaTheme="minorHAnsi" w:hAnsiTheme="minorHAnsi" w:cstheme="minorBidi"/>
          <w:snapToGrid/>
          <w:sz w:val="24"/>
          <w:szCs w:val="22"/>
        </w:rPr>
        <w:t>.</w:t>
      </w:r>
      <w:r w:rsidR="00157A33" w:rsidRPr="00024895">
        <w:rPr>
          <w:rFonts w:asciiTheme="minorHAnsi" w:eastAsiaTheme="minorHAnsi" w:hAnsiTheme="minorHAnsi" w:cstheme="minorBidi"/>
          <w:snapToGrid/>
          <w:sz w:val="24"/>
          <w:szCs w:val="22"/>
        </w:rPr>
        <w:t xml:space="preserve"> </w:t>
      </w:r>
    </w:p>
    <w:p w:rsidR="0076420C" w:rsidRPr="00024895" w:rsidRDefault="0050706D" w:rsidP="00217BE1">
      <w:pPr>
        <w:pStyle w:val="NoSpacing"/>
        <w:spacing w:after="60"/>
        <w:rPr>
          <w:rFonts w:ascii="Arial Narrow" w:hAnsi="Arial Narrow"/>
          <w:b/>
          <w:sz w:val="20"/>
        </w:rPr>
      </w:pPr>
      <w:r>
        <w:rPr>
          <w:rFonts w:ascii="Arial Narrow" w:hAnsi="Arial Narrow"/>
          <w:b/>
          <w:sz w:val="20"/>
        </w:rPr>
        <w:t xml:space="preserve">Table 1: </w:t>
      </w:r>
      <w:r w:rsidR="0076420C" w:rsidRPr="00024895">
        <w:rPr>
          <w:rFonts w:ascii="Arial Narrow" w:hAnsi="Arial Narrow"/>
          <w:b/>
          <w:sz w:val="20"/>
        </w:rPr>
        <w:t>Trials and associa</w:t>
      </w:r>
      <w:r w:rsidR="00B50F84" w:rsidRPr="00024895">
        <w:rPr>
          <w:rFonts w:ascii="Arial Narrow" w:hAnsi="Arial Narrow"/>
          <w:b/>
          <w:sz w:val="20"/>
        </w:rPr>
        <w:t xml:space="preserve">ted reports presented in the </w:t>
      </w:r>
      <w:r w:rsidR="0076420C" w:rsidRPr="00024895">
        <w:rPr>
          <w:rFonts w:ascii="Arial Narrow" w:hAnsi="Arial Narrow"/>
          <w:b/>
          <w:sz w:val="20"/>
        </w:rPr>
        <w:t>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rials and associated reports presented in the submission"/>
      </w:tblPr>
      <w:tblGrid>
        <w:gridCol w:w="1411"/>
        <w:gridCol w:w="5363"/>
        <w:gridCol w:w="2085"/>
      </w:tblGrid>
      <w:tr w:rsidR="0076420C" w:rsidRPr="00024895" w:rsidTr="00D31150">
        <w:trPr>
          <w:cantSplit/>
          <w:trHeight w:val="539"/>
          <w:tblHeader/>
        </w:trPr>
        <w:tc>
          <w:tcPr>
            <w:tcW w:w="796" w:type="pct"/>
          </w:tcPr>
          <w:p w:rsidR="0076420C" w:rsidRPr="00024895" w:rsidRDefault="0076420C" w:rsidP="006670BE">
            <w:pPr>
              <w:pStyle w:val="NoSpacing"/>
              <w:spacing w:before="40" w:after="40"/>
              <w:jc w:val="left"/>
              <w:rPr>
                <w:rFonts w:ascii="Arial Narrow" w:hAnsi="Arial Narrow"/>
                <w:b/>
                <w:sz w:val="20"/>
              </w:rPr>
            </w:pPr>
            <w:r w:rsidRPr="00024895">
              <w:rPr>
                <w:rFonts w:ascii="Arial Narrow" w:hAnsi="Arial Narrow"/>
                <w:b/>
                <w:sz w:val="20"/>
              </w:rPr>
              <w:t>Trial ID</w:t>
            </w:r>
            <w:r w:rsidR="006670BE" w:rsidRPr="00024895">
              <w:rPr>
                <w:rFonts w:ascii="Arial Narrow" w:hAnsi="Arial Narrow"/>
                <w:b/>
                <w:sz w:val="20"/>
              </w:rPr>
              <w:t>/First Author</w:t>
            </w:r>
          </w:p>
        </w:tc>
        <w:tc>
          <w:tcPr>
            <w:tcW w:w="3027" w:type="pct"/>
          </w:tcPr>
          <w:p w:rsidR="0076420C" w:rsidRPr="00024895" w:rsidRDefault="0076420C" w:rsidP="006670BE">
            <w:pPr>
              <w:keepNext/>
              <w:spacing w:before="40" w:after="40"/>
              <w:rPr>
                <w:rFonts w:ascii="Arial Narrow" w:hAnsi="Arial Narrow"/>
                <w:b/>
                <w:sz w:val="20"/>
              </w:rPr>
            </w:pPr>
            <w:r w:rsidRPr="00024895">
              <w:rPr>
                <w:rFonts w:ascii="Arial Narrow" w:hAnsi="Arial Narrow"/>
                <w:b/>
                <w:sz w:val="20"/>
              </w:rPr>
              <w:t>Protocol title/ Publication title</w:t>
            </w:r>
          </w:p>
        </w:tc>
        <w:tc>
          <w:tcPr>
            <w:tcW w:w="1177" w:type="pct"/>
          </w:tcPr>
          <w:p w:rsidR="0076420C" w:rsidRPr="00024895" w:rsidRDefault="0076420C" w:rsidP="006670BE">
            <w:pPr>
              <w:keepNext/>
              <w:spacing w:before="40" w:after="40"/>
              <w:rPr>
                <w:rFonts w:ascii="Arial Narrow" w:hAnsi="Arial Narrow"/>
                <w:b/>
                <w:sz w:val="20"/>
              </w:rPr>
            </w:pPr>
            <w:r w:rsidRPr="00024895">
              <w:rPr>
                <w:rFonts w:ascii="Arial Narrow" w:hAnsi="Arial Narrow"/>
                <w:b/>
                <w:sz w:val="20"/>
              </w:rPr>
              <w:t>Publication citation</w:t>
            </w:r>
          </w:p>
        </w:tc>
      </w:tr>
      <w:tr w:rsidR="0076420C" w:rsidRPr="00024895" w:rsidTr="004A71D1">
        <w:trPr>
          <w:cantSplit/>
        </w:trPr>
        <w:tc>
          <w:tcPr>
            <w:tcW w:w="5000" w:type="pct"/>
            <w:gridSpan w:val="3"/>
          </w:tcPr>
          <w:p w:rsidR="0076420C" w:rsidRPr="00024895" w:rsidRDefault="00157A33" w:rsidP="006670BE">
            <w:pPr>
              <w:pStyle w:val="NoSpacing"/>
              <w:spacing w:before="40" w:after="40"/>
              <w:rPr>
                <w:rFonts w:ascii="Arial Narrow" w:hAnsi="Arial Narrow"/>
                <w:b/>
                <w:sz w:val="20"/>
              </w:rPr>
            </w:pPr>
            <w:r w:rsidRPr="00024895">
              <w:rPr>
                <w:rFonts w:ascii="Arial Narrow" w:hAnsi="Arial Narrow"/>
                <w:b/>
                <w:sz w:val="20"/>
              </w:rPr>
              <w:t>Bioequivalence studies</w:t>
            </w:r>
          </w:p>
        </w:tc>
      </w:tr>
      <w:tr w:rsidR="0076420C" w:rsidRPr="00024895" w:rsidTr="004A71D1">
        <w:trPr>
          <w:cantSplit/>
        </w:trPr>
        <w:tc>
          <w:tcPr>
            <w:tcW w:w="796" w:type="pct"/>
          </w:tcPr>
          <w:p w:rsidR="0076420C" w:rsidRPr="00024895" w:rsidRDefault="007A0CD6" w:rsidP="004A71D1">
            <w:pPr>
              <w:pStyle w:val="NoSpacing"/>
              <w:tabs>
                <w:tab w:val="left" w:pos="1289"/>
              </w:tabs>
              <w:jc w:val="left"/>
              <w:rPr>
                <w:rFonts w:ascii="Arial Narrow" w:hAnsi="Arial Narrow"/>
                <w:sz w:val="20"/>
              </w:rPr>
            </w:pPr>
            <w:r w:rsidRPr="00024895">
              <w:rPr>
                <w:rFonts w:ascii="Arial Narrow" w:hAnsi="Arial Narrow"/>
                <w:sz w:val="20"/>
              </w:rPr>
              <w:t xml:space="preserve">VP15151 </w:t>
            </w:r>
          </w:p>
        </w:tc>
        <w:tc>
          <w:tcPr>
            <w:tcW w:w="3027" w:type="pct"/>
          </w:tcPr>
          <w:p w:rsidR="0076420C" w:rsidRPr="00024895" w:rsidRDefault="007A0CD6" w:rsidP="007A0CD6">
            <w:pPr>
              <w:keepNext/>
              <w:rPr>
                <w:rFonts w:ascii="Arial Narrow" w:hAnsi="Arial Narrow"/>
                <w:sz w:val="20"/>
              </w:rPr>
            </w:pPr>
            <w:r w:rsidRPr="00024895">
              <w:rPr>
                <w:rFonts w:ascii="Arial Narrow" w:hAnsi="Arial Narrow"/>
                <w:sz w:val="20"/>
              </w:rPr>
              <w:t xml:space="preserve">In-Vitro </w:t>
            </w:r>
            <w:r w:rsidR="00157A33" w:rsidRPr="00024895">
              <w:rPr>
                <w:rFonts w:ascii="Arial Narrow" w:hAnsi="Arial Narrow"/>
                <w:sz w:val="20"/>
              </w:rPr>
              <w:t>Bioequivalence</w:t>
            </w:r>
            <w:r w:rsidRPr="00024895">
              <w:rPr>
                <w:rFonts w:ascii="Arial Narrow" w:hAnsi="Arial Narrow"/>
                <w:sz w:val="20"/>
              </w:rPr>
              <w:t xml:space="preserve"> study of </w:t>
            </w:r>
            <w:proofErr w:type="spellStart"/>
            <w:r w:rsidRPr="00024895">
              <w:rPr>
                <w:rFonts w:ascii="Arial Narrow" w:hAnsi="Arial Narrow"/>
                <w:sz w:val="20"/>
              </w:rPr>
              <w:t>sevelamer</w:t>
            </w:r>
            <w:proofErr w:type="spellEnd"/>
            <w:r w:rsidRPr="00024895">
              <w:rPr>
                <w:rFonts w:ascii="Arial Narrow" w:hAnsi="Arial Narrow"/>
                <w:sz w:val="20"/>
              </w:rPr>
              <w:t xml:space="preserve"> carbonate tablets 800 mg (</w:t>
            </w:r>
            <w:proofErr w:type="spellStart"/>
            <w:r w:rsidRPr="00024895">
              <w:rPr>
                <w:rFonts w:ascii="Arial Narrow" w:hAnsi="Arial Narrow"/>
                <w:sz w:val="20"/>
              </w:rPr>
              <w:t>biostatistical</w:t>
            </w:r>
            <w:proofErr w:type="spellEnd"/>
            <w:r w:rsidRPr="00024895">
              <w:rPr>
                <w:rFonts w:ascii="Arial Narrow" w:hAnsi="Arial Narrow"/>
                <w:sz w:val="20"/>
              </w:rPr>
              <w:t xml:space="preserve"> component)</w:t>
            </w:r>
          </w:p>
        </w:tc>
        <w:tc>
          <w:tcPr>
            <w:tcW w:w="1177" w:type="pct"/>
          </w:tcPr>
          <w:p w:rsidR="0076420C" w:rsidRPr="00024895" w:rsidRDefault="007A0CD6" w:rsidP="0062748A">
            <w:pPr>
              <w:keepNext/>
              <w:rPr>
                <w:rFonts w:ascii="Arial Narrow" w:hAnsi="Arial Narrow"/>
                <w:sz w:val="20"/>
              </w:rPr>
            </w:pPr>
            <w:r w:rsidRPr="00024895">
              <w:rPr>
                <w:rFonts w:ascii="Arial Narrow" w:hAnsi="Arial Narrow"/>
                <w:sz w:val="20"/>
              </w:rPr>
              <w:t xml:space="preserve">Unpublished </w:t>
            </w:r>
          </w:p>
        </w:tc>
      </w:tr>
    </w:tbl>
    <w:p w:rsidR="0076420C" w:rsidRPr="00024895" w:rsidRDefault="0076420C" w:rsidP="004A71D1">
      <w:pPr>
        <w:pStyle w:val="tablenotes"/>
        <w:spacing w:after="120"/>
        <w:rPr>
          <w:rFonts w:ascii="Arial Narrow" w:hAnsi="Arial Narrow"/>
          <w:sz w:val="18"/>
          <w:szCs w:val="18"/>
        </w:rPr>
      </w:pPr>
      <w:r w:rsidRPr="00024895">
        <w:rPr>
          <w:rFonts w:ascii="Arial Narrow" w:hAnsi="Arial Narrow"/>
          <w:sz w:val="18"/>
          <w:szCs w:val="18"/>
        </w:rPr>
        <w:t xml:space="preserve">Source: </w:t>
      </w:r>
      <w:r w:rsidR="00157A33" w:rsidRPr="00024895">
        <w:rPr>
          <w:rFonts w:ascii="Arial Narrow" w:hAnsi="Arial Narrow"/>
          <w:sz w:val="18"/>
          <w:szCs w:val="18"/>
        </w:rPr>
        <w:t xml:space="preserve"> Attachment 3 to the submission.</w:t>
      </w:r>
    </w:p>
    <w:p w:rsidR="00024895" w:rsidRPr="00182295" w:rsidRDefault="00157A33"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024895">
        <w:rPr>
          <w:rFonts w:asciiTheme="minorHAnsi" w:eastAsiaTheme="minorHAnsi" w:hAnsiTheme="minorHAnsi" w:cstheme="minorBidi"/>
          <w:snapToGrid/>
          <w:sz w:val="24"/>
          <w:szCs w:val="22"/>
        </w:rPr>
        <w:lastRenderedPageBreak/>
        <w:t xml:space="preserve">Additionally, the submission also referenced results </w:t>
      </w:r>
      <w:r w:rsidR="00C34322" w:rsidRPr="00024895">
        <w:rPr>
          <w:rFonts w:asciiTheme="minorHAnsi" w:eastAsiaTheme="minorHAnsi" w:hAnsiTheme="minorHAnsi" w:cstheme="minorBidi"/>
          <w:snapToGrid/>
          <w:sz w:val="24"/>
          <w:szCs w:val="22"/>
        </w:rPr>
        <w:t>presented in the Australian Public Assessment R</w:t>
      </w:r>
      <w:r w:rsidR="00E4433F" w:rsidRPr="00024895">
        <w:rPr>
          <w:rFonts w:asciiTheme="minorHAnsi" w:eastAsiaTheme="minorHAnsi" w:hAnsiTheme="minorHAnsi" w:cstheme="minorBidi"/>
          <w:snapToGrid/>
          <w:sz w:val="24"/>
          <w:szCs w:val="22"/>
        </w:rPr>
        <w:t xml:space="preserve">ecord </w:t>
      </w:r>
      <w:r w:rsidR="00277735" w:rsidRPr="00024895">
        <w:rPr>
          <w:rFonts w:asciiTheme="minorHAnsi" w:eastAsiaTheme="minorHAnsi" w:hAnsiTheme="minorHAnsi" w:cstheme="minorBidi"/>
          <w:snapToGrid/>
          <w:sz w:val="24"/>
          <w:szCs w:val="22"/>
        </w:rPr>
        <w:t>(</w:t>
      </w:r>
      <w:proofErr w:type="spellStart"/>
      <w:r w:rsidR="00277735" w:rsidRPr="00024895">
        <w:rPr>
          <w:rFonts w:asciiTheme="minorHAnsi" w:eastAsiaTheme="minorHAnsi" w:hAnsiTheme="minorHAnsi" w:cstheme="minorBidi"/>
          <w:snapToGrid/>
          <w:sz w:val="24"/>
          <w:szCs w:val="22"/>
        </w:rPr>
        <w:t>AusPAR</w:t>
      </w:r>
      <w:proofErr w:type="spellEnd"/>
      <w:r w:rsidR="00277735" w:rsidRPr="00024895">
        <w:rPr>
          <w:rFonts w:asciiTheme="minorHAnsi" w:eastAsiaTheme="minorHAnsi" w:hAnsiTheme="minorHAnsi" w:cstheme="minorBidi"/>
          <w:snapToGrid/>
          <w:sz w:val="24"/>
          <w:szCs w:val="22"/>
        </w:rPr>
        <w:t xml:space="preserve">) </w:t>
      </w:r>
      <w:r w:rsidR="00C34322" w:rsidRPr="00024895">
        <w:rPr>
          <w:rFonts w:asciiTheme="minorHAnsi" w:eastAsiaTheme="minorHAnsi" w:hAnsiTheme="minorHAnsi" w:cstheme="minorBidi"/>
          <w:snapToGrid/>
          <w:sz w:val="24"/>
          <w:szCs w:val="22"/>
        </w:rPr>
        <w:t xml:space="preserve">for </w:t>
      </w:r>
      <w:proofErr w:type="spellStart"/>
      <w:r w:rsidR="00C34322" w:rsidRPr="00024895">
        <w:rPr>
          <w:rFonts w:asciiTheme="minorHAnsi" w:eastAsiaTheme="minorHAnsi" w:hAnsiTheme="minorHAnsi" w:cstheme="minorBidi"/>
          <w:snapToGrid/>
          <w:sz w:val="24"/>
          <w:szCs w:val="22"/>
        </w:rPr>
        <w:t>sevelamer</w:t>
      </w:r>
      <w:proofErr w:type="spellEnd"/>
      <w:r w:rsidR="00C34322" w:rsidRPr="00024895">
        <w:rPr>
          <w:rFonts w:asciiTheme="minorHAnsi" w:eastAsiaTheme="minorHAnsi" w:hAnsiTheme="minorHAnsi" w:cstheme="minorBidi"/>
          <w:snapToGrid/>
          <w:sz w:val="24"/>
          <w:szCs w:val="22"/>
        </w:rPr>
        <w:t xml:space="preserve"> carbonate (2015) for</w:t>
      </w:r>
      <w:r w:rsidRPr="00024895">
        <w:rPr>
          <w:rFonts w:asciiTheme="minorHAnsi" w:eastAsiaTheme="minorHAnsi" w:hAnsiTheme="minorHAnsi" w:cstheme="minorBidi"/>
          <w:snapToGrid/>
          <w:sz w:val="24"/>
          <w:szCs w:val="22"/>
        </w:rPr>
        <w:t xml:space="preserve"> </w:t>
      </w:r>
      <w:r w:rsidR="00C34322" w:rsidRPr="00024895">
        <w:rPr>
          <w:rFonts w:asciiTheme="minorHAnsi" w:eastAsiaTheme="minorHAnsi" w:hAnsiTheme="minorHAnsi" w:cstheme="minorBidi"/>
          <w:snapToGrid/>
          <w:sz w:val="24"/>
          <w:szCs w:val="22"/>
        </w:rPr>
        <w:t>two other studies:</w:t>
      </w:r>
    </w:p>
    <w:p w:rsidR="00024895" w:rsidRPr="00024895" w:rsidRDefault="00C34322" w:rsidP="000E5444">
      <w:pPr>
        <w:pStyle w:val="ListParagraph"/>
        <w:widowControl/>
        <w:numPr>
          <w:ilvl w:val="2"/>
          <w:numId w:val="5"/>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an </w:t>
      </w:r>
      <w:r w:rsidR="00157A33" w:rsidRPr="00024895">
        <w:rPr>
          <w:rFonts w:asciiTheme="minorHAnsi" w:eastAsiaTheme="minorHAnsi" w:hAnsiTheme="minorHAnsi" w:cstheme="minorBidi"/>
          <w:snapToGrid/>
          <w:sz w:val="24"/>
          <w:szCs w:val="22"/>
        </w:rPr>
        <w:t xml:space="preserve">in vitro </w:t>
      </w:r>
      <w:r w:rsidRPr="00024895">
        <w:rPr>
          <w:rFonts w:asciiTheme="minorHAnsi" w:eastAsiaTheme="minorHAnsi" w:hAnsiTheme="minorHAnsi" w:cstheme="minorBidi"/>
          <w:snapToGrid/>
          <w:sz w:val="24"/>
          <w:szCs w:val="22"/>
        </w:rPr>
        <w:t>equilibrium binding and kin</w:t>
      </w:r>
      <w:r w:rsidR="00157A33" w:rsidRPr="00024895">
        <w:rPr>
          <w:rFonts w:asciiTheme="minorHAnsi" w:eastAsiaTheme="minorHAnsi" w:hAnsiTheme="minorHAnsi" w:cstheme="minorBidi"/>
          <w:snapToGrid/>
          <w:sz w:val="24"/>
          <w:szCs w:val="22"/>
        </w:rPr>
        <w:t>etic study</w:t>
      </w:r>
      <w:r w:rsidRPr="00024895">
        <w:rPr>
          <w:rFonts w:asciiTheme="minorHAnsi" w:eastAsiaTheme="minorHAnsi" w:hAnsiTheme="minorHAnsi" w:cstheme="minorBidi"/>
          <w:snapToGrid/>
          <w:sz w:val="24"/>
          <w:szCs w:val="22"/>
        </w:rPr>
        <w:t xml:space="preserve"> </w:t>
      </w:r>
      <w:r w:rsidR="00157A33" w:rsidRPr="00024895">
        <w:rPr>
          <w:rFonts w:asciiTheme="minorHAnsi" w:eastAsiaTheme="minorHAnsi" w:hAnsiTheme="minorHAnsi" w:cstheme="minorBidi"/>
          <w:snapToGrid/>
          <w:sz w:val="24"/>
          <w:szCs w:val="22"/>
        </w:rPr>
        <w:t xml:space="preserve">(TR-2527-07-SC) to demonstrate bioequivalence </w:t>
      </w:r>
      <w:r w:rsidRPr="00024895">
        <w:rPr>
          <w:rFonts w:asciiTheme="minorHAnsi" w:eastAsiaTheme="minorHAnsi" w:hAnsiTheme="minorHAnsi" w:cstheme="minorBidi"/>
          <w:snapToGrid/>
          <w:sz w:val="24"/>
          <w:szCs w:val="22"/>
        </w:rPr>
        <w:t xml:space="preserve">between </w:t>
      </w:r>
      <w:proofErr w:type="spellStart"/>
      <w:r w:rsidRPr="00024895">
        <w:rPr>
          <w:rFonts w:asciiTheme="minorHAnsi" w:eastAsiaTheme="minorHAnsi" w:hAnsiTheme="minorHAnsi" w:cstheme="minorBidi"/>
          <w:snapToGrid/>
          <w:sz w:val="24"/>
          <w:szCs w:val="22"/>
        </w:rPr>
        <w:t>Renagel</w:t>
      </w:r>
      <w:proofErr w:type="spellEnd"/>
      <w:r w:rsidRPr="00024895">
        <w:rPr>
          <w:rFonts w:asciiTheme="minorHAnsi" w:eastAsiaTheme="minorHAnsi" w:hAnsiTheme="minorHAnsi" w:cstheme="minorBidi"/>
          <w:snapToGrid/>
          <w:sz w:val="24"/>
          <w:szCs w:val="22"/>
        </w:rPr>
        <w:t xml:space="preserve"> 800 mg tablets and </w:t>
      </w:r>
      <w:proofErr w:type="spellStart"/>
      <w:r w:rsidRPr="00024895">
        <w:rPr>
          <w:rFonts w:asciiTheme="minorHAnsi" w:eastAsiaTheme="minorHAnsi" w:hAnsiTheme="minorHAnsi" w:cstheme="minorBidi"/>
          <w:snapToGrid/>
          <w:sz w:val="24"/>
          <w:szCs w:val="22"/>
        </w:rPr>
        <w:t>Renvela</w:t>
      </w:r>
      <w:proofErr w:type="spellEnd"/>
      <w:r w:rsidRPr="00024895">
        <w:rPr>
          <w:rFonts w:asciiTheme="minorHAnsi" w:eastAsiaTheme="minorHAnsi" w:hAnsiTheme="minorHAnsi" w:cstheme="minorBidi"/>
          <w:snapToGrid/>
          <w:sz w:val="24"/>
          <w:szCs w:val="22"/>
        </w:rPr>
        <w:t xml:space="preserve"> 800 mg tablets; and</w:t>
      </w:r>
    </w:p>
    <w:p w:rsidR="00D70B01" w:rsidRPr="00024895" w:rsidRDefault="00606174" w:rsidP="000E5444">
      <w:pPr>
        <w:pStyle w:val="ListParagraph"/>
        <w:widowControl/>
        <w:numPr>
          <w:ilvl w:val="2"/>
          <w:numId w:val="5"/>
        </w:numPr>
        <w:spacing w:before="120" w:after="120"/>
        <w:contextualSpacing w:val="0"/>
        <w:rPr>
          <w:rFonts w:asciiTheme="minorHAnsi" w:eastAsiaTheme="minorHAnsi" w:hAnsiTheme="minorHAnsi" w:cstheme="minorBidi"/>
          <w:snapToGrid/>
          <w:sz w:val="24"/>
          <w:szCs w:val="24"/>
        </w:rPr>
      </w:pPr>
      <w:proofErr w:type="gramStart"/>
      <w:r w:rsidRPr="00024895">
        <w:rPr>
          <w:rFonts w:asciiTheme="minorHAnsi" w:eastAsiaTheme="minorHAnsi" w:hAnsiTheme="minorHAnsi" w:cstheme="minorBidi"/>
          <w:snapToGrid/>
          <w:sz w:val="24"/>
          <w:szCs w:val="22"/>
        </w:rPr>
        <w:t>a</w:t>
      </w:r>
      <w:proofErr w:type="gramEnd"/>
      <w:r w:rsidRPr="00024895">
        <w:rPr>
          <w:rFonts w:asciiTheme="minorHAnsi" w:eastAsiaTheme="minorHAnsi" w:hAnsiTheme="minorHAnsi" w:cstheme="minorBidi"/>
          <w:snapToGrid/>
          <w:sz w:val="24"/>
          <w:szCs w:val="22"/>
        </w:rPr>
        <w:t xml:space="preserve"> phase II, randomised, double-blind cross-over </w:t>
      </w:r>
      <w:r w:rsidR="00C34322" w:rsidRPr="00024895">
        <w:rPr>
          <w:rFonts w:asciiTheme="minorHAnsi" w:eastAsiaTheme="minorHAnsi" w:hAnsiTheme="minorHAnsi" w:cstheme="minorBidi"/>
          <w:snapToGrid/>
          <w:sz w:val="24"/>
          <w:szCs w:val="22"/>
        </w:rPr>
        <w:t>therapeutic equivalence study</w:t>
      </w:r>
      <w:r w:rsidRPr="00024895">
        <w:rPr>
          <w:rFonts w:asciiTheme="minorHAnsi" w:eastAsiaTheme="minorHAnsi" w:hAnsiTheme="minorHAnsi" w:cstheme="minorBidi"/>
          <w:snapToGrid/>
          <w:sz w:val="24"/>
          <w:szCs w:val="22"/>
        </w:rPr>
        <w:t xml:space="preserve"> (n=78)</w:t>
      </w:r>
      <w:r w:rsidR="00C34322" w:rsidRPr="00024895">
        <w:rPr>
          <w:rFonts w:asciiTheme="minorHAnsi" w:eastAsiaTheme="minorHAnsi" w:hAnsiTheme="minorHAnsi" w:cstheme="minorBidi"/>
          <w:snapToGrid/>
          <w:sz w:val="24"/>
          <w:szCs w:val="22"/>
        </w:rPr>
        <w:t xml:space="preserve"> comparing </w:t>
      </w:r>
      <w:proofErr w:type="spellStart"/>
      <w:r w:rsidR="00C34322" w:rsidRPr="00024895">
        <w:rPr>
          <w:rFonts w:asciiTheme="minorHAnsi" w:eastAsiaTheme="minorHAnsi" w:hAnsiTheme="minorHAnsi" w:cstheme="minorBidi"/>
          <w:snapToGrid/>
          <w:sz w:val="24"/>
          <w:szCs w:val="22"/>
        </w:rPr>
        <w:t>Rena</w:t>
      </w:r>
      <w:r w:rsidR="00277735" w:rsidRPr="00024895">
        <w:rPr>
          <w:rFonts w:asciiTheme="minorHAnsi" w:eastAsiaTheme="minorHAnsi" w:hAnsiTheme="minorHAnsi" w:cstheme="minorBidi"/>
          <w:snapToGrid/>
          <w:sz w:val="24"/>
          <w:szCs w:val="22"/>
        </w:rPr>
        <w:t>gel</w:t>
      </w:r>
      <w:proofErr w:type="spellEnd"/>
      <w:r w:rsidR="00277735" w:rsidRPr="00024895">
        <w:rPr>
          <w:rFonts w:asciiTheme="minorHAnsi" w:eastAsiaTheme="minorHAnsi" w:hAnsiTheme="minorHAnsi" w:cstheme="minorBidi"/>
          <w:snapToGrid/>
          <w:sz w:val="24"/>
          <w:szCs w:val="22"/>
        </w:rPr>
        <w:t xml:space="preserve"> with </w:t>
      </w:r>
      <w:proofErr w:type="spellStart"/>
      <w:r w:rsidR="00277735" w:rsidRPr="00024895">
        <w:rPr>
          <w:rFonts w:asciiTheme="minorHAnsi" w:eastAsiaTheme="minorHAnsi" w:hAnsiTheme="minorHAnsi" w:cstheme="minorBidi"/>
          <w:snapToGrid/>
          <w:sz w:val="24"/>
          <w:szCs w:val="22"/>
        </w:rPr>
        <w:t>Renvela</w:t>
      </w:r>
      <w:proofErr w:type="spellEnd"/>
      <w:r w:rsidR="00CB1C8F" w:rsidRPr="00024895">
        <w:rPr>
          <w:rFonts w:asciiTheme="minorHAnsi" w:eastAsiaTheme="minorHAnsi" w:hAnsiTheme="minorHAnsi" w:cstheme="minorBidi"/>
          <w:snapToGrid/>
          <w:sz w:val="24"/>
          <w:szCs w:val="22"/>
        </w:rPr>
        <w:t xml:space="preserve"> </w:t>
      </w:r>
      <w:r w:rsidR="00277735" w:rsidRPr="00024895">
        <w:rPr>
          <w:rFonts w:asciiTheme="minorHAnsi" w:eastAsiaTheme="minorHAnsi" w:hAnsiTheme="minorHAnsi" w:cstheme="minorBidi"/>
          <w:snapToGrid/>
          <w:sz w:val="24"/>
          <w:szCs w:val="22"/>
        </w:rPr>
        <w:t>(GD3-163-201)</w:t>
      </w:r>
      <w:r w:rsidR="00C34322" w:rsidRPr="00024895">
        <w:rPr>
          <w:rFonts w:asciiTheme="minorHAnsi" w:eastAsiaTheme="minorHAnsi" w:hAnsiTheme="minorHAnsi" w:cstheme="minorBidi"/>
          <w:snapToGrid/>
          <w:sz w:val="24"/>
          <w:szCs w:val="22"/>
        </w:rPr>
        <w:t>.</w:t>
      </w:r>
    </w:p>
    <w:p w:rsidR="00192B80" w:rsidRPr="007A40B9" w:rsidRDefault="004575C1"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024895">
        <w:rPr>
          <w:rFonts w:asciiTheme="minorHAnsi" w:eastAsiaTheme="minorHAnsi" w:hAnsiTheme="minorHAnsi" w:cstheme="minorBidi"/>
          <w:sz w:val="24"/>
          <w:szCs w:val="22"/>
        </w:rPr>
        <w:t>The submission</w:t>
      </w:r>
      <w:r w:rsidR="00E62B12">
        <w:rPr>
          <w:rFonts w:asciiTheme="minorHAnsi" w:eastAsiaTheme="minorHAnsi" w:hAnsiTheme="minorHAnsi" w:cstheme="minorBidi"/>
          <w:sz w:val="24"/>
          <w:szCs w:val="22"/>
        </w:rPr>
        <w:t xml:space="preserve"> claims that</w:t>
      </w:r>
      <w:r w:rsidR="007A40B9">
        <w:rPr>
          <w:rFonts w:asciiTheme="minorHAnsi" w:eastAsiaTheme="minorHAnsi" w:hAnsiTheme="minorHAnsi" w:cstheme="minorBidi"/>
          <w:sz w:val="24"/>
          <w:szCs w:val="22"/>
        </w:rPr>
        <w:t xml:space="preserve"> </w:t>
      </w:r>
      <w:proofErr w:type="spellStart"/>
      <w:r w:rsidR="007A40B9">
        <w:rPr>
          <w:rFonts w:asciiTheme="minorHAnsi" w:eastAsiaTheme="minorHAnsi" w:hAnsiTheme="minorHAnsi" w:cstheme="minorBidi"/>
          <w:sz w:val="24"/>
          <w:szCs w:val="22"/>
        </w:rPr>
        <w:t>Sevelamer</w:t>
      </w:r>
      <w:proofErr w:type="spellEnd"/>
      <w:r w:rsidR="00E62B12">
        <w:rPr>
          <w:rFonts w:asciiTheme="minorHAnsi" w:eastAsiaTheme="minorHAnsi" w:hAnsiTheme="minorHAnsi" w:cstheme="minorBidi"/>
          <w:sz w:val="24"/>
          <w:szCs w:val="22"/>
        </w:rPr>
        <w:t xml:space="preserve"> Dr Reddy’s and </w:t>
      </w:r>
      <w:proofErr w:type="spellStart"/>
      <w:r w:rsidR="00E62B12">
        <w:rPr>
          <w:rFonts w:asciiTheme="minorHAnsi" w:eastAsiaTheme="minorHAnsi" w:hAnsiTheme="minorHAnsi" w:cstheme="minorBidi"/>
          <w:sz w:val="24"/>
          <w:szCs w:val="22"/>
        </w:rPr>
        <w:t>Renegel</w:t>
      </w:r>
      <w:proofErr w:type="spellEnd"/>
      <w:r w:rsidR="00E62B12">
        <w:rPr>
          <w:rFonts w:asciiTheme="minorHAnsi" w:eastAsiaTheme="minorHAnsi" w:hAnsiTheme="minorHAnsi" w:cstheme="minorBidi"/>
          <w:sz w:val="24"/>
          <w:szCs w:val="22"/>
        </w:rPr>
        <w:t xml:space="preserve"> are bioequivalent</w:t>
      </w:r>
      <w:r w:rsidRPr="00024895">
        <w:rPr>
          <w:rFonts w:asciiTheme="minorHAnsi" w:eastAsiaTheme="minorHAnsi" w:hAnsiTheme="minorHAnsi" w:cstheme="minorBidi"/>
          <w:sz w:val="24"/>
          <w:szCs w:val="22"/>
        </w:rPr>
        <w:t xml:space="preserve"> refer</w:t>
      </w:r>
      <w:r w:rsidR="00E62B12">
        <w:rPr>
          <w:rFonts w:asciiTheme="minorHAnsi" w:eastAsiaTheme="minorHAnsi" w:hAnsiTheme="minorHAnsi" w:cstheme="minorBidi"/>
          <w:sz w:val="24"/>
          <w:szCs w:val="22"/>
        </w:rPr>
        <w:t>ring</w:t>
      </w:r>
      <w:r w:rsidRPr="00024895">
        <w:rPr>
          <w:rFonts w:asciiTheme="minorHAnsi" w:eastAsiaTheme="minorHAnsi" w:hAnsiTheme="minorHAnsi" w:cstheme="minorBidi"/>
          <w:sz w:val="24"/>
          <w:szCs w:val="22"/>
        </w:rPr>
        <w:t xml:space="preserve"> to </w:t>
      </w:r>
      <w:r w:rsidR="00192B80">
        <w:rPr>
          <w:rFonts w:asciiTheme="minorHAnsi" w:eastAsiaTheme="minorHAnsi" w:hAnsiTheme="minorHAnsi" w:cstheme="minorBidi"/>
          <w:sz w:val="24"/>
          <w:szCs w:val="22"/>
        </w:rPr>
        <w:t xml:space="preserve">the studies cited at 4.2 and 4.3 and </w:t>
      </w:r>
      <w:r w:rsidR="001B1DA2" w:rsidRPr="00024895">
        <w:rPr>
          <w:rFonts w:asciiTheme="minorHAnsi" w:eastAsiaTheme="minorHAnsi" w:hAnsiTheme="minorHAnsi" w:cstheme="minorBidi"/>
          <w:sz w:val="24"/>
          <w:szCs w:val="22"/>
        </w:rPr>
        <w:t xml:space="preserve">TGA </w:t>
      </w:r>
      <w:r w:rsidR="00192B80">
        <w:rPr>
          <w:rFonts w:asciiTheme="minorHAnsi" w:eastAsiaTheme="minorHAnsi" w:hAnsiTheme="minorHAnsi" w:cstheme="minorBidi"/>
          <w:sz w:val="24"/>
          <w:szCs w:val="22"/>
        </w:rPr>
        <w:t xml:space="preserve">advice that </w:t>
      </w:r>
      <w:proofErr w:type="spellStart"/>
      <w:r w:rsidR="00192B80">
        <w:rPr>
          <w:rFonts w:asciiTheme="minorHAnsi" w:eastAsiaTheme="minorHAnsi" w:hAnsiTheme="minorHAnsi" w:cstheme="minorBidi"/>
          <w:sz w:val="24"/>
          <w:szCs w:val="22"/>
        </w:rPr>
        <w:t>Sevelamer</w:t>
      </w:r>
      <w:proofErr w:type="spellEnd"/>
      <w:r w:rsidR="00192B80">
        <w:rPr>
          <w:rFonts w:asciiTheme="minorHAnsi" w:eastAsiaTheme="minorHAnsi" w:hAnsiTheme="minorHAnsi" w:cstheme="minorBidi"/>
          <w:sz w:val="24"/>
          <w:szCs w:val="22"/>
        </w:rPr>
        <w:t xml:space="preserve"> Dr Reddy’s</w:t>
      </w:r>
      <w:r w:rsidR="007A40B9">
        <w:rPr>
          <w:rFonts w:asciiTheme="minorHAnsi" w:eastAsiaTheme="minorHAnsi" w:hAnsiTheme="minorHAnsi" w:cstheme="minorBidi"/>
          <w:sz w:val="24"/>
          <w:szCs w:val="22"/>
        </w:rPr>
        <w:t xml:space="preserve"> and </w:t>
      </w:r>
      <w:proofErr w:type="spellStart"/>
      <w:r w:rsidR="007A40B9">
        <w:rPr>
          <w:rFonts w:asciiTheme="minorHAnsi" w:eastAsiaTheme="minorHAnsi" w:hAnsiTheme="minorHAnsi" w:cstheme="minorBidi"/>
          <w:sz w:val="24"/>
          <w:szCs w:val="22"/>
        </w:rPr>
        <w:t>Renvela</w:t>
      </w:r>
      <w:proofErr w:type="spellEnd"/>
      <w:r w:rsidR="007A40B9">
        <w:rPr>
          <w:rFonts w:asciiTheme="minorHAnsi" w:eastAsiaTheme="minorHAnsi" w:hAnsiTheme="minorHAnsi" w:cstheme="minorBidi"/>
          <w:sz w:val="24"/>
          <w:szCs w:val="22"/>
        </w:rPr>
        <w:t xml:space="preserve"> were ther</w:t>
      </w:r>
      <w:r w:rsidR="00192B80">
        <w:rPr>
          <w:rFonts w:asciiTheme="minorHAnsi" w:eastAsiaTheme="minorHAnsi" w:hAnsiTheme="minorHAnsi" w:cstheme="minorBidi"/>
          <w:sz w:val="24"/>
          <w:szCs w:val="22"/>
        </w:rPr>
        <w:t xml:space="preserve">apeutically equivalent (and bioequivalent).  </w:t>
      </w:r>
    </w:p>
    <w:p w:rsidR="00AD4E15" w:rsidRDefault="00F01062"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4"/>
        </w:rPr>
      </w:pPr>
      <w:r w:rsidRPr="00024895">
        <w:rPr>
          <w:rFonts w:asciiTheme="minorHAnsi" w:eastAsiaTheme="minorHAnsi" w:hAnsiTheme="minorHAnsi" w:cstheme="minorBidi"/>
          <w:snapToGrid/>
          <w:sz w:val="24"/>
          <w:szCs w:val="22"/>
        </w:rPr>
        <w:t>The TGA ha</w:t>
      </w:r>
      <w:r w:rsidR="00F32066" w:rsidRPr="00024895">
        <w:rPr>
          <w:rFonts w:asciiTheme="minorHAnsi" w:eastAsiaTheme="minorHAnsi" w:hAnsiTheme="minorHAnsi" w:cstheme="minorBidi"/>
          <w:snapToGrid/>
          <w:sz w:val="24"/>
          <w:szCs w:val="22"/>
        </w:rPr>
        <w:t>s</w:t>
      </w:r>
      <w:r w:rsidRPr="00024895">
        <w:rPr>
          <w:rFonts w:asciiTheme="minorHAnsi" w:eastAsiaTheme="minorHAnsi" w:hAnsiTheme="minorHAnsi" w:cstheme="minorBidi"/>
          <w:snapToGrid/>
          <w:sz w:val="24"/>
          <w:szCs w:val="22"/>
        </w:rPr>
        <w:t xml:space="preserve"> also noted that </w:t>
      </w:r>
      <w:proofErr w:type="spellStart"/>
      <w:r w:rsidRPr="00024895">
        <w:rPr>
          <w:rFonts w:asciiTheme="minorHAnsi" w:eastAsiaTheme="minorHAnsi" w:hAnsiTheme="minorHAnsi" w:cstheme="minorBidi"/>
          <w:snapToGrid/>
          <w:sz w:val="24"/>
          <w:szCs w:val="22"/>
        </w:rPr>
        <w:t>Renvela</w:t>
      </w:r>
      <w:proofErr w:type="spellEnd"/>
      <w:r w:rsidRPr="00024895">
        <w:rPr>
          <w:rFonts w:asciiTheme="minorHAnsi" w:eastAsiaTheme="minorHAnsi" w:hAnsiTheme="minorHAnsi" w:cstheme="minorBidi"/>
          <w:snapToGrid/>
          <w:sz w:val="24"/>
          <w:szCs w:val="22"/>
        </w:rPr>
        <w:t xml:space="preserve"> and </w:t>
      </w:r>
      <w:proofErr w:type="spellStart"/>
      <w:r w:rsidRPr="00024895">
        <w:rPr>
          <w:rFonts w:asciiTheme="minorHAnsi" w:eastAsiaTheme="minorHAnsi" w:hAnsiTheme="minorHAnsi" w:cstheme="minorBidi"/>
          <w:snapToGrid/>
          <w:sz w:val="24"/>
          <w:szCs w:val="22"/>
        </w:rPr>
        <w:t>Renagel</w:t>
      </w:r>
      <w:proofErr w:type="spellEnd"/>
      <w:r w:rsidRPr="00024895">
        <w:rPr>
          <w:rFonts w:asciiTheme="minorHAnsi" w:eastAsiaTheme="minorHAnsi" w:hAnsiTheme="minorHAnsi" w:cstheme="minorBidi"/>
          <w:snapToGrid/>
          <w:sz w:val="24"/>
          <w:szCs w:val="22"/>
        </w:rPr>
        <w:t xml:space="preserve"> </w:t>
      </w:r>
      <w:proofErr w:type="gramStart"/>
      <w:r w:rsidRPr="00024895">
        <w:rPr>
          <w:rFonts w:asciiTheme="minorHAnsi" w:eastAsiaTheme="minorHAnsi" w:hAnsiTheme="minorHAnsi" w:cstheme="minorBidi"/>
          <w:snapToGrid/>
          <w:sz w:val="24"/>
          <w:szCs w:val="22"/>
        </w:rPr>
        <w:t>are known</w:t>
      </w:r>
      <w:proofErr w:type="gramEnd"/>
      <w:r w:rsidRPr="00024895">
        <w:rPr>
          <w:rFonts w:asciiTheme="minorHAnsi" w:eastAsiaTheme="minorHAnsi" w:hAnsiTheme="minorHAnsi" w:cstheme="minorBidi"/>
          <w:snapToGrid/>
          <w:sz w:val="24"/>
          <w:szCs w:val="22"/>
        </w:rPr>
        <w:t xml:space="preserve"> to have different safety profiles</w:t>
      </w:r>
      <w:r w:rsidR="00F32066" w:rsidRPr="00024895">
        <w:rPr>
          <w:rFonts w:asciiTheme="minorHAnsi" w:eastAsiaTheme="minorHAnsi" w:hAnsiTheme="minorHAnsi" w:cstheme="minorBidi"/>
          <w:snapToGrid/>
          <w:sz w:val="24"/>
          <w:szCs w:val="22"/>
        </w:rPr>
        <w:t>. The current submission to PBAC</w:t>
      </w:r>
      <w:r w:rsidR="006F599B" w:rsidRPr="00024895">
        <w:rPr>
          <w:rFonts w:asciiTheme="minorHAnsi" w:eastAsiaTheme="minorHAnsi" w:hAnsiTheme="minorHAnsi" w:cstheme="minorBidi"/>
          <w:snapToGrid/>
          <w:sz w:val="24"/>
          <w:szCs w:val="22"/>
        </w:rPr>
        <w:t xml:space="preserve"> conclude</w:t>
      </w:r>
      <w:r w:rsidR="007A40B9">
        <w:rPr>
          <w:rFonts w:asciiTheme="minorHAnsi" w:eastAsiaTheme="minorHAnsi" w:hAnsiTheme="minorHAnsi" w:cstheme="minorBidi"/>
          <w:snapToGrid/>
          <w:sz w:val="24"/>
          <w:szCs w:val="22"/>
        </w:rPr>
        <w:t>d</w:t>
      </w:r>
      <w:r w:rsidR="0093202C" w:rsidRPr="00024895">
        <w:rPr>
          <w:rFonts w:asciiTheme="minorHAnsi" w:eastAsiaTheme="minorHAnsi" w:hAnsiTheme="minorHAnsi" w:cstheme="minorBidi"/>
          <w:snapToGrid/>
          <w:sz w:val="24"/>
          <w:szCs w:val="22"/>
        </w:rPr>
        <w:t xml:space="preserve"> </w:t>
      </w:r>
      <w:r w:rsidR="006F599B" w:rsidRPr="00024895">
        <w:rPr>
          <w:rFonts w:asciiTheme="minorHAnsi" w:eastAsiaTheme="minorHAnsi" w:hAnsiTheme="minorHAnsi" w:cstheme="minorBidi"/>
          <w:snapToGrid/>
          <w:sz w:val="24"/>
          <w:szCs w:val="22"/>
        </w:rPr>
        <w:t xml:space="preserve">that there were no marked differences in the treatment related adverse event profiles of </w:t>
      </w:r>
      <w:proofErr w:type="spellStart"/>
      <w:r w:rsidR="006F599B" w:rsidRPr="00024895">
        <w:rPr>
          <w:rFonts w:asciiTheme="minorHAnsi" w:eastAsiaTheme="minorHAnsi" w:hAnsiTheme="minorHAnsi" w:cstheme="minorBidi"/>
          <w:snapToGrid/>
          <w:sz w:val="24"/>
          <w:szCs w:val="22"/>
        </w:rPr>
        <w:t>Renvela</w:t>
      </w:r>
      <w:proofErr w:type="spellEnd"/>
      <w:r w:rsidR="006F599B" w:rsidRPr="00024895">
        <w:rPr>
          <w:rFonts w:asciiTheme="minorHAnsi" w:eastAsiaTheme="minorHAnsi" w:hAnsiTheme="minorHAnsi" w:cstheme="minorBidi"/>
          <w:snapToGrid/>
          <w:sz w:val="24"/>
          <w:szCs w:val="22"/>
        </w:rPr>
        <w:t xml:space="preserve"> and </w:t>
      </w:r>
      <w:proofErr w:type="spellStart"/>
      <w:r w:rsidR="006F599B" w:rsidRPr="00024895">
        <w:rPr>
          <w:rFonts w:asciiTheme="minorHAnsi" w:eastAsiaTheme="minorHAnsi" w:hAnsiTheme="minorHAnsi" w:cstheme="minorBidi"/>
          <w:snapToGrid/>
          <w:sz w:val="24"/>
          <w:szCs w:val="22"/>
        </w:rPr>
        <w:t>Renagel</w:t>
      </w:r>
      <w:proofErr w:type="spellEnd"/>
      <w:r w:rsidR="006F599B" w:rsidRPr="00024895">
        <w:rPr>
          <w:rFonts w:asciiTheme="minorHAnsi" w:eastAsiaTheme="minorHAnsi" w:hAnsiTheme="minorHAnsi" w:cstheme="minorBidi"/>
          <w:snapToGrid/>
          <w:sz w:val="24"/>
          <w:szCs w:val="22"/>
        </w:rPr>
        <w:t xml:space="preserve"> based on results from GD3-163-201</w:t>
      </w:r>
      <w:r w:rsidR="00024895">
        <w:rPr>
          <w:rFonts w:asciiTheme="minorHAnsi" w:eastAsiaTheme="minorHAnsi" w:hAnsiTheme="minorHAnsi" w:cstheme="minorBidi"/>
          <w:snapToGrid/>
          <w:sz w:val="24"/>
          <w:szCs w:val="22"/>
        </w:rPr>
        <w:t xml:space="preserve">. </w:t>
      </w:r>
      <w:r w:rsidR="004146E1" w:rsidRPr="00024895">
        <w:rPr>
          <w:rFonts w:asciiTheme="minorHAnsi" w:eastAsiaTheme="minorHAnsi" w:hAnsiTheme="minorHAnsi" w:cstheme="minorBidi"/>
          <w:snapToGrid/>
          <w:sz w:val="24"/>
          <w:szCs w:val="24"/>
        </w:rPr>
        <w:t>The pre</w:t>
      </w:r>
      <w:r w:rsidR="004146E1" w:rsidRPr="00024895">
        <w:rPr>
          <w:rFonts w:asciiTheme="minorHAnsi" w:eastAsiaTheme="minorHAnsi" w:hAnsiTheme="minorHAnsi" w:cstheme="minorBidi"/>
          <w:i/>
          <w:snapToGrid/>
          <w:sz w:val="24"/>
          <w:szCs w:val="24"/>
        </w:rPr>
        <w:t>-</w:t>
      </w:r>
      <w:r w:rsidR="005D6CB9">
        <w:rPr>
          <w:rFonts w:asciiTheme="minorHAnsi" w:eastAsiaTheme="minorHAnsi" w:hAnsiTheme="minorHAnsi" w:cstheme="minorBidi"/>
          <w:snapToGrid/>
          <w:sz w:val="24"/>
          <w:szCs w:val="24"/>
        </w:rPr>
        <w:t xml:space="preserve">PBAC response </w:t>
      </w:r>
      <w:r w:rsidR="004146E1" w:rsidRPr="00024895">
        <w:rPr>
          <w:rFonts w:asciiTheme="minorHAnsi" w:eastAsiaTheme="minorHAnsi" w:hAnsiTheme="minorHAnsi" w:cstheme="minorBidi"/>
          <w:snapToGrid/>
          <w:sz w:val="24"/>
          <w:szCs w:val="24"/>
        </w:rPr>
        <w:t xml:space="preserve">commented on the safety profiles of </w:t>
      </w:r>
      <w:proofErr w:type="spellStart"/>
      <w:r w:rsidR="004146E1" w:rsidRPr="00024895">
        <w:rPr>
          <w:rFonts w:asciiTheme="minorHAnsi" w:eastAsiaTheme="minorHAnsi" w:hAnsiTheme="minorHAnsi" w:cstheme="minorBidi"/>
          <w:snapToGrid/>
          <w:sz w:val="24"/>
          <w:szCs w:val="24"/>
        </w:rPr>
        <w:t>sevelamer</w:t>
      </w:r>
      <w:proofErr w:type="spellEnd"/>
      <w:r w:rsidR="004146E1" w:rsidRPr="00024895">
        <w:rPr>
          <w:rFonts w:asciiTheme="minorHAnsi" w:eastAsiaTheme="minorHAnsi" w:hAnsiTheme="minorHAnsi" w:cstheme="minorBidi"/>
          <w:snapToGrid/>
          <w:sz w:val="24"/>
          <w:szCs w:val="24"/>
        </w:rPr>
        <w:t xml:space="preserve"> hydrochloride and </w:t>
      </w:r>
      <w:proofErr w:type="spellStart"/>
      <w:r w:rsidR="004146E1" w:rsidRPr="00024895">
        <w:rPr>
          <w:rFonts w:asciiTheme="minorHAnsi" w:eastAsiaTheme="minorHAnsi" w:hAnsiTheme="minorHAnsi" w:cstheme="minorBidi"/>
          <w:snapToGrid/>
          <w:sz w:val="24"/>
          <w:szCs w:val="24"/>
        </w:rPr>
        <w:t>sevelamer</w:t>
      </w:r>
      <w:proofErr w:type="spellEnd"/>
      <w:r w:rsidR="004146E1" w:rsidRPr="00024895">
        <w:rPr>
          <w:rFonts w:asciiTheme="minorHAnsi" w:eastAsiaTheme="minorHAnsi" w:hAnsiTheme="minorHAnsi" w:cstheme="minorBidi"/>
          <w:snapToGrid/>
          <w:sz w:val="24"/>
          <w:szCs w:val="24"/>
        </w:rPr>
        <w:t xml:space="preserve"> carbonate, noting that the main risks of treatment is the onset of gastrointestinal adverse events including nausea and vomiting. The pre-PBAC response noted that the two salts in tablet form to have similar safety profiles at the proposed dosage regimen </w:t>
      </w:r>
      <w:r w:rsidR="003F0629" w:rsidRPr="00024895">
        <w:rPr>
          <w:rFonts w:asciiTheme="minorHAnsi" w:eastAsiaTheme="minorHAnsi" w:hAnsiTheme="minorHAnsi" w:cstheme="minorBidi"/>
          <w:snapToGrid/>
          <w:sz w:val="24"/>
          <w:szCs w:val="24"/>
        </w:rPr>
        <w:t xml:space="preserve">of </w:t>
      </w:r>
      <w:r w:rsidR="004146E1" w:rsidRPr="00024895">
        <w:rPr>
          <w:rFonts w:asciiTheme="minorHAnsi" w:eastAsiaTheme="minorHAnsi" w:hAnsiTheme="minorHAnsi" w:cstheme="minorBidi"/>
          <w:snapToGrid/>
          <w:sz w:val="24"/>
          <w:szCs w:val="24"/>
        </w:rPr>
        <w:t>two tablets three times daily (TDS).</w:t>
      </w:r>
    </w:p>
    <w:p w:rsidR="00192B80" w:rsidRPr="00AD4E15" w:rsidRDefault="00192B80" w:rsidP="000E5444">
      <w:pPr>
        <w:pStyle w:val="ListParagraph"/>
        <w:widowControl/>
        <w:spacing w:before="120" w:after="120"/>
        <w:contextualSpacing w:val="0"/>
        <w:rPr>
          <w:rFonts w:asciiTheme="minorHAnsi" w:eastAsiaTheme="minorHAnsi" w:hAnsiTheme="minorHAnsi" w:cstheme="minorBidi"/>
          <w:snapToGrid/>
          <w:sz w:val="24"/>
          <w:szCs w:val="24"/>
        </w:rPr>
      </w:pPr>
      <w:r w:rsidRPr="00AD4E15">
        <w:rPr>
          <w:rFonts w:asciiTheme="minorHAnsi" w:hAnsiTheme="minorHAnsi" w:cstheme="minorHAnsi"/>
          <w:i/>
          <w:sz w:val="24"/>
        </w:rPr>
        <w:t>For more detail on PBAC’s view, see section 6 PBAC outcome.</w:t>
      </w:r>
    </w:p>
    <w:p w:rsidR="005A3173" w:rsidRPr="00024895" w:rsidRDefault="005A3173"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024895">
        <w:rPr>
          <w:rFonts w:asciiTheme="minorHAnsi" w:hAnsiTheme="minorHAnsi"/>
          <w:sz w:val="32"/>
          <w:szCs w:val="32"/>
        </w:rPr>
        <w:t>Estimated PBS usage &amp; financial implications</w:t>
      </w:r>
    </w:p>
    <w:p w:rsidR="00A832DB" w:rsidRPr="007A40B9" w:rsidRDefault="00FF2801" w:rsidP="000E5444">
      <w:pPr>
        <w:pStyle w:val="ListParagraph"/>
        <w:numPr>
          <w:ilvl w:val="1"/>
          <w:numId w:val="5"/>
        </w:numPr>
        <w:spacing w:before="120" w:after="120"/>
        <w:rPr>
          <w:rFonts w:asciiTheme="minorHAnsi" w:hAnsiTheme="minorHAnsi"/>
          <w:b/>
          <w:sz w:val="24"/>
          <w:szCs w:val="24"/>
        </w:rPr>
      </w:pPr>
      <w:r w:rsidRPr="00024895">
        <w:rPr>
          <w:rFonts w:asciiTheme="minorHAnsi" w:hAnsiTheme="minorHAnsi"/>
          <w:sz w:val="24"/>
          <w:szCs w:val="24"/>
        </w:rPr>
        <w:t>The minor submission estimated</w:t>
      </w:r>
      <w:r w:rsidR="00C00DA7" w:rsidRPr="00024895">
        <w:rPr>
          <w:rFonts w:asciiTheme="minorHAnsi" w:hAnsiTheme="minorHAnsi"/>
          <w:sz w:val="24"/>
          <w:szCs w:val="24"/>
        </w:rPr>
        <w:t xml:space="preserve"> there to be no financial implications to t</w:t>
      </w:r>
      <w:r w:rsidR="007A40B9">
        <w:rPr>
          <w:rFonts w:asciiTheme="minorHAnsi" w:hAnsiTheme="minorHAnsi"/>
          <w:sz w:val="24"/>
          <w:szCs w:val="24"/>
        </w:rPr>
        <w:t>he PBS as the submission expected</w:t>
      </w:r>
      <w:r w:rsidR="00C00DA7" w:rsidRPr="00024895">
        <w:rPr>
          <w:rFonts w:asciiTheme="minorHAnsi" w:hAnsiTheme="minorHAnsi"/>
          <w:sz w:val="24"/>
          <w:szCs w:val="24"/>
        </w:rPr>
        <w:t xml:space="preserve"> </w:t>
      </w:r>
      <w:proofErr w:type="spellStart"/>
      <w:r w:rsidR="00C53ED3" w:rsidRPr="00024895">
        <w:rPr>
          <w:rFonts w:asciiTheme="minorHAnsi" w:hAnsiTheme="minorHAnsi"/>
          <w:sz w:val="24"/>
          <w:szCs w:val="24"/>
        </w:rPr>
        <w:t>sevelamer</w:t>
      </w:r>
      <w:proofErr w:type="spellEnd"/>
      <w:r w:rsidR="00C53ED3" w:rsidRPr="00024895">
        <w:rPr>
          <w:rFonts w:asciiTheme="minorHAnsi" w:hAnsiTheme="minorHAnsi"/>
          <w:sz w:val="24"/>
          <w:szCs w:val="24"/>
        </w:rPr>
        <w:t xml:space="preserve"> carbonate </w:t>
      </w:r>
      <w:proofErr w:type="gramStart"/>
      <w:r w:rsidR="00C53ED3" w:rsidRPr="00024895">
        <w:rPr>
          <w:rFonts w:asciiTheme="minorHAnsi" w:hAnsiTheme="minorHAnsi"/>
          <w:sz w:val="24"/>
          <w:szCs w:val="24"/>
        </w:rPr>
        <w:t>to only substitute</w:t>
      </w:r>
      <w:proofErr w:type="gramEnd"/>
      <w:r w:rsidR="00C53ED3" w:rsidRPr="00024895">
        <w:rPr>
          <w:rFonts w:asciiTheme="minorHAnsi" w:hAnsiTheme="minorHAnsi"/>
          <w:sz w:val="24"/>
          <w:szCs w:val="24"/>
        </w:rPr>
        <w:t xml:space="preserve"> for </w:t>
      </w:r>
      <w:proofErr w:type="spellStart"/>
      <w:r w:rsidR="00C53ED3" w:rsidRPr="00024895">
        <w:rPr>
          <w:rFonts w:asciiTheme="minorHAnsi" w:hAnsiTheme="minorHAnsi"/>
          <w:sz w:val="24"/>
          <w:szCs w:val="24"/>
        </w:rPr>
        <w:t>sevelamer</w:t>
      </w:r>
      <w:proofErr w:type="spellEnd"/>
      <w:r w:rsidR="00C53ED3" w:rsidRPr="00024895">
        <w:rPr>
          <w:rFonts w:asciiTheme="minorHAnsi" w:hAnsiTheme="minorHAnsi"/>
          <w:sz w:val="24"/>
          <w:szCs w:val="24"/>
        </w:rPr>
        <w:t xml:space="preserve"> hydrochloride</w:t>
      </w:r>
      <w:r w:rsidR="006D2BBD" w:rsidRPr="00024895">
        <w:rPr>
          <w:rFonts w:asciiTheme="minorHAnsi" w:hAnsiTheme="minorHAnsi"/>
          <w:sz w:val="24"/>
          <w:szCs w:val="24"/>
        </w:rPr>
        <w:t xml:space="preserve"> (</w:t>
      </w:r>
      <w:proofErr w:type="spellStart"/>
      <w:r w:rsidR="00D45F41" w:rsidRPr="00024895">
        <w:rPr>
          <w:rFonts w:asciiTheme="minorHAnsi" w:hAnsiTheme="minorHAnsi"/>
          <w:sz w:val="24"/>
          <w:szCs w:val="24"/>
        </w:rPr>
        <w:t>Renagel</w:t>
      </w:r>
      <w:proofErr w:type="spellEnd"/>
      <w:r w:rsidR="006D2BBD" w:rsidRPr="00024895">
        <w:rPr>
          <w:rFonts w:asciiTheme="minorHAnsi" w:hAnsiTheme="minorHAnsi"/>
          <w:sz w:val="24"/>
          <w:szCs w:val="24"/>
        </w:rPr>
        <w:t>)</w:t>
      </w:r>
      <w:r w:rsidR="007A40B9">
        <w:rPr>
          <w:rFonts w:asciiTheme="minorHAnsi" w:hAnsiTheme="minorHAnsi"/>
          <w:sz w:val="24"/>
          <w:szCs w:val="24"/>
        </w:rPr>
        <w:t>,</w:t>
      </w:r>
      <w:r w:rsidR="00C00DA7" w:rsidRPr="00024895">
        <w:rPr>
          <w:rFonts w:asciiTheme="minorHAnsi" w:hAnsiTheme="minorHAnsi"/>
          <w:sz w:val="24"/>
          <w:szCs w:val="24"/>
        </w:rPr>
        <w:t xml:space="preserve"> and both </w:t>
      </w:r>
      <w:r w:rsidR="007A40B9">
        <w:rPr>
          <w:rFonts w:asciiTheme="minorHAnsi" w:hAnsiTheme="minorHAnsi"/>
          <w:sz w:val="24"/>
          <w:szCs w:val="24"/>
        </w:rPr>
        <w:t>products would</w:t>
      </w:r>
      <w:r w:rsidR="00C00DA7" w:rsidRPr="00024895">
        <w:rPr>
          <w:rFonts w:asciiTheme="minorHAnsi" w:hAnsiTheme="minorHAnsi"/>
          <w:sz w:val="24"/>
          <w:szCs w:val="24"/>
        </w:rPr>
        <w:t xml:space="preserve"> have the same price. </w:t>
      </w:r>
    </w:p>
    <w:p w:rsidR="00BD5A62" w:rsidRPr="00024895" w:rsidRDefault="00BD5A62" w:rsidP="000E5444">
      <w:pPr>
        <w:pStyle w:val="ListParagraph"/>
        <w:numPr>
          <w:ilvl w:val="1"/>
          <w:numId w:val="5"/>
        </w:numPr>
        <w:spacing w:before="120" w:after="12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Whilst not a matter for PBAC, </w:t>
      </w:r>
      <w:r w:rsidR="004B5F33" w:rsidRPr="00024895">
        <w:rPr>
          <w:rFonts w:asciiTheme="minorHAnsi" w:eastAsiaTheme="minorHAnsi" w:hAnsiTheme="minorHAnsi" w:cstheme="minorBidi"/>
          <w:snapToGrid/>
          <w:sz w:val="24"/>
          <w:szCs w:val="22"/>
        </w:rPr>
        <w:t xml:space="preserve">the proposed listing would trigger a statutory price reduction </w:t>
      </w:r>
      <w:r w:rsidR="00505790">
        <w:rPr>
          <w:rFonts w:asciiTheme="minorHAnsi" w:eastAsiaTheme="minorHAnsi" w:hAnsiTheme="minorHAnsi" w:cstheme="minorBidi"/>
          <w:snapToGrid/>
          <w:sz w:val="24"/>
          <w:szCs w:val="22"/>
        </w:rPr>
        <w:t>under</w:t>
      </w:r>
      <w:r w:rsidR="004B5F33" w:rsidRPr="00024895">
        <w:rPr>
          <w:rFonts w:asciiTheme="minorHAnsi" w:eastAsiaTheme="minorHAnsi" w:hAnsiTheme="minorHAnsi" w:cstheme="minorBidi"/>
          <w:snapToGrid/>
          <w:sz w:val="24"/>
          <w:szCs w:val="22"/>
        </w:rPr>
        <w:t xml:space="preserve"> Section 99ACB of the Act. </w:t>
      </w:r>
    </w:p>
    <w:p w:rsidR="0075361C" w:rsidRPr="007A40B9" w:rsidRDefault="0075361C" w:rsidP="000E5444">
      <w:pPr>
        <w:pStyle w:val="ListParagraph"/>
        <w:spacing w:before="120" w:after="120"/>
        <w:ind w:left="709"/>
        <w:rPr>
          <w:rFonts w:asciiTheme="minorHAnsi" w:hAnsiTheme="minorHAnsi"/>
          <w:i/>
          <w:sz w:val="24"/>
          <w:szCs w:val="24"/>
        </w:rPr>
      </w:pPr>
      <w:r w:rsidRPr="00024895">
        <w:rPr>
          <w:rFonts w:asciiTheme="minorHAnsi" w:hAnsiTheme="minorHAnsi"/>
          <w:i/>
          <w:sz w:val="24"/>
          <w:szCs w:val="24"/>
        </w:rPr>
        <w:t>For more detail on PBAC’s view, see section 6 PBAC outcome.</w:t>
      </w:r>
    </w:p>
    <w:p w:rsidR="006E1D7F" w:rsidRPr="004704D3" w:rsidRDefault="006E1D7F"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4704D3">
        <w:rPr>
          <w:rFonts w:asciiTheme="minorHAnsi" w:hAnsiTheme="minorHAnsi"/>
          <w:sz w:val="32"/>
          <w:szCs w:val="32"/>
        </w:rPr>
        <w:t>PBAC Outcome</w:t>
      </w:r>
    </w:p>
    <w:p w:rsidR="0084198B" w:rsidRDefault="0084198B"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PBAC recommended the listing of a new form of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Dr Reddy’s) for the treatment of </w:t>
      </w:r>
      <w:proofErr w:type="spellStart"/>
      <w:r w:rsidR="00182295">
        <w:rPr>
          <w:rFonts w:asciiTheme="minorHAnsi" w:eastAsiaTheme="minorHAnsi" w:hAnsiTheme="minorHAnsi" w:cstheme="minorBidi"/>
          <w:snapToGrid/>
          <w:sz w:val="24"/>
          <w:szCs w:val="22"/>
        </w:rPr>
        <w:t>h</w:t>
      </w:r>
      <w:r w:rsidR="000F76C3" w:rsidRPr="00024895">
        <w:rPr>
          <w:rFonts w:asciiTheme="minorHAnsi" w:eastAsiaTheme="minorHAnsi" w:hAnsiTheme="minorHAnsi" w:cstheme="minorBidi"/>
          <w:snapToGrid/>
          <w:sz w:val="24"/>
          <w:szCs w:val="22"/>
        </w:rPr>
        <w:t>yperphosphataemia</w:t>
      </w:r>
      <w:proofErr w:type="spellEnd"/>
      <w:r w:rsidRPr="00024895">
        <w:rPr>
          <w:rFonts w:asciiTheme="minorHAnsi" w:eastAsiaTheme="minorHAnsi" w:hAnsiTheme="minorHAnsi" w:cstheme="minorBidi"/>
          <w:snapToGrid/>
          <w:sz w:val="24"/>
          <w:szCs w:val="22"/>
        </w:rPr>
        <w:t xml:space="preserve">. The PBAC’s recommendation for listing </w:t>
      </w:r>
      <w:proofErr w:type="gramStart"/>
      <w:r w:rsidRPr="00024895">
        <w:rPr>
          <w:rFonts w:asciiTheme="minorHAnsi" w:eastAsiaTheme="minorHAnsi" w:hAnsiTheme="minorHAnsi" w:cstheme="minorBidi"/>
          <w:snapToGrid/>
          <w:sz w:val="24"/>
          <w:szCs w:val="22"/>
        </w:rPr>
        <w:t>was based</w:t>
      </w:r>
      <w:proofErr w:type="gramEnd"/>
      <w:r w:rsidRPr="00024895">
        <w:rPr>
          <w:rFonts w:asciiTheme="minorHAnsi" w:eastAsiaTheme="minorHAnsi" w:hAnsiTheme="minorHAnsi" w:cstheme="minorBidi"/>
          <w:snapToGrid/>
          <w:sz w:val="24"/>
          <w:szCs w:val="22"/>
        </w:rPr>
        <w:t xml:space="preserve">, among other matters, on its assessment that </w:t>
      </w:r>
      <w:r w:rsidR="005349F3" w:rsidRPr="00024895">
        <w:rPr>
          <w:rFonts w:asciiTheme="minorHAnsi" w:eastAsiaTheme="minorHAnsi" w:hAnsiTheme="minorHAnsi" w:cstheme="minorBidi"/>
          <w:snapToGrid/>
          <w:sz w:val="24"/>
          <w:szCs w:val="22"/>
        </w:rPr>
        <w:t xml:space="preserve">on a per gram basis </w:t>
      </w:r>
      <w:proofErr w:type="spellStart"/>
      <w:r w:rsidR="003F0629" w:rsidRPr="00024895">
        <w:rPr>
          <w:rFonts w:asciiTheme="minorHAnsi" w:eastAsiaTheme="minorHAnsi" w:hAnsiTheme="minorHAnsi" w:cstheme="minorBidi"/>
          <w:snapToGrid/>
          <w:sz w:val="24"/>
          <w:szCs w:val="22"/>
        </w:rPr>
        <w:t>Sevelamer</w:t>
      </w:r>
      <w:proofErr w:type="spellEnd"/>
      <w:r w:rsidR="003F0629" w:rsidRPr="00024895">
        <w:rPr>
          <w:rFonts w:asciiTheme="minorHAnsi" w:eastAsiaTheme="minorHAnsi" w:hAnsiTheme="minorHAnsi" w:cstheme="minorBidi"/>
          <w:snapToGrid/>
          <w:sz w:val="24"/>
          <w:szCs w:val="22"/>
        </w:rPr>
        <w:t xml:space="preserve"> Dr Reddy’s is </w:t>
      </w:r>
      <w:proofErr w:type="spellStart"/>
      <w:r w:rsidR="00DC4379" w:rsidRPr="00024895">
        <w:rPr>
          <w:rFonts w:asciiTheme="minorHAnsi" w:eastAsiaTheme="minorHAnsi" w:hAnsiTheme="minorHAnsi" w:cstheme="minorBidi"/>
          <w:snapToGrid/>
          <w:sz w:val="24"/>
          <w:szCs w:val="22"/>
        </w:rPr>
        <w:t>equi</w:t>
      </w:r>
      <w:proofErr w:type="spellEnd"/>
      <w:r w:rsidR="00182295">
        <w:rPr>
          <w:rFonts w:asciiTheme="minorHAnsi" w:eastAsiaTheme="minorHAnsi" w:hAnsiTheme="minorHAnsi" w:cstheme="minorBidi"/>
          <w:snapToGrid/>
          <w:sz w:val="24"/>
          <w:szCs w:val="22"/>
        </w:rPr>
        <w:t>-</w:t>
      </w:r>
      <w:r w:rsidR="00DC4379" w:rsidRPr="00024895">
        <w:rPr>
          <w:rFonts w:asciiTheme="minorHAnsi" w:eastAsiaTheme="minorHAnsi" w:hAnsiTheme="minorHAnsi" w:cstheme="minorBidi"/>
          <w:snapToGrid/>
          <w:sz w:val="24"/>
          <w:szCs w:val="22"/>
        </w:rPr>
        <w:t xml:space="preserve">effective </w:t>
      </w:r>
      <w:r w:rsidR="003F0629" w:rsidRPr="00024895">
        <w:rPr>
          <w:rFonts w:asciiTheme="minorHAnsi" w:eastAsiaTheme="minorHAnsi" w:hAnsiTheme="minorHAnsi" w:cstheme="minorBidi"/>
          <w:snapToGrid/>
          <w:sz w:val="24"/>
          <w:szCs w:val="22"/>
        </w:rPr>
        <w:t xml:space="preserve">to </w:t>
      </w:r>
      <w:proofErr w:type="spellStart"/>
      <w:r w:rsidR="003F0629" w:rsidRPr="00024895">
        <w:rPr>
          <w:rFonts w:asciiTheme="minorHAnsi" w:eastAsiaTheme="minorHAnsi" w:hAnsiTheme="minorHAnsi" w:cstheme="minorBidi"/>
          <w:snapToGrid/>
          <w:sz w:val="24"/>
          <w:szCs w:val="22"/>
        </w:rPr>
        <w:t>Ren</w:t>
      </w:r>
      <w:r w:rsidR="00D45F41" w:rsidRPr="00024895">
        <w:rPr>
          <w:rFonts w:asciiTheme="minorHAnsi" w:eastAsiaTheme="minorHAnsi" w:hAnsiTheme="minorHAnsi" w:cstheme="minorBidi"/>
          <w:snapToGrid/>
          <w:sz w:val="24"/>
          <w:szCs w:val="22"/>
        </w:rPr>
        <w:t>a</w:t>
      </w:r>
      <w:r w:rsidR="003F0629" w:rsidRPr="00024895">
        <w:rPr>
          <w:rFonts w:asciiTheme="minorHAnsi" w:eastAsiaTheme="minorHAnsi" w:hAnsiTheme="minorHAnsi" w:cstheme="minorBidi"/>
          <w:snapToGrid/>
          <w:sz w:val="24"/>
          <w:szCs w:val="22"/>
        </w:rPr>
        <w:t>g</w:t>
      </w:r>
      <w:r w:rsidR="00D45F41" w:rsidRPr="00024895">
        <w:rPr>
          <w:rFonts w:asciiTheme="minorHAnsi" w:eastAsiaTheme="minorHAnsi" w:hAnsiTheme="minorHAnsi" w:cstheme="minorBidi"/>
          <w:snapToGrid/>
          <w:sz w:val="24"/>
          <w:szCs w:val="22"/>
        </w:rPr>
        <w:t>e</w:t>
      </w:r>
      <w:r w:rsidR="003F0629" w:rsidRPr="00024895">
        <w:rPr>
          <w:rFonts w:asciiTheme="minorHAnsi" w:eastAsiaTheme="minorHAnsi" w:hAnsiTheme="minorHAnsi" w:cstheme="minorBidi"/>
          <w:snapToGrid/>
          <w:sz w:val="24"/>
          <w:szCs w:val="22"/>
        </w:rPr>
        <w:t>l</w:t>
      </w:r>
      <w:proofErr w:type="spellEnd"/>
      <w:r w:rsidR="00024895">
        <w:rPr>
          <w:rFonts w:asciiTheme="minorHAnsi" w:eastAsiaTheme="minorHAnsi" w:hAnsiTheme="minorHAnsi" w:cstheme="minorBidi"/>
          <w:snapToGrid/>
          <w:sz w:val="24"/>
          <w:szCs w:val="22"/>
        </w:rPr>
        <w:t xml:space="preserve">. </w:t>
      </w:r>
    </w:p>
    <w:p w:rsidR="000B1A00" w:rsidRPr="00024895" w:rsidRDefault="000B1A00"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PBAC </w:t>
      </w:r>
      <w:r w:rsidR="005005E6">
        <w:rPr>
          <w:rFonts w:asciiTheme="minorHAnsi" w:eastAsiaTheme="minorHAnsi" w:hAnsiTheme="minorHAnsi" w:cstheme="minorBidi"/>
          <w:snapToGrid/>
          <w:sz w:val="24"/>
          <w:szCs w:val="22"/>
        </w:rPr>
        <w:t>considered the</w:t>
      </w:r>
      <w:r>
        <w:rPr>
          <w:rFonts w:asciiTheme="minorHAnsi" w:eastAsiaTheme="minorHAnsi" w:hAnsiTheme="minorHAnsi" w:cstheme="minorBidi"/>
          <w:snapToGrid/>
          <w:sz w:val="24"/>
          <w:szCs w:val="22"/>
        </w:rPr>
        <w:t xml:space="preserve"> claim that </w:t>
      </w:r>
      <w:proofErr w:type="spellStart"/>
      <w:r>
        <w:rPr>
          <w:rFonts w:asciiTheme="minorHAnsi" w:eastAsiaTheme="minorHAnsi" w:hAnsiTheme="minorHAnsi" w:cstheme="minorBidi"/>
          <w:snapToGrid/>
          <w:sz w:val="24"/>
          <w:szCs w:val="22"/>
        </w:rPr>
        <w:t>Sevelamer</w:t>
      </w:r>
      <w:proofErr w:type="spellEnd"/>
      <w:r>
        <w:rPr>
          <w:rFonts w:asciiTheme="minorHAnsi" w:eastAsiaTheme="minorHAnsi" w:hAnsiTheme="minorHAnsi" w:cstheme="minorBidi"/>
          <w:snapToGrid/>
          <w:sz w:val="24"/>
          <w:szCs w:val="22"/>
        </w:rPr>
        <w:t xml:space="preserve"> Dr Reddy’s is </w:t>
      </w:r>
      <w:r w:rsidR="005005E6">
        <w:rPr>
          <w:rFonts w:asciiTheme="minorHAnsi" w:eastAsiaTheme="minorHAnsi" w:hAnsiTheme="minorHAnsi" w:cstheme="minorBidi"/>
          <w:snapToGrid/>
          <w:sz w:val="24"/>
          <w:szCs w:val="22"/>
        </w:rPr>
        <w:t xml:space="preserve">therapeutically equivalent (and </w:t>
      </w:r>
      <w:r>
        <w:rPr>
          <w:rFonts w:asciiTheme="minorHAnsi" w:eastAsiaTheme="minorHAnsi" w:hAnsiTheme="minorHAnsi" w:cstheme="minorBidi"/>
          <w:snapToGrid/>
          <w:sz w:val="24"/>
          <w:szCs w:val="22"/>
        </w:rPr>
        <w:t>bioequivalent</w:t>
      </w:r>
      <w:r w:rsidR="005005E6">
        <w:rPr>
          <w:rFonts w:asciiTheme="minorHAnsi" w:eastAsiaTheme="minorHAnsi" w:hAnsiTheme="minorHAnsi" w:cstheme="minorBidi"/>
          <w:snapToGrid/>
          <w:sz w:val="24"/>
          <w:szCs w:val="22"/>
        </w:rPr>
        <w:t>)</w:t>
      </w:r>
      <w:r>
        <w:rPr>
          <w:rFonts w:asciiTheme="minorHAnsi" w:eastAsiaTheme="minorHAnsi" w:hAnsiTheme="minorHAnsi" w:cstheme="minorBidi"/>
          <w:snapToGrid/>
          <w:sz w:val="24"/>
          <w:szCs w:val="22"/>
        </w:rPr>
        <w:t xml:space="preserve"> to </w:t>
      </w:r>
      <w:proofErr w:type="spellStart"/>
      <w:r>
        <w:rPr>
          <w:rFonts w:asciiTheme="minorHAnsi" w:eastAsiaTheme="minorHAnsi" w:hAnsiTheme="minorHAnsi" w:cstheme="minorBidi"/>
          <w:snapToGrid/>
          <w:sz w:val="24"/>
          <w:szCs w:val="22"/>
        </w:rPr>
        <w:t>Renagel</w:t>
      </w:r>
      <w:proofErr w:type="spellEnd"/>
      <w:r w:rsidR="005005E6">
        <w:rPr>
          <w:rFonts w:asciiTheme="minorHAnsi" w:eastAsiaTheme="minorHAnsi" w:hAnsiTheme="minorHAnsi" w:cstheme="minorBidi"/>
          <w:snapToGrid/>
          <w:sz w:val="24"/>
          <w:szCs w:val="22"/>
        </w:rPr>
        <w:t xml:space="preserve"> was reasonable based on the studies presented in the submission</w:t>
      </w:r>
      <w:r>
        <w:rPr>
          <w:rFonts w:asciiTheme="minorHAnsi" w:eastAsiaTheme="minorHAnsi" w:hAnsiTheme="minorHAnsi" w:cstheme="minorBidi"/>
          <w:snapToGrid/>
          <w:sz w:val="24"/>
          <w:szCs w:val="22"/>
        </w:rPr>
        <w:t>.</w:t>
      </w:r>
    </w:p>
    <w:p w:rsidR="004146E1" w:rsidRPr="00024895" w:rsidRDefault="004146E1"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PBAC advised that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carbonate should not be exempt from the Early Supply Rule, as it applies to the current PBS listing for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hydrochloride. </w:t>
      </w:r>
    </w:p>
    <w:p w:rsidR="003F0629" w:rsidRPr="00024895" w:rsidRDefault="003F0629" w:rsidP="000E5444">
      <w:pPr>
        <w:pStyle w:val="ListParagraph"/>
        <w:numPr>
          <w:ilvl w:val="1"/>
          <w:numId w:val="5"/>
        </w:numPr>
        <w:spacing w:before="120" w:after="12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PBAC advised that </w:t>
      </w:r>
      <w:proofErr w:type="spellStart"/>
      <w:r w:rsidRPr="00024895">
        <w:rPr>
          <w:rFonts w:asciiTheme="minorHAnsi" w:hAnsiTheme="minorHAnsi"/>
          <w:bCs/>
          <w:sz w:val="24"/>
          <w:szCs w:val="24"/>
        </w:rPr>
        <w:t>sevelamer</w:t>
      </w:r>
      <w:proofErr w:type="spellEnd"/>
      <w:r w:rsidRPr="00024895">
        <w:rPr>
          <w:rFonts w:asciiTheme="minorHAnsi" w:hAnsiTheme="minorHAnsi"/>
          <w:bCs/>
          <w:sz w:val="24"/>
          <w:szCs w:val="24"/>
        </w:rPr>
        <w:t xml:space="preserve"> carbonate </w:t>
      </w:r>
      <w:r w:rsidRPr="00024895">
        <w:rPr>
          <w:rFonts w:asciiTheme="minorHAnsi" w:eastAsiaTheme="minorHAnsi" w:hAnsiTheme="minorHAnsi" w:cstheme="minorBidi"/>
          <w:snapToGrid/>
          <w:sz w:val="24"/>
          <w:szCs w:val="22"/>
        </w:rPr>
        <w:t>is suitable for prescribing by nurse practitioners</w:t>
      </w:r>
      <w:r w:rsidR="00270219">
        <w:rPr>
          <w:rFonts w:asciiTheme="minorHAnsi" w:eastAsiaTheme="minorHAnsi" w:hAnsiTheme="minorHAnsi" w:cstheme="minorBidi"/>
          <w:snapToGrid/>
          <w:sz w:val="24"/>
          <w:szCs w:val="22"/>
        </w:rPr>
        <w:t xml:space="preserve"> under a shared care arrangement</w:t>
      </w:r>
      <w:r w:rsidRPr="00024895">
        <w:rPr>
          <w:rFonts w:asciiTheme="minorHAnsi" w:eastAsiaTheme="minorHAnsi" w:hAnsiTheme="minorHAnsi" w:cstheme="minorBidi"/>
          <w:snapToGrid/>
          <w:sz w:val="24"/>
          <w:szCs w:val="22"/>
        </w:rPr>
        <w:t>, in the maintenance phase, following stabilisation.</w:t>
      </w:r>
    </w:p>
    <w:p w:rsidR="000D4FA2" w:rsidRPr="00024895" w:rsidRDefault="000D4FA2" w:rsidP="000E544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lastRenderedPageBreak/>
        <w:t xml:space="preserve">The PBAC advised, under Section 101 (4AACD) of the </w:t>
      </w:r>
      <w:r w:rsidRPr="00024895">
        <w:rPr>
          <w:rFonts w:asciiTheme="minorHAnsi" w:eastAsiaTheme="minorHAnsi" w:hAnsiTheme="minorHAnsi" w:cstheme="minorBidi"/>
          <w:i/>
          <w:snapToGrid/>
          <w:sz w:val="24"/>
          <w:szCs w:val="22"/>
        </w:rPr>
        <w:t>National Health Act</w:t>
      </w:r>
      <w:r w:rsidR="00950A56">
        <w:rPr>
          <w:rFonts w:asciiTheme="minorHAnsi" w:eastAsiaTheme="minorHAnsi" w:hAnsiTheme="minorHAnsi" w:cstheme="minorBidi"/>
          <w:i/>
          <w:snapToGrid/>
          <w:sz w:val="24"/>
          <w:szCs w:val="22"/>
        </w:rPr>
        <w:t xml:space="preserve"> 1953</w:t>
      </w:r>
      <w:r w:rsidRPr="00024895">
        <w:rPr>
          <w:rFonts w:asciiTheme="minorHAnsi" w:eastAsiaTheme="minorHAnsi" w:hAnsiTheme="minorHAnsi" w:cstheme="minorBidi"/>
          <w:snapToGrid/>
          <w:sz w:val="24"/>
          <w:szCs w:val="22"/>
        </w:rPr>
        <w:t xml:space="preserve">, that the </w:t>
      </w:r>
      <w:proofErr w:type="spellStart"/>
      <w:r w:rsidRPr="00024895">
        <w:rPr>
          <w:rFonts w:asciiTheme="minorHAnsi" w:eastAsiaTheme="minorHAnsi" w:hAnsiTheme="minorHAnsi" w:cstheme="minorBidi"/>
          <w:snapToGrid/>
          <w:sz w:val="24"/>
          <w:szCs w:val="22"/>
        </w:rPr>
        <w:t>Sevelamer</w:t>
      </w:r>
      <w:proofErr w:type="spellEnd"/>
      <w:r w:rsidRPr="00024895">
        <w:rPr>
          <w:rFonts w:asciiTheme="minorHAnsi" w:eastAsiaTheme="minorHAnsi" w:hAnsiTheme="minorHAnsi" w:cstheme="minorBidi"/>
          <w:snapToGrid/>
          <w:sz w:val="24"/>
          <w:szCs w:val="22"/>
        </w:rPr>
        <w:t xml:space="preserve"> Dr Reddy’s and </w:t>
      </w:r>
      <w:proofErr w:type="spellStart"/>
      <w:r w:rsidR="00D45F41" w:rsidRPr="00024895">
        <w:rPr>
          <w:rFonts w:asciiTheme="minorHAnsi" w:eastAsiaTheme="minorHAnsi" w:hAnsiTheme="minorHAnsi" w:cstheme="minorBidi"/>
          <w:snapToGrid/>
          <w:sz w:val="24"/>
          <w:szCs w:val="22"/>
        </w:rPr>
        <w:t>Renagel</w:t>
      </w:r>
      <w:proofErr w:type="spellEnd"/>
      <w:r w:rsidR="00D45F41" w:rsidRPr="00024895">
        <w:rPr>
          <w:rFonts w:asciiTheme="minorHAnsi" w:eastAsiaTheme="minorHAnsi" w:hAnsiTheme="minorHAnsi" w:cstheme="minorBidi"/>
          <w:snapToGrid/>
          <w:sz w:val="24"/>
          <w:szCs w:val="22"/>
        </w:rPr>
        <w:t xml:space="preserve"> </w:t>
      </w:r>
      <w:r w:rsidRPr="00024895">
        <w:rPr>
          <w:rFonts w:asciiTheme="minorHAnsi" w:eastAsiaTheme="minorHAnsi" w:hAnsiTheme="minorHAnsi" w:cstheme="minorBidi"/>
          <w:snapToGrid/>
          <w:sz w:val="24"/>
          <w:szCs w:val="22"/>
        </w:rPr>
        <w:t xml:space="preserve">should be considered equivalent for the purposes of substitution (i.e., ‘a’ flagged in the Schedule with a NOTE stating PBS of one form and PBS of another form are equivalent for the purposes of substitution). </w:t>
      </w:r>
    </w:p>
    <w:p w:rsidR="000D4FA2" w:rsidRPr="00024895" w:rsidRDefault="000D4FA2" w:rsidP="000E5444">
      <w:pPr>
        <w:pStyle w:val="ListParagraph"/>
        <w:widowControl/>
        <w:numPr>
          <w:ilvl w:val="1"/>
          <w:numId w:val="5"/>
        </w:numPr>
        <w:spacing w:before="120" w:after="120"/>
        <w:rPr>
          <w:rFonts w:asciiTheme="minorHAnsi" w:eastAsiaTheme="minorHAnsi" w:hAnsiTheme="minorHAnsi" w:cstheme="minorBidi"/>
          <w:snapToGrid/>
          <w:sz w:val="24"/>
          <w:szCs w:val="22"/>
        </w:rPr>
      </w:pPr>
      <w:r w:rsidRPr="00024895">
        <w:rPr>
          <w:rFonts w:asciiTheme="minorHAnsi" w:eastAsiaTheme="minorHAnsi" w:hAnsiTheme="minorHAnsi" w:cstheme="minorBidi"/>
          <w:snapToGrid/>
          <w:sz w:val="24"/>
          <w:szCs w:val="22"/>
        </w:rPr>
        <w:t xml:space="preserve">The PBAC noted this submission was not eligible for an Independent Review, as it received a positive recommendation. </w:t>
      </w:r>
    </w:p>
    <w:p w:rsidR="006E1D7F" w:rsidRPr="0089214F" w:rsidRDefault="006E1D7F" w:rsidP="000E5444">
      <w:pPr>
        <w:spacing w:before="120" w:after="120"/>
        <w:jc w:val="both"/>
        <w:rPr>
          <w:rFonts w:asciiTheme="minorHAnsi" w:hAnsiTheme="minorHAnsi" w:cs="Arial"/>
          <w:b/>
          <w:bCs/>
          <w:snapToGrid w:val="0"/>
        </w:rPr>
      </w:pPr>
      <w:r w:rsidRPr="0089214F">
        <w:rPr>
          <w:rFonts w:asciiTheme="minorHAnsi" w:hAnsiTheme="minorHAnsi" w:cs="Arial"/>
          <w:b/>
          <w:bCs/>
          <w:snapToGrid w:val="0"/>
        </w:rPr>
        <w:t>Outcome:</w:t>
      </w:r>
    </w:p>
    <w:p w:rsidR="006E1D7F" w:rsidRPr="0089214F" w:rsidRDefault="00E00114" w:rsidP="000E5444">
      <w:pPr>
        <w:spacing w:before="120" w:after="120"/>
        <w:jc w:val="both"/>
        <w:rPr>
          <w:rFonts w:asciiTheme="minorHAnsi" w:hAnsiTheme="minorHAnsi" w:cs="Arial"/>
          <w:bCs/>
          <w:snapToGrid w:val="0"/>
        </w:rPr>
      </w:pPr>
      <w:r w:rsidRPr="0089214F">
        <w:rPr>
          <w:rFonts w:asciiTheme="minorHAnsi" w:hAnsiTheme="minorHAnsi" w:cs="Arial"/>
          <w:bCs/>
          <w:snapToGrid w:val="0"/>
        </w:rPr>
        <w:t xml:space="preserve">Recommended </w:t>
      </w:r>
    </w:p>
    <w:p w:rsidR="006E1D7F" w:rsidRPr="004704D3" w:rsidRDefault="006E1D7F"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4704D3">
        <w:rPr>
          <w:rFonts w:asciiTheme="minorHAnsi" w:hAnsiTheme="minorHAnsi"/>
          <w:sz w:val="32"/>
          <w:szCs w:val="32"/>
        </w:rPr>
        <w:t>Recommended listing</w:t>
      </w:r>
    </w:p>
    <w:p w:rsidR="006E1D7F" w:rsidRPr="00024895" w:rsidRDefault="006E1D7F" w:rsidP="000E5444">
      <w:pPr>
        <w:widowControl w:val="0"/>
        <w:spacing w:before="120" w:after="120"/>
        <w:ind w:firstLine="720"/>
        <w:jc w:val="both"/>
        <w:rPr>
          <w:rFonts w:asciiTheme="minorHAnsi" w:hAnsiTheme="minorHAnsi" w:cs="Arial"/>
          <w:bCs/>
          <w:snapToGrid w:val="0"/>
        </w:rPr>
      </w:pPr>
      <w:r w:rsidRPr="00024895">
        <w:rPr>
          <w:rFonts w:asciiTheme="minorHAnsi" w:hAnsiTheme="minorHAnsi" w:cs="Arial"/>
          <w:bCs/>
          <w:snapToGrid w:val="0"/>
        </w:rPr>
        <w:t>Add new item:</w:t>
      </w:r>
    </w:p>
    <w:tbl>
      <w:tblPr>
        <w:tblW w:w="4910" w:type="pct"/>
        <w:tblLook w:val="0000" w:firstRow="0" w:lastRow="0" w:firstColumn="0" w:lastColumn="0" w:noHBand="0" w:noVBand="0"/>
      </w:tblPr>
      <w:tblGrid>
        <w:gridCol w:w="1895"/>
        <w:gridCol w:w="1331"/>
        <w:gridCol w:w="713"/>
        <w:gridCol w:w="860"/>
        <w:gridCol w:w="3991"/>
        <w:gridCol w:w="74"/>
      </w:tblGrid>
      <w:tr w:rsidR="00560208" w:rsidRPr="00024895" w:rsidTr="00115B0F">
        <w:trPr>
          <w:gridAfter w:val="1"/>
          <w:wAfter w:w="42" w:type="pct"/>
          <w:cantSplit/>
          <w:trHeight w:val="465"/>
        </w:trPr>
        <w:tc>
          <w:tcPr>
            <w:tcW w:w="1820" w:type="pct"/>
            <w:gridSpan w:val="2"/>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Name, Restriction,</w:t>
            </w:r>
          </w:p>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Manner of administration and form</w:t>
            </w:r>
          </w:p>
        </w:tc>
        <w:tc>
          <w:tcPr>
            <w:tcW w:w="402" w:type="pct"/>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Max.</w:t>
            </w:r>
          </w:p>
          <w:p w:rsidR="00560208" w:rsidRPr="00024895" w:rsidRDefault="00560208" w:rsidP="00085ABB">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Qty</w:t>
            </w:r>
            <w:proofErr w:type="spellEnd"/>
          </w:p>
        </w:tc>
        <w:tc>
          <w:tcPr>
            <w:tcW w:w="485" w:type="pct"/>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№.of</w:t>
            </w:r>
          </w:p>
          <w:p w:rsidR="00560208" w:rsidRPr="00024895" w:rsidRDefault="00560208" w:rsidP="00085ABB">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Rpts</w:t>
            </w:r>
            <w:proofErr w:type="spellEnd"/>
          </w:p>
        </w:tc>
        <w:tc>
          <w:tcPr>
            <w:tcW w:w="2251" w:type="pct"/>
            <w:tcBorders>
              <w:bottom w:val="single" w:sz="4" w:space="0" w:color="auto"/>
            </w:tcBorders>
          </w:tcPr>
          <w:p w:rsidR="00560208" w:rsidRPr="0089214F"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Proprietary Name and Manufacturer</w:t>
            </w:r>
          </w:p>
        </w:tc>
      </w:tr>
      <w:tr w:rsidR="00560208" w:rsidRPr="00024895" w:rsidTr="00115B0F">
        <w:trPr>
          <w:gridAfter w:val="1"/>
          <w:wAfter w:w="42" w:type="pct"/>
          <w:cantSplit/>
          <w:trHeight w:val="567"/>
        </w:trPr>
        <w:tc>
          <w:tcPr>
            <w:tcW w:w="1820" w:type="pct"/>
            <w:gridSpan w:val="2"/>
          </w:tcPr>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mallCaps/>
                <w:sz w:val="20"/>
                <w:szCs w:val="20"/>
              </w:rPr>
              <w:t>SEVELAMER</w:t>
            </w:r>
          </w:p>
          <w:p w:rsidR="00560208" w:rsidRPr="00024895" w:rsidRDefault="00560208" w:rsidP="00085ABB">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carbonate, tablet 800, mg, 180  </w:t>
            </w:r>
          </w:p>
        </w:tc>
        <w:tc>
          <w:tcPr>
            <w:tcW w:w="402" w:type="pct"/>
          </w:tcPr>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1</w:t>
            </w:r>
          </w:p>
        </w:tc>
        <w:tc>
          <w:tcPr>
            <w:tcW w:w="485" w:type="pct"/>
          </w:tcPr>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5</w:t>
            </w:r>
          </w:p>
        </w:tc>
        <w:tc>
          <w:tcPr>
            <w:tcW w:w="2251" w:type="pct"/>
          </w:tcPr>
          <w:p w:rsidR="00560208" w:rsidRPr="00024895" w:rsidRDefault="00560208" w:rsidP="00085ABB">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Dr Reddy’s</w:t>
            </w:r>
          </w:p>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Dr Reddy’s Laboratories Australia Pty Ltd</w:t>
            </w:r>
          </w:p>
        </w:tc>
      </w:tr>
      <w:tr w:rsidR="00560208" w:rsidRPr="00024895" w:rsidTr="00115B0F">
        <w:trPr>
          <w:gridAfter w:val="1"/>
          <w:wAfter w:w="42" w:type="pct"/>
          <w:cantSplit/>
          <w:trHeight w:val="360"/>
        </w:trPr>
        <w:tc>
          <w:tcPr>
            <w:tcW w:w="4958" w:type="pct"/>
            <w:gridSpan w:val="5"/>
            <w:tcBorders>
              <w:bottom w:val="single" w:sz="4" w:space="0" w:color="auto"/>
            </w:tcBorders>
          </w:tcPr>
          <w:p w:rsidR="00560208" w:rsidRPr="00024895" w:rsidRDefault="00560208" w:rsidP="00085ABB">
            <w:pPr>
              <w:spacing w:before="40" w:after="40"/>
              <w:jc w:val="both"/>
              <w:rPr>
                <w:rFonts w:ascii="Arial Narrow" w:hAnsi="Arial Narrow" w:cs="Arial"/>
                <w:sz w:val="20"/>
                <w:szCs w:val="20"/>
              </w:rPr>
            </w:pP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 xml:space="preserve">Category / </w:t>
            </w:r>
          </w:p>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Program</w:t>
            </w: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GENERAL – General Schedule (Code GE)</w:t>
            </w:r>
          </w:p>
        </w:tc>
      </w:tr>
      <w:tr w:rsidR="00560208" w:rsidRPr="00024895" w:rsidTr="00560208">
        <w:trPr>
          <w:cantSplit/>
          <w:trHeight w:val="492"/>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Prescriber type:</w:t>
            </w: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 xml:space="preserve">Medical Practitioners  </w:t>
            </w:r>
            <w:r w:rsidRPr="0089214F">
              <w:rPr>
                <w:rFonts w:ascii="Arial Narrow" w:hAnsi="Arial Narrow" w:cs="Arial"/>
                <w:sz w:val="20"/>
                <w:szCs w:val="20"/>
              </w:rPr>
              <w:fldChar w:fldCharType="begin">
                <w:ffData>
                  <w:name w:val="Check3"/>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 xml:space="preserve">Nurse practitioners  </w:t>
            </w: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PBS Indication:</w:t>
            </w: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proofErr w:type="spellStart"/>
            <w:r w:rsidRPr="00024895">
              <w:rPr>
                <w:rFonts w:ascii="Arial Narrow" w:hAnsi="Arial Narrow" w:cs="Arial"/>
                <w:sz w:val="20"/>
                <w:szCs w:val="20"/>
              </w:rPr>
              <w:t>Hyperphosphataemia</w:t>
            </w:r>
            <w:proofErr w:type="spellEnd"/>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Treatment phase:</w:t>
            </w: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Maintenance following initiation and stabilisation</w:t>
            </w: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Restriction Level / Method:</w:t>
            </w:r>
          </w:p>
          <w:p w:rsidR="00560208" w:rsidRPr="00024895" w:rsidRDefault="00560208" w:rsidP="00085ABB">
            <w:pPr>
              <w:spacing w:before="40" w:after="40"/>
              <w:rPr>
                <w:rFonts w:ascii="Arial Narrow" w:hAnsi="Arial Narrow" w:cs="Arial"/>
                <w:sz w:val="20"/>
                <w:szCs w:val="20"/>
              </w:rPr>
            </w:pP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0"/>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Authority Required - In Writing</w:t>
            </w:r>
          </w:p>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3"/>
                  <w:enabled/>
                  <w:calcOnExit w:val="0"/>
                  <w:checkBox>
                    <w:sizeAuto/>
                    <w:default w:val="0"/>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Authority Required - Telephone</w:t>
            </w:r>
          </w:p>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5"/>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Streamlined</w:t>
            </w: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b/>
                <w:sz w:val="20"/>
                <w:szCs w:val="20"/>
              </w:rPr>
            </w:pPr>
            <w:r w:rsidRPr="00024895">
              <w:rPr>
                <w:rFonts w:ascii="Arial Narrow" w:hAnsi="Arial Narrow" w:cs="Arial"/>
                <w:b/>
                <w:sz w:val="20"/>
                <w:szCs w:val="20"/>
              </w:rPr>
              <w:t>Treatment criteria:</w:t>
            </w:r>
          </w:p>
          <w:p w:rsidR="00560208" w:rsidRPr="00024895" w:rsidRDefault="00560208" w:rsidP="00085ABB">
            <w:pPr>
              <w:spacing w:before="40" w:after="40"/>
              <w:rPr>
                <w:rFonts w:ascii="Arial Narrow" w:hAnsi="Arial Narrow" w:cs="Arial"/>
                <w:sz w:val="20"/>
                <w:szCs w:val="20"/>
              </w:rPr>
            </w:pP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Patient must be undergoing dialysis for chronic kidney disease.</w:t>
            </w: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Clinical criteria:</w:t>
            </w:r>
          </w:p>
          <w:p w:rsidR="00560208" w:rsidRPr="00024895" w:rsidRDefault="00560208" w:rsidP="00085ABB">
            <w:pPr>
              <w:spacing w:before="40" w:after="40"/>
              <w:jc w:val="both"/>
              <w:rPr>
                <w:rFonts w:ascii="Arial Narrow" w:hAnsi="Arial Narrow" w:cs="Arial"/>
                <w:i/>
                <w:sz w:val="20"/>
                <w:szCs w:val="20"/>
              </w:rPr>
            </w:pPr>
          </w:p>
          <w:p w:rsidR="00560208" w:rsidRPr="00024895" w:rsidRDefault="00560208" w:rsidP="00085ABB">
            <w:pPr>
              <w:spacing w:before="40" w:after="40"/>
              <w:jc w:val="both"/>
              <w:rPr>
                <w:rFonts w:ascii="Arial Narrow" w:hAnsi="Arial Narrow" w:cs="Arial"/>
                <w:sz w:val="20"/>
                <w:szCs w:val="20"/>
              </w:rPr>
            </w:pP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The condition must not be adequately controlled by calcium</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AND</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Patient must have a serum phosphate of greater than 1.6 </w:t>
            </w:r>
            <w:proofErr w:type="spellStart"/>
            <w:r w:rsidRPr="00024895">
              <w:rPr>
                <w:rFonts w:ascii="Arial Narrow" w:hAnsi="Arial Narrow" w:cs="Arial"/>
                <w:sz w:val="20"/>
                <w:szCs w:val="20"/>
              </w:rPr>
              <w:t>mmol</w:t>
            </w:r>
            <w:proofErr w:type="spellEnd"/>
            <w:r w:rsidRPr="00024895">
              <w:rPr>
                <w:rFonts w:ascii="Arial Narrow" w:hAnsi="Arial Narrow" w:cs="Arial"/>
                <w:sz w:val="20"/>
                <w:szCs w:val="20"/>
              </w:rPr>
              <w:t xml:space="preserve"> per L at the commencement of therapy; OR</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The condition must be where a serum calcium times phosphate product is greater than 4 at the commencement of therapy,</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AND</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The treatment must not be used in combination with any other non-calcium </w:t>
            </w:r>
            <w:proofErr w:type="gramStart"/>
            <w:r w:rsidRPr="00024895">
              <w:rPr>
                <w:rFonts w:ascii="Arial Narrow" w:hAnsi="Arial Narrow" w:cs="Arial"/>
                <w:sz w:val="20"/>
                <w:szCs w:val="20"/>
              </w:rPr>
              <w:t>phosphate binding</w:t>
            </w:r>
            <w:proofErr w:type="gramEnd"/>
            <w:r w:rsidRPr="00024895">
              <w:rPr>
                <w:rFonts w:ascii="Arial Narrow" w:hAnsi="Arial Narrow" w:cs="Arial"/>
                <w:sz w:val="20"/>
                <w:szCs w:val="20"/>
              </w:rPr>
              <w:t xml:space="preserve"> agents.</w:t>
            </w:r>
          </w:p>
        </w:tc>
      </w:tr>
      <w:tr w:rsidR="00560208" w:rsidRPr="00024895" w:rsidTr="00560208">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lastRenderedPageBreak/>
              <w:t>Administrative Advice</w:t>
            </w:r>
          </w:p>
          <w:p w:rsidR="00560208" w:rsidRPr="00024895" w:rsidRDefault="00560208" w:rsidP="00085ABB">
            <w:pPr>
              <w:spacing w:before="40" w:after="40"/>
              <w:jc w:val="both"/>
              <w:rPr>
                <w:rFonts w:ascii="Arial Narrow" w:hAnsi="Arial Narrow" w:cs="Arial"/>
                <w:i/>
                <w:sz w:val="20"/>
                <w:szCs w:val="20"/>
              </w:rPr>
            </w:pPr>
          </w:p>
          <w:p w:rsidR="00560208" w:rsidRPr="00024895" w:rsidRDefault="00560208" w:rsidP="00085ABB">
            <w:pPr>
              <w:spacing w:before="40" w:after="40"/>
              <w:jc w:val="both"/>
              <w:rPr>
                <w:rFonts w:ascii="Arial Narrow" w:hAnsi="Arial Narrow" w:cs="Arial"/>
                <w:i/>
                <w:sz w:val="20"/>
                <w:szCs w:val="20"/>
              </w:rPr>
            </w:pPr>
          </w:p>
        </w:tc>
        <w:tc>
          <w:tcPr>
            <w:tcW w:w="3931" w:type="pct"/>
            <w:gridSpan w:val="5"/>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Shared Care Model: </w:t>
            </w:r>
          </w:p>
          <w:p w:rsidR="00560208" w:rsidRPr="00024895" w:rsidRDefault="00560208" w:rsidP="00085ABB">
            <w:pPr>
              <w:spacing w:before="40" w:after="40"/>
              <w:rPr>
                <w:rFonts w:ascii="Arial Narrow" w:hAnsi="Arial Narrow" w:cs="Arial"/>
                <w:sz w:val="20"/>
                <w:szCs w:val="20"/>
              </w:rPr>
            </w:pP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For prescribing by nurse practitioners where care of a patient </w:t>
            </w:r>
            <w:proofErr w:type="gramStart"/>
            <w:r w:rsidRPr="00024895">
              <w:rPr>
                <w:rFonts w:ascii="Arial Narrow" w:hAnsi="Arial Narrow" w:cs="Arial"/>
                <w:sz w:val="20"/>
                <w:szCs w:val="20"/>
              </w:rPr>
              <w:t>is shared</w:t>
            </w:r>
            <w:proofErr w:type="gramEnd"/>
            <w:r w:rsidRPr="00024895">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024895">
              <w:rPr>
                <w:rFonts w:ascii="Arial Narrow" w:hAnsi="Arial Narrow" w:cs="Arial"/>
                <w:sz w:val="20"/>
                <w:szCs w:val="20"/>
              </w:rPr>
              <w:t>can be found</w:t>
            </w:r>
            <w:proofErr w:type="gramEnd"/>
            <w:r w:rsidRPr="00024895">
              <w:rPr>
                <w:rFonts w:ascii="Arial Narrow" w:hAnsi="Arial Narrow" w:cs="Arial"/>
                <w:sz w:val="20"/>
                <w:szCs w:val="20"/>
              </w:rPr>
              <w:t xml:space="preserve"> in the Explanatory Notes for Nurse Practitioners.</w:t>
            </w:r>
          </w:p>
          <w:p w:rsidR="009F70FB" w:rsidRPr="00024895" w:rsidRDefault="009F70FB" w:rsidP="00085ABB">
            <w:pPr>
              <w:spacing w:before="40" w:after="40"/>
              <w:rPr>
                <w:rFonts w:ascii="Arial Narrow" w:hAnsi="Arial Narrow" w:cs="Arial"/>
                <w:sz w:val="20"/>
                <w:szCs w:val="20"/>
              </w:rPr>
            </w:pPr>
          </w:p>
          <w:p w:rsidR="009F70FB" w:rsidRPr="0089214F" w:rsidRDefault="009F70FB" w:rsidP="00085ABB">
            <w:pPr>
              <w:spacing w:before="40" w:after="40"/>
              <w:rPr>
                <w:rFonts w:ascii="Arial Narrow" w:hAnsi="Arial Narrow" w:cs="Arial"/>
                <w:sz w:val="20"/>
                <w:szCs w:val="20"/>
              </w:rPr>
            </w:pPr>
            <w:r w:rsidRPr="0089214F">
              <w:rPr>
                <w:rFonts w:ascii="Arial Narrow" w:hAnsi="Arial Narrow" w:cs="Arial"/>
                <w:sz w:val="20"/>
                <w:szCs w:val="20"/>
              </w:rPr>
              <w:t xml:space="preserve">Pharmaceutical benefits that have the forms </w:t>
            </w:r>
            <w:proofErr w:type="spellStart"/>
            <w:r w:rsidRPr="0089214F">
              <w:rPr>
                <w:rFonts w:ascii="Arial Narrow" w:hAnsi="Arial Narrow" w:cs="Arial"/>
                <w:sz w:val="20"/>
                <w:szCs w:val="20"/>
              </w:rPr>
              <w:t>sevelamer</w:t>
            </w:r>
            <w:proofErr w:type="spellEnd"/>
            <w:r w:rsidRPr="0089214F">
              <w:rPr>
                <w:rFonts w:ascii="Arial Narrow" w:hAnsi="Arial Narrow" w:cs="Arial"/>
                <w:sz w:val="20"/>
                <w:szCs w:val="20"/>
              </w:rPr>
              <w:t xml:space="preserve"> hydrochloride 800 mg  and </w:t>
            </w:r>
            <w:proofErr w:type="spellStart"/>
            <w:r w:rsidRPr="0089214F">
              <w:rPr>
                <w:rFonts w:ascii="Arial Narrow" w:hAnsi="Arial Narrow" w:cs="Arial"/>
                <w:sz w:val="20"/>
                <w:szCs w:val="20"/>
              </w:rPr>
              <w:t>sevelamer</w:t>
            </w:r>
            <w:proofErr w:type="spellEnd"/>
            <w:r w:rsidRPr="0089214F">
              <w:rPr>
                <w:rFonts w:ascii="Arial Narrow" w:hAnsi="Arial Narrow" w:cs="Arial"/>
                <w:sz w:val="20"/>
                <w:szCs w:val="20"/>
              </w:rPr>
              <w:t xml:space="preserve"> carbonate 800 mg tablet are equivalent for the purposes of substitution</w:t>
            </w:r>
          </w:p>
        </w:tc>
      </w:tr>
    </w:tbl>
    <w:p w:rsidR="00560208" w:rsidRPr="00024895" w:rsidRDefault="00560208" w:rsidP="00560208">
      <w:pPr>
        <w:rPr>
          <w:szCs w:val="22"/>
        </w:rPr>
      </w:pPr>
    </w:p>
    <w:p w:rsidR="00560208" w:rsidRPr="00024895" w:rsidRDefault="00560208" w:rsidP="00560208">
      <w:pPr>
        <w:rPr>
          <w:szCs w:val="22"/>
        </w:rPr>
      </w:pPr>
    </w:p>
    <w:tbl>
      <w:tblPr>
        <w:tblW w:w="4869" w:type="pct"/>
        <w:tblLook w:val="0000" w:firstRow="0" w:lastRow="0" w:firstColumn="0" w:lastColumn="0" w:noHBand="0" w:noVBand="0"/>
      </w:tblPr>
      <w:tblGrid>
        <w:gridCol w:w="3227"/>
        <w:gridCol w:w="714"/>
        <w:gridCol w:w="860"/>
        <w:gridCol w:w="3989"/>
      </w:tblGrid>
      <w:tr w:rsidR="00560208" w:rsidRPr="00024895" w:rsidTr="00115B0F">
        <w:trPr>
          <w:cantSplit/>
          <w:trHeight w:val="465"/>
        </w:trPr>
        <w:tc>
          <w:tcPr>
            <w:tcW w:w="1836" w:type="pct"/>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Name, Restriction,</w:t>
            </w:r>
          </w:p>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Manner of administration and form</w:t>
            </w:r>
          </w:p>
        </w:tc>
        <w:tc>
          <w:tcPr>
            <w:tcW w:w="406" w:type="pct"/>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Max.</w:t>
            </w:r>
          </w:p>
          <w:p w:rsidR="00560208" w:rsidRPr="00024895" w:rsidRDefault="00560208" w:rsidP="00085ABB">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Qty</w:t>
            </w:r>
            <w:proofErr w:type="spellEnd"/>
          </w:p>
        </w:tc>
        <w:tc>
          <w:tcPr>
            <w:tcW w:w="489" w:type="pct"/>
            <w:tcBorders>
              <w:bottom w:val="single" w:sz="4" w:space="0" w:color="auto"/>
            </w:tcBorders>
          </w:tcPr>
          <w:p w:rsidR="00560208" w:rsidRPr="00024895"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№.of</w:t>
            </w:r>
          </w:p>
          <w:p w:rsidR="00560208" w:rsidRPr="00024895" w:rsidRDefault="00560208" w:rsidP="00085ABB">
            <w:pPr>
              <w:keepNext/>
              <w:spacing w:before="40" w:after="40"/>
              <w:jc w:val="both"/>
              <w:rPr>
                <w:rFonts w:ascii="Arial Narrow" w:hAnsi="Arial Narrow" w:cs="Arial"/>
                <w:b/>
                <w:sz w:val="20"/>
                <w:szCs w:val="20"/>
              </w:rPr>
            </w:pPr>
            <w:proofErr w:type="spellStart"/>
            <w:r w:rsidRPr="00024895">
              <w:rPr>
                <w:rFonts w:ascii="Arial Narrow" w:hAnsi="Arial Narrow" w:cs="Arial"/>
                <w:b/>
                <w:sz w:val="20"/>
                <w:szCs w:val="20"/>
              </w:rPr>
              <w:t>Rpts</w:t>
            </w:r>
            <w:proofErr w:type="spellEnd"/>
          </w:p>
        </w:tc>
        <w:tc>
          <w:tcPr>
            <w:tcW w:w="2269" w:type="pct"/>
            <w:tcBorders>
              <w:bottom w:val="single" w:sz="4" w:space="0" w:color="auto"/>
            </w:tcBorders>
          </w:tcPr>
          <w:p w:rsidR="00560208" w:rsidRPr="0089214F" w:rsidRDefault="00560208" w:rsidP="00085ABB">
            <w:pPr>
              <w:keepNext/>
              <w:spacing w:before="40" w:after="40"/>
              <w:jc w:val="both"/>
              <w:rPr>
                <w:rFonts w:ascii="Arial Narrow" w:hAnsi="Arial Narrow" w:cs="Arial"/>
                <w:b/>
                <w:sz w:val="20"/>
                <w:szCs w:val="20"/>
              </w:rPr>
            </w:pPr>
            <w:r w:rsidRPr="00024895">
              <w:rPr>
                <w:rFonts w:ascii="Arial Narrow" w:hAnsi="Arial Narrow" w:cs="Arial"/>
                <w:b/>
                <w:sz w:val="20"/>
                <w:szCs w:val="20"/>
              </w:rPr>
              <w:t>Proprietary Name and Manufacturer</w:t>
            </w:r>
          </w:p>
        </w:tc>
      </w:tr>
      <w:tr w:rsidR="00560208" w:rsidRPr="00024895" w:rsidTr="00115B0F">
        <w:trPr>
          <w:cantSplit/>
          <w:trHeight w:val="567"/>
        </w:trPr>
        <w:tc>
          <w:tcPr>
            <w:tcW w:w="1836" w:type="pct"/>
            <w:vMerge w:val="restart"/>
          </w:tcPr>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mallCaps/>
                <w:sz w:val="20"/>
                <w:szCs w:val="20"/>
              </w:rPr>
              <w:t>SEVELAMER</w:t>
            </w:r>
          </w:p>
          <w:p w:rsidR="00560208" w:rsidRPr="00024895" w:rsidRDefault="00560208" w:rsidP="00085ABB">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carbonate, tablet 800, mg, 180  </w:t>
            </w:r>
          </w:p>
        </w:tc>
        <w:tc>
          <w:tcPr>
            <w:tcW w:w="406" w:type="pct"/>
          </w:tcPr>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2</w:t>
            </w:r>
          </w:p>
        </w:tc>
        <w:tc>
          <w:tcPr>
            <w:tcW w:w="489" w:type="pct"/>
          </w:tcPr>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5</w:t>
            </w:r>
          </w:p>
        </w:tc>
        <w:tc>
          <w:tcPr>
            <w:tcW w:w="2269" w:type="pct"/>
            <w:vMerge w:val="restart"/>
          </w:tcPr>
          <w:p w:rsidR="00560208" w:rsidRPr="00024895" w:rsidRDefault="00560208" w:rsidP="00085ABB">
            <w:pPr>
              <w:keepNext/>
              <w:spacing w:before="40" w:after="40"/>
              <w:jc w:val="both"/>
              <w:rPr>
                <w:rFonts w:ascii="Arial Narrow" w:hAnsi="Arial Narrow" w:cs="Arial"/>
                <w:sz w:val="20"/>
                <w:szCs w:val="20"/>
              </w:rPr>
            </w:pPr>
            <w:proofErr w:type="spellStart"/>
            <w:r w:rsidRPr="00024895">
              <w:rPr>
                <w:rFonts w:ascii="Arial Narrow" w:hAnsi="Arial Narrow" w:cs="Arial"/>
                <w:sz w:val="20"/>
                <w:szCs w:val="20"/>
              </w:rPr>
              <w:t>Sevelamer</w:t>
            </w:r>
            <w:proofErr w:type="spellEnd"/>
            <w:r w:rsidRPr="00024895">
              <w:rPr>
                <w:rFonts w:ascii="Arial Narrow" w:hAnsi="Arial Narrow" w:cs="Arial"/>
                <w:sz w:val="20"/>
                <w:szCs w:val="20"/>
              </w:rPr>
              <w:t xml:space="preserve"> Dr Reddy’s</w:t>
            </w:r>
          </w:p>
          <w:p w:rsidR="00560208" w:rsidRPr="00024895" w:rsidRDefault="00560208" w:rsidP="00085ABB">
            <w:pPr>
              <w:keepNext/>
              <w:spacing w:before="40" w:after="40"/>
              <w:jc w:val="both"/>
              <w:rPr>
                <w:rFonts w:ascii="Arial Narrow" w:hAnsi="Arial Narrow" w:cs="Arial"/>
                <w:sz w:val="20"/>
                <w:szCs w:val="20"/>
              </w:rPr>
            </w:pPr>
          </w:p>
          <w:p w:rsidR="00560208" w:rsidRPr="00024895" w:rsidRDefault="00560208" w:rsidP="00085ABB">
            <w:pPr>
              <w:keepNext/>
              <w:spacing w:before="40" w:after="40"/>
              <w:jc w:val="both"/>
              <w:rPr>
                <w:rFonts w:ascii="Arial Narrow" w:hAnsi="Arial Narrow" w:cs="Arial"/>
                <w:sz w:val="20"/>
                <w:szCs w:val="20"/>
              </w:rPr>
            </w:pPr>
            <w:r w:rsidRPr="00024895">
              <w:rPr>
                <w:rFonts w:ascii="Arial Narrow" w:hAnsi="Arial Narrow" w:cs="Arial"/>
                <w:sz w:val="20"/>
                <w:szCs w:val="20"/>
              </w:rPr>
              <w:t>Dr Reddy’s Laboratories Australia Pty Ltd</w:t>
            </w:r>
          </w:p>
        </w:tc>
      </w:tr>
      <w:tr w:rsidR="00560208" w:rsidRPr="00024895" w:rsidTr="00115B0F">
        <w:trPr>
          <w:cantSplit/>
          <w:trHeight w:val="567"/>
        </w:trPr>
        <w:tc>
          <w:tcPr>
            <w:tcW w:w="1836" w:type="pct"/>
            <w:vMerge/>
          </w:tcPr>
          <w:p w:rsidR="00560208" w:rsidRPr="00024895" w:rsidRDefault="00560208" w:rsidP="00085ABB">
            <w:pPr>
              <w:keepNext/>
              <w:spacing w:before="40" w:after="40"/>
              <w:jc w:val="both"/>
              <w:rPr>
                <w:rFonts w:ascii="Arial Narrow" w:hAnsi="Arial Narrow" w:cs="Arial"/>
                <w:smallCaps/>
                <w:sz w:val="20"/>
                <w:szCs w:val="20"/>
              </w:rPr>
            </w:pPr>
          </w:p>
        </w:tc>
        <w:tc>
          <w:tcPr>
            <w:tcW w:w="406" w:type="pct"/>
          </w:tcPr>
          <w:p w:rsidR="00560208" w:rsidRPr="00024895" w:rsidRDefault="00560208" w:rsidP="00085ABB">
            <w:pPr>
              <w:keepNext/>
              <w:spacing w:before="40" w:after="40"/>
              <w:jc w:val="both"/>
              <w:rPr>
                <w:rFonts w:ascii="Arial Narrow" w:hAnsi="Arial Narrow" w:cs="Arial"/>
                <w:sz w:val="20"/>
                <w:szCs w:val="20"/>
              </w:rPr>
            </w:pPr>
          </w:p>
        </w:tc>
        <w:tc>
          <w:tcPr>
            <w:tcW w:w="489" w:type="pct"/>
          </w:tcPr>
          <w:p w:rsidR="00560208" w:rsidRPr="00024895" w:rsidRDefault="00560208" w:rsidP="00085ABB">
            <w:pPr>
              <w:keepNext/>
              <w:spacing w:before="40" w:after="40"/>
              <w:jc w:val="both"/>
              <w:rPr>
                <w:rFonts w:ascii="Arial Narrow" w:hAnsi="Arial Narrow" w:cs="Arial"/>
                <w:sz w:val="20"/>
                <w:szCs w:val="20"/>
              </w:rPr>
            </w:pPr>
          </w:p>
        </w:tc>
        <w:tc>
          <w:tcPr>
            <w:tcW w:w="2269" w:type="pct"/>
            <w:vMerge/>
          </w:tcPr>
          <w:p w:rsidR="00560208" w:rsidRPr="00024895" w:rsidRDefault="00560208" w:rsidP="00085ABB">
            <w:pPr>
              <w:keepNext/>
              <w:spacing w:before="40" w:after="40"/>
              <w:jc w:val="both"/>
              <w:rPr>
                <w:rFonts w:ascii="Arial Narrow" w:hAnsi="Arial Narrow" w:cs="Arial"/>
                <w:sz w:val="20"/>
                <w:szCs w:val="20"/>
              </w:rPr>
            </w:pPr>
          </w:p>
        </w:tc>
      </w:tr>
    </w:tbl>
    <w:p w:rsidR="00560208" w:rsidRPr="00024895" w:rsidRDefault="00560208" w:rsidP="00560208">
      <w:pPr>
        <w:rPr>
          <w:szCs w:val="22"/>
        </w:rPr>
      </w:pPr>
    </w:p>
    <w:tbl>
      <w:tblPr>
        <w:tblW w:w="4915" w:type="pct"/>
        <w:tblLook w:val="0000" w:firstRow="0" w:lastRow="0" w:firstColumn="0" w:lastColumn="0" w:noHBand="0" w:noVBand="0"/>
      </w:tblPr>
      <w:tblGrid>
        <w:gridCol w:w="1895"/>
        <w:gridCol w:w="6968"/>
      </w:tblGrid>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 xml:space="preserve">Category / </w:t>
            </w:r>
          </w:p>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Program</w:t>
            </w: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Section 100 – Highly Specialised Drugs Program</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(Public and Private Hospitals)</w:t>
            </w:r>
          </w:p>
        </w:tc>
      </w:tr>
      <w:tr w:rsidR="00560208" w:rsidRPr="00024895" w:rsidTr="00085ABB">
        <w:trPr>
          <w:cantSplit/>
          <w:trHeight w:val="492"/>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Prescriber type:</w:t>
            </w: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DC4379">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 xml:space="preserve">Medical Practitioners  </w:t>
            </w:r>
            <w:r w:rsidR="00DC4379" w:rsidRPr="0089214F">
              <w:rPr>
                <w:rFonts w:ascii="Arial Narrow" w:hAnsi="Arial Narrow" w:cs="Arial"/>
                <w:sz w:val="20"/>
                <w:szCs w:val="20"/>
              </w:rPr>
              <w:fldChar w:fldCharType="begin">
                <w:ffData>
                  <w:name w:val=""/>
                  <w:enabled/>
                  <w:calcOnExit w:val="0"/>
                  <w:checkBox>
                    <w:sizeAuto/>
                    <w:default w:val="0"/>
                  </w:checkBox>
                </w:ffData>
              </w:fldChar>
            </w:r>
            <w:r w:rsidR="00DC4379"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00DC4379" w:rsidRPr="0089214F">
              <w:rPr>
                <w:rFonts w:ascii="Arial Narrow" w:hAnsi="Arial Narrow" w:cs="Arial"/>
                <w:sz w:val="20"/>
                <w:szCs w:val="20"/>
              </w:rPr>
              <w:fldChar w:fldCharType="end"/>
            </w:r>
            <w:r w:rsidRPr="00024895">
              <w:rPr>
                <w:rFonts w:ascii="Arial Narrow" w:hAnsi="Arial Narrow" w:cs="Arial"/>
                <w:sz w:val="20"/>
                <w:szCs w:val="20"/>
              </w:rPr>
              <w:t xml:space="preserve">Nurse practitioners  </w:t>
            </w:r>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PBS Indication:</w:t>
            </w: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proofErr w:type="spellStart"/>
            <w:r w:rsidRPr="00024895">
              <w:rPr>
                <w:rFonts w:ascii="Arial Narrow" w:hAnsi="Arial Narrow" w:cs="Arial"/>
                <w:sz w:val="20"/>
                <w:szCs w:val="20"/>
              </w:rPr>
              <w:t>Hyperphosphataemia</w:t>
            </w:r>
            <w:proofErr w:type="spellEnd"/>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Treatment phase:</w:t>
            </w: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Initiation and stabilisation</w:t>
            </w:r>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Restriction Level / Method:</w:t>
            </w:r>
          </w:p>
          <w:p w:rsidR="00560208" w:rsidRPr="00024895" w:rsidRDefault="00560208" w:rsidP="00085ABB">
            <w:pPr>
              <w:spacing w:before="40" w:after="40"/>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Authority Required – Telephone (Private Hospitals)</w:t>
            </w:r>
          </w:p>
          <w:p w:rsidR="00560208" w:rsidRPr="00024895" w:rsidRDefault="00560208" w:rsidP="00085ABB">
            <w:pPr>
              <w:spacing w:before="40" w:after="40"/>
              <w:rPr>
                <w:rFonts w:ascii="Arial Narrow" w:hAnsi="Arial Narrow" w:cs="Arial"/>
                <w:sz w:val="20"/>
                <w:szCs w:val="20"/>
              </w:rPr>
            </w:pPr>
            <w:r w:rsidRPr="0089214F">
              <w:rPr>
                <w:rFonts w:ascii="Arial Narrow" w:hAnsi="Arial Narrow" w:cs="Arial"/>
                <w:sz w:val="20"/>
                <w:szCs w:val="20"/>
              </w:rPr>
              <w:fldChar w:fldCharType="begin">
                <w:ffData>
                  <w:name w:val="Check5"/>
                  <w:enabled/>
                  <w:calcOnExit w:val="0"/>
                  <w:checkBox>
                    <w:sizeAuto/>
                    <w:default w:val="1"/>
                  </w:checkBox>
                </w:ffData>
              </w:fldChar>
            </w:r>
            <w:r w:rsidRPr="00024895">
              <w:rPr>
                <w:rFonts w:ascii="Arial Narrow" w:hAnsi="Arial Narrow" w:cs="Arial"/>
                <w:sz w:val="20"/>
                <w:szCs w:val="20"/>
              </w:rPr>
              <w:instrText xml:space="preserve"> FORMCHECKBOX </w:instrText>
            </w:r>
            <w:r w:rsidR="003C3CE5">
              <w:rPr>
                <w:rFonts w:ascii="Arial Narrow" w:hAnsi="Arial Narrow" w:cs="Arial"/>
                <w:sz w:val="20"/>
                <w:szCs w:val="20"/>
              </w:rPr>
            </w:r>
            <w:r w:rsidR="003C3CE5">
              <w:rPr>
                <w:rFonts w:ascii="Arial Narrow" w:hAnsi="Arial Narrow" w:cs="Arial"/>
                <w:sz w:val="20"/>
                <w:szCs w:val="20"/>
              </w:rPr>
              <w:fldChar w:fldCharType="separate"/>
            </w:r>
            <w:r w:rsidRPr="0089214F">
              <w:rPr>
                <w:rFonts w:ascii="Arial Narrow" w:hAnsi="Arial Narrow" w:cs="Arial"/>
                <w:sz w:val="20"/>
                <w:szCs w:val="20"/>
              </w:rPr>
              <w:fldChar w:fldCharType="end"/>
            </w:r>
            <w:r w:rsidRPr="00024895">
              <w:rPr>
                <w:rFonts w:ascii="Arial Narrow" w:hAnsi="Arial Narrow" w:cs="Arial"/>
                <w:sz w:val="20"/>
                <w:szCs w:val="20"/>
              </w:rPr>
              <w:t>Streamlined (Public Hospitals)</w:t>
            </w:r>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b/>
                <w:sz w:val="20"/>
                <w:szCs w:val="20"/>
              </w:rPr>
            </w:pPr>
            <w:r w:rsidRPr="00024895">
              <w:rPr>
                <w:rFonts w:ascii="Arial Narrow" w:hAnsi="Arial Narrow" w:cs="Arial"/>
                <w:b/>
                <w:sz w:val="20"/>
                <w:szCs w:val="20"/>
              </w:rPr>
              <w:t>Treatment criteria:</w:t>
            </w:r>
          </w:p>
          <w:p w:rsidR="00560208" w:rsidRPr="00024895" w:rsidRDefault="00560208" w:rsidP="00085ABB">
            <w:pPr>
              <w:spacing w:before="40" w:after="40"/>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Patient must be undergoing dialysis for chronic kidney disease.</w:t>
            </w:r>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Clinical criteria:</w:t>
            </w:r>
          </w:p>
          <w:p w:rsidR="00560208" w:rsidRPr="00024895" w:rsidRDefault="00560208" w:rsidP="00085ABB">
            <w:pPr>
              <w:spacing w:before="40" w:after="40"/>
              <w:jc w:val="both"/>
              <w:rPr>
                <w:rFonts w:ascii="Arial Narrow" w:hAnsi="Arial Narrow" w:cs="Arial"/>
                <w:i/>
                <w:sz w:val="20"/>
                <w:szCs w:val="20"/>
              </w:rPr>
            </w:pPr>
          </w:p>
          <w:p w:rsidR="00560208" w:rsidRPr="00024895" w:rsidRDefault="00560208" w:rsidP="00085ABB">
            <w:pPr>
              <w:spacing w:before="40" w:after="40"/>
              <w:jc w:val="both"/>
              <w:rPr>
                <w:rFonts w:ascii="Arial Narrow" w:hAnsi="Arial Narrow" w:cs="Arial"/>
                <w:sz w:val="20"/>
                <w:szCs w:val="20"/>
              </w:rPr>
            </w:pP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The condition must not be adequately controlled by calcium</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AND</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Patient must have a serum phosphate of greater than 1.6 </w:t>
            </w:r>
            <w:proofErr w:type="spellStart"/>
            <w:r w:rsidRPr="00024895">
              <w:rPr>
                <w:rFonts w:ascii="Arial Narrow" w:hAnsi="Arial Narrow" w:cs="Arial"/>
                <w:sz w:val="20"/>
                <w:szCs w:val="20"/>
              </w:rPr>
              <w:t>mmol</w:t>
            </w:r>
            <w:proofErr w:type="spellEnd"/>
            <w:r w:rsidRPr="00024895">
              <w:rPr>
                <w:rFonts w:ascii="Arial Narrow" w:hAnsi="Arial Narrow" w:cs="Arial"/>
                <w:sz w:val="20"/>
                <w:szCs w:val="20"/>
              </w:rPr>
              <w:t xml:space="preserve"> per L at the commencement of therapy; OR</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The condition must be where a serum calcium times phosphate product is greater than 4 at the commencement of therapy,</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AND</w:t>
            </w: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The treatment must not be used in combination with any other non-calcium </w:t>
            </w:r>
            <w:proofErr w:type="gramStart"/>
            <w:r w:rsidRPr="00024895">
              <w:rPr>
                <w:rFonts w:ascii="Arial Narrow" w:hAnsi="Arial Narrow" w:cs="Arial"/>
                <w:sz w:val="20"/>
                <w:szCs w:val="20"/>
              </w:rPr>
              <w:t>phosphate binding</w:t>
            </w:r>
            <w:proofErr w:type="gramEnd"/>
            <w:r w:rsidRPr="00024895">
              <w:rPr>
                <w:rFonts w:ascii="Arial Narrow" w:hAnsi="Arial Narrow" w:cs="Arial"/>
                <w:sz w:val="20"/>
                <w:szCs w:val="20"/>
              </w:rPr>
              <w:t xml:space="preserve"> agents.</w:t>
            </w:r>
          </w:p>
        </w:tc>
      </w:tr>
      <w:tr w:rsidR="00560208" w:rsidRPr="00024895" w:rsidTr="00085ABB">
        <w:trPr>
          <w:cantSplit/>
          <w:trHeight w:val="360"/>
        </w:trPr>
        <w:tc>
          <w:tcPr>
            <w:tcW w:w="1069"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jc w:val="both"/>
              <w:rPr>
                <w:rFonts w:ascii="Arial Narrow" w:hAnsi="Arial Narrow" w:cs="Arial"/>
                <w:b/>
                <w:sz w:val="20"/>
                <w:szCs w:val="20"/>
              </w:rPr>
            </w:pPr>
            <w:r w:rsidRPr="00024895">
              <w:rPr>
                <w:rFonts w:ascii="Arial Narrow" w:hAnsi="Arial Narrow" w:cs="Arial"/>
                <w:b/>
                <w:sz w:val="20"/>
                <w:szCs w:val="20"/>
              </w:rPr>
              <w:t>Administrative Advice</w:t>
            </w:r>
          </w:p>
          <w:p w:rsidR="00560208" w:rsidRPr="00024895" w:rsidRDefault="00560208" w:rsidP="00182295">
            <w:pPr>
              <w:spacing w:before="40" w:after="40"/>
              <w:jc w:val="both"/>
              <w:rPr>
                <w:rFonts w:ascii="Arial Narrow" w:hAnsi="Arial Narrow" w:cs="Arial"/>
                <w:i/>
                <w:sz w:val="20"/>
                <w:szCs w:val="20"/>
              </w:rPr>
            </w:pPr>
          </w:p>
        </w:tc>
        <w:tc>
          <w:tcPr>
            <w:tcW w:w="3931" w:type="pct"/>
            <w:tcBorders>
              <w:top w:val="single" w:sz="4" w:space="0" w:color="auto"/>
              <w:left w:val="single" w:sz="4" w:space="0" w:color="auto"/>
              <w:bottom w:val="single" w:sz="4" w:space="0" w:color="auto"/>
              <w:right w:val="single" w:sz="4" w:space="0" w:color="auto"/>
            </w:tcBorders>
          </w:tcPr>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Shared Care Model: </w:t>
            </w:r>
          </w:p>
          <w:p w:rsidR="00560208" w:rsidRPr="00024895" w:rsidRDefault="00560208" w:rsidP="00085ABB">
            <w:pPr>
              <w:spacing w:before="40" w:after="40"/>
              <w:rPr>
                <w:rFonts w:ascii="Arial Narrow" w:hAnsi="Arial Narrow" w:cs="Arial"/>
                <w:sz w:val="20"/>
                <w:szCs w:val="20"/>
              </w:rPr>
            </w:pPr>
          </w:p>
          <w:p w:rsidR="00560208" w:rsidRPr="00024895" w:rsidRDefault="00560208" w:rsidP="00085ABB">
            <w:pPr>
              <w:spacing w:before="40" w:after="40"/>
              <w:rPr>
                <w:rFonts w:ascii="Arial Narrow" w:hAnsi="Arial Narrow" w:cs="Arial"/>
                <w:sz w:val="20"/>
                <w:szCs w:val="20"/>
              </w:rPr>
            </w:pPr>
            <w:r w:rsidRPr="00024895">
              <w:rPr>
                <w:rFonts w:ascii="Arial Narrow" w:hAnsi="Arial Narrow" w:cs="Arial"/>
                <w:sz w:val="20"/>
                <w:szCs w:val="20"/>
              </w:rPr>
              <w:t xml:space="preserve">For prescribing by nurse practitioners where care of a patient </w:t>
            </w:r>
            <w:proofErr w:type="gramStart"/>
            <w:r w:rsidRPr="00024895">
              <w:rPr>
                <w:rFonts w:ascii="Arial Narrow" w:hAnsi="Arial Narrow" w:cs="Arial"/>
                <w:sz w:val="20"/>
                <w:szCs w:val="20"/>
              </w:rPr>
              <w:t>is shared</w:t>
            </w:r>
            <w:proofErr w:type="gramEnd"/>
            <w:r w:rsidRPr="00024895">
              <w:rPr>
                <w:rFonts w:ascii="Arial Narrow" w:hAnsi="Arial Narrow" w:cs="Arial"/>
                <w:sz w:val="20"/>
                <w:szCs w:val="20"/>
              </w:rPr>
              <w:t xml:space="preserve"> between a nurse practitioner and medical practitioner in a formalised arrangement with an agreed management plan. Further information </w:t>
            </w:r>
            <w:proofErr w:type="gramStart"/>
            <w:r w:rsidRPr="00024895">
              <w:rPr>
                <w:rFonts w:ascii="Arial Narrow" w:hAnsi="Arial Narrow" w:cs="Arial"/>
                <w:sz w:val="20"/>
                <w:szCs w:val="20"/>
              </w:rPr>
              <w:t>can be found</w:t>
            </w:r>
            <w:proofErr w:type="gramEnd"/>
            <w:r w:rsidRPr="00024895">
              <w:rPr>
                <w:rFonts w:ascii="Arial Narrow" w:hAnsi="Arial Narrow" w:cs="Arial"/>
                <w:sz w:val="20"/>
                <w:szCs w:val="20"/>
              </w:rPr>
              <w:t xml:space="preserve"> in the Explanatory Notes for Nurse Practitioners.</w:t>
            </w:r>
          </w:p>
          <w:p w:rsidR="009F70FB" w:rsidRPr="00024895" w:rsidRDefault="009F70FB" w:rsidP="00085ABB">
            <w:pPr>
              <w:spacing w:before="40" w:after="40"/>
              <w:rPr>
                <w:rFonts w:ascii="Arial Narrow" w:hAnsi="Arial Narrow" w:cs="Arial"/>
                <w:sz w:val="20"/>
                <w:szCs w:val="20"/>
              </w:rPr>
            </w:pPr>
          </w:p>
          <w:p w:rsidR="009F70FB" w:rsidRPr="0089214F" w:rsidRDefault="009145E8" w:rsidP="009F70FB">
            <w:pPr>
              <w:spacing w:before="40" w:after="40"/>
              <w:rPr>
                <w:rFonts w:ascii="Arial Narrow" w:hAnsi="Arial Narrow" w:cs="Arial"/>
                <w:sz w:val="20"/>
                <w:szCs w:val="20"/>
              </w:rPr>
            </w:pPr>
            <w:r w:rsidRPr="0089214F">
              <w:rPr>
                <w:rFonts w:ascii="Arial Narrow" w:hAnsi="Arial Narrow" w:cs="Arial"/>
                <w:sz w:val="20"/>
                <w:szCs w:val="20"/>
              </w:rPr>
              <w:t xml:space="preserve">Pharmaceutical benefits that have the forms </w:t>
            </w:r>
            <w:proofErr w:type="spellStart"/>
            <w:r w:rsidRPr="0089214F">
              <w:rPr>
                <w:rFonts w:ascii="Arial Narrow" w:hAnsi="Arial Narrow" w:cs="Arial"/>
                <w:sz w:val="20"/>
                <w:szCs w:val="20"/>
              </w:rPr>
              <w:t>sevelamer</w:t>
            </w:r>
            <w:proofErr w:type="spellEnd"/>
            <w:r w:rsidRPr="0089214F">
              <w:rPr>
                <w:rFonts w:ascii="Arial Narrow" w:hAnsi="Arial Narrow" w:cs="Arial"/>
                <w:sz w:val="20"/>
                <w:szCs w:val="20"/>
              </w:rPr>
              <w:t xml:space="preserve"> hydrochloride 800 mg  and </w:t>
            </w:r>
            <w:proofErr w:type="spellStart"/>
            <w:r w:rsidRPr="0089214F">
              <w:rPr>
                <w:rFonts w:ascii="Arial Narrow" w:hAnsi="Arial Narrow" w:cs="Arial"/>
                <w:sz w:val="20"/>
                <w:szCs w:val="20"/>
              </w:rPr>
              <w:t>sevelamer</w:t>
            </w:r>
            <w:proofErr w:type="spellEnd"/>
            <w:r w:rsidRPr="0089214F">
              <w:rPr>
                <w:rFonts w:ascii="Arial Narrow" w:hAnsi="Arial Narrow" w:cs="Arial"/>
                <w:sz w:val="20"/>
                <w:szCs w:val="20"/>
              </w:rPr>
              <w:t xml:space="preserve"> carbonate 800 mg tablet are equivalent for the purposes of substitution</w:t>
            </w:r>
          </w:p>
        </w:tc>
      </w:tr>
    </w:tbl>
    <w:p w:rsidR="00560208" w:rsidRPr="00024895" w:rsidRDefault="00560208" w:rsidP="00F64CC1">
      <w:pPr>
        <w:jc w:val="both"/>
        <w:rPr>
          <w:rFonts w:asciiTheme="minorHAnsi" w:hAnsiTheme="minorHAnsi"/>
          <w:sz w:val="22"/>
          <w:szCs w:val="22"/>
        </w:rPr>
      </w:pPr>
    </w:p>
    <w:p w:rsidR="008E6432" w:rsidRPr="008E6432" w:rsidRDefault="008E6432"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E6432">
        <w:rPr>
          <w:rFonts w:asciiTheme="minorHAnsi" w:hAnsiTheme="minorHAnsi"/>
          <w:sz w:val="32"/>
          <w:szCs w:val="32"/>
        </w:rPr>
        <w:lastRenderedPageBreak/>
        <w:t>Context for Decision</w:t>
      </w:r>
    </w:p>
    <w:p w:rsidR="008E6432" w:rsidRPr="008E6432" w:rsidRDefault="008E6432" w:rsidP="000E5444">
      <w:pPr>
        <w:spacing w:before="120" w:after="120"/>
        <w:ind w:left="709"/>
        <w:jc w:val="both"/>
        <w:rPr>
          <w:rFonts w:asciiTheme="minorHAnsi" w:eastAsiaTheme="minorHAnsi" w:hAnsiTheme="minorHAnsi" w:cs="Arial"/>
          <w:szCs w:val="22"/>
          <w:lang w:eastAsia="en-US"/>
        </w:rPr>
      </w:pPr>
      <w:r w:rsidRPr="008E6432">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D6C25" w:rsidRPr="00CD6C25" w:rsidRDefault="008E6432" w:rsidP="000E5444">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8E6432">
        <w:rPr>
          <w:rFonts w:asciiTheme="minorHAnsi" w:hAnsiTheme="minorHAnsi"/>
          <w:sz w:val="32"/>
          <w:szCs w:val="32"/>
        </w:rPr>
        <w:t>Spons</w:t>
      </w:r>
      <w:bookmarkStart w:id="2" w:name="_GoBack"/>
      <w:bookmarkEnd w:id="2"/>
      <w:r w:rsidRPr="008E6432">
        <w:rPr>
          <w:rFonts w:asciiTheme="minorHAnsi" w:hAnsiTheme="minorHAnsi"/>
          <w:sz w:val="32"/>
          <w:szCs w:val="32"/>
        </w:rPr>
        <w:t>or’s Comment</w:t>
      </w:r>
    </w:p>
    <w:p w:rsidR="008E6432" w:rsidRPr="008E6432" w:rsidRDefault="008E6432" w:rsidP="000E5444">
      <w:pPr>
        <w:spacing w:before="120" w:after="120"/>
        <w:ind w:left="709"/>
        <w:jc w:val="both"/>
        <w:rPr>
          <w:rFonts w:asciiTheme="minorHAnsi" w:eastAsiaTheme="minorHAnsi" w:hAnsiTheme="minorHAnsi" w:cs="Arial"/>
          <w:bCs/>
          <w:szCs w:val="22"/>
          <w:lang w:eastAsia="en-US"/>
        </w:rPr>
      </w:pPr>
      <w:r w:rsidRPr="008E6432">
        <w:rPr>
          <w:rFonts w:asciiTheme="minorHAnsi" w:eastAsiaTheme="minorHAnsi" w:hAnsiTheme="minorHAnsi" w:cs="Arial"/>
          <w:bCs/>
          <w:szCs w:val="22"/>
          <w:lang w:eastAsia="en-US"/>
        </w:rPr>
        <w:t>The sponsor had no comment.</w:t>
      </w:r>
    </w:p>
    <w:p w:rsidR="006E1D7F" w:rsidRPr="0089214F" w:rsidRDefault="006E1D7F" w:rsidP="006E1D7F">
      <w:pPr>
        <w:pStyle w:val="NoSpacing"/>
      </w:pPr>
    </w:p>
    <w:p w:rsidR="006E1D7F" w:rsidRPr="00024895" w:rsidRDefault="006E1D7F" w:rsidP="00F64CC1">
      <w:pPr>
        <w:jc w:val="both"/>
        <w:rPr>
          <w:rFonts w:asciiTheme="minorHAnsi" w:hAnsiTheme="minorHAnsi"/>
          <w:sz w:val="22"/>
          <w:szCs w:val="22"/>
        </w:rPr>
      </w:pPr>
    </w:p>
    <w:sectPr w:rsidR="006E1D7F" w:rsidRPr="00024895" w:rsidSect="00A832D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948" w:rsidRDefault="00755948">
      <w:r>
        <w:separator/>
      </w:r>
    </w:p>
    <w:p w:rsidR="00755948" w:rsidRDefault="00755948"/>
  </w:endnote>
  <w:endnote w:type="continuationSeparator" w:id="0">
    <w:p w:rsidR="00755948" w:rsidRDefault="00755948">
      <w:r>
        <w:continuationSeparator/>
      </w:r>
    </w:p>
    <w:p w:rsidR="00755948" w:rsidRDefault="00755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416362"/>
      <w:docPartObj>
        <w:docPartGallery w:val="Page Numbers (Bottom of Page)"/>
        <w:docPartUnique/>
      </w:docPartObj>
    </w:sdtPr>
    <w:sdtEndPr>
      <w:rPr>
        <w:rFonts w:asciiTheme="minorHAnsi" w:hAnsiTheme="minorHAnsi" w:cstheme="minorHAnsi"/>
        <w:b/>
        <w:noProof/>
      </w:rPr>
    </w:sdtEndPr>
    <w:sdtContent>
      <w:p w:rsidR="00F80475" w:rsidRPr="0076076D" w:rsidRDefault="0075361C" w:rsidP="0076076D">
        <w:pPr>
          <w:pStyle w:val="Footer"/>
          <w:jc w:val="center"/>
          <w:rPr>
            <w:rFonts w:asciiTheme="minorHAnsi" w:hAnsiTheme="minorHAnsi" w:cstheme="minorHAnsi"/>
            <w:b/>
          </w:rPr>
        </w:pPr>
        <w:r w:rsidRPr="0076076D">
          <w:rPr>
            <w:rFonts w:asciiTheme="minorHAnsi" w:hAnsiTheme="minorHAnsi" w:cstheme="minorHAnsi"/>
            <w:b/>
          </w:rPr>
          <w:fldChar w:fldCharType="begin"/>
        </w:r>
        <w:r w:rsidRPr="0076076D">
          <w:rPr>
            <w:rFonts w:asciiTheme="minorHAnsi" w:hAnsiTheme="minorHAnsi" w:cstheme="minorHAnsi"/>
            <w:b/>
          </w:rPr>
          <w:instrText xml:space="preserve"> PAGE   \* MERGEFORMAT </w:instrText>
        </w:r>
        <w:r w:rsidRPr="0076076D">
          <w:rPr>
            <w:rFonts w:asciiTheme="minorHAnsi" w:hAnsiTheme="minorHAnsi" w:cstheme="minorHAnsi"/>
            <w:b/>
          </w:rPr>
          <w:fldChar w:fldCharType="separate"/>
        </w:r>
        <w:r w:rsidR="003C3CE5">
          <w:rPr>
            <w:rFonts w:asciiTheme="minorHAnsi" w:hAnsiTheme="minorHAnsi" w:cstheme="minorHAnsi"/>
            <w:b/>
            <w:noProof/>
          </w:rPr>
          <w:t>6</w:t>
        </w:r>
        <w:r w:rsidRPr="0076076D">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948" w:rsidRDefault="00755948">
      <w:r>
        <w:separator/>
      </w:r>
    </w:p>
    <w:p w:rsidR="00755948" w:rsidRDefault="00755948"/>
  </w:footnote>
  <w:footnote w:type="continuationSeparator" w:id="0">
    <w:p w:rsidR="00755948" w:rsidRDefault="00755948">
      <w:r>
        <w:continuationSeparator/>
      </w:r>
    </w:p>
    <w:p w:rsidR="00755948" w:rsidRDefault="00755948"/>
  </w:footnote>
  <w:footnote w:id="1">
    <w:p w:rsidR="00277735" w:rsidRPr="00ED4F10" w:rsidRDefault="00277735" w:rsidP="00277735">
      <w:pPr>
        <w:pStyle w:val="FootnoteText"/>
        <w:rPr>
          <w:rFonts w:asciiTheme="minorHAnsi" w:hAnsiTheme="minorHAnsi" w:cstheme="minorHAnsi"/>
        </w:rPr>
      </w:pPr>
      <w:r w:rsidRPr="00ED4F10">
        <w:rPr>
          <w:rStyle w:val="FootnoteReference"/>
          <w:rFonts w:asciiTheme="minorHAnsi" w:hAnsiTheme="minorHAnsi" w:cstheme="minorHAnsi"/>
        </w:rPr>
        <w:footnoteRef/>
      </w:r>
      <w:r w:rsidRPr="00ED4F10">
        <w:rPr>
          <w:rFonts w:asciiTheme="minorHAnsi" w:hAnsiTheme="minorHAnsi" w:cstheme="minorHAnsi"/>
        </w:rPr>
        <w:t xml:space="preserve"> Therapeutic Goods Administration, </w:t>
      </w:r>
      <w:proofErr w:type="spellStart"/>
      <w:r w:rsidRPr="00ED4F10">
        <w:rPr>
          <w:rFonts w:asciiTheme="minorHAnsi" w:hAnsiTheme="minorHAnsi" w:cstheme="minorHAnsi"/>
        </w:rPr>
        <w:t>AusPAR</w:t>
      </w:r>
      <w:proofErr w:type="spellEnd"/>
      <w:r w:rsidRPr="00ED4F10">
        <w:rPr>
          <w:rFonts w:asciiTheme="minorHAnsi" w:hAnsiTheme="minorHAnsi" w:cstheme="minorHAnsi"/>
        </w:rPr>
        <w:t xml:space="preserve"> </w:t>
      </w:r>
      <w:proofErr w:type="spellStart"/>
      <w:r w:rsidRPr="00ED4F10">
        <w:rPr>
          <w:rFonts w:asciiTheme="minorHAnsi" w:hAnsiTheme="minorHAnsi" w:cstheme="minorHAnsi"/>
        </w:rPr>
        <w:t>Renvela</w:t>
      </w:r>
      <w:proofErr w:type="spellEnd"/>
      <w:r w:rsidRPr="00ED4F10">
        <w:rPr>
          <w:rFonts w:asciiTheme="minorHAnsi" w:hAnsiTheme="minorHAnsi" w:cstheme="minorHAnsi"/>
        </w:rPr>
        <w:t xml:space="preserve"> / </w:t>
      </w:r>
      <w:proofErr w:type="spellStart"/>
      <w:r w:rsidRPr="00ED4F10">
        <w:rPr>
          <w:rFonts w:asciiTheme="minorHAnsi" w:hAnsiTheme="minorHAnsi" w:cstheme="minorHAnsi"/>
        </w:rPr>
        <w:t>Sevelamer</w:t>
      </w:r>
      <w:proofErr w:type="spellEnd"/>
      <w:r w:rsidRPr="00ED4F10">
        <w:rPr>
          <w:rFonts w:asciiTheme="minorHAnsi" w:hAnsiTheme="minorHAnsi" w:cstheme="minorHAnsi"/>
        </w:rPr>
        <w:t xml:space="preserve"> Carbonate Winthrop/ </w:t>
      </w:r>
      <w:proofErr w:type="spellStart"/>
      <w:r w:rsidRPr="00ED4F10">
        <w:rPr>
          <w:rFonts w:asciiTheme="minorHAnsi" w:hAnsiTheme="minorHAnsi" w:cstheme="minorHAnsi"/>
        </w:rPr>
        <w:t>Sevelamer</w:t>
      </w:r>
      <w:proofErr w:type="spellEnd"/>
      <w:r w:rsidRPr="00ED4F10">
        <w:rPr>
          <w:rFonts w:asciiTheme="minorHAnsi" w:hAnsiTheme="minorHAnsi" w:cstheme="minorHAnsi"/>
        </w:rPr>
        <w:t xml:space="preserve"> carbonate Sanofi, Sanofi Aventis Australia Pty Ltd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32" w:rsidRPr="008E6432" w:rsidRDefault="008E6432" w:rsidP="008E6432">
    <w:pPr>
      <w:tabs>
        <w:tab w:val="center" w:pos="4513"/>
        <w:tab w:val="right" w:pos="9026"/>
      </w:tabs>
      <w:jc w:val="center"/>
      <w:rPr>
        <w:rFonts w:asciiTheme="minorHAnsi" w:eastAsiaTheme="minorHAnsi" w:hAnsiTheme="minorHAnsi" w:cstheme="minorHAnsi"/>
        <w:i/>
        <w:color w:val="808080"/>
        <w:szCs w:val="22"/>
        <w:lang w:eastAsia="en-US"/>
      </w:rPr>
    </w:pPr>
    <w:r w:rsidRPr="008E6432">
      <w:rPr>
        <w:rFonts w:asciiTheme="minorHAnsi" w:eastAsiaTheme="minorHAnsi" w:hAnsiTheme="minorHAnsi" w:cstheme="minorHAnsi"/>
        <w:i/>
        <w:color w:val="808080"/>
        <w:szCs w:val="22"/>
        <w:lang w:eastAsia="en-US"/>
      </w:rPr>
      <w:t>Publ</w:t>
    </w:r>
    <w:r>
      <w:rPr>
        <w:rFonts w:asciiTheme="minorHAnsi" w:eastAsiaTheme="minorHAnsi" w:hAnsiTheme="minorHAnsi" w:cstheme="minorHAnsi"/>
        <w:i/>
        <w:color w:val="808080"/>
        <w:szCs w:val="22"/>
        <w:lang w:eastAsia="en-US"/>
      </w:rPr>
      <w:t>ic Summary Document – March 2019</w:t>
    </w:r>
    <w:r w:rsidRPr="008E6432">
      <w:rPr>
        <w:rFonts w:asciiTheme="minorHAnsi" w:eastAsiaTheme="minorHAnsi" w:hAnsiTheme="minorHAnsi" w:cstheme="minorHAnsi"/>
        <w:i/>
        <w:color w:val="808080"/>
        <w:szCs w:val="22"/>
        <w:lang w:eastAsia="en-US"/>
      </w:rPr>
      <w:t xml:space="preserve">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948" w:rsidRDefault="007559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784D033C"/>
    <w:multiLevelType w:val="multilevel"/>
    <w:tmpl w:val="9FB6751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4"/>
  </w:num>
  <w:num w:numId="4">
    <w:abstractNumId w:val="11"/>
  </w:num>
  <w:num w:numId="5">
    <w:abstractNumId w:val="13"/>
  </w:num>
  <w:num w:numId="6">
    <w:abstractNumId w:val="5"/>
  </w:num>
  <w:num w:numId="7">
    <w:abstractNumId w:val="10"/>
  </w:num>
  <w:num w:numId="8">
    <w:abstractNumId w:val="3"/>
  </w:num>
  <w:num w:numId="9">
    <w:abstractNumId w:val="9"/>
  </w:num>
  <w:num w:numId="10">
    <w:abstractNumId w:val="8"/>
  </w:num>
  <w:num w:numId="11">
    <w:abstractNumId w:val="7"/>
  </w:num>
  <w:num w:numId="12">
    <w:abstractNumId w:val="1"/>
  </w:num>
  <w:num w:numId="13">
    <w:abstractNumId w:val="0"/>
  </w:num>
  <w:num w:numId="14">
    <w:abstractNumId w:val="13"/>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16CA"/>
    <w:rsid w:val="000025AD"/>
    <w:rsid w:val="0000335D"/>
    <w:rsid w:val="00007F5D"/>
    <w:rsid w:val="000175C7"/>
    <w:rsid w:val="0002464A"/>
    <w:rsid w:val="00024895"/>
    <w:rsid w:val="0003106B"/>
    <w:rsid w:val="000421A1"/>
    <w:rsid w:val="00042254"/>
    <w:rsid w:val="0004240E"/>
    <w:rsid w:val="00045E26"/>
    <w:rsid w:val="0004675C"/>
    <w:rsid w:val="000514B5"/>
    <w:rsid w:val="000576AB"/>
    <w:rsid w:val="00060E64"/>
    <w:rsid w:val="00066755"/>
    <w:rsid w:val="00070CB2"/>
    <w:rsid w:val="00077143"/>
    <w:rsid w:val="00081869"/>
    <w:rsid w:val="00082169"/>
    <w:rsid w:val="000969AD"/>
    <w:rsid w:val="000B1A00"/>
    <w:rsid w:val="000B558D"/>
    <w:rsid w:val="000C6996"/>
    <w:rsid w:val="000C760B"/>
    <w:rsid w:val="000D23BA"/>
    <w:rsid w:val="000D4FA2"/>
    <w:rsid w:val="000E5444"/>
    <w:rsid w:val="000E681E"/>
    <w:rsid w:val="000F0003"/>
    <w:rsid w:val="000F4E6A"/>
    <w:rsid w:val="000F76C3"/>
    <w:rsid w:val="00104227"/>
    <w:rsid w:val="001107BF"/>
    <w:rsid w:val="00111C81"/>
    <w:rsid w:val="00115B0F"/>
    <w:rsid w:val="0012417C"/>
    <w:rsid w:val="00142395"/>
    <w:rsid w:val="00142714"/>
    <w:rsid w:val="001452ED"/>
    <w:rsid w:val="00145A57"/>
    <w:rsid w:val="00153773"/>
    <w:rsid w:val="00157A33"/>
    <w:rsid w:val="00163329"/>
    <w:rsid w:val="00164623"/>
    <w:rsid w:val="00165B64"/>
    <w:rsid w:val="00167602"/>
    <w:rsid w:val="0017568F"/>
    <w:rsid w:val="00180713"/>
    <w:rsid w:val="00182295"/>
    <w:rsid w:val="001830CE"/>
    <w:rsid w:val="0018643B"/>
    <w:rsid w:val="00192B80"/>
    <w:rsid w:val="00196307"/>
    <w:rsid w:val="001A33D8"/>
    <w:rsid w:val="001A33EA"/>
    <w:rsid w:val="001A6681"/>
    <w:rsid w:val="001B017F"/>
    <w:rsid w:val="001B1DA2"/>
    <w:rsid w:val="001B2BBC"/>
    <w:rsid w:val="001B5129"/>
    <w:rsid w:val="001C1195"/>
    <w:rsid w:val="001D56BE"/>
    <w:rsid w:val="001F1850"/>
    <w:rsid w:val="001F1C18"/>
    <w:rsid w:val="00203FAC"/>
    <w:rsid w:val="00213CFB"/>
    <w:rsid w:val="00217A8A"/>
    <w:rsid w:val="00217BE1"/>
    <w:rsid w:val="00234612"/>
    <w:rsid w:val="002350E1"/>
    <w:rsid w:val="00270219"/>
    <w:rsid w:val="00271BA1"/>
    <w:rsid w:val="002762FA"/>
    <w:rsid w:val="00277505"/>
    <w:rsid w:val="00277735"/>
    <w:rsid w:val="00283D38"/>
    <w:rsid w:val="0029458F"/>
    <w:rsid w:val="002A104C"/>
    <w:rsid w:val="002A4960"/>
    <w:rsid w:val="002B18FA"/>
    <w:rsid w:val="002B1AE6"/>
    <w:rsid w:val="002B2DE8"/>
    <w:rsid w:val="002B30F8"/>
    <w:rsid w:val="002B5596"/>
    <w:rsid w:val="002C212F"/>
    <w:rsid w:val="002D4543"/>
    <w:rsid w:val="002E3153"/>
    <w:rsid w:val="002E72CA"/>
    <w:rsid w:val="002E78DB"/>
    <w:rsid w:val="002F1727"/>
    <w:rsid w:val="002F600D"/>
    <w:rsid w:val="00300AD6"/>
    <w:rsid w:val="0031477E"/>
    <w:rsid w:val="00317C6C"/>
    <w:rsid w:val="00322572"/>
    <w:rsid w:val="00326E79"/>
    <w:rsid w:val="0033518A"/>
    <w:rsid w:val="003367EF"/>
    <w:rsid w:val="00341AE4"/>
    <w:rsid w:val="00366F4A"/>
    <w:rsid w:val="003711D7"/>
    <w:rsid w:val="003872CF"/>
    <w:rsid w:val="0039782C"/>
    <w:rsid w:val="003A2BA4"/>
    <w:rsid w:val="003A5B4A"/>
    <w:rsid w:val="003B23C5"/>
    <w:rsid w:val="003B2A75"/>
    <w:rsid w:val="003B6124"/>
    <w:rsid w:val="003C2FB5"/>
    <w:rsid w:val="003C3CE5"/>
    <w:rsid w:val="003D4AC4"/>
    <w:rsid w:val="003D63B7"/>
    <w:rsid w:val="003E468B"/>
    <w:rsid w:val="003F0629"/>
    <w:rsid w:val="003F2FB3"/>
    <w:rsid w:val="003F3228"/>
    <w:rsid w:val="003F54FB"/>
    <w:rsid w:val="003F5C8C"/>
    <w:rsid w:val="003F733F"/>
    <w:rsid w:val="00401C02"/>
    <w:rsid w:val="004146E1"/>
    <w:rsid w:val="004252EC"/>
    <w:rsid w:val="00425A88"/>
    <w:rsid w:val="00433875"/>
    <w:rsid w:val="0043416F"/>
    <w:rsid w:val="004445DA"/>
    <w:rsid w:val="004465BD"/>
    <w:rsid w:val="004502DD"/>
    <w:rsid w:val="004575C1"/>
    <w:rsid w:val="00466ADA"/>
    <w:rsid w:val="00470130"/>
    <w:rsid w:val="004704D3"/>
    <w:rsid w:val="00476245"/>
    <w:rsid w:val="00482E8A"/>
    <w:rsid w:val="00483035"/>
    <w:rsid w:val="00485940"/>
    <w:rsid w:val="004A1DC5"/>
    <w:rsid w:val="004A1EB7"/>
    <w:rsid w:val="004A2484"/>
    <w:rsid w:val="004A3E48"/>
    <w:rsid w:val="004A5A85"/>
    <w:rsid w:val="004A71D1"/>
    <w:rsid w:val="004B5640"/>
    <w:rsid w:val="004B5F33"/>
    <w:rsid w:val="004C1BD7"/>
    <w:rsid w:val="004C31FE"/>
    <w:rsid w:val="004C691D"/>
    <w:rsid w:val="004C6C07"/>
    <w:rsid w:val="004D5D26"/>
    <w:rsid w:val="004E6688"/>
    <w:rsid w:val="004E692D"/>
    <w:rsid w:val="0050011A"/>
    <w:rsid w:val="005005E6"/>
    <w:rsid w:val="00501554"/>
    <w:rsid w:val="00505790"/>
    <w:rsid w:val="0050706D"/>
    <w:rsid w:val="00510254"/>
    <w:rsid w:val="005148D0"/>
    <w:rsid w:val="00514CD7"/>
    <w:rsid w:val="005267EA"/>
    <w:rsid w:val="005319B2"/>
    <w:rsid w:val="00532402"/>
    <w:rsid w:val="00532C74"/>
    <w:rsid w:val="005349F3"/>
    <w:rsid w:val="00534E2E"/>
    <w:rsid w:val="00544552"/>
    <w:rsid w:val="00550480"/>
    <w:rsid w:val="00560208"/>
    <w:rsid w:val="00562532"/>
    <w:rsid w:val="005678B0"/>
    <w:rsid w:val="00576151"/>
    <w:rsid w:val="00577C4D"/>
    <w:rsid w:val="00581932"/>
    <w:rsid w:val="00581BE4"/>
    <w:rsid w:val="005963BB"/>
    <w:rsid w:val="005A3173"/>
    <w:rsid w:val="005A3223"/>
    <w:rsid w:val="005A3308"/>
    <w:rsid w:val="005A3DA3"/>
    <w:rsid w:val="005A52C4"/>
    <w:rsid w:val="005B61E7"/>
    <w:rsid w:val="005D03AB"/>
    <w:rsid w:val="005D2B51"/>
    <w:rsid w:val="005D5017"/>
    <w:rsid w:val="005D6CB9"/>
    <w:rsid w:val="005E1333"/>
    <w:rsid w:val="00601A91"/>
    <w:rsid w:val="00602BA3"/>
    <w:rsid w:val="00606174"/>
    <w:rsid w:val="00606EED"/>
    <w:rsid w:val="00612E34"/>
    <w:rsid w:val="00614159"/>
    <w:rsid w:val="00617C00"/>
    <w:rsid w:val="006263BF"/>
    <w:rsid w:val="0062748A"/>
    <w:rsid w:val="006309F9"/>
    <w:rsid w:val="00630A2C"/>
    <w:rsid w:val="0063682E"/>
    <w:rsid w:val="006436CD"/>
    <w:rsid w:val="0064663B"/>
    <w:rsid w:val="00646E6B"/>
    <w:rsid w:val="006507AD"/>
    <w:rsid w:val="00650AF3"/>
    <w:rsid w:val="00651169"/>
    <w:rsid w:val="0065199D"/>
    <w:rsid w:val="00653D69"/>
    <w:rsid w:val="00653EAC"/>
    <w:rsid w:val="006670BE"/>
    <w:rsid w:val="00670A76"/>
    <w:rsid w:val="006711AA"/>
    <w:rsid w:val="00672B57"/>
    <w:rsid w:val="006747F7"/>
    <w:rsid w:val="00675622"/>
    <w:rsid w:val="0067747D"/>
    <w:rsid w:val="006906DB"/>
    <w:rsid w:val="00691E6C"/>
    <w:rsid w:val="00696129"/>
    <w:rsid w:val="00697CF2"/>
    <w:rsid w:val="006A12A5"/>
    <w:rsid w:val="006B0D94"/>
    <w:rsid w:val="006B485D"/>
    <w:rsid w:val="006B6CFA"/>
    <w:rsid w:val="006C0191"/>
    <w:rsid w:val="006C708E"/>
    <w:rsid w:val="006D14E7"/>
    <w:rsid w:val="006D2BBD"/>
    <w:rsid w:val="006D6227"/>
    <w:rsid w:val="006D6493"/>
    <w:rsid w:val="006D6EC7"/>
    <w:rsid w:val="006E1D7F"/>
    <w:rsid w:val="006F5125"/>
    <w:rsid w:val="006F599B"/>
    <w:rsid w:val="00702B6F"/>
    <w:rsid w:val="0071340B"/>
    <w:rsid w:val="007174BB"/>
    <w:rsid w:val="0072025D"/>
    <w:rsid w:val="007342E4"/>
    <w:rsid w:val="007353D3"/>
    <w:rsid w:val="0075361C"/>
    <w:rsid w:val="00755948"/>
    <w:rsid w:val="0076076D"/>
    <w:rsid w:val="0076420C"/>
    <w:rsid w:val="00765AAB"/>
    <w:rsid w:val="007753C2"/>
    <w:rsid w:val="007838B8"/>
    <w:rsid w:val="007A0CD6"/>
    <w:rsid w:val="007A40B9"/>
    <w:rsid w:val="007C0F57"/>
    <w:rsid w:val="007C40B6"/>
    <w:rsid w:val="007C729F"/>
    <w:rsid w:val="007D2A59"/>
    <w:rsid w:val="007E1D28"/>
    <w:rsid w:val="007F2641"/>
    <w:rsid w:val="007F3347"/>
    <w:rsid w:val="007F7C36"/>
    <w:rsid w:val="00800BC3"/>
    <w:rsid w:val="00801C93"/>
    <w:rsid w:val="00806796"/>
    <w:rsid w:val="0081518D"/>
    <w:rsid w:val="008151D6"/>
    <w:rsid w:val="00820DED"/>
    <w:rsid w:val="00826F6D"/>
    <w:rsid w:val="008306F3"/>
    <w:rsid w:val="0084198B"/>
    <w:rsid w:val="00852584"/>
    <w:rsid w:val="00856DDD"/>
    <w:rsid w:val="00863E68"/>
    <w:rsid w:val="00882085"/>
    <w:rsid w:val="00883188"/>
    <w:rsid w:val="0089214F"/>
    <w:rsid w:val="00897D58"/>
    <w:rsid w:val="00897F22"/>
    <w:rsid w:val="008A1956"/>
    <w:rsid w:val="008A4937"/>
    <w:rsid w:val="008A5058"/>
    <w:rsid w:val="008A50F1"/>
    <w:rsid w:val="008A5DF6"/>
    <w:rsid w:val="008D1B5C"/>
    <w:rsid w:val="008D3C82"/>
    <w:rsid w:val="008D426F"/>
    <w:rsid w:val="008D447E"/>
    <w:rsid w:val="008D7A41"/>
    <w:rsid w:val="008E3680"/>
    <w:rsid w:val="008E5870"/>
    <w:rsid w:val="008E5A02"/>
    <w:rsid w:val="008E6432"/>
    <w:rsid w:val="008F1434"/>
    <w:rsid w:val="008F7355"/>
    <w:rsid w:val="009004F2"/>
    <w:rsid w:val="009067B7"/>
    <w:rsid w:val="009145E8"/>
    <w:rsid w:val="00930937"/>
    <w:rsid w:val="009314CD"/>
    <w:rsid w:val="0093202C"/>
    <w:rsid w:val="00933E6C"/>
    <w:rsid w:val="00937958"/>
    <w:rsid w:val="00942160"/>
    <w:rsid w:val="00950A56"/>
    <w:rsid w:val="0095146F"/>
    <w:rsid w:val="009602C5"/>
    <w:rsid w:val="00962223"/>
    <w:rsid w:val="00966D0D"/>
    <w:rsid w:val="00974C21"/>
    <w:rsid w:val="009A1D63"/>
    <w:rsid w:val="009A3805"/>
    <w:rsid w:val="009A6E98"/>
    <w:rsid w:val="009B0F67"/>
    <w:rsid w:val="009C703C"/>
    <w:rsid w:val="009D3CAA"/>
    <w:rsid w:val="009D3D52"/>
    <w:rsid w:val="009E0B24"/>
    <w:rsid w:val="009E40E1"/>
    <w:rsid w:val="009E70C8"/>
    <w:rsid w:val="009F4E46"/>
    <w:rsid w:val="009F5B65"/>
    <w:rsid w:val="009F5F2E"/>
    <w:rsid w:val="009F70FB"/>
    <w:rsid w:val="00A00728"/>
    <w:rsid w:val="00A06225"/>
    <w:rsid w:val="00A063EE"/>
    <w:rsid w:val="00A128E6"/>
    <w:rsid w:val="00A34E6C"/>
    <w:rsid w:val="00A37C8D"/>
    <w:rsid w:val="00A46750"/>
    <w:rsid w:val="00A5273B"/>
    <w:rsid w:val="00A53A9D"/>
    <w:rsid w:val="00A55FEE"/>
    <w:rsid w:val="00A62C1A"/>
    <w:rsid w:val="00A6426D"/>
    <w:rsid w:val="00A665C1"/>
    <w:rsid w:val="00A70622"/>
    <w:rsid w:val="00A70977"/>
    <w:rsid w:val="00A77613"/>
    <w:rsid w:val="00A832DB"/>
    <w:rsid w:val="00A8390C"/>
    <w:rsid w:val="00A928BD"/>
    <w:rsid w:val="00AA4D1C"/>
    <w:rsid w:val="00AC138E"/>
    <w:rsid w:val="00AC193C"/>
    <w:rsid w:val="00AC5206"/>
    <w:rsid w:val="00AD4E15"/>
    <w:rsid w:val="00AE11A5"/>
    <w:rsid w:val="00AE13E2"/>
    <w:rsid w:val="00AE22D3"/>
    <w:rsid w:val="00AF0B74"/>
    <w:rsid w:val="00AF4B16"/>
    <w:rsid w:val="00AF62DF"/>
    <w:rsid w:val="00AF68CC"/>
    <w:rsid w:val="00B1059E"/>
    <w:rsid w:val="00B176C8"/>
    <w:rsid w:val="00B205AA"/>
    <w:rsid w:val="00B22E84"/>
    <w:rsid w:val="00B25F75"/>
    <w:rsid w:val="00B26B3F"/>
    <w:rsid w:val="00B31B72"/>
    <w:rsid w:val="00B43E90"/>
    <w:rsid w:val="00B467DC"/>
    <w:rsid w:val="00B50F84"/>
    <w:rsid w:val="00B56118"/>
    <w:rsid w:val="00B571F1"/>
    <w:rsid w:val="00B62AC3"/>
    <w:rsid w:val="00B6773F"/>
    <w:rsid w:val="00B801BA"/>
    <w:rsid w:val="00B84D5C"/>
    <w:rsid w:val="00BA13F1"/>
    <w:rsid w:val="00BB69F5"/>
    <w:rsid w:val="00BB7EC3"/>
    <w:rsid w:val="00BC4B9A"/>
    <w:rsid w:val="00BD1FB9"/>
    <w:rsid w:val="00BD2995"/>
    <w:rsid w:val="00BD5A62"/>
    <w:rsid w:val="00BD784C"/>
    <w:rsid w:val="00BF0508"/>
    <w:rsid w:val="00BF2CDD"/>
    <w:rsid w:val="00BF4CB6"/>
    <w:rsid w:val="00C00DA7"/>
    <w:rsid w:val="00C1096D"/>
    <w:rsid w:val="00C12768"/>
    <w:rsid w:val="00C15A36"/>
    <w:rsid w:val="00C26CE2"/>
    <w:rsid w:val="00C2741B"/>
    <w:rsid w:val="00C27B58"/>
    <w:rsid w:val="00C34322"/>
    <w:rsid w:val="00C35996"/>
    <w:rsid w:val="00C4632D"/>
    <w:rsid w:val="00C4747E"/>
    <w:rsid w:val="00C5342C"/>
    <w:rsid w:val="00C53ED3"/>
    <w:rsid w:val="00C603D4"/>
    <w:rsid w:val="00C6256A"/>
    <w:rsid w:val="00C646D7"/>
    <w:rsid w:val="00C7247F"/>
    <w:rsid w:val="00C77891"/>
    <w:rsid w:val="00C91449"/>
    <w:rsid w:val="00C92D10"/>
    <w:rsid w:val="00CB1C8F"/>
    <w:rsid w:val="00CB244A"/>
    <w:rsid w:val="00CD6C25"/>
    <w:rsid w:val="00CE10C4"/>
    <w:rsid w:val="00CE27B5"/>
    <w:rsid w:val="00CE6EB4"/>
    <w:rsid w:val="00CF3222"/>
    <w:rsid w:val="00D0321E"/>
    <w:rsid w:val="00D05609"/>
    <w:rsid w:val="00D0639F"/>
    <w:rsid w:val="00D1455A"/>
    <w:rsid w:val="00D31150"/>
    <w:rsid w:val="00D3138B"/>
    <w:rsid w:val="00D3280C"/>
    <w:rsid w:val="00D3406A"/>
    <w:rsid w:val="00D37C88"/>
    <w:rsid w:val="00D4572C"/>
    <w:rsid w:val="00D45F41"/>
    <w:rsid w:val="00D469B2"/>
    <w:rsid w:val="00D574C2"/>
    <w:rsid w:val="00D70B01"/>
    <w:rsid w:val="00D741EB"/>
    <w:rsid w:val="00D80260"/>
    <w:rsid w:val="00D83605"/>
    <w:rsid w:val="00D84934"/>
    <w:rsid w:val="00D91271"/>
    <w:rsid w:val="00D919F5"/>
    <w:rsid w:val="00D94F03"/>
    <w:rsid w:val="00DA2CB5"/>
    <w:rsid w:val="00DA4BAC"/>
    <w:rsid w:val="00DC4379"/>
    <w:rsid w:val="00DD668A"/>
    <w:rsid w:val="00DE65F3"/>
    <w:rsid w:val="00DE6D27"/>
    <w:rsid w:val="00DF217D"/>
    <w:rsid w:val="00DF26A7"/>
    <w:rsid w:val="00DF4E5D"/>
    <w:rsid w:val="00E00114"/>
    <w:rsid w:val="00E04362"/>
    <w:rsid w:val="00E13008"/>
    <w:rsid w:val="00E15627"/>
    <w:rsid w:val="00E164B3"/>
    <w:rsid w:val="00E16910"/>
    <w:rsid w:val="00E24CC1"/>
    <w:rsid w:val="00E37F8F"/>
    <w:rsid w:val="00E4204B"/>
    <w:rsid w:val="00E42BDB"/>
    <w:rsid w:val="00E4433F"/>
    <w:rsid w:val="00E45400"/>
    <w:rsid w:val="00E57EEB"/>
    <w:rsid w:val="00E60EB7"/>
    <w:rsid w:val="00E62B12"/>
    <w:rsid w:val="00E62D94"/>
    <w:rsid w:val="00E65E54"/>
    <w:rsid w:val="00E73A46"/>
    <w:rsid w:val="00E743DA"/>
    <w:rsid w:val="00E76ECA"/>
    <w:rsid w:val="00E80155"/>
    <w:rsid w:val="00E81F28"/>
    <w:rsid w:val="00E848C0"/>
    <w:rsid w:val="00E91B96"/>
    <w:rsid w:val="00E941A1"/>
    <w:rsid w:val="00E95CE3"/>
    <w:rsid w:val="00EA2825"/>
    <w:rsid w:val="00EB0B20"/>
    <w:rsid w:val="00EB0B63"/>
    <w:rsid w:val="00EB1936"/>
    <w:rsid w:val="00EB2C9B"/>
    <w:rsid w:val="00EB5088"/>
    <w:rsid w:val="00EC3196"/>
    <w:rsid w:val="00ED0D97"/>
    <w:rsid w:val="00ED1644"/>
    <w:rsid w:val="00ED2593"/>
    <w:rsid w:val="00ED4F10"/>
    <w:rsid w:val="00ED7D9C"/>
    <w:rsid w:val="00EE094A"/>
    <w:rsid w:val="00EE0B8A"/>
    <w:rsid w:val="00EE19CA"/>
    <w:rsid w:val="00EE7AFD"/>
    <w:rsid w:val="00EF44A0"/>
    <w:rsid w:val="00EF4FED"/>
    <w:rsid w:val="00F01062"/>
    <w:rsid w:val="00F050BD"/>
    <w:rsid w:val="00F05657"/>
    <w:rsid w:val="00F12E6A"/>
    <w:rsid w:val="00F20747"/>
    <w:rsid w:val="00F25578"/>
    <w:rsid w:val="00F258E5"/>
    <w:rsid w:val="00F300BC"/>
    <w:rsid w:val="00F32066"/>
    <w:rsid w:val="00F3334E"/>
    <w:rsid w:val="00F36CCB"/>
    <w:rsid w:val="00F374E5"/>
    <w:rsid w:val="00F43AF2"/>
    <w:rsid w:val="00F5007E"/>
    <w:rsid w:val="00F50EC4"/>
    <w:rsid w:val="00F5400A"/>
    <w:rsid w:val="00F550CF"/>
    <w:rsid w:val="00F57A6D"/>
    <w:rsid w:val="00F638CC"/>
    <w:rsid w:val="00F64CC1"/>
    <w:rsid w:val="00F65971"/>
    <w:rsid w:val="00F6716D"/>
    <w:rsid w:val="00F72317"/>
    <w:rsid w:val="00F75DC4"/>
    <w:rsid w:val="00F80475"/>
    <w:rsid w:val="00F80A8F"/>
    <w:rsid w:val="00F8247A"/>
    <w:rsid w:val="00F9629A"/>
    <w:rsid w:val="00F97EFC"/>
    <w:rsid w:val="00FA5883"/>
    <w:rsid w:val="00FA6055"/>
    <w:rsid w:val="00FB0BE5"/>
    <w:rsid w:val="00FB322F"/>
    <w:rsid w:val="00FB442F"/>
    <w:rsid w:val="00FC1929"/>
    <w:rsid w:val="00FC5B46"/>
    <w:rsid w:val="00FC66CB"/>
    <w:rsid w:val="00FD5C8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styleId="FootnoteText">
    <w:name w:val="footnote text"/>
    <w:basedOn w:val="Normal"/>
    <w:link w:val="FootnoteTextChar"/>
    <w:semiHidden/>
    <w:unhideWhenUsed/>
    <w:rsid w:val="00277735"/>
    <w:rPr>
      <w:sz w:val="20"/>
      <w:szCs w:val="20"/>
    </w:rPr>
  </w:style>
  <w:style w:type="character" w:customStyle="1" w:styleId="FootnoteTextChar">
    <w:name w:val="Footnote Text Char"/>
    <w:basedOn w:val="DefaultParagraphFont"/>
    <w:link w:val="FootnoteText"/>
    <w:semiHidden/>
    <w:rsid w:val="00277735"/>
  </w:style>
  <w:style w:type="character" w:styleId="FootnoteReference">
    <w:name w:val="footnote reference"/>
    <w:basedOn w:val="DefaultParagraphFont"/>
    <w:semiHidden/>
    <w:unhideWhenUsed/>
    <w:rsid w:val="00277735"/>
    <w:rPr>
      <w:vertAlign w:val="superscript"/>
    </w:rPr>
  </w:style>
  <w:style w:type="paragraph" w:customStyle="1" w:styleId="Default">
    <w:name w:val="Default"/>
    <w:rsid w:val="00A832DB"/>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unhideWhenUsed/>
    <w:rsid w:val="007A40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2876061">
      <w:bodyDiv w:val="1"/>
      <w:marLeft w:val="0"/>
      <w:marRight w:val="0"/>
      <w:marTop w:val="0"/>
      <w:marBottom w:val="0"/>
      <w:divBdr>
        <w:top w:val="none" w:sz="0" w:space="0" w:color="auto"/>
        <w:left w:val="none" w:sz="0" w:space="0" w:color="auto"/>
        <w:bottom w:val="none" w:sz="0" w:space="0" w:color="auto"/>
        <w:right w:val="none" w:sz="0" w:space="0" w:color="auto"/>
      </w:divBdr>
    </w:div>
    <w:div w:id="379594744">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80339795">
      <w:bodyDiv w:val="1"/>
      <w:marLeft w:val="0"/>
      <w:marRight w:val="0"/>
      <w:marTop w:val="0"/>
      <w:marBottom w:val="0"/>
      <w:divBdr>
        <w:top w:val="none" w:sz="0" w:space="0" w:color="auto"/>
        <w:left w:val="none" w:sz="0" w:space="0" w:color="auto"/>
        <w:bottom w:val="none" w:sz="0" w:space="0" w:color="auto"/>
        <w:right w:val="none" w:sz="0" w:space="0" w:color="auto"/>
      </w:divBdr>
    </w:div>
    <w:div w:id="1632244620">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18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CB64-F2B3-4127-82A6-5932B813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1773</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2019-06-26T06:20:00Z</dcterms:created>
  <dcterms:modified xsi:type="dcterms:W3CDTF">2019-07-01T04:00:00Z</dcterms:modified>
</cp:coreProperties>
</file>